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4C554728" w14:textId="1F8B2481">
      <w:pPr>
        <w:widowControl/>
        <w:tabs>
          <w:tab w:val="left" w:pos="720"/>
        </w:tabs>
        <w:ind w:left="720" w:hanging="1440"/>
        <w:jc w:val="center"/>
        <w:rPr>
          <w:rFonts w:ascii="Times New Roman" w:hAnsi="Times New Roman"/>
          <w:b/>
          <w:bCs/>
        </w:rPr>
      </w:pPr>
    </w:p>
    <w:p w:rsidR="009F1189" w:rsidP="00116CD5" w:rsidRDefault="00690F56" w14:paraId="110C9E1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9F1189" w:rsidRDefault="009F1189" w14:paraId="1DAA9F6C" w14:textId="7A5DA217">
      <w:pPr>
        <w:widowControl/>
        <w:tabs>
          <w:tab w:val="left" w:pos="720"/>
        </w:tabs>
        <w:ind w:left="720" w:hanging="1440"/>
        <w:jc w:val="center"/>
        <w:rPr>
          <w:rFonts w:ascii="Times New Roman" w:hAnsi="Times New Roman"/>
          <w:b/>
          <w:bCs/>
        </w:rPr>
      </w:pPr>
      <w:r w:rsidRPr="009F1189">
        <w:t xml:space="preserve"> </w:t>
      </w:r>
      <w:r w:rsidRPr="009F1189">
        <w:rPr>
          <w:rFonts w:ascii="Times New Roman" w:hAnsi="Times New Roman"/>
          <w:b/>
          <w:bCs/>
        </w:rPr>
        <w:t>Self-Employment Assistance (SEA) Program</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7A1D4D71">
      <w:pPr>
        <w:widowControl/>
        <w:jc w:val="center"/>
        <w:rPr>
          <w:rFonts w:ascii="Times New Roman" w:hAnsi="Times New Roman"/>
          <w:b/>
          <w:bCs/>
        </w:rPr>
      </w:pPr>
      <w:r w:rsidRPr="00871CA6">
        <w:rPr>
          <w:rFonts w:ascii="Times New Roman" w:hAnsi="Times New Roman"/>
          <w:b/>
          <w:bCs/>
        </w:rPr>
        <w:t>OMB</w:t>
      </w:r>
      <w:r w:rsidR="009F1189">
        <w:rPr>
          <w:rFonts w:ascii="Times New Roman" w:hAnsi="Times New Roman"/>
          <w:b/>
          <w:bCs/>
        </w:rPr>
        <w:t xml:space="preserve"> </w:t>
      </w:r>
      <w:r w:rsidRPr="00871CA6" w:rsidR="00690F56">
        <w:rPr>
          <w:rFonts w:ascii="Times New Roman" w:hAnsi="Times New Roman"/>
          <w:b/>
          <w:bCs/>
        </w:rPr>
        <w:t xml:space="preserve">CONTROL NO. </w:t>
      </w:r>
      <w:r w:rsidR="009F1189">
        <w:rPr>
          <w:rFonts w:ascii="Times New Roman" w:hAnsi="Times New Roman"/>
          <w:b/>
          <w:bCs/>
        </w:rPr>
        <w:t>1205-0490</w:t>
      </w:r>
    </w:p>
    <w:p w:rsidRPr="00D53DEB" w:rsidR="00530EBD" w:rsidP="00116CD5" w:rsidRDefault="00530EBD" w14:paraId="3086E90B" w14:textId="77777777">
      <w:pPr>
        <w:widowControl/>
        <w:jc w:val="center"/>
        <w:rPr>
          <w:rFonts w:ascii="Times New Roman" w:hAnsi="Times New Roman"/>
          <w:bCs/>
        </w:rPr>
      </w:pPr>
    </w:p>
    <w:p w:rsidRPr="00805600" w:rsidR="009F1189" w:rsidP="009F1189" w:rsidRDefault="009F1189" w14:paraId="649EACA7" w14:textId="2DE2ECF4">
      <w:pPr>
        <w:widowControl/>
        <w:jc w:val="both"/>
        <w:outlineLvl w:val="0"/>
        <w:rPr>
          <w:rFonts w:ascii="Times New Roman" w:hAnsi="Times New Roman"/>
        </w:rPr>
      </w:pPr>
      <w:r w:rsidRPr="00805600">
        <w:rPr>
          <w:rFonts w:ascii="Times New Roman" w:hAnsi="Times New Roman"/>
        </w:rPr>
        <w:t xml:space="preserve">The Department of Labor, Employment and Training Administration (ETA) is </w:t>
      </w:r>
      <w:r w:rsidR="00783F47">
        <w:rPr>
          <w:rFonts w:ascii="Times New Roman" w:hAnsi="Times New Roman"/>
        </w:rPr>
        <w:t>requesting</w:t>
      </w:r>
      <w:r w:rsidRPr="00805600" w:rsidR="00783F47">
        <w:rPr>
          <w:rFonts w:ascii="Times New Roman" w:hAnsi="Times New Roman"/>
        </w:rPr>
        <w:t xml:space="preserve"> </w:t>
      </w:r>
      <w:r w:rsidRPr="00805600">
        <w:rPr>
          <w:rFonts w:ascii="Times New Roman" w:hAnsi="Times New Roman"/>
        </w:rPr>
        <w:t xml:space="preserve">an extension without changes for </w:t>
      </w:r>
      <w:r w:rsidR="00783F47">
        <w:rPr>
          <w:rFonts w:ascii="Times New Roman" w:hAnsi="Times New Roman"/>
        </w:rPr>
        <w:t>1205-0490,</w:t>
      </w:r>
      <w:r w:rsidRPr="00805600" w:rsidR="00783F47">
        <w:rPr>
          <w:rFonts w:ascii="Times New Roman" w:hAnsi="Times New Roman"/>
        </w:rPr>
        <w:t xml:space="preserve"> </w:t>
      </w:r>
      <w:r w:rsidRPr="00805600">
        <w:rPr>
          <w:rFonts w:ascii="Times New Roman" w:hAnsi="Times New Roman"/>
        </w:rPr>
        <w:t xml:space="preserve">Self-Employment Assistance (SEA) Program, information collection request (ICR).  </w:t>
      </w: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00690F56" w:rsidP="00690F56" w:rsidRDefault="00690F56" w14:paraId="099BCB32" w14:textId="65F6E4C1">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53DEB" w:rsidR="009F1189" w:rsidP="00690F56" w:rsidRDefault="009F1189" w14:paraId="4BB2BB85" w14:textId="77777777">
      <w:pPr>
        <w:widowControl/>
        <w:rPr>
          <w:rFonts w:ascii="Times New Roman" w:hAnsi="Times New Roman"/>
        </w:rPr>
      </w:pPr>
    </w:p>
    <w:p w:rsidRPr="009F1189" w:rsidR="009F1189" w:rsidP="009F1189" w:rsidRDefault="009F1189" w14:paraId="031378AF" w14:textId="77777777">
      <w:pPr>
        <w:widowControl/>
        <w:rPr>
          <w:rFonts w:ascii="Times New Roman" w:hAnsi="Times New Roman"/>
        </w:rPr>
      </w:pPr>
      <w:r w:rsidRPr="009F1189">
        <w:rPr>
          <w:rFonts w:ascii="Times New Roman" w:hAnsi="Times New Roman"/>
        </w:rPr>
        <w:t xml:space="preserve">The Noncitizen Benefit Clarification and Other Technical Amendments Act of 1998, (Public Law 105-306, section 3) permanently authorized the Self-Employment Assistance (SEA) program, which is a reemployment program that helps Unemployment Insurance (UI) claimants start their own businesses, and Public Law 112-96, the Middle Class Tax Relief and Job Creation Act of 2012, expanded the program by providing states with the opportunity to allow UI claimants receiving compensation in the Extended Benefits (EB) program to participate in the SEA program.  However, under current economic assumptions, no states are projected to pay compensation in the EB program during the next several years.  Currently, five states use this reemployment program. </w:t>
      </w:r>
    </w:p>
    <w:p w:rsidRPr="009F1189" w:rsidR="009F1189" w:rsidP="009F1189" w:rsidRDefault="009F1189" w14:paraId="1D097BE9" w14:textId="77777777">
      <w:pPr>
        <w:widowControl/>
        <w:rPr>
          <w:rFonts w:ascii="Times New Roman" w:hAnsi="Times New Roman"/>
        </w:rPr>
      </w:pPr>
    </w:p>
    <w:p w:rsidR="009F1189" w:rsidP="009F1189" w:rsidRDefault="009F1189" w14:paraId="0FE3652E" w14:textId="771AAC86">
      <w:pPr>
        <w:widowControl/>
        <w:rPr>
          <w:rFonts w:ascii="Times New Roman" w:hAnsi="Times New Roman"/>
        </w:rPr>
      </w:pPr>
      <w:r w:rsidRPr="009F1189">
        <w:rPr>
          <w:rFonts w:ascii="Times New Roman" w:hAnsi="Times New Roman"/>
        </w:rPr>
        <w:lastRenderedPageBreak/>
        <w:t>In accordance with statutory requirements and to assist States in establishing, improving, and administering self-employment assistance programs outlined in PL 112-96, section 2183(a), OMB approved a reporting instrument specific to the SEA program, the ETA 9161.  ETA now seeks a regular three-year extension for this form.</w:t>
      </w:r>
    </w:p>
    <w:p w:rsidRPr="009F1189" w:rsidR="00783F47" w:rsidP="009F1189" w:rsidRDefault="00783F47" w14:paraId="55599766" w14:textId="77777777">
      <w:pPr>
        <w:widowControl/>
        <w:rPr>
          <w:rFonts w:ascii="Times New Roman" w:hAnsi="Times New Roman"/>
        </w:rPr>
      </w:pPr>
    </w:p>
    <w:p w:rsidRPr="00A47DA7" w:rsidR="00690F56" w:rsidP="009F1189" w:rsidRDefault="009F1189" w14:paraId="38CEE6AD" w14:textId="21AD3D6D">
      <w:pPr>
        <w:widowControl/>
        <w:rPr>
          <w:rFonts w:ascii="Times New Roman" w:hAnsi="Times New Roman"/>
        </w:rPr>
      </w:pPr>
      <w:r w:rsidRPr="009F1189">
        <w:rPr>
          <w:rFonts w:ascii="Times New Roman" w:hAnsi="Times New Roman"/>
        </w:rPr>
        <w:t>In addition to Public Law 112-96, collection of data necessary for oversight of the program is authorized under Section 303(a)(6) of the Social Security Act.  In order for states to prepare their summary reports, ETA believes States will need to collect information from program beneficiaries.  These interactions are more fully discussed in item 12 of this Justification.</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9F1189" w:rsidP="00690F56" w:rsidRDefault="009F1189" w14:paraId="796AF8F4" w14:textId="77777777">
      <w:pPr>
        <w:widowControl/>
        <w:rPr>
          <w:rFonts w:ascii="Times New Roman" w:hAnsi="Times New Roman"/>
        </w:rPr>
      </w:pPr>
    </w:p>
    <w:p w:rsidR="00690F56" w:rsidP="00690F56" w:rsidRDefault="009F1189" w14:paraId="6EBE63D5" w14:textId="5B4F5BF7">
      <w:pPr>
        <w:widowControl/>
        <w:rPr>
          <w:rFonts w:ascii="Times New Roman" w:hAnsi="Times New Roman"/>
        </w:rPr>
      </w:pPr>
      <w:r w:rsidRPr="009F1189">
        <w:rPr>
          <w:rFonts w:ascii="Times New Roman" w:hAnsi="Times New Roman"/>
        </w:rPr>
        <w:t>The ETA 9161 report includes information on people entering the SEA program, as well as the benefits they receive and some limited outcome data.  These data are being used for oversight and to provide data responsive to statutorily required evaluations of this program.  States summarize information collected from SEA program participants to prepare the reports.</w:t>
      </w:r>
    </w:p>
    <w:p w:rsidRPr="009F1189" w:rsidR="009F1189" w:rsidP="00690F56" w:rsidRDefault="009F1189" w14:paraId="0E88018E" w14:textId="77777777">
      <w:pPr>
        <w:widowControl/>
        <w:rPr>
          <w:rFonts w:ascii="Times New Roman" w:hAnsi="Times New Roman"/>
        </w:rPr>
      </w:pPr>
    </w:p>
    <w:p w:rsidR="00690F56" w:rsidP="00690F56" w:rsidRDefault="00690F56" w14:paraId="1908DC84" w14:textId="46BE0D6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D53DEB" w:rsidR="009F1189" w:rsidP="00690F56" w:rsidRDefault="009F1189" w14:paraId="041427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9F1189" w14:paraId="04006A6E" w14:textId="237FB77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lastRenderedPageBreak/>
        <w:t>The states are continually improving program operations and their information handling technologies and, where feasible, new methods are used for taking applications and for collecting and transmitting the data for these reports.  For example, many states have implemented automated remote claims-taking systems, as well as automated recordkeeping.  Reduction of burden through increased automation is always encouraged and supported.  As with virtually all UI reports, the ETA 9161 report is part of an electronic reporting system through which state UI agencies enter the data on a quarterly basis and transmit the data to the ETA National Office.</w:t>
      </w:r>
    </w:p>
    <w:p w:rsidRPr="006A4637" w:rsidR="00690F56" w:rsidP="00690F56" w:rsidRDefault="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29483DE" w14:textId="1BD1C19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Pr="00D53DEB" w:rsidR="009F1189" w:rsidP="00690F56" w:rsidRDefault="009F1189" w14:paraId="58FC72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9F1189" w14:paraId="2693B8DC" w14:textId="3022997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Current Federal law grants states the exclusive role of administering UI claims.  Due to existing laws and regulations, no entity other than the state workforce administration could possibly handle the claimant data and provide summaries of claimant eligibility and outcomes.  Therefore, there is no duplication in the information being requested.</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86EF219" w14:textId="102E55D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D53DEB" w:rsidR="009F1189" w:rsidP="00690F56" w:rsidRDefault="009F1189" w14:paraId="5C9F78E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9F1189" w14:paraId="034A882C" w14:textId="07757E7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 xml:space="preserve">Given that this information collection was created around the concept of SEA, it is likely that states’ following up with establishments created by claimants may affect small business to meet the reporting requirements spelled out here.  However, the number of claimants entering the program is quite small (see section 12) and the number of those claimants who actually establish small businesses is likely to be even smaller.  In addition, the data states need to collect from participants are not expected to require extensive time commitments from the states or respondents.  The state will </w:t>
      </w:r>
      <w:r w:rsidRPr="009F1189">
        <w:rPr>
          <w:rFonts w:ascii="Times New Roman" w:hAnsi="Times New Roman"/>
        </w:rPr>
        <w:lastRenderedPageBreak/>
        <w:t>follow up with claimants for four quarters following their participation in the SEA program.  Since the law mandates this data collection for all ongoing SEA activities, this impact is expected to continue for the foreseeable future.</w:t>
      </w:r>
    </w:p>
    <w:p w:rsidRPr="00A973AA" w:rsidR="00690F56" w:rsidP="00690F56" w:rsidRDefault="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F528885" w14:textId="2DD2F26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9F1189" w:rsidP="00690F56" w:rsidRDefault="009F1189" w14:paraId="10AAF1B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9F1189" w14:paraId="7C4C2F67" w14:textId="67AB9D0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1189">
        <w:rPr>
          <w:rFonts w:ascii="Times New Roman" w:hAnsi="Times New Roman"/>
        </w:rPr>
        <w:t>The ETA 9161 report is due quarterly.  If these data were collected less frequently, ETA’s ability to carry out its statutory oversight responsibilities and its ability to document state issues in implementing the programs would be compromised. (Public law 112-96)  The collection of data necessary for oversight of the program is authorized under Section 303(a)(6) of the Social Security Act.  ETA is actively exploring ways to expand the SEA program in more states, encouraging UI claimants to consider self-employment as a viable reemployment option, and engaging other governmental and non-governmental agencies to consider supporting the SEA program.  Currently, only five states are participating in SEA.  However, the data that these five states provide on a quarterly basis is heavily relied upon for comparison, projection and interest generation purposes.  Also, because of rapidly fluctuating economic conditions, the take up rates for the SEA program is an important indicator of self-employment activities in general.  Collecting information less frequent would not allow ETA knowledge of present issues nor the opportunity to provide technical assistance to states in a timely manner using the most recent data.</w:t>
      </w:r>
    </w:p>
    <w:p w:rsidRPr="00A47DA7" w:rsidR="009F1189" w:rsidP="00690F56" w:rsidRDefault="009F1189" w14:paraId="3DB4D53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9F1189" w:rsidP="00642220" w:rsidRDefault="009F1189" w14:paraId="1983B81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Pr="00D53DEB" w:rsidR="00642220" w:rsidP="00642220" w:rsidRDefault="009F1189" w14:paraId="3DCDBA31" w14:textId="0EC43DCE">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9F1189">
        <w:t>There are no special circumstances.</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lastRenderedPageBreak/>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67B60FC" w14:textId="1241ECE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D53DEB" w:rsidR="009F1189" w:rsidP="00690F56" w:rsidRDefault="009F1189" w14:paraId="0628FE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9F1189" w:rsidR="009F1189" w:rsidP="009F1189" w:rsidRDefault="009F1189" w14:paraId="1F3CDD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 xml:space="preserve">In accordance with the Paperwork Reduction Act of 1995, the public was allowed 60 days to comment through the Federal Register Notice posted on August 10, 2021 (86 FR 43680).  </w:t>
      </w:r>
    </w:p>
    <w:p w:rsidRPr="009F1189" w:rsidR="009F1189" w:rsidP="009F1189" w:rsidRDefault="009F1189" w14:paraId="7D0A3B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9F1189" w:rsidR="009F1189" w:rsidP="009F1189" w:rsidRDefault="009F1189" w14:paraId="0C9DAD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 xml:space="preserve">The Department received two comments on August 10, 2021 and August 18, 2021.  The first commenter submitted a request for the draft ICR for ETA 9161-Self Employment Assistance (SEA).  The Department forwarded a draft copy of the supporting statement and the ET Handbook No. 401, 5th edition, ETA 9161 Self Employment Assistance (Regular Program).   </w:t>
      </w:r>
    </w:p>
    <w:p w:rsidRPr="009F1189" w:rsidR="009F1189" w:rsidP="009F1189" w:rsidRDefault="009F1189" w14:paraId="1820B0E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Pr="009F1189" w:rsidR="00690F56" w:rsidP="009F1189" w:rsidRDefault="009F1189" w14:paraId="7644A432" w14:textId="392EEF7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lastRenderedPageBreak/>
        <w:t>The second commenter wanted information on if the state of Georgia had a Self Employment Assistance Program and requested information on this program.  The Department responded that the state of Georgia currently did not offer a SEA program in which the current states that operate this voluntary program to date are Delaware, Mississippi, New Hampshire, New York, and Oregon have active SEA programs. The Department also indicated that additional information on Entrepreneurship or other employment services may be found by contacting the Georgia Department of Labor:  https://dol.georgia.gov/.</w:t>
      </w:r>
    </w:p>
    <w:p w:rsidRPr="00A47DA7" w:rsidR="0060114B" w:rsidP="0060114B" w:rsidRDefault="0060114B" w14:paraId="425C0DB9"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690F56" w:rsidRDefault="00690F56" w14:paraId="3EC59954" w14:textId="2E8B2F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F1189" w:rsidR="009F1189" w:rsidP="00690F56" w:rsidRDefault="009F1189" w14:paraId="2CB396A5" w14:textId="5A26F2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No payment or gift is provided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00690F56" w:rsidP="00690F56" w:rsidRDefault="00690F56" w14:paraId="41D6A133" w14:textId="613200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F1189" w:rsidR="009F1189" w:rsidP="00690F56" w:rsidRDefault="009F1189" w14:paraId="5647004E" w14:textId="7EFF33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t>No assurance of confidentiality is provided to State Workforce Agencies (SWAs) responding to this collection. Their responses are considered a matter of public record. Information is reported in summary form by SWAs; no personal identifying information is reported on any given beneficiary.</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2AFA701" w14:textId="0EEBA13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9F1189" w:rsidR="009F1189" w:rsidP="00690F56" w:rsidRDefault="009F1189" w14:paraId="0094F7E1" w14:textId="7F266E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F1189">
        <w:rPr>
          <w:rFonts w:ascii="Times New Roman" w:hAnsi="Times New Roman"/>
          <w:bCs/>
        </w:rPr>
        <w:lastRenderedPageBreak/>
        <w:t>Though individual wage and employment data will be collected at the state level, this will be reported back to ETA in aggregate form, such that there is no individual data that can be identified in reports provided to the ETA.  As a result, there are no items on the form involving sensitive information of a private nature or otherwise.</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904007E" w14:textId="6800E50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05600" w:rsidR="009F1189" w:rsidP="009F1189" w:rsidRDefault="009F1189" w14:paraId="6508FA14" w14:textId="77777777">
      <w:pPr>
        <w:widowControl/>
        <w:tabs>
          <w:tab w:val="left" w:pos="-1440"/>
        </w:tabs>
        <w:ind w:left="720" w:hanging="720"/>
        <w:rPr>
          <w:rFonts w:ascii="Times New Roman" w:hAnsi="Times New Roman"/>
        </w:rPr>
      </w:pPr>
      <w:r w:rsidRPr="00805600">
        <w:rPr>
          <w:rFonts w:ascii="Times New Roman" w:hAnsi="Times New Roman"/>
          <w:b/>
        </w:rPr>
        <w:t>Burden on States Operating the SEA program</w:t>
      </w:r>
      <w:r w:rsidRPr="00805600">
        <w:rPr>
          <w:rFonts w:ascii="Times New Roman" w:hAnsi="Times New Roman"/>
        </w:rPr>
        <w:t>:</w:t>
      </w:r>
    </w:p>
    <w:p w:rsidRPr="00805600" w:rsidR="009F1189" w:rsidP="009F1189" w:rsidRDefault="009F1189" w14:paraId="246ECDCC" w14:textId="77777777">
      <w:pPr>
        <w:widowControl/>
        <w:tabs>
          <w:tab w:val="left" w:pos="-1440"/>
        </w:tabs>
        <w:ind w:left="720" w:hanging="720"/>
        <w:rPr>
          <w:rFonts w:ascii="Times New Roman" w:hAnsi="Times New Roman"/>
        </w:rPr>
      </w:pPr>
    </w:p>
    <w:p w:rsidRPr="00805600" w:rsidR="009F1189" w:rsidP="009F1189" w:rsidRDefault="009F1189" w14:paraId="49D9E09A" w14:textId="77777777">
      <w:pPr>
        <w:widowControl/>
        <w:tabs>
          <w:tab w:val="left" w:pos="-1440"/>
        </w:tabs>
        <w:ind w:left="720" w:hanging="720"/>
        <w:rPr>
          <w:rFonts w:ascii="Times New Roman" w:hAnsi="Times New Roman"/>
        </w:rPr>
      </w:pPr>
      <w:r w:rsidRPr="00805600">
        <w:rPr>
          <w:rFonts w:ascii="Times New Roman" w:hAnsi="Times New Roman"/>
        </w:rPr>
        <w:tab/>
        <w:t xml:space="preserve">ETA anticipates that the burden on states to produce this report is twofold.  First, states need to track claimants and follow up with them to report the current status and outcome data on the establishments created.  States will report this data for all participants while they are drawing benefits from the SEA program, and subsequently for four quarters following their participation to ensure that any activity around creating establishments is captured.  Second, states need to transmit the summary data and outcomes to ETA.  </w:t>
      </w:r>
    </w:p>
    <w:p w:rsidRPr="009F1189" w:rsidR="009F1189" w:rsidP="009F1189" w:rsidRDefault="009F1189" w14:paraId="468A5773" w14:textId="77777777">
      <w:pPr>
        <w:widowControl/>
        <w:tabs>
          <w:tab w:val="left" w:pos="-1440"/>
        </w:tabs>
        <w:ind w:left="720" w:hanging="720"/>
        <w:rPr>
          <w:rFonts w:ascii="Arial" w:hAnsi="Arial" w:cs="Arial"/>
          <w:sz w:val="22"/>
          <w:szCs w:val="22"/>
        </w:rPr>
      </w:pPr>
    </w:p>
    <w:p w:rsidRPr="00805600" w:rsidR="009F1189" w:rsidP="009F1189" w:rsidRDefault="009F1189" w14:paraId="4449B902" w14:textId="77777777">
      <w:pPr>
        <w:widowControl/>
        <w:numPr>
          <w:ilvl w:val="0"/>
          <w:numId w:val="15"/>
        </w:numPr>
        <w:tabs>
          <w:tab w:val="left" w:pos="-1440"/>
        </w:tabs>
        <w:rPr>
          <w:rFonts w:ascii="Times New Roman" w:hAnsi="Times New Roman"/>
        </w:rPr>
      </w:pPr>
      <w:r w:rsidRPr="00805600">
        <w:rPr>
          <w:rFonts w:ascii="Times New Roman" w:hAnsi="Times New Roman"/>
        </w:rPr>
        <w:t>State Record on Participants:</w:t>
      </w:r>
    </w:p>
    <w:p w:rsidRPr="00805600" w:rsidR="009F1189" w:rsidP="009F1189" w:rsidRDefault="009F1189" w14:paraId="5B4B6096" w14:textId="77777777">
      <w:pPr>
        <w:widowControl/>
        <w:tabs>
          <w:tab w:val="left" w:pos="-1440"/>
        </w:tabs>
        <w:ind w:left="720" w:hanging="720"/>
        <w:rPr>
          <w:rFonts w:ascii="Times New Roman" w:hAnsi="Times New Roman"/>
        </w:rPr>
      </w:pPr>
      <w:r w:rsidRPr="00805600">
        <w:rPr>
          <w:rFonts w:ascii="Times New Roman" w:hAnsi="Times New Roman"/>
        </w:rPr>
        <w:tab/>
        <w:t xml:space="preserve">On the burden involved with generating the data to prepare this report, states need to follow up with SEA participants to determine whether the establishments they have created are continuing to operate and what sort of impact they might have in terms of employing other people, paying wages and generating revenue.  States need to spend 30 minutes per participant per quarter to follow up with them regarding the establishments that they have created to collect and tabulate the data and describe the outcomes for this report.  Since ETA anticipates 3,400 participants, the burden states would incur would be 3,400 participants x 4 quarters of reporting x 0.5 hours = 6,800 hours total for the 5 states.  </w:t>
      </w:r>
    </w:p>
    <w:p w:rsidRPr="00805600" w:rsidR="009F1189" w:rsidP="009F1189" w:rsidRDefault="009F1189" w14:paraId="75C532AE" w14:textId="77777777">
      <w:pPr>
        <w:widowControl/>
        <w:tabs>
          <w:tab w:val="left" w:pos="-1440"/>
        </w:tabs>
        <w:ind w:left="720" w:hanging="720"/>
        <w:rPr>
          <w:rFonts w:ascii="Times New Roman" w:hAnsi="Times New Roman"/>
        </w:rPr>
      </w:pPr>
    </w:p>
    <w:p w:rsidRPr="00805600" w:rsidR="009F1189" w:rsidP="009F1189" w:rsidRDefault="009F1189" w14:paraId="29363566" w14:textId="77777777">
      <w:pPr>
        <w:widowControl/>
        <w:numPr>
          <w:ilvl w:val="0"/>
          <w:numId w:val="15"/>
        </w:numPr>
        <w:tabs>
          <w:tab w:val="left" w:pos="-1440"/>
        </w:tabs>
        <w:rPr>
          <w:rFonts w:ascii="Times New Roman" w:hAnsi="Times New Roman"/>
        </w:rPr>
      </w:pPr>
      <w:r w:rsidRPr="00805600">
        <w:rPr>
          <w:rFonts w:ascii="Times New Roman" w:hAnsi="Times New Roman"/>
        </w:rPr>
        <w:t>State Transmission of Reports:</w:t>
      </w:r>
    </w:p>
    <w:p w:rsidRPr="00805600" w:rsidR="009F1189" w:rsidP="009F1189" w:rsidRDefault="009F1189" w14:paraId="1FAB4B05" w14:textId="77777777">
      <w:pPr>
        <w:widowControl/>
        <w:tabs>
          <w:tab w:val="left" w:pos="-1440"/>
        </w:tabs>
        <w:ind w:left="720" w:hanging="720"/>
        <w:rPr>
          <w:rFonts w:ascii="Times New Roman" w:hAnsi="Times New Roman"/>
        </w:rPr>
      </w:pPr>
      <w:r w:rsidRPr="00805600">
        <w:rPr>
          <w:rFonts w:ascii="Times New Roman" w:hAnsi="Times New Roman"/>
        </w:rPr>
        <w:tab/>
        <w:t xml:space="preserve">On the burden involved with compiling and transmitting the resulting data, ETA anticipates quarterly submittals from all states operating SEA programs.  The full estimated annualized burden for Federal reporting for the program would be estimated at 5 respondents (states currently operating the SEA program) x 4 quarterly reports at an estimated burden of 2 hours per report to compile the numbers from various sources, enter them into the Federal electronic reporting system, and transmit them.  </w:t>
      </w:r>
    </w:p>
    <w:p w:rsidRPr="00805600" w:rsidR="009F1189" w:rsidP="009F1189" w:rsidRDefault="009F1189" w14:paraId="0969C4CE" w14:textId="77777777">
      <w:pPr>
        <w:widowControl/>
        <w:tabs>
          <w:tab w:val="left" w:pos="-1440"/>
        </w:tabs>
        <w:ind w:left="720" w:hanging="720"/>
        <w:rPr>
          <w:rFonts w:ascii="Times New Roman" w:hAnsi="Times New Roman"/>
        </w:rPr>
      </w:pPr>
      <w:r w:rsidRPr="00805600">
        <w:rPr>
          <w:rFonts w:ascii="Times New Roman" w:hAnsi="Times New Roman"/>
        </w:rPr>
        <w:tab/>
        <w:t>5 respondents x 4 quarterly reports x 2 hours / report = 40 hours.</w:t>
      </w:r>
    </w:p>
    <w:p w:rsidRPr="00805600" w:rsidR="009F1189" w:rsidP="009F1189" w:rsidRDefault="009F1189" w14:paraId="39AFB8FA" w14:textId="77777777">
      <w:pPr>
        <w:widowControl/>
        <w:tabs>
          <w:tab w:val="left" w:pos="-1440"/>
        </w:tabs>
        <w:rPr>
          <w:rFonts w:ascii="Times New Roman" w:hAnsi="Times New Roman"/>
          <w:color w:val="000000"/>
        </w:rPr>
      </w:pPr>
    </w:p>
    <w:p w:rsidRPr="00805600" w:rsidR="009F1189" w:rsidP="009F1189" w:rsidRDefault="009F1189" w14:paraId="255813C2" w14:textId="77777777">
      <w:pPr>
        <w:widowControl/>
        <w:ind w:left="720"/>
        <w:rPr>
          <w:rFonts w:ascii="Times New Roman" w:hAnsi="Times New Roman"/>
          <w:color w:val="000000"/>
        </w:rPr>
      </w:pPr>
      <w:r w:rsidRPr="00805600">
        <w:rPr>
          <w:rFonts w:ascii="Times New Roman" w:hAnsi="Times New Roman"/>
          <w:color w:val="000000"/>
        </w:rPr>
        <w:t xml:space="preserve">DOL believes the value of State respondent time to be $357,048 ($354,960 for states records on participants + $2,088 for state reporting).  In monetizing the burden, DOL assumes State Workforce Agency staff typically prepares the responses.  Based on cost accounting systems, ETA estimates that for FY 2020, the average wage of a state workforce agency employee, including fringe costs, is $52.20.  </w:t>
      </w:r>
    </w:p>
    <w:p w:rsidRPr="00805600" w:rsidR="009F1189" w:rsidP="009F1189" w:rsidRDefault="009F1189" w14:paraId="47C9A654" w14:textId="77777777">
      <w:pPr>
        <w:widowControl/>
        <w:rPr>
          <w:rFonts w:ascii="Times New Roman" w:hAnsi="Times New Roman"/>
          <w:color w:val="000000"/>
        </w:rPr>
      </w:pPr>
    </w:p>
    <w:p w:rsidRPr="00805600" w:rsidR="009F1189" w:rsidP="009F1189" w:rsidRDefault="009F1189" w14:paraId="1DFEC7B9" w14:textId="77777777">
      <w:pPr>
        <w:widowControl/>
        <w:ind w:left="720"/>
        <w:rPr>
          <w:rFonts w:ascii="Times New Roman" w:hAnsi="Times New Roman"/>
          <w:color w:val="000000"/>
        </w:rPr>
      </w:pPr>
      <w:r w:rsidRPr="00805600">
        <w:rPr>
          <w:rFonts w:ascii="Times New Roman" w:hAnsi="Times New Roman"/>
          <w:b/>
          <w:color w:val="000000"/>
        </w:rPr>
        <w:t>Burden on SEA Participants- Participant Disclosures to States</w:t>
      </w:r>
      <w:r w:rsidRPr="00805600">
        <w:rPr>
          <w:rFonts w:ascii="Times New Roman" w:hAnsi="Times New Roman"/>
          <w:color w:val="000000"/>
        </w:rPr>
        <w:t>:</w:t>
      </w:r>
    </w:p>
    <w:p w:rsidRPr="00805600" w:rsidR="009F1189" w:rsidP="009F1189" w:rsidRDefault="009F1189" w14:paraId="5240CA90" w14:textId="77777777">
      <w:pPr>
        <w:widowControl/>
        <w:ind w:left="720"/>
        <w:rPr>
          <w:rFonts w:ascii="Times New Roman" w:hAnsi="Times New Roman"/>
          <w:color w:val="000000"/>
        </w:rPr>
      </w:pPr>
    </w:p>
    <w:p w:rsidR="009F1189" w:rsidP="009F1189" w:rsidRDefault="009F1189" w14:paraId="1AA7E5A9" w14:textId="67D35A00">
      <w:pPr>
        <w:widowControl/>
        <w:ind w:left="720"/>
        <w:rPr>
          <w:rFonts w:ascii="Times New Roman" w:hAnsi="Times New Roman"/>
          <w:color w:val="000000"/>
        </w:rPr>
      </w:pPr>
      <w:r w:rsidRPr="00805600">
        <w:rPr>
          <w:rFonts w:ascii="Times New Roman" w:hAnsi="Times New Roman"/>
          <w:color w:val="000000"/>
        </w:rPr>
        <w:t>The data collection imposed on states to collect data on program beneficiaries will create an identical burden for beneficiaries of this program who are required to disclose information to the State Workforce Agencies.  During CY 2020, 90 claimants participated in this program due to COVID-19.  CY2019, 3,400 claimants participated in this program which represents our normal estimate. As such, DOL estimates this information collection imposes a 6,800 hour burden (3,400 respondents x 4 reports x 0.5 hours).</w:t>
      </w:r>
    </w:p>
    <w:p w:rsidRPr="00805600" w:rsidR="00F36871" w:rsidP="009F1189" w:rsidRDefault="00F36871" w14:paraId="323095CF" w14:textId="77777777">
      <w:pPr>
        <w:widowControl/>
        <w:ind w:left="720"/>
        <w:rPr>
          <w:rFonts w:ascii="Times New Roman" w:hAnsi="Times New Roman"/>
          <w:color w:val="000000"/>
        </w:rPr>
      </w:pPr>
    </w:p>
    <w:p w:rsidRPr="00805600" w:rsidR="009F1189" w:rsidP="009F1189" w:rsidRDefault="009F1189" w14:paraId="362234B9" w14:textId="77777777">
      <w:pPr>
        <w:widowControl/>
        <w:ind w:left="720"/>
        <w:rPr>
          <w:rFonts w:ascii="Times New Roman" w:hAnsi="Times New Roman"/>
          <w:bCs/>
        </w:rPr>
      </w:pPr>
      <w:r w:rsidRPr="00805600">
        <w:rPr>
          <w:rFonts w:ascii="Times New Roman" w:hAnsi="Times New Roman"/>
          <w:color w:val="000000"/>
        </w:rPr>
        <w:t xml:space="preserve">Because this program could attract workers from a wide variety of industries, DOL has used the July 2021 seasonally adjusted national </w:t>
      </w:r>
      <w:r w:rsidRPr="00805600">
        <w:rPr>
          <w:rFonts w:ascii="Times New Roman" w:hAnsi="Times New Roman"/>
          <w:bCs/>
        </w:rPr>
        <w:t>average hourly wage of all employees on private nonfarm payrolls of $30.54 to calculate the value of individual or household respondent time</w:t>
      </w:r>
      <w:r w:rsidRPr="00805600">
        <w:rPr>
          <w:rFonts w:ascii="Times New Roman" w:hAnsi="Times New Roman"/>
          <w:color w:val="000000"/>
        </w:rPr>
        <w:t>.  This number is inflated by 40% to account for some overhead and fringe benefit costs resulting in an estimated hourly wage of $42.76  Therefore, 6,80</w:t>
      </w:r>
      <w:r w:rsidRPr="00805600">
        <w:rPr>
          <w:rFonts w:ascii="Times New Roman" w:hAnsi="Times New Roman"/>
          <w:bCs/>
        </w:rPr>
        <w:t>0 x $42.76 = $290,768.</w:t>
      </w:r>
    </w:p>
    <w:p w:rsidRPr="00805600" w:rsidR="009F1189" w:rsidP="009F1189" w:rsidRDefault="009F1189" w14:paraId="594D7D1D" w14:textId="77777777">
      <w:pPr>
        <w:widowControl/>
        <w:rPr>
          <w:rFonts w:ascii="Times New Roman" w:hAnsi="Times New Roman"/>
          <w:b/>
          <w:bCs/>
        </w:rPr>
      </w:pPr>
    </w:p>
    <w:p w:rsidRPr="00805600" w:rsidR="009F1189" w:rsidP="009F1189" w:rsidRDefault="009F1189" w14:paraId="0CC5AE8F" w14:textId="77777777">
      <w:pPr>
        <w:widowControl/>
        <w:tabs>
          <w:tab w:val="left" w:pos="-1440"/>
        </w:tabs>
        <w:rPr>
          <w:rFonts w:ascii="Times New Roman" w:hAnsi="Times New Roman"/>
          <w:color w:val="000000"/>
        </w:rPr>
      </w:pPr>
      <w:r w:rsidRPr="00805600">
        <w:rPr>
          <w:rFonts w:ascii="Times New Roman" w:hAnsi="Times New Roman"/>
          <w:b/>
          <w:color w:val="000000"/>
        </w:rPr>
        <w:tab/>
        <w:t>Total annual estimated burden hours</w:t>
      </w:r>
      <w:r w:rsidRPr="00805600">
        <w:rPr>
          <w:rFonts w:ascii="Times New Roman" w:hAnsi="Times New Roman"/>
          <w:color w:val="000000"/>
        </w:rPr>
        <w:t xml:space="preserve"> </w:t>
      </w:r>
      <w:r w:rsidRPr="00805600">
        <w:rPr>
          <w:rFonts w:ascii="Times New Roman" w:hAnsi="Times New Roman"/>
          <w:b/>
          <w:color w:val="000000"/>
        </w:rPr>
        <w:t>on SEA States and Participants</w:t>
      </w:r>
      <w:r w:rsidRPr="00805600">
        <w:rPr>
          <w:rFonts w:ascii="Times New Roman" w:hAnsi="Times New Roman"/>
          <w:color w:val="000000"/>
        </w:rPr>
        <w:t>:</w:t>
      </w:r>
    </w:p>
    <w:p w:rsidRPr="00805600" w:rsidR="009F1189" w:rsidP="009F1189" w:rsidRDefault="009F1189" w14:paraId="16C66271" w14:textId="77777777">
      <w:pPr>
        <w:widowControl/>
        <w:numPr>
          <w:ilvl w:val="0"/>
          <w:numId w:val="14"/>
        </w:numPr>
        <w:rPr>
          <w:rFonts w:ascii="Times New Roman" w:hAnsi="Times New Roman"/>
          <w:color w:val="000000"/>
        </w:rPr>
      </w:pPr>
      <w:r w:rsidRPr="00805600">
        <w:rPr>
          <w:rFonts w:ascii="Times New Roman" w:hAnsi="Times New Roman"/>
          <w:color w:val="000000"/>
        </w:rPr>
        <w:t>State records on participants:   6,800 hours</w:t>
      </w:r>
    </w:p>
    <w:p w:rsidRPr="00805600" w:rsidR="009F1189" w:rsidP="009F1189" w:rsidRDefault="009F1189" w14:paraId="53BB4F42" w14:textId="77777777">
      <w:pPr>
        <w:widowControl/>
        <w:numPr>
          <w:ilvl w:val="0"/>
          <w:numId w:val="14"/>
        </w:numPr>
        <w:rPr>
          <w:rFonts w:ascii="Times New Roman" w:hAnsi="Times New Roman"/>
          <w:color w:val="000000"/>
        </w:rPr>
      </w:pPr>
      <w:r w:rsidRPr="00805600">
        <w:rPr>
          <w:rFonts w:ascii="Times New Roman" w:hAnsi="Times New Roman"/>
          <w:color w:val="000000"/>
        </w:rPr>
        <w:t>Report generation and transmission: 40 hours</w:t>
      </w:r>
    </w:p>
    <w:p w:rsidRPr="00805600" w:rsidR="009F1189" w:rsidP="009F1189" w:rsidRDefault="009F1189" w14:paraId="53DC7862" w14:textId="77777777">
      <w:pPr>
        <w:widowControl/>
        <w:numPr>
          <w:ilvl w:val="0"/>
          <w:numId w:val="14"/>
        </w:numPr>
        <w:rPr>
          <w:rFonts w:ascii="Times New Roman" w:hAnsi="Times New Roman"/>
          <w:color w:val="000000"/>
        </w:rPr>
      </w:pPr>
      <w:r w:rsidRPr="00805600">
        <w:rPr>
          <w:rFonts w:ascii="Times New Roman" w:hAnsi="Times New Roman"/>
          <w:color w:val="000000"/>
        </w:rPr>
        <w:t>Participant disclosure to states: 6,800 hours</w:t>
      </w:r>
    </w:p>
    <w:p w:rsidRPr="00805600" w:rsidR="009F1189" w:rsidP="009F1189" w:rsidRDefault="009F1189" w14:paraId="4C032689" w14:textId="77777777">
      <w:pPr>
        <w:widowControl/>
        <w:rPr>
          <w:rFonts w:ascii="Times New Roman" w:hAnsi="Times New Roman"/>
          <w:color w:val="000000"/>
        </w:rPr>
      </w:pPr>
      <w:r w:rsidRPr="00805600">
        <w:rPr>
          <w:rFonts w:ascii="Times New Roman" w:hAnsi="Times New Roman"/>
          <w:color w:val="000000"/>
        </w:rPr>
        <w:lastRenderedPageBreak/>
        <w:tab/>
      </w:r>
      <w:r w:rsidRPr="00805600">
        <w:rPr>
          <w:rFonts w:ascii="Times New Roman" w:hAnsi="Times New Roman"/>
          <w:color w:val="000000"/>
        </w:rPr>
        <w:tab/>
        <w:t>Total Federal Reporting Burden:    13,640 hours</w:t>
      </w:r>
    </w:p>
    <w:p w:rsidRPr="009F1189" w:rsidR="009F1189" w:rsidP="009F1189" w:rsidRDefault="009F1189" w14:paraId="2FEA34EE" w14:textId="77777777">
      <w:pPr>
        <w:widowControl/>
        <w:rPr>
          <w:rFonts w:ascii="Arial" w:hAnsi="Arial" w:cs="Arial"/>
          <w:b/>
          <w:bCs/>
          <w:sz w:val="22"/>
          <w:szCs w:val="22"/>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83"/>
        <w:gridCol w:w="1415"/>
        <w:gridCol w:w="1329"/>
        <w:gridCol w:w="1182"/>
        <w:gridCol w:w="998"/>
        <w:gridCol w:w="950"/>
        <w:gridCol w:w="889"/>
        <w:gridCol w:w="1316"/>
      </w:tblGrid>
      <w:tr w:rsidRPr="00E60FB0" w:rsidR="00572EA8" w:rsidTr="00A01A16" w14:paraId="2DF04903" w14:textId="77777777">
        <w:trPr>
          <w:trHeight w:val="890"/>
        </w:trPr>
        <w:tc>
          <w:tcPr>
            <w:tcW w:w="144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38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29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5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7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3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7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9A361E" w:rsidTr="00A01A16" w14:paraId="09169E28" w14:textId="77777777">
        <w:tc>
          <w:tcPr>
            <w:tcW w:w="1448" w:type="dxa"/>
            <w:tcBorders>
              <w:top w:val="single" w:color="auto" w:sz="4" w:space="0"/>
              <w:left w:val="single" w:color="auto" w:sz="4" w:space="0"/>
              <w:bottom w:val="single" w:color="auto" w:sz="4" w:space="0"/>
              <w:right w:val="single" w:color="auto" w:sz="4" w:space="0"/>
            </w:tcBorders>
            <w:vAlign w:val="bottom"/>
            <w:hideMark/>
          </w:tcPr>
          <w:p w:rsidRPr="00E60FB0" w:rsidR="006626FF" w:rsidRDefault="009F1189" w14:paraId="762DB321" w14:textId="699BF709">
            <w:pPr>
              <w:spacing w:line="276" w:lineRule="auto"/>
              <w:rPr>
                <w:rFonts w:ascii="Times New Roman" w:hAnsi="Times New Roman"/>
                <w:sz w:val="22"/>
                <w:szCs w:val="22"/>
              </w:rPr>
            </w:pPr>
            <w:r w:rsidRPr="009A4B9C">
              <w:rPr>
                <w:rFonts w:ascii="Arial" w:hAnsi="Arial" w:cs="Arial"/>
                <w:bCs/>
                <w:sz w:val="20"/>
                <w:szCs w:val="20"/>
              </w:rPr>
              <w:t>State Records on Participants</w:t>
            </w:r>
          </w:p>
        </w:tc>
        <w:tc>
          <w:tcPr>
            <w:tcW w:w="1383"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523DFE49" w14:textId="3A98967C">
            <w:pPr>
              <w:spacing w:line="276" w:lineRule="auto"/>
              <w:jc w:val="center"/>
              <w:rPr>
                <w:rFonts w:ascii="Times New Roman" w:hAnsi="Times New Roman"/>
                <w:sz w:val="22"/>
                <w:szCs w:val="22"/>
              </w:rPr>
            </w:pPr>
            <w:r>
              <w:rPr>
                <w:rFonts w:ascii="Times New Roman" w:hAnsi="Times New Roman"/>
                <w:sz w:val="22"/>
                <w:szCs w:val="22"/>
              </w:rPr>
              <w:t>5</w:t>
            </w:r>
          </w:p>
          <w:p w:rsidRPr="00E60FB0" w:rsidR="006626FF" w:rsidRDefault="006626FF" w14:paraId="2F5115C1" w14:textId="22EE46FD">
            <w:pPr>
              <w:spacing w:line="276" w:lineRule="auto"/>
              <w:jc w:val="center"/>
              <w:rPr>
                <w:rFonts w:ascii="Times New Roman" w:hAnsi="Times New Roman"/>
                <w:sz w:val="22"/>
                <w:szCs w:val="22"/>
              </w:rPr>
            </w:pPr>
          </w:p>
        </w:tc>
        <w:tc>
          <w:tcPr>
            <w:tcW w:w="1299"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54BC61C8" w14:textId="6AB53704">
            <w:pPr>
              <w:spacing w:line="276" w:lineRule="auto"/>
              <w:jc w:val="center"/>
              <w:rPr>
                <w:rFonts w:ascii="Times New Roman" w:hAnsi="Times New Roman"/>
                <w:sz w:val="22"/>
                <w:szCs w:val="22"/>
              </w:rPr>
            </w:pPr>
            <w:r>
              <w:rPr>
                <w:rFonts w:ascii="Times New Roman" w:hAnsi="Times New Roman"/>
                <w:sz w:val="22"/>
                <w:szCs w:val="22"/>
              </w:rPr>
              <w:t>2,720</w:t>
            </w:r>
          </w:p>
          <w:p w:rsidRPr="00E60FB0" w:rsidR="006626FF" w:rsidRDefault="006626FF" w14:paraId="5A00193C" w14:textId="77777777">
            <w:pPr>
              <w:spacing w:line="276" w:lineRule="auto"/>
              <w:jc w:val="center"/>
              <w:rPr>
                <w:rFonts w:ascii="Times New Roman" w:hAnsi="Times New Roman"/>
                <w:sz w:val="22"/>
                <w:szCs w:val="22"/>
              </w:rPr>
            </w:pPr>
          </w:p>
        </w:tc>
        <w:tc>
          <w:tcPr>
            <w:tcW w:w="1156"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50D4FBFF" w14:textId="127FF16B">
            <w:pPr>
              <w:spacing w:line="276" w:lineRule="auto"/>
              <w:jc w:val="center"/>
              <w:rPr>
                <w:rFonts w:ascii="Times New Roman" w:hAnsi="Times New Roman"/>
                <w:sz w:val="22"/>
                <w:szCs w:val="22"/>
              </w:rPr>
            </w:pPr>
            <w:r>
              <w:rPr>
                <w:rFonts w:ascii="Times New Roman" w:hAnsi="Times New Roman"/>
                <w:sz w:val="22"/>
                <w:szCs w:val="22"/>
              </w:rPr>
              <w:t>13,600</w:t>
            </w:r>
          </w:p>
          <w:p w:rsidRPr="00E60FB0" w:rsidR="006626FF" w:rsidRDefault="006626FF" w14:paraId="15D44061" w14:textId="77777777">
            <w:pPr>
              <w:spacing w:line="276" w:lineRule="auto"/>
              <w:jc w:val="center"/>
              <w:rPr>
                <w:rFonts w:ascii="Times New Roman" w:hAnsi="Times New Roman"/>
                <w:sz w:val="22"/>
                <w:szCs w:val="22"/>
              </w:rPr>
            </w:pPr>
          </w:p>
        </w:tc>
        <w:tc>
          <w:tcPr>
            <w:tcW w:w="977"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0AB67B72" w14:textId="43A8F78B">
            <w:pPr>
              <w:spacing w:line="276" w:lineRule="auto"/>
              <w:jc w:val="center"/>
              <w:rPr>
                <w:rFonts w:ascii="Times New Roman" w:hAnsi="Times New Roman"/>
                <w:sz w:val="22"/>
                <w:szCs w:val="22"/>
              </w:rPr>
            </w:pPr>
            <w:r>
              <w:rPr>
                <w:rFonts w:ascii="Times New Roman" w:hAnsi="Times New Roman"/>
                <w:sz w:val="22"/>
                <w:szCs w:val="22"/>
              </w:rPr>
              <w:t>0.5</w:t>
            </w:r>
          </w:p>
          <w:p w:rsidRPr="00E60FB0" w:rsidR="006626FF" w:rsidRDefault="006626FF" w14:paraId="15AA6C5B" w14:textId="77777777">
            <w:pPr>
              <w:spacing w:line="276" w:lineRule="auto"/>
              <w:jc w:val="center"/>
              <w:rPr>
                <w:rFonts w:ascii="Times New Roman" w:hAnsi="Times New Roman"/>
                <w:sz w:val="22"/>
                <w:szCs w:val="22"/>
              </w:rPr>
            </w:pPr>
          </w:p>
          <w:p w:rsidRPr="00E60FB0" w:rsidR="006626FF" w:rsidRDefault="006626FF" w14:paraId="460B8B6B" w14:textId="77777777">
            <w:pPr>
              <w:spacing w:line="276" w:lineRule="auto"/>
              <w:jc w:val="center"/>
              <w:rPr>
                <w:rFonts w:ascii="Times New Roman" w:hAnsi="Times New Roman"/>
                <w:sz w:val="22"/>
                <w:szCs w:val="22"/>
              </w:rPr>
            </w:pPr>
          </w:p>
        </w:tc>
        <w:tc>
          <w:tcPr>
            <w:tcW w:w="930"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43F04FBA" w14:textId="3BF1DCD5">
            <w:pPr>
              <w:spacing w:line="276" w:lineRule="auto"/>
              <w:jc w:val="center"/>
              <w:rPr>
                <w:rFonts w:ascii="Times New Roman" w:hAnsi="Times New Roman"/>
                <w:sz w:val="22"/>
                <w:szCs w:val="22"/>
              </w:rPr>
            </w:pPr>
            <w:r>
              <w:rPr>
                <w:rFonts w:ascii="Times New Roman" w:hAnsi="Times New Roman"/>
                <w:sz w:val="22"/>
                <w:szCs w:val="22"/>
              </w:rPr>
              <w:t>6,800</w:t>
            </w:r>
          </w:p>
          <w:p w:rsidRPr="00E60FB0" w:rsidR="006626FF" w:rsidRDefault="006626FF" w14:paraId="752F73D3" w14:textId="77777777">
            <w:pPr>
              <w:spacing w:line="276" w:lineRule="auto"/>
              <w:jc w:val="center"/>
              <w:rPr>
                <w:rFonts w:ascii="Times New Roman" w:hAnsi="Times New Roman"/>
                <w:sz w:val="22"/>
                <w:szCs w:val="22"/>
              </w:rPr>
            </w:pPr>
          </w:p>
        </w:tc>
        <w:tc>
          <w:tcPr>
            <w:tcW w:w="871"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387B5D04" w14:textId="1916B2D1">
            <w:pPr>
              <w:spacing w:line="276" w:lineRule="auto"/>
              <w:jc w:val="center"/>
              <w:rPr>
                <w:rFonts w:ascii="Times New Roman" w:hAnsi="Times New Roman"/>
                <w:sz w:val="22"/>
                <w:szCs w:val="22"/>
              </w:rPr>
            </w:pPr>
            <w:r>
              <w:rPr>
                <w:rFonts w:ascii="Times New Roman" w:hAnsi="Times New Roman"/>
                <w:sz w:val="22"/>
                <w:szCs w:val="22"/>
              </w:rPr>
              <w:t>$5</w:t>
            </w:r>
            <w:r w:rsidR="009A361E">
              <w:rPr>
                <w:rFonts w:ascii="Times New Roman" w:hAnsi="Times New Roman"/>
                <w:sz w:val="22"/>
                <w:szCs w:val="22"/>
              </w:rPr>
              <w:t>3.27</w:t>
            </w:r>
          </w:p>
          <w:p w:rsidRPr="00E60FB0" w:rsidR="006626FF" w:rsidRDefault="006626FF" w14:paraId="6FAC2390" w14:textId="77777777">
            <w:pPr>
              <w:spacing w:line="276" w:lineRule="auto"/>
              <w:jc w:val="center"/>
              <w:rPr>
                <w:rFonts w:ascii="Times New Roman" w:hAnsi="Times New Roman"/>
                <w:sz w:val="22"/>
                <w:szCs w:val="22"/>
              </w:rPr>
            </w:pPr>
          </w:p>
        </w:tc>
        <w:tc>
          <w:tcPr>
            <w:tcW w:w="1471" w:type="dxa"/>
            <w:tcBorders>
              <w:top w:val="single" w:color="auto" w:sz="4" w:space="0"/>
              <w:left w:val="single" w:color="auto" w:sz="4" w:space="0"/>
              <w:bottom w:val="single" w:color="auto" w:sz="4" w:space="0"/>
              <w:right w:val="single" w:color="auto" w:sz="4" w:space="0"/>
            </w:tcBorders>
            <w:vAlign w:val="center"/>
          </w:tcPr>
          <w:p w:rsidRPr="00E60FB0" w:rsidR="006626FF" w:rsidRDefault="009F1189" w14:paraId="39DD4599" w14:textId="16D6B40D">
            <w:pPr>
              <w:spacing w:line="276" w:lineRule="auto"/>
              <w:jc w:val="center"/>
              <w:rPr>
                <w:rFonts w:ascii="Times New Roman" w:hAnsi="Times New Roman"/>
                <w:sz w:val="22"/>
                <w:szCs w:val="22"/>
              </w:rPr>
            </w:pPr>
            <w:r>
              <w:rPr>
                <w:rFonts w:ascii="Times New Roman" w:hAnsi="Times New Roman"/>
                <w:sz w:val="22"/>
                <w:szCs w:val="22"/>
              </w:rPr>
              <w:t>$3</w:t>
            </w:r>
            <w:r w:rsidR="009A361E">
              <w:rPr>
                <w:rFonts w:ascii="Times New Roman" w:hAnsi="Times New Roman"/>
                <w:sz w:val="22"/>
                <w:szCs w:val="22"/>
              </w:rPr>
              <w:t>62,236</w:t>
            </w:r>
          </w:p>
          <w:p w:rsidRPr="00E60FB0" w:rsidR="006626FF" w:rsidRDefault="006626FF" w14:paraId="78C3C2D7" w14:textId="77777777">
            <w:pPr>
              <w:spacing w:line="276" w:lineRule="auto"/>
              <w:jc w:val="center"/>
              <w:rPr>
                <w:rFonts w:ascii="Times New Roman" w:hAnsi="Times New Roman"/>
                <w:sz w:val="22"/>
                <w:szCs w:val="22"/>
              </w:rPr>
            </w:pPr>
          </w:p>
        </w:tc>
      </w:tr>
      <w:tr w:rsidRPr="00E60FB0" w:rsidR="009A361E" w:rsidTr="00A01A16" w14:paraId="6FC7C7F6" w14:textId="77777777">
        <w:tc>
          <w:tcPr>
            <w:tcW w:w="1448" w:type="dxa"/>
            <w:tcBorders>
              <w:top w:val="single" w:color="auto" w:sz="4" w:space="0"/>
              <w:left w:val="single" w:color="auto" w:sz="4" w:space="0"/>
              <w:bottom w:val="single" w:color="auto" w:sz="4" w:space="0"/>
              <w:right w:val="single" w:color="auto" w:sz="4" w:space="0"/>
            </w:tcBorders>
            <w:vAlign w:val="bottom"/>
          </w:tcPr>
          <w:p w:rsidRPr="009A4B9C" w:rsidR="009F1189" w:rsidRDefault="009F1189" w14:paraId="6EE4BA51" w14:textId="190BB869">
            <w:pPr>
              <w:spacing w:line="276" w:lineRule="auto"/>
              <w:rPr>
                <w:rFonts w:ascii="Arial" w:hAnsi="Arial" w:cs="Arial"/>
                <w:bCs/>
                <w:sz w:val="20"/>
                <w:szCs w:val="20"/>
              </w:rPr>
            </w:pPr>
            <w:r w:rsidRPr="009F1189">
              <w:rPr>
                <w:rFonts w:ascii="Arial" w:hAnsi="Arial" w:cs="Arial"/>
                <w:bCs/>
                <w:sz w:val="20"/>
                <w:szCs w:val="20"/>
              </w:rPr>
              <w:t>State Reporting</w:t>
            </w:r>
          </w:p>
        </w:tc>
        <w:tc>
          <w:tcPr>
            <w:tcW w:w="1383" w:type="dxa"/>
            <w:tcBorders>
              <w:top w:val="single" w:color="auto" w:sz="4" w:space="0"/>
              <w:left w:val="single" w:color="auto" w:sz="4" w:space="0"/>
              <w:bottom w:val="single" w:color="auto" w:sz="4" w:space="0"/>
              <w:right w:val="single" w:color="auto" w:sz="4" w:space="0"/>
            </w:tcBorders>
            <w:vAlign w:val="center"/>
          </w:tcPr>
          <w:p w:rsidR="009F1189" w:rsidRDefault="009F1189" w14:paraId="57CCA717" w14:textId="3CF98466">
            <w:pPr>
              <w:spacing w:line="276" w:lineRule="auto"/>
              <w:jc w:val="center"/>
              <w:rPr>
                <w:rFonts w:ascii="Times New Roman" w:hAnsi="Times New Roman"/>
                <w:sz w:val="22"/>
                <w:szCs w:val="22"/>
              </w:rPr>
            </w:pPr>
            <w:r>
              <w:rPr>
                <w:rFonts w:ascii="Times New Roman" w:hAnsi="Times New Roman"/>
                <w:sz w:val="22"/>
                <w:szCs w:val="22"/>
              </w:rPr>
              <w:t>5</w:t>
            </w:r>
          </w:p>
        </w:tc>
        <w:tc>
          <w:tcPr>
            <w:tcW w:w="1299" w:type="dxa"/>
            <w:tcBorders>
              <w:top w:val="single" w:color="auto" w:sz="4" w:space="0"/>
              <w:left w:val="single" w:color="auto" w:sz="4" w:space="0"/>
              <w:bottom w:val="single" w:color="auto" w:sz="4" w:space="0"/>
              <w:right w:val="single" w:color="auto" w:sz="4" w:space="0"/>
            </w:tcBorders>
            <w:vAlign w:val="center"/>
          </w:tcPr>
          <w:p w:rsidR="009F1189" w:rsidRDefault="009F1189" w14:paraId="61330C53" w14:textId="4581DC59">
            <w:pPr>
              <w:spacing w:line="276" w:lineRule="auto"/>
              <w:jc w:val="center"/>
              <w:rPr>
                <w:rFonts w:ascii="Times New Roman" w:hAnsi="Times New Roman"/>
                <w:sz w:val="22"/>
                <w:szCs w:val="22"/>
              </w:rPr>
            </w:pPr>
            <w:r>
              <w:rPr>
                <w:rFonts w:ascii="Times New Roman" w:hAnsi="Times New Roman"/>
                <w:sz w:val="22"/>
                <w:szCs w:val="22"/>
              </w:rPr>
              <w:t>4</w:t>
            </w:r>
          </w:p>
        </w:tc>
        <w:tc>
          <w:tcPr>
            <w:tcW w:w="1156" w:type="dxa"/>
            <w:tcBorders>
              <w:top w:val="single" w:color="auto" w:sz="4" w:space="0"/>
              <w:left w:val="single" w:color="auto" w:sz="4" w:space="0"/>
              <w:bottom w:val="single" w:color="auto" w:sz="4" w:space="0"/>
              <w:right w:val="single" w:color="auto" w:sz="4" w:space="0"/>
            </w:tcBorders>
            <w:vAlign w:val="center"/>
          </w:tcPr>
          <w:p w:rsidR="009F1189" w:rsidRDefault="009F1189" w14:paraId="7E6CA65D" w14:textId="03726F70">
            <w:pPr>
              <w:spacing w:line="276" w:lineRule="auto"/>
              <w:jc w:val="center"/>
              <w:rPr>
                <w:rFonts w:ascii="Times New Roman" w:hAnsi="Times New Roman"/>
                <w:sz w:val="22"/>
                <w:szCs w:val="22"/>
              </w:rPr>
            </w:pPr>
            <w:r>
              <w:rPr>
                <w:rFonts w:ascii="Times New Roman" w:hAnsi="Times New Roman"/>
                <w:sz w:val="22"/>
                <w:szCs w:val="22"/>
              </w:rPr>
              <w:t>20</w:t>
            </w:r>
          </w:p>
        </w:tc>
        <w:tc>
          <w:tcPr>
            <w:tcW w:w="977" w:type="dxa"/>
            <w:tcBorders>
              <w:top w:val="single" w:color="auto" w:sz="4" w:space="0"/>
              <w:left w:val="single" w:color="auto" w:sz="4" w:space="0"/>
              <w:bottom w:val="single" w:color="auto" w:sz="4" w:space="0"/>
              <w:right w:val="single" w:color="auto" w:sz="4" w:space="0"/>
            </w:tcBorders>
            <w:vAlign w:val="center"/>
          </w:tcPr>
          <w:p w:rsidR="009F1189" w:rsidRDefault="009F1189" w14:paraId="2937324D" w14:textId="6D4BEEEC">
            <w:pPr>
              <w:spacing w:line="276" w:lineRule="auto"/>
              <w:jc w:val="center"/>
              <w:rPr>
                <w:rFonts w:ascii="Times New Roman" w:hAnsi="Times New Roman"/>
                <w:sz w:val="22"/>
                <w:szCs w:val="22"/>
              </w:rPr>
            </w:pPr>
            <w:r>
              <w:rPr>
                <w:rFonts w:ascii="Times New Roman" w:hAnsi="Times New Roman"/>
                <w:sz w:val="22"/>
                <w:szCs w:val="22"/>
              </w:rPr>
              <w:t>2.0</w:t>
            </w:r>
          </w:p>
        </w:tc>
        <w:tc>
          <w:tcPr>
            <w:tcW w:w="930" w:type="dxa"/>
            <w:tcBorders>
              <w:top w:val="single" w:color="auto" w:sz="4" w:space="0"/>
              <w:left w:val="single" w:color="auto" w:sz="4" w:space="0"/>
              <w:bottom w:val="single" w:color="auto" w:sz="4" w:space="0"/>
              <w:right w:val="single" w:color="auto" w:sz="4" w:space="0"/>
            </w:tcBorders>
            <w:vAlign w:val="center"/>
          </w:tcPr>
          <w:p w:rsidR="009F1189" w:rsidRDefault="00C95E42" w14:paraId="459178D5" w14:textId="00C24C14">
            <w:pPr>
              <w:spacing w:line="276" w:lineRule="auto"/>
              <w:jc w:val="center"/>
              <w:rPr>
                <w:rFonts w:ascii="Times New Roman" w:hAnsi="Times New Roman"/>
                <w:sz w:val="22"/>
                <w:szCs w:val="22"/>
              </w:rPr>
            </w:pPr>
            <w:r>
              <w:rPr>
                <w:rFonts w:ascii="Times New Roman" w:hAnsi="Times New Roman"/>
                <w:sz w:val="22"/>
                <w:szCs w:val="22"/>
              </w:rPr>
              <w:t>40</w:t>
            </w:r>
          </w:p>
        </w:tc>
        <w:tc>
          <w:tcPr>
            <w:tcW w:w="871" w:type="dxa"/>
            <w:tcBorders>
              <w:top w:val="single" w:color="auto" w:sz="4" w:space="0"/>
              <w:left w:val="single" w:color="auto" w:sz="4" w:space="0"/>
              <w:bottom w:val="single" w:color="auto" w:sz="4" w:space="0"/>
              <w:right w:val="single" w:color="auto" w:sz="4" w:space="0"/>
            </w:tcBorders>
            <w:vAlign w:val="center"/>
          </w:tcPr>
          <w:p w:rsidR="009F1189" w:rsidRDefault="00C95E42" w14:paraId="78D55A71" w14:textId="45C60C12">
            <w:pPr>
              <w:spacing w:line="276" w:lineRule="auto"/>
              <w:jc w:val="center"/>
              <w:rPr>
                <w:rFonts w:ascii="Times New Roman" w:hAnsi="Times New Roman"/>
                <w:sz w:val="22"/>
                <w:szCs w:val="22"/>
              </w:rPr>
            </w:pPr>
            <w:r>
              <w:rPr>
                <w:rFonts w:ascii="Times New Roman" w:hAnsi="Times New Roman"/>
                <w:sz w:val="22"/>
                <w:szCs w:val="22"/>
              </w:rPr>
              <w:t>$5</w:t>
            </w:r>
            <w:r w:rsidR="009A361E">
              <w:rPr>
                <w:rFonts w:ascii="Times New Roman" w:hAnsi="Times New Roman"/>
                <w:sz w:val="22"/>
                <w:szCs w:val="22"/>
              </w:rPr>
              <w:t>3.27</w:t>
            </w:r>
          </w:p>
        </w:tc>
        <w:tc>
          <w:tcPr>
            <w:tcW w:w="1471" w:type="dxa"/>
            <w:tcBorders>
              <w:top w:val="single" w:color="auto" w:sz="4" w:space="0"/>
              <w:left w:val="single" w:color="auto" w:sz="4" w:space="0"/>
              <w:bottom w:val="single" w:color="auto" w:sz="4" w:space="0"/>
              <w:right w:val="single" w:color="auto" w:sz="4" w:space="0"/>
            </w:tcBorders>
            <w:vAlign w:val="center"/>
          </w:tcPr>
          <w:p w:rsidR="009F1189" w:rsidRDefault="00C95E42" w14:paraId="2BFBA3CD" w14:textId="59C9F4F7">
            <w:pPr>
              <w:spacing w:line="276" w:lineRule="auto"/>
              <w:jc w:val="center"/>
              <w:rPr>
                <w:rFonts w:ascii="Times New Roman" w:hAnsi="Times New Roman"/>
                <w:sz w:val="22"/>
                <w:szCs w:val="22"/>
              </w:rPr>
            </w:pPr>
            <w:r>
              <w:rPr>
                <w:rFonts w:ascii="Times New Roman" w:hAnsi="Times New Roman"/>
                <w:sz w:val="22"/>
                <w:szCs w:val="22"/>
              </w:rPr>
              <w:t>$2,</w:t>
            </w:r>
            <w:r w:rsidR="009A361E">
              <w:rPr>
                <w:rFonts w:ascii="Times New Roman" w:hAnsi="Times New Roman"/>
                <w:sz w:val="22"/>
                <w:szCs w:val="22"/>
              </w:rPr>
              <w:t>13</w:t>
            </w:r>
            <w:r w:rsidR="00572EA8">
              <w:rPr>
                <w:rFonts w:ascii="Times New Roman" w:hAnsi="Times New Roman"/>
                <w:sz w:val="22"/>
                <w:szCs w:val="22"/>
              </w:rPr>
              <w:t>0</w:t>
            </w:r>
            <w:r w:rsidR="009A361E">
              <w:rPr>
                <w:rFonts w:ascii="Times New Roman" w:hAnsi="Times New Roman"/>
                <w:sz w:val="22"/>
                <w:szCs w:val="22"/>
              </w:rPr>
              <w:t>.80</w:t>
            </w:r>
          </w:p>
        </w:tc>
      </w:tr>
      <w:tr w:rsidRPr="00E60FB0" w:rsidR="009A361E" w:rsidTr="00A01A16" w14:paraId="339CA696" w14:textId="77777777">
        <w:tc>
          <w:tcPr>
            <w:tcW w:w="1448" w:type="dxa"/>
            <w:tcBorders>
              <w:top w:val="single" w:color="auto" w:sz="4" w:space="0"/>
              <w:left w:val="single" w:color="auto" w:sz="4" w:space="0"/>
              <w:bottom w:val="single" w:color="auto" w:sz="4" w:space="0"/>
              <w:right w:val="single" w:color="auto" w:sz="4" w:space="0"/>
            </w:tcBorders>
            <w:vAlign w:val="bottom"/>
          </w:tcPr>
          <w:p w:rsidRPr="009F1189" w:rsidR="00C95E42" w:rsidRDefault="00C95E42" w14:paraId="502E8E13" w14:textId="3F912DE3">
            <w:pPr>
              <w:spacing w:line="276" w:lineRule="auto"/>
              <w:rPr>
                <w:rFonts w:ascii="Arial" w:hAnsi="Arial" w:cs="Arial"/>
                <w:bCs/>
                <w:sz w:val="20"/>
                <w:szCs w:val="20"/>
              </w:rPr>
            </w:pPr>
            <w:r w:rsidRPr="009A4B9C">
              <w:rPr>
                <w:rFonts w:ascii="Arial" w:hAnsi="Arial" w:cs="Arial"/>
                <w:bCs/>
                <w:sz w:val="20"/>
                <w:szCs w:val="20"/>
              </w:rPr>
              <w:t>Participant Disclosures to States</w:t>
            </w:r>
          </w:p>
        </w:tc>
        <w:tc>
          <w:tcPr>
            <w:tcW w:w="1383" w:type="dxa"/>
            <w:tcBorders>
              <w:top w:val="single" w:color="auto" w:sz="4" w:space="0"/>
              <w:left w:val="single" w:color="auto" w:sz="4" w:space="0"/>
              <w:bottom w:val="single" w:color="auto" w:sz="4" w:space="0"/>
              <w:right w:val="single" w:color="auto" w:sz="4" w:space="0"/>
            </w:tcBorders>
            <w:vAlign w:val="center"/>
          </w:tcPr>
          <w:p w:rsidR="00C95E42" w:rsidRDefault="00C95E42" w14:paraId="250D5601" w14:textId="535C8123">
            <w:pPr>
              <w:spacing w:line="276" w:lineRule="auto"/>
              <w:jc w:val="center"/>
              <w:rPr>
                <w:rFonts w:ascii="Times New Roman" w:hAnsi="Times New Roman"/>
                <w:sz w:val="22"/>
                <w:szCs w:val="22"/>
              </w:rPr>
            </w:pPr>
            <w:r>
              <w:rPr>
                <w:rFonts w:ascii="Times New Roman" w:hAnsi="Times New Roman"/>
                <w:sz w:val="22"/>
                <w:szCs w:val="22"/>
              </w:rPr>
              <w:t>3,400</w:t>
            </w:r>
          </w:p>
        </w:tc>
        <w:tc>
          <w:tcPr>
            <w:tcW w:w="1299" w:type="dxa"/>
            <w:tcBorders>
              <w:top w:val="single" w:color="auto" w:sz="4" w:space="0"/>
              <w:left w:val="single" w:color="auto" w:sz="4" w:space="0"/>
              <w:bottom w:val="single" w:color="auto" w:sz="4" w:space="0"/>
              <w:right w:val="single" w:color="auto" w:sz="4" w:space="0"/>
            </w:tcBorders>
            <w:vAlign w:val="center"/>
          </w:tcPr>
          <w:p w:rsidR="00C95E42" w:rsidRDefault="00C95E42" w14:paraId="0BA93BCF" w14:textId="0119A138">
            <w:pPr>
              <w:spacing w:line="276" w:lineRule="auto"/>
              <w:jc w:val="center"/>
              <w:rPr>
                <w:rFonts w:ascii="Times New Roman" w:hAnsi="Times New Roman"/>
                <w:sz w:val="22"/>
                <w:szCs w:val="22"/>
              </w:rPr>
            </w:pPr>
            <w:r>
              <w:rPr>
                <w:rFonts w:ascii="Times New Roman" w:hAnsi="Times New Roman"/>
                <w:sz w:val="22"/>
                <w:szCs w:val="22"/>
              </w:rPr>
              <w:t>4</w:t>
            </w:r>
          </w:p>
        </w:tc>
        <w:tc>
          <w:tcPr>
            <w:tcW w:w="1156" w:type="dxa"/>
            <w:tcBorders>
              <w:top w:val="single" w:color="auto" w:sz="4" w:space="0"/>
              <w:left w:val="single" w:color="auto" w:sz="4" w:space="0"/>
              <w:bottom w:val="single" w:color="auto" w:sz="4" w:space="0"/>
              <w:right w:val="single" w:color="auto" w:sz="4" w:space="0"/>
            </w:tcBorders>
            <w:vAlign w:val="center"/>
          </w:tcPr>
          <w:p w:rsidR="00C95E42" w:rsidRDefault="00C95E42" w14:paraId="766826B3" w14:textId="5855EF62">
            <w:pPr>
              <w:spacing w:line="276" w:lineRule="auto"/>
              <w:jc w:val="center"/>
              <w:rPr>
                <w:rFonts w:ascii="Times New Roman" w:hAnsi="Times New Roman"/>
                <w:sz w:val="22"/>
                <w:szCs w:val="22"/>
              </w:rPr>
            </w:pPr>
            <w:r>
              <w:rPr>
                <w:rFonts w:ascii="Times New Roman" w:hAnsi="Times New Roman"/>
                <w:sz w:val="22"/>
                <w:szCs w:val="22"/>
              </w:rPr>
              <w:t>13,600</w:t>
            </w:r>
          </w:p>
        </w:tc>
        <w:tc>
          <w:tcPr>
            <w:tcW w:w="977" w:type="dxa"/>
            <w:tcBorders>
              <w:top w:val="single" w:color="auto" w:sz="4" w:space="0"/>
              <w:left w:val="single" w:color="auto" w:sz="4" w:space="0"/>
              <w:bottom w:val="single" w:color="auto" w:sz="4" w:space="0"/>
              <w:right w:val="single" w:color="auto" w:sz="4" w:space="0"/>
            </w:tcBorders>
            <w:vAlign w:val="center"/>
          </w:tcPr>
          <w:p w:rsidR="00C95E42" w:rsidRDefault="00C95E42" w14:paraId="14A18B34" w14:textId="0068FADF">
            <w:pPr>
              <w:spacing w:line="276" w:lineRule="auto"/>
              <w:jc w:val="center"/>
              <w:rPr>
                <w:rFonts w:ascii="Times New Roman" w:hAnsi="Times New Roman"/>
                <w:sz w:val="22"/>
                <w:szCs w:val="22"/>
              </w:rPr>
            </w:pPr>
            <w:r>
              <w:rPr>
                <w:rFonts w:ascii="Times New Roman" w:hAnsi="Times New Roman"/>
                <w:sz w:val="22"/>
                <w:szCs w:val="22"/>
              </w:rPr>
              <w:t>0.5</w:t>
            </w:r>
          </w:p>
        </w:tc>
        <w:tc>
          <w:tcPr>
            <w:tcW w:w="930" w:type="dxa"/>
            <w:tcBorders>
              <w:top w:val="single" w:color="auto" w:sz="4" w:space="0"/>
              <w:left w:val="single" w:color="auto" w:sz="4" w:space="0"/>
              <w:bottom w:val="single" w:color="auto" w:sz="4" w:space="0"/>
              <w:right w:val="single" w:color="auto" w:sz="4" w:space="0"/>
            </w:tcBorders>
            <w:vAlign w:val="center"/>
          </w:tcPr>
          <w:p w:rsidR="00C95E42" w:rsidRDefault="00C95E42" w14:paraId="14660C35" w14:textId="26F162CB">
            <w:pPr>
              <w:spacing w:line="276" w:lineRule="auto"/>
              <w:jc w:val="center"/>
              <w:rPr>
                <w:rFonts w:ascii="Times New Roman" w:hAnsi="Times New Roman"/>
                <w:sz w:val="22"/>
                <w:szCs w:val="22"/>
              </w:rPr>
            </w:pPr>
            <w:r>
              <w:rPr>
                <w:rFonts w:ascii="Times New Roman" w:hAnsi="Times New Roman"/>
                <w:sz w:val="22"/>
                <w:szCs w:val="22"/>
              </w:rPr>
              <w:t>6,800</w:t>
            </w:r>
          </w:p>
        </w:tc>
        <w:tc>
          <w:tcPr>
            <w:tcW w:w="871" w:type="dxa"/>
            <w:tcBorders>
              <w:top w:val="single" w:color="auto" w:sz="4" w:space="0"/>
              <w:left w:val="single" w:color="auto" w:sz="4" w:space="0"/>
              <w:bottom w:val="single" w:color="auto" w:sz="4" w:space="0"/>
              <w:right w:val="single" w:color="auto" w:sz="4" w:space="0"/>
            </w:tcBorders>
            <w:vAlign w:val="center"/>
          </w:tcPr>
          <w:p w:rsidR="00C95E42" w:rsidP="00572EA8" w:rsidRDefault="00C95E42" w14:paraId="29EEF737" w14:textId="33C78D2F">
            <w:pPr>
              <w:spacing w:line="276" w:lineRule="auto"/>
              <w:jc w:val="center"/>
              <w:rPr>
                <w:rFonts w:ascii="Times New Roman" w:hAnsi="Times New Roman"/>
                <w:sz w:val="22"/>
                <w:szCs w:val="22"/>
              </w:rPr>
            </w:pPr>
            <w:r>
              <w:rPr>
                <w:rFonts w:ascii="Times New Roman" w:hAnsi="Times New Roman"/>
                <w:sz w:val="22"/>
                <w:szCs w:val="22"/>
              </w:rPr>
              <w:t>$</w:t>
            </w:r>
            <w:r w:rsidR="00572EA8">
              <w:rPr>
                <w:rFonts w:ascii="Times New Roman" w:hAnsi="Times New Roman"/>
                <w:sz w:val="22"/>
                <w:szCs w:val="22"/>
              </w:rPr>
              <w:t>43.19</w:t>
            </w:r>
          </w:p>
        </w:tc>
        <w:tc>
          <w:tcPr>
            <w:tcW w:w="1471" w:type="dxa"/>
            <w:tcBorders>
              <w:top w:val="single" w:color="auto" w:sz="4" w:space="0"/>
              <w:left w:val="single" w:color="auto" w:sz="4" w:space="0"/>
              <w:bottom w:val="single" w:color="auto" w:sz="4" w:space="0"/>
              <w:right w:val="single" w:color="auto" w:sz="4" w:space="0"/>
            </w:tcBorders>
            <w:vAlign w:val="center"/>
          </w:tcPr>
          <w:p w:rsidR="00C95E42" w:rsidP="00572EA8" w:rsidRDefault="00C95E42" w14:paraId="4F8EC807" w14:textId="09801BAB">
            <w:pPr>
              <w:spacing w:line="276" w:lineRule="auto"/>
              <w:jc w:val="center"/>
              <w:rPr>
                <w:rFonts w:ascii="Times New Roman" w:hAnsi="Times New Roman"/>
                <w:sz w:val="22"/>
                <w:szCs w:val="22"/>
              </w:rPr>
            </w:pPr>
            <w:r>
              <w:rPr>
                <w:rFonts w:ascii="Times New Roman" w:hAnsi="Times New Roman"/>
                <w:sz w:val="22"/>
                <w:szCs w:val="22"/>
              </w:rPr>
              <w:t>$</w:t>
            </w:r>
            <w:r w:rsidR="00572EA8">
              <w:rPr>
                <w:rFonts w:ascii="Times New Roman" w:hAnsi="Times New Roman"/>
                <w:sz w:val="22"/>
                <w:szCs w:val="22"/>
              </w:rPr>
              <w:t>293,692</w:t>
            </w:r>
          </w:p>
        </w:tc>
      </w:tr>
      <w:tr w:rsidRPr="00E60FB0" w:rsidR="009A361E" w:rsidTr="00A01A16" w14:paraId="659BBB43" w14:textId="77777777">
        <w:tc>
          <w:tcPr>
            <w:tcW w:w="1448" w:type="dxa"/>
            <w:tcBorders>
              <w:top w:val="single" w:color="auto" w:sz="4" w:space="0"/>
              <w:left w:val="single" w:color="auto" w:sz="4" w:space="0"/>
              <w:bottom w:val="single" w:color="auto" w:sz="4" w:space="0"/>
              <w:right w:val="single" w:color="auto" w:sz="4" w:space="0"/>
            </w:tcBorders>
            <w:vAlign w:val="bottom"/>
          </w:tcPr>
          <w:p w:rsidRPr="00C95E42" w:rsidR="00C95E42" w:rsidRDefault="00C95E42" w14:paraId="27F8CB94" w14:textId="3BE02C4A">
            <w:pPr>
              <w:spacing w:line="276" w:lineRule="auto"/>
              <w:rPr>
                <w:rFonts w:ascii="Arial" w:hAnsi="Arial" w:cs="Arial"/>
                <w:b/>
                <w:bCs/>
                <w:sz w:val="20"/>
                <w:szCs w:val="20"/>
              </w:rPr>
            </w:pPr>
            <w:r w:rsidRPr="00C95E42">
              <w:rPr>
                <w:rFonts w:ascii="Arial" w:hAnsi="Arial" w:cs="Arial"/>
                <w:b/>
                <w:bCs/>
                <w:i/>
                <w:sz w:val="20"/>
                <w:szCs w:val="20"/>
              </w:rPr>
              <w:t>Unduplicated Totals</w:t>
            </w:r>
          </w:p>
        </w:tc>
        <w:tc>
          <w:tcPr>
            <w:tcW w:w="1383"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0EA6A843" w14:textId="793B49A0">
            <w:pPr>
              <w:spacing w:line="276" w:lineRule="auto"/>
              <w:jc w:val="center"/>
              <w:rPr>
                <w:rFonts w:ascii="Times New Roman" w:hAnsi="Times New Roman"/>
                <w:b/>
                <w:sz w:val="22"/>
                <w:szCs w:val="22"/>
              </w:rPr>
            </w:pPr>
            <w:r w:rsidRPr="00C95E42">
              <w:rPr>
                <w:rFonts w:ascii="Times New Roman" w:hAnsi="Times New Roman"/>
                <w:b/>
                <w:sz w:val="22"/>
                <w:szCs w:val="22"/>
              </w:rPr>
              <w:t>3,405</w:t>
            </w:r>
          </w:p>
        </w:tc>
        <w:tc>
          <w:tcPr>
            <w:tcW w:w="1299"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2A91CE5C" w14:textId="2C67F249">
            <w:pPr>
              <w:spacing w:line="276" w:lineRule="auto"/>
              <w:jc w:val="center"/>
              <w:rPr>
                <w:rFonts w:ascii="Times New Roman" w:hAnsi="Times New Roman"/>
                <w:b/>
                <w:sz w:val="22"/>
                <w:szCs w:val="22"/>
              </w:rPr>
            </w:pPr>
            <w:r w:rsidRPr="00C95E42">
              <w:rPr>
                <w:rFonts w:ascii="Times New Roman" w:hAnsi="Times New Roman"/>
                <w:b/>
                <w:sz w:val="22"/>
                <w:szCs w:val="22"/>
              </w:rPr>
              <w:t>Varies</w:t>
            </w:r>
          </w:p>
        </w:tc>
        <w:tc>
          <w:tcPr>
            <w:tcW w:w="1156"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36A665DB" w14:textId="378195EC">
            <w:pPr>
              <w:spacing w:line="276" w:lineRule="auto"/>
              <w:jc w:val="center"/>
              <w:rPr>
                <w:rFonts w:ascii="Times New Roman" w:hAnsi="Times New Roman"/>
                <w:b/>
                <w:sz w:val="22"/>
                <w:szCs w:val="22"/>
              </w:rPr>
            </w:pPr>
            <w:r w:rsidRPr="00C95E42">
              <w:rPr>
                <w:rFonts w:ascii="Times New Roman" w:hAnsi="Times New Roman"/>
                <w:b/>
                <w:sz w:val="22"/>
                <w:szCs w:val="22"/>
              </w:rPr>
              <w:t>27,220</w:t>
            </w:r>
          </w:p>
        </w:tc>
        <w:tc>
          <w:tcPr>
            <w:tcW w:w="977"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289E5282" w14:textId="593CF408">
            <w:pPr>
              <w:spacing w:line="276" w:lineRule="auto"/>
              <w:jc w:val="center"/>
              <w:rPr>
                <w:rFonts w:ascii="Times New Roman" w:hAnsi="Times New Roman"/>
                <w:b/>
                <w:sz w:val="22"/>
                <w:szCs w:val="22"/>
              </w:rPr>
            </w:pPr>
            <w:r w:rsidRPr="00C95E42">
              <w:rPr>
                <w:rFonts w:ascii="Times New Roman" w:hAnsi="Times New Roman"/>
                <w:b/>
                <w:sz w:val="22"/>
                <w:szCs w:val="22"/>
              </w:rPr>
              <w:t>Varies</w:t>
            </w:r>
          </w:p>
        </w:tc>
        <w:tc>
          <w:tcPr>
            <w:tcW w:w="930"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5CD017CC" w14:textId="5E4A5396">
            <w:pPr>
              <w:spacing w:line="276" w:lineRule="auto"/>
              <w:jc w:val="center"/>
              <w:rPr>
                <w:rFonts w:ascii="Times New Roman" w:hAnsi="Times New Roman"/>
                <w:b/>
                <w:sz w:val="22"/>
                <w:szCs w:val="22"/>
              </w:rPr>
            </w:pPr>
            <w:r w:rsidRPr="00C95E42">
              <w:rPr>
                <w:rFonts w:ascii="Times New Roman" w:hAnsi="Times New Roman"/>
                <w:b/>
                <w:sz w:val="22"/>
                <w:szCs w:val="22"/>
              </w:rPr>
              <w:t>13,640</w:t>
            </w:r>
          </w:p>
        </w:tc>
        <w:tc>
          <w:tcPr>
            <w:tcW w:w="871" w:type="dxa"/>
            <w:tcBorders>
              <w:top w:val="single" w:color="auto" w:sz="4" w:space="0"/>
              <w:left w:val="single" w:color="auto" w:sz="4" w:space="0"/>
              <w:bottom w:val="single" w:color="auto" w:sz="4" w:space="0"/>
              <w:right w:val="single" w:color="auto" w:sz="4" w:space="0"/>
            </w:tcBorders>
            <w:vAlign w:val="center"/>
          </w:tcPr>
          <w:p w:rsidRPr="00C95E42" w:rsidR="00C95E42" w:rsidRDefault="00C95E42" w14:paraId="362DCD65" w14:textId="77777777">
            <w:pPr>
              <w:spacing w:line="276" w:lineRule="auto"/>
              <w:jc w:val="center"/>
              <w:rPr>
                <w:rFonts w:ascii="Times New Roman" w:hAnsi="Times New Roman"/>
                <w:b/>
                <w:sz w:val="22"/>
                <w:szCs w:val="22"/>
              </w:rPr>
            </w:pPr>
          </w:p>
        </w:tc>
        <w:tc>
          <w:tcPr>
            <w:tcW w:w="1471" w:type="dxa"/>
            <w:tcBorders>
              <w:top w:val="single" w:color="auto" w:sz="4" w:space="0"/>
              <w:left w:val="single" w:color="auto" w:sz="4" w:space="0"/>
              <w:bottom w:val="single" w:color="auto" w:sz="4" w:space="0"/>
              <w:right w:val="single" w:color="auto" w:sz="4" w:space="0"/>
            </w:tcBorders>
            <w:vAlign w:val="center"/>
          </w:tcPr>
          <w:p w:rsidRPr="00C95E42" w:rsidR="00C95E42" w:rsidP="00572EA8" w:rsidRDefault="00C95E42" w14:paraId="162D5ED4" w14:textId="12B22F90">
            <w:pPr>
              <w:spacing w:line="276" w:lineRule="auto"/>
              <w:jc w:val="center"/>
              <w:rPr>
                <w:rFonts w:ascii="Times New Roman" w:hAnsi="Times New Roman"/>
                <w:b/>
                <w:sz w:val="22"/>
                <w:szCs w:val="22"/>
              </w:rPr>
            </w:pPr>
            <w:r w:rsidRPr="00C95E42">
              <w:rPr>
                <w:rFonts w:ascii="Times New Roman" w:hAnsi="Times New Roman"/>
                <w:b/>
                <w:sz w:val="22"/>
                <w:szCs w:val="22"/>
              </w:rPr>
              <w:t>$</w:t>
            </w:r>
            <w:r w:rsidR="00572EA8">
              <w:rPr>
                <w:rFonts w:ascii="Times New Roman" w:hAnsi="Times New Roman"/>
                <w:b/>
                <w:sz w:val="22"/>
                <w:szCs w:val="22"/>
              </w:rPr>
              <w:t>658,058.80</w:t>
            </w:r>
          </w:p>
        </w:tc>
      </w:tr>
    </w:tbl>
    <w:p w:rsidRPr="00C95E42" w:rsidR="00C95E42" w:rsidP="00C95E42" w:rsidRDefault="00C95E42" w14:paraId="54C5D545" w14:textId="77777777">
      <w:pPr>
        <w:widowControl/>
        <w:autoSpaceDE/>
        <w:autoSpaceDN/>
        <w:adjustRightInd/>
        <w:spacing w:after="200"/>
        <w:contextualSpacing/>
        <w:rPr>
          <w:rFonts w:ascii="Times New Roman" w:hAnsi="Times New Roman" w:eastAsia="Calibri"/>
          <w:i/>
        </w:rPr>
      </w:pPr>
      <w:r w:rsidRPr="00C95E42">
        <w:rPr>
          <w:rFonts w:ascii="Times New Roman" w:hAnsi="Times New Roman" w:eastAsia="Calibri"/>
          <w:i/>
        </w:rPr>
        <w:t xml:space="preserve">*Source: The hourly rate is computed by dividing the FY 2022 national average PS/PB annual salary for state staff as provided for through the distribution of state UI administrative grants </w:t>
      </w:r>
    </w:p>
    <w:p w:rsidRPr="00C95E42" w:rsidR="00C95E42" w:rsidP="00C95E42" w:rsidRDefault="00C95E42" w14:paraId="4493A47D" w14:textId="77777777">
      <w:pPr>
        <w:widowControl/>
        <w:autoSpaceDE/>
        <w:autoSpaceDN/>
        <w:adjustRightInd/>
        <w:spacing w:after="200"/>
        <w:contextualSpacing/>
        <w:rPr>
          <w:rFonts w:ascii="Times New Roman" w:hAnsi="Times New Roman" w:eastAsia="Calibri"/>
          <w:i/>
        </w:rPr>
      </w:pPr>
      <w:r w:rsidRPr="00C95E42">
        <w:rPr>
          <w:rFonts w:ascii="Times New Roman" w:hAnsi="Times New Roman" w:eastAsia="Calibri"/>
          <w:i/>
        </w:rPr>
        <w:t>(</w:t>
      </w:r>
      <w:r w:rsidRPr="00C95E42">
        <w:rPr>
          <w:rFonts w:ascii="Times New Roman" w:hAnsi="Times New Roman" w:eastAsia="Calibri"/>
          <w:i/>
          <w:color w:val="0000FF"/>
          <w:u w:val="single"/>
        </w:rPr>
        <w:t>https://wdr.doleta.gov/directives/corr_doc.cfm?DOCN=6102)</w:t>
      </w:r>
      <w:r w:rsidRPr="00C95E42">
        <w:rPr>
          <w:rFonts w:ascii="Times New Roman" w:hAnsi="Times New Roman" w:eastAsia="Calibri"/>
          <w:i/>
        </w:rPr>
        <w:t>by the average number of hours worked in a year (1,711).  For FY 2022, this calculation is:  $91,144 / 1,711= $53.27.</w:t>
      </w:r>
    </w:p>
    <w:p w:rsidRPr="00C95E42"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C95E42" w:rsidR="00C95E42" w:rsidP="00C95E42" w:rsidRDefault="00C95E42" w14:paraId="1EE0D111" w14:textId="47C78F77">
      <w:pPr>
        <w:widowControl/>
        <w:rPr>
          <w:rFonts w:ascii="Times New Roman" w:hAnsi="Times New Roman"/>
          <w:i/>
          <w:color w:val="000000"/>
        </w:rPr>
      </w:pPr>
      <w:r w:rsidRPr="00C95E42">
        <w:rPr>
          <w:rFonts w:ascii="Times New Roman" w:hAnsi="Times New Roman"/>
          <w:i/>
          <w:color w:val="000000"/>
        </w:rPr>
        <w:t xml:space="preserve">The </w:t>
      </w:r>
      <w:r w:rsidR="00572EA8">
        <w:rPr>
          <w:rFonts w:ascii="Times New Roman" w:hAnsi="Times New Roman"/>
          <w:i/>
          <w:color w:val="000000"/>
        </w:rPr>
        <w:t>September</w:t>
      </w:r>
      <w:r w:rsidRPr="00C95E42">
        <w:rPr>
          <w:rFonts w:ascii="Times New Roman" w:hAnsi="Times New Roman"/>
          <w:i/>
          <w:color w:val="000000"/>
        </w:rPr>
        <w:t xml:space="preserve"> 2021 average hourly wage of all employees on private nonfarm payrolls can be on Table B3 on the following Employment Situation report: (</w:t>
      </w:r>
      <w:hyperlink w:history="1" r:id="rId11">
        <w:r w:rsidRPr="00C95E42">
          <w:rPr>
            <w:rFonts w:ascii="Times New Roman" w:hAnsi="Times New Roman"/>
            <w:i/>
            <w:color w:val="0000FF"/>
            <w:u w:val="single"/>
          </w:rPr>
          <w:t>https://www.bls.gov/news.release/empsit.t19.htm</w:t>
        </w:r>
      </w:hyperlink>
      <w:r w:rsidRPr="00C95E42">
        <w:rPr>
          <w:rFonts w:ascii="Times New Roman" w:hAnsi="Times New Roman"/>
          <w:i/>
          <w:color w:val="000000"/>
        </w:rPr>
        <w:t>).   The hourly rate calculation for participant’s disclosures to states was: $30.</w:t>
      </w:r>
      <w:r w:rsidR="00572EA8">
        <w:rPr>
          <w:rFonts w:ascii="Times New Roman" w:hAnsi="Times New Roman"/>
          <w:i/>
          <w:color w:val="000000"/>
        </w:rPr>
        <w:t>85</w:t>
      </w:r>
      <w:r w:rsidRPr="00C95E42">
        <w:rPr>
          <w:rFonts w:ascii="Times New Roman" w:hAnsi="Times New Roman"/>
          <w:i/>
          <w:color w:val="000000"/>
        </w:rPr>
        <w:t xml:space="preserve"> x 40% = $12.</w:t>
      </w:r>
      <w:r w:rsidR="00572EA8">
        <w:rPr>
          <w:rFonts w:ascii="Times New Roman" w:hAnsi="Times New Roman"/>
          <w:i/>
          <w:color w:val="000000"/>
        </w:rPr>
        <w:t>34</w:t>
      </w:r>
      <w:r w:rsidRPr="00C95E42">
        <w:rPr>
          <w:rFonts w:ascii="Times New Roman" w:hAnsi="Times New Roman"/>
          <w:i/>
          <w:color w:val="000000"/>
        </w:rPr>
        <w:t xml:space="preserve"> + $30.</w:t>
      </w:r>
      <w:r w:rsidR="00572EA8">
        <w:rPr>
          <w:rFonts w:ascii="Times New Roman" w:hAnsi="Times New Roman"/>
          <w:i/>
          <w:color w:val="000000"/>
        </w:rPr>
        <w:t>85</w:t>
      </w:r>
      <w:r w:rsidRPr="00C95E42">
        <w:rPr>
          <w:rFonts w:ascii="Times New Roman" w:hAnsi="Times New Roman"/>
          <w:i/>
          <w:color w:val="000000"/>
        </w:rPr>
        <w:t>= $4</w:t>
      </w:r>
      <w:r w:rsidR="00572EA8">
        <w:rPr>
          <w:rFonts w:ascii="Times New Roman" w:hAnsi="Times New Roman"/>
          <w:i/>
          <w:color w:val="000000"/>
        </w:rPr>
        <w:t>3.19</w:t>
      </w:r>
      <w:r w:rsidRPr="00C95E42">
        <w:rPr>
          <w:rFonts w:ascii="Times New Roman" w:hAnsi="Times New Roman"/>
          <w:i/>
          <w:color w:val="000000"/>
        </w:rPr>
        <w:t xml:space="preserve">.  Note the federal government provides the administrative funding that covers salaries of states staff, so this data collection does not represent a direct cost to the state. </w:t>
      </w:r>
    </w:p>
    <w:p w:rsidRPr="00C95E42" w:rsidR="00C95E42" w:rsidP="00C95E42" w:rsidRDefault="00C95E42" w14:paraId="55DE906E" w14:textId="77777777">
      <w:pPr>
        <w:widowControl/>
        <w:rPr>
          <w:rFonts w:ascii="Arial" w:hAnsi="Arial" w:cs="Arial"/>
          <w:color w:val="000000"/>
          <w:sz w:val="22"/>
          <w:szCs w:val="22"/>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lastRenderedPageBreak/>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95E42" w:rsidP="00CD215D" w:rsidRDefault="00C95E42" w14:paraId="123DFC2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CD215D" w:rsidP="00CD215D" w:rsidRDefault="00C95E42" w14:paraId="0AAEE3FF" w14:textId="72814D85">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95E42">
        <w:rPr>
          <w:rFonts w:ascii="Times New Roman" w:hAnsi="Times New Roman"/>
        </w:rPr>
        <w:t xml:space="preserve">There are no costs </w:t>
      </w:r>
      <w:r w:rsidR="00783F47">
        <w:rPr>
          <w:rFonts w:ascii="Times New Roman" w:hAnsi="Times New Roman"/>
        </w:rPr>
        <w:t>associated with this information collection</w:t>
      </w:r>
      <w:r w:rsidRPr="00C95E42">
        <w:rPr>
          <w:rFonts w:ascii="Times New Roman" w:hAnsi="Times New Roman"/>
        </w:rPr>
        <w:t>.</w:t>
      </w:r>
    </w:p>
    <w:p w:rsidRPr="00F4518C" w:rsidR="00690F56" w:rsidP="00690F56" w:rsidRDefault="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C95E42" w:rsidR="00C95E42" w:rsidP="00C95E42" w:rsidRDefault="00C95E42" w14:paraId="7C7B5993" w14:textId="52B143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95E42" w:rsidP="00C95E42" w:rsidRDefault="00C95E42" w14:paraId="355153BE" w14:textId="2328440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95E42">
        <w:rPr>
          <w:rFonts w:ascii="Times New Roman" w:hAnsi="Times New Roman"/>
        </w:rPr>
        <w:t>Although no staff is required to process this report, ETA has budgeted $1,055,487.22 in fiscal year 2021,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$35,182.91 ($1,055,487.22 system cost/30 information collections).</w:t>
      </w:r>
    </w:p>
    <w:p w:rsidR="00690F56" w:rsidP="00690F56" w:rsidRDefault="00690F56" w14:paraId="3F8C7E1B" w14:textId="2EA7D70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258C87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967B07" w:rsidP="00690F56" w:rsidRDefault="00967B07" w14:paraId="4E30D56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A521D9" w14:paraId="5321AF4F" w14:textId="57E573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lastRenderedPageBreak/>
        <w:t>The change in burden to the states is due to the following 3 increases</w:t>
      </w:r>
      <w:r w:rsidR="00A32CD3">
        <w:rPr>
          <w:rFonts w:ascii="Times New Roman" w:hAnsi="Times New Roman"/>
        </w:rPr>
        <w:t xml:space="preserve"> since the last renewal</w:t>
      </w:r>
      <w:r>
        <w:rPr>
          <w:rFonts w:ascii="Times New Roman" w:hAnsi="Times New Roman"/>
        </w:rPr>
        <w:t>; the number of participants</w:t>
      </w:r>
      <w:bookmarkStart w:name="_GoBack" w:id="0"/>
      <w:bookmarkEnd w:id="0"/>
      <w:r>
        <w:rPr>
          <w:rFonts w:ascii="Times New Roman" w:hAnsi="Times New Roman"/>
        </w:rPr>
        <w:t xml:space="preserve">, the average wage of a state workforce agency employee, and the seasonally adjusted national average hourly wage of all employees on private nonfarm payroll. </w:t>
      </w:r>
      <w:r w:rsidR="00E036D5">
        <w:rPr>
          <w:rFonts w:ascii="Times New Roman" w:hAnsi="Times New Roman"/>
        </w:rPr>
        <w:t xml:space="preserve"> </w:t>
      </w:r>
    </w:p>
    <w:p w:rsidRPr="00F4518C" w:rsidR="00E036D5" w:rsidP="00690F56" w:rsidRDefault="00E036D5" w14:paraId="608F97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06C695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4654D4" w:rsidP="00690F56" w:rsidRDefault="004654D4" w14:paraId="0B5CCF21" w14:textId="4B63A3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There are no plans to publish the data at this time.</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1B1630F4" w14:textId="4F5249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4654D4" w:rsidP="00690F56" w:rsidRDefault="004654D4" w14:paraId="22CD8024" w14:textId="5E3667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The OMB number and expiration date are displayed as part of the reporting instructions for the ETA 9161 report.</w:t>
      </w:r>
    </w:p>
    <w:p w:rsidRPr="00A973AA" w:rsidR="000C3A92" w:rsidP="00690F56" w:rsidRDefault="000C3A92"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059C96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4654D4" w:rsidP="000C3A92" w:rsidRDefault="004654D4" w14:paraId="634F0A60" w14:textId="1BC78FF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654D4">
        <w:rPr>
          <w:rFonts w:ascii="Times New Roman" w:hAnsi="Times New Roman"/>
        </w:rPr>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4654D4" w14:paraId="3E8CBCDA" w14:textId="051D6ED0">
      <w:pPr>
        <w:rPr>
          <w:rFonts w:ascii="Times New Roman" w:hAnsi="Times New Roman"/>
        </w:rPr>
      </w:pPr>
      <w:r w:rsidRPr="004654D4">
        <w:rPr>
          <w:rFonts w:ascii="Times New Roman" w:hAnsi="Times New Roman"/>
        </w:rPr>
        <w:t>This collection does not employ statistical methods.</w:t>
      </w: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1786B" w14:textId="77777777" w:rsidR="00FA3D8C" w:rsidRDefault="00FA3D8C">
      <w:r>
        <w:separator/>
      </w:r>
    </w:p>
  </w:endnote>
  <w:endnote w:type="continuationSeparator" w:id="0">
    <w:p w14:paraId="7F85FADB" w14:textId="77777777" w:rsidR="00FA3D8C" w:rsidRDefault="00F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77" w14:textId="31731493"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D452E">
      <w:rPr>
        <w:rStyle w:val="PageNumber"/>
        <w:rFonts w:ascii="Times New Roman" w:hAnsi="Times New Roman"/>
        <w:noProof/>
      </w:rPr>
      <w:t>9</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A8A76" w14:textId="77777777" w:rsidR="00FA3D8C" w:rsidRDefault="00FA3D8C">
      <w:r>
        <w:separator/>
      </w:r>
    </w:p>
  </w:footnote>
  <w:footnote w:type="continuationSeparator" w:id="0">
    <w:p w14:paraId="611BA0DC" w14:textId="77777777" w:rsidR="00FA3D8C" w:rsidRDefault="00FA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57277" w14:textId="27C351E6" w:rsidR="006626FF" w:rsidRPr="006626FF" w:rsidRDefault="000E7E2A" w:rsidP="00F8164B">
    <w:pPr>
      <w:pStyle w:val="Header"/>
      <w:rPr>
        <w:rFonts w:ascii="Times New Roman" w:hAnsi="Times New Roman"/>
        <w:bCs/>
        <w:sz w:val="20"/>
        <w:szCs w:val="20"/>
      </w:rPr>
    </w:pPr>
    <w:r>
      <w:rPr>
        <w:rFonts w:ascii="Times New Roman" w:hAnsi="Times New Roman"/>
        <w:bCs/>
        <w:sz w:val="20"/>
        <w:szCs w:val="20"/>
      </w:rPr>
      <w:t>Self-Employment Assistance</w:t>
    </w:r>
  </w:p>
  <w:p w14:paraId="52F50703" w14:textId="30932925"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0E7E2A">
      <w:rPr>
        <w:rFonts w:ascii="Times New Roman" w:hAnsi="Times New Roman"/>
        <w:sz w:val="20"/>
        <w:szCs w:val="20"/>
      </w:rPr>
      <w:t>1205-0490</w:t>
    </w:r>
  </w:p>
  <w:p w14:paraId="1D1AD862" w14:textId="53D6B346"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0E7E2A">
      <w:rPr>
        <w:rFonts w:ascii="Times New Roman" w:hAnsi="Times New Roman"/>
        <w:sz w:val="20"/>
        <w:szCs w:val="20"/>
      </w:rPr>
      <w:t>April 30,</w:t>
    </w:r>
    <w:r w:rsidR="00A01A16">
      <w:rPr>
        <w:rFonts w:ascii="Times New Roman" w:hAnsi="Times New Roman"/>
        <w:sz w:val="20"/>
        <w:szCs w:val="20"/>
      </w:rPr>
      <w:t xml:space="preserve"> </w:t>
    </w:r>
    <w:r w:rsidR="000E7E2A">
      <w:rPr>
        <w:rFonts w:ascii="Times New Roman" w:hAnsi="Times New Roman"/>
        <w:sz w:val="20"/>
        <w:szCs w:val="20"/>
      </w:rPr>
      <w:t>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48F8045D"/>
    <w:multiLevelType w:val="hybridMultilevel"/>
    <w:tmpl w:val="8CAE6946"/>
    <w:lvl w:ilvl="0" w:tplc="AEECFF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317FB"/>
    <w:multiLevelType w:val="hybridMultilevel"/>
    <w:tmpl w:val="F9D4D498"/>
    <w:lvl w:ilvl="0" w:tplc="E3B4F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4107F"/>
    <w:rsid w:val="00042CBD"/>
    <w:rsid w:val="00047B93"/>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E7E2A"/>
    <w:rsid w:val="000F6836"/>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C13C6"/>
    <w:rsid w:val="003C2B7B"/>
    <w:rsid w:val="003D5958"/>
    <w:rsid w:val="003D6AC7"/>
    <w:rsid w:val="003E49A6"/>
    <w:rsid w:val="003E5E34"/>
    <w:rsid w:val="003E62DE"/>
    <w:rsid w:val="003F53FB"/>
    <w:rsid w:val="00400B4D"/>
    <w:rsid w:val="00401F18"/>
    <w:rsid w:val="004056B7"/>
    <w:rsid w:val="00410AC8"/>
    <w:rsid w:val="00414664"/>
    <w:rsid w:val="00443460"/>
    <w:rsid w:val="0044773C"/>
    <w:rsid w:val="004654D4"/>
    <w:rsid w:val="004672B5"/>
    <w:rsid w:val="004844D1"/>
    <w:rsid w:val="0048559D"/>
    <w:rsid w:val="00494A93"/>
    <w:rsid w:val="00494D75"/>
    <w:rsid w:val="004A1763"/>
    <w:rsid w:val="004B1E83"/>
    <w:rsid w:val="004D1C78"/>
    <w:rsid w:val="004D441E"/>
    <w:rsid w:val="004D46D1"/>
    <w:rsid w:val="004E1D9E"/>
    <w:rsid w:val="005164DC"/>
    <w:rsid w:val="005201CC"/>
    <w:rsid w:val="00530EBD"/>
    <w:rsid w:val="00567912"/>
    <w:rsid w:val="00570098"/>
    <w:rsid w:val="00572EA8"/>
    <w:rsid w:val="005805E7"/>
    <w:rsid w:val="00583F5D"/>
    <w:rsid w:val="0058424C"/>
    <w:rsid w:val="00584F8D"/>
    <w:rsid w:val="005A0350"/>
    <w:rsid w:val="005B5990"/>
    <w:rsid w:val="005C0D62"/>
    <w:rsid w:val="005C6147"/>
    <w:rsid w:val="005D5F8C"/>
    <w:rsid w:val="005E5148"/>
    <w:rsid w:val="0060114B"/>
    <w:rsid w:val="00610C17"/>
    <w:rsid w:val="00611DE2"/>
    <w:rsid w:val="006227B3"/>
    <w:rsid w:val="00642220"/>
    <w:rsid w:val="00652ED1"/>
    <w:rsid w:val="006626FF"/>
    <w:rsid w:val="006650A8"/>
    <w:rsid w:val="0067772C"/>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3F47"/>
    <w:rsid w:val="00785FE9"/>
    <w:rsid w:val="00786E04"/>
    <w:rsid w:val="007A7F79"/>
    <w:rsid w:val="007D46C2"/>
    <w:rsid w:val="008043E5"/>
    <w:rsid w:val="00804A1A"/>
    <w:rsid w:val="00805600"/>
    <w:rsid w:val="0081073D"/>
    <w:rsid w:val="008323ED"/>
    <w:rsid w:val="00835955"/>
    <w:rsid w:val="00846701"/>
    <w:rsid w:val="008624D5"/>
    <w:rsid w:val="00871CA6"/>
    <w:rsid w:val="00882AB5"/>
    <w:rsid w:val="00882B1D"/>
    <w:rsid w:val="0088672C"/>
    <w:rsid w:val="008A1F0C"/>
    <w:rsid w:val="008A40D1"/>
    <w:rsid w:val="008B541B"/>
    <w:rsid w:val="008F72CB"/>
    <w:rsid w:val="00901003"/>
    <w:rsid w:val="0090158E"/>
    <w:rsid w:val="00901EF6"/>
    <w:rsid w:val="0090413E"/>
    <w:rsid w:val="009271B1"/>
    <w:rsid w:val="009441E2"/>
    <w:rsid w:val="00963680"/>
    <w:rsid w:val="00964D3F"/>
    <w:rsid w:val="00967B07"/>
    <w:rsid w:val="009700D9"/>
    <w:rsid w:val="00985C15"/>
    <w:rsid w:val="009A361E"/>
    <w:rsid w:val="009A6DCA"/>
    <w:rsid w:val="009B00FD"/>
    <w:rsid w:val="009B38D1"/>
    <w:rsid w:val="009B4116"/>
    <w:rsid w:val="009C2A10"/>
    <w:rsid w:val="009D1EA2"/>
    <w:rsid w:val="009E0141"/>
    <w:rsid w:val="009E234B"/>
    <w:rsid w:val="009F1189"/>
    <w:rsid w:val="009F52F3"/>
    <w:rsid w:val="00A01A16"/>
    <w:rsid w:val="00A10441"/>
    <w:rsid w:val="00A15094"/>
    <w:rsid w:val="00A21F98"/>
    <w:rsid w:val="00A32CD3"/>
    <w:rsid w:val="00A41C21"/>
    <w:rsid w:val="00A47DA7"/>
    <w:rsid w:val="00A521D9"/>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15AB"/>
    <w:rsid w:val="00AF2C11"/>
    <w:rsid w:val="00AF3788"/>
    <w:rsid w:val="00AF5262"/>
    <w:rsid w:val="00AF7928"/>
    <w:rsid w:val="00B2589C"/>
    <w:rsid w:val="00B35DAD"/>
    <w:rsid w:val="00B47443"/>
    <w:rsid w:val="00B5377A"/>
    <w:rsid w:val="00B6181C"/>
    <w:rsid w:val="00B66231"/>
    <w:rsid w:val="00B70751"/>
    <w:rsid w:val="00BA6C9C"/>
    <w:rsid w:val="00BB3BEF"/>
    <w:rsid w:val="00BD34F2"/>
    <w:rsid w:val="00C02744"/>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95E42"/>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A34DB"/>
    <w:rsid w:val="00DB7B7C"/>
    <w:rsid w:val="00DD452E"/>
    <w:rsid w:val="00DD6DF0"/>
    <w:rsid w:val="00E0031C"/>
    <w:rsid w:val="00E0138A"/>
    <w:rsid w:val="00E036D5"/>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36871"/>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mpsit.t19.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7" ma:contentTypeDescription="Create a new document." ma:contentTypeScope="" ma:versionID="28ff25ebe42cdab6c0d6495566615cfb">
  <xsd:schema xmlns:xsd="http://www.w3.org/2001/XMLSchema" xmlns:xs="http://www.w3.org/2001/XMLSchema" xmlns:p="http://schemas.microsoft.com/office/2006/metadata/properties" xmlns:ns3="2a1ba486-ff2f-4459-80ac-1ab5aa17f82f" targetNamespace="http://schemas.microsoft.com/office/2006/metadata/properties" ma:root="true" ma:fieldsID="185b2692a31ccd4db5ef312a33bfafd0"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ACB4C-434E-4AEB-8C06-949EF760DD09}">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2a1ba486-ff2f-4459-80ac-1ab5aa17f82f"/>
    <ds:schemaRef ds:uri="http://www.w3.org/XML/1998/namespace"/>
    <ds:schemaRef ds:uri="http://purl.org/dc/dcmitype/"/>
  </ds:schemaRefs>
</ds:datastoreItem>
</file>

<file path=customXml/itemProps2.xml><?xml version="1.0" encoding="utf-8"?>
<ds:datastoreItem xmlns:ds="http://schemas.openxmlformats.org/officeDocument/2006/customXml" ds:itemID="{F603BAAA-CB14-49FA-95A4-89101A648992}">
  <ds:schemaRefs>
    <ds:schemaRef ds:uri="http://schemas.microsoft.com/sharepoint/v3/contenttype/forms"/>
  </ds:schemaRefs>
</ds:datastoreItem>
</file>

<file path=customXml/itemProps3.xml><?xml version="1.0" encoding="utf-8"?>
<ds:datastoreItem xmlns:ds="http://schemas.openxmlformats.org/officeDocument/2006/customXml" ds:itemID="{DCECB118-C425-44BF-81E4-016B01220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F7142-D920-40CC-98C0-7DAC8E179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3318</Words>
  <Characters>18871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22145</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Trujillo, Sandra - ETA</cp:lastModifiedBy>
  <cp:revision>3</cp:revision>
  <cp:lastPrinted>2020-02-19T15:46:00Z</cp:lastPrinted>
  <dcterms:created xsi:type="dcterms:W3CDTF">2021-12-29T19:17:00Z</dcterms:created>
  <dcterms:modified xsi:type="dcterms:W3CDTF">2021-12-29T19:18:00Z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