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0F8C" w:rsidR="00504357" w:rsidP="00C50F8C" w:rsidRDefault="00DD580C" w14:paraId="7F6A131A" w14:textId="77777777">
      <w:pPr>
        <w:jc w:val="center"/>
        <w:rPr>
          <w:b/>
        </w:rPr>
      </w:pPr>
      <w:r w:rsidRPr="00C50F8C">
        <w:rPr>
          <w:b/>
        </w:rPr>
        <w:t xml:space="preserve">SUPPORTING STATEMENT FOR PAPERWORK REDUCTION ACT </w:t>
      </w:r>
      <w:r w:rsidR="0048686F">
        <w:rPr>
          <w:b/>
        </w:rPr>
        <w:t xml:space="preserve">OF </w:t>
      </w:r>
      <w:r w:rsidRPr="00C50F8C">
        <w:rPr>
          <w:b/>
        </w:rPr>
        <w:t xml:space="preserve">1995: </w:t>
      </w:r>
      <w:r w:rsidRPr="00DD580C">
        <w:rPr>
          <w:b/>
        </w:rPr>
        <w:t>PROHIBITED TRANSACTION CLASS EXEMPTION 91-38</w:t>
      </w:r>
    </w:p>
    <w:p w:rsidR="00F41FAA" w:rsidRDefault="00F41FAA" w14:paraId="236BD138" w14:textId="77777777"/>
    <w:p w:rsidRPr="00A93414" w:rsidR="00A93414" w:rsidP="00A93414" w:rsidRDefault="00A93414" w14:paraId="7A462616" w14:textId="77777777">
      <w:r w:rsidRPr="00A93414">
        <w:t xml:space="preserve">This ICR seeks approval for </w:t>
      </w:r>
      <w:r>
        <w:t>an extension</w:t>
      </w:r>
      <w:r w:rsidRPr="00A93414">
        <w:t xml:space="preserve"> of an existing control number.</w:t>
      </w:r>
    </w:p>
    <w:p w:rsidRPr="009651FD" w:rsidR="00884EDB" w:rsidRDefault="00884EDB" w14:paraId="7030048A" w14:textId="77777777"/>
    <w:p w:rsidRPr="009651FD" w:rsidR="00504357" w:rsidP="00862A97" w:rsidRDefault="001457A2" w14:paraId="7D2B075C" w14:textId="77777777">
      <w:pPr>
        <w:numPr>
          <w:ilvl w:val="0"/>
          <w:numId w:val="21"/>
        </w:numPr>
        <w:ind w:hanging="720"/>
        <w:rPr>
          <w:b/>
          <w:bCs/>
        </w:rPr>
      </w:pPr>
      <w:r w:rsidRPr="009651FD">
        <w:rPr>
          <w:b/>
          <w:bCs/>
        </w:rPr>
        <w:t>JUSTIFICATION</w:t>
      </w:r>
    </w:p>
    <w:p w:rsidRPr="009651FD" w:rsidR="00504357" w:rsidRDefault="00504357" w14:paraId="76C63D8B" w14:textId="77777777">
      <w:pPr>
        <w:ind w:left="-720"/>
        <w:rPr>
          <w:b/>
          <w:bCs/>
        </w:rPr>
      </w:pPr>
    </w:p>
    <w:p w:rsidRPr="001457A2" w:rsidR="00504357" w:rsidP="00C02258" w:rsidRDefault="00504357" w14:paraId="2E33F7B5" w14:textId="77777777">
      <w:pPr>
        <w:pStyle w:val="Quick1"/>
        <w:rPr>
          <w:b/>
          <w:sz w:val="24"/>
          <w:szCs w:val="24"/>
        </w:rPr>
      </w:pPr>
      <w:r w:rsidRPr="001457A2">
        <w:rPr>
          <w:b/>
          <w:i w:val="0"/>
          <w:sz w:val="24"/>
          <w:szCs w:val="24"/>
        </w:rPr>
        <w:t xml:space="preserve">Explain the circumstances that make the collection of information necessary.  Identify any legal or </w:t>
      </w:r>
      <w:r w:rsidRPr="001457A2" w:rsidR="00433F61">
        <w:rPr>
          <w:b/>
          <w:i w:val="0"/>
          <w:sz w:val="24"/>
          <w:szCs w:val="24"/>
        </w:rPr>
        <w:t>a</w:t>
      </w:r>
      <w:r w:rsidRPr="001457A2">
        <w:rPr>
          <w:b/>
          <w:i w:val="0"/>
          <w:sz w:val="24"/>
          <w:szCs w:val="24"/>
        </w:rPr>
        <w:t>dministrative requirements that necessitate the collection.  Attach a copy of the appropriate section of each statute and regulation mandating or authorizing the collection of information</w:t>
      </w:r>
      <w:r w:rsidRPr="001457A2">
        <w:rPr>
          <w:b/>
          <w:sz w:val="24"/>
          <w:szCs w:val="24"/>
        </w:rPr>
        <w:t>.</w:t>
      </w:r>
    </w:p>
    <w:p w:rsidR="00D52779" w:rsidP="00C02258" w:rsidRDefault="00D52779" w14:paraId="1AB2981F" w14:textId="77777777">
      <w:pPr>
        <w:ind w:left="720"/>
      </w:pPr>
    </w:p>
    <w:p w:rsidR="00504357" w:rsidP="00C02258" w:rsidRDefault="00504357" w14:paraId="5082AE09" w14:textId="77777777">
      <w:pPr>
        <w:ind w:left="720"/>
      </w:pPr>
      <w:r w:rsidRPr="009651FD">
        <w:t>Section 408(a) of the Employee Retirement Income Security Act of 1974</w:t>
      </w:r>
      <w:r w:rsidR="009651FD">
        <w:t xml:space="preserve"> (ERISA)</w:t>
      </w:r>
      <w:r w:rsidR="00C207D6">
        <w:t xml:space="preserve"> (29 U.S.C. section 1108(a))</w:t>
      </w:r>
      <w:r w:rsidR="003379AF">
        <w:t xml:space="preserve"> </w:t>
      </w:r>
      <w:r w:rsidRPr="009651FD">
        <w:t>gives the Secretary of Labor the right “to grant a conditional or unconditional exemption of any fiduciary or class of fiduciaries or transactions, from all or part of the restrictions imposed by section 406 and 407(a).”  In order to grant an exemption under section 408, the Department must determine that the exemption is: (1) administratively feasible;</w:t>
      </w:r>
      <w:r w:rsidR="009651FD">
        <w:t xml:space="preserve"> </w:t>
      </w:r>
      <w:r w:rsidRPr="009651FD">
        <w:t>(2) in the interests of the plan and its participants and beneficiaries; and, (3) protective of the rights of the participants and beneficiaries of such plan.</w:t>
      </w:r>
    </w:p>
    <w:p w:rsidRPr="009651FD" w:rsidR="00D52779" w:rsidP="00C02258" w:rsidRDefault="00D52779" w14:paraId="405B61C4" w14:textId="77777777">
      <w:pPr>
        <w:ind w:left="720"/>
      </w:pPr>
    </w:p>
    <w:p w:rsidRPr="00E55CD4" w:rsidR="00D26703" w:rsidP="00C02258" w:rsidRDefault="00D26703" w14:paraId="0CC27585" w14:textId="77777777">
      <w:pPr>
        <w:pStyle w:val="BodyText"/>
        <w:ind w:left="720"/>
        <w:rPr>
          <w:bCs/>
          <w:szCs w:val="24"/>
        </w:rPr>
      </w:pPr>
      <w:r w:rsidRPr="00E55CD4">
        <w:rPr>
          <w:bCs/>
          <w:szCs w:val="24"/>
        </w:rPr>
        <w:t xml:space="preserve">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w:t>
      </w:r>
      <w:r w:rsidR="00A80920">
        <w:rPr>
          <w:bCs/>
          <w:szCs w:val="24"/>
        </w:rPr>
        <w:t xml:space="preserve">Internal Revenue </w:t>
      </w:r>
      <w:r w:rsidRPr="00E55CD4">
        <w:rPr>
          <w:bCs/>
          <w:szCs w:val="24"/>
        </w:rPr>
        <w:t xml:space="preserve">Code </w:t>
      </w:r>
      <w:r w:rsidR="00A80920">
        <w:rPr>
          <w:bCs/>
          <w:szCs w:val="24"/>
        </w:rPr>
        <w:t xml:space="preserve">(the Code) </w:t>
      </w:r>
      <w:r w:rsidRPr="00E55CD4">
        <w:rPr>
          <w:bCs/>
          <w:szCs w:val="24"/>
        </w:rPr>
        <w:t>as well as under 408(a) of ERISA to issue individual and class exemptions from the prohibited transaction rules of ERISA and the Code.</w:t>
      </w:r>
    </w:p>
    <w:p w:rsidRPr="00F54678" w:rsidR="00D26703" w:rsidP="00C02258" w:rsidRDefault="00D26703" w14:paraId="1B233693" w14:textId="77777777">
      <w:pPr>
        <w:ind w:left="720"/>
      </w:pPr>
    </w:p>
    <w:p w:rsidR="00504357" w:rsidP="00C02258" w:rsidRDefault="002C5DE2" w14:paraId="30F17547" w14:textId="12BE56AF">
      <w:pPr>
        <w:ind w:left="720"/>
      </w:pPr>
      <w:r>
        <w:t>Prohibited Transaction Class Exemption</w:t>
      </w:r>
      <w:r w:rsidRPr="009651FD" w:rsidR="00504357">
        <w:t xml:space="preserve"> </w:t>
      </w:r>
      <w:r w:rsidR="00F219FC">
        <w:t>(PTE)</w:t>
      </w:r>
      <w:r w:rsidR="009A74D3">
        <w:t xml:space="preserve"> </w:t>
      </w:r>
      <w:r w:rsidRPr="009651FD" w:rsidR="00504357">
        <w:t>91-38 provides an exemption from the restrictions of sections 406</w:t>
      </w:r>
      <w:r w:rsidR="00121368">
        <w:t>(a), 406(b)(2)</w:t>
      </w:r>
      <w:r w:rsidRPr="009651FD" w:rsidR="00504357">
        <w:t xml:space="preserve"> and 407(a) of ERISA</w:t>
      </w:r>
      <w:r w:rsidR="001944F3">
        <w:t xml:space="preserve"> and</w:t>
      </w:r>
      <w:r w:rsidR="00121368">
        <w:t xml:space="preserve"> the taxes imposed by</w:t>
      </w:r>
      <w:r w:rsidR="001944F3">
        <w:t xml:space="preserve"> section 4975</w:t>
      </w:r>
      <w:r w:rsidR="00121368">
        <w:t>(a) and (b)</w:t>
      </w:r>
      <w:r w:rsidR="001944F3">
        <w:t xml:space="preserve"> of the Code</w:t>
      </w:r>
      <w:r w:rsidR="00121368">
        <w:t xml:space="preserve"> by reason of section 4975(c)(1)(A), (B), (C), or (D) of the Code</w:t>
      </w:r>
      <w:r w:rsidRPr="009651FD" w:rsidR="00504357">
        <w:t xml:space="preserve"> for certain transactions between a bank collective investment fund </w:t>
      </w:r>
      <w:r w:rsidR="00493EA1">
        <w:t xml:space="preserve">in which an employee benefit plan has invested assets </w:t>
      </w:r>
      <w:r w:rsidRPr="009651FD" w:rsidR="00504357">
        <w:t xml:space="preserve">and persons who are parties </w:t>
      </w:r>
      <w:r w:rsidR="009651FD">
        <w:t xml:space="preserve">in </w:t>
      </w:r>
      <w:r w:rsidRPr="009651FD" w:rsidR="00504357">
        <w:t xml:space="preserve">interest to </w:t>
      </w:r>
      <w:r w:rsidR="00493EA1">
        <w:t>the</w:t>
      </w:r>
      <w:r w:rsidRPr="009651FD" w:rsidR="00504357">
        <w:t xml:space="preserve"> employee benefit plan</w:t>
      </w:r>
      <w:r w:rsidR="00657B95">
        <w:t>,</w:t>
      </w:r>
      <w:r w:rsidRPr="009651FD" w:rsidR="00504357">
        <w:t xml:space="preserve"> as long as the plan’s </w:t>
      </w:r>
      <w:r w:rsidR="009651FD">
        <w:t xml:space="preserve">total </w:t>
      </w:r>
      <w:r w:rsidRPr="009651FD" w:rsidR="00504357">
        <w:t xml:space="preserve">participation in the collective investment fund does not exceed </w:t>
      </w:r>
      <w:r w:rsidR="005A37F3">
        <w:t>10</w:t>
      </w:r>
      <w:r w:rsidR="00F219FC">
        <w:t>%</w:t>
      </w:r>
      <w:r w:rsidRPr="009651FD" w:rsidR="00504357">
        <w:t xml:space="preserve"> of the total assets in the collective investment fund.</w:t>
      </w:r>
      <w:r w:rsidR="00EC3D7D">
        <w:t xml:space="preserve">  </w:t>
      </w:r>
      <w:r w:rsidRPr="005C7542" w:rsidR="00532682">
        <w:t>In addition</w:t>
      </w:r>
      <w:r w:rsidRPr="005C7542" w:rsidR="00EC3D7D">
        <w:t xml:space="preserve">, the bank </w:t>
      </w:r>
      <w:r w:rsidRPr="005C7542" w:rsidR="00532682">
        <w:t>managing</w:t>
      </w:r>
      <w:r w:rsidRPr="005C7542" w:rsidR="00493EA1">
        <w:t xml:space="preserve"> the common investment fund must not </w:t>
      </w:r>
      <w:r w:rsidRPr="005C7542" w:rsidR="00A76229">
        <w:t xml:space="preserve">itself </w:t>
      </w:r>
      <w:r w:rsidRPr="005C7542" w:rsidR="00493EA1">
        <w:t>be a</w:t>
      </w:r>
      <w:r w:rsidRPr="005C7542" w:rsidR="00EC3D7D">
        <w:t xml:space="preserve"> party </w:t>
      </w:r>
      <w:r w:rsidRPr="005C7542" w:rsidR="00493EA1">
        <w:t xml:space="preserve">in interest </w:t>
      </w:r>
      <w:r w:rsidRPr="005C7542" w:rsidR="00532682">
        <w:t>to the</w:t>
      </w:r>
      <w:r w:rsidRPr="005C7542" w:rsidR="00EC3D7D">
        <w:t xml:space="preserve"> participating plan,</w:t>
      </w:r>
      <w:r w:rsidR="00EC3D7D">
        <w:t xml:space="preserve"> the terms of </w:t>
      </w:r>
      <w:r w:rsidR="00A76229">
        <w:t>the</w:t>
      </w:r>
      <w:r w:rsidR="00EC3D7D">
        <w:t xml:space="preserve"> transaction must be at least as favorable to the collective investment fund as those available in an arm’s length transaction with an unrelated party, and the bank must maintain records of the transactions for six years </w:t>
      </w:r>
      <w:r w:rsidR="00834F6C">
        <w:t>and</w:t>
      </w:r>
      <w:r w:rsidR="0068375D">
        <w:t xml:space="preserve"> make the records available for inspection to specified interested persons (including the Department and the Internal Revenue Service)</w:t>
      </w:r>
      <w:r w:rsidR="00EC3D7D">
        <w:t>.</w:t>
      </w:r>
    </w:p>
    <w:p w:rsidRPr="00FA16FB" w:rsidR="0047535A" w:rsidP="00C02258" w:rsidRDefault="0047535A" w14:paraId="3A2CF065" w14:textId="77777777">
      <w:pPr>
        <w:ind w:left="720"/>
      </w:pPr>
    </w:p>
    <w:p w:rsidRPr="001457A2" w:rsidR="00504357" w:rsidP="00862A97" w:rsidRDefault="00504357" w14:paraId="690F3718" w14:textId="77777777">
      <w:pPr>
        <w:pStyle w:val="Quick1"/>
        <w:rPr>
          <w:b/>
          <w:i w:val="0"/>
          <w:sz w:val="24"/>
          <w:szCs w:val="24"/>
        </w:rPr>
      </w:pPr>
      <w:r w:rsidRPr="001457A2">
        <w:rPr>
          <w:b/>
          <w:i w:val="0"/>
          <w:sz w:val="24"/>
          <w:szCs w:val="24"/>
        </w:rPr>
        <w:t>Indicate how, by whom, and for what purpose the information is to be used.  Except for a new collection, indicate the actual use the agency has made of the information received from the current collection.</w:t>
      </w:r>
    </w:p>
    <w:p w:rsidRPr="00862A97" w:rsidR="0047535A" w:rsidP="00862A97" w:rsidRDefault="0047535A" w14:paraId="07C17CD9" w14:textId="77777777">
      <w:pPr>
        <w:tabs>
          <w:tab w:val="left" w:pos="360"/>
        </w:tabs>
        <w:ind w:left="720"/>
        <w:rPr>
          <w:i/>
          <w:iCs/>
        </w:rPr>
      </w:pPr>
    </w:p>
    <w:p w:rsidRPr="00862A97" w:rsidR="00EC3D7D" w:rsidP="00862A97" w:rsidRDefault="00532682" w14:paraId="24DF3E3E" w14:textId="77777777">
      <w:pPr>
        <w:tabs>
          <w:tab w:val="left" w:pos="-1440"/>
          <w:tab w:val="left" w:pos="-720"/>
          <w:tab w:val="left" w:pos="-630"/>
          <w:tab w:val="left" w:pos="720"/>
          <w:tab w:val="left" w:pos="1080"/>
          <w:tab w:val="left" w:pos="2160"/>
        </w:tabs>
        <w:ind w:left="720"/>
      </w:pPr>
      <w:r w:rsidRPr="00862A97">
        <w:t>The</w:t>
      </w:r>
      <w:r w:rsidRPr="00862A97" w:rsidR="009651FD">
        <w:t xml:space="preserve"> information </w:t>
      </w:r>
      <w:r w:rsidRPr="00862A97" w:rsidR="00F219FC">
        <w:t>collection</w:t>
      </w:r>
      <w:r w:rsidRPr="00862A97" w:rsidR="00D26703">
        <w:t>s involve</w:t>
      </w:r>
      <w:r w:rsidRPr="00862A97" w:rsidR="009651FD">
        <w:t xml:space="preserve"> </w:t>
      </w:r>
      <w:r w:rsidRPr="00862A97" w:rsidR="00F219FC">
        <w:t>recordkeeping</w:t>
      </w:r>
      <w:r w:rsidRPr="00862A97" w:rsidR="001D1F75">
        <w:t xml:space="preserve"> </w:t>
      </w:r>
      <w:r w:rsidRPr="00862A97" w:rsidR="00A76229">
        <w:t>and disclosure on request to the Department</w:t>
      </w:r>
      <w:r w:rsidRPr="00862A97" w:rsidR="001D1F75">
        <w:t xml:space="preserve"> and other interested persons</w:t>
      </w:r>
      <w:r w:rsidRPr="00862A97" w:rsidR="00A76229">
        <w:t>.</w:t>
      </w:r>
      <w:r w:rsidRPr="00862A97" w:rsidR="00EC3D7D">
        <w:t xml:space="preserve">  </w:t>
      </w:r>
      <w:r w:rsidRPr="00862A97" w:rsidR="00834F6C">
        <w:t xml:space="preserve">The </w:t>
      </w:r>
      <w:r w:rsidRPr="00862A97" w:rsidR="00A76229">
        <w:t xml:space="preserve">information collection </w:t>
      </w:r>
      <w:r w:rsidRPr="00862A97" w:rsidR="00834F6C">
        <w:t>requirement</w:t>
      </w:r>
      <w:r w:rsidRPr="00862A97" w:rsidR="00A76229">
        <w:t>s</w:t>
      </w:r>
      <w:r w:rsidRPr="00862A97" w:rsidR="0065147D">
        <w:t xml:space="preserve"> allow</w:t>
      </w:r>
      <w:r w:rsidRPr="00862A97" w:rsidR="00834F6C">
        <w:t xml:space="preserve"> the Department, the Internal Revenue Service</w:t>
      </w:r>
      <w:r w:rsidR="0006614E">
        <w:t>,</w:t>
      </w:r>
      <w:r w:rsidRPr="00862A97" w:rsidR="00834F6C">
        <w:t xml:space="preserve"> and other interested persons to verify that the bank </w:t>
      </w:r>
      <w:r w:rsidRPr="00862A97" w:rsidR="00493EA1">
        <w:t xml:space="preserve">collective investment fund </w:t>
      </w:r>
      <w:r w:rsidRPr="00862A97" w:rsidR="00834F6C">
        <w:t>has complied with the conditions of the exemption.</w:t>
      </w:r>
      <w:r w:rsidR="00320992">
        <w:t xml:space="preserve">  </w:t>
      </w:r>
      <w:r w:rsidRPr="00853F4C" w:rsidR="00320992">
        <w:t>These conditions are necessary, as required under section 408(a) of ERISA, to ensu</w:t>
      </w:r>
      <w:r w:rsidR="00320992">
        <w:t xml:space="preserve">re that respondents rely on the exemption only in the circumstances </w:t>
      </w:r>
      <w:r w:rsidRPr="00853F4C" w:rsidR="00320992">
        <w:t>protective of plan participants and beneficiaries.</w:t>
      </w:r>
    </w:p>
    <w:p w:rsidRPr="00862A97" w:rsidR="00DC12A7" w:rsidP="00862A97" w:rsidRDefault="00DC12A7" w14:paraId="236386D9" w14:textId="77777777">
      <w:pPr>
        <w:ind w:left="720"/>
        <w:rPr>
          <w:i/>
          <w:iCs/>
        </w:rPr>
      </w:pPr>
    </w:p>
    <w:p w:rsidRPr="001457A2" w:rsidR="00504357" w:rsidP="00F52582" w:rsidRDefault="00504357" w14:paraId="3C3900C2" w14:textId="77777777">
      <w:pPr>
        <w:pStyle w:val="Quick1"/>
        <w:rPr>
          <w:b/>
          <w:i w:val="0"/>
          <w:sz w:val="24"/>
          <w:szCs w:val="24"/>
        </w:rPr>
      </w:pPr>
      <w:r w:rsidRPr="001457A2">
        <w:rPr>
          <w:b/>
          <w:i w:val="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F52582" w:rsidR="00504357" w:rsidP="00F52582" w:rsidRDefault="00504357" w14:paraId="71DEE8B7" w14:textId="77777777">
      <w:pPr>
        <w:ind w:left="720"/>
        <w:rPr>
          <w:i/>
          <w:iCs/>
        </w:rPr>
      </w:pPr>
    </w:p>
    <w:p w:rsidRPr="00F52582" w:rsidR="00532682" w:rsidP="00F52582" w:rsidRDefault="00532682" w14:paraId="0F92B74F" w14:textId="77777777">
      <w:pPr>
        <w:pStyle w:val="BodyTextIndent"/>
        <w:tabs>
          <w:tab w:val="left" w:pos="0"/>
        </w:tabs>
      </w:pPr>
      <w:r w:rsidRPr="00F52582">
        <w:t>ERISA Section 2520-107-1 establishes standards concerning the use of electronic media for maintenance and retention of records.  Under these rules, entities such as banks and broker/dealers covered under Title I of ERISA may use electronic media to satisfy disclosure and recordkeeping obligations, subject to specific safeguards.  Based on its experience and expert knowledge, the Department believes that the respondents will use electronic systems to create, maintain, and disclose the required records.  The Department has taken the expected use of such automated systems into account in developing the burden estimates described in item 12, below.</w:t>
      </w:r>
    </w:p>
    <w:p w:rsidRPr="00F52582" w:rsidR="00493EA1" w:rsidP="00F52582" w:rsidRDefault="00493EA1" w14:paraId="0A8F0AE0" w14:textId="77777777">
      <w:pPr>
        <w:ind w:left="720"/>
        <w:rPr>
          <w:i/>
          <w:iCs/>
        </w:rPr>
      </w:pPr>
    </w:p>
    <w:p w:rsidRPr="001457A2" w:rsidR="00504357" w:rsidP="00F52582" w:rsidRDefault="00504357" w14:paraId="2CA0D731" w14:textId="77777777">
      <w:pPr>
        <w:pStyle w:val="Quick1"/>
        <w:rPr>
          <w:b/>
          <w:i w:val="0"/>
          <w:sz w:val="24"/>
          <w:szCs w:val="24"/>
        </w:rPr>
      </w:pPr>
      <w:r w:rsidRPr="001457A2">
        <w:rPr>
          <w:b/>
          <w:i w:val="0"/>
          <w:sz w:val="24"/>
          <w:szCs w:val="24"/>
        </w:rPr>
        <w:t>Describe efforts to identify duplication.  Show specifically why any similar information</w:t>
      </w:r>
      <w:r w:rsidRPr="001457A2" w:rsidR="005925F2">
        <w:rPr>
          <w:b/>
          <w:i w:val="0"/>
          <w:sz w:val="24"/>
          <w:szCs w:val="24"/>
        </w:rPr>
        <w:t xml:space="preserve"> </w:t>
      </w:r>
      <w:r w:rsidRPr="001457A2">
        <w:rPr>
          <w:b/>
          <w:i w:val="0"/>
          <w:sz w:val="24"/>
          <w:szCs w:val="24"/>
        </w:rPr>
        <w:t xml:space="preserve"> already  available cannot be used or modified for use for the purposes described in Item 2</w:t>
      </w:r>
      <w:r w:rsidRPr="001457A2" w:rsidR="005925F2">
        <w:rPr>
          <w:b/>
          <w:i w:val="0"/>
          <w:sz w:val="24"/>
          <w:szCs w:val="24"/>
        </w:rPr>
        <w:t xml:space="preserve"> </w:t>
      </w:r>
      <w:r w:rsidRPr="001457A2" w:rsidR="00F52582">
        <w:rPr>
          <w:b/>
          <w:i w:val="0"/>
          <w:sz w:val="24"/>
          <w:szCs w:val="24"/>
        </w:rPr>
        <w:t>above.</w:t>
      </w:r>
    </w:p>
    <w:p w:rsidRPr="00F52582" w:rsidR="00504357" w:rsidP="00F52582" w:rsidRDefault="00504357" w14:paraId="316C45E6"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F52582" w:rsidR="008D11E4" w:rsidP="00F52582" w:rsidRDefault="00760967" w14:paraId="21C24CE4"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F52582">
        <w:t>Banks already maintain records of the</w:t>
      </w:r>
      <w:r w:rsidRPr="00F52582" w:rsidR="00A76229">
        <w:t xml:space="preserve">se types of </w:t>
      </w:r>
      <w:r w:rsidRPr="00F52582">
        <w:t>transactions as a</w:t>
      </w:r>
      <w:r w:rsidRPr="00F52582" w:rsidR="00493EA1">
        <w:t xml:space="preserve"> matter of usual and customary </w:t>
      </w:r>
      <w:r w:rsidRPr="00F52582">
        <w:t>business practices and in order to satisfy other requirements of state and federal law.  Such records would satisfy this recordkeeping requirement</w:t>
      </w:r>
      <w:r w:rsidRPr="00F52582" w:rsidR="00493EA1">
        <w:t>,</w:t>
      </w:r>
      <w:r w:rsidRPr="00F52582" w:rsidR="000A1C93">
        <w:t xml:space="preserve"> and</w:t>
      </w:r>
      <w:r w:rsidRPr="00F52582">
        <w:t xml:space="preserve"> </w:t>
      </w:r>
      <w:r w:rsidRPr="00F52582" w:rsidR="000A1C93">
        <w:t>t</w:t>
      </w:r>
      <w:r w:rsidRPr="00F52582">
        <w:t xml:space="preserve">herefore there is no duplication of </w:t>
      </w:r>
      <w:r w:rsidRPr="00F52582" w:rsidR="00493EA1">
        <w:t>effort.</w:t>
      </w:r>
    </w:p>
    <w:p w:rsidRPr="00F52582" w:rsidR="00504357" w:rsidP="00F52582" w:rsidRDefault="00504357" w14:paraId="360C937B" w14:textId="77777777">
      <w:pPr>
        <w:ind w:left="720"/>
        <w:rPr>
          <w:i/>
          <w:iCs/>
        </w:rPr>
      </w:pPr>
    </w:p>
    <w:p w:rsidRPr="001457A2" w:rsidR="00504357" w:rsidP="00F52582" w:rsidRDefault="00504357" w14:paraId="1B82A88F" w14:textId="77777777">
      <w:pPr>
        <w:pStyle w:val="Quick1"/>
        <w:rPr>
          <w:b/>
          <w:i w:val="0"/>
          <w:sz w:val="24"/>
          <w:szCs w:val="24"/>
        </w:rPr>
      </w:pPr>
      <w:r w:rsidRPr="001457A2">
        <w:rPr>
          <w:b/>
          <w:i w:val="0"/>
          <w:sz w:val="24"/>
          <w:szCs w:val="24"/>
        </w:rPr>
        <w:t>If the collection of information impacts small businesses or other small entities</w:t>
      </w:r>
      <w:r w:rsidRPr="001457A2" w:rsidR="00137EC2">
        <w:rPr>
          <w:b/>
          <w:i w:val="0"/>
          <w:sz w:val="24"/>
          <w:szCs w:val="24"/>
        </w:rPr>
        <w:t xml:space="preserve"> </w:t>
      </w:r>
      <w:r w:rsidRPr="001457A2">
        <w:rPr>
          <w:b/>
          <w:i w:val="0"/>
          <w:sz w:val="24"/>
          <w:szCs w:val="24"/>
        </w:rPr>
        <w:t>describe any m</w:t>
      </w:r>
      <w:r w:rsidRPr="001457A2" w:rsidR="0047535A">
        <w:rPr>
          <w:b/>
          <w:i w:val="0"/>
          <w:sz w:val="24"/>
          <w:szCs w:val="24"/>
        </w:rPr>
        <w:t>ethods used to minimize burden.</w:t>
      </w:r>
    </w:p>
    <w:p w:rsidRPr="00F52582" w:rsidR="0047535A" w:rsidP="00F52582" w:rsidRDefault="0047535A" w14:paraId="7E892560" w14:textId="77777777">
      <w:pPr>
        <w:ind w:left="720"/>
        <w:rPr>
          <w:i/>
          <w:iCs/>
        </w:rPr>
      </w:pPr>
    </w:p>
    <w:p w:rsidRPr="00F52582" w:rsidR="00504357" w:rsidP="00F52582" w:rsidRDefault="00504357" w14:paraId="6E6BD340" w14:textId="77777777">
      <w:pPr>
        <w:ind w:left="720"/>
      </w:pPr>
      <w:r w:rsidRPr="00F52582">
        <w:t xml:space="preserve">The recordkeeping requirement </w:t>
      </w:r>
      <w:r w:rsidRPr="00F52582" w:rsidR="008D11E4">
        <w:t>is</w:t>
      </w:r>
      <w:r w:rsidRPr="00F52582">
        <w:t xml:space="preserve"> only imposed on </w:t>
      </w:r>
      <w:r w:rsidRPr="00F52582" w:rsidR="00657B95">
        <w:t xml:space="preserve">those </w:t>
      </w:r>
      <w:r w:rsidRPr="00F52582">
        <w:t xml:space="preserve">banks maintaining collective investment funds that choose to </w:t>
      </w:r>
      <w:r w:rsidRPr="00F52582" w:rsidR="00493EA1">
        <w:t xml:space="preserve">rely on the exemption in order to </w:t>
      </w:r>
      <w:r w:rsidRPr="00F52582">
        <w:t xml:space="preserve">conduct business with </w:t>
      </w:r>
      <w:r w:rsidRPr="00F52582">
        <w:lastRenderedPageBreak/>
        <w:t>a</w:t>
      </w:r>
      <w:r w:rsidRPr="00F52582" w:rsidR="00657B95">
        <w:t>n individual or entity that is a</w:t>
      </w:r>
      <w:r w:rsidRPr="00F52582">
        <w:t xml:space="preserve"> party in interest of a plan invested in the fund.</w:t>
      </w:r>
      <w:r w:rsidRPr="00F52582" w:rsidR="005925F2">
        <w:t xml:space="preserve">  T</w:t>
      </w:r>
      <w:r w:rsidRPr="00F52582">
        <w:t xml:space="preserve">hese </w:t>
      </w:r>
      <w:r w:rsidRPr="00F52582" w:rsidR="00A76229">
        <w:t>banks</w:t>
      </w:r>
      <w:r w:rsidRPr="00F52582" w:rsidR="005925F2">
        <w:t xml:space="preserve"> </w:t>
      </w:r>
      <w:r w:rsidRPr="00F52582" w:rsidR="00D86806">
        <w:t>are generally</w:t>
      </w:r>
      <w:r w:rsidRPr="00F52582" w:rsidR="00493EA1">
        <w:t xml:space="preserve"> </w:t>
      </w:r>
      <w:r w:rsidRPr="00F52582" w:rsidR="00E555A8">
        <w:t xml:space="preserve">large </w:t>
      </w:r>
      <w:r w:rsidRPr="00F52582" w:rsidR="00A76229">
        <w:t>institutions</w:t>
      </w:r>
      <w:r w:rsidRPr="00F52582" w:rsidR="00493EA1">
        <w:t>,</w:t>
      </w:r>
      <w:r w:rsidRPr="00F52582" w:rsidR="00E555A8">
        <w:t xml:space="preserve"> and</w:t>
      </w:r>
      <w:r w:rsidRPr="00F52582" w:rsidR="008D11E4">
        <w:t xml:space="preserve"> </w:t>
      </w:r>
      <w:r w:rsidRPr="00F52582" w:rsidR="00E555A8">
        <w:t xml:space="preserve">the exemption is therefore unlikely to have an impact on small </w:t>
      </w:r>
      <w:r w:rsidRPr="00F52582" w:rsidR="00F52582">
        <w:t>businesses or entities.</w:t>
      </w:r>
    </w:p>
    <w:p w:rsidRPr="00F52582" w:rsidR="00504357" w:rsidP="00F52582" w:rsidRDefault="00504357" w14:paraId="3994365C" w14:textId="77777777">
      <w:pPr>
        <w:ind w:left="720"/>
        <w:rPr>
          <w:i/>
          <w:iCs/>
        </w:rPr>
      </w:pPr>
    </w:p>
    <w:p w:rsidRPr="001457A2" w:rsidR="00504357" w:rsidP="00F52582" w:rsidRDefault="0047535A" w14:paraId="05F647DC" w14:textId="77777777">
      <w:pPr>
        <w:pStyle w:val="Quick1"/>
        <w:rPr>
          <w:b/>
          <w:i w:val="0"/>
          <w:sz w:val="24"/>
          <w:szCs w:val="24"/>
        </w:rPr>
      </w:pPr>
      <w:r w:rsidRPr="001457A2">
        <w:rPr>
          <w:b/>
          <w:i w:val="0"/>
          <w:sz w:val="24"/>
          <w:szCs w:val="24"/>
        </w:rPr>
        <w:t>De</w:t>
      </w:r>
      <w:r w:rsidRPr="001457A2" w:rsidR="00504357">
        <w:rPr>
          <w:b/>
          <w:i w:val="0"/>
          <w:sz w:val="24"/>
          <w:szCs w:val="24"/>
        </w:rPr>
        <w:t>scribe the consequence to Federal program or policy activities if the collection is not conducted or is conducted less frequently, as well as any technical or legal obstacles to reducing burden.</w:t>
      </w:r>
    </w:p>
    <w:p w:rsidRPr="00F52582" w:rsidR="00504357" w:rsidP="00F52582" w:rsidRDefault="00504357" w14:paraId="542F6DA1"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F52582" w:rsidR="00504357" w:rsidP="00F52582" w:rsidRDefault="00504357" w14:paraId="3A8DA7DC" w14:textId="52E35F3E">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F52582">
        <w:t xml:space="preserve">The </w:t>
      </w:r>
      <w:r w:rsidRPr="00F52582" w:rsidR="00A76229">
        <w:t>information collection</w:t>
      </w:r>
      <w:r w:rsidRPr="00F52582">
        <w:t xml:space="preserve"> requirements are only </w:t>
      </w:r>
      <w:r w:rsidR="00787181">
        <w:t>required</w:t>
      </w:r>
      <w:r w:rsidRPr="00F52582" w:rsidR="00787181">
        <w:t xml:space="preserve"> </w:t>
      </w:r>
      <w:r w:rsidRPr="00F52582">
        <w:t xml:space="preserve">if banks </w:t>
      </w:r>
      <w:r w:rsidRPr="00F52582" w:rsidR="00206AF0">
        <w:t>elect to</w:t>
      </w:r>
      <w:r w:rsidR="00807B9B">
        <w:t xml:space="preserve"> obtain the benefit of</w:t>
      </w:r>
      <w:r w:rsidRPr="00F52582" w:rsidR="00206AF0">
        <w:t xml:space="preserve"> rely</w:t>
      </w:r>
      <w:r w:rsidR="00807B9B">
        <w:t>ing</w:t>
      </w:r>
      <w:r w:rsidRPr="00F52582" w:rsidR="00206AF0">
        <w:t xml:space="preserve"> on</w:t>
      </w:r>
      <w:r w:rsidRPr="00F52582">
        <w:t xml:space="preserve"> the class exemption. The frequency </w:t>
      </w:r>
      <w:r w:rsidRPr="00F52582" w:rsidR="00493EA1">
        <w:t xml:space="preserve">of the information collection </w:t>
      </w:r>
      <w:r w:rsidRPr="00F52582">
        <w:t xml:space="preserve">is dependent on the occurrence of a transaction </w:t>
      </w:r>
      <w:r w:rsidRPr="00F52582" w:rsidR="00493EA1">
        <w:t>for which the exemption is necessary,</w:t>
      </w:r>
      <w:r w:rsidRPr="00F52582">
        <w:t xml:space="preserve"> not on a predetermined time period.</w:t>
      </w:r>
      <w:r w:rsidRPr="00F52582" w:rsidR="00D86806">
        <w:t xml:space="preserve">  Eliminating the </w:t>
      </w:r>
      <w:r w:rsidRPr="00F52582" w:rsidR="00A76229">
        <w:t>information collection</w:t>
      </w:r>
      <w:r w:rsidRPr="00F52582" w:rsidR="00D86806">
        <w:t xml:space="preserve"> would make it difficult to </w:t>
      </w:r>
      <w:r w:rsidRPr="00F52582" w:rsidR="00CE22BE">
        <w:t>ensure compliance with</w:t>
      </w:r>
      <w:r w:rsidRPr="00F52582" w:rsidR="00076594">
        <w:t xml:space="preserve"> the conditions of </w:t>
      </w:r>
      <w:r w:rsidRPr="00F52582" w:rsidR="00F52582">
        <w:t>the exemption.</w:t>
      </w:r>
    </w:p>
    <w:p w:rsidRPr="00F52582" w:rsidR="00504357" w:rsidP="00F52582" w:rsidRDefault="00504357" w14:paraId="676D6BC0"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1457A2" w:rsidR="00504357" w:rsidP="00757D89" w:rsidRDefault="00504357" w14:paraId="6BCB93DE" w14:textId="77777777">
      <w:pPr>
        <w:pStyle w:val="Quick1"/>
        <w:rPr>
          <w:b/>
          <w:i w:val="0"/>
          <w:sz w:val="24"/>
          <w:szCs w:val="24"/>
        </w:rPr>
      </w:pPr>
      <w:r w:rsidRPr="001457A2">
        <w:rPr>
          <w:b/>
          <w:i w:val="0"/>
          <w:sz w:val="24"/>
          <w:szCs w:val="24"/>
        </w:rPr>
        <w:t>Explain any special circumstances that would cause an information collection to be conducted in a manner:</w:t>
      </w:r>
    </w:p>
    <w:p w:rsidRPr="001457A2" w:rsidR="00504357" w:rsidP="00757D89" w:rsidRDefault="00504357" w14:paraId="7BF493CC" w14:textId="77777777">
      <w:pPr>
        <w:pStyle w:val="Style10ptItalicLeft05Hanging025"/>
        <w:rPr>
          <w:b/>
          <w:i w:val="0"/>
          <w:sz w:val="24"/>
          <w:szCs w:val="24"/>
        </w:rPr>
      </w:pPr>
      <w:r w:rsidRPr="001457A2">
        <w:rPr>
          <w:b/>
          <w:i w:val="0"/>
          <w:sz w:val="24"/>
          <w:szCs w:val="24"/>
        </w:rPr>
        <w:t>requiring respondents to report information to the agency more often than quarterly;</w:t>
      </w:r>
    </w:p>
    <w:p w:rsidRPr="001457A2" w:rsidR="00504357" w:rsidP="00757D89" w:rsidRDefault="00504357" w14:paraId="70D6E587" w14:textId="77777777">
      <w:pPr>
        <w:pStyle w:val="Style10ptItalicLeft05Hanging025"/>
        <w:rPr>
          <w:b/>
          <w:i w:val="0"/>
          <w:sz w:val="24"/>
          <w:szCs w:val="24"/>
        </w:rPr>
      </w:pPr>
      <w:r w:rsidRPr="001457A2">
        <w:rPr>
          <w:b/>
          <w:i w:val="0"/>
          <w:sz w:val="24"/>
          <w:szCs w:val="24"/>
        </w:rPr>
        <w:t>requiring respondents to prepare a written response to a collection of information in fewer than 30 days after receipt of it;</w:t>
      </w:r>
    </w:p>
    <w:p w:rsidRPr="001457A2" w:rsidR="00504357" w:rsidP="00757D89" w:rsidRDefault="00504357" w14:paraId="7F3065F3" w14:textId="77777777">
      <w:pPr>
        <w:pStyle w:val="Style10ptItalicLeft05Hanging025"/>
        <w:rPr>
          <w:b/>
          <w:i w:val="0"/>
          <w:sz w:val="24"/>
          <w:szCs w:val="24"/>
        </w:rPr>
      </w:pPr>
      <w:r w:rsidRPr="001457A2">
        <w:rPr>
          <w:b/>
          <w:i w:val="0"/>
          <w:sz w:val="24"/>
          <w:szCs w:val="24"/>
        </w:rPr>
        <w:t>requiring respondents to submit more than an original and two copies of any document;</w:t>
      </w:r>
    </w:p>
    <w:p w:rsidRPr="001457A2" w:rsidR="00504357" w:rsidP="00757D89" w:rsidRDefault="00504357" w14:paraId="7EC4097E" w14:textId="77777777">
      <w:pPr>
        <w:pStyle w:val="Style10ptItalicLeft05Hanging025"/>
        <w:rPr>
          <w:b/>
          <w:i w:val="0"/>
          <w:sz w:val="24"/>
          <w:szCs w:val="24"/>
        </w:rPr>
      </w:pPr>
      <w:r w:rsidRPr="001457A2">
        <w:rPr>
          <w:b/>
          <w:i w:val="0"/>
          <w:sz w:val="24"/>
          <w:szCs w:val="24"/>
        </w:rPr>
        <w:t>requiring respondents to retain records, other than health, medical, government contract, grant-in-aid, or tax records for more than three years;</w:t>
      </w:r>
    </w:p>
    <w:p w:rsidRPr="001457A2" w:rsidR="00504357" w:rsidP="00757D89" w:rsidRDefault="00504357" w14:paraId="41AD2E78" w14:textId="77777777">
      <w:pPr>
        <w:pStyle w:val="Style10ptItalicLeft05Hanging025"/>
        <w:rPr>
          <w:b/>
          <w:i w:val="0"/>
          <w:sz w:val="24"/>
          <w:szCs w:val="24"/>
        </w:rPr>
      </w:pPr>
      <w:r w:rsidRPr="001457A2">
        <w:rPr>
          <w:b/>
          <w:i w:val="0"/>
          <w:sz w:val="24"/>
          <w:szCs w:val="24"/>
        </w:rPr>
        <w:t>in connection with a statistical survey, that is not designed to produce valid and reliable results that can be generalized to the universe of study;</w:t>
      </w:r>
    </w:p>
    <w:p w:rsidRPr="001457A2" w:rsidR="00504357" w:rsidP="00757D89" w:rsidRDefault="00504357" w14:paraId="2BDC89A3" w14:textId="77777777">
      <w:pPr>
        <w:pStyle w:val="Style10ptItalicLeft05Hanging025"/>
        <w:rPr>
          <w:b/>
          <w:i w:val="0"/>
          <w:sz w:val="24"/>
          <w:szCs w:val="24"/>
        </w:rPr>
      </w:pPr>
      <w:r w:rsidRPr="001457A2">
        <w:rPr>
          <w:b/>
          <w:i w:val="0"/>
          <w:sz w:val="24"/>
          <w:szCs w:val="24"/>
        </w:rPr>
        <w:t>requiring the use of a statistical data classification that has not been reviewed and approved by OMB;</w:t>
      </w:r>
    </w:p>
    <w:p w:rsidRPr="001457A2" w:rsidR="00504357" w:rsidP="00757D89" w:rsidRDefault="00504357" w14:paraId="4698F61A" w14:textId="77777777">
      <w:pPr>
        <w:pStyle w:val="Style10ptItalicLeft05Hanging025"/>
        <w:rPr>
          <w:b/>
          <w:i w:val="0"/>
          <w:sz w:val="24"/>
          <w:szCs w:val="24"/>
        </w:rPr>
      </w:pPr>
      <w:r w:rsidRPr="001457A2">
        <w:rPr>
          <w:b/>
          <w:i w:val="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457A2" w:rsidR="00504357" w:rsidP="00757D89" w:rsidRDefault="00504357" w14:paraId="75260CA6" w14:textId="77777777">
      <w:pPr>
        <w:pStyle w:val="Style10ptItalicLeft05Hanging025"/>
        <w:rPr>
          <w:b/>
          <w:i w:val="0"/>
          <w:sz w:val="24"/>
          <w:szCs w:val="24"/>
        </w:rPr>
      </w:pPr>
      <w:r w:rsidRPr="001457A2">
        <w:rPr>
          <w:b/>
          <w:i w:val="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757D89" w:rsidR="00504357" w:rsidP="00757D89" w:rsidRDefault="00504357" w14:paraId="4FC027E7"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757D89" w:rsidR="00504357" w:rsidP="00757D89" w:rsidRDefault="00AE19D8" w14:paraId="19C79C77" w14:textId="77777777">
      <w:pPr>
        <w:ind w:left="720"/>
      </w:pPr>
      <w:r w:rsidRPr="00757D89">
        <w:t>The six-</w:t>
      </w:r>
      <w:r w:rsidRPr="00757D89" w:rsidR="00504357">
        <w:t xml:space="preserve">year recordkeeping requirement is consistent with requirements </w:t>
      </w:r>
      <w:r w:rsidRPr="00757D89" w:rsidR="00076594">
        <w:t>of</w:t>
      </w:r>
      <w:r w:rsidRPr="00757D89" w:rsidR="00504357">
        <w:t xml:space="preserve"> section 107 of ERISA as well as general recordkeeping requirements for tax information under the</w:t>
      </w:r>
      <w:r w:rsidRPr="00757D89" w:rsidR="00973570">
        <w:t xml:space="preserve"> </w:t>
      </w:r>
      <w:r w:rsidRPr="00757D89" w:rsidR="00504357">
        <w:t xml:space="preserve">Code.  Because this exemption is granted under section 4975(c) of the Code (as well as section 408 of ERISA), the exclusion of tax records </w:t>
      </w:r>
      <w:r w:rsidRPr="00757D89">
        <w:t>from the three-</w:t>
      </w:r>
      <w:r w:rsidRPr="00757D89" w:rsidR="00504357">
        <w:t xml:space="preserve">year guideline for </w:t>
      </w:r>
      <w:r w:rsidRPr="00757D89" w:rsidR="00504357">
        <w:lastRenderedPageBreak/>
        <w:t xml:space="preserve">record retention set forth in 5 CFR 1320.6 is applicable.  The recordkeeping requirement is also </w:t>
      </w:r>
      <w:r w:rsidRPr="00757D89" w:rsidR="00493EA1">
        <w:t>consistent</w:t>
      </w:r>
      <w:r w:rsidRPr="00757D89" w:rsidR="00504357">
        <w:t xml:space="preserve"> with other </w:t>
      </w:r>
      <w:r w:rsidR="00757D89">
        <w:t>statutory provisions of ERISA.</w:t>
      </w:r>
    </w:p>
    <w:p w:rsidRPr="00757D89" w:rsidR="00504357" w:rsidP="00757D89" w:rsidRDefault="00504357" w14:paraId="19CA4904" w14:textId="77777777">
      <w:pPr>
        <w:ind w:left="720"/>
        <w:rPr>
          <w:i/>
          <w:iCs/>
        </w:rPr>
      </w:pPr>
    </w:p>
    <w:p w:rsidRPr="001457A2" w:rsidR="00504357" w:rsidP="00757D89" w:rsidRDefault="0047535A" w14:paraId="005FD262" w14:textId="77777777">
      <w:pPr>
        <w:pStyle w:val="Quick1"/>
        <w:rPr>
          <w:b/>
          <w:i w:val="0"/>
          <w:sz w:val="24"/>
          <w:szCs w:val="24"/>
        </w:rPr>
      </w:pPr>
      <w:r w:rsidRPr="001457A2">
        <w:rPr>
          <w:b/>
          <w:i w:val="0"/>
          <w:sz w:val="24"/>
          <w:szCs w:val="24"/>
        </w:rPr>
        <w:t>I</w:t>
      </w:r>
      <w:r w:rsidRPr="001457A2" w:rsidR="00504357">
        <w:rPr>
          <w:b/>
          <w:i w:val="0"/>
          <w:sz w:val="24"/>
          <w:szCs w:val="24"/>
        </w:rPr>
        <w:t>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57D89" w:rsidR="00504357" w:rsidP="00757D89" w:rsidRDefault="00504357" w14:paraId="7716A85B"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i/>
          <w:iCs/>
        </w:rPr>
      </w:pPr>
    </w:p>
    <w:p w:rsidRPr="001457A2" w:rsidR="00504357" w:rsidP="00757D89" w:rsidRDefault="00504357" w14:paraId="3B459216" w14:textId="77777777">
      <w:pPr>
        <w:pStyle w:val="Style10ptItalicLeft05Hanging0251"/>
        <w:rPr>
          <w:b/>
          <w:i w:val="0"/>
          <w:sz w:val="24"/>
          <w:szCs w:val="24"/>
        </w:rPr>
      </w:pPr>
      <w:r w:rsidRPr="001457A2">
        <w:rPr>
          <w:b/>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w:t>
      </w:r>
      <w:r w:rsidRPr="001457A2" w:rsidR="0047535A">
        <w:rPr>
          <w:b/>
          <w:i w:val="0"/>
          <w:sz w:val="24"/>
          <w:szCs w:val="24"/>
        </w:rPr>
        <w:t>ecorded, disclosed, or reported.</w:t>
      </w:r>
    </w:p>
    <w:p w:rsidRPr="001457A2" w:rsidR="0047535A" w:rsidP="00757D89" w:rsidRDefault="0047535A" w14:paraId="770234EC" w14:textId="77777777">
      <w:pPr>
        <w:ind w:left="720"/>
        <w:rPr>
          <w:b/>
        </w:rPr>
      </w:pPr>
    </w:p>
    <w:p w:rsidRPr="001457A2" w:rsidR="0047535A" w:rsidP="00757D89" w:rsidRDefault="0047535A" w14:paraId="2AB54742" w14:textId="77777777">
      <w:pPr>
        <w:pStyle w:val="Style10ptItalicLeft025"/>
        <w:rPr>
          <w:b/>
          <w:i w:val="0"/>
          <w:sz w:val="24"/>
          <w:szCs w:val="24"/>
        </w:rPr>
      </w:pPr>
      <w:r w:rsidRPr="001457A2">
        <w:rPr>
          <w:b/>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57D89" w:rsidR="0047535A" w:rsidP="00757D89" w:rsidRDefault="0047535A" w14:paraId="077B7CD5" w14:textId="77777777">
      <w:pPr>
        <w:pStyle w:val="Style10ptItalicLeft025"/>
        <w:rPr>
          <w:sz w:val="24"/>
          <w:szCs w:val="24"/>
        </w:rPr>
      </w:pPr>
    </w:p>
    <w:p w:rsidRPr="00757D89" w:rsidR="00F0061B" w:rsidP="00757D89" w:rsidRDefault="00AE4019" w14:paraId="2770A04B" w14:textId="77777777">
      <w:pPr>
        <w:ind w:left="720"/>
      </w:pPr>
      <w:r>
        <w:t>A</w:t>
      </w:r>
      <w:r w:rsidRPr="00757D89">
        <w:t>s required by 5 CFR 1320.8 (d)</w:t>
      </w:r>
      <w:r>
        <w:t>, t</w:t>
      </w:r>
      <w:r w:rsidRPr="00757D89" w:rsidR="00091564">
        <w:t xml:space="preserve">he </w:t>
      </w:r>
      <w:r w:rsidRPr="00757D89" w:rsidR="00504357">
        <w:t>Department</w:t>
      </w:r>
      <w:r>
        <w:t xml:space="preserve"> published a </w:t>
      </w:r>
      <w:r w:rsidRPr="00AE4019" w:rsidR="00504357">
        <w:t>Federal Register</w:t>
      </w:r>
      <w:r w:rsidRPr="00757D89" w:rsidR="002437DC">
        <w:t xml:space="preserve"> notice </w:t>
      </w:r>
      <w:r w:rsidRPr="00757D89">
        <w:t xml:space="preserve">on </w:t>
      </w:r>
      <w:r w:rsidR="00BF1A14">
        <w:t>November 9</w:t>
      </w:r>
      <w:r w:rsidR="00AC7E15">
        <w:t xml:space="preserve">, </w:t>
      </w:r>
      <w:r w:rsidR="00BF1A14">
        <w:t xml:space="preserve">2021 </w:t>
      </w:r>
      <w:r w:rsidRPr="00757D89">
        <w:t>(</w:t>
      </w:r>
      <w:r w:rsidR="00BF1A14">
        <w:t>86</w:t>
      </w:r>
      <w:r w:rsidRPr="00757D89" w:rsidR="00BF1A14">
        <w:t xml:space="preserve"> </w:t>
      </w:r>
      <w:r w:rsidRPr="00757D89">
        <w:t xml:space="preserve">FR </w:t>
      </w:r>
      <w:r w:rsidRPr="00BF1A14" w:rsidR="00BF1A14">
        <w:t>62208</w:t>
      </w:r>
      <w:r w:rsidRPr="00757D89">
        <w:t>)</w:t>
      </w:r>
      <w:r>
        <w:t xml:space="preserve"> providing the public with 60 days to </w:t>
      </w:r>
      <w:r w:rsidRPr="00757D89" w:rsidR="002437DC">
        <w:t>comment on the proposed extension of the information collection</w:t>
      </w:r>
      <w:r w:rsidRPr="00757D89" w:rsidR="0067362B">
        <w:t xml:space="preserve">. </w:t>
      </w:r>
      <w:r w:rsidRPr="00757D89" w:rsidR="00091564">
        <w:t xml:space="preserve"> </w:t>
      </w:r>
      <w:r>
        <w:t>N</w:t>
      </w:r>
      <w:r w:rsidRPr="00757D89" w:rsidR="00046CA7">
        <w:t>o comments were received.</w:t>
      </w:r>
    </w:p>
    <w:p w:rsidRPr="00757D89" w:rsidR="00F0061B" w:rsidP="00757D89" w:rsidRDefault="00F0061B" w14:paraId="26C21778" w14:textId="77777777">
      <w:pPr>
        <w:ind w:left="720"/>
      </w:pPr>
    </w:p>
    <w:p w:rsidRPr="001457A2" w:rsidR="00F0061B" w:rsidP="00757D89" w:rsidRDefault="00F0061B" w14:paraId="7F0B0F3C" w14:textId="77777777">
      <w:pPr>
        <w:pStyle w:val="Quick1"/>
        <w:rPr>
          <w:b/>
          <w:i w:val="0"/>
          <w:sz w:val="24"/>
          <w:szCs w:val="24"/>
        </w:rPr>
      </w:pPr>
      <w:r w:rsidRPr="001457A2">
        <w:rPr>
          <w:b/>
          <w:i w:val="0"/>
          <w:sz w:val="24"/>
          <w:szCs w:val="24"/>
        </w:rPr>
        <w:t>Explain any decision to provide any payment or gift to respondents, other than remuneration of contractors or grantees.</w:t>
      </w:r>
    </w:p>
    <w:p w:rsidR="008F4C7F" w:rsidP="00757D89" w:rsidRDefault="008F4C7F" w14:paraId="66547D49" w14:textId="77777777">
      <w:pPr>
        <w:ind w:left="720"/>
      </w:pPr>
    </w:p>
    <w:p w:rsidR="008F4C7F" w:rsidP="00757D89" w:rsidRDefault="008F4C7F" w14:paraId="52574989" w14:textId="77777777">
      <w:pPr>
        <w:ind w:left="720"/>
      </w:pPr>
      <w:r>
        <w:t>No payment or gift is provided.</w:t>
      </w:r>
    </w:p>
    <w:p w:rsidRPr="00291740" w:rsidR="008F4C7F" w:rsidP="00757D89" w:rsidRDefault="008F4C7F" w14:paraId="79ACFBCF" w14:textId="77777777">
      <w:pPr>
        <w:ind w:left="720"/>
      </w:pPr>
    </w:p>
    <w:p w:rsidRPr="001457A2" w:rsidR="00504357" w:rsidP="00757D89" w:rsidRDefault="00504357" w14:paraId="7C453BBE" w14:textId="77777777">
      <w:pPr>
        <w:pStyle w:val="Quick1"/>
        <w:rPr>
          <w:b/>
          <w:i w:val="0"/>
          <w:sz w:val="24"/>
          <w:szCs w:val="24"/>
        </w:rPr>
      </w:pPr>
      <w:r w:rsidRPr="001457A2">
        <w:rPr>
          <w:b/>
          <w:i w:val="0"/>
          <w:sz w:val="24"/>
          <w:szCs w:val="24"/>
        </w:rPr>
        <w:t xml:space="preserve">Describe any assurance of confidentiality provided to respondents and the basis for the </w:t>
      </w:r>
      <w:r w:rsidRPr="001457A2" w:rsidR="006E733F">
        <w:rPr>
          <w:b/>
          <w:i w:val="0"/>
          <w:sz w:val="24"/>
          <w:szCs w:val="24"/>
        </w:rPr>
        <w:t>assurance in statute,</w:t>
      </w:r>
      <w:r w:rsidRPr="001457A2" w:rsidR="00091564">
        <w:rPr>
          <w:b/>
          <w:i w:val="0"/>
          <w:sz w:val="24"/>
          <w:szCs w:val="24"/>
        </w:rPr>
        <w:t xml:space="preserve"> </w:t>
      </w:r>
      <w:r w:rsidRPr="001457A2">
        <w:rPr>
          <w:b/>
          <w:i w:val="0"/>
          <w:sz w:val="24"/>
          <w:szCs w:val="24"/>
        </w:rPr>
        <w:t>regulation, or agency policy.</w:t>
      </w:r>
    </w:p>
    <w:p w:rsidRPr="00B021BC" w:rsidR="00504357" w:rsidP="00757D89" w:rsidRDefault="00504357" w14:paraId="0711D87F" w14:textId="77777777">
      <w:pPr>
        <w:ind w:left="720"/>
      </w:pPr>
    </w:p>
    <w:p w:rsidRPr="009651FD" w:rsidR="00504357" w:rsidP="00757D89" w:rsidRDefault="00504357" w14:paraId="52AB25FA" w14:textId="77777777">
      <w:pPr>
        <w:tabs>
          <w:tab w:val="left" w:pos="-2160"/>
          <w:tab w:val="left" w:pos="-1440"/>
          <w:tab w:val="left" w:pos="0"/>
          <w:tab w:val="left" w:pos="360"/>
          <w:tab w:val="left" w:pos="1440"/>
          <w:tab w:val="left" w:pos="2160"/>
          <w:tab w:val="left" w:pos="2880"/>
          <w:tab w:val="left" w:pos="3600"/>
          <w:tab w:val="left" w:pos="4320"/>
          <w:tab w:val="left" w:pos="5040"/>
          <w:tab w:val="left" w:pos="5760"/>
          <w:tab w:val="left" w:pos="7110"/>
          <w:tab w:val="left" w:pos="7920"/>
        </w:tabs>
        <w:ind w:left="720"/>
      </w:pPr>
      <w:r w:rsidRPr="009651FD">
        <w:t xml:space="preserve">No assurance of confidentiality </w:t>
      </w:r>
      <w:r w:rsidR="00046CA7">
        <w:t>is</w:t>
      </w:r>
      <w:r w:rsidR="00757D89">
        <w:t xml:space="preserve"> provided.</w:t>
      </w:r>
    </w:p>
    <w:p w:rsidRPr="00291740" w:rsidR="00504357" w:rsidP="00757D89" w:rsidRDefault="00504357" w14:paraId="0ADCB73F" w14:textId="77777777">
      <w:pPr>
        <w:tabs>
          <w:tab w:val="left" w:pos="-2160"/>
          <w:tab w:val="left" w:pos="-1440"/>
          <w:tab w:val="left" w:pos="-720"/>
          <w:tab w:val="left" w:pos="0"/>
          <w:tab w:val="left" w:pos="360"/>
          <w:tab w:val="left" w:pos="1440"/>
          <w:tab w:val="left" w:pos="2160"/>
          <w:tab w:val="left" w:pos="2880"/>
          <w:tab w:val="left" w:pos="3600"/>
          <w:tab w:val="left" w:pos="4320"/>
          <w:tab w:val="left" w:pos="5040"/>
          <w:tab w:val="left" w:pos="5760"/>
          <w:tab w:val="left" w:pos="7110"/>
          <w:tab w:val="left" w:pos="7920"/>
        </w:tabs>
        <w:ind w:left="720"/>
      </w:pPr>
    </w:p>
    <w:p w:rsidRPr="001457A2" w:rsidR="00504357" w:rsidP="008F4C7F" w:rsidRDefault="00504357" w14:paraId="506EB40B" w14:textId="77777777">
      <w:pPr>
        <w:pStyle w:val="Quick1"/>
        <w:rPr>
          <w:b/>
          <w:i w:val="0"/>
          <w:sz w:val="24"/>
          <w:szCs w:val="24"/>
        </w:rPr>
      </w:pPr>
      <w:r w:rsidRPr="001457A2">
        <w:rPr>
          <w:b/>
          <w:i w:val="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4C7F" w:rsidR="00504357" w:rsidP="00757D89" w:rsidRDefault="00504357" w14:paraId="41FDE0C3" w14:textId="77777777">
      <w:pPr>
        <w:ind w:left="720"/>
      </w:pPr>
    </w:p>
    <w:p w:rsidR="00504357" w:rsidP="00757D89" w:rsidRDefault="00757D89" w14:paraId="43A47FB7" w14:textId="77777777">
      <w:pPr>
        <w:ind w:left="720"/>
      </w:pPr>
      <w:r>
        <w:lastRenderedPageBreak/>
        <w:t>None.</w:t>
      </w:r>
    </w:p>
    <w:p w:rsidRPr="009651FD" w:rsidR="00757D89" w:rsidP="00757D89" w:rsidRDefault="00757D89" w14:paraId="18C47862" w14:textId="77777777">
      <w:pPr>
        <w:ind w:left="720"/>
      </w:pPr>
    </w:p>
    <w:p w:rsidRPr="001457A2" w:rsidR="00504357" w:rsidP="009A638D" w:rsidRDefault="00504357" w14:paraId="444B0677" w14:textId="77777777">
      <w:pPr>
        <w:pStyle w:val="Quick1"/>
        <w:tabs>
          <w:tab w:val="num" w:pos="0"/>
        </w:tabs>
        <w:rPr>
          <w:b/>
          <w:i w:val="0"/>
          <w:sz w:val="24"/>
          <w:szCs w:val="24"/>
        </w:rPr>
      </w:pPr>
      <w:r w:rsidRPr="001457A2">
        <w:rPr>
          <w:b/>
          <w:i w:val="0"/>
          <w:sz w:val="24"/>
          <w:szCs w:val="24"/>
        </w:rPr>
        <w:t>Provide estimates of the hour burden of the collection of information.  The statement should:</w:t>
      </w:r>
    </w:p>
    <w:p w:rsidRPr="001457A2" w:rsidR="00504357" w:rsidP="009A638D" w:rsidRDefault="00504357" w14:paraId="0D43EC49" w14:textId="77777777">
      <w:pPr>
        <w:pStyle w:val="Style10ptItalicLeft05Hanging025"/>
        <w:numPr>
          <w:ilvl w:val="0"/>
          <w:numId w:val="12"/>
        </w:numPr>
        <w:tabs>
          <w:tab w:val="clear" w:pos="1080"/>
        </w:tabs>
        <w:ind w:left="1440" w:hanging="720"/>
        <w:rPr>
          <w:b/>
          <w:i w:val="0"/>
          <w:sz w:val="24"/>
          <w:szCs w:val="24"/>
        </w:rPr>
      </w:pPr>
      <w:r w:rsidRPr="001457A2">
        <w:rPr>
          <w:b/>
          <w:i w:val="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457A2" w:rsidR="00504357" w:rsidP="009A638D" w:rsidRDefault="00504357" w14:paraId="01CC52F6" w14:textId="77777777">
      <w:pPr>
        <w:pStyle w:val="Style10ptItalicLeft05Hanging025"/>
        <w:numPr>
          <w:ilvl w:val="0"/>
          <w:numId w:val="12"/>
        </w:numPr>
        <w:tabs>
          <w:tab w:val="clear" w:pos="1080"/>
        </w:tabs>
        <w:ind w:left="1440" w:hanging="720"/>
        <w:rPr>
          <w:b/>
          <w:i w:val="0"/>
          <w:sz w:val="24"/>
          <w:szCs w:val="24"/>
        </w:rPr>
      </w:pPr>
      <w:r w:rsidRPr="001457A2">
        <w:rPr>
          <w:b/>
          <w:i w:val="0"/>
          <w:sz w:val="24"/>
          <w:szCs w:val="24"/>
        </w:rPr>
        <w:t>If this request for approval covers more than one form, provide separate hour burden estimates for each form and aggregate the hour burdens in Item 13.</w:t>
      </w:r>
    </w:p>
    <w:p w:rsidRPr="001457A2" w:rsidR="00504357" w:rsidP="009A638D" w:rsidRDefault="00504357" w14:paraId="169761D0" w14:textId="77777777">
      <w:pPr>
        <w:pStyle w:val="Style10ptItalicLeft05Hanging025"/>
        <w:numPr>
          <w:ilvl w:val="0"/>
          <w:numId w:val="12"/>
        </w:numPr>
        <w:tabs>
          <w:tab w:val="clear" w:pos="1080"/>
        </w:tabs>
        <w:ind w:left="1440" w:hanging="720"/>
        <w:rPr>
          <w:b/>
          <w:i w:val="0"/>
          <w:sz w:val="24"/>
          <w:szCs w:val="24"/>
        </w:rPr>
      </w:pPr>
      <w:r w:rsidRPr="001457A2">
        <w:rPr>
          <w:b/>
          <w:i w:val="0"/>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1457A2" w:rsidR="00091564" w:rsidP="00AB3157" w:rsidRDefault="00091564" w14:paraId="4890361E" w14:textId="77777777">
      <w:pPr>
        <w:pStyle w:val="Style10ptItalicLeft05Hanging025"/>
        <w:numPr>
          <w:ilvl w:val="0"/>
          <w:numId w:val="0"/>
        </w:numPr>
        <w:ind w:left="720"/>
        <w:rPr>
          <w:b/>
          <w:i w:val="0"/>
          <w:sz w:val="24"/>
          <w:szCs w:val="24"/>
        </w:rPr>
      </w:pPr>
    </w:p>
    <w:p w:rsidR="00091564" w:rsidP="00AB3157" w:rsidRDefault="00091564" w14:paraId="5F78E74D"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9651FD">
        <w:t>The exemption requires banks</w:t>
      </w:r>
      <w:r>
        <w:t xml:space="preserve"> and trusts</w:t>
      </w:r>
      <w:r w:rsidRPr="009651FD">
        <w:t xml:space="preserve"> sponsoring collective investment funds that enter into transactions with parties in interest to maintain records pertaining to such transactions for six years</w:t>
      </w:r>
      <w:r>
        <w:t xml:space="preserve"> and make them available for inspection to specified interested persons (including the Department and the Internal Revenue Service)</w:t>
      </w:r>
      <w:r w:rsidRPr="009651FD">
        <w:t xml:space="preserve">.  </w:t>
      </w:r>
    </w:p>
    <w:p w:rsidR="00091564" w:rsidP="00AB3157" w:rsidRDefault="00091564" w14:paraId="3C4E5CF9"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091564" w:rsidP="00AB3157" w:rsidRDefault="00091564" w14:paraId="25519ACB"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t>T</w:t>
      </w:r>
      <w:r w:rsidRPr="00F54678">
        <w:t xml:space="preserve">he Department </w:t>
      </w:r>
      <w:r>
        <w:t xml:space="preserve">has </w:t>
      </w:r>
      <w:r w:rsidRPr="00F54678">
        <w:t>assume</w:t>
      </w:r>
      <w:r>
        <w:t>d</w:t>
      </w:r>
      <w:r w:rsidRPr="00F54678">
        <w:t xml:space="preserve"> that the </w:t>
      </w:r>
      <w:r>
        <w:t xml:space="preserve">recordkeeping </w:t>
      </w:r>
      <w:r w:rsidRPr="00F54678">
        <w:t xml:space="preserve">required by this class exemption </w:t>
      </w:r>
      <w:r>
        <w:t>is part of the usual and customary business practices of banks and trusts</w:t>
      </w:r>
      <w:r w:rsidRPr="00F54678">
        <w:t xml:space="preserve">.  </w:t>
      </w:r>
      <w:r>
        <w:t xml:space="preserve">The exemption therefore imposes only a small additional burden to review existing records and provide them to interested persons upon request.  These records are typically created and maintained in an electronic format and are available during the normal course of business to employees who may generally require ongoing access.  </w:t>
      </w:r>
    </w:p>
    <w:p w:rsidRPr="009651FD" w:rsidR="00091564" w:rsidP="00AB3157" w:rsidRDefault="00091564" w14:paraId="46AC2B86"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091564" w:rsidP="00AB3157" w:rsidRDefault="00091564" w14:paraId="560E7BFC" w14:textId="697FD724">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t>B</w:t>
      </w:r>
      <w:r w:rsidRPr="009651FD">
        <w:t xml:space="preserve">ased on information provided in the </w:t>
      </w:r>
      <w:r w:rsidRPr="00031E6B" w:rsidR="00031E6B">
        <w:t>2019</w:t>
      </w:r>
      <w:r w:rsidR="001457A2">
        <w:t xml:space="preserve"> </w:t>
      </w:r>
      <w:r w:rsidRPr="009651FD">
        <w:t xml:space="preserve">Form 5500 Annual Report, the Department </w:t>
      </w:r>
      <w:r>
        <w:t xml:space="preserve">estimates </w:t>
      </w:r>
      <w:r w:rsidRPr="009651FD">
        <w:t>that</w:t>
      </w:r>
      <w:r>
        <w:t xml:space="preserve"> </w:t>
      </w:r>
      <w:r w:rsidR="0030461E">
        <w:t xml:space="preserve">approximately </w:t>
      </w:r>
      <w:r w:rsidRPr="00031E6B" w:rsidR="00031E6B">
        <w:t xml:space="preserve">9,332 </w:t>
      </w:r>
      <w:r>
        <w:t xml:space="preserve">banks and trusts currently offer </w:t>
      </w:r>
      <w:r w:rsidRPr="009651FD">
        <w:t>collective investment funds</w:t>
      </w:r>
      <w:r>
        <w:t xml:space="preserve"> that may rely on the exemption.  Although there is no reliable source for data on the number of transactions subject to the exemption, the Department’s experience leads it to believe that requests to review pertinent records are rare.  For purposes of this burden analysis, the Department has assumed that each bank or trust</w:t>
      </w:r>
      <w:r w:rsidRPr="009651FD">
        <w:t xml:space="preserve"> will need </w:t>
      </w:r>
      <w:r>
        <w:t xml:space="preserve">approximately 10 additional </w:t>
      </w:r>
      <w:r w:rsidRPr="009651FD">
        <w:t>minutes</w:t>
      </w:r>
      <w:r>
        <w:t>, as a result of the exemption,</w:t>
      </w:r>
      <w:r w:rsidRPr="009651FD">
        <w:t xml:space="preserve"> to</w:t>
      </w:r>
      <w:r>
        <w:t xml:space="preserve"> review records and produce them for inspection in order to satisfy the additional information collection burden of this exemption, producing an estimated annual hour burden of </w:t>
      </w:r>
      <w:r w:rsidR="0002084E">
        <w:t>1,55</w:t>
      </w:r>
      <w:r w:rsidR="003C6801">
        <w:t>5</w:t>
      </w:r>
      <w:r>
        <w:t xml:space="preserve"> </w:t>
      </w:r>
      <w:r w:rsidRPr="009651FD">
        <w:t>hours</w:t>
      </w:r>
      <w:r w:rsidR="0043521D">
        <w:t xml:space="preserve"> (</w:t>
      </w:r>
      <w:r w:rsidRPr="00031E6B" w:rsidR="00031E6B">
        <w:t xml:space="preserve">9,332 </w:t>
      </w:r>
      <w:r w:rsidR="0043521D">
        <w:t xml:space="preserve">banks x </w:t>
      </w:r>
      <w:r w:rsidR="0043521D">
        <w:lastRenderedPageBreak/>
        <w:t>0.167 hours/bank)</w:t>
      </w:r>
      <w:r w:rsidRPr="009651FD">
        <w:t>.</w:t>
      </w:r>
      <w:r>
        <w:t xml:space="preserve">  </w:t>
      </w:r>
    </w:p>
    <w:p w:rsidRPr="009651FD" w:rsidR="00091564" w:rsidP="00AB3157" w:rsidRDefault="00091564" w14:paraId="04B75741"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9651FD" w:rsidR="00091564" w:rsidP="00AB3157" w:rsidRDefault="00091564" w14:paraId="089B10E3" w14:textId="1A250B2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9651FD">
        <w:t xml:space="preserve">The </w:t>
      </w:r>
      <w:r>
        <w:t xml:space="preserve">equivalent </w:t>
      </w:r>
      <w:r w:rsidRPr="009651FD">
        <w:t xml:space="preserve">cost </w:t>
      </w:r>
      <w:r>
        <w:t>of</w:t>
      </w:r>
      <w:r w:rsidRPr="009651FD">
        <w:t xml:space="preserve"> the </w:t>
      </w:r>
      <w:r>
        <w:t xml:space="preserve">annual </w:t>
      </w:r>
      <w:r w:rsidRPr="009651FD">
        <w:t xml:space="preserve">hour burden </w:t>
      </w:r>
      <w:r>
        <w:t xml:space="preserve">would be </w:t>
      </w:r>
      <w:r w:rsidRPr="009651FD">
        <w:t>$</w:t>
      </w:r>
      <w:r w:rsidRPr="00031E6B" w:rsidR="00031E6B">
        <w:t xml:space="preserve">85,901 </w:t>
      </w:r>
      <w:r w:rsidRPr="009651FD">
        <w:t xml:space="preserve">based on </w:t>
      </w:r>
      <w:r>
        <w:t xml:space="preserve">a wage rate of </w:t>
      </w:r>
      <w:r w:rsidRPr="009651FD">
        <w:t>$</w:t>
      </w:r>
      <w:r w:rsidR="006F0B18">
        <w:t>55.23</w:t>
      </w:r>
      <w:r w:rsidR="0043521D">
        <w:t xml:space="preserve"> per</w:t>
      </w:r>
      <w:r w:rsidRPr="009651FD">
        <w:t xml:space="preserve"> hour for a clerical person’s time</w:t>
      </w:r>
      <w:r w:rsidRPr="00AE4019" w:rsidR="00C84E4D">
        <w:rPr>
          <w:rStyle w:val="FootnoteReference"/>
          <w:vertAlign w:val="superscript"/>
        </w:rPr>
        <w:footnoteReference w:id="1"/>
      </w:r>
      <w:r>
        <w:t xml:space="preserve"> (</w:t>
      </w:r>
      <w:r w:rsidRPr="00031E6B" w:rsidR="00031E6B">
        <w:t xml:space="preserve">9,332 </w:t>
      </w:r>
      <w:r w:rsidR="0043521D">
        <w:t xml:space="preserve">banks x 0.167 hours/bank x </w:t>
      </w:r>
      <w:r>
        <w:t>$</w:t>
      </w:r>
      <w:r w:rsidR="006F0B18">
        <w:t>55.23</w:t>
      </w:r>
      <w:r>
        <w:t>/hours)</w:t>
      </w:r>
      <w:r w:rsidRPr="009651FD">
        <w:t>.</w:t>
      </w:r>
    </w:p>
    <w:p w:rsidR="00504357" w:rsidP="00AB3157" w:rsidRDefault="00504357" w14:paraId="3FE397C0"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4F33A4" w:rsidR="00A2238F" w:rsidP="00A2238F" w:rsidRDefault="00A2238F" w14:paraId="19417EF0" w14:textId="77777777">
      <w:pPr>
        <w:widowControl/>
        <w:autoSpaceDE/>
        <w:autoSpaceDN/>
        <w:adjustRightInd/>
        <w:ind w:left="720"/>
        <w:jc w:val="center"/>
        <w:rPr>
          <w:i/>
          <w:iCs/>
        </w:rPr>
      </w:pPr>
      <w:r w:rsidRPr="004F33A4">
        <w:rPr>
          <w:b/>
          <w:iCs/>
        </w:rPr>
        <w:t>Estimated Annualized Respondent Cost and Hour Burden</w:t>
      </w:r>
    </w:p>
    <w:p w:rsidRPr="004F33A4" w:rsidR="00A2238F" w:rsidP="00A2238F" w:rsidRDefault="00A2238F" w14:paraId="00AF7D08" w14:textId="77777777">
      <w:pPr>
        <w:widowControl/>
        <w:autoSpaceDE/>
        <w:autoSpaceDN/>
        <w:adjustRightInd/>
        <w:ind w:left="720"/>
        <w:rPr>
          <w:iCs/>
        </w:rPr>
      </w:pPr>
    </w:p>
    <w:tbl>
      <w:tblPr>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2"/>
        <w:gridCol w:w="1435"/>
        <w:gridCol w:w="1368"/>
        <w:gridCol w:w="1228"/>
        <w:gridCol w:w="1127"/>
        <w:gridCol w:w="1059"/>
        <w:gridCol w:w="919"/>
        <w:gridCol w:w="1017"/>
      </w:tblGrid>
      <w:tr w:rsidRPr="004F33A4" w:rsidR="00F628A5" w:rsidTr="00F628A5" w14:paraId="3DADFDB8" w14:textId="77777777">
        <w:tc>
          <w:tcPr>
            <w:tcW w:w="1803" w:type="dxa"/>
            <w:tcBorders>
              <w:top w:val="single" w:color="auto" w:sz="4" w:space="0"/>
              <w:left w:val="single" w:color="auto" w:sz="4" w:space="0"/>
              <w:bottom w:val="single" w:color="auto" w:sz="4" w:space="0"/>
              <w:right w:val="single" w:color="auto" w:sz="4" w:space="0"/>
            </w:tcBorders>
            <w:shd w:val="clear" w:color="auto" w:fill="8DB3E2"/>
            <w:vAlign w:val="center"/>
          </w:tcPr>
          <w:p w:rsidRPr="004F33A4" w:rsidR="00A2238F" w:rsidP="00784FAC" w:rsidRDefault="00A2238F" w14:paraId="675C4617" w14:textId="77777777">
            <w:pPr>
              <w:widowControl/>
              <w:autoSpaceDE/>
              <w:autoSpaceDN/>
              <w:adjustRightInd/>
              <w:spacing w:line="276" w:lineRule="auto"/>
              <w:jc w:val="center"/>
              <w:rPr>
                <w:sz w:val="22"/>
                <w:szCs w:val="22"/>
              </w:rPr>
            </w:pPr>
            <w:r w:rsidRPr="004F33A4">
              <w:rPr>
                <w:b/>
                <w:sz w:val="22"/>
                <w:szCs w:val="22"/>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A2238F" w:rsidP="00784FAC" w:rsidRDefault="00A2238F" w14:paraId="59F9C44F" w14:textId="77777777">
            <w:pPr>
              <w:widowControl/>
              <w:autoSpaceDE/>
              <w:autoSpaceDN/>
              <w:adjustRightInd/>
              <w:spacing w:line="276" w:lineRule="auto"/>
              <w:jc w:val="center"/>
              <w:rPr>
                <w:b/>
                <w:sz w:val="22"/>
                <w:szCs w:val="22"/>
              </w:rPr>
            </w:pPr>
            <w:r w:rsidRPr="004F33A4">
              <w:rPr>
                <w:b/>
                <w:sz w:val="22"/>
                <w:szCs w:val="22"/>
              </w:rPr>
              <w:t xml:space="preserve">No. </w:t>
            </w:r>
          </w:p>
          <w:p w:rsidRPr="004F33A4" w:rsidR="00A2238F" w:rsidP="00784FAC" w:rsidRDefault="00A2238F" w14:paraId="5DECFBD7" w14:textId="77777777">
            <w:pPr>
              <w:widowControl/>
              <w:autoSpaceDE/>
              <w:autoSpaceDN/>
              <w:adjustRightInd/>
              <w:spacing w:line="276" w:lineRule="auto"/>
              <w:jc w:val="center"/>
              <w:rPr>
                <w:sz w:val="22"/>
                <w:szCs w:val="22"/>
              </w:rPr>
            </w:pPr>
            <w:r w:rsidRPr="004F33A4">
              <w:rPr>
                <w:b/>
                <w:sz w:val="22"/>
                <w:szCs w:val="22"/>
              </w:rPr>
              <w:t>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A2238F" w:rsidP="00784FAC" w:rsidRDefault="00A2238F" w14:paraId="67864B95" w14:textId="77777777">
            <w:pPr>
              <w:widowControl/>
              <w:autoSpaceDE/>
              <w:autoSpaceDN/>
              <w:adjustRightInd/>
              <w:spacing w:line="276" w:lineRule="auto"/>
              <w:jc w:val="center"/>
              <w:rPr>
                <w:b/>
                <w:sz w:val="22"/>
                <w:szCs w:val="22"/>
              </w:rPr>
            </w:pPr>
          </w:p>
          <w:p w:rsidRPr="004F33A4" w:rsidR="00A2238F" w:rsidP="00784FAC" w:rsidRDefault="00A2238F" w14:paraId="260E8339" w14:textId="77777777">
            <w:pPr>
              <w:widowControl/>
              <w:autoSpaceDE/>
              <w:autoSpaceDN/>
              <w:adjustRightInd/>
              <w:spacing w:line="276" w:lineRule="auto"/>
              <w:jc w:val="center"/>
              <w:rPr>
                <w:b/>
                <w:sz w:val="22"/>
                <w:szCs w:val="22"/>
              </w:rPr>
            </w:pPr>
            <w:r w:rsidRPr="004F33A4">
              <w:rPr>
                <w:b/>
                <w:sz w:val="22"/>
                <w:szCs w:val="22"/>
              </w:rPr>
              <w:t>No. of Responses</w:t>
            </w:r>
          </w:p>
          <w:p w:rsidRPr="004F33A4" w:rsidR="00A2238F" w:rsidP="00784FAC" w:rsidRDefault="00A2238F" w14:paraId="15CCF15C" w14:textId="77777777">
            <w:pPr>
              <w:widowControl/>
              <w:autoSpaceDE/>
              <w:autoSpaceDN/>
              <w:adjustRightInd/>
              <w:spacing w:line="276" w:lineRule="auto"/>
              <w:jc w:val="center"/>
              <w:rPr>
                <w:sz w:val="22"/>
                <w:szCs w:val="22"/>
              </w:rPr>
            </w:pPr>
            <w:r w:rsidRPr="004F33A4">
              <w:rPr>
                <w:b/>
                <w:sz w:val="22"/>
                <w:szCs w:val="22"/>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A2238F" w:rsidP="00784FAC" w:rsidRDefault="00A2238F" w14:paraId="72540D1E" w14:textId="77777777">
            <w:pPr>
              <w:widowControl/>
              <w:autoSpaceDE/>
              <w:autoSpaceDN/>
              <w:adjustRightInd/>
              <w:spacing w:line="276" w:lineRule="auto"/>
              <w:jc w:val="center"/>
              <w:rPr>
                <w:sz w:val="22"/>
                <w:szCs w:val="22"/>
              </w:rPr>
            </w:pPr>
            <w:r w:rsidRPr="004F33A4">
              <w:rPr>
                <w:b/>
                <w:sz w:val="22"/>
                <w:szCs w:val="22"/>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A2238F" w:rsidP="00784FAC" w:rsidRDefault="00A2238F" w14:paraId="1D8828AB" w14:textId="77777777">
            <w:pPr>
              <w:widowControl/>
              <w:autoSpaceDE/>
              <w:autoSpaceDN/>
              <w:adjustRightInd/>
              <w:spacing w:line="276" w:lineRule="auto"/>
              <w:jc w:val="center"/>
              <w:rPr>
                <w:sz w:val="22"/>
                <w:szCs w:val="22"/>
              </w:rPr>
            </w:pPr>
            <w:r w:rsidRPr="004F33A4">
              <w:rPr>
                <w:b/>
                <w:sz w:val="22"/>
                <w:szCs w:val="22"/>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A2238F" w:rsidP="00784FAC" w:rsidRDefault="00A2238F" w14:paraId="0B8CE9D6" w14:textId="77777777">
            <w:pPr>
              <w:widowControl/>
              <w:autoSpaceDE/>
              <w:autoSpaceDN/>
              <w:adjustRightInd/>
              <w:spacing w:line="276" w:lineRule="auto"/>
              <w:jc w:val="center"/>
              <w:rPr>
                <w:sz w:val="22"/>
                <w:szCs w:val="22"/>
              </w:rPr>
            </w:pPr>
            <w:r w:rsidRPr="004F33A4">
              <w:rPr>
                <w:b/>
                <w:sz w:val="22"/>
                <w:szCs w:val="22"/>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A2238F" w:rsidP="00784FAC" w:rsidRDefault="00A2238F" w14:paraId="37F375AF" w14:textId="77777777">
            <w:pPr>
              <w:widowControl/>
              <w:autoSpaceDE/>
              <w:autoSpaceDN/>
              <w:adjustRightInd/>
              <w:spacing w:line="276" w:lineRule="auto"/>
              <w:jc w:val="center"/>
              <w:rPr>
                <w:b/>
                <w:sz w:val="22"/>
                <w:szCs w:val="22"/>
              </w:rPr>
            </w:pPr>
            <w:r w:rsidRPr="004F33A4">
              <w:rPr>
                <w:b/>
                <w:sz w:val="22"/>
                <w:szCs w:val="22"/>
              </w:rPr>
              <w:t>Hourly</w:t>
            </w:r>
          </w:p>
          <w:p w:rsidRPr="004F33A4" w:rsidR="00A2238F" w:rsidP="00784FAC" w:rsidRDefault="00A2238F" w14:paraId="11F6843B" w14:textId="77777777">
            <w:pPr>
              <w:widowControl/>
              <w:autoSpaceDE/>
              <w:autoSpaceDN/>
              <w:adjustRightInd/>
              <w:spacing w:line="276" w:lineRule="auto"/>
              <w:jc w:val="center"/>
              <w:rPr>
                <w:sz w:val="22"/>
                <w:szCs w:val="22"/>
              </w:rPr>
            </w:pPr>
            <w:r w:rsidRPr="004F33A4">
              <w:rPr>
                <w:b/>
                <w:sz w:val="22"/>
                <w:szCs w:val="22"/>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A2238F" w:rsidP="00784FAC" w:rsidRDefault="00A2238F" w14:paraId="393B941D" w14:textId="77777777">
            <w:pPr>
              <w:widowControl/>
              <w:autoSpaceDE/>
              <w:autoSpaceDN/>
              <w:adjustRightInd/>
              <w:spacing w:line="276" w:lineRule="auto"/>
              <w:jc w:val="center"/>
              <w:rPr>
                <w:sz w:val="22"/>
                <w:szCs w:val="22"/>
              </w:rPr>
            </w:pPr>
            <w:r w:rsidRPr="004F33A4">
              <w:rPr>
                <w:b/>
                <w:sz w:val="22"/>
                <w:szCs w:val="22"/>
              </w:rPr>
              <w:t>Total Burden Cost</w:t>
            </w:r>
          </w:p>
        </w:tc>
      </w:tr>
      <w:tr w:rsidRPr="004F33A4" w:rsidR="00A2238F" w:rsidTr="00F628A5" w14:paraId="0E9CE825" w14:textId="77777777">
        <w:tc>
          <w:tcPr>
            <w:tcW w:w="1803" w:type="dxa"/>
            <w:tcBorders>
              <w:top w:val="single" w:color="auto" w:sz="4" w:space="0"/>
              <w:left w:val="single" w:color="auto" w:sz="4" w:space="0"/>
              <w:bottom w:val="single" w:color="auto" w:sz="4" w:space="0"/>
              <w:right w:val="single" w:color="auto" w:sz="4" w:space="0"/>
            </w:tcBorders>
          </w:tcPr>
          <w:p w:rsidRPr="004F33A4" w:rsidR="00A2238F" w:rsidP="00784FAC" w:rsidRDefault="00DC30DF" w14:paraId="56EB45DF" w14:textId="77777777">
            <w:pPr>
              <w:widowControl/>
              <w:autoSpaceDE/>
              <w:autoSpaceDN/>
              <w:adjustRightInd/>
              <w:spacing w:line="276" w:lineRule="auto"/>
              <w:rPr>
                <w:iCs/>
                <w:sz w:val="22"/>
                <w:szCs w:val="22"/>
              </w:rPr>
            </w:pPr>
            <w:r>
              <w:rPr>
                <w:iCs/>
                <w:sz w:val="22"/>
                <w:szCs w:val="22"/>
              </w:rPr>
              <w:t xml:space="preserve">Clerical staff </w:t>
            </w:r>
            <w:r w:rsidRPr="00DC30DF">
              <w:rPr>
                <w:iCs/>
                <w:sz w:val="22"/>
                <w:szCs w:val="22"/>
              </w:rPr>
              <w:t>review records and produce them for inspection</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3C6801" w:rsidRDefault="00031E6B" w14:paraId="1AE46789" w14:textId="791A8953">
            <w:pPr>
              <w:widowControl/>
              <w:autoSpaceDE/>
              <w:autoSpaceDN/>
              <w:adjustRightInd/>
              <w:spacing w:line="276" w:lineRule="auto"/>
              <w:jc w:val="center"/>
              <w:rPr>
                <w:sz w:val="22"/>
                <w:szCs w:val="22"/>
              </w:rPr>
            </w:pPr>
            <w:r w:rsidRPr="00031E6B">
              <w:rPr>
                <w:sz w:val="22"/>
                <w:szCs w:val="22"/>
              </w:rPr>
              <w:t>9,332</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4764BF59" w14:textId="77777777">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031E6B" w14:paraId="7F0D853B" w14:textId="0A1334D5">
            <w:pPr>
              <w:widowControl/>
              <w:autoSpaceDE/>
              <w:autoSpaceDN/>
              <w:adjustRightInd/>
              <w:spacing w:line="276" w:lineRule="auto"/>
              <w:jc w:val="center"/>
              <w:rPr>
                <w:sz w:val="22"/>
                <w:szCs w:val="22"/>
              </w:rPr>
            </w:pPr>
            <w:r w:rsidRPr="00031E6B">
              <w:rPr>
                <w:sz w:val="22"/>
                <w:szCs w:val="22"/>
              </w:rPr>
              <w:t>9,332</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44BD28B6" w14:textId="77777777">
            <w:pPr>
              <w:widowControl/>
              <w:autoSpaceDE/>
              <w:autoSpaceDN/>
              <w:adjustRightInd/>
              <w:spacing w:line="276" w:lineRule="auto"/>
              <w:jc w:val="center"/>
              <w:rPr>
                <w:sz w:val="22"/>
                <w:szCs w:val="22"/>
              </w:rPr>
            </w:pPr>
            <w:r>
              <w:rPr>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27CFA6C2" w14:textId="77777777">
            <w:pPr>
              <w:widowControl/>
              <w:autoSpaceDE/>
              <w:autoSpaceDN/>
              <w:adjustRightInd/>
              <w:spacing w:line="276" w:lineRule="auto"/>
              <w:jc w:val="center"/>
              <w:rPr>
                <w:sz w:val="22"/>
                <w:szCs w:val="22"/>
              </w:rPr>
            </w:pPr>
            <w:r>
              <w:rPr>
                <w:sz w:val="22"/>
                <w:szCs w:val="22"/>
              </w:rPr>
              <w:t>1,55</w:t>
            </w:r>
            <w:r w:rsidR="0007357C">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643D35BE" w14:textId="77777777">
            <w:pPr>
              <w:widowControl/>
              <w:autoSpaceDE/>
              <w:autoSpaceDN/>
              <w:adjustRightInd/>
              <w:spacing w:line="276" w:lineRule="auto"/>
              <w:jc w:val="center"/>
              <w:rPr>
                <w:sz w:val="22"/>
                <w:szCs w:val="22"/>
              </w:rPr>
            </w:pPr>
            <w:r>
              <w:rPr>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8A4523" w:rsidRDefault="00F628A5" w14:paraId="1B43AEFD" w14:textId="1DDE96A3">
            <w:pPr>
              <w:widowControl/>
              <w:autoSpaceDE/>
              <w:autoSpaceDN/>
              <w:adjustRightInd/>
              <w:spacing w:line="276" w:lineRule="auto"/>
              <w:jc w:val="center"/>
              <w:rPr>
                <w:sz w:val="22"/>
                <w:szCs w:val="22"/>
              </w:rPr>
            </w:pPr>
            <w:r>
              <w:rPr>
                <w:sz w:val="22"/>
                <w:szCs w:val="22"/>
              </w:rPr>
              <w:t>$85,</w:t>
            </w:r>
            <w:r w:rsidR="008A4523">
              <w:rPr>
                <w:sz w:val="22"/>
                <w:szCs w:val="22"/>
              </w:rPr>
              <w:t>901</w:t>
            </w:r>
          </w:p>
        </w:tc>
      </w:tr>
      <w:tr w:rsidRPr="004F33A4" w:rsidR="00A2238F" w:rsidTr="00F628A5" w14:paraId="658993B4" w14:textId="77777777">
        <w:tc>
          <w:tcPr>
            <w:tcW w:w="1803" w:type="dxa"/>
            <w:tcBorders>
              <w:top w:val="single" w:color="auto" w:sz="4" w:space="0"/>
              <w:left w:val="single" w:color="auto" w:sz="4" w:space="0"/>
              <w:bottom w:val="single" w:color="auto" w:sz="4" w:space="0"/>
              <w:right w:val="single" w:color="auto" w:sz="4" w:space="0"/>
            </w:tcBorders>
          </w:tcPr>
          <w:p w:rsidRPr="004F33A4" w:rsidR="00A2238F" w:rsidP="00784FAC" w:rsidRDefault="00A2238F" w14:paraId="34828AD0" w14:textId="77777777">
            <w:pPr>
              <w:widowControl/>
              <w:autoSpaceDE/>
              <w:autoSpaceDN/>
              <w:adjustRightInd/>
              <w:spacing w:line="276" w:lineRule="auto"/>
              <w:jc w:val="center"/>
              <w:rPr>
                <w:sz w:val="22"/>
                <w:szCs w:val="22"/>
              </w:rPr>
            </w:pPr>
            <w:r w:rsidRPr="004F33A4">
              <w:rPr>
                <w:sz w:val="22"/>
                <w:szCs w:val="22"/>
              </w:rPr>
              <w:t>Total</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3C6801" w:rsidRDefault="00031E6B" w14:paraId="0F143052" w14:textId="31272CF6">
            <w:pPr>
              <w:widowControl/>
              <w:autoSpaceDE/>
              <w:autoSpaceDN/>
              <w:adjustRightInd/>
              <w:spacing w:line="276" w:lineRule="auto"/>
              <w:jc w:val="center"/>
              <w:rPr>
                <w:sz w:val="22"/>
                <w:szCs w:val="22"/>
              </w:rPr>
            </w:pPr>
            <w:r w:rsidRPr="00031E6B">
              <w:rPr>
                <w:sz w:val="22"/>
                <w:szCs w:val="22"/>
              </w:rPr>
              <w:t>9,332</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148E7CB4" w14:textId="77777777">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031E6B" w14:paraId="3952C0BC" w14:textId="46F4977C">
            <w:pPr>
              <w:widowControl/>
              <w:autoSpaceDE/>
              <w:autoSpaceDN/>
              <w:adjustRightInd/>
              <w:spacing w:line="276" w:lineRule="auto"/>
              <w:jc w:val="center"/>
              <w:rPr>
                <w:sz w:val="22"/>
                <w:szCs w:val="22"/>
              </w:rPr>
            </w:pPr>
            <w:r w:rsidRPr="00031E6B">
              <w:rPr>
                <w:sz w:val="22"/>
                <w:szCs w:val="22"/>
              </w:rPr>
              <w:t>9,332</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36B8C0BE" w14:textId="77777777">
            <w:pPr>
              <w:widowControl/>
              <w:autoSpaceDE/>
              <w:autoSpaceDN/>
              <w:adjustRightInd/>
              <w:spacing w:line="276" w:lineRule="auto"/>
              <w:jc w:val="center"/>
              <w:rPr>
                <w:sz w:val="22"/>
                <w:szCs w:val="22"/>
              </w:rPr>
            </w:pPr>
            <w:r>
              <w:rPr>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68C707B2" w14:textId="77777777">
            <w:pPr>
              <w:widowControl/>
              <w:autoSpaceDE/>
              <w:autoSpaceDN/>
              <w:adjustRightInd/>
              <w:spacing w:line="276" w:lineRule="auto"/>
              <w:jc w:val="center"/>
              <w:rPr>
                <w:sz w:val="22"/>
                <w:szCs w:val="22"/>
              </w:rPr>
            </w:pPr>
            <w:r>
              <w:rPr>
                <w:sz w:val="22"/>
                <w:szCs w:val="22"/>
              </w:rPr>
              <w:t>1,55</w:t>
            </w:r>
            <w:r w:rsidR="0007357C">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784FAC" w:rsidRDefault="00F628A5" w14:paraId="367F2D3A" w14:textId="77777777">
            <w:pPr>
              <w:widowControl/>
              <w:autoSpaceDE/>
              <w:autoSpaceDN/>
              <w:adjustRightInd/>
              <w:spacing w:line="276" w:lineRule="auto"/>
              <w:jc w:val="center"/>
              <w:rPr>
                <w:sz w:val="22"/>
                <w:szCs w:val="22"/>
              </w:rPr>
            </w:pPr>
            <w:r>
              <w:rPr>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4F33A4" w:rsidR="00A2238F" w:rsidP="008A4523" w:rsidRDefault="00F628A5" w14:paraId="47F6E3AF" w14:textId="306439C7">
            <w:pPr>
              <w:widowControl/>
              <w:autoSpaceDE/>
              <w:autoSpaceDN/>
              <w:adjustRightInd/>
              <w:spacing w:line="276" w:lineRule="auto"/>
              <w:jc w:val="center"/>
              <w:rPr>
                <w:sz w:val="22"/>
                <w:szCs w:val="22"/>
              </w:rPr>
            </w:pPr>
            <w:r>
              <w:rPr>
                <w:sz w:val="22"/>
                <w:szCs w:val="22"/>
              </w:rPr>
              <w:t>$85,</w:t>
            </w:r>
            <w:r w:rsidR="008A4523">
              <w:rPr>
                <w:sz w:val="22"/>
                <w:szCs w:val="22"/>
              </w:rPr>
              <w:t>901</w:t>
            </w:r>
          </w:p>
        </w:tc>
      </w:tr>
    </w:tbl>
    <w:p w:rsidRPr="009651FD" w:rsidR="00A2238F" w:rsidP="00AB3157" w:rsidRDefault="00A2238F" w14:paraId="69F44624"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666E3B" w:rsidR="00666E3B" w:rsidP="00666E3B" w:rsidRDefault="00666E3B" w14:paraId="5B33C68B" w14:textId="77777777">
      <w:pPr>
        <w:pStyle w:val="Quick1"/>
        <w:widowControl/>
        <w:tabs>
          <w:tab w:val="num" w:pos="0"/>
        </w:tabs>
        <w:ind w:left="0" w:firstLine="0"/>
        <w:rPr>
          <w:b/>
          <w:i w:val="0"/>
          <w:iCs/>
          <w:sz w:val="24"/>
          <w:szCs w:val="24"/>
        </w:rPr>
      </w:pPr>
      <w:r w:rsidRPr="00666E3B">
        <w:rPr>
          <w:b/>
          <w:i w:val="0"/>
          <w:iCs/>
          <w:sz w:val="24"/>
          <w:szCs w:val="24"/>
        </w:rPr>
        <w:t xml:space="preserve">Provide an estimate of the total annual cost burden to respondents or record  </w:t>
      </w:r>
    </w:p>
    <w:p w:rsidRPr="00491A8C" w:rsidR="00666E3B" w:rsidP="00666E3B" w:rsidRDefault="00666E3B" w14:paraId="6C5498D0" w14:textId="77777777">
      <w:pPr>
        <w:widowControl/>
        <w:ind w:left="720"/>
        <w:rPr>
          <w:b/>
          <w:iCs/>
        </w:rPr>
      </w:pPr>
      <w:r w:rsidRPr="00491A8C">
        <w:rPr>
          <w:b/>
          <w:iCs/>
        </w:rPr>
        <w:t>keepers resulting from the collection of information.  (Do not include the cost of any hour burden shown in Items 12 or 14).</w:t>
      </w:r>
    </w:p>
    <w:p w:rsidRPr="00491A8C" w:rsidR="00666E3B" w:rsidP="00666E3B" w:rsidRDefault="00666E3B" w14:paraId="047746FF" w14:textId="77777777">
      <w:pPr>
        <w:widowControl/>
        <w:numPr>
          <w:ilvl w:val="0"/>
          <w:numId w:val="22"/>
        </w:numPr>
        <w:rPr>
          <w:b/>
          <w:iCs/>
        </w:rPr>
      </w:pPr>
      <w:r w:rsidRPr="00491A8C">
        <w:rPr>
          <w:b/>
          <w:bCs/>
          <w:iCs/>
        </w:rPr>
        <w:t>The cost estimate should be split into 2 components:  (a) a total capital</w:t>
      </w:r>
      <w:r w:rsidRPr="00491A8C">
        <w:rPr>
          <w:b/>
          <w:iCs/>
        </w:rPr>
        <w:t> </w:t>
      </w:r>
      <w:r w:rsidRPr="00491A8C">
        <w:rPr>
          <w:b/>
          <w:bCs/>
          <w:iCs/>
        </w:rPr>
        <w:t>and </w:t>
      </w:r>
      <w:proofErr w:type="spellStart"/>
      <w:r w:rsidRPr="00491A8C">
        <w:rPr>
          <w:b/>
          <w:bCs/>
          <w:iCs/>
        </w:rPr>
        <w:t>start up</w:t>
      </w:r>
      <w:proofErr w:type="spellEnd"/>
      <w:r w:rsidRPr="00491A8C">
        <w:rPr>
          <w:b/>
          <w:bCs/>
          <w:iCs/>
        </w:rPr>
        <w:t xml:space="preserve"> cost component (annualized over its expected useful life); and (b) a</w:t>
      </w:r>
      <w:r w:rsidRPr="00491A8C">
        <w:rPr>
          <w:b/>
          <w:iCs/>
        </w:rPr>
        <w:t> </w:t>
      </w:r>
      <w:r w:rsidRPr="00491A8C">
        <w:rPr>
          <w:b/>
          <w:bCs/>
          <w:iCs/>
        </w:rPr>
        <w:t xml:space="preserve">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491A8C">
        <w:rPr>
          <w:b/>
          <w:bCs/>
          <w:iCs/>
        </w:rPr>
        <w:t>drilling</w:t>
      </w:r>
      <w:proofErr w:type="gramEnd"/>
      <w:r w:rsidRPr="00491A8C">
        <w:rPr>
          <w:b/>
          <w:bCs/>
          <w:iCs/>
        </w:rPr>
        <w:t xml:space="preserve"> and testing equipment; and record storage facilities.</w:t>
      </w:r>
      <w:r w:rsidRPr="00491A8C">
        <w:rPr>
          <w:b/>
          <w:iCs/>
        </w:rPr>
        <w:t> </w:t>
      </w:r>
    </w:p>
    <w:p w:rsidRPr="00491A8C" w:rsidR="00666E3B" w:rsidP="00666E3B" w:rsidRDefault="00666E3B" w14:paraId="6EEB599C" w14:textId="77777777">
      <w:pPr>
        <w:widowControl/>
        <w:numPr>
          <w:ilvl w:val="0"/>
          <w:numId w:val="22"/>
        </w:numPr>
        <w:rPr>
          <w:b/>
          <w:iCs/>
        </w:rPr>
      </w:pPr>
      <w:r w:rsidRPr="00491A8C">
        <w:rPr>
          <w:b/>
          <w:bCs/>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491A8C">
        <w:rPr>
          <w:b/>
          <w:bCs/>
          <w:iCs/>
        </w:rPr>
        <w:lastRenderedPageBreak/>
        <w:t>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491A8C">
        <w:rPr>
          <w:b/>
          <w:iCs/>
        </w:rPr>
        <w:t> </w:t>
      </w:r>
    </w:p>
    <w:p w:rsidRPr="00491A8C" w:rsidR="00666E3B" w:rsidP="00666E3B" w:rsidRDefault="00666E3B" w14:paraId="55D99F9F" w14:textId="77777777">
      <w:pPr>
        <w:widowControl/>
        <w:numPr>
          <w:ilvl w:val="0"/>
          <w:numId w:val="22"/>
        </w:numPr>
        <w:rPr>
          <w:b/>
          <w:iCs/>
        </w:rPr>
      </w:pPr>
      <w:r w:rsidRPr="00491A8C">
        <w:rPr>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651FD" w:rsidR="00504357" w:rsidP="00666E3B" w:rsidRDefault="00504357" w14:paraId="18CD6A9C" w14:textId="77777777">
      <w:pPr>
        <w:pStyle w:val="Quick1"/>
        <w:numPr>
          <w:ilvl w:val="0"/>
          <w:numId w:val="0"/>
        </w:numPr>
        <w:tabs>
          <w:tab w:val="left" w:pos="-1440"/>
          <w:tab w:val="left" w:pos="-720"/>
          <w:tab w:val="left" w:pos="1080"/>
          <w:tab w:val="left" w:pos="2160"/>
          <w:tab w:val="left" w:pos="2880"/>
          <w:tab w:val="left" w:pos="3600"/>
          <w:tab w:val="left" w:pos="4320"/>
          <w:tab w:val="left" w:pos="5040"/>
          <w:tab w:val="left" w:pos="5760"/>
          <w:tab w:val="left" w:pos="6480"/>
          <w:tab w:val="left" w:pos="7830"/>
          <w:tab w:val="left" w:pos="8640"/>
        </w:tabs>
      </w:pPr>
    </w:p>
    <w:p w:rsidRPr="00F54678" w:rsidR="00091564" w:rsidP="00AB3157" w:rsidRDefault="00091564" w14:paraId="1B7F9FF7" w14:textId="77777777">
      <w:pPr>
        <w:ind w:left="720"/>
      </w:pPr>
      <w:r w:rsidRPr="009651FD">
        <w:t xml:space="preserve">The Department </w:t>
      </w:r>
      <w:r>
        <w:t>has assumed</w:t>
      </w:r>
      <w:r w:rsidRPr="009651FD">
        <w:t xml:space="preserve"> that </w:t>
      </w:r>
      <w:r>
        <w:t>this information collection</w:t>
      </w:r>
      <w:r w:rsidRPr="009651FD">
        <w:t xml:space="preserve"> will be handled in-house by </w:t>
      </w:r>
      <w:r>
        <w:t xml:space="preserve">respondents’ staff.  The recordkeeping itself is presumed to be part of the usual and customary practices of banks and trusts, and, because of the prevalence of electronic recordkeeping systems in the affected industries, the Department believes that the additional burden of the requirement to maintain records for six years is nominal. </w:t>
      </w:r>
      <w:r w:rsidR="00294254">
        <w:t xml:space="preserve"> </w:t>
      </w:r>
      <w:r>
        <w:t xml:space="preserve">As a result of these assumptions, </w:t>
      </w:r>
      <w:r w:rsidRPr="009651FD">
        <w:t xml:space="preserve">there is no </w:t>
      </w:r>
      <w:r>
        <w:t xml:space="preserve">apparent additional </w:t>
      </w:r>
      <w:r w:rsidR="00AB3157">
        <w:t>cost burden for this exemption.</w:t>
      </w:r>
    </w:p>
    <w:p w:rsidRPr="0026146C" w:rsidR="00504357" w:rsidP="00AB3157" w:rsidRDefault="00504357" w14:paraId="0A28908A"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1457A2" w:rsidR="00504357" w:rsidP="00AB3157" w:rsidRDefault="00504357" w14:paraId="513DAE63"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hanging="720"/>
        <w:rPr>
          <w:b/>
          <w:iCs/>
        </w:rPr>
      </w:pPr>
      <w:r w:rsidRPr="001457A2">
        <w:rPr>
          <w:b/>
          <w:iCs/>
        </w:rPr>
        <w:t>14.</w:t>
      </w:r>
      <w:r w:rsidRPr="001457A2">
        <w:rPr>
          <w:b/>
        </w:rPr>
        <w:tab/>
      </w:r>
      <w:r w:rsidRPr="001457A2">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651FD" w:rsidR="00504357" w:rsidP="00AB3157" w:rsidRDefault="00504357" w14:paraId="4657E4E8"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9651FD" w:rsidR="00504357" w:rsidP="00AB3157" w:rsidRDefault="00D65E54" w14:paraId="34F56310"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t xml:space="preserve">This exemption requires </w:t>
      </w:r>
      <w:r w:rsidRPr="009651FD" w:rsidR="00504357">
        <w:t>no reporting to the federal government and</w:t>
      </w:r>
      <w:r>
        <w:t xml:space="preserve">, as a result, does not </w:t>
      </w:r>
      <w:r w:rsidR="000A1C93">
        <w:t>impose</w:t>
      </w:r>
      <w:r>
        <w:t xml:space="preserve"> annual costs</w:t>
      </w:r>
      <w:r w:rsidRPr="009651FD" w:rsidR="00504357">
        <w:t xml:space="preserve"> </w:t>
      </w:r>
      <w:r w:rsidR="000A1C93">
        <w:t>on</w:t>
      </w:r>
      <w:r w:rsidR="00AB3157">
        <w:t xml:space="preserve"> the government.</w:t>
      </w:r>
    </w:p>
    <w:p w:rsidRPr="0026146C" w:rsidR="00504357" w:rsidP="00AB3157" w:rsidRDefault="00504357" w14:paraId="44E61AEE"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1457A2" w:rsidR="00504357" w:rsidP="00AB3157" w:rsidRDefault="00504357" w14:paraId="4AA3E631"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hanging="720"/>
        <w:rPr>
          <w:b/>
        </w:rPr>
      </w:pPr>
      <w:r w:rsidRPr="001457A2">
        <w:rPr>
          <w:b/>
        </w:rPr>
        <w:t>15.</w:t>
      </w:r>
      <w:r w:rsidRPr="001457A2">
        <w:rPr>
          <w:b/>
        </w:rPr>
        <w:tab/>
      </w:r>
      <w:r w:rsidRPr="001457A2">
        <w:rPr>
          <w:b/>
          <w:iCs/>
        </w:rPr>
        <w:t>Explain the reasons for any program changes or adjustments reporting in Items 13 or 14.</w:t>
      </w:r>
    </w:p>
    <w:p w:rsidRPr="001457A2" w:rsidR="00740A7F" w:rsidP="00AB3157" w:rsidRDefault="00740A7F" w14:paraId="0CC2B574"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b/>
        </w:rPr>
      </w:pPr>
    </w:p>
    <w:p w:rsidR="00091564" w:rsidP="00AB3157" w:rsidRDefault="00091564" w14:paraId="24B7D9D7" w14:textId="5159389C">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bookmarkStart w:name="OLE_LINK1" w:id="0"/>
      <w:bookmarkStart w:name="OLE_LINK2" w:id="1"/>
      <w:r>
        <w:t>The hour burden for this information collection is being increa</w:t>
      </w:r>
      <w:r w:rsidR="00A527A8">
        <w:t xml:space="preserve">sed from </w:t>
      </w:r>
      <w:r w:rsidR="0002084E">
        <w:t>1,287</w:t>
      </w:r>
      <w:r w:rsidR="00C23C30">
        <w:t xml:space="preserve"> </w:t>
      </w:r>
      <w:r w:rsidR="00A527A8">
        <w:t xml:space="preserve">hours to </w:t>
      </w:r>
      <w:r w:rsidR="0002084E">
        <w:t>1,</w:t>
      </w:r>
      <w:r w:rsidR="007230B4">
        <w:t xml:space="preserve">555 </w:t>
      </w:r>
      <w:r w:rsidR="00A527A8">
        <w:t>hours d</w:t>
      </w:r>
      <w:r>
        <w:t xml:space="preserve">ue to </w:t>
      </w:r>
      <w:r w:rsidRPr="009651FD">
        <w:t xml:space="preserve">the </w:t>
      </w:r>
      <w:r>
        <w:t xml:space="preserve">estimated number of </w:t>
      </w:r>
      <w:r w:rsidRPr="009651FD">
        <w:t>respondent</w:t>
      </w:r>
      <w:r>
        <w:t xml:space="preserve">s increasing, </w:t>
      </w:r>
      <w:r w:rsidRPr="009651FD">
        <w:t xml:space="preserve">from </w:t>
      </w:r>
      <w:r w:rsidR="0002084E">
        <w:t>7,719</w:t>
      </w:r>
      <w:r w:rsidR="0043521D">
        <w:t xml:space="preserve"> to </w:t>
      </w:r>
      <w:r w:rsidR="0002084E">
        <w:t>9,</w:t>
      </w:r>
      <w:r w:rsidR="007B6438">
        <w:t>332</w:t>
      </w:r>
      <w:r>
        <w:t>.  The equivalent costs of the hour burden increased due to updating the labor rate.</w:t>
      </w:r>
    </w:p>
    <w:bookmarkEnd w:id="0"/>
    <w:bookmarkEnd w:id="1"/>
    <w:p w:rsidR="00E555A8" w:rsidP="00AB3157" w:rsidRDefault="00E555A8" w14:paraId="3C2CD783"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1457A2" w:rsidR="00504357" w:rsidP="00AB3157" w:rsidRDefault="00504357" w14:paraId="1F547E3B"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hanging="720"/>
        <w:rPr>
          <w:b/>
          <w:iCs/>
        </w:rPr>
      </w:pPr>
      <w:r w:rsidRPr="001457A2">
        <w:rPr>
          <w:b/>
        </w:rPr>
        <w:t>16.</w:t>
      </w:r>
      <w:r w:rsidRPr="001457A2">
        <w:rPr>
          <w:b/>
        </w:rPr>
        <w:tab/>
      </w:r>
      <w:r w:rsidRPr="001457A2">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651FD" w:rsidR="00504357" w:rsidP="00AB3157" w:rsidRDefault="00504357" w14:paraId="077B5569"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091564" w:rsidP="00AB3157" w:rsidRDefault="00091564" w14:paraId="2188448F" w14:textId="77777777">
      <w:pPr>
        <w:ind w:left="720"/>
      </w:pPr>
      <w:r>
        <w:t xml:space="preserve">The OMB expiration date will be published in the Federal Register following OMB </w:t>
      </w:r>
      <w:r>
        <w:lastRenderedPageBreak/>
        <w:t>approval.</w:t>
      </w:r>
    </w:p>
    <w:p w:rsidRPr="0026146C" w:rsidR="008D5CB1" w:rsidP="00AB3157" w:rsidRDefault="008D5CB1" w14:paraId="03BAEA42"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1457A2" w:rsidR="00504357" w:rsidP="00AB3157" w:rsidRDefault="00504357" w14:paraId="34B9A451"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hanging="720"/>
        <w:rPr>
          <w:b/>
          <w:iCs/>
        </w:rPr>
      </w:pPr>
      <w:r w:rsidRPr="001457A2">
        <w:rPr>
          <w:b/>
        </w:rPr>
        <w:t>17.</w:t>
      </w:r>
      <w:r w:rsidRPr="001457A2">
        <w:rPr>
          <w:b/>
        </w:rPr>
        <w:tab/>
      </w:r>
      <w:r w:rsidRPr="001457A2">
        <w:rPr>
          <w:b/>
          <w:iCs/>
        </w:rPr>
        <w:t>If seeking approval to not display the expiration date for OMB approval of the information collection, explain the reasons that display would be inappropriate.</w:t>
      </w:r>
    </w:p>
    <w:p w:rsidRPr="009651FD" w:rsidR="00504357" w:rsidP="00AB3157" w:rsidRDefault="00504357" w14:paraId="50E1960F"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9651FD" w:rsidR="00504357" w:rsidP="00AB3157" w:rsidRDefault="00504357" w14:paraId="7946A718"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9651FD">
        <w:t>Not applicable.</w:t>
      </w:r>
    </w:p>
    <w:p w:rsidRPr="009651FD" w:rsidR="00504357" w:rsidP="00AB3157" w:rsidRDefault="00504357" w14:paraId="26854845"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1457A2" w:rsidR="00504357" w:rsidP="00AB3157" w:rsidRDefault="00504357" w14:paraId="62323EFA"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hanging="720"/>
        <w:rPr>
          <w:b/>
          <w:iCs/>
        </w:rPr>
      </w:pPr>
      <w:r w:rsidRPr="001457A2">
        <w:rPr>
          <w:b/>
        </w:rPr>
        <w:t>18.</w:t>
      </w:r>
      <w:r w:rsidRPr="001457A2">
        <w:rPr>
          <w:b/>
        </w:rPr>
        <w:tab/>
      </w:r>
      <w:r w:rsidRPr="001457A2">
        <w:rPr>
          <w:b/>
          <w:iCs/>
        </w:rPr>
        <w:t xml:space="preserve">Explain each exception to the certification statement identified in </w:t>
      </w:r>
      <w:r w:rsidRPr="001457A2" w:rsidR="004E1295">
        <w:rPr>
          <w:b/>
          <w:iCs/>
        </w:rPr>
        <w:t>the</w:t>
      </w:r>
      <w:r w:rsidRPr="001457A2">
        <w:rPr>
          <w:b/>
          <w:iCs/>
        </w:rPr>
        <w:t xml:space="preserve"> "Certification for Paperwork</w:t>
      </w:r>
      <w:r w:rsidRPr="001457A2">
        <w:rPr>
          <w:b/>
          <w:iCs/>
          <w:sz w:val="20"/>
          <w:szCs w:val="20"/>
        </w:rPr>
        <w:t xml:space="preserve"> </w:t>
      </w:r>
      <w:r w:rsidRPr="001457A2">
        <w:rPr>
          <w:b/>
          <w:iCs/>
        </w:rPr>
        <w:t>Reduction Act Submission</w:t>
      </w:r>
      <w:r w:rsidRPr="001457A2" w:rsidR="004E1295">
        <w:rPr>
          <w:b/>
          <w:iCs/>
        </w:rPr>
        <w:t>.</w:t>
      </w:r>
      <w:r w:rsidRPr="001457A2">
        <w:rPr>
          <w:b/>
          <w:iCs/>
        </w:rPr>
        <w:t>"</w:t>
      </w:r>
    </w:p>
    <w:p w:rsidRPr="009651FD" w:rsidR="00504357" w:rsidP="00AB3157" w:rsidRDefault="00504357" w14:paraId="3CA6FAB3"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9651FD" w:rsidR="00504357" w:rsidP="00AB3157" w:rsidRDefault="00504357" w14:paraId="6CEC84DC"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9651FD">
        <w:t>Not applicable; no exceptions to the certification statement.</w:t>
      </w:r>
    </w:p>
    <w:p w:rsidRPr="009651FD" w:rsidR="00504357" w:rsidP="00AB3157" w:rsidRDefault="00504357" w14:paraId="48B1D1F9"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Pr="009651FD" w:rsidR="00504357" w:rsidP="003758FF" w:rsidRDefault="001457A2" w14:paraId="68D12694" w14:textId="77777777">
      <w:pPr>
        <w:numPr>
          <w:ilvl w:val="0"/>
          <w:numId w:val="21"/>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hanging="720"/>
        <w:rPr>
          <w:b/>
        </w:rPr>
      </w:pPr>
      <w:r w:rsidRPr="009651FD">
        <w:rPr>
          <w:b/>
        </w:rPr>
        <w:t>COLLECTION OF INFORMATION EMPLOYING STATISTICAL METHODS</w:t>
      </w:r>
    </w:p>
    <w:p w:rsidRPr="009651FD" w:rsidR="00504357" w:rsidP="003758FF" w:rsidRDefault="00504357" w14:paraId="3AC1F5E6"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rPr>
          <w:b/>
        </w:rPr>
      </w:pPr>
    </w:p>
    <w:p w:rsidRPr="009651FD" w:rsidR="00504357" w:rsidP="003758FF" w:rsidRDefault="00504357" w14:paraId="3E03553E"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9651FD">
        <w:t>Not applicable.  The use of statistical methods is not relevant to this collection of information.</w:t>
      </w:r>
    </w:p>
    <w:sectPr w:rsidRPr="009651FD" w:rsidR="00504357" w:rsidSect="008F4C7F">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CCA3" w14:textId="77777777" w:rsidR="00066F70" w:rsidRDefault="00066F70">
      <w:r>
        <w:separator/>
      </w:r>
    </w:p>
  </w:endnote>
  <w:endnote w:type="continuationSeparator" w:id="0">
    <w:p w14:paraId="4A473063" w14:textId="77777777" w:rsidR="00066F70" w:rsidRDefault="0006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B43E" w14:textId="77777777" w:rsidR="00A80920" w:rsidRDefault="00A80920" w:rsidP="00414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692EE" w14:textId="77777777" w:rsidR="00A80920" w:rsidRDefault="00A80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997A" w14:textId="64280B66" w:rsidR="00A80920" w:rsidRDefault="00A80920" w:rsidP="00414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CB">
      <w:rPr>
        <w:rStyle w:val="PageNumber"/>
        <w:noProof/>
      </w:rPr>
      <w:t>7</w:t>
    </w:r>
    <w:r>
      <w:rPr>
        <w:rStyle w:val="PageNumber"/>
      </w:rPr>
      <w:fldChar w:fldCharType="end"/>
    </w:r>
  </w:p>
  <w:p w14:paraId="3515BA02" w14:textId="77777777" w:rsidR="00A80920" w:rsidRDefault="00A8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4EF6" w14:textId="77777777" w:rsidR="00066F70" w:rsidRDefault="00066F70">
      <w:r>
        <w:separator/>
      </w:r>
    </w:p>
  </w:footnote>
  <w:footnote w:type="continuationSeparator" w:id="0">
    <w:p w14:paraId="642194F1" w14:textId="77777777" w:rsidR="00066F70" w:rsidRDefault="00066F70">
      <w:r>
        <w:continuationSeparator/>
      </w:r>
    </w:p>
  </w:footnote>
  <w:footnote w:id="1">
    <w:p w14:paraId="36D0BF1B" w14:textId="77777777" w:rsidR="00C84E4D" w:rsidRDefault="00C84E4D">
      <w:pPr>
        <w:pStyle w:val="FootnoteText"/>
      </w:pPr>
      <w:r w:rsidRPr="00AE4019">
        <w:rPr>
          <w:rStyle w:val="FootnoteReference"/>
          <w:vertAlign w:val="superscript"/>
        </w:rPr>
        <w:footnoteRef/>
      </w:r>
      <w:r>
        <w:t xml:space="preserve"> </w:t>
      </w:r>
      <w:r w:rsidR="00934EB1" w:rsidRPr="00934EB1">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DF26" w14:textId="7208920E" w:rsidR="00A80920" w:rsidRDefault="00A80920" w:rsidP="00C50F8C">
    <w:pPr>
      <w:pStyle w:val="Header"/>
      <w:rPr>
        <w:b/>
        <w:sz w:val="20"/>
        <w:szCs w:val="20"/>
      </w:rPr>
    </w:pPr>
    <w:r>
      <w:rPr>
        <w:b/>
        <w:sz w:val="20"/>
        <w:szCs w:val="20"/>
      </w:rPr>
      <w:t>P</w:t>
    </w:r>
    <w:r w:rsidRPr="009651FD">
      <w:rPr>
        <w:b/>
        <w:sz w:val="20"/>
        <w:szCs w:val="20"/>
      </w:rPr>
      <w:t xml:space="preserve">rohibited Transaction </w:t>
    </w:r>
    <w:r>
      <w:rPr>
        <w:b/>
        <w:sz w:val="20"/>
        <w:szCs w:val="20"/>
      </w:rPr>
      <w:t xml:space="preserve">Class </w:t>
    </w:r>
    <w:r w:rsidRPr="009651FD">
      <w:rPr>
        <w:b/>
        <w:sz w:val="20"/>
        <w:szCs w:val="20"/>
      </w:rPr>
      <w:t>Exemption 91-38</w:t>
    </w:r>
    <w:r w:rsidR="00FA543D">
      <w:rPr>
        <w:b/>
        <w:sz w:val="20"/>
        <w:szCs w:val="20"/>
      </w:rPr>
      <w:t xml:space="preserve"> </w:t>
    </w:r>
    <w:r>
      <w:rPr>
        <w:b/>
        <w:sz w:val="20"/>
        <w:szCs w:val="20"/>
      </w:rPr>
      <w:t>Bank Collective Investment Funds</w:t>
    </w:r>
  </w:p>
  <w:p w14:paraId="45E9874D" w14:textId="77777777" w:rsidR="00A80920" w:rsidRDefault="00A80920" w:rsidP="00C50F8C">
    <w:pPr>
      <w:pStyle w:val="Header"/>
      <w:rPr>
        <w:b/>
        <w:bCs/>
        <w:sz w:val="20"/>
        <w:szCs w:val="20"/>
      </w:rPr>
    </w:pPr>
    <w:r>
      <w:rPr>
        <w:b/>
        <w:bCs/>
        <w:sz w:val="20"/>
        <w:szCs w:val="20"/>
      </w:rPr>
      <w:t xml:space="preserve">OMB Control </w:t>
    </w:r>
    <w:r w:rsidRPr="009651FD">
      <w:rPr>
        <w:b/>
        <w:bCs/>
        <w:sz w:val="20"/>
        <w:szCs w:val="20"/>
      </w:rPr>
      <w:t>Number 1210-0082</w:t>
    </w:r>
  </w:p>
  <w:p w14:paraId="2AF86E4A" w14:textId="77777777" w:rsidR="00FA543D" w:rsidRDefault="00FA543D" w:rsidP="00C50F8C">
    <w:pPr>
      <w:pStyle w:val="Header"/>
      <w:rPr>
        <w:b/>
        <w:bCs/>
        <w:sz w:val="20"/>
        <w:szCs w:val="20"/>
      </w:rPr>
    </w:pPr>
    <w:r>
      <w:rPr>
        <w:b/>
        <w:bCs/>
        <w:sz w:val="20"/>
        <w:szCs w:val="20"/>
      </w:rPr>
      <w:t>Expiration Date: 04/30/2022</w:t>
    </w:r>
  </w:p>
  <w:p w14:paraId="17ABD424" w14:textId="77777777" w:rsidR="00A80920" w:rsidRPr="009651FD" w:rsidRDefault="00A80920" w:rsidP="00DC12A7">
    <w:pPr>
      <w:pStyle w:val="Heade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D0A02C4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singleLevel"/>
    <w:tmpl w:val="76B20672"/>
    <w:lvl w:ilvl="0">
      <w:start w:val="1"/>
      <w:numFmt w:val="upperLetter"/>
      <w:pStyle w:val="QuickA"/>
      <w:lvlText w:val="%1."/>
      <w:lvlJc w:val="left"/>
      <w:pPr>
        <w:tabs>
          <w:tab w:val="num" w:pos="720"/>
        </w:tabs>
      </w:pPr>
      <w:rPr>
        <w:b/>
      </w:rPr>
    </w:lvl>
  </w:abstractNum>
  <w:abstractNum w:abstractNumId="2" w15:restartNumberingAfterBreak="0">
    <w:nsid w:val="0BEA32EB"/>
    <w:multiLevelType w:val="hybridMultilevel"/>
    <w:tmpl w:val="48008148"/>
    <w:lvl w:ilvl="0" w:tplc="3D102204">
      <w:start w:val="1"/>
      <w:numFmt w:val="bullet"/>
      <w:pStyle w:val="bulletlist"/>
      <w:lvlText w:val=""/>
      <w:lvlJc w:val="left"/>
      <w:pPr>
        <w:tabs>
          <w:tab w:val="num" w:pos="0"/>
        </w:tabs>
        <w:ind w:left="0" w:hanging="72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C787857"/>
    <w:multiLevelType w:val="hybridMultilevel"/>
    <w:tmpl w:val="63E0F3FA"/>
    <w:lvl w:ilvl="0" w:tplc="109A2A54">
      <w:start w:val="1"/>
      <w:numFmt w:val="upperLetter"/>
      <w:lvlText w:val="%1."/>
      <w:lvlJc w:val="left"/>
      <w:pPr>
        <w:tabs>
          <w:tab w:val="num" w:pos="360"/>
        </w:tabs>
        <w:ind w:left="360" w:hanging="360"/>
      </w:pPr>
      <w:rPr>
        <w:rFonts w:hint="default"/>
      </w:rPr>
    </w:lvl>
    <w:lvl w:ilvl="1" w:tplc="AD3E9DAA">
      <w:start w:val="1"/>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3817FD4"/>
    <w:multiLevelType w:val="multilevel"/>
    <w:tmpl w:val="F392B0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 w15:restartNumberingAfterBreak="0">
    <w:nsid w:val="18D85677"/>
    <w:multiLevelType w:val="hybridMultilevel"/>
    <w:tmpl w:val="A0685E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D21369"/>
    <w:multiLevelType w:val="hybridMultilevel"/>
    <w:tmpl w:val="C39A93CE"/>
    <w:lvl w:ilvl="0" w:tplc="AD3E9DAA">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8FF6E7C"/>
    <w:multiLevelType w:val="hybridMultilevel"/>
    <w:tmpl w:val="AF84DC7E"/>
    <w:lvl w:ilvl="0" w:tplc="8978630C">
      <w:start w:val="1"/>
      <w:numFmt w:val="bullet"/>
      <w:pStyle w:val="Style10ptItalicLeft05Hanging02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A739A0"/>
    <w:multiLevelType w:val="hybridMultilevel"/>
    <w:tmpl w:val="DA1629BE"/>
    <w:lvl w:ilvl="0" w:tplc="91A2594E">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8736B"/>
    <w:multiLevelType w:val="multilevel"/>
    <w:tmpl w:val="5254C238"/>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6300E"/>
    <w:multiLevelType w:val="hybridMultilevel"/>
    <w:tmpl w:val="7352B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36DFE"/>
    <w:multiLevelType w:val="hybridMultilevel"/>
    <w:tmpl w:val="0EB217E8"/>
    <w:lvl w:ilvl="0" w:tplc="94BC7C24">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E2EB6"/>
    <w:multiLevelType w:val="hybridMultilevel"/>
    <w:tmpl w:val="5254C238"/>
    <w:lvl w:ilvl="0" w:tplc="7D940F2C">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A8021CF"/>
    <w:multiLevelType w:val="hybridMultilevel"/>
    <w:tmpl w:val="7CC05E08"/>
    <w:lvl w:ilvl="0" w:tplc="BDDE8C78">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8970C0"/>
    <w:multiLevelType w:val="hybridMultilevel"/>
    <w:tmpl w:val="8A36CFD4"/>
    <w:lvl w:ilvl="0" w:tplc="AD3E9DA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76667569"/>
    <w:multiLevelType w:val="hybridMultilevel"/>
    <w:tmpl w:val="51BADFA4"/>
    <w:lvl w:ilvl="0" w:tplc="94D2AA00">
      <w:start w:val="1"/>
      <w:numFmt w:val="decimal"/>
      <w:lvlText w:val="%1."/>
      <w:lvlJc w:val="left"/>
      <w:pPr>
        <w:tabs>
          <w:tab w:val="num" w:pos="360"/>
        </w:tabs>
        <w:ind w:left="360" w:hanging="36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B287B2E"/>
    <w:multiLevelType w:val="hybridMultilevel"/>
    <w:tmpl w:val="B94E7044"/>
    <w:lvl w:ilvl="0" w:tplc="94BC7C24">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0"/>
          </w:tabs>
          <w:ind w:left="0" w:firstLine="0"/>
        </w:pPr>
        <w:rPr>
          <w:rFonts w:hint="default"/>
          <w:i w:val="0"/>
          <w:sz w:val="24"/>
          <w:szCs w:val="24"/>
        </w:rPr>
      </w:lvl>
    </w:lvlOverride>
  </w:num>
  <w:num w:numId="3">
    <w:abstractNumId w:val="1"/>
    <w:lvlOverride w:ilvl="0">
      <w:startOverride w:val="2"/>
      <w:lvl w:ilvl="0">
        <w:start w:val="2"/>
        <w:numFmt w:val="decimal"/>
        <w:pStyle w:val="QuickA"/>
        <w:lvlText w:val="%1."/>
        <w:lvlJc w:val="left"/>
        <w:rPr>
          <w:b/>
        </w:rPr>
      </w:lvl>
    </w:lvlOverride>
  </w:num>
  <w:num w:numId="4">
    <w:abstractNumId w:val="16"/>
  </w:num>
  <w:num w:numId="5">
    <w:abstractNumId w:val="14"/>
  </w:num>
  <w:num w:numId="6">
    <w:abstractNumId w:val="3"/>
  </w:num>
  <w:num w:numId="7">
    <w:abstractNumId w:val="4"/>
  </w:num>
  <w:num w:numId="8">
    <w:abstractNumId w:val="2"/>
  </w:num>
  <w:num w:numId="9">
    <w:abstractNumId w:val="6"/>
  </w:num>
  <w:num w:numId="10">
    <w:abstractNumId w:val="15"/>
  </w:num>
  <w:num w:numId="11">
    <w:abstractNumId w:val="7"/>
  </w:num>
  <w:num w:numId="12">
    <w:abstractNumId w:val="5"/>
  </w:num>
  <w:num w:numId="13">
    <w:abstractNumId w:val="7"/>
  </w:num>
  <w:num w:numId="14">
    <w:abstractNumId w:val="7"/>
  </w:num>
  <w:num w:numId="15">
    <w:abstractNumId w:val="7"/>
  </w:num>
  <w:num w:numId="16">
    <w:abstractNumId w:val="17"/>
  </w:num>
  <w:num w:numId="17">
    <w:abstractNumId w:val="11"/>
  </w:num>
  <w:num w:numId="18">
    <w:abstractNumId w:val="12"/>
  </w:num>
  <w:num w:numId="19">
    <w:abstractNumId w:val="9"/>
  </w:num>
  <w:num w:numId="20">
    <w:abstractNumId w:val="8"/>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FD"/>
    <w:rsid w:val="0002084E"/>
    <w:rsid w:val="000269D0"/>
    <w:rsid w:val="00031E6B"/>
    <w:rsid w:val="000366A3"/>
    <w:rsid w:val="00046CA7"/>
    <w:rsid w:val="0006614E"/>
    <w:rsid w:val="00066F70"/>
    <w:rsid w:val="00070E60"/>
    <w:rsid w:val="0007357C"/>
    <w:rsid w:val="00076594"/>
    <w:rsid w:val="00085A79"/>
    <w:rsid w:val="00091564"/>
    <w:rsid w:val="000A0821"/>
    <w:rsid w:val="000A1C93"/>
    <w:rsid w:val="000A33C6"/>
    <w:rsid w:val="000B2EE0"/>
    <w:rsid w:val="00121368"/>
    <w:rsid w:val="00137EC2"/>
    <w:rsid w:val="001457A2"/>
    <w:rsid w:val="00165497"/>
    <w:rsid w:val="0017611D"/>
    <w:rsid w:val="00180A5C"/>
    <w:rsid w:val="001944F3"/>
    <w:rsid w:val="001B0D70"/>
    <w:rsid w:val="001D1F75"/>
    <w:rsid w:val="001E569D"/>
    <w:rsid w:val="00206AF0"/>
    <w:rsid w:val="00207B11"/>
    <w:rsid w:val="002437DC"/>
    <w:rsid w:val="002538A4"/>
    <w:rsid w:val="0026146C"/>
    <w:rsid w:val="00264826"/>
    <w:rsid w:val="002766B9"/>
    <w:rsid w:val="00291740"/>
    <w:rsid w:val="00294254"/>
    <w:rsid w:val="002B04F6"/>
    <w:rsid w:val="002B5CCA"/>
    <w:rsid w:val="002C5DE2"/>
    <w:rsid w:val="0030461E"/>
    <w:rsid w:val="00320992"/>
    <w:rsid w:val="003379AF"/>
    <w:rsid w:val="00340F69"/>
    <w:rsid w:val="00345FBD"/>
    <w:rsid w:val="00353C57"/>
    <w:rsid w:val="003645F8"/>
    <w:rsid w:val="003758FF"/>
    <w:rsid w:val="00395EC2"/>
    <w:rsid w:val="003B5667"/>
    <w:rsid w:val="003C6801"/>
    <w:rsid w:val="003D0F93"/>
    <w:rsid w:val="003F1C60"/>
    <w:rsid w:val="004100FA"/>
    <w:rsid w:val="004139B1"/>
    <w:rsid w:val="0041427F"/>
    <w:rsid w:val="00433F61"/>
    <w:rsid w:val="0043521D"/>
    <w:rsid w:val="00444EC0"/>
    <w:rsid w:val="00463D31"/>
    <w:rsid w:val="00466D57"/>
    <w:rsid w:val="0047535A"/>
    <w:rsid w:val="0048686F"/>
    <w:rsid w:val="00492948"/>
    <w:rsid w:val="00493EA1"/>
    <w:rsid w:val="004D5008"/>
    <w:rsid w:val="004D6B95"/>
    <w:rsid w:val="004E1295"/>
    <w:rsid w:val="004F554F"/>
    <w:rsid w:val="00504357"/>
    <w:rsid w:val="00532682"/>
    <w:rsid w:val="00534898"/>
    <w:rsid w:val="005536CB"/>
    <w:rsid w:val="0056438F"/>
    <w:rsid w:val="005662BA"/>
    <w:rsid w:val="00584713"/>
    <w:rsid w:val="005925F2"/>
    <w:rsid w:val="00593B34"/>
    <w:rsid w:val="005A37F3"/>
    <w:rsid w:val="005B6CAC"/>
    <w:rsid w:val="005C7542"/>
    <w:rsid w:val="005C78C2"/>
    <w:rsid w:val="005D4AB0"/>
    <w:rsid w:val="005F2127"/>
    <w:rsid w:val="005F44C0"/>
    <w:rsid w:val="005F5BA8"/>
    <w:rsid w:val="00606D69"/>
    <w:rsid w:val="0062152E"/>
    <w:rsid w:val="006328F6"/>
    <w:rsid w:val="00643937"/>
    <w:rsid w:val="00646EDF"/>
    <w:rsid w:val="0065147D"/>
    <w:rsid w:val="00657B95"/>
    <w:rsid w:val="00660160"/>
    <w:rsid w:val="00663BA7"/>
    <w:rsid w:val="00666E3B"/>
    <w:rsid w:val="0067362B"/>
    <w:rsid w:val="0068375D"/>
    <w:rsid w:val="00685D02"/>
    <w:rsid w:val="00685E9A"/>
    <w:rsid w:val="006E733F"/>
    <w:rsid w:val="006F0B18"/>
    <w:rsid w:val="007230B4"/>
    <w:rsid w:val="0072396D"/>
    <w:rsid w:val="00724B2F"/>
    <w:rsid w:val="00740A7F"/>
    <w:rsid w:val="0075179B"/>
    <w:rsid w:val="0075793D"/>
    <w:rsid w:val="00757D89"/>
    <w:rsid w:val="00760967"/>
    <w:rsid w:val="00764490"/>
    <w:rsid w:val="00773DC9"/>
    <w:rsid w:val="00784F32"/>
    <w:rsid w:val="00784FAC"/>
    <w:rsid w:val="00787181"/>
    <w:rsid w:val="007B6438"/>
    <w:rsid w:val="007F683F"/>
    <w:rsid w:val="00801461"/>
    <w:rsid w:val="00807B9B"/>
    <w:rsid w:val="00825ECF"/>
    <w:rsid w:val="00834F6C"/>
    <w:rsid w:val="008449C8"/>
    <w:rsid w:val="00862A97"/>
    <w:rsid w:val="00882083"/>
    <w:rsid w:val="00884EDB"/>
    <w:rsid w:val="008A4523"/>
    <w:rsid w:val="008D11E4"/>
    <w:rsid w:val="008D4B3E"/>
    <w:rsid w:val="008D5CB1"/>
    <w:rsid w:val="008F4C7F"/>
    <w:rsid w:val="00907A4D"/>
    <w:rsid w:val="00916C5F"/>
    <w:rsid w:val="00934EB1"/>
    <w:rsid w:val="00946773"/>
    <w:rsid w:val="00957E12"/>
    <w:rsid w:val="009626AE"/>
    <w:rsid w:val="009651FD"/>
    <w:rsid w:val="00971F63"/>
    <w:rsid w:val="00973570"/>
    <w:rsid w:val="00984414"/>
    <w:rsid w:val="009A638D"/>
    <w:rsid w:val="009A74D3"/>
    <w:rsid w:val="009D0B62"/>
    <w:rsid w:val="00A03ED4"/>
    <w:rsid w:val="00A2238F"/>
    <w:rsid w:val="00A527A8"/>
    <w:rsid w:val="00A60840"/>
    <w:rsid w:val="00A724C7"/>
    <w:rsid w:val="00A7487B"/>
    <w:rsid w:val="00A76229"/>
    <w:rsid w:val="00A80920"/>
    <w:rsid w:val="00A8563A"/>
    <w:rsid w:val="00A93414"/>
    <w:rsid w:val="00AB3157"/>
    <w:rsid w:val="00AC7E15"/>
    <w:rsid w:val="00AD218D"/>
    <w:rsid w:val="00AE19D8"/>
    <w:rsid w:val="00AE4019"/>
    <w:rsid w:val="00AF2227"/>
    <w:rsid w:val="00B021BC"/>
    <w:rsid w:val="00B21F9D"/>
    <w:rsid w:val="00B22F9A"/>
    <w:rsid w:val="00B23A8A"/>
    <w:rsid w:val="00B452E3"/>
    <w:rsid w:val="00B769D5"/>
    <w:rsid w:val="00B85598"/>
    <w:rsid w:val="00BE545C"/>
    <w:rsid w:val="00BF1A14"/>
    <w:rsid w:val="00C02258"/>
    <w:rsid w:val="00C207D6"/>
    <w:rsid w:val="00C23C30"/>
    <w:rsid w:val="00C41500"/>
    <w:rsid w:val="00C434E1"/>
    <w:rsid w:val="00C50F8C"/>
    <w:rsid w:val="00C84E4D"/>
    <w:rsid w:val="00C96979"/>
    <w:rsid w:val="00CA384C"/>
    <w:rsid w:val="00CB0B17"/>
    <w:rsid w:val="00CB77AC"/>
    <w:rsid w:val="00CD7795"/>
    <w:rsid w:val="00CE0433"/>
    <w:rsid w:val="00CE22BE"/>
    <w:rsid w:val="00D01313"/>
    <w:rsid w:val="00D26703"/>
    <w:rsid w:val="00D52779"/>
    <w:rsid w:val="00D65E54"/>
    <w:rsid w:val="00D7051C"/>
    <w:rsid w:val="00D8314D"/>
    <w:rsid w:val="00D86806"/>
    <w:rsid w:val="00D93866"/>
    <w:rsid w:val="00DA48EE"/>
    <w:rsid w:val="00DC12A7"/>
    <w:rsid w:val="00DC30DF"/>
    <w:rsid w:val="00DD580C"/>
    <w:rsid w:val="00DE45F1"/>
    <w:rsid w:val="00E0018E"/>
    <w:rsid w:val="00E10617"/>
    <w:rsid w:val="00E23945"/>
    <w:rsid w:val="00E555A8"/>
    <w:rsid w:val="00EB1B68"/>
    <w:rsid w:val="00EC3D7D"/>
    <w:rsid w:val="00EC4D7D"/>
    <w:rsid w:val="00ED2F64"/>
    <w:rsid w:val="00EF1355"/>
    <w:rsid w:val="00EF43F4"/>
    <w:rsid w:val="00EF656B"/>
    <w:rsid w:val="00F0061B"/>
    <w:rsid w:val="00F219FC"/>
    <w:rsid w:val="00F41FAA"/>
    <w:rsid w:val="00F4674F"/>
    <w:rsid w:val="00F52582"/>
    <w:rsid w:val="00F54D82"/>
    <w:rsid w:val="00F628A5"/>
    <w:rsid w:val="00FA16FB"/>
    <w:rsid w:val="00FA543D"/>
    <w:rsid w:val="00FC1C1C"/>
    <w:rsid w:val="00FC20F2"/>
    <w:rsid w:val="00FD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4C11F"/>
  <w15:chartTrackingRefBased/>
  <w15:docId w15:val="{24F4ABAD-D32D-4796-92CE-5DF0F391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898"/>
    <w:pPr>
      <w:widowControl w:val="0"/>
      <w:autoSpaceDE w:val="0"/>
      <w:autoSpaceDN w:val="0"/>
      <w:adjustRightInd w:val="0"/>
    </w:pPr>
    <w:rPr>
      <w:sz w:val="24"/>
      <w:szCs w:val="24"/>
    </w:rPr>
  </w:style>
  <w:style w:type="paragraph" w:styleId="Heading1">
    <w:name w:val="heading 1"/>
    <w:basedOn w:val="Normal"/>
    <w:next w:val="Normal"/>
    <w:qFormat/>
    <w:pPr>
      <w:keepNext/>
      <w:ind w:left="3600" w:right="-1170" w:firstLine="720"/>
      <w:jc w:val="center"/>
      <w:outlineLvl w:val="0"/>
    </w:pPr>
    <w:rPr>
      <w:rFonts w:ascii="CG Times" w:hAnsi="CG 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next w:val="Normal"/>
    <w:rsid w:val="00B021BC"/>
    <w:pPr>
      <w:numPr>
        <w:numId w:val="2"/>
      </w:numPr>
      <w:tabs>
        <w:tab w:val="clear" w:pos="0"/>
      </w:tabs>
      <w:ind w:left="720" w:hanging="720"/>
    </w:pPr>
    <w:rPr>
      <w:i/>
      <w:sz w:val="20"/>
      <w:szCs w:val="20"/>
    </w:rPr>
  </w:style>
  <w:style w:type="paragraph" w:customStyle="1" w:styleId="QuickA">
    <w:name w:val="Quick A."/>
    <w:basedOn w:val="Normal"/>
    <w:pPr>
      <w:numPr>
        <w:numId w:val="3"/>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5A37F3"/>
    <w:rPr>
      <w:rFonts w:ascii="Tahoma" w:hAnsi="Tahoma" w:cs="Tahoma"/>
      <w:sz w:val="16"/>
      <w:szCs w:val="16"/>
    </w:rPr>
  </w:style>
  <w:style w:type="paragraph" w:customStyle="1" w:styleId="bulletlist">
    <w:name w:val="bullet list"/>
    <w:basedOn w:val="Normal"/>
    <w:rsid w:val="00F0061B"/>
    <w:pPr>
      <w:numPr>
        <w:numId w:val="8"/>
      </w:numPr>
    </w:pPr>
  </w:style>
  <w:style w:type="paragraph" w:customStyle="1" w:styleId="Style10ptItalicLeft05Hanging025">
    <w:name w:val="Style 10 pt Italic Left:  0.5&quot; Hanging:  0.25&quot;"/>
    <w:basedOn w:val="Normal"/>
    <w:rsid w:val="002766B9"/>
    <w:pPr>
      <w:numPr>
        <w:numId w:val="11"/>
      </w:numPr>
    </w:pPr>
    <w:rPr>
      <w:i/>
      <w:iCs/>
      <w:sz w:val="20"/>
      <w:szCs w:val="20"/>
    </w:rPr>
  </w:style>
  <w:style w:type="paragraph" w:customStyle="1" w:styleId="Style10ptItalicLeft05Hanging0251">
    <w:name w:val="Style 10 pt Italic Left:  0.5&quot; Hanging:  0.25&quot;1"/>
    <w:basedOn w:val="Normal"/>
    <w:rsid w:val="00534898"/>
    <w:pPr>
      <w:ind w:left="720"/>
    </w:pPr>
    <w:rPr>
      <w:i/>
      <w:iCs/>
      <w:sz w:val="20"/>
      <w:szCs w:val="20"/>
    </w:rPr>
  </w:style>
  <w:style w:type="paragraph" w:customStyle="1" w:styleId="Style10ptItalicLeft025">
    <w:name w:val="Style 10 pt Italic Left:  0.25&quot;"/>
    <w:basedOn w:val="Normal"/>
    <w:rsid w:val="00534898"/>
    <w:pPr>
      <w:ind w:left="720"/>
    </w:pPr>
    <w:rPr>
      <w:i/>
      <w:iCs/>
      <w:sz w:val="20"/>
      <w:szCs w:val="20"/>
    </w:rPr>
  </w:style>
  <w:style w:type="character" w:styleId="PageNumber">
    <w:name w:val="page number"/>
    <w:basedOn w:val="DefaultParagraphFont"/>
    <w:rsid w:val="009626AE"/>
  </w:style>
  <w:style w:type="paragraph" w:styleId="Revision">
    <w:name w:val="Revision"/>
    <w:hidden/>
    <w:uiPriority w:val="99"/>
    <w:semiHidden/>
    <w:rsid w:val="00A2238F"/>
    <w:rPr>
      <w:sz w:val="24"/>
      <w:szCs w:val="24"/>
    </w:rPr>
  </w:style>
  <w:style w:type="character" w:styleId="CommentReference">
    <w:name w:val="annotation reference"/>
    <w:basedOn w:val="DefaultParagraphFont"/>
    <w:rsid w:val="001944F3"/>
    <w:rPr>
      <w:sz w:val="16"/>
      <w:szCs w:val="16"/>
    </w:rPr>
  </w:style>
  <w:style w:type="paragraph" w:styleId="CommentText">
    <w:name w:val="annotation text"/>
    <w:basedOn w:val="Normal"/>
    <w:link w:val="CommentTextChar"/>
    <w:rsid w:val="001944F3"/>
    <w:rPr>
      <w:sz w:val="20"/>
      <w:szCs w:val="20"/>
    </w:rPr>
  </w:style>
  <w:style w:type="character" w:customStyle="1" w:styleId="CommentTextChar">
    <w:name w:val="Comment Text Char"/>
    <w:basedOn w:val="DefaultParagraphFont"/>
    <w:link w:val="CommentText"/>
    <w:rsid w:val="001944F3"/>
  </w:style>
  <w:style w:type="paragraph" w:styleId="CommentSubject">
    <w:name w:val="annotation subject"/>
    <w:basedOn w:val="CommentText"/>
    <w:next w:val="CommentText"/>
    <w:link w:val="CommentSubjectChar"/>
    <w:rsid w:val="001944F3"/>
    <w:rPr>
      <w:b/>
      <w:bCs/>
    </w:rPr>
  </w:style>
  <w:style w:type="character" w:customStyle="1" w:styleId="CommentSubjectChar">
    <w:name w:val="Comment Subject Char"/>
    <w:basedOn w:val="CommentTextChar"/>
    <w:link w:val="CommentSubject"/>
    <w:rsid w:val="00194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12ebf718c81ef8c9fb0e56d150ade9d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8469e40d74b204ccc04e09ec8e1bdb5"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34A15-9419-4F43-891D-A2D4B9780FE2}">
  <ds:schemaRefs>
    <ds:schemaRef ds:uri="http://schemas.openxmlformats.org/officeDocument/2006/bibliography"/>
  </ds:schemaRefs>
</ds:datastoreItem>
</file>

<file path=customXml/itemProps2.xml><?xml version="1.0" encoding="utf-8"?>
<ds:datastoreItem xmlns:ds="http://schemas.openxmlformats.org/officeDocument/2006/customXml" ds:itemID="{2E7E2B88-EECF-40FC-9FE7-8DE13A67CB24}">
  <ds:schemaRefs>
    <ds:schemaRef ds:uri="http://schemas.microsoft.com/sharepoint/v3/contenttype/forms"/>
  </ds:schemaRefs>
</ds:datastoreItem>
</file>

<file path=customXml/itemProps3.xml><?xml version="1.0" encoding="utf-8"?>
<ds:datastoreItem xmlns:ds="http://schemas.openxmlformats.org/officeDocument/2006/customXml" ds:itemID="{E47A6F07-5B1A-4DC9-9B0E-C9D060A8AC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C88AE-F068-4089-8D4D-819AD6EFD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2735</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Khan, Mariam - EBSA</cp:lastModifiedBy>
  <cp:revision>2</cp:revision>
  <cp:lastPrinted>2015-10-16T15:35:00Z</cp:lastPrinted>
  <dcterms:created xsi:type="dcterms:W3CDTF">2022-02-15T15:56:00Z</dcterms:created>
  <dcterms:modified xsi:type="dcterms:W3CDTF">2022-02-15T15:56:00Z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