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9E" w:rsidP="00E35242" w:rsidRDefault="00E35242" w14:paraId="7E252A16" w14:textId="03AAD505">
      <w:pPr>
        <w:pStyle w:val="Title"/>
        <w:rPr>
          <w:color w:val="auto"/>
          <w:lang w:val="x-none"/>
        </w:rPr>
      </w:pPr>
      <w:r>
        <w:rPr>
          <w:color w:val="auto"/>
          <w:lang w:val="x-none"/>
        </w:rPr>
        <w:t xml:space="preserve">SUPPORTING STATEMENT FOR </w:t>
      </w:r>
      <w:r>
        <w:rPr>
          <w:color w:val="auto"/>
          <w:lang w:val="x-none"/>
        </w:rPr>
        <w:br/>
        <w:t>THE INFOR</w:t>
      </w:r>
      <w:r w:rsidR="000F459E">
        <w:rPr>
          <w:color w:val="auto"/>
          <w:lang w:val="x-none"/>
        </w:rPr>
        <w:t xml:space="preserve">MATION COLLECTION REQUIREMENTS </w:t>
      </w:r>
      <w:r>
        <w:rPr>
          <w:color w:val="auto"/>
          <w:lang w:val="x-none"/>
        </w:rPr>
        <w:t xml:space="preserve">IN THE </w:t>
      </w:r>
    </w:p>
    <w:p w:rsidR="00E35242" w:rsidP="003F1D7F" w:rsidRDefault="000A7879" w14:paraId="4ED77DE3" w14:textId="7E6C4A5B">
      <w:pPr>
        <w:pStyle w:val="Title"/>
        <w:rPr>
          <w:color w:val="auto"/>
        </w:rPr>
      </w:pPr>
      <w:r>
        <w:rPr>
          <w:color w:val="auto"/>
        </w:rPr>
        <w:t>COVID-19</w:t>
      </w:r>
      <w:r w:rsidR="004C3FE1">
        <w:rPr>
          <w:color w:val="auto"/>
        </w:rPr>
        <w:t xml:space="preserve"> </w:t>
      </w:r>
      <w:r w:rsidR="00493C25">
        <w:rPr>
          <w:color w:val="auto"/>
        </w:rPr>
        <w:t xml:space="preserve">EMERGENCY TEMPORARY </w:t>
      </w:r>
      <w:r w:rsidR="00665D8C">
        <w:rPr>
          <w:color w:val="auto"/>
        </w:rPr>
        <w:t xml:space="preserve">STANDARD FOR </w:t>
      </w:r>
      <w:r>
        <w:rPr>
          <w:color w:val="auto"/>
        </w:rPr>
        <w:t>HEALTHCARE AND ASSOCIATED INDUSTRIES</w:t>
      </w:r>
      <w:r w:rsidR="00AF5EF1">
        <w:rPr>
          <w:color w:val="auto"/>
        </w:rPr>
        <w:t xml:space="preserve"> </w:t>
      </w:r>
      <w:r w:rsidR="00E35242">
        <w:rPr>
          <w:color w:val="auto"/>
          <w:lang w:val="x-none"/>
        </w:rPr>
        <w:t>(29 CFR 1910</w:t>
      </w:r>
      <w:r w:rsidR="00E23314">
        <w:rPr>
          <w:color w:val="auto"/>
        </w:rPr>
        <w:t xml:space="preserve">, </w:t>
      </w:r>
      <w:r w:rsidRPr="003D353B" w:rsidR="00E23314">
        <w:rPr>
          <w:color w:val="auto"/>
        </w:rPr>
        <w:t>Subpart U</w:t>
      </w:r>
      <w:r w:rsidRPr="003D353B" w:rsidR="00E35242">
        <w:rPr>
          <w:color w:val="auto"/>
          <w:lang w:val="x-none"/>
        </w:rPr>
        <w:t>)</w:t>
      </w:r>
      <w:r w:rsidRPr="003D353B" w:rsidDel="000A7879">
        <w:rPr>
          <w:rStyle w:val="FootnoteReference"/>
          <w:color w:val="auto"/>
          <w:lang w:val="x-none"/>
        </w:rPr>
        <w:t xml:space="preserve"> </w:t>
      </w:r>
    </w:p>
    <w:p w:rsidR="004C3FE1" w:rsidP="00E35242" w:rsidRDefault="00E35242" w14:paraId="7B66E41F" w14:textId="026DC2CD">
      <w:pPr>
        <w:pStyle w:val="Title"/>
        <w:rPr>
          <w:color w:val="auto"/>
        </w:rPr>
      </w:pPr>
      <w:r>
        <w:rPr>
          <w:color w:val="auto"/>
          <w:lang w:val="x-none"/>
        </w:rPr>
        <w:t>OMB CONTROL NO. 1218-</w:t>
      </w:r>
      <w:r>
        <w:rPr>
          <w:color w:val="auto"/>
        </w:rPr>
        <w:t>0</w:t>
      </w:r>
      <w:r w:rsidR="00792F85">
        <w:rPr>
          <w:color w:val="auto"/>
        </w:rPr>
        <w:t>277</w:t>
      </w:r>
    </w:p>
    <w:p w:rsidR="00E35242" w:rsidP="00E35242" w:rsidRDefault="00E35242" w14:paraId="6F18B783" w14:textId="78B5F7E5">
      <w:pPr>
        <w:pStyle w:val="Title"/>
        <w:rPr>
          <w:color w:val="auto"/>
          <w:lang w:val="x-none"/>
        </w:rPr>
      </w:pPr>
      <w:r>
        <w:rPr>
          <w:color w:val="auto"/>
          <w:lang w:val="x-none"/>
        </w:rPr>
        <w:t>(</w:t>
      </w:r>
      <w:r w:rsidR="001473D5">
        <w:rPr>
          <w:color w:val="auto"/>
        </w:rPr>
        <w:t>December</w:t>
      </w:r>
      <w:r w:rsidR="003C616E">
        <w:rPr>
          <w:color w:val="auto"/>
        </w:rPr>
        <w:t xml:space="preserve"> </w:t>
      </w:r>
      <w:r w:rsidR="00F54ECD">
        <w:rPr>
          <w:color w:val="auto"/>
        </w:rPr>
        <w:t>2021</w:t>
      </w:r>
      <w:r>
        <w:rPr>
          <w:color w:val="auto"/>
          <w:lang w:val="x-none"/>
        </w:rPr>
        <w:t xml:space="preserve">) </w:t>
      </w:r>
    </w:p>
    <w:p w:rsidR="00A147F8" w:rsidP="00E35242" w:rsidRDefault="00A147F8" w14:paraId="0AF316A4" w14:textId="70856250">
      <w:pPr>
        <w:pStyle w:val="Title"/>
        <w:rPr>
          <w:color w:val="auto"/>
          <w:lang w:val="x-none"/>
        </w:rPr>
      </w:pPr>
    </w:p>
    <w:p w:rsidRPr="00A147F8" w:rsidR="002E7F0A" w:rsidP="002E7F0A" w:rsidRDefault="002E7F0A" w14:paraId="5742373D" w14:textId="5F3E8A1E">
      <w:pPr>
        <w:autoSpaceDE/>
        <w:autoSpaceDN/>
        <w:rPr>
          <w:rFonts w:eastAsia="Times New Roman"/>
          <w:lang w:eastAsia="en-US"/>
        </w:rPr>
      </w:pPr>
      <w:r w:rsidRPr="00A147F8">
        <w:rPr>
          <w:rFonts w:eastAsia="Times New Roman"/>
          <w:lang w:eastAsia="en-US"/>
        </w:rPr>
        <w:t xml:space="preserve">This </w:t>
      </w:r>
      <w:r>
        <w:rPr>
          <w:rFonts w:eastAsia="Times New Roman"/>
          <w:lang w:eastAsia="en-US"/>
        </w:rPr>
        <w:t>Information Collection Request (</w:t>
      </w:r>
      <w:r w:rsidRPr="00A147F8">
        <w:rPr>
          <w:rFonts w:eastAsia="Times New Roman"/>
          <w:lang w:eastAsia="en-US"/>
        </w:rPr>
        <w:t>ICR</w:t>
      </w:r>
      <w:r>
        <w:rPr>
          <w:rFonts w:eastAsia="Times New Roman"/>
          <w:lang w:eastAsia="en-US"/>
        </w:rPr>
        <w:t>)</w:t>
      </w:r>
      <w:r w:rsidRPr="00A147F8">
        <w:rPr>
          <w:rFonts w:eastAsia="Times New Roman"/>
          <w:lang w:eastAsia="en-US"/>
        </w:rPr>
        <w:t xml:space="preserve"> </w:t>
      </w:r>
      <w:r>
        <w:rPr>
          <w:rFonts w:eastAsia="Times New Roman"/>
          <w:lang w:eastAsia="en-US"/>
        </w:rPr>
        <w:t xml:space="preserve">is requesting a </w:t>
      </w:r>
      <w:r w:rsidR="00F144ED">
        <w:rPr>
          <w:rFonts w:eastAsia="Times New Roman"/>
          <w:lang w:eastAsia="en-US"/>
        </w:rPr>
        <w:t>revision</w:t>
      </w:r>
      <w:r w:rsidRPr="00A147F8" w:rsidR="00F144ED">
        <w:rPr>
          <w:rFonts w:eastAsia="Times New Roman"/>
          <w:lang w:eastAsia="en-US"/>
        </w:rPr>
        <w:t xml:space="preserve"> </w:t>
      </w:r>
      <w:r w:rsidRPr="00A147F8">
        <w:rPr>
          <w:rFonts w:eastAsia="Times New Roman"/>
          <w:lang w:eastAsia="en-US"/>
        </w:rPr>
        <w:t xml:space="preserve">for the </w:t>
      </w:r>
      <w:r>
        <w:rPr>
          <w:rFonts w:eastAsia="Times New Roman"/>
          <w:lang w:eastAsia="en-US"/>
        </w:rPr>
        <w:t xml:space="preserve">approval of </w:t>
      </w:r>
      <w:r w:rsidRPr="00A147F8">
        <w:rPr>
          <w:rFonts w:eastAsia="Times New Roman"/>
          <w:lang w:eastAsia="en-US"/>
        </w:rPr>
        <w:t>information collect</w:t>
      </w:r>
      <w:r>
        <w:rPr>
          <w:rFonts w:eastAsia="Times New Roman"/>
          <w:lang w:eastAsia="en-US"/>
        </w:rPr>
        <w:t>ed</w:t>
      </w:r>
      <w:r w:rsidRPr="00A147F8">
        <w:rPr>
          <w:rFonts w:eastAsia="Times New Roman"/>
          <w:lang w:eastAsia="en-US"/>
        </w:rPr>
        <w:t xml:space="preserve"> in OSHA’s Emergency Temporary Standard (ETS) for </w:t>
      </w:r>
      <w:r w:rsidR="00E15604">
        <w:rPr>
          <w:rFonts w:eastAsia="Times New Roman"/>
          <w:lang w:eastAsia="en-US"/>
        </w:rPr>
        <w:t>COVID</w:t>
      </w:r>
      <w:r w:rsidRPr="00A147F8">
        <w:rPr>
          <w:rFonts w:eastAsia="Times New Roman"/>
          <w:lang w:eastAsia="en-US"/>
        </w:rPr>
        <w:t>-19</w:t>
      </w:r>
      <w:r>
        <w:rPr>
          <w:rFonts w:eastAsia="Times New Roman"/>
          <w:lang w:eastAsia="en-US"/>
        </w:rPr>
        <w:t xml:space="preserve">, which was initially approved until December 31, 2021.  OSHA is requesting approval of the </w:t>
      </w:r>
      <w:r w:rsidR="004B2E27">
        <w:rPr>
          <w:rFonts w:eastAsia="Times New Roman"/>
          <w:lang w:eastAsia="en-US"/>
        </w:rPr>
        <w:t>revised</w:t>
      </w:r>
      <w:r>
        <w:rPr>
          <w:rFonts w:eastAsia="Times New Roman"/>
          <w:lang w:eastAsia="en-US"/>
        </w:rPr>
        <w:t xml:space="preserve"> </w:t>
      </w:r>
      <w:r w:rsidR="004B2E27">
        <w:rPr>
          <w:rFonts w:eastAsia="Times New Roman"/>
          <w:lang w:eastAsia="en-US"/>
        </w:rPr>
        <w:t xml:space="preserve">information </w:t>
      </w:r>
      <w:r>
        <w:rPr>
          <w:rFonts w:eastAsia="Times New Roman"/>
          <w:lang w:eastAsia="en-US"/>
        </w:rPr>
        <w:t xml:space="preserve">collection for </w:t>
      </w:r>
      <w:r w:rsidR="004B2E27">
        <w:rPr>
          <w:rFonts w:eastAsia="Times New Roman"/>
          <w:lang w:eastAsia="en-US"/>
        </w:rPr>
        <w:t>three years</w:t>
      </w:r>
      <w:r w:rsidR="00D20F1A">
        <w:rPr>
          <w:rFonts w:eastAsia="Times New Roman"/>
          <w:lang w:eastAsia="en-US"/>
        </w:rPr>
        <w:t xml:space="preserve">. </w:t>
      </w:r>
    </w:p>
    <w:p w:rsidR="00E35242" w:rsidP="00E35242" w:rsidRDefault="002E7F0A" w14:paraId="224500C5" w14:textId="2D6234C4">
      <w:pPr>
        <w:pStyle w:val="Default"/>
        <w:jc w:val="center"/>
        <w:rPr>
          <w:color w:val="auto"/>
        </w:rPr>
      </w:pPr>
      <w:r w:rsidRPr="00A147F8" w:rsidDel="002E7F0A">
        <w:rPr>
          <w:rFonts w:eastAsia="Times New Roman"/>
          <w:lang w:eastAsia="en-US"/>
        </w:rPr>
        <w:t xml:space="preserve"> </w:t>
      </w:r>
    </w:p>
    <w:p w:rsidR="00E35242" w:rsidP="00E35242" w:rsidRDefault="00E35242" w14:paraId="4C3B59DC" w14:textId="77777777">
      <w:pPr>
        <w:pStyle w:val="Heading1"/>
        <w:rPr>
          <w:lang w:val="x-none"/>
        </w:rPr>
      </w:pPr>
      <w:r>
        <w:rPr>
          <w:lang w:val="x-none"/>
        </w:rPr>
        <w:t xml:space="preserve">Justification </w:t>
      </w:r>
    </w:p>
    <w:p w:rsidR="00E35242" w:rsidP="00E35242" w:rsidRDefault="00E35242" w14:paraId="1BF33407" w14:textId="77777777">
      <w:pPr>
        <w:pStyle w:val="Default"/>
        <w:rPr>
          <w:color w:val="auto"/>
        </w:rPr>
      </w:pPr>
      <w:r>
        <w:rPr>
          <w:color w:val="auto"/>
        </w:rPr>
        <w:t xml:space="preserve">                                                                                                                              </w:t>
      </w:r>
    </w:p>
    <w:p w:rsidR="00E35242" w:rsidP="00E35242" w:rsidRDefault="00E35242" w14:paraId="5C1FA19F" w14:textId="77777777">
      <w:pPr>
        <w:pStyle w:val="Heading2"/>
        <w:ind w:left="0" w:firstLine="0"/>
        <w:rPr>
          <w:sz w:val="22"/>
          <w:szCs w:val="22"/>
          <w:lang w:val="x-none"/>
        </w:rPr>
      </w:pPr>
      <w:r>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242" w:rsidP="00E35242" w:rsidRDefault="00E35242" w14:paraId="448829A0" w14:textId="36A30620">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w:t>
      </w:r>
      <w:r w:rsidRPr="00486060" w:rsidR="00486060">
        <w:rPr>
          <w:sz w:val="24"/>
          <w:szCs w:val="24"/>
        </w:rPr>
        <w:t>The Act also states that the Secretary may adopt regulations requiring employers to maintain records “for developing information regarding the causes and prevention of occu</w:t>
      </w:r>
      <w:bookmarkStart w:name="_GoBack" w:id="0"/>
      <w:bookmarkEnd w:id="0"/>
      <w:r w:rsidRPr="00486060" w:rsidR="00486060">
        <w:rPr>
          <w:sz w:val="24"/>
          <w:szCs w:val="24"/>
        </w:rPr>
        <w:t xml:space="preserve">pational accidents and illnesses”; to maintain records of, and make periodic reports on, work-related deaths, injuries, and illnesses; and “to maintain accurate records of employee exposures to potentially toxic materials or harmful physical agents.”  (29 U.S.C. 657 (c)). </w:t>
      </w:r>
      <w:r w:rsidRPr="00486060" w:rsidR="00486060">
        <w:rPr>
          <w:sz w:val="24"/>
          <w:szCs w:val="24"/>
          <w:lang w:val="x-none"/>
        </w:rPr>
        <w:t> </w:t>
      </w:r>
      <w:r>
        <w:rPr>
          <w:sz w:val="24"/>
          <w:szCs w:val="24"/>
          <w:lang w:val="x-none"/>
        </w:rPr>
        <w:t xml:space="preserve">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Pr="001745C1" w:rsidR="001745C1" w:rsidP="001745C1" w:rsidRDefault="001745C1" w14:paraId="7622D53D" w14:textId="609BE963">
      <w:pPr>
        <w:suppressAutoHyphens/>
        <w:rPr>
          <w:rFonts w:eastAsia="Times New Roman"/>
          <w:lang w:eastAsia="en-US"/>
        </w:rPr>
      </w:pPr>
      <w:r w:rsidRPr="001745C1">
        <w:rPr>
          <w:rFonts w:eastAsia="Times New Roman"/>
          <w:lang w:eastAsia="en-US"/>
        </w:rPr>
        <w:t xml:space="preserve">In addition, the OSH Act requires the Occupational Safety and Health Administration (“OSHA” or “the </w:t>
      </w:r>
      <w:r w:rsidRPr="001745C1">
        <w:rPr>
          <w:rFonts w:eastAsia="Times New Roman"/>
          <w:lang w:val="x-none" w:eastAsia="en-US"/>
        </w:rPr>
        <w:t>agency</w:t>
      </w:r>
      <w:r w:rsidRPr="001745C1">
        <w:rPr>
          <w:rFonts w:eastAsia="Times New Roman"/>
          <w:lang w:eastAsia="en-US"/>
        </w:rPr>
        <w:t xml:space="preserve">”) to issue an Emergency Temporary Standard (ETS) if OSHA determines that </w:t>
      </w:r>
      <w:bookmarkStart w:name="Section6(c)(1)" w:id="1"/>
      <w:bookmarkStart w:name="Section6(c)(1)(A)" w:id="2"/>
      <w:bookmarkEnd w:id="1"/>
      <w:bookmarkEnd w:id="2"/>
      <w:r w:rsidRPr="001745C1">
        <w:rPr>
          <w:rFonts w:eastAsia="Times New Roman"/>
          <w:lang w:val="en" w:eastAsia="en-US"/>
        </w:rPr>
        <w:t>“employees are exposed to grave danger from exposure to substances or agents determined to be toxic or physically harmful or from new hazards,” and</w:t>
      </w:r>
      <w:bookmarkStart w:name="Section6(c)(1)(B)" w:id="3"/>
      <w:bookmarkEnd w:id="3"/>
      <w:r w:rsidRPr="001745C1">
        <w:rPr>
          <w:rFonts w:eastAsia="Times New Roman"/>
          <w:lang w:val="en" w:eastAsia="en-US"/>
        </w:rPr>
        <w:t xml:space="preserve"> an ETS is “necessary to protect employees from such danger.”</w:t>
      </w:r>
      <w:bookmarkStart w:name="Section6(c)(2)" w:id="4"/>
      <w:bookmarkStart w:name="Section6(c)(3)" w:id="5"/>
      <w:bookmarkEnd w:id="4"/>
      <w:bookmarkEnd w:id="5"/>
      <w:r w:rsidRPr="001745C1">
        <w:rPr>
          <w:rFonts w:eastAsia="Times New Roman"/>
          <w:lang w:val="en" w:eastAsia="en-US"/>
        </w:rPr>
        <w:t xml:space="preserve"> </w:t>
      </w:r>
      <w:r w:rsidRPr="001745C1">
        <w:rPr>
          <w:rFonts w:eastAsia="Times New Roman"/>
          <w:lang w:eastAsia="en-US"/>
        </w:rPr>
        <w:t>29 U.S.C. 655(c)(1). </w:t>
      </w:r>
    </w:p>
    <w:p w:rsidRPr="001745C1" w:rsidR="001745C1" w:rsidP="001745C1" w:rsidRDefault="001745C1" w14:paraId="315B7986" w14:textId="77777777">
      <w:pPr>
        <w:suppressAutoHyphens/>
        <w:autoSpaceDE/>
        <w:autoSpaceDN/>
        <w:rPr>
          <w:rFonts w:eastAsia="Times New Roman"/>
          <w:lang w:eastAsia="en-US"/>
        </w:rPr>
      </w:pPr>
    </w:p>
    <w:p w:rsidR="001745C1" w:rsidP="00692532" w:rsidRDefault="001745C1" w14:paraId="3431D6CC" w14:textId="2961548F">
      <w:pPr>
        <w:pStyle w:val="BodyTextFirstIndent"/>
        <w:spacing w:after="0"/>
        <w:ind w:firstLine="0"/>
        <w:rPr>
          <w:sz w:val="24"/>
          <w:szCs w:val="24"/>
          <w:lang w:val="x-none"/>
        </w:rPr>
      </w:pPr>
      <w:r w:rsidRPr="00A222D4">
        <w:rPr>
          <w:rFonts w:eastAsia="Times New Roman"/>
          <w:sz w:val="24"/>
          <w:szCs w:val="24"/>
          <w:lang w:val="en" w:eastAsia="en-US"/>
        </w:rPr>
        <w:t xml:space="preserve">On January 21, 2021, President Biden issued Executive Order 13999, which directed OSHA to consider </w:t>
      </w:r>
      <w:r w:rsidRPr="00A222D4" w:rsidR="00A21684">
        <w:rPr>
          <w:rFonts w:eastAsia="Times New Roman"/>
          <w:sz w:val="24"/>
          <w:szCs w:val="24"/>
          <w:lang w:val="en" w:eastAsia="en-US"/>
        </w:rPr>
        <w:t xml:space="preserve">whether </w:t>
      </w:r>
      <w:r w:rsidRPr="00A222D4">
        <w:rPr>
          <w:rFonts w:eastAsia="Times New Roman"/>
          <w:sz w:val="24"/>
          <w:szCs w:val="24"/>
          <w:lang w:val="en" w:eastAsia="en-US"/>
        </w:rPr>
        <w:t>an ETS</w:t>
      </w:r>
      <w:r w:rsidRPr="00A222D4" w:rsidR="00A21684">
        <w:rPr>
          <w:rFonts w:eastAsia="Times New Roman"/>
          <w:sz w:val="24"/>
          <w:szCs w:val="24"/>
          <w:lang w:val="en" w:eastAsia="en-US"/>
        </w:rPr>
        <w:t xml:space="preserve"> is necessary</w:t>
      </w:r>
      <w:r w:rsidRPr="00A222D4">
        <w:rPr>
          <w:rFonts w:eastAsia="Times New Roman"/>
          <w:sz w:val="24"/>
          <w:szCs w:val="24"/>
          <w:lang w:val="en" w:eastAsia="en-US"/>
        </w:rPr>
        <w:t xml:space="preserve"> to protect “healthcare workers and other essential workers” from the coronavirus disease 2019 (COVID-19) pandemic.  </w:t>
      </w:r>
      <w:r w:rsidRPr="00D417F2">
        <w:rPr>
          <w:rFonts w:eastAsia="Times New Roman"/>
          <w:sz w:val="24"/>
          <w:szCs w:val="24"/>
          <w:lang w:eastAsia="en-US"/>
        </w:rPr>
        <w:t>OSHA</w:t>
      </w:r>
      <w:r w:rsidRPr="001745C1">
        <w:rPr>
          <w:rFonts w:eastAsia="Times New Roman"/>
          <w:sz w:val="24"/>
          <w:szCs w:val="24"/>
          <w:lang w:eastAsia="en-US"/>
        </w:rPr>
        <w:t xml:space="preserve"> determined that an ETS is necessary to protect workers from the grave danger posed by COVID-19 and </w:t>
      </w:r>
      <w:r w:rsidR="00574747">
        <w:rPr>
          <w:rFonts w:eastAsia="Times New Roman"/>
          <w:sz w:val="24"/>
          <w:szCs w:val="24"/>
          <w:lang w:eastAsia="en-US"/>
        </w:rPr>
        <w:t>issued</w:t>
      </w:r>
      <w:r w:rsidRPr="001745C1">
        <w:rPr>
          <w:rFonts w:eastAsia="Times New Roman"/>
          <w:sz w:val="24"/>
          <w:szCs w:val="24"/>
          <w:lang w:eastAsia="en-US"/>
        </w:rPr>
        <w:t xml:space="preserve"> an ETS for Healthcare and Associated Industries (29 CFR 1910.502)</w:t>
      </w:r>
      <w:r w:rsidR="00574747">
        <w:rPr>
          <w:rFonts w:eastAsia="Times New Roman"/>
          <w:sz w:val="24"/>
          <w:szCs w:val="24"/>
          <w:lang w:eastAsia="en-US"/>
        </w:rPr>
        <w:t xml:space="preserve"> on June 21, 2021 (</w:t>
      </w:r>
      <w:r w:rsidR="000E0E4B">
        <w:rPr>
          <w:rFonts w:eastAsia="Times New Roman"/>
          <w:sz w:val="24"/>
          <w:szCs w:val="24"/>
          <w:lang w:eastAsia="en-US"/>
        </w:rPr>
        <w:t xml:space="preserve">86 FR </w:t>
      </w:r>
      <w:r w:rsidRPr="000E0E4B" w:rsidR="000E0E4B">
        <w:rPr>
          <w:rFonts w:eastAsia="Times New Roman"/>
          <w:sz w:val="24"/>
          <w:szCs w:val="24"/>
          <w:lang w:eastAsia="en-US"/>
        </w:rPr>
        <w:lastRenderedPageBreak/>
        <w:t>32376</w:t>
      </w:r>
      <w:r w:rsidR="000E0E4B">
        <w:rPr>
          <w:rFonts w:eastAsia="Times New Roman"/>
          <w:sz w:val="24"/>
          <w:szCs w:val="24"/>
          <w:lang w:eastAsia="en-US"/>
        </w:rPr>
        <w:t>)</w:t>
      </w:r>
      <w:r w:rsidRPr="001745C1">
        <w:rPr>
          <w:rFonts w:eastAsia="Times New Roman"/>
          <w:sz w:val="24"/>
          <w:szCs w:val="24"/>
          <w:lang w:eastAsia="en-US"/>
        </w:rPr>
        <w:t xml:space="preserve">.  </w:t>
      </w:r>
      <w:r w:rsidR="004014E1">
        <w:rPr>
          <w:rFonts w:eastAsia="Times New Roman"/>
          <w:sz w:val="24"/>
          <w:szCs w:val="24"/>
          <w:lang w:eastAsia="en-US"/>
        </w:rPr>
        <w:t>Section 1910.502 contain</w:t>
      </w:r>
      <w:r w:rsidR="004C3FE1">
        <w:rPr>
          <w:rFonts w:eastAsia="Times New Roman"/>
          <w:sz w:val="24"/>
          <w:szCs w:val="24"/>
          <w:lang w:eastAsia="en-US"/>
        </w:rPr>
        <w:t>s</w:t>
      </w:r>
      <w:r w:rsidRPr="001745C1">
        <w:rPr>
          <w:rFonts w:eastAsia="Times New Roman"/>
          <w:sz w:val="24"/>
          <w:szCs w:val="24"/>
          <w:lang w:eastAsia="en-US"/>
        </w:rPr>
        <w:t xml:space="preserve"> collections of information necessary </w:t>
      </w:r>
      <w:r w:rsidRPr="00486060" w:rsidR="00486060">
        <w:rPr>
          <w:rFonts w:eastAsia="Times New Roman"/>
          <w:sz w:val="24"/>
          <w:szCs w:val="24"/>
          <w:lang w:eastAsia="en-US"/>
        </w:rPr>
        <w:t>to assist OSHA, employers, and employees to respond to the hazard of COVID-19 in the workplace</w:t>
      </w:r>
      <w:r w:rsidRPr="001745C1">
        <w:rPr>
          <w:rFonts w:eastAsia="Times New Roman"/>
          <w:sz w:val="24"/>
          <w:szCs w:val="24"/>
          <w:lang w:eastAsia="en-US"/>
        </w:rPr>
        <w:t>.</w:t>
      </w:r>
    </w:p>
    <w:p w:rsidR="00E35242" w:rsidP="00692532" w:rsidRDefault="00E35242" w14:paraId="16B81CA1" w14:textId="78AF430B">
      <w:r>
        <w:t xml:space="preserve">  </w:t>
      </w:r>
    </w:p>
    <w:p w:rsidR="00E35242" w:rsidP="00E35242" w:rsidRDefault="00E35242" w14:paraId="302F17CB" w14:textId="77777777">
      <w:pPr>
        <w:pStyle w:val="Heading2"/>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rsidR="00937508" w:rsidP="005E536A" w:rsidRDefault="00166679" w14:paraId="6DCE8AFD" w14:textId="3E3FDE7F">
      <w:pPr>
        <w:pStyle w:val="BodyTextIndent"/>
        <w:ind w:left="0"/>
        <w:rPr>
          <w:rFonts w:ascii="Times New Roman" w:hAnsi="Times New Roman"/>
        </w:rPr>
      </w:pPr>
      <w:bookmarkStart w:name="ExposureAssessment_2" w:id="6"/>
      <w:bookmarkEnd w:id="6"/>
      <w:r w:rsidRPr="00166679">
        <w:rPr>
          <w:rFonts w:ascii="Times New Roman" w:hAnsi="Times New Roman"/>
        </w:rPr>
        <w:t xml:space="preserve">The </w:t>
      </w:r>
      <w:r w:rsidR="00136898">
        <w:rPr>
          <w:rFonts w:ascii="Times New Roman" w:hAnsi="Times New Roman"/>
        </w:rPr>
        <w:t xml:space="preserve">COVID-19 </w:t>
      </w:r>
      <w:r w:rsidR="005F1EF7">
        <w:rPr>
          <w:rFonts w:ascii="Times New Roman" w:hAnsi="Times New Roman"/>
        </w:rPr>
        <w:t xml:space="preserve">recordkeeping and reporting provisions </w:t>
      </w:r>
      <w:r w:rsidRPr="00486060" w:rsidR="00486060">
        <w:rPr>
          <w:rFonts w:ascii="Times New Roman" w:hAnsi="Times New Roman"/>
        </w:rPr>
        <w:t xml:space="preserve">for healthcare and associated industries </w:t>
      </w:r>
      <w:r w:rsidRPr="00166679">
        <w:rPr>
          <w:rFonts w:ascii="Times New Roman" w:hAnsi="Times New Roman"/>
        </w:rPr>
        <w:t>contains the following collections of information:</w:t>
      </w:r>
    </w:p>
    <w:p w:rsidR="00F852FC" w:rsidP="005E536A" w:rsidRDefault="00F852FC" w14:paraId="33477C37" w14:textId="77777777">
      <w:pPr>
        <w:pStyle w:val="BodyTextIndent"/>
        <w:ind w:left="0"/>
        <w:rPr>
          <w:rFonts w:ascii="Times New Roman" w:hAnsi="Times New Roman"/>
        </w:rPr>
      </w:pPr>
    </w:p>
    <w:p w:rsidR="00124EF1" w:rsidP="005E536A" w:rsidRDefault="006714DE" w14:paraId="60A1FA85" w14:textId="4AAC59B2">
      <w:pPr>
        <w:spacing w:line="480" w:lineRule="auto"/>
        <w:outlineLvl w:val="4"/>
        <w:rPr>
          <w:rFonts w:eastAsia="Arial Unicode MS"/>
          <w:b/>
          <w:color w:val="000000"/>
        </w:rPr>
      </w:pPr>
      <w:r w:rsidRPr="006714DE">
        <w:rPr>
          <w:rFonts w:eastAsia="Arial Unicode MS"/>
          <w:b/>
          <w:color w:val="000000"/>
          <w:u w:val="single"/>
        </w:rPr>
        <w:t>29 CF</w:t>
      </w:r>
      <w:r w:rsidRPr="003D353B" w:rsidR="00D91F3C">
        <w:rPr>
          <w:rFonts w:eastAsia="Arial Unicode MS"/>
          <w:b/>
          <w:color w:val="000000"/>
          <w:u w:val="single"/>
        </w:rPr>
        <w:t xml:space="preserve">R </w:t>
      </w:r>
      <w:r w:rsidRPr="003D353B" w:rsidR="00124EF1">
        <w:rPr>
          <w:rFonts w:eastAsia="Arial Unicode MS"/>
          <w:b/>
          <w:color w:val="000000"/>
          <w:u w:val="single"/>
        </w:rPr>
        <w:t>§</w:t>
      </w:r>
      <w:r w:rsidRPr="003D353B" w:rsidR="00134257">
        <w:rPr>
          <w:rFonts w:eastAsia="Arial Unicode MS"/>
          <w:b/>
          <w:color w:val="000000"/>
          <w:u w:val="single"/>
        </w:rPr>
        <w:t xml:space="preserve"> </w:t>
      </w:r>
      <w:r w:rsidRPr="003D353B" w:rsidR="00124EF1">
        <w:rPr>
          <w:rFonts w:eastAsia="Arial Unicode MS"/>
          <w:b/>
          <w:color w:val="000000"/>
          <w:u w:val="single"/>
        </w:rPr>
        <w:t>1910.502</w:t>
      </w:r>
      <w:r w:rsidRPr="003D353B" w:rsidR="00E47E50">
        <w:rPr>
          <w:rFonts w:eastAsia="Arial Unicode MS"/>
          <w:b/>
          <w:color w:val="000000"/>
          <w:u w:val="single"/>
        </w:rPr>
        <w:t xml:space="preserve"> – Healthcare and Associate Industries</w:t>
      </w:r>
      <w:r w:rsidRPr="00394886" w:rsidR="00124EF1">
        <w:rPr>
          <w:rFonts w:eastAsia="Arial Unicode MS"/>
          <w:b/>
          <w:color w:val="000000"/>
        </w:rPr>
        <w:t>.</w:t>
      </w:r>
      <w:r w:rsidR="00EF7032">
        <w:rPr>
          <w:rStyle w:val="FootnoteReference"/>
          <w:rFonts w:eastAsia="Arial Unicode MS"/>
          <w:b/>
          <w:color w:val="000000"/>
        </w:rPr>
        <w:footnoteReference w:id="2"/>
      </w:r>
    </w:p>
    <w:p w:rsidR="005E536A" w:rsidP="005E536A" w:rsidRDefault="005E536A" w14:paraId="0B3F6FC8" w14:textId="77777777">
      <w:pPr>
        <w:pStyle w:val="NoSpacing"/>
        <w:rPr>
          <w:rFonts w:ascii="Times New Roman" w:hAnsi="Times New Roman" w:cs="Times New Roman"/>
          <w:sz w:val="24"/>
          <w:szCs w:val="24"/>
        </w:rPr>
      </w:pPr>
    </w:p>
    <w:p w:rsidR="00363BA1" w:rsidP="00363BA1" w:rsidRDefault="00363BA1" w14:paraId="054A5AD5" w14:textId="71ACD32C">
      <w:pPr>
        <w:rPr>
          <w:bCs/>
        </w:rPr>
      </w:pPr>
      <w:r w:rsidRPr="00363BA1">
        <w:rPr>
          <w:rFonts w:eastAsia="Arial Unicode MS"/>
          <w:b/>
          <w:color w:val="000000"/>
        </w:rPr>
        <w:t>§</w:t>
      </w:r>
      <w:r w:rsidR="00134257">
        <w:rPr>
          <w:rFonts w:eastAsia="Arial Unicode MS"/>
          <w:b/>
          <w:color w:val="000000"/>
        </w:rPr>
        <w:t xml:space="preserve"> </w:t>
      </w:r>
      <w:r w:rsidRPr="001401D5">
        <w:rPr>
          <w:b/>
        </w:rPr>
        <w:t>1910.502(q)</w:t>
      </w:r>
      <w:r w:rsidRPr="001401D5">
        <w:rPr>
          <w:b/>
          <w:bCs/>
        </w:rPr>
        <w:t xml:space="preserve"> Recordkeeping</w:t>
      </w:r>
      <w:r w:rsidRPr="00394886">
        <w:rPr>
          <w:bCs/>
        </w:rPr>
        <w:t xml:space="preserve">.  </w:t>
      </w:r>
    </w:p>
    <w:p w:rsidRPr="00394886" w:rsidR="00363BA1" w:rsidP="00363BA1" w:rsidRDefault="00363BA1" w14:paraId="445772D1" w14:textId="77777777">
      <w:pPr>
        <w:rPr>
          <w:bCs/>
        </w:rPr>
      </w:pPr>
    </w:p>
    <w:p w:rsidR="00363BA1" w:rsidP="00363BA1" w:rsidRDefault="00363BA1" w14:paraId="108B5B33" w14:textId="04D19173">
      <w:pPr>
        <w:ind w:left="720" w:hanging="360"/>
        <w:rPr>
          <w:bCs/>
        </w:rPr>
      </w:pPr>
      <w:r w:rsidRPr="00394886">
        <w:rPr>
          <w:bCs/>
        </w:rPr>
        <w:t>(1) Small employer exclusion.  Employers with 10 or fewer employees on the effective date of this section are not required to comply with paragraph (q)(2)</w:t>
      </w:r>
      <w:r w:rsidR="00BD7923">
        <w:rPr>
          <w:bCs/>
        </w:rPr>
        <w:t xml:space="preserve"> or (q)(3)</w:t>
      </w:r>
      <w:r w:rsidR="00D2448B">
        <w:rPr>
          <w:bCs/>
        </w:rPr>
        <w:t xml:space="preserve"> of this section</w:t>
      </w:r>
      <w:r w:rsidRPr="00394886">
        <w:rPr>
          <w:bCs/>
        </w:rPr>
        <w:t>.</w:t>
      </w:r>
    </w:p>
    <w:p w:rsidRPr="00394886" w:rsidR="00363BA1" w:rsidP="00363BA1" w:rsidRDefault="00363BA1" w14:paraId="5F3C4A37" w14:textId="77777777">
      <w:pPr>
        <w:ind w:left="720" w:hanging="360"/>
        <w:rPr>
          <w:bCs/>
        </w:rPr>
      </w:pPr>
    </w:p>
    <w:p w:rsidRPr="00394886" w:rsidR="00363BA1" w:rsidP="00363BA1" w:rsidRDefault="00363BA1" w14:paraId="4D366162" w14:textId="77777777">
      <w:pPr>
        <w:ind w:left="720" w:hanging="360"/>
        <w:rPr>
          <w:bCs/>
        </w:rPr>
      </w:pPr>
      <w:r w:rsidRPr="00394886">
        <w:rPr>
          <w:bCs/>
        </w:rPr>
        <w:t xml:space="preserve">(2) Required records.  Employers with more than 10 employees on the effective date of this section must: </w:t>
      </w:r>
    </w:p>
    <w:p w:rsidR="00F41E24" w:rsidP="00363BA1" w:rsidRDefault="00F41E24" w14:paraId="3E87FB1C" w14:textId="77777777">
      <w:pPr>
        <w:ind w:left="1080" w:hanging="360"/>
        <w:rPr>
          <w:bCs/>
        </w:rPr>
      </w:pPr>
    </w:p>
    <w:p w:rsidRPr="00394886" w:rsidR="00363BA1" w:rsidP="00363BA1" w:rsidRDefault="00363BA1" w14:paraId="2FB523DC" w14:textId="0C02166B">
      <w:pPr>
        <w:ind w:left="1080" w:hanging="360"/>
        <w:rPr>
          <w:bCs/>
        </w:rPr>
      </w:pPr>
      <w:r w:rsidRPr="00394886">
        <w:rPr>
          <w:bCs/>
        </w:rPr>
        <w:t xml:space="preserve">(ii) </w:t>
      </w:r>
      <w:r w:rsidR="00EE3CA0">
        <w:rPr>
          <w:bCs/>
        </w:rPr>
        <w:t>e</w:t>
      </w:r>
      <w:r w:rsidRPr="00394886">
        <w:rPr>
          <w:bCs/>
        </w:rPr>
        <w:t xml:space="preserve">stablish and maintain a COVID-19 log to record each instance identified by the employer in which an employee is COVID-19 positive, </w:t>
      </w:r>
      <w:r w:rsidRPr="00394886">
        <w:t>regardless of whether the instance is connected to exposure to COVID-19 at work</w:t>
      </w:r>
      <w:r w:rsidRPr="00394886">
        <w:rPr>
          <w:bCs/>
        </w:rPr>
        <w:t xml:space="preserve">.  </w:t>
      </w:r>
    </w:p>
    <w:p w:rsidR="00F41E24" w:rsidP="00363BA1" w:rsidRDefault="00F41E24" w14:paraId="3C14D91B" w14:textId="77777777">
      <w:pPr>
        <w:shd w:val="clear" w:color="auto" w:fill="FFFFFF"/>
        <w:ind w:left="1530" w:hanging="450"/>
        <w:rPr>
          <w:bCs/>
        </w:rPr>
      </w:pPr>
    </w:p>
    <w:p w:rsidRPr="00394886" w:rsidR="00363BA1" w:rsidP="00363BA1" w:rsidRDefault="00363BA1" w14:paraId="532D8769" w14:textId="0C90F1A0">
      <w:pPr>
        <w:shd w:val="clear" w:color="auto" w:fill="FFFFFF"/>
        <w:ind w:left="1530" w:hanging="450"/>
        <w:rPr>
          <w:bCs/>
        </w:rPr>
      </w:pPr>
      <w:r w:rsidRPr="00394886">
        <w:rPr>
          <w:bCs/>
        </w:rPr>
        <w:t>(A)  The COVID-19 log must contain, for each instance</w:t>
      </w:r>
      <w:r w:rsidR="00D2448B">
        <w:rPr>
          <w:bCs/>
        </w:rPr>
        <w:t>,</w:t>
      </w:r>
      <w:r w:rsidRPr="00394886">
        <w:rPr>
          <w:bCs/>
        </w:rPr>
        <w:t xml:space="preserve"> the employee’s name,</w:t>
      </w:r>
      <w:r w:rsidR="004C7452">
        <w:rPr>
          <w:bCs/>
        </w:rPr>
        <w:t xml:space="preserve"> one form of</w:t>
      </w:r>
      <w:r w:rsidRPr="00394886">
        <w:rPr>
          <w:bCs/>
        </w:rPr>
        <w:t xml:space="preserve"> contact information, occupation, location where the employee worked, the date of the employee’s last day at the workplace, the date of the positive test for, or diagnosis of, COVID-19, and the date the employee first had one or more COVID-19 symptoms, if any were experienced.  </w:t>
      </w:r>
    </w:p>
    <w:p w:rsidR="00F41E24" w:rsidP="00363BA1" w:rsidRDefault="00F41E24" w14:paraId="095B7259" w14:textId="77777777">
      <w:pPr>
        <w:ind w:left="1440" w:hanging="360"/>
        <w:rPr>
          <w:rFonts w:eastAsia="Times New Roman"/>
        </w:rPr>
      </w:pPr>
    </w:p>
    <w:p w:rsidRPr="00394886" w:rsidR="00363BA1" w:rsidP="00363BA1" w:rsidRDefault="00363BA1" w14:paraId="14B0B4D8" w14:textId="66341200">
      <w:pPr>
        <w:ind w:left="1440" w:hanging="360"/>
        <w:rPr>
          <w:rFonts w:eastAsia="Times New Roman"/>
        </w:rPr>
      </w:pPr>
      <w:r w:rsidRPr="00394886">
        <w:rPr>
          <w:rFonts w:eastAsia="Times New Roman"/>
        </w:rPr>
        <w:t xml:space="preserve">(B) The information in the COVID-19 log must be recorded within 24 hours of the employer learning that the employee is COVID-19 positive and must be maintained </w:t>
      </w:r>
      <w:r w:rsidRPr="00D2448B" w:rsidR="00D2448B">
        <w:rPr>
          <w:rFonts w:eastAsia="Times New Roman"/>
        </w:rPr>
        <w:t>as though it is a confidential medical record and must not be disclosed except as required by this ETS or other federal law.</w:t>
      </w:r>
    </w:p>
    <w:p w:rsidR="00F41E24" w:rsidP="00363BA1" w:rsidRDefault="00F41E24" w14:paraId="152F9591" w14:textId="77777777">
      <w:pPr>
        <w:ind w:left="1440" w:hanging="360"/>
        <w:rPr>
          <w:rFonts w:eastAsia="Times New Roman"/>
        </w:rPr>
      </w:pPr>
    </w:p>
    <w:p w:rsidRPr="00394886" w:rsidR="00363BA1" w:rsidP="00363BA1" w:rsidRDefault="00363BA1" w14:paraId="5A1672F2" w14:textId="11BF75AA">
      <w:pPr>
        <w:ind w:left="1440" w:hanging="360"/>
        <w:rPr>
          <w:rFonts w:eastAsia="Times New Roman"/>
        </w:rPr>
      </w:pPr>
      <w:r w:rsidRPr="00394886">
        <w:rPr>
          <w:rFonts w:eastAsia="Times New Roman"/>
        </w:rPr>
        <w:t xml:space="preserve">(C) The COVID-19 log must be maintained </w:t>
      </w:r>
      <w:r w:rsidR="009D0484">
        <w:rPr>
          <w:rFonts w:eastAsia="Times New Roman"/>
        </w:rPr>
        <w:t xml:space="preserve">and preserved </w:t>
      </w:r>
      <w:r w:rsidRPr="00394886">
        <w:rPr>
          <w:rFonts w:eastAsia="Times New Roman"/>
        </w:rPr>
        <w:t>while this section remains in effect.</w:t>
      </w:r>
    </w:p>
    <w:p w:rsidR="00F41E24" w:rsidP="00F41E24" w:rsidRDefault="00F41E24" w14:paraId="289872F1" w14:textId="77777777">
      <w:pPr>
        <w:ind w:left="720"/>
        <w:rPr>
          <w:rFonts w:eastAsia="Times New Roman"/>
          <w:b/>
        </w:rPr>
      </w:pPr>
    </w:p>
    <w:p w:rsidR="00363BA1" w:rsidP="007B67F5" w:rsidRDefault="00363BA1" w14:paraId="2A449BC3" w14:textId="59D360BE">
      <w:pPr>
        <w:rPr>
          <w:bCs/>
        </w:rPr>
      </w:pPr>
      <w:r w:rsidRPr="00394886">
        <w:rPr>
          <w:rFonts w:eastAsia="Times New Roman"/>
          <w:b/>
        </w:rPr>
        <w:t xml:space="preserve">Note to paragraph (q)(2)(ii): </w:t>
      </w:r>
      <w:r w:rsidRPr="00394886">
        <w:rPr>
          <w:bCs/>
        </w:rPr>
        <w:t xml:space="preserve">The COVID-19 log is intended to assist employers with tracking and evaluating instances of employees who </w:t>
      </w:r>
      <w:r w:rsidRPr="00394886">
        <w:t>are COVID-19 positive</w:t>
      </w:r>
      <w:r w:rsidRPr="00394886">
        <w:rPr>
          <w:bCs/>
        </w:rPr>
        <w:t xml:space="preserve"> without regard to whether those employees were infected at work.  The tracking will help evaluate potential workplace exposure to other employees.  </w:t>
      </w:r>
    </w:p>
    <w:p w:rsidRPr="00394886" w:rsidR="007B67F5" w:rsidP="007B67F5" w:rsidRDefault="007B67F5" w14:paraId="1D334E10" w14:textId="77777777">
      <w:pPr>
        <w:rPr>
          <w:bCs/>
        </w:rPr>
      </w:pPr>
    </w:p>
    <w:p w:rsidRPr="00394886" w:rsidR="00363BA1" w:rsidP="00363BA1" w:rsidRDefault="00EE3CA0" w14:paraId="2F4C1138" w14:textId="1D6FF26C">
      <w:pPr>
        <w:ind w:left="720" w:hanging="360"/>
        <w:rPr>
          <w:bCs/>
        </w:rPr>
      </w:pPr>
      <w:r w:rsidRPr="00394886" w:rsidDel="00EE3CA0">
        <w:rPr>
          <w:rFonts w:eastAsia="Times New Roman"/>
        </w:rPr>
        <w:t xml:space="preserve"> </w:t>
      </w:r>
      <w:r w:rsidRPr="00394886" w:rsidR="00363BA1">
        <w:rPr>
          <w:bCs/>
        </w:rPr>
        <w:t xml:space="preserve">(3) Availability of records.  </w:t>
      </w:r>
      <w:r w:rsidRPr="009D0484" w:rsidR="009D0484">
        <w:rPr>
          <w:bCs/>
        </w:rPr>
        <w:t>By the end of the next business day after</w:t>
      </w:r>
      <w:r w:rsidRPr="00394886" w:rsidR="00363BA1">
        <w:rPr>
          <w:bCs/>
        </w:rPr>
        <w:t xml:space="preserve"> a request, the employer must provide, for examination and copying:</w:t>
      </w:r>
    </w:p>
    <w:p w:rsidR="00F41E24" w:rsidP="00363BA1" w:rsidRDefault="00F41E24" w14:paraId="0352D0C5" w14:textId="77777777">
      <w:pPr>
        <w:ind w:left="1080" w:hanging="360"/>
        <w:rPr>
          <w:bCs/>
        </w:rPr>
      </w:pPr>
    </w:p>
    <w:p w:rsidR="009D0484" w:rsidP="009D0484" w:rsidRDefault="00363BA1" w14:paraId="0753881E" w14:textId="293F0AD4">
      <w:pPr>
        <w:ind w:left="1080" w:hanging="360"/>
        <w:rPr>
          <w:bCs/>
        </w:rPr>
      </w:pPr>
      <w:r w:rsidRPr="00394886">
        <w:rPr>
          <w:bCs/>
        </w:rPr>
        <w:t xml:space="preserve">(ii)  </w:t>
      </w:r>
      <w:r w:rsidRPr="009D0484" w:rsidR="009D0484">
        <w:rPr>
          <w:bCs/>
        </w:rPr>
        <w:t>The individual COVID-19 log entry for a particular employee to that employee and to anyone having written authorized consent of that employee.</w:t>
      </w:r>
    </w:p>
    <w:p w:rsidRPr="009D0484" w:rsidR="009D0484" w:rsidP="009D0484" w:rsidRDefault="009D0484" w14:paraId="728F2B92" w14:textId="77777777">
      <w:pPr>
        <w:ind w:left="1080" w:hanging="360"/>
        <w:rPr>
          <w:bCs/>
        </w:rPr>
      </w:pPr>
    </w:p>
    <w:p w:rsidRPr="009D0484" w:rsidR="009D0484" w:rsidP="009D0484" w:rsidRDefault="009D0484" w14:paraId="2A998C4A" w14:textId="642AFA1D">
      <w:pPr>
        <w:ind w:left="1080" w:hanging="360"/>
        <w:rPr>
          <w:bCs/>
        </w:rPr>
      </w:pPr>
      <w:r w:rsidRPr="009D0484">
        <w:rPr>
          <w:bCs/>
        </w:rPr>
        <w:t xml:space="preserve">(iii) A version of the COVID-19 log </w:t>
      </w:r>
      <w:r w:rsidR="00621FBC">
        <w:t>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w:t>
      </w:r>
      <w:r w:rsidRPr="009D0484">
        <w:rPr>
          <w:bCs/>
        </w:rPr>
        <w:t xml:space="preserve">, to all of the following:  any employees, their personal representatives, and their authorized representatives.  </w:t>
      </w:r>
    </w:p>
    <w:p w:rsidR="00F41E24" w:rsidP="00363BA1" w:rsidRDefault="00F41E24" w14:paraId="5A0D9FEF" w14:textId="77777777">
      <w:pPr>
        <w:ind w:left="1080" w:hanging="360"/>
        <w:rPr>
          <w:bCs/>
        </w:rPr>
      </w:pPr>
    </w:p>
    <w:p w:rsidRPr="00394886" w:rsidR="00363BA1" w:rsidP="00363BA1" w:rsidRDefault="00363BA1" w14:paraId="2CBA8356" w14:textId="62405BC6">
      <w:pPr>
        <w:ind w:left="1080" w:hanging="360"/>
        <w:rPr>
          <w:bCs/>
        </w:rPr>
      </w:pPr>
      <w:r w:rsidRPr="00394886">
        <w:rPr>
          <w:bCs/>
        </w:rPr>
        <w:t>(iv) All records required to be maintained by this section to the Assistant Secretary.</w:t>
      </w:r>
    </w:p>
    <w:p w:rsidR="00704C04" w:rsidP="00363BA1" w:rsidRDefault="00704C04" w14:paraId="5FECFC1A" w14:textId="77777777">
      <w:pPr>
        <w:rPr>
          <w:b/>
        </w:rPr>
      </w:pPr>
    </w:p>
    <w:p w:rsidRPr="00394886" w:rsidR="00363BA1" w:rsidP="00363BA1" w:rsidRDefault="00363BA1" w14:paraId="0A4D39B6" w14:textId="49DEBF8F">
      <w:pPr>
        <w:rPr>
          <w:color w:val="1F497D"/>
        </w:rPr>
      </w:pPr>
      <w:r w:rsidRPr="00394886">
        <w:rPr>
          <w:b/>
        </w:rPr>
        <w:t xml:space="preserve">Note to paragraph (q): </w:t>
      </w:r>
      <w:r w:rsidRPr="00394886">
        <w:rPr>
          <w:color w:val="201F1E"/>
          <w:shd w:val="clear" w:color="auto" w:fill="FFFFFF"/>
        </w:rPr>
        <w:t>Employers must continue to record all work-related confirmed cases of COVID-19 on their OSHA Forms 300, 300A, and 301</w:t>
      </w:r>
      <w:r w:rsidR="002D6981">
        <w:rPr>
          <w:color w:val="201F1E"/>
          <w:shd w:val="clear" w:color="auto" w:fill="FFFFFF"/>
        </w:rPr>
        <w:t>,</w:t>
      </w:r>
      <w:r w:rsidRPr="00394886">
        <w:rPr>
          <w:color w:val="201F1E"/>
          <w:shd w:val="clear" w:color="auto" w:fill="FFFFFF"/>
        </w:rPr>
        <w:t xml:space="preserve"> or the equivalent forms</w:t>
      </w:r>
      <w:r w:rsidR="002D6981">
        <w:rPr>
          <w:color w:val="201F1E"/>
          <w:shd w:val="clear" w:color="auto" w:fill="FFFFFF"/>
        </w:rPr>
        <w:t>,</w:t>
      </w:r>
      <w:r w:rsidRPr="00394886">
        <w:rPr>
          <w:color w:val="201F1E"/>
          <w:shd w:val="clear" w:color="auto" w:fill="FFFFFF"/>
        </w:rPr>
        <w:t xml:space="preserve"> if required to do so under 29 CFR Part 1904.</w:t>
      </w:r>
    </w:p>
    <w:p w:rsidRPr="001401D5" w:rsidR="00363BA1" w:rsidP="001401D5" w:rsidRDefault="00363BA1" w14:paraId="7BAE4795" w14:textId="3BB5DEA6">
      <w:pPr>
        <w:outlineLvl w:val="4"/>
        <w:rPr>
          <w:b/>
        </w:rPr>
      </w:pPr>
    </w:p>
    <w:p w:rsidRPr="00675DA4" w:rsidR="00E63125" w:rsidP="00E63125" w:rsidRDefault="00E63125" w14:paraId="5FCAAE03" w14:textId="305CCFCC">
      <w:pPr>
        <w:pStyle w:val="NoSpacing"/>
        <w:rPr>
          <w:rFonts w:ascii="Times New Roman" w:hAnsi="Times New Roman" w:eastAsia="Arial Unicode MS" w:cs="Times New Roman"/>
          <w:color w:val="000000"/>
          <w:sz w:val="24"/>
          <w:szCs w:val="24"/>
        </w:rPr>
      </w:pPr>
      <w:r w:rsidRPr="00BD1D95">
        <w:rPr>
          <w:rFonts w:ascii="Times New Roman" w:hAnsi="Times New Roman" w:eastAsia="Arial Unicode MS" w:cs="Times New Roman"/>
          <w:b/>
          <w:i/>
          <w:color w:val="000000"/>
          <w:sz w:val="24"/>
          <w:szCs w:val="24"/>
          <w:u w:val="single"/>
        </w:rPr>
        <w:t>Purpose</w:t>
      </w:r>
      <w:r>
        <w:rPr>
          <w:rFonts w:ascii="Times New Roman" w:hAnsi="Times New Roman" w:eastAsia="Arial Unicode MS" w:cs="Times New Roman"/>
          <w:b/>
          <w:color w:val="000000"/>
          <w:sz w:val="24"/>
          <w:szCs w:val="24"/>
          <w:u w:val="single"/>
        </w:rPr>
        <w:t>:</w:t>
      </w:r>
      <w:r w:rsidRPr="00675DA4">
        <w:rPr>
          <w:rFonts w:ascii="Times New Roman" w:hAnsi="Times New Roman" w:eastAsia="Arial Unicode MS" w:cs="Times New Roman"/>
          <w:color w:val="000000"/>
          <w:sz w:val="24"/>
          <w:szCs w:val="24"/>
        </w:rPr>
        <w:t xml:space="preserve"> The requirement that employers establish </w:t>
      </w:r>
      <w:r w:rsidR="009D0484">
        <w:rPr>
          <w:rFonts w:ascii="Times New Roman" w:hAnsi="Times New Roman" w:eastAsia="Arial Unicode MS" w:cs="Times New Roman"/>
          <w:color w:val="000000"/>
          <w:sz w:val="24"/>
          <w:szCs w:val="24"/>
        </w:rPr>
        <w:t xml:space="preserve">and </w:t>
      </w:r>
      <w:r w:rsidRPr="00675DA4">
        <w:rPr>
          <w:rFonts w:ascii="Times New Roman" w:hAnsi="Times New Roman" w:eastAsia="Arial Unicode MS" w:cs="Times New Roman"/>
          <w:color w:val="000000"/>
          <w:sz w:val="24"/>
          <w:szCs w:val="24"/>
        </w:rPr>
        <w:t>COVID-19 logs</w:t>
      </w:r>
      <w:r w:rsidR="00B33103">
        <w:rPr>
          <w:rFonts w:ascii="Times New Roman" w:hAnsi="Times New Roman" w:eastAsia="Arial Unicode MS" w:cs="Times New Roman"/>
          <w:color w:val="000000"/>
          <w:sz w:val="24"/>
          <w:szCs w:val="24"/>
        </w:rPr>
        <w:t xml:space="preserve"> </w:t>
      </w:r>
      <w:r w:rsidR="009D0484">
        <w:rPr>
          <w:rFonts w:ascii="Times New Roman" w:hAnsi="Times New Roman" w:eastAsia="Arial Unicode MS" w:cs="Times New Roman"/>
          <w:color w:val="000000"/>
          <w:sz w:val="24"/>
          <w:szCs w:val="24"/>
        </w:rPr>
        <w:t>is</w:t>
      </w:r>
      <w:r w:rsidRPr="00675DA4">
        <w:rPr>
          <w:rFonts w:ascii="Times New Roman" w:hAnsi="Times New Roman" w:eastAsia="Arial Unicode MS" w:cs="Times New Roman"/>
          <w:color w:val="000000"/>
          <w:sz w:val="24"/>
          <w:szCs w:val="24"/>
        </w:rPr>
        <w:t xml:space="preserve"> essential for effective </w:t>
      </w:r>
      <w:r w:rsidRPr="00486060" w:rsidR="00486060">
        <w:rPr>
          <w:rFonts w:ascii="Times New Roman" w:hAnsi="Times New Roman" w:eastAsia="Arial Unicode MS" w:cs="Times New Roman"/>
          <w:color w:val="000000"/>
          <w:sz w:val="24"/>
          <w:szCs w:val="24"/>
        </w:rPr>
        <w:t>protectio</w:t>
      </w:r>
      <w:r w:rsidR="00486060">
        <w:rPr>
          <w:rFonts w:ascii="Times New Roman" w:hAnsi="Times New Roman" w:eastAsia="Arial Unicode MS" w:cs="Times New Roman"/>
          <w:color w:val="000000"/>
          <w:sz w:val="24"/>
          <w:szCs w:val="24"/>
        </w:rPr>
        <w:t>n against the hazard of COVID-19</w:t>
      </w:r>
      <w:r w:rsidRPr="00675DA4">
        <w:rPr>
          <w:rFonts w:ascii="Times New Roman" w:hAnsi="Times New Roman" w:eastAsia="Arial Unicode MS" w:cs="Times New Roman"/>
          <w:color w:val="000000"/>
          <w:sz w:val="24"/>
          <w:szCs w:val="24"/>
        </w:rPr>
        <w:t xml:space="preserve">. The information will assist OSHA in evaluating employer compliance with </w:t>
      </w:r>
      <w:r w:rsidR="00486060">
        <w:rPr>
          <w:rFonts w:ascii="Times New Roman" w:hAnsi="Times New Roman" w:eastAsia="Arial Unicode MS" w:cs="Times New Roman"/>
          <w:color w:val="000000"/>
          <w:sz w:val="24"/>
          <w:szCs w:val="24"/>
        </w:rPr>
        <w:t>COVID-19-related requirements</w:t>
      </w:r>
      <w:r w:rsidRPr="00675DA4">
        <w:rPr>
          <w:rFonts w:ascii="Times New Roman" w:hAnsi="Times New Roman" w:eastAsia="Arial Unicode MS" w:cs="Times New Roman"/>
          <w:color w:val="000000"/>
          <w:sz w:val="24"/>
          <w:szCs w:val="24"/>
        </w:rPr>
        <w:t>, thereby ensuring workers are receiving adequate protection. This information can also be used by employers, workers, and OSHA to monitor exposures, evaluate the effectiveness of the employer’s COVID-19 p</w:t>
      </w:r>
      <w:r w:rsidR="00486060">
        <w:rPr>
          <w:rFonts w:ascii="Times New Roman" w:hAnsi="Times New Roman" w:eastAsia="Arial Unicode MS" w:cs="Times New Roman"/>
          <w:color w:val="000000"/>
          <w:sz w:val="24"/>
          <w:szCs w:val="24"/>
        </w:rPr>
        <w:t>rotections</w:t>
      </w:r>
      <w:r w:rsidRPr="00675DA4">
        <w:rPr>
          <w:rFonts w:ascii="Times New Roman" w:hAnsi="Times New Roman" w:eastAsia="Arial Unicode MS" w:cs="Times New Roman"/>
          <w:color w:val="000000"/>
          <w:sz w:val="24"/>
          <w:szCs w:val="24"/>
        </w:rPr>
        <w:t>, and identify potential high risk areas. The availability of records provisions ensure that these benefits are realized by providing employees, their representatives, and OSHA access to these records.</w:t>
      </w:r>
    </w:p>
    <w:p w:rsidR="0023323B" w:rsidP="00330A6D" w:rsidRDefault="0023323B" w14:paraId="5DDF6AC1" w14:textId="77777777">
      <w:pPr>
        <w:pStyle w:val="NoSpacing"/>
        <w:rPr>
          <w:rFonts w:ascii="Times New Roman" w:hAnsi="Times New Roman" w:cs="Times New Roman"/>
          <w:b/>
          <w:sz w:val="24"/>
          <w:szCs w:val="24"/>
        </w:rPr>
      </w:pPr>
    </w:p>
    <w:p w:rsidRPr="00394886" w:rsidR="00330A6D" w:rsidP="00330A6D" w:rsidRDefault="00330A6D" w14:paraId="4CBE8475" w14:textId="018FA2EB">
      <w:pPr>
        <w:pStyle w:val="NoSpacing"/>
        <w:rPr>
          <w:rFonts w:ascii="Times New Roman" w:hAnsi="Times New Roman" w:cs="Times New Roman"/>
          <w:sz w:val="24"/>
          <w:szCs w:val="24"/>
        </w:rPr>
      </w:pPr>
      <w:r w:rsidRPr="001401D5">
        <w:rPr>
          <w:rFonts w:ascii="Times New Roman" w:hAnsi="Times New Roman" w:cs="Times New Roman"/>
          <w:b/>
          <w:sz w:val="24"/>
          <w:szCs w:val="24"/>
        </w:rPr>
        <w:t>§</w:t>
      </w:r>
      <w:r w:rsidR="00134257">
        <w:rPr>
          <w:rFonts w:ascii="Times New Roman" w:hAnsi="Times New Roman" w:cs="Times New Roman"/>
          <w:b/>
          <w:sz w:val="24"/>
          <w:szCs w:val="24"/>
        </w:rPr>
        <w:t xml:space="preserve"> </w:t>
      </w:r>
      <w:r w:rsidRPr="001401D5">
        <w:rPr>
          <w:rFonts w:ascii="Times New Roman" w:hAnsi="Times New Roman" w:cs="Times New Roman"/>
          <w:b/>
          <w:sz w:val="24"/>
          <w:szCs w:val="24"/>
        </w:rPr>
        <w:t>1910.502(r) Reporting COVID-19 fatalities and hospitalizations to OSHA</w:t>
      </w:r>
      <w:r w:rsidRPr="00394886">
        <w:rPr>
          <w:rFonts w:ascii="Times New Roman" w:hAnsi="Times New Roman" w:cs="Times New Roman"/>
          <w:sz w:val="24"/>
          <w:szCs w:val="24"/>
        </w:rPr>
        <w:t xml:space="preserve">. </w:t>
      </w:r>
    </w:p>
    <w:p w:rsidRPr="00394886" w:rsidR="00330A6D" w:rsidP="00330A6D" w:rsidRDefault="00330A6D" w14:paraId="4D5ADDE2" w14:textId="77777777">
      <w:pPr>
        <w:pStyle w:val="NoSpacing"/>
        <w:ind w:left="720" w:hanging="360"/>
        <w:rPr>
          <w:rFonts w:ascii="Times New Roman" w:hAnsi="Times New Roman" w:cs="Times New Roman"/>
          <w:sz w:val="24"/>
          <w:szCs w:val="24"/>
        </w:rPr>
      </w:pPr>
    </w:p>
    <w:p w:rsidRPr="00394886" w:rsidR="00330A6D" w:rsidP="00330A6D" w:rsidRDefault="00330A6D" w14:paraId="31FEF447" w14:textId="4C6D0DD5">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sidR="006A5128">
        <w:rPr>
          <w:rFonts w:ascii="Times New Roman" w:hAnsi="Times New Roman" w:cs="Times New Roman"/>
          <w:sz w:val="24"/>
          <w:szCs w:val="24"/>
        </w:rPr>
        <w:t>1</w:t>
      </w:r>
      <w:r w:rsidRPr="00394886">
        <w:rPr>
          <w:rFonts w:ascii="Times New Roman" w:hAnsi="Times New Roman" w:cs="Times New Roman"/>
          <w:sz w:val="24"/>
          <w:szCs w:val="24"/>
        </w:rPr>
        <w:t>) The employer must report</w:t>
      </w:r>
      <w:r w:rsidR="008574DE">
        <w:rPr>
          <w:rFonts w:ascii="Times New Roman" w:hAnsi="Times New Roman" w:cs="Times New Roman"/>
          <w:sz w:val="24"/>
          <w:szCs w:val="24"/>
        </w:rPr>
        <w:t xml:space="preserve"> to OSHA</w:t>
      </w:r>
      <w:r w:rsidRPr="00394886">
        <w:rPr>
          <w:rFonts w:ascii="Times New Roman" w:hAnsi="Times New Roman" w:cs="Times New Roman"/>
          <w:sz w:val="24"/>
          <w:szCs w:val="24"/>
        </w:rPr>
        <w:t>:</w:t>
      </w:r>
    </w:p>
    <w:p w:rsidRPr="00394886" w:rsidR="00330A6D" w:rsidP="00330A6D" w:rsidRDefault="00330A6D" w14:paraId="1CEE2515" w14:textId="77777777">
      <w:pPr>
        <w:pStyle w:val="NoSpacing"/>
        <w:rPr>
          <w:rFonts w:ascii="Times New Roman" w:hAnsi="Times New Roman" w:cs="Times New Roman"/>
          <w:sz w:val="24"/>
          <w:szCs w:val="24"/>
        </w:rPr>
      </w:pPr>
    </w:p>
    <w:p w:rsidRPr="00394886" w:rsidR="00330A6D" w:rsidP="00330A6D" w:rsidRDefault="00330A6D" w14:paraId="77114F92" w14:textId="55F2C0D1">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 </w:t>
      </w:r>
      <w:r w:rsidR="008574DE">
        <w:rPr>
          <w:rFonts w:ascii="Times New Roman" w:hAnsi="Times New Roman" w:cs="Times New Roman"/>
          <w:sz w:val="24"/>
          <w:szCs w:val="24"/>
        </w:rPr>
        <w:t xml:space="preserve"> </w:t>
      </w:r>
      <w:r w:rsidRPr="00313268" w:rsidR="008574DE">
        <w:rPr>
          <w:rFonts w:ascii="Times New Roman" w:hAnsi="Times New Roman" w:cs="Times New Roman"/>
          <w:sz w:val="24"/>
          <w:szCs w:val="24"/>
        </w:rPr>
        <w:t xml:space="preserve">Each </w:t>
      </w:r>
      <w:r w:rsidR="00653712">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 xml:space="preserve">COVID-19 fatality </w:t>
      </w:r>
      <w:r w:rsidRPr="008574DE">
        <w:rPr>
          <w:rFonts w:ascii="Times New Roman" w:hAnsi="Times New Roman" w:cs="Times New Roman"/>
          <w:sz w:val="24"/>
          <w:szCs w:val="24"/>
        </w:rPr>
        <w:t xml:space="preserve">within 8 hours of the </w:t>
      </w:r>
      <w:r w:rsidRPr="00394886">
        <w:rPr>
          <w:rFonts w:ascii="Times New Roman" w:hAnsi="Times New Roman" w:cs="Times New Roman"/>
          <w:sz w:val="24"/>
          <w:szCs w:val="24"/>
        </w:rPr>
        <w:t xml:space="preserve">employer learning about the fatality.       </w:t>
      </w:r>
    </w:p>
    <w:p w:rsidRPr="00394886" w:rsidR="00330A6D" w:rsidP="00330A6D" w:rsidRDefault="00330A6D" w14:paraId="6E26960A" w14:textId="77777777">
      <w:pPr>
        <w:pStyle w:val="NoSpacing"/>
        <w:ind w:left="1080" w:hanging="360"/>
        <w:rPr>
          <w:rFonts w:ascii="Times New Roman" w:hAnsi="Times New Roman" w:cs="Times New Roman"/>
          <w:sz w:val="24"/>
          <w:szCs w:val="24"/>
        </w:rPr>
      </w:pPr>
    </w:p>
    <w:p w:rsidR="00330A6D" w:rsidP="00330A6D" w:rsidRDefault="00330A6D" w14:paraId="5956DD2A" w14:textId="5CDBE638">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(ii) </w:t>
      </w:r>
      <w:r w:rsidRPr="00313268" w:rsidR="008574DE">
        <w:rPr>
          <w:rFonts w:ascii="Times New Roman" w:hAnsi="Times New Roman" w:cs="Times New Roman"/>
          <w:sz w:val="24"/>
          <w:szCs w:val="24"/>
        </w:rPr>
        <w:t xml:space="preserve">Each </w:t>
      </w:r>
      <w:r w:rsidR="00607C4C">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COVID-19 in-patient hospitalization</w:t>
      </w:r>
      <w:r w:rsidRPr="008574DE">
        <w:rPr>
          <w:rFonts w:ascii="Times New Roman" w:hAnsi="Times New Roman" w:cs="Times New Roman"/>
          <w:sz w:val="24"/>
          <w:szCs w:val="24"/>
        </w:rPr>
        <w:t xml:space="preserve"> within 24 hours of the employer learning about the in-</w:t>
      </w:r>
      <w:r w:rsidRPr="00394886">
        <w:rPr>
          <w:rFonts w:ascii="Times New Roman" w:hAnsi="Times New Roman" w:cs="Times New Roman"/>
          <w:sz w:val="24"/>
          <w:szCs w:val="24"/>
        </w:rPr>
        <w:t>patient hospitalization.</w:t>
      </w:r>
    </w:p>
    <w:p w:rsidRPr="00394886" w:rsidR="006A5128" w:rsidP="00330A6D" w:rsidRDefault="006A5128" w14:paraId="3470EB7E" w14:textId="77777777">
      <w:pPr>
        <w:pStyle w:val="NoSpacing"/>
        <w:ind w:left="1080" w:hanging="360"/>
        <w:rPr>
          <w:rFonts w:ascii="Times New Roman" w:hAnsi="Times New Roman" w:cs="Times New Roman"/>
          <w:sz w:val="24"/>
          <w:szCs w:val="24"/>
        </w:rPr>
      </w:pPr>
    </w:p>
    <w:p w:rsidRPr="00394886" w:rsidR="006A5128" w:rsidP="006A5128" w:rsidRDefault="006A5128" w14:paraId="62518755" w14:textId="2950A47B">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Pr>
          <w:rFonts w:ascii="Times New Roman" w:hAnsi="Times New Roman" w:cs="Times New Roman"/>
          <w:sz w:val="24"/>
          <w:szCs w:val="24"/>
        </w:rPr>
        <w:t>2</w:t>
      </w:r>
      <w:r w:rsidRPr="00394886">
        <w:rPr>
          <w:rFonts w:ascii="Times New Roman" w:hAnsi="Times New Roman" w:cs="Times New Roman"/>
          <w:sz w:val="24"/>
          <w:szCs w:val="24"/>
        </w:rPr>
        <w:t>) When reporting COVID-19 fatalities and in-patient hospitalizations to OSHA</w:t>
      </w:r>
      <w:r w:rsidRPr="008574DE" w:rsidR="008574DE">
        <w:t xml:space="preserve"> </w:t>
      </w:r>
      <w:r w:rsidRPr="00313268" w:rsidR="008574DE">
        <w:rPr>
          <w:rFonts w:ascii="Times New Roman" w:hAnsi="Times New Roman" w:cs="Times New Roman"/>
          <w:sz w:val="24"/>
          <w:szCs w:val="24"/>
        </w:rPr>
        <w:t>in accordance with paragraph (</w:t>
      </w:r>
      <w:r w:rsidR="00841945">
        <w:rPr>
          <w:rFonts w:ascii="Times New Roman" w:hAnsi="Times New Roman" w:cs="Times New Roman"/>
          <w:sz w:val="24"/>
          <w:szCs w:val="24"/>
        </w:rPr>
        <w:t>r</w:t>
      </w:r>
      <w:r w:rsidRPr="00313268" w:rsidR="008574DE">
        <w:rPr>
          <w:rFonts w:ascii="Times New Roman" w:hAnsi="Times New Roman" w:cs="Times New Roman"/>
          <w:sz w:val="24"/>
          <w:szCs w:val="24"/>
        </w:rPr>
        <w:t>)(1) of this section</w:t>
      </w:r>
      <w:r w:rsidRPr="00394886">
        <w:rPr>
          <w:rFonts w:ascii="Times New Roman" w:hAnsi="Times New Roman" w:cs="Times New Roman"/>
          <w:sz w:val="24"/>
          <w:szCs w:val="24"/>
        </w:rPr>
        <w:t>, the employer must follow the requirements in 29 CFR 1904.39, except for 29 CFR 1904.39(a)(1</w:t>
      </w:r>
      <w:r w:rsidRPr="00394886" w:rsidR="009D0484">
        <w:rPr>
          <w:rFonts w:ascii="Times New Roman" w:hAnsi="Times New Roman" w:cs="Times New Roman"/>
          <w:sz w:val="24"/>
          <w:szCs w:val="24"/>
        </w:rPr>
        <w:t>)</w:t>
      </w:r>
      <w:r w:rsidR="009D0484">
        <w:rPr>
          <w:rFonts w:ascii="Times New Roman" w:hAnsi="Times New Roman" w:cs="Times New Roman"/>
          <w:sz w:val="24"/>
          <w:szCs w:val="24"/>
        </w:rPr>
        <w:t xml:space="preserve"> and </w:t>
      </w:r>
      <w:r w:rsidRPr="00394886" w:rsidR="009D0484">
        <w:rPr>
          <w:rFonts w:ascii="Times New Roman" w:hAnsi="Times New Roman" w:cs="Times New Roman"/>
          <w:sz w:val="24"/>
          <w:szCs w:val="24"/>
        </w:rPr>
        <w:t>(</w:t>
      </w:r>
      <w:r w:rsidRPr="00394886">
        <w:rPr>
          <w:rFonts w:ascii="Times New Roman" w:hAnsi="Times New Roman" w:cs="Times New Roman"/>
          <w:sz w:val="24"/>
          <w:szCs w:val="24"/>
        </w:rPr>
        <w:t>2) and (b)(6)</w:t>
      </w:r>
      <w:r w:rsidR="009E7EC3">
        <w:rPr>
          <w:rFonts w:ascii="Times New Roman" w:hAnsi="Times New Roman" w:cs="Times New Roman"/>
          <w:sz w:val="24"/>
          <w:szCs w:val="24"/>
        </w:rPr>
        <w:t>.</w:t>
      </w:r>
    </w:p>
    <w:p w:rsidRPr="00394886" w:rsidR="00E63125" w:rsidP="00E63125" w:rsidRDefault="00E63125" w14:paraId="753BF8AB" w14:textId="739C9A26">
      <w:pPr>
        <w:spacing w:before="240" w:after="240"/>
        <w:outlineLvl w:val="4"/>
        <w:rPr>
          <w:rFonts w:eastAsia="Arial Unicode MS"/>
          <w:color w:val="000000"/>
        </w:rPr>
      </w:pPr>
      <w:r w:rsidRPr="009E7EC3">
        <w:rPr>
          <w:rFonts w:eastAsia="Arial Unicode MS"/>
          <w:b/>
          <w:i/>
          <w:color w:val="000000"/>
          <w:u w:val="single"/>
        </w:rPr>
        <w:t>Purpose</w:t>
      </w:r>
      <w:r>
        <w:rPr>
          <w:rFonts w:eastAsia="Arial Unicode MS"/>
          <w:b/>
          <w:color w:val="000000"/>
          <w:u w:val="single"/>
        </w:rPr>
        <w:t>:</w:t>
      </w:r>
      <w:r>
        <w:rPr>
          <w:rFonts w:eastAsia="Arial Unicode MS"/>
          <w:color w:val="000000"/>
        </w:rPr>
        <w:t xml:space="preserve"> The requirement that employers report all COVID-19 fatalities and hospitalizations to OSHA is essential to enforcement of </w:t>
      </w:r>
      <w:r w:rsidR="00486060">
        <w:rPr>
          <w:rFonts w:eastAsia="Arial Unicode MS"/>
          <w:color w:val="000000"/>
        </w:rPr>
        <w:t>its COVID-19-related requirements</w:t>
      </w:r>
      <w:r>
        <w:rPr>
          <w:rFonts w:eastAsia="Arial Unicode MS"/>
          <w:color w:val="000000"/>
        </w:rPr>
        <w:t xml:space="preserve">, as it allows the agency to identify employers who may not </w:t>
      </w:r>
      <w:r w:rsidR="0016615A">
        <w:rPr>
          <w:rFonts w:eastAsia="Arial Unicode MS"/>
          <w:color w:val="000000"/>
        </w:rPr>
        <w:t>comply</w:t>
      </w:r>
      <w:r>
        <w:rPr>
          <w:rFonts w:eastAsia="Arial Unicode MS"/>
          <w:color w:val="000000"/>
        </w:rPr>
        <w:t xml:space="preserve"> with the ETS</w:t>
      </w:r>
      <w:r w:rsidR="00486060">
        <w:rPr>
          <w:rFonts w:eastAsia="Arial Unicode MS"/>
          <w:color w:val="000000"/>
        </w:rPr>
        <w:t xml:space="preserve"> record keeping requirements</w:t>
      </w:r>
      <w:r>
        <w:rPr>
          <w:rFonts w:eastAsia="Arial Unicode MS"/>
          <w:color w:val="000000"/>
        </w:rPr>
        <w:t xml:space="preserve"> or who may not be effectively controlling exposures. This requirement will also provide OSHA with valuable information to evaluate the effectiveness of particular control measures and to identify jobs, workplaces, and industries with high exposure risk.</w:t>
      </w:r>
    </w:p>
    <w:p w:rsidR="000B2FE5" w:rsidP="008B2BB0" w:rsidRDefault="000B2FE5" w14:paraId="040740CB" w14:textId="6285741F">
      <w:pPr>
        <w:rPr>
          <w:rFonts w:cstheme="minorHAnsi"/>
        </w:rPr>
      </w:pPr>
      <w:r w:rsidRPr="000B2FE5">
        <w:rPr>
          <w:rFonts w:cstheme="minorHAnsi"/>
        </w:rPr>
        <w:t xml:space="preserve">  </w:t>
      </w:r>
    </w:p>
    <w:p w:rsidR="00E35242" w:rsidP="00E35242" w:rsidRDefault="00E35242" w14:paraId="12F4A201" w14:textId="77777777">
      <w:pPr>
        <w:pStyle w:val="Heading2"/>
        <w:ind w:left="0" w:firstLine="0"/>
        <w:rPr>
          <w:sz w:val="22"/>
          <w:szCs w:val="22"/>
          <w:lang w:val="x-none"/>
        </w:rPr>
      </w:pPr>
      <w:r>
        <w:rPr>
          <w:sz w:val="22"/>
          <w:szCs w:val="22"/>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Pr>
          <w:lang w:val="x-none"/>
        </w:rPr>
        <w:t xml:space="preserve"> the basis for the </w:t>
      </w:r>
      <w:r>
        <w:rPr>
          <w:sz w:val="22"/>
          <w:szCs w:val="22"/>
          <w:lang w:val="x-none"/>
        </w:rPr>
        <w:t>decision for adopting this means of collection.  Also, describe any consideration of using information technology to reduce the burden.</w:t>
      </w:r>
    </w:p>
    <w:p w:rsidR="00E35242" w:rsidP="00E35242" w:rsidRDefault="001B2E41" w14:paraId="4DF7B6FC" w14:textId="70E7BD78">
      <w:pPr>
        <w:pStyle w:val="BodyTextFirstIndent"/>
        <w:ind w:firstLine="0"/>
        <w:rPr>
          <w:sz w:val="24"/>
          <w:szCs w:val="24"/>
          <w:lang w:val="x-none"/>
        </w:rPr>
      </w:pPr>
      <w:r>
        <w:rPr>
          <w:sz w:val="24"/>
          <w:szCs w:val="24"/>
        </w:rPr>
        <w:t>For most of the paperwork requirements</w:t>
      </w:r>
      <w:r w:rsidR="00B20A68">
        <w:rPr>
          <w:sz w:val="24"/>
          <w:szCs w:val="24"/>
        </w:rPr>
        <w:t xml:space="preserve"> in the ETS</w:t>
      </w:r>
      <w:r>
        <w:rPr>
          <w:sz w:val="24"/>
          <w:szCs w:val="24"/>
        </w:rPr>
        <w:t>, t</w:t>
      </w:r>
      <w:r w:rsidR="00E35242">
        <w:rPr>
          <w:sz w:val="24"/>
          <w:szCs w:val="24"/>
          <w:lang w:val="x-none"/>
        </w:rPr>
        <w:t xml:space="preserve">he </w:t>
      </w:r>
      <w:r w:rsidR="001B3AE9">
        <w:rPr>
          <w:sz w:val="24"/>
          <w:szCs w:val="24"/>
        </w:rPr>
        <w:t>a</w:t>
      </w:r>
      <w:r w:rsidR="00E35242">
        <w:rPr>
          <w:sz w:val="24"/>
          <w:szCs w:val="24"/>
          <w:lang w:val="x-none"/>
        </w:rPr>
        <w:t xml:space="preserve">gency wrote the requirements in performance-oriented language </w:t>
      </w:r>
      <w:r w:rsidR="00F058CC">
        <w:rPr>
          <w:sz w:val="24"/>
          <w:szCs w:val="24"/>
        </w:rPr>
        <w:t>(</w:t>
      </w:r>
      <w:r w:rsidR="00E35242">
        <w:rPr>
          <w:sz w:val="24"/>
          <w:szCs w:val="24"/>
          <w:lang w:val="x-none"/>
        </w:rPr>
        <w:t xml:space="preserve">i.e., in terms of </w:t>
      </w:r>
      <w:r w:rsidR="00E35242">
        <w:rPr>
          <w:sz w:val="24"/>
          <w:szCs w:val="24"/>
          <w:u w:val="single"/>
          <w:lang w:val="x-none"/>
        </w:rPr>
        <w:t>what</w:t>
      </w:r>
      <w:r w:rsidR="00E35242">
        <w:rPr>
          <w:sz w:val="24"/>
          <w:szCs w:val="24"/>
          <w:lang w:val="x-none"/>
        </w:rPr>
        <w:t xml:space="preserve"> data to collect, not </w:t>
      </w:r>
      <w:r w:rsidR="00E35242">
        <w:rPr>
          <w:sz w:val="24"/>
          <w:szCs w:val="24"/>
          <w:u w:val="single"/>
          <w:lang w:val="x-none"/>
        </w:rPr>
        <w:t>how</w:t>
      </w:r>
      <w:r w:rsidR="00E35242">
        <w:rPr>
          <w:sz w:val="24"/>
          <w:szCs w:val="24"/>
          <w:lang w:val="x-none"/>
        </w:rPr>
        <w:t xml:space="preserve"> to record the data.</w:t>
      </w:r>
      <w:r w:rsidR="00F058CC">
        <w:rPr>
          <w:sz w:val="24"/>
          <w:szCs w:val="24"/>
        </w:rPr>
        <w:t>)</w:t>
      </w:r>
      <w:r w:rsidR="00E35242">
        <w:rPr>
          <w:sz w:val="24"/>
          <w:szCs w:val="24"/>
          <w:lang w:val="x-none"/>
        </w:rPr>
        <w:t xml:space="preserve"> </w:t>
      </w:r>
      <w:r>
        <w:rPr>
          <w:sz w:val="24"/>
          <w:szCs w:val="24"/>
        </w:rPr>
        <w:t xml:space="preserve">So long as the records are maintained in a manner consistent with federal and state privacy requirements and made available to employees, their representatives, and OSHA in accordance with the ETS’s availability of records provisions, the employer </w:t>
      </w:r>
      <w:r w:rsidRPr="001B2E41">
        <w:rPr>
          <w:sz w:val="24"/>
          <w:szCs w:val="24"/>
          <w:lang w:val="x-none"/>
        </w:rPr>
        <w:t>may use improved information technology when establishing and maintaining the required records. </w:t>
      </w:r>
    </w:p>
    <w:p w:rsidRPr="001B2E41" w:rsidR="001B2E41" w:rsidP="00E35242" w:rsidRDefault="00806FFC" w14:paraId="14F95103" w14:textId="13B8C521">
      <w:pPr>
        <w:pStyle w:val="BodyTextFirstIndent"/>
        <w:ind w:firstLine="0"/>
        <w:rPr>
          <w:sz w:val="24"/>
          <w:szCs w:val="24"/>
        </w:rPr>
      </w:pPr>
      <w:r>
        <w:rPr>
          <w:sz w:val="24"/>
          <w:szCs w:val="24"/>
        </w:rPr>
        <w:t xml:space="preserve">For the requirement that employers report work-related COVID-19 fatalities and hospitalization to OSHA, employers must follow the requirements in 29 CFR 1904.39. That provision allows employers to report to OSHA by telephone or by </w:t>
      </w:r>
      <w:r w:rsidRPr="00806FFC">
        <w:rPr>
          <w:sz w:val="24"/>
          <w:szCs w:val="24"/>
        </w:rPr>
        <w:t xml:space="preserve">electronic submission using </w:t>
      </w:r>
      <w:r>
        <w:rPr>
          <w:sz w:val="24"/>
          <w:szCs w:val="24"/>
        </w:rPr>
        <w:t>a</w:t>
      </w:r>
      <w:r w:rsidRPr="00806FFC">
        <w:rPr>
          <w:sz w:val="24"/>
          <w:szCs w:val="24"/>
        </w:rPr>
        <w:t xml:space="preserve"> reporting applic</w:t>
      </w:r>
      <w:r>
        <w:rPr>
          <w:sz w:val="24"/>
          <w:szCs w:val="24"/>
        </w:rPr>
        <w:t>ation located on OSHA's public w</w:t>
      </w:r>
      <w:r w:rsidRPr="00806FFC">
        <w:rPr>
          <w:sz w:val="24"/>
          <w:szCs w:val="24"/>
        </w:rPr>
        <w:t>ebsite</w:t>
      </w:r>
      <w:r w:rsidR="00162270">
        <w:rPr>
          <w:sz w:val="24"/>
          <w:szCs w:val="24"/>
        </w:rPr>
        <w:t xml:space="preserve"> (</w:t>
      </w:r>
      <w:r w:rsidRPr="00135D71" w:rsidR="00135D71">
        <w:rPr>
          <w:sz w:val="24"/>
          <w:szCs w:val="24"/>
        </w:rPr>
        <w:t>Recordkeeping and Reporting Occupational Injuries and Illnesses (29 CFR Part 1904)</w:t>
      </w:r>
      <w:r w:rsidR="00DC4805">
        <w:rPr>
          <w:sz w:val="24"/>
          <w:szCs w:val="24"/>
        </w:rPr>
        <w:t xml:space="preserve">, </w:t>
      </w:r>
      <w:r w:rsidR="00162270">
        <w:rPr>
          <w:sz w:val="24"/>
          <w:szCs w:val="24"/>
        </w:rPr>
        <w:t>OMB Control No. 1218-0176)</w:t>
      </w:r>
      <w:r w:rsidR="00135D71">
        <w:rPr>
          <w:sz w:val="24"/>
          <w:szCs w:val="24"/>
        </w:rPr>
        <w:t xml:space="preserve"> </w:t>
      </w:r>
      <w:r w:rsidR="00535145">
        <w:rPr>
          <w:sz w:val="24"/>
          <w:szCs w:val="24"/>
        </w:rPr>
        <w:t>until the expiration of this subpart</w:t>
      </w:r>
      <w:r w:rsidR="00135D71">
        <w:rPr>
          <w:sz w:val="24"/>
          <w:szCs w:val="24"/>
        </w:rPr>
        <w:t>.</w:t>
      </w:r>
    </w:p>
    <w:p w:rsidR="00E35242" w:rsidP="00E35242" w:rsidRDefault="00E35242" w14:paraId="3333CB59" w14:textId="77777777">
      <w:pPr>
        <w:pStyle w:val="Heading2"/>
        <w:ind w:left="0" w:firstLine="0"/>
        <w:rPr>
          <w:sz w:val="22"/>
          <w:szCs w:val="22"/>
          <w:lang w:val="x-none"/>
        </w:rPr>
      </w:pPr>
      <w:r>
        <w:rPr>
          <w:sz w:val="22"/>
          <w:szCs w:val="22"/>
          <w:lang w:val="x-none"/>
        </w:rPr>
        <w:t>Describe efforts to identify duplication.  Show specifically why any similar information already available cannot be used or modified for use of the purposes described in Item 2 above.</w:t>
      </w:r>
    </w:p>
    <w:p w:rsidR="00E35242" w:rsidP="00E35242" w:rsidRDefault="00E35242" w14:paraId="650CDB17" w14:textId="200C2C30">
      <w:pPr>
        <w:pStyle w:val="BodyTextFirstIndent"/>
        <w:ind w:firstLine="0"/>
        <w:rPr>
          <w:sz w:val="24"/>
          <w:szCs w:val="24"/>
          <w:lang w:val="x-none"/>
        </w:rPr>
      </w:pPr>
      <w:r>
        <w:rPr>
          <w:sz w:val="24"/>
          <w:szCs w:val="24"/>
          <w:lang w:val="x-none"/>
        </w:rPr>
        <w:t xml:space="preserve">The information collection requirements of the </w:t>
      </w:r>
      <w:r w:rsidR="007F28AC">
        <w:rPr>
          <w:sz w:val="24"/>
          <w:szCs w:val="24"/>
        </w:rPr>
        <w:t>ETS</w:t>
      </w:r>
      <w:r w:rsidR="00BF3415">
        <w:rPr>
          <w:sz w:val="24"/>
          <w:szCs w:val="24"/>
          <w:lang w:val="x-none"/>
        </w:rPr>
        <w:t xml:space="preserve"> </w:t>
      </w:r>
      <w:r>
        <w:rPr>
          <w:sz w:val="24"/>
          <w:szCs w:val="24"/>
          <w:lang w:val="x-none"/>
        </w:rPr>
        <w:t xml:space="preserve">are specific to each employer and worker involved, and no other source or agency duplicates these requirements or can make the required information available to the </w:t>
      </w:r>
      <w:r w:rsidR="001B3AE9">
        <w:rPr>
          <w:sz w:val="24"/>
          <w:szCs w:val="24"/>
        </w:rPr>
        <w:t>a</w:t>
      </w:r>
      <w:r>
        <w:rPr>
          <w:sz w:val="24"/>
          <w:szCs w:val="24"/>
          <w:lang w:val="x-none"/>
        </w:rPr>
        <w:t xml:space="preserve">gency (i.e., the required information is available only from employers). </w:t>
      </w:r>
    </w:p>
    <w:p w:rsidRPr="00313268" w:rsidR="00B05A83" w:rsidP="00B05A83" w:rsidRDefault="00E35242" w14:paraId="393DDF51" w14:textId="77777777">
      <w:pPr>
        <w:pStyle w:val="Heading2"/>
        <w:ind w:left="0" w:firstLine="0"/>
        <w:rPr>
          <w:sz w:val="22"/>
          <w:szCs w:val="22"/>
          <w:lang w:val="x-none"/>
        </w:rPr>
      </w:pPr>
      <w:r w:rsidRPr="00313268">
        <w:rPr>
          <w:sz w:val="22"/>
          <w:szCs w:val="22"/>
          <w:lang w:val="x-none"/>
        </w:rPr>
        <w:t>If the collection of information impacts small businesses or other small entities, describe any methods used to minimize burden.</w:t>
      </w:r>
    </w:p>
    <w:p w:rsidR="005505AB" w:rsidP="005505AB" w:rsidRDefault="005505AB" w14:paraId="272A330C" w14:textId="1C36A7B0">
      <w:r>
        <w:t xml:space="preserve">Although OSHA has determined that the ETS is not subject to the requirement of the Regulatory Flexibility Act to prepare an initial regulatory flexibility analysis, the </w:t>
      </w:r>
      <w:r w:rsidR="001B3AE9">
        <w:t>a</w:t>
      </w:r>
      <w:r>
        <w:t xml:space="preserve">gency has nevertheless examined the impact of the ETS on small and very small entities as part of OSHA’s analysis of feasibility. OSHA has determined that the information collection requirements of the ETS do not have a significant impact on a substantial number of small entities.  </w:t>
      </w:r>
    </w:p>
    <w:p w:rsidR="005505AB" w:rsidP="005505AB" w:rsidRDefault="005505AB" w14:paraId="18F50E68" w14:textId="77777777"/>
    <w:p w:rsidR="000D278C" w:rsidP="000D278C" w:rsidRDefault="005505AB" w14:paraId="019B3CCE" w14:textId="6947754D">
      <w:r>
        <w:t xml:space="preserve">Even so, OSHA has included provisions in the ETS to minimize the burden on small employers </w:t>
      </w:r>
      <w:r w:rsidR="00486060">
        <w:t>to comply with</w:t>
      </w:r>
      <w:r>
        <w:t xml:space="preserve"> the </w:t>
      </w:r>
      <w:r w:rsidR="00F058CC">
        <w:t>S</w:t>
      </w:r>
      <w:r>
        <w:t>tandard’s recordkeeping requirements</w:t>
      </w:r>
      <w:r w:rsidR="003901EB">
        <w:t>.</w:t>
      </w:r>
    </w:p>
    <w:p w:rsidRPr="00237440" w:rsidR="00A372CB" w:rsidP="000D278C" w:rsidRDefault="00A372CB" w14:paraId="37769D9E" w14:textId="77777777"/>
    <w:p w:rsidR="00E35242" w:rsidP="00E35242" w:rsidRDefault="00E35242" w14:paraId="7F3CCEBA" w14:textId="77777777">
      <w:pPr>
        <w:pStyle w:val="Heading2"/>
        <w:ind w:left="0" w:firstLine="0"/>
        <w:rPr>
          <w:sz w:val="22"/>
          <w:szCs w:val="22"/>
          <w:lang w:val="x-none"/>
        </w:rPr>
      </w:pPr>
      <w:r>
        <w:rPr>
          <w:sz w:val="22"/>
          <w:szCs w:val="22"/>
          <w:lang w:val="x-none"/>
        </w:rPr>
        <w:t>Describe the consequences to Federal program or policy activities if the collection is not conducted or is conducted less frequently, as well as any technical or legal obstacles to reducing burden.</w:t>
      </w:r>
    </w:p>
    <w:p w:rsidR="00E35242" w:rsidP="00E35242" w:rsidRDefault="00E35242" w14:paraId="5AD3A5D0" w14:textId="14821342">
      <w:pPr>
        <w:pStyle w:val="BodyTextFirstIndent"/>
        <w:ind w:firstLine="0"/>
        <w:rPr>
          <w:sz w:val="24"/>
          <w:szCs w:val="24"/>
        </w:rPr>
      </w:pPr>
      <w:r>
        <w:rPr>
          <w:sz w:val="24"/>
          <w:szCs w:val="24"/>
          <w:lang w:val="x-none"/>
        </w:rPr>
        <w:t>The information collection frequencies specified by the</w:t>
      </w:r>
      <w:r w:rsidR="00134257">
        <w:rPr>
          <w:sz w:val="24"/>
          <w:szCs w:val="24"/>
        </w:rPr>
        <w:t xml:space="preserve"> ETS</w:t>
      </w:r>
      <w:r>
        <w:rPr>
          <w:sz w:val="24"/>
          <w:szCs w:val="24"/>
          <w:lang w:val="x-none"/>
        </w:rPr>
        <w:t xml:space="preserve"> are the minimum frequencies that the </w:t>
      </w:r>
      <w:r w:rsidR="009105F3">
        <w:rPr>
          <w:sz w:val="24"/>
          <w:szCs w:val="24"/>
          <w:lang w:val="x-none"/>
        </w:rPr>
        <w:t>agency</w:t>
      </w:r>
      <w:r>
        <w:rPr>
          <w:sz w:val="24"/>
          <w:szCs w:val="24"/>
          <w:lang w:val="x-none"/>
        </w:rPr>
        <w:t xml:space="preserve"> believes are necessary to ensure that employers and OSHA can effectively monitor the exposure and health status of workers, thereby </w:t>
      </w:r>
      <w:r w:rsidR="00DE43C6">
        <w:rPr>
          <w:sz w:val="24"/>
          <w:szCs w:val="24"/>
        </w:rPr>
        <w:t xml:space="preserve">helping to </w:t>
      </w:r>
      <w:r>
        <w:rPr>
          <w:sz w:val="24"/>
          <w:szCs w:val="24"/>
          <w:lang w:val="x-none"/>
        </w:rPr>
        <w:t xml:space="preserve">prevent serious illness or death resulting from hazardous </w:t>
      </w:r>
      <w:r w:rsidR="00DE43C6">
        <w:rPr>
          <w:sz w:val="24"/>
          <w:szCs w:val="24"/>
        </w:rPr>
        <w:t xml:space="preserve">occupational </w:t>
      </w:r>
      <w:r>
        <w:rPr>
          <w:sz w:val="24"/>
          <w:szCs w:val="24"/>
          <w:lang w:val="x-none"/>
        </w:rPr>
        <w:t>exposure</w:t>
      </w:r>
      <w:r w:rsidR="00DE43C6">
        <w:rPr>
          <w:sz w:val="24"/>
          <w:szCs w:val="24"/>
        </w:rPr>
        <w:t>s</w:t>
      </w:r>
      <w:r w:rsidR="00134257">
        <w:rPr>
          <w:sz w:val="24"/>
          <w:szCs w:val="24"/>
        </w:rPr>
        <w:t xml:space="preserve"> to COVID-19</w:t>
      </w:r>
      <w:r>
        <w:rPr>
          <w:sz w:val="24"/>
          <w:szCs w:val="24"/>
          <w:lang w:val="x-none"/>
        </w:rPr>
        <w:t xml:space="preserve">. </w:t>
      </w:r>
    </w:p>
    <w:p w:rsidR="00E35242" w:rsidP="00E35242" w:rsidRDefault="00E35242" w14:paraId="048CFA4D" w14:textId="77777777">
      <w:pPr>
        <w:pStyle w:val="Heading2"/>
        <w:ind w:left="0" w:firstLine="0"/>
        <w:rPr>
          <w:sz w:val="22"/>
          <w:szCs w:val="22"/>
          <w:lang w:val="x-none"/>
        </w:rPr>
      </w:pPr>
      <w:r>
        <w:rPr>
          <w:sz w:val="22"/>
          <w:szCs w:val="22"/>
          <w:lang w:val="x-none"/>
        </w:rPr>
        <w:t>Explain any special circumstances that would cause an information collection to be conducted in a manner:</w:t>
      </w:r>
    </w:p>
    <w:p w:rsidR="00E35242" w:rsidP="00E35242" w:rsidRDefault="00E35242" w14:paraId="2F6B185E" w14:textId="77777777">
      <w:pPr>
        <w:ind w:left="288"/>
        <w:rPr>
          <w:b/>
          <w:bCs/>
          <w:sz w:val="22"/>
          <w:szCs w:val="22"/>
        </w:rPr>
      </w:pPr>
      <w:r>
        <w:rPr>
          <w:sz w:val="22"/>
          <w:szCs w:val="22"/>
        </w:rPr>
        <w:t xml:space="preserve">·  </w:t>
      </w:r>
      <w:r>
        <w:rPr>
          <w:b/>
          <w:bCs/>
          <w:sz w:val="22"/>
          <w:szCs w:val="22"/>
        </w:rPr>
        <w:t>Requiring respondents to report information to the agency more often than quarterly;</w:t>
      </w:r>
    </w:p>
    <w:p w:rsidR="00E35242" w:rsidP="00E35242" w:rsidRDefault="00E35242" w14:paraId="3A92910F" w14:textId="77777777">
      <w:pPr>
        <w:rPr>
          <w:b/>
          <w:bCs/>
          <w:sz w:val="22"/>
          <w:szCs w:val="22"/>
        </w:rPr>
      </w:pPr>
    </w:p>
    <w:p w:rsidR="00E35242" w:rsidP="00E35242" w:rsidRDefault="00E35242" w14:paraId="23D3CE28" w14:textId="77777777">
      <w:pPr>
        <w:ind w:left="450" w:hanging="162"/>
        <w:rPr>
          <w:b/>
          <w:bCs/>
          <w:sz w:val="22"/>
          <w:szCs w:val="22"/>
        </w:rPr>
      </w:pPr>
      <w:r>
        <w:rPr>
          <w:sz w:val="22"/>
          <w:szCs w:val="22"/>
        </w:rPr>
        <w:t xml:space="preserve">·  </w:t>
      </w:r>
      <w:r>
        <w:rPr>
          <w:b/>
          <w:bCs/>
          <w:sz w:val="22"/>
          <w:szCs w:val="22"/>
        </w:rPr>
        <w:t>Requiring respondents to prepare a written response to a collection of information in fewer than 30 days after receipt of it;</w:t>
      </w:r>
    </w:p>
    <w:p w:rsidR="00E35242" w:rsidP="00E35242" w:rsidRDefault="00E35242" w14:paraId="0F98A8FB" w14:textId="77777777">
      <w:pPr>
        <w:rPr>
          <w:b/>
          <w:bCs/>
          <w:sz w:val="22"/>
          <w:szCs w:val="22"/>
        </w:rPr>
      </w:pPr>
    </w:p>
    <w:p w:rsidR="00E35242" w:rsidP="00E35242" w:rsidRDefault="00E35242" w14:paraId="6E974D7E" w14:textId="77777777">
      <w:pPr>
        <w:ind w:left="288"/>
        <w:rPr>
          <w:b/>
          <w:bCs/>
          <w:sz w:val="22"/>
          <w:szCs w:val="22"/>
        </w:rPr>
      </w:pPr>
      <w:r>
        <w:rPr>
          <w:sz w:val="22"/>
          <w:szCs w:val="22"/>
        </w:rPr>
        <w:t xml:space="preserve">·  </w:t>
      </w:r>
      <w:r>
        <w:rPr>
          <w:b/>
          <w:bCs/>
          <w:sz w:val="22"/>
          <w:szCs w:val="22"/>
        </w:rPr>
        <w:t>Requiring respondents to submit more than an original and two copies of any</w:t>
      </w:r>
    </w:p>
    <w:p w:rsidR="00E35242" w:rsidP="00E35242" w:rsidRDefault="00E35242" w14:paraId="3D84D056" w14:textId="77777777">
      <w:pPr>
        <w:ind w:left="288"/>
        <w:rPr>
          <w:b/>
          <w:bCs/>
          <w:sz w:val="22"/>
          <w:szCs w:val="22"/>
        </w:rPr>
      </w:pPr>
      <w:r>
        <w:rPr>
          <w:b/>
          <w:bCs/>
          <w:sz w:val="22"/>
          <w:szCs w:val="22"/>
        </w:rPr>
        <w:t>   document;</w:t>
      </w:r>
    </w:p>
    <w:p w:rsidR="00E35242" w:rsidP="00E35242" w:rsidRDefault="00E35242" w14:paraId="2B394CEF" w14:textId="77777777">
      <w:pPr>
        <w:rPr>
          <w:b/>
          <w:bCs/>
          <w:sz w:val="22"/>
          <w:szCs w:val="22"/>
        </w:rPr>
      </w:pPr>
    </w:p>
    <w:p w:rsidR="00E35242" w:rsidP="00E35242" w:rsidRDefault="00E35242" w14:paraId="5049308F" w14:textId="77777777">
      <w:pPr>
        <w:ind w:left="432" w:hanging="144"/>
        <w:rPr>
          <w:b/>
          <w:bCs/>
          <w:sz w:val="22"/>
          <w:szCs w:val="22"/>
        </w:rPr>
      </w:pPr>
      <w:r>
        <w:rPr>
          <w:sz w:val="22"/>
          <w:szCs w:val="22"/>
        </w:rPr>
        <w:t xml:space="preserve">·  </w:t>
      </w:r>
      <w:r>
        <w:rPr>
          <w:b/>
          <w:bCs/>
          <w:sz w:val="22"/>
          <w:szCs w:val="22"/>
        </w:rPr>
        <w:t>Requiring respondents to retain records, other than health, medical, government contract, grant-in-aid, or tax records, for more than three years;</w:t>
      </w:r>
    </w:p>
    <w:p w:rsidR="00E35242" w:rsidP="00E35242" w:rsidRDefault="00E35242" w14:paraId="22D8BF95" w14:textId="77777777">
      <w:pPr>
        <w:rPr>
          <w:b/>
          <w:bCs/>
          <w:sz w:val="22"/>
          <w:szCs w:val="22"/>
        </w:rPr>
      </w:pPr>
    </w:p>
    <w:p w:rsidR="00E35242" w:rsidP="00E35242" w:rsidRDefault="00E35242" w14:paraId="703A849A" w14:textId="77777777">
      <w:pPr>
        <w:ind w:left="432" w:hanging="144"/>
        <w:rPr>
          <w:b/>
          <w:bCs/>
          <w:sz w:val="22"/>
          <w:szCs w:val="22"/>
        </w:rPr>
      </w:pPr>
      <w:r>
        <w:rPr>
          <w:sz w:val="22"/>
          <w:szCs w:val="22"/>
        </w:rPr>
        <w:t xml:space="preserve">·  </w:t>
      </w:r>
      <w:r>
        <w:rPr>
          <w:b/>
          <w:bCs/>
          <w:sz w:val="22"/>
          <w:szCs w:val="22"/>
        </w:rPr>
        <w:t>In connection with a statistical survey, that is not designed to produce valid and reliable results that can be generalized to the universe of study;</w:t>
      </w:r>
    </w:p>
    <w:p w:rsidR="00E35242" w:rsidP="00E35242" w:rsidRDefault="00E35242" w14:paraId="0FFE011C" w14:textId="77777777">
      <w:pPr>
        <w:ind w:left="720"/>
        <w:rPr>
          <w:b/>
          <w:bCs/>
          <w:sz w:val="22"/>
          <w:szCs w:val="22"/>
        </w:rPr>
      </w:pPr>
    </w:p>
    <w:p w:rsidR="00E35242" w:rsidP="00E35242" w:rsidRDefault="00E35242" w14:paraId="1E7D37B6" w14:textId="77777777">
      <w:pPr>
        <w:ind w:left="432" w:hanging="144"/>
        <w:rPr>
          <w:b/>
          <w:bCs/>
          <w:sz w:val="22"/>
          <w:szCs w:val="22"/>
        </w:rPr>
      </w:pPr>
      <w:r>
        <w:rPr>
          <w:sz w:val="22"/>
          <w:szCs w:val="22"/>
        </w:rPr>
        <w:t xml:space="preserve">·  </w:t>
      </w:r>
      <w:r>
        <w:rPr>
          <w:b/>
          <w:bCs/>
          <w:sz w:val="22"/>
          <w:szCs w:val="22"/>
        </w:rPr>
        <w:t>Requiring the use of a statistical data classification that has not been approved by OMB;</w:t>
      </w:r>
    </w:p>
    <w:p w:rsidR="00E35242" w:rsidP="00E35242" w:rsidRDefault="00E35242" w14:paraId="44CEFEDC" w14:textId="77777777">
      <w:pPr>
        <w:ind w:left="432" w:hanging="144"/>
        <w:rPr>
          <w:b/>
          <w:bCs/>
          <w:sz w:val="22"/>
          <w:szCs w:val="22"/>
        </w:rPr>
      </w:pPr>
    </w:p>
    <w:p w:rsidR="00E35242" w:rsidP="00E35242" w:rsidRDefault="00E35242" w14:paraId="54140B2C" w14:textId="77777777">
      <w:pPr>
        <w:ind w:left="432" w:hanging="144"/>
        <w:rPr>
          <w:b/>
          <w:bCs/>
          <w:sz w:val="22"/>
          <w:szCs w:val="22"/>
        </w:rPr>
      </w:pPr>
      <w:r>
        <w:rPr>
          <w:sz w:val="22"/>
          <w:szCs w:val="22"/>
        </w:rPr>
        <w:t>·</w:t>
      </w:r>
      <w:r>
        <w:rPr>
          <w:b/>
          <w:bCs/>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242" w:rsidP="00E35242" w:rsidRDefault="00E35242" w14:paraId="1FFD7B3E" w14:textId="77777777">
      <w:pPr>
        <w:rPr>
          <w:b/>
          <w:bCs/>
          <w:sz w:val="22"/>
          <w:szCs w:val="22"/>
        </w:rPr>
      </w:pPr>
    </w:p>
    <w:p w:rsidR="00E35242" w:rsidP="00E35242" w:rsidRDefault="00E35242" w14:paraId="5A6DAE59" w14:textId="77777777">
      <w:pPr>
        <w:ind w:left="432" w:hanging="144"/>
        <w:rPr>
          <w:b/>
          <w:bCs/>
          <w:sz w:val="22"/>
          <w:szCs w:val="22"/>
        </w:rPr>
      </w:pPr>
      <w:r>
        <w:rPr>
          <w:sz w:val="22"/>
          <w:szCs w:val="22"/>
        </w:rPr>
        <w:t xml:space="preserve">·  </w:t>
      </w: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E35242" w:rsidP="00E35242" w:rsidRDefault="00E35242" w14:paraId="3CC66858" w14:textId="5C666A30">
      <w:pPr>
        <w:ind w:left="432" w:hanging="144"/>
        <w:rPr>
          <w:b/>
          <w:bCs/>
          <w:sz w:val="22"/>
          <w:szCs w:val="22"/>
        </w:rPr>
      </w:pPr>
    </w:p>
    <w:p w:rsidRPr="00722CB0" w:rsidR="00BD0FA1" w:rsidP="00BD0FA1" w:rsidRDefault="00BD0FA1" w14:paraId="113E8573" w14:textId="18F4CD01">
      <w:r w:rsidRPr="00722CB0">
        <w:t>Under § 1910.502(r)(</w:t>
      </w:r>
      <w:r w:rsidR="00B52510">
        <w:t>1</w:t>
      </w:r>
      <w:r w:rsidRPr="00722CB0">
        <w:t xml:space="preserve">), the employer must report </w:t>
      </w:r>
      <w:r w:rsidR="008A395D">
        <w:t>e</w:t>
      </w:r>
      <w:r w:rsidRPr="008A395D" w:rsidR="008A395D">
        <w:t>ach work-related COVID-19 fatality within 8 hours of the emplo</w:t>
      </w:r>
      <w:r w:rsidR="008A395D">
        <w:t>yer learning about the fatality</w:t>
      </w:r>
      <w:r w:rsidR="00350B06">
        <w:t xml:space="preserve"> and </w:t>
      </w:r>
      <w:r w:rsidR="008A395D">
        <w:t>e</w:t>
      </w:r>
      <w:r w:rsidRPr="008A395D" w:rsidR="008A395D">
        <w:t>ach work-related COVID-19 in-patient hospitalization within 24 hours of the employer learning about the in-patient hospitalization.</w:t>
      </w:r>
    </w:p>
    <w:p w:rsidRPr="000F459E" w:rsidR="000F459E" w:rsidP="00722CB0" w:rsidRDefault="000F459E" w14:paraId="1A5D5F9D" w14:textId="1041344B">
      <w:pPr>
        <w:ind w:left="432" w:hanging="144"/>
        <w:rPr>
          <w:bCs/>
        </w:rPr>
      </w:pPr>
    </w:p>
    <w:p w:rsidRPr="007D1B35" w:rsidR="00E35242" w:rsidP="00BD0FA1" w:rsidRDefault="00E35242" w14:paraId="1BD74041" w14:textId="77777777">
      <w:pPr>
        <w:pStyle w:val="Heading2"/>
        <w:ind w:left="0" w:firstLine="0"/>
      </w:pPr>
      <w:r w:rsidRPr="007D1B35">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D1B35" w:rsidR="00E35242" w:rsidP="00E35242" w:rsidRDefault="00E35242" w14:paraId="2BC8B057" w14:textId="77777777">
      <w:pPr>
        <w:rPr>
          <w:b/>
          <w:bCs/>
        </w:rPr>
      </w:pPr>
      <w:r w:rsidRPr="007D1B3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1B35" w:rsidR="00E35242" w:rsidP="00E35242" w:rsidRDefault="00E35242" w14:paraId="4D21D252" w14:textId="77777777">
      <w:pPr>
        <w:rPr>
          <w:b/>
          <w:bCs/>
        </w:rPr>
      </w:pPr>
    </w:p>
    <w:p w:rsidRPr="007D1B35" w:rsidR="00E35242" w:rsidP="00E35242" w:rsidRDefault="00E35242" w14:paraId="258E7007" w14:textId="77777777">
      <w:pPr>
        <w:rPr>
          <w:b/>
          <w:bCs/>
        </w:rPr>
      </w:pPr>
      <w:r w:rsidRPr="007D1B35">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35242" w:rsidP="00E35242" w:rsidRDefault="00E35242" w14:paraId="646C8705" w14:textId="77777777"/>
    <w:p w:rsidRPr="0022066E" w:rsidR="00DE24D2" w:rsidP="00DE24D2" w:rsidRDefault="00E77C38" w14:paraId="3E1C55FA" w14:textId="37C6A18B">
      <w:pPr>
        <w:rPr>
          <w:rFonts w:cs="Shruti"/>
        </w:rPr>
      </w:pPr>
      <w:r w:rsidRPr="0022066E">
        <w:rPr>
          <w:rFonts w:cs="Shruti"/>
        </w:rPr>
        <w:t>On Ju</w:t>
      </w:r>
      <w:r w:rsidR="00681910">
        <w:rPr>
          <w:rFonts w:cs="Shruti"/>
        </w:rPr>
        <w:t>ne</w:t>
      </w:r>
      <w:r w:rsidRPr="0022066E">
        <w:rPr>
          <w:rFonts w:cs="Shruti"/>
        </w:rPr>
        <w:t xml:space="preserve"> 21, 2021, OSHA published an interim </w:t>
      </w:r>
      <w:r w:rsidR="00F058CC">
        <w:rPr>
          <w:rFonts w:cs="Shruti"/>
        </w:rPr>
        <w:t>F</w:t>
      </w:r>
      <w:r w:rsidRPr="0022066E">
        <w:rPr>
          <w:rFonts w:cs="Shruti"/>
        </w:rPr>
        <w:t xml:space="preserve">inal </w:t>
      </w:r>
      <w:r w:rsidR="00F058CC">
        <w:rPr>
          <w:rFonts w:cs="Shruti"/>
        </w:rPr>
        <w:t>R</w:t>
      </w:r>
      <w:r w:rsidRPr="0022066E">
        <w:rPr>
          <w:rFonts w:cs="Shruti"/>
        </w:rPr>
        <w:t xml:space="preserve">ule issuing an </w:t>
      </w:r>
      <w:r w:rsidRPr="0022066E" w:rsidR="0074666E">
        <w:rPr>
          <w:rFonts w:cs="Shruti"/>
        </w:rPr>
        <w:t>ETS</w:t>
      </w:r>
      <w:r w:rsidRPr="0022066E">
        <w:rPr>
          <w:rFonts w:cs="Shruti"/>
        </w:rPr>
        <w:t xml:space="preserve"> to protect healthcare and healthcare support service workers from occupational exposure to COVID-19 in setting where</w:t>
      </w:r>
      <w:r w:rsidRPr="0022066E" w:rsidR="003D6452">
        <w:rPr>
          <w:rFonts w:cs="Shruti"/>
        </w:rPr>
        <w:t xml:space="preserve"> people with COVID-19 are likely to be present. </w:t>
      </w:r>
      <w:r w:rsidRPr="0022066E" w:rsidR="00086140">
        <w:rPr>
          <w:rFonts w:cs="Shruti"/>
        </w:rPr>
        <w:t>This ETS contained new collections of information</w:t>
      </w:r>
      <w:r w:rsidR="00681910">
        <w:rPr>
          <w:rFonts w:cs="Shruti"/>
        </w:rPr>
        <w:t>,</w:t>
      </w:r>
      <w:r w:rsidRPr="0022066E" w:rsidR="00086140">
        <w:rPr>
          <w:rFonts w:cs="Shruti"/>
        </w:rPr>
        <w:t xml:space="preserve"> so </w:t>
      </w:r>
      <w:r w:rsidRPr="0022066E" w:rsidR="00F04C5E">
        <w:rPr>
          <w:rFonts w:cs="Shruti"/>
        </w:rPr>
        <w:t>OSHA prepared and submitted a</w:t>
      </w:r>
      <w:r w:rsidRPr="0022066E" w:rsidR="0004587C">
        <w:rPr>
          <w:rFonts w:cs="Shruti"/>
        </w:rPr>
        <w:t xml:space="preserve"> new</w:t>
      </w:r>
      <w:r w:rsidRPr="0022066E" w:rsidR="00F04C5E">
        <w:rPr>
          <w:rFonts w:cs="Shruti"/>
        </w:rPr>
        <w:t xml:space="preserve"> ICR to OMB </w:t>
      </w:r>
      <w:r w:rsidRPr="0022066E" w:rsidR="0004587C">
        <w:rPr>
          <w:rFonts w:cs="Shruti"/>
        </w:rPr>
        <w:t xml:space="preserve">for review </w:t>
      </w:r>
      <w:r w:rsidRPr="0022066E" w:rsidR="00213AEA">
        <w:rPr>
          <w:rFonts w:cs="Shruti"/>
        </w:rPr>
        <w:t xml:space="preserve">in accordance with 44 U.S.C. 3507(d). </w:t>
      </w:r>
      <w:r w:rsidR="00681910">
        <w:rPr>
          <w:rFonts w:cs="Shruti"/>
        </w:rPr>
        <w:t>T</w:t>
      </w:r>
      <w:r w:rsidRPr="0022066E" w:rsidR="00213AEA">
        <w:rPr>
          <w:rFonts w:cs="Shruti"/>
        </w:rPr>
        <w:t xml:space="preserve">he </w:t>
      </w:r>
      <w:r w:rsidRPr="0022066E" w:rsidR="00086140">
        <w:rPr>
          <w:rFonts w:cs="Shruti"/>
        </w:rPr>
        <w:t>agency requested that OMB assign a new OMB</w:t>
      </w:r>
      <w:r w:rsidRPr="0022066E" w:rsidR="00F04C5E">
        <w:rPr>
          <w:rFonts w:cs="Shruti"/>
        </w:rPr>
        <w:t xml:space="preserve"> Control Number</w:t>
      </w:r>
      <w:r w:rsidRPr="0022066E" w:rsidR="00086140">
        <w:rPr>
          <w:rFonts w:cs="Shruti"/>
        </w:rPr>
        <w:t xml:space="preserve">. </w:t>
      </w:r>
    </w:p>
    <w:p w:rsidR="00DE24D2" w:rsidP="00DE24D2" w:rsidRDefault="00DE24D2" w14:paraId="401BF1FA" w14:textId="26A2D7AB">
      <w:pPr>
        <w:rPr>
          <w:rFonts w:cs="Shruti"/>
          <w:b/>
        </w:rPr>
      </w:pPr>
    </w:p>
    <w:p w:rsidR="00DE24D2" w:rsidP="00DE24D2" w:rsidRDefault="00DE24D2" w14:paraId="6026DFE2" w14:textId="56EAE8BE">
      <w:r>
        <w:t xml:space="preserve">On June 21, 2021, </w:t>
      </w:r>
      <w:r w:rsidRPr="00C91F47">
        <w:t xml:space="preserve">OMB issued a Notice of Action </w:t>
      </w:r>
      <w:r>
        <w:t xml:space="preserve">assigning this information collection request a new OMB </w:t>
      </w:r>
      <w:r w:rsidR="00F058CC">
        <w:t>C</w:t>
      </w:r>
      <w:r>
        <w:t xml:space="preserve">ontrol </w:t>
      </w:r>
      <w:r w:rsidR="00F058CC">
        <w:t>N</w:t>
      </w:r>
      <w:r>
        <w:t>umber 1218-0277 and</w:t>
      </w:r>
      <w:r w:rsidRPr="00C91F47">
        <w:t xml:space="preserve"> stating, “</w:t>
      </w:r>
      <w:r>
        <w:t xml:space="preserve">The agency is required to display the OMB Control Number and inform respondents of its legal significance in accordance with 5 CFR 1320.5(5).” </w:t>
      </w:r>
      <w:r w:rsidRPr="00C002BB">
        <w:rPr>
          <w:rFonts w:eastAsia="Times New Roman"/>
        </w:rPr>
        <w:t xml:space="preserve">A copy of the ICR is available to the public at </w:t>
      </w:r>
      <w:r w:rsidRPr="00977E71">
        <w:rPr>
          <w:i/>
        </w:rPr>
        <w:t>http://www.reginfo.gov/public/do/PRAOMBHistory?ombControlNumber=1218-</w:t>
      </w:r>
      <w:r>
        <w:rPr>
          <w:i/>
        </w:rPr>
        <w:t>0277</w:t>
      </w:r>
      <w:r w:rsidRPr="00C002BB">
        <w:rPr>
          <w:rFonts w:eastAsia="Times New Roman"/>
        </w:rPr>
        <w:t xml:space="preserve">. </w:t>
      </w:r>
      <w:r>
        <w:rPr>
          <w:rFonts w:cs="Shruti"/>
          <w:b/>
        </w:rPr>
        <w:t xml:space="preserve"> </w:t>
      </w:r>
    </w:p>
    <w:p w:rsidR="00DE24D2" w:rsidP="00DE24D2" w:rsidRDefault="00DE24D2" w14:paraId="5038945C" w14:textId="77777777">
      <w:pPr>
        <w:rPr>
          <w:rFonts w:cs="Shruti"/>
          <w:b/>
        </w:rPr>
      </w:pPr>
    </w:p>
    <w:p w:rsidRPr="00C91F47" w:rsidR="00DE24D2" w:rsidP="00DE24D2" w:rsidRDefault="00DE24D2" w14:paraId="394E8E20" w14:textId="1E03E7AE">
      <w:r w:rsidRPr="00C91F47">
        <w:t xml:space="preserve">In accordance with the PRA (44 U.S.C. 3506(c)(2)), OSHA solicited public comments on the collection of information contained in the </w:t>
      </w:r>
      <w:r w:rsidR="00A11B34">
        <w:rPr>
          <w:rFonts w:cs="Shruti"/>
        </w:rPr>
        <w:t>ETS</w:t>
      </w:r>
      <w:r w:rsidRPr="00C91F47">
        <w:t xml:space="preserve">. OSHA encouraged commenters to submit their comments on the information collection requirements contained in the </w:t>
      </w:r>
      <w:r w:rsidR="00F058CC">
        <w:rPr>
          <w:rFonts w:cs="Shruti"/>
        </w:rPr>
        <w:t>I</w:t>
      </w:r>
      <w:r w:rsidRPr="006560C9" w:rsidR="00A11B34">
        <w:rPr>
          <w:rFonts w:cs="Shruti"/>
        </w:rPr>
        <w:t xml:space="preserve">nterim </w:t>
      </w:r>
      <w:r w:rsidR="00F058CC">
        <w:rPr>
          <w:rFonts w:cs="Shruti"/>
        </w:rPr>
        <w:t>F</w:t>
      </w:r>
      <w:r w:rsidRPr="006560C9" w:rsidR="00A11B34">
        <w:rPr>
          <w:rFonts w:cs="Shruti"/>
        </w:rPr>
        <w:t xml:space="preserve">inal </w:t>
      </w:r>
      <w:r w:rsidR="00F058CC">
        <w:rPr>
          <w:rFonts w:cs="Shruti"/>
        </w:rPr>
        <w:t>R</w:t>
      </w:r>
      <w:r w:rsidRPr="006560C9" w:rsidR="00A11B34">
        <w:rPr>
          <w:rFonts w:cs="Shruti"/>
        </w:rPr>
        <w:t>ule</w:t>
      </w:r>
      <w:r w:rsidRPr="00C91F47" w:rsidR="00A11B34">
        <w:t xml:space="preserve"> </w:t>
      </w:r>
      <w:r w:rsidRPr="00C91F47">
        <w:t xml:space="preserve">under docket number </w:t>
      </w:r>
      <w:r w:rsidRPr="00FF72C9">
        <w:t>OSHA-20</w:t>
      </w:r>
      <w:r w:rsidR="00A11B34">
        <w:t>21</w:t>
      </w:r>
      <w:r w:rsidRPr="00E87920">
        <w:t>-000</w:t>
      </w:r>
      <w:r w:rsidR="00A11B34">
        <w:t>3</w:t>
      </w:r>
      <w:r w:rsidR="003F2AE7">
        <w:t>.</w:t>
      </w:r>
      <w:r w:rsidRPr="00C91F47">
        <w:t xml:space="preserve"> In addition to generally soliciting comments on the collection of information requirements, the rule indicated that OSHA and OMB were particularly interested in comments that:</w:t>
      </w:r>
    </w:p>
    <w:p w:rsidRPr="00C91F47" w:rsidR="00DE24D2" w:rsidP="00DE24D2" w:rsidRDefault="00DE24D2" w14:paraId="15AF30FA" w14:textId="77777777">
      <w:r w:rsidRPr="00C91F47">
        <w:t>•</w:t>
      </w:r>
      <w:r w:rsidRPr="00C91F47">
        <w:tab/>
        <w:t>Evaluate whether the proposed collection of information is necessary for the proper performance of the functions of the agency, including whether the information will have practical utility;</w:t>
      </w:r>
    </w:p>
    <w:p w:rsidRPr="00C91F47" w:rsidR="00DE24D2" w:rsidP="00DE24D2" w:rsidRDefault="00DE24D2" w14:paraId="7CF6A801" w14:textId="77777777">
      <w:r w:rsidRPr="00C91F47">
        <w:t>•</w:t>
      </w:r>
      <w:r w:rsidRPr="00C91F47">
        <w:tab/>
        <w:t>Evaluate the accuracy of the agency's estimate of the burden of the proposed collection of information, including the validity of the methodology and assumptions used;</w:t>
      </w:r>
    </w:p>
    <w:p w:rsidRPr="00C91F47" w:rsidR="00DE24D2" w:rsidP="00DE24D2" w:rsidRDefault="00DE24D2" w14:paraId="1D982F9E" w14:textId="77777777">
      <w:r w:rsidRPr="00C91F47">
        <w:t>•</w:t>
      </w:r>
      <w:r w:rsidRPr="00C91F47">
        <w:tab/>
        <w:t>Enhance the quality, utility, and clarity of the information to be collected; and</w:t>
      </w:r>
    </w:p>
    <w:p w:rsidR="00DE24D2" w:rsidP="00DE24D2" w:rsidRDefault="00DE24D2" w14:paraId="7267809C" w14:textId="295631B1">
      <w:r w:rsidRPr="00C91F47">
        <w:t>•</w:t>
      </w:r>
      <w:r w:rsidRPr="00C91F47">
        <w:tab/>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DE24D2" w:rsidP="00DE24D2" w:rsidRDefault="00DE24D2" w14:paraId="6ABD29D7" w14:textId="031DF456">
      <w:r>
        <w:t xml:space="preserve"> </w:t>
      </w:r>
    </w:p>
    <w:p w:rsidR="00DE24D2" w:rsidP="00DE24D2" w:rsidRDefault="00896996" w14:paraId="5520F75D" w14:textId="09A06C0C">
      <w:r>
        <w:t xml:space="preserve">OSHA received </w:t>
      </w:r>
      <w:r w:rsidR="00140093">
        <w:t xml:space="preserve">only </w:t>
      </w:r>
      <w:r>
        <w:t xml:space="preserve">one </w:t>
      </w:r>
      <w:r w:rsidR="00681910">
        <w:t xml:space="preserve">submission to the </w:t>
      </w:r>
      <w:r w:rsidRPr="00FF72C9" w:rsidR="00681910">
        <w:t>OSHA-20</w:t>
      </w:r>
      <w:r w:rsidR="00681910">
        <w:t>21</w:t>
      </w:r>
      <w:r w:rsidRPr="00E87920" w:rsidR="00681910">
        <w:t>-000</w:t>
      </w:r>
      <w:r w:rsidR="00681910">
        <w:t>3</w:t>
      </w:r>
      <w:r>
        <w:t xml:space="preserve"> docket</w:t>
      </w:r>
      <w:r w:rsidR="00681910">
        <w:t xml:space="preserve">. </w:t>
      </w:r>
      <w:r w:rsidR="00140093">
        <w:t>That submission</w:t>
      </w:r>
      <w:r w:rsidRPr="00681910" w:rsidR="00681910">
        <w:t xml:space="preserve"> did not address any of the collection</w:t>
      </w:r>
      <w:r w:rsidR="00140093">
        <w:t xml:space="preserve"> of information requirements, instead generally criticizing the quality of the ETS and suggesting that it be revamped and republished</w:t>
      </w:r>
      <w:r w:rsidRPr="00681910" w:rsidR="00681910">
        <w:t xml:space="preserve"> </w:t>
      </w:r>
      <w:r w:rsidR="00140093">
        <w:t>(</w:t>
      </w:r>
      <w:r>
        <w:t>OSHA-2021-0003-0001</w:t>
      </w:r>
      <w:r w:rsidR="00140093">
        <w:t>)</w:t>
      </w:r>
      <w:r w:rsidR="00F058CC">
        <w:t>.</w:t>
      </w:r>
      <w:r w:rsidR="00C76CA0">
        <w:t xml:space="preserve"> </w:t>
      </w:r>
      <w:r w:rsidRPr="00C91F47" w:rsidR="00684566">
        <w:t xml:space="preserve">However, the agency </w:t>
      </w:r>
      <w:r w:rsidR="00684566">
        <w:t xml:space="preserve">did </w:t>
      </w:r>
      <w:r w:rsidRPr="00C91F47" w:rsidR="00684566">
        <w:t xml:space="preserve">receive </w:t>
      </w:r>
      <w:r w:rsidR="00684566">
        <w:t xml:space="preserve">471 </w:t>
      </w:r>
      <w:r w:rsidRPr="00C91F47" w:rsidR="00684566">
        <w:t xml:space="preserve">public comments </w:t>
      </w:r>
      <w:r w:rsidR="00684566">
        <w:t>on</w:t>
      </w:r>
      <w:r w:rsidRPr="00C91F47" w:rsidR="00684566">
        <w:t xml:space="preserve"> the </w:t>
      </w:r>
      <w:r w:rsidR="00684566">
        <w:t xml:space="preserve">ETS </w:t>
      </w:r>
      <w:r w:rsidR="00F058CC">
        <w:t>F</w:t>
      </w:r>
      <w:r w:rsidR="00C03337">
        <w:t>inal</w:t>
      </w:r>
      <w:r w:rsidRPr="00C91F47" w:rsidR="00684566">
        <w:t xml:space="preserve">.  </w:t>
      </w:r>
      <w:r w:rsidR="00684566">
        <w:t>All comments can be found on regulations.gov under docket number OSHA-</w:t>
      </w:r>
      <w:r w:rsidR="00FA11B2">
        <w:t>2020</w:t>
      </w:r>
      <w:r w:rsidR="00684566">
        <w:t>-0004.</w:t>
      </w:r>
    </w:p>
    <w:p w:rsidRPr="00C91F47" w:rsidR="00684566" w:rsidP="00DE24D2" w:rsidRDefault="00684566" w14:paraId="581647D9" w14:textId="77777777"/>
    <w:p w:rsidR="00E35242" w:rsidP="00E35242" w:rsidRDefault="00E35242" w14:paraId="087281F3" w14:textId="647A45E8">
      <w:pPr>
        <w:pStyle w:val="Heading2"/>
        <w:ind w:left="0" w:firstLine="0"/>
        <w:rPr>
          <w:sz w:val="22"/>
          <w:szCs w:val="22"/>
          <w:lang w:val="x-none"/>
        </w:rPr>
      </w:pPr>
      <w:r>
        <w:rPr>
          <w:sz w:val="22"/>
          <w:szCs w:val="22"/>
          <w:lang w:val="x-none"/>
        </w:rPr>
        <w:t>Explain any decision to provide any payment or gift to respondents, other than remuneration of contractors or grantees.</w:t>
      </w:r>
    </w:p>
    <w:p w:rsidR="00E35242" w:rsidP="00E35242" w:rsidRDefault="00E35242" w14:paraId="2BF00C10" w14:textId="681DC5C9">
      <w:pPr>
        <w:pStyle w:val="BodyTextFirstIndent"/>
        <w:ind w:firstLine="0"/>
        <w:rPr>
          <w:sz w:val="24"/>
          <w:szCs w:val="24"/>
          <w:lang w:val="x-none"/>
        </w:rPr>
      </w:pPr>
      <w:r>
        <w:rPr>
          <w:sz w:val="24"/>
          <w:szCs w:val="24"/>
          <w:lang w:val="x-none"/>
        </w:rPr>
        <w:t xml:space="preserve">The </w:t>
      </w:r>
      <w:r w:rsidR="001B3AE9">
        <w:rPr>
          <w:sz w:val="24"/>
          <w:szCs w:val="24"/>
        </w:rPr>
        <w:t>a</w:t>
      </w:r>
      <w:r>
        <w:rPr>
          <w:sz w:val="24"/>
          <w:szCs w:val="24"/>
          <w:lang w:val="x-none"/>
        </w:rPr>
        <w:t xml:space="preserve">gency will </w:t>
      </w:r>
      <w:r>
        <w:rPr>
          <w:sz w:val="24"/>
          <w:szCs w:val="24"/>
          <w:u w:val="single"/>
          <w:lang w:val="x-none"/>
        </w:rPr>
        <w:t>not</w:t>
      </w:r>
      <w:r>
        <w:rPr>
          <w:sz w:val="24"/>
          <w:szCs w:val="24"/>
          <w:lang w:val="x-none"/>
        </w:rPr>
        <w:t xml:space="preserve"> provide payments or gifts to the respondents.  </w:t>
      </w:r>
    </w:p>
    <w:p w:rsidR="00E35242" w:rsidP="00E35242" w:rsidRDefault="00E35242" w14:paraId="330B91E9" w14:textId="77777777">
      <w:pPr>
        <w:pStyle w:val="Heading2"/>
        <w:ind w:left="0" w:firstLine="0"/>
        <w:rPr>
          <w:sz w:val="22"/>
          <w:szCs w:val="22"/>
          <w:lang w:val="x-none"/>
        </w:rPr>
      </w:pPr>
      <w:r>
        <w:rPr>
          <w:sz w:val="22"/>
          <w:szCs w:val="22"/>
          <w:lang w:val="x-none"/>
        </w:rPr>
        <w:t>Describe any assurance of confidentiality provided to respondents and the basis for the assurance in statute, regulation, or agency policy.</w:t>
      </w:r>
    </w:p>
    <w:p w:rsidR="00E35242" w:rsidP="00E35242" w:rsidRDefault="00A16968" w14:paraId="5DE97827" w14:textId="7C4E63DA">
      <w:pPr>
        <w:pStyle w:val="BodyTextFirstIndent"/>
        <w:ind w:firstLine="0"/>
        <w:rPr>
          <w:sz w:val="24"/>
          <w:szCs w:val="24"/>
          <w:lang w:val="x-none"/>
        </w:rPr>
      </w:pPr>
      <w:r>
        <w:rPr>
          <w:sz w:val="24"/>
          <w:szCs w:val="24"/>
        </w:rPr>
        <w:t xml:space="preserve">The ETS contains </w:t>
      </w:r>
      <w:r w:rsidR="00E771DB">
        <w:rPr>
          <w:sz w:val="24"/>
          <w:szCs w:val="24"/>
        </w:rPr>
        <w:t xml:space="preserve">several </w:t>
      </w:r>
      <w:r>
        <w:rPr>
          <w:sz w:val="24"/>
          <w:szCs w:val="24"/>
        </w:rPr>
        <w:t xml:space="preserve">provisions </w:t>
      </w:r>
      <w:r w:rsidR="00722CB0">
        <w:rPr>
          <w:sz w:val="24"/>
          <w:szCs w:val="24"/>
        </w:rPr>
        <w:t xml:space="preserve">aimed at </w:t>
      </w:r>
      <w:r>
        <w:rPr>
          <w:sz w:val="24"/>
          <w:szCs w:val="24"/>
        </w:rPr>
        <w:t>maintain</w:t>
      </w:r>
      <w:r w:rsidR="00722CB0">
        <w:rPr>
          <w:sz w:val="24"/>
          <w:szCs w:val="24"/>
        </w:rPr>
        <w:t>ing</w:t>
      </w:r>
      <w:r>
        <w:rPr>
          <w:sz w:val="24"/>
          <w:szCs w:val="24"/>
        </w:rPr>
        <w:t xml:space="preserve"> employee privacy. These include the requirement that notifications of employee exposure to COVID-19 “</w:t>
      </w:r>
      <w:r w:rsidRPr="007A5E4A" w:rsidR="007A5E4A">
        <w:rPr>
          <w:sz w:val="24"/>
          <w:szCs w:val="24"/>
        </w:rPr>
        <w:t>must not include any employee’s name, contact information</w:t>
      </w:r>
      <w:r w:rsidR="008812A5">
        <w:rPr>
          <w:sz w:val="24"/>
          <w:szCs w:val="24"/>
        </w:rPr>
        <w:t xml:space="preserve"> (e.g., phone number, email address)</w:t>
      </w:r>
      <w:r w:rsidRPr="007A5E4A" w:rsidR="007A5E4A">
        <w:rPr>
          <w:sz w:val="24"/>
          <w:szCs w:val="24"/>
        </w:rPr>
        <w:t>, or occupation</w:t>
      </w:r>
      <w:r>
        <w:rPr>
          <w:sz w:val="24"/>
          <w:szCs w:val="24"/>
        </w:rPr>
        <w:t>”</w:t>
      </w:r>
      <w:r w:rsidR="00E771DB">
        <w:rPr>
          <w:sz w:val="24"/>
          <w:szCs w:val="24"/>
        </w:rPr>
        <w:t xml:space="preserve"> and the requirement that COVID-19 log </w:t>
      </w:r>
      <w:r w:rsidR="007A5E4A">
        <w:rPr>
          <w:sz w:val="24"/>
          <w:szCs w:val="24"/>
        </w:rPr>
        <w:t xml:space="preserve">must be maintained </w:t>
      </w:r>
      <w:r w:rsidRPr="007A5E4A" w:rsidR="007A5E4A">
        <w:rPr>
          <w:sz w:val="24"/>
          <w:szCs w:val="24"/>
        </w:rPr>
        <w:t>as though it is a confidential medical record and must not be disclosed except as required by this ETS or other federal law</w:t>
      </w:r>
      <w:r w:rsidR="007A5E4A">
        <w:rPr>
          <w:sz w:val="24"/>
          <w:szCs w:val="24"/>
        </w:rPr>
        <w:t>, including limiting access to an</w:t>
      </w:r>
      <w:r w:rsidRPr="007A5E4A" w:rsidR="007A5E4A">
        <w:rPr>
          <w:sz w:val="24"/>
          <w:szCs w:val="24"/>
        </w:rPr>
        <w:t xml:space="preserve"> individual COVID-19 log entry for a particular employee to that employee and to anyone having written authorized consent of that employee</w:t>
      </w:r>
      <w:r w:rsidR="007A5E4A">
        <w:rPr>
          <w:sz w:val="24"/>
          <w:szCs w:val="24"/>
        </w:rPr>
        <w:t>.</w:t>
      </w:r>
      <w:r w:rsidRPr="007A5E4A" w:rsidR="007A5E4A">
        <w:rPr>
          <w:sz w:val="24"/>
          <w:szCs w:val="24"/>
        </w:rPr>
        <w:t xml:space="preserve"> </w:t>
      </w:r>
      <w:r>
        <w:rPr>
          <w:sz w:val="24"/>
          <w:szCs w:val="24"/>
        </w:rPr>
        <w:t>In addition, OSHA</w:t>
      </w:r>
      <w:r w:rsidR="00E35242">
        <w:rPr>
          <w:sz w:val="24"/>
          <w:szCs w:val="24"/>
          <w:lang w:val="x-none"/>
        </w:rPr>
        <w:t xml:space="preserve"> </w:t>
      </w:r>
      <w:r>
        <w:rPr>
          <w:sz w:val="24"/>
          <w:szCs w:val="24"/>
        </w:rPr>
        <w:t xml:space="preserve">has </w:t>
      </w:r>
      <w:r w:rsidR="00E35242">
        <w:rPr>
          <w:sz w:val="24"/>
          <w:szCs w:val="24"/>
          <w:lang w:val="x-none"/>
        </w:rPr>
        <w:t xml:space="preserve">developed and implemented 29 CFR 1913.10 (“Rules of Agency Practice and Procedure Concerning OSHA Access to Employee Medical Records”) to regulate access to </w:t>
      </w:r>
      <w:r>
        <w:rPr>
          <w:sz w:val="24"/>
          <w:szCs w:val="24"/>
        </w:rPr>
        <w:t xml:space="preserve">employee medical </w:t>
      </w:r>
      <w:r w:rsidR="00E35242">
        <w:rPr>
          <w:sz w:val="24"/>
          <w:szCs w:val="24"/>
          <w:lang w:val="x-none"/>
        </w:rPr>
        <w:t xml:space="preserve">records. </w:t>
      </w:r>
    </w:p>
    <w:p w:rsidR="00E35242" w:rsidP="00E35242" w:rsidRDefault="00E35242" w14:paraId="60B34835" w14:textId="77777777">
      <w:pPr>
        <w:pStyle w:val="Heading2"/>
        <w:ind w:left="0" w:firstLine="0"/>
        <w:rPr>
          <w:sz w:val="22"/>
          <w:szCs w:val="22"/>
          <w:lang w:val="x-none"/>
        </w:rPr>
      </w:pPr>
      <w:r>
        <w:rPr>
          <w:sz w:val="22"/>
          <w:szCs w:val="22"/>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242" w:rsidP="00E35242" w:rsidRDefault="00E35242" w14:paraId="58E60380" w14:textId="756BF9A4">
      <w:pPr>
        <w:pStyle w:val="BodyTextFirstIndent"/>
        <w:ind w:firstLine="0"/>
        <w:rPr>
          <w:sz w:val="24"/>
          <w:szCs w:val="24"/>
          <w:lang w:val="x-none"/>
        </w:rPr>
      </w:pPr>
      <w:r w:rsidRPr="00CB0BB0">
        <w:rPr>
          <w:sz w:val="24"/>
          <w:szCs w:val="24"/>
          <w:lang w:val="x-none"/>
        </w:rPr>
        <w:t xml:space="preserve">Perceived questions of a sensitive nature may be included in </w:t>
      </w:r>
      <w:r w:rsidRPr="001401D5" w:rsidR="00FC3529">
        <w:rPr>
          <w:sz w:val="24"/>
          <w:szCs w:val="24"/>
        </w:rPr>
        <w:t xml:space="preserve">diagnosing whether an employee is showing signs or symptoms of the coronavirus when </w:t>
      </w:r>
      <w:r w:rsidRPr="00CB0BB0">
        <w:rPr>
          <w:sz w:val="24"/>
          <w:szCs w:val="24"/>
          <w:lang w:val="x-none"/>
        </w:rPr>
        <w:t>medical question</w:t>
      </w:r>
      <w:r w:rsidRPr="00CB0BB0">
        <w:rPr>
          <w:sz w:val="24"/>
          <w:szCs w:val="24"/>
        </w:rPr>
        <w:t xml:space="preserve">s </w:t>
      </w:r>
      <w:r w:rsidRPr="001401D5" w:rsidR="00FC3529">
        <w:rPr>
          <w:sz w:val="24"/>
          <w:szCs w:val="24"/>
        </w:rPr>
        <w:t xml:space="preserve">are </w:t>
      </w:r>
      <w:r w:rsidRPr="00CB0BB0">
        <w:rPr>
          <w:sz w:val="24"/>
          <w:szCs w:val="24"/>
        </w:rPr>
        <w:t xml:space="preserve">posed </w:t>
      </w:r>
      <w:r w:rsidRPr="00CB0BB0">
        <w:rPr>
          <w:sz w:val="24"/>
          <w:szCs w:val="24"/>
          <w:lang w:val="x-none"/>
        </w:rPr>
        <w:t xml:space="preserve">to </w:t>
      </w:r>
      <w:r w:rsidRPr="00CB0BB0">
        <w:rPr>
          <w:sz w:val="24"/>
          <w:szCs w:val="24"/>
        </w:rPr>
        <w:t xml:space="preserve">properly diagnose the patient  and the employee’s </w:t>
      </w:r>
      <w:r w:rsidRPr="00CB0BB0">
        <w:rPr>
          <w:sz w:val="24"/>
          <w:szCs w:val="24"/>
          <w:lang w:val="x-none"/>
        </w:rPr>
        <w:t>occupational exposure to</w:t>
      </w:r>
      <w:r w:rsidRPr="00CB0BB0">
        <w:rPr>
          <w:sz w:val="24"/>
          <w:szCs w:val="24"/>
        </w:rPr>
        <w:t xml:space="preserve"> </w:t>
      </w:r>
      <w:r w:rsidR="00531937">
        <w:rPr>
          <w:sz w:val="24"/>
          <w:szCs w:val="24"/>
        </w:rPr>
        <w:t>COVID-19</w:t>
      </w:r>
      <w:r w:rsidRPr="001401D5" w:rsidR="00FC3529">
        <w:rPr>
          <w:sz w:val="24"/>
          <w:szCs w:val="24"/>
        </w:rPr>
        <w:t>.</w:t>
      </w:r>
    </w:p>
    <w:p w:rsidR="00E35242" w:rsidP="00E35242" w:rsidRDefault="00E35242" w14:paraId="0B213512" w14:textId="2A47B6A3">
      <w:pPr>
        <w:pStyle w:val="Heading2"/>
        <w:ind w:left="0" w:firstLine="0"/>
        <w:rPr>
          <w:sz w:val="22"/>
          <w:szCs w:val="22"/>
          <w:lang w:val="x-none"/>
        </w:rPr>
      </w:pPr>
      <w:bookmarkStart w:name="_Ref406584848" w:id="7"/>
      <w:r>
        <w:rPr>
          <w:sz w:val="22"/>
          <w:szCs w:val="22"/>
          <w:lang w:val="x-none"/>
        </w:rPr>
        <w:t>Provide estimates of the hour burden of the collection of information.  The statement should:</w:t>
      </w:r>
      <w:bookmarkEnd w:id="7"/>
    </w:p>
    <w:p w:rsidR="00E35242" w:rsidP="00E35242" w:rsidRDefault="00E35242" w14:paraId="13FDB8C7" w14:textId="647CAC79">
      <w:pPr>
        <w:ind w:left="432" w:hanging="144"/>
        <w:rPr>
          <w:sz w:val="22"/>
          <w:szCs w:val="22"/>
        </w:rPr>
      </w:pPr>
      <w:r>
        <w:rPr>
          <w:sz w:val="22"/>
          <w:szCs w:val="22"/>
        </w:rPr>
        <w:t xml:space="preserve">  </w:t>
      </w:r>
      <w:r w:rsidR="00E2437D">
        <w:rPr>
          <w:sz w:val="22"/>
          <w:szCs w:val="22"/>
        </w:rPr>
        <w:t xml:space="preserve"> </w:t>
      </w:r>
      <w:r>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35242" w:rsidP="00E35242" w:rsidRDefault="00E35242" w14:paraId="07A6577A" w14:textId="77777777">
      <w:pPr>
        <w:rPr>
          <w:sz w:val="22"/>
          <w:szCs w:val="22"/>
        </w:rPr>
      </w:pPr>
    </w:p>
    <w:p w:rsidR="00E35242" w:rsidP="00E35242" w:rsidRDefault="00E35242" w14:paraId="1376AB1B" w14:textId="063C4C38">
      <w:pPr>
        <w:ind w:left="432" w:hanging="144"/>
        <w:rPr>
          <w:b/>
          <w:bCs/>
          <w:sz w:val="22"/>
          <w:szCs w:val="22"/>
        </w:rPr>
      </w:pPr>
      <w:r>
        <w:rPr>
          <w:sz w:val="22"/>
          <w:szCs w:val="22"/>
        </w:rPr>
        <w:t xml:space="preserve">· </w:t>
      </w:r>
      <w:r>
        <w:rPr>
          <w:b/>
          <w:bCs/>
          <w:sz w:val="22"/>
          <w:szCs w:val="22"/>
        </w:rPr>
        <w:t>If this request for approval covers more than one form, provide separate hour burden estimates for each form and aggregate the hour burdens.</w:t>
      </w:r>
    </w:p>
    <w:p w:rsidR="00E35242" w:rsidP="00E35242" w:rsidRDefault="00E35242" w14:paraId="4A8EDEBC" w14:textId="77777777">
      <w:pPr>
        <w:rPr>
          <w:b/>
          <w:bCs/>
          <w:sz w:val="22"/>
          <w:szCs w:val="22"/>
        </w:rPr>
      </w:pPr>
    </w:p>
    <w:p w:rsidR="00E35242" w:rsidP="00E35242" w:rsidRDefault="00E35242" w14:paraId="6603A76A" w14:textId="58C34EA5">
      <w:pPr>
        <w:ind w:left="432" w:hanging="144"/>
        <w:rPr>
          <w:b/>
          <w:bCs/>
          <w:sz w:val="22"/>
          <w:szCs w:val="22"/>
        </w:rPr>
      </w:pPr>
      <w:r>
        <w:rPr>
          <w:b/>
          <w:bCs/>
          <w:sz w:val="22"/>
          <w:szCs w:val="22"/>
        </w:rPr>
        <w:t>· Provide estimates of annualized costs to respondents for the hour burdens for collections of information, identifying and using appropriate wage rate categories.</w:t>
      </w:r>
    </w:p>
    <w:p w:rsidR="00C05411" w:rsidP="00C05411" w:rsidRDefault="00C05411" w14:paraId="67EC7D80" w14:textId="77777777">
      <w:pPr>
        <w:spacing w:after="240"/>
        <w:outlineLvl w:val="0"/>
        <w:rPr>
          <w:rFonts w:ascii="Times New Roman Bold" w:hAnsi="Times New Roman Bold"/>
          <w:b/>
          <w:bCs/>
          <w:smallCaps/>
        </w:rPr>
      </w:pPr>
    </w:p>
    <w:p w:rsidRPr="0071745D" w:rsidR="00C05411" w:rsidP="00C05411" w:rsidRDefault="00C05411" w14:paraId="769789B0" w14:textId="77777777">
      <w:pPr>
        <w:spacing w:after="240"/>
        <w:outlineLvl w:val="0"/>
        <w:rPr>
          <w:rFonts w:ascii="Times New Roman Bold" w:hAnsi="Times New Roman Bold"/>
          <w:smallCaps/>
        </w:rPr>
      </w:pPr>
      <w:r w:rsidRPr="0071745D">
        <w:rPr>
          <w:rFonts w:ascii="Times New Roman Bold" w:hAnsi="Times New Roman Bold"/>
          <w:b/>
          <w:bCs/>
          <w:smallCaps/>
        </w:rPr>
        <w:t>Respondent Burden-Hour and Cost burden Determinations</w:t>
      </w:r>
    </w:p>
    <w:p w:rsidRPr="00D50F20" w:rsidR="00C05411" w:rsidP="00C05411" w:rsidRDefault="00C05411" w14:paraId="2E8A1E3F" w14:textId="179A81A5">
      <w:pPr>
        <w:pStyle w:val="CommentText"/>
        <w:rPr>
          <w:sz w:val="24"/>
          <w:szCs w:val="24"/>
        </w:rPr>
      </w:pPr>
      <w:r w:rsidRPr="00266C72">
        <w:rPr>
          <w:sz w:val="24"/>
          <w:szCs w:val="24"/>
          <w:lang w:val="x-none"/>
        </w:rPr>
        <w:t xml:space="preserve">OSHA estimates that a total of </w:t>
      </w:r>
      <w:r w:rsidR="0077457B">
        <w:rPr>
          <w:sz w:val="24"/>
          <w:szCs w:val="24"/>
        </w:rPr>
        <w:t>10,338,353</w:t>
      </w:r>
      <w:r w:rsidRPr="00EE5771" w:rsidR="00DC5497">
        <w:rPr>
          <w:sz w:val="24"/>
          <w:szCs w:val="24"/>
          <w:lang w:val="x-none"/>
        </w:rPr>
        <w:t xml:space="preserve"> employees in </w:t>
      </w:r>
      <w:r w:rsidR="0077457B">
        <w:rPr>
          <w:sz w:val="24"/>
          <w:szCs w:val="24"/>
        </w:rPr>
        <w:t>748,81</w:t>
      </w:r>
      <w:r w:rsidR="00EB770F">
        <w:rPr>
          <w:sz w:val="24"/>
          <w:szCs w:val="24"/>
        </w:rPr>
        <w:t>4</w:t>
      </w:r>
      <w:r w:rsidRPr="00F21E79" w:rsidR="00DC5497">
        <w:rPr>
          <w:sz w:val="24"/>
          <w:szCs w:val="24"/>
          <w:lang w:val="x-none"/>
        </w:rPr>
        <w:t xml:space="preserve"> establishments</w:t>
      </w:r>
      <w:r w:rsidRPr="00DC5497">
        <w:rPr>
          <w:sz w:val="24"/>
          <w:szCs w:val="24"/>
          <w:lang w:val="x-none"/>
        </w:rPr>
        <w:t xml:space="preserve"> are potentially at risk from exposure to </w:t>
      </w:r>
      <w:r w:rsidRPr="00DC5497">
        <w:rPr>
          <w:sz w:val="24"/>
          <w:szCs w:val="24"/>
        </w:rPr>
        <w:t>COVID-19 in the healthcare and associate industries</w:t>
      </w:r>
      <w:r w:rsidR="00DC5497">
        <w:rPr>
          <w:sz w:val="24"/>
          <w:szCs w:val="24"/>
        </w:rPr>
        <w:t>.</w:t>
      </w:r>
    </w:p>
    <w:p w:rsidRPr="00266C72" w:rsidR="00C05411" w:rsidP="00C05411" w:rsidRDefault="00C05411" w14:paraId="03B733BA" w14:textId="77777777">
      <w:pPr>
        <w:pStyle w:val="CommentText"/>
        <w:rPr>
          <w:sz w:val="24"/>
          <w:szCs w:val="24"/>
        </w:rPr>
      </w:pPr>
    </w:p>
    <w:p w:rsidR="00C05411" w:rsidP="00C05411" w:rsidRDefault="00C05411" w14:paraId="26481C12" w14:textId="28E7B352">
      <w:pPr>
        <w:pStyle w:val="BodyTextFirstIndent"/>
        <w:ind w:firstLine="0"/>
        <w:rPr>
          <w:sz w:val="24"/>
          <w:szCs w:val="24"/>
        </w:rPr>
      </w:pPr>
      <w:r>
        <w:rPr>
          <w:sz w:val="24"/>
          <w:szCs w:val="24"/>
          <w:lang w:val="x-none"/>
        </w:rPr>
        <w:t xml:space="preserve">For the sole purpose of calculating burden hours and costs under the Paperwork Reduction Act, this </w:t>
      </w:r>
      <w:r w:rsidR="00F058CC">
        <w:rPr>
          <w:sz w:val="24"/>
          <w:szCs w:val="24"/>
        </w:rPr>
        <w:t>S</w:t>
      </w:r>
      <w:r>
        <w:rPr>
          <w:sz w:val="24"/>
          <w:szCs w:val="24"/>
          <w:lang w:val="x-none"/>
        </w:rPr>
        <w:t xml:space="preserve">upporting </w:t>
      </w:r>
      <w:r w:rsidR="00F058CC">
        <w:rPr>
          <w:sz w:val="24"/>
          <w:szCs w:val="24"/>
        </w:rPr>
        <w:t>S</w:t>
      </w:r>
      <w:r>
        <w:rPr>
          <w:sz w:val="24"/>
          <w:szCs w:val="24"/>
          <w:lang w:val="x-none"/>
        </w:rPr>
        <w:t xml:space="preserve">tatement has rounded </w:t>
      </w:r>
      <w:r>
        <w:rPr>
          <w:sz w:val="24"/>
          <w:szCs w:val="24"/>
        </w:rPr>
        <w:t xml:space="preserve">the totals found in </w:t>
      </w:r>
      <w:r w:rsidRPr="00C36D5A">
        <w:rPr>
          <w:sz w:val="24"/>
          <w:szCs w:val="24"/>
        </w:rPr>
        <w:t>Table</w:t>
      </w:r>
      <w:r w:rsidRPr="00C36D5A" w:rsidR="005B18DD">
        <w:rPr>
          <w:sz w:val="24"/>
          <w:szCs w:val="24"/>
        </w:rPr>
        <w:t>s</w:t>
      </w:r>
      <w:r w:rsidRPr="00C36D5A">
        <w:rPr>
          <w:sz w:val="24"/>
          <w:szCs w:val="24"/>
        </w:rPr>
        <w:t xml:space="preserve"> B</w:t>
      </w:r>
      <w:r w:rsidRPr="00C36D5A" w:rsidR="005B18DD">
        <w:rPr>
          <w:sz w:val="24"/>
          <w:szCs w:val="24"/>
        </w:rPr>
        <w:t>,</w:t>
      </w:r>
      <w:r w:rsidRPr="00C36D5A">
        <w:rPr>
          <w:sz w:val="24"/>
          <w:szCs w:val="24"/>
        </w:rPr>
        <w:t xml:space="preserve"> the </w:t>
      </w:r>
      <w:r w:rsidRPr="00C36D5A">
        <w:rPr>
          <w:bCs/>
          <w:i/>
          <w:color w:val="000000"/>
        </w:rPr>
        <w:t>Summary of Burden Hours and Cost Under Item 12 of this Supporting Statement</w:t>
      </w:r>
      <w:r w:rsidRPr="00C36D5A">
        <w:rPr>
          <w:sz w:val="24"/>
          <w:szCs w:val="24"/>
        </w:rPr>
        <w:t>.</w:t>
      </w:r>
      <w:r>
        <w:rPr>
          <w:sz w:val="24"/>
          <w:szCs w:val="24"/>
        </w:rPr>
        <w:t xml:space="preserve">  </w:t>
      </w:r>
    </w:p>
    <w:p w:rsidR="00C05411" w:rsidP="00C05411" w:rsidRDefault="00C05411" w14:paraId="3769AC8A" w14:textId="77777777">
      <w:pPr>
        <w:rPr>
          <w:b/>
          <w:bCs/>
        </w:rPr>
      </w:pPr>
      <w:r>
        <w:rPr>
          <w:b/>
          <w:bCs/>
        </w:rPr>
        <w:t>Wage Rates</w:t>
      </w:r>
    </w:p>
    <w:p w:rsidR="00C05411" w:rsidP="00C05411" w:rsidRDefault="00C05411" w14:paraId="6C0D0757" w14:textId="77777777">
      <w:pPr>
        <w:pStyle w:val="Default"/>
        <w:rPr>
          <w:b/>
          <w:bCs/>
          <w:color w:val="auto"/>
        </w:rPr>
      </w:pPr>
    </w:p>
    <w:p w:rsidRPr="00C05411" w:rsidR="00C05411" w:rsidP="00C05411" w:rsidRDefault="00C05411" w14:paraId="4ADF934F" w14:textId="5F47D649">
      <w:pPr>
        <w:pStyle w:val="BodyText"/>
        <w:spacing w:after="0"/>
        <w:rPr>
          <w:rFonts w:ascii="Times New Roman" w:hAnsi="Times New Roman"/>
        </w:rPr>
      </w:pPr>
      <w:r w:rsidRPr="00C05411">
        <w:rPr>
          <w:rFonts w:ascii="Times New Roman" w:hAnsi="Times New Roman"/>
        </w:rPr>
        <w:t xml:space="preserve">OSHA used occupation-specific wage rates from </w:t>
      </w:r>
      <w:r w:rsidR="0016615A">
        <w:rPr>
          <w:rFonts w:ascii="Times New Roman" w:hAnsi="Times New Roman"/>
        </w:rPr>
        <w:t>Bureau of Labor Statistics (</w:t>
      </w:r>
      <w:r w:rsidRPr="00C05411">
        <w:rPr>
          <w:rFonts w:ascii="Times New Roman" w:hAnsi="Times New Roman"/>
        </w:rPr>
        <w:t>BLS</w:t>
      </w:r>
      <w:r w:rsidR="0016615A">
        <w:rPr>
          <w:rFonts w:ascii="Times New Roman" w:hAnsi="Times New Roman"/>
        </w:rPr>
        <w:t>)</w:t>
      </w:r>
      <w:r w:rsidRPr="00C05411">
        <w:rPr>
          <w:rFonts w:ascii="Times New Roman" w:hAnsi="Times New Roman"/>
        </w:rPr>
        <w:t xml:space="preserve"> 2018 Occupational Employment Statistics data </w:t>
      </w:r>
      <w:r w:rsidRPr="00C05411">
        <w:rPr>
          <w:rFonts w:ascii="Times New Roman" w:hAnsi="Times New Roman"/>
        </w:rPr>
        <w:fldChar w:fldCharType="begin"/>
      </w:r>
      <w:r w:rsidRPr="00C05411">
        <w:rPr>
          <w:rFonts w:ascii="Times New Roman" w:hAnsi="Times New Roman"/>
        </w:rPr>
        <w:instrText xml:space="preserve"> ADDIN EN.CITE &lt;EndNote&gt;&lt;Cite ExcludeAuth="1"&gt;&lt;Author&gt;U.S Bureau of Labor Statistics&lt;/Author&gt;&lt;Year&gt;2019&lt;/Year&gt;&lt;RecNum&gt;8&lt;/RecNum&gt;&lt;Prefix&gt;BLS`, &lt;/Prefix&gt;&lt;DisplayText&gt;(BLS, 2019)&lt;/DisplayText&gt;&lt;record&gt;&lt;rec-number&gt;8&lt;/rec-number&gt;&lt;foreign-keys&gt;&lt;key app="EN" db-id="vfe9ex5pfaz5fce0zeovarzl5ttwd0w9vs9a" timestamp="1603392688"&gt;8&lt;/key&gt;&lt;/foreign-keys&gt;&lt;ref-type name="Journal Article"&gt;17&lt;/ref-type&gt;&lt;contributors&gt;&lt;authors&gt;&lt;author&gt;U.S Bureau of Labor Statistics,&lt;/author&gt;&lt;/authors&gt;&lt;/contributors&gt;&lt;titles&gt;&lt;title&gt;Occupational Employment Statistics (OES) Survey, May 2018&lt;/title&gt;&lt;/titles&gt;&lt;dates&gt;&lt;year&gt;2019&lt;/year&gt;&lt;/dates&gt;&lt;urls&gt;&lt;/urls&gt;&lt;/record&gt;&lt;/Cite&gt;&lt;/EndNote&gt;</w:instrText>
      </w:r>
      <w:r w:rsidRPr="00C05411">
        <w:rPr>
          <w:rFonts w:ascii="Times New Roman" w:hAnsi="Times New Roman"/>
        </w:rPr>
        <w:fldChar w:fldCharType="separate"/>
      </w:r>
      <w:r w:rsidRPr="00C05411">
        <w:rPr>
          <w:rFonts w:ascii="Times New Roman" w:hAnsi="Times New Roman"/>
          <w:noProof/>
        </w:rPr>
        <w:t>(BLS, 2019)</w:t>
      </w:r>
      <w:r w:rsidRPr="00C05411">
        <w:rPr>
          <w:rFonts w:ascii="Times New Roman" w:hAnsi="Times New Roman"/>
        </w:rPr>
        <w:fldChar w:fldCharType="end"/>
      </w:r>
      <w:r w:rsidRPr="00C05411">
        <w:rPr>
          <w:rFonts w:ascii="Times New Roman" w:hAnsi="Times New Roman"/>
        </w:rPr>
        <w:t xml:space="preserve">. </w:t>
      </w:r>
      <w:r w:rsidR="003941A4">
        <w:rPr>
          <w:rFonts w:ascii="Times New Roman" w:hAnsi="Times New Roman"/>
        </w:rPr>
        <w:t xml:space="preserve"> The </w:t>
      </w:r>
      <w:r w:rsidRPr="00C05411">
        <w:rPr>
          <w:rFonts w:ascii="Times New Roman" w:hAnsi="Times New Roman"/>
        </w:rPr>
        <w:t>estimated loaded wage</w:t>
      </w:r>
      <w:r w:rsidR="003941A4">
        <w:rPr>
          <w:rFonts w:ascii="Times New Roman" w:hAnsi="Times New Roman"/>
        </w:rPr>
        <w:t xml:space="preserve"> rates are calculated</w:t>
      </w:r>
      <w:r w:rsidRPr="00C05411">
        <w:rPr>
          <w:rFonts w:ascii="Times New Roman" w:hAnsi="Times New Roman"/>
        </w:rPr>
        <w:t xml:space="preserve"> using industry-specific fringe benefit rates for all civilian workers as reported in the BLS 2018 Employer Costs for Employee Compensation data, as well as OSHA’s standard estimate for overhead of 17 percent times the base wage </w:t>
      </w:r>
      <w:r w:rsidRPr="00C05411">
        <w:rPr>
          <w:rFonts w:ascii="Times New Roman" w:hAnsi="Times New Roman"/>
        </w:rPr>
        <w:fldChar w:fldCharType="begin"/>
      </w:r>
      <w:r w:rsidRPr="00C05411">
        <w:rPr>
          <w:rFonts w:ascii="Times New Roman" w:hAnsi="Times New Roman"/>
        </w:rPr>
        <w:instrText xml:space="preserve"> ADDIN EN.CITE &lt;EndNote&gt;&lt;Cite ExcludeAuth="1"&gt;&lt;Author&gt;U.S. Bureau of Labor Statistics&lt;/Author&gt;&lt;Year&gt;2018&lt;/Year&gt;&lt;RecNum&gt;24&lt;/RecNum&gt;&lt;Prefix&gt;BLS`, &lt;/Prefix&gt;&lt;DisplayText&gt;(BLS, 2018)&lt;/DisplayText&gt;&lt;record&gt;&lt;rec-number&gt;24&lt;/rec-number&gt;&lt;foreign-keys&gt;&lt;key app="EN" db-id="vfe9ex5pfaz5fce0zeovarzl5ttwd0w9vs9a" timestamp="1604086038"&gt;24&lt;/key&gt;&lt;/foreign-keys&gt;&lt;ref-type name="Journal Article"&gt;17&lt;/ref-type&gt;&lt;contributors&gt;&lt;authors&gt;&lt;author&gt;U.S. Bureau of Labor Statistics,&lt;/author&gt;&lt;/authors&gt;&lt;/contributors&gt;&lt;titles&gt;&lt;title&gt;Employer Costs for Employee Compensation Data Series CMU1026220000000P, All 2018 Civilian Wages and Salaries for the Healthcare and Social Assistance Industry&lt;/title&gt;&lt;/titles&gt;&lt;dates&gt;&lt;year&gt;2018&lt;/year&gt;&lt;/dates&gt;&lt;urls&gt;&lt;/urls&gt;&lt;/record&gt;&lt;/Cite&gt;&lt;/EndNote&gt;</w:instrText>
      </w:r>
      <w:r w:rsidRPr="00C05411">
        <w:rPr>
          <w:rFonts w:ascii="Times New Roman" w:hAnsi="Times New Roman"/>
        </w:rPr>
        <w:fldChar w:fldCharType="separate"/>
      </w:r>
      <w:r w:rsidRPr="00C05411">
        <w:rPr>
          <w:rFonts w:ascii="Times New Roman" w:hAnsi="Times New Roman"/>
          <w:noProof/>
        </w:rPr>
        <w:t>(BLS, 2018)</w:t>
      </w:r>
      <w:r w:rsidRPr="00C05411">
        <w:rPr>
          <w:rFonts w:ascii="Times New Roman" w:hAnsi="Times New Roman"/>
        </w:rPr>
        <w:fldChar w:fldCharType="end"/>
      </w:r>
      <w:r w:rsidR="003941A4">
        <w:rPr>
          <w:rFonts w:ascii="Times New Roman" w:hAnsi="Times New Roman"/>
        </w:rPr>
        <w:t xml:space="preserve"> to arrive at the loaded wage rate</w:t>
      </w:r>
      <w:r w:rsidRPr="00C05411">
        <w:rPr>
          <w:rFonts w:ascii="Times New Roman" w:hAnsi="Times New Roman"/>
        </w:rPr>
        <w:t>.</w:t>
      </w:r>
    </w:p>
    <w:p w:rsidR="00C05411" w:rsidP="00C05411" w:rsidRDefault="00C05411" w14:paraId="7E231D87" w14:textId="77777777">
      <w:pPr>
        <w:pStyle w:val="Default"/>
        <w:rPr>
          <w:b/>
          <w:bCs/>
          <w:color w:val="auto"/>
        </w:rPr>
      </w:pPr>
    </w:p>
    <w:p w:rsidR="00C05411" w:rsidP="00C05411" w:rsidRDefault="00C05411" w14:paraId="2430D076" w14:textId="77777777">
      <w:pPr>
        <w:tabs>
          <w:tab w:val="left" w:pos="-1440"/>
        </w:tabs>
      </w:pPr>
      <w:r>
        <w:t xml:space="preserve">In Table A is a </w:t>
      </w:r>
      <w:r w:rsidRPr="007F313E">
        <w:t>summary of</w:t>
      </w:r>
      <w:r>
        <w:t xml:space="preserve"> the how the wage rate</w:t>
      </w:r>
      <w:r w:rsidRPr="007F313E">
        <w:t xml:space="preserve"> estimates </w:t>
      </w:r>
      <w:r>
        <w:t xml:space="preserve">were derived </w:t>
      </w:r>
      <w:r w:rsidRPr="007F313E">
        <w:t>for the information collection requirements specified by the Standard.</w:t>
      </w:r>
    </w:p>
    <w:p w:rsidR="0020767A" w:rsidRDefault="0020767A" w14:paraId="44DA187F" w14:textId="028ACA5E">
      <w:pPr>
        <w:autoSpaceDE/>
        <w:autoSpaceDN/>
        <w:spacing w:after="200" w:line="276" w:lineRule="auto"/>
        <w:rPr>
          <w:szCs w:val="22"/>
        </w:rPr>
      </w:pPr>
    </w:p>
    <w:p w:rsidRPr="000109E2" w:rsidR="00C05411" w:rsidP="00C05411" w:rsidRDefault="00C05411" w14:paraId="1981606D" w14:textId="281E72EE">
      <w:pPr>
        <w:tabs>
          <w:tab w:val="left" w:pos="-1440"/>
        </w:tabs>
        <w:rPr>
          <w:b/>
        </w:rPr>
      </w:pPr>
      <w:r>
        <w:rPr>
          <w:szCs w:val="22"/>
        </w:rPr>
        <w:t xml:space="preserve"> </w:t>
      </w:r>
      <w:r>
        <w:rPr>
          <w:b/>
          <w:szCs w:val="22"/>
        </w:rPr>
        <w:tab/>
      </w:r>
      <w:r>
        <w:rPr>
          <w:b/>
          <w:szCs w:val="22"/>
        </w:rPr>
        <w:tab/>
      </w:r>
      <w:r>
        <w:rPr>
          <w:b/>
          <w:szCs w:val="22"/>
        </w:rPr>
        <w:tab/>
      </w:r>
      <w:r>
        <w:rPr>
          <w:b/>
          <w:szCs w:val="22"/>
        </w:rPr>
        <w:tab/>
        <w:t>Table A</w:t>
      </w:r>
      <w:r w:rsidRPr="00216462">
        <w:rPr>
          <w:b/>
          <w:szCs w:val="22"/>
        </w:rPr>
        <w:t xml:space="preserve"> – Estimated Wage Rates</w:t>
      </w:r>
    </w:p>
    <w:tbl>
      <w:tblPr>
        <w:tblW w:w="8990" w:type="dxa"/>
        <w:tblLook w:val="04A0" w:firstRow="1" w:lastRow="0" w:firstColumn="1" w:lastColumn="0" w:noHBand="0" w:noVBand="1"/>
      </w:tblPr>
      <w:tblGrid>
        <w:gridCol w:w="2925"/>
        <w:gridCol w:w="1205"/>
        <w:gridCol w:w="1031"/>
        <w:gridCol w:w="1309"/>
        <w:gridCol w:w="1179"/>
        <w:gridCol w:w="1341"/>
      </w:tblGrid>
      <w:tr w:rsidRPr="001635D6" w:rsidR="00BD20AB" w:rsidTr="007576C4" w14:paraId="151894FC" w14:textId="77777777">
        <w:trPr>
          <w:trHeight w:val="880"/>
          <w:tblHeader/>
        </w:trPr>
        <w:tc>
          <w:tcPr>
            <w:tcW w:w="2925" w:type="dxa"/>
            <w:tcBorders>
              <w:top w:val="single" w:color="auto" w:sz="8" w:space="0"/>
              <w:left w:val="single" w:color="auto" w:sz="8" w:space="0"/>
              <w:bottom w:val="single" w:color="auto" w:sz="8" w:space="0"/>
              <w:right w:val="single" w:color="auto" w:sz="8" w:space="0"/>
            </w:tcBorders>
            <w:shd w:val="clear" w:color="000000" w:fill="92D050"/>
            <w:vAlign w:val="center"/>
            <w:hideMark/>
          </w:tcPr>
          <w:p w:rsidRPr="001635D6" w:rsidR="001635D6" w:rsidRDefault="001635D6" w14:paraId="157F3CFC"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Occupation</w:t>
            </w:r>
          </w:p>
        </w:tc>
        <w:tc>
          <w:tcPr>
            <w:tcW w:w="1205"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4D534917"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SOC</w:t>
            </w:r>
          </w:p>
        </w:tc>
        <w:tc>
          <w:tcPr>
            <w:tcW w:w="1031"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0F27E461"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Mean hourly rate</w:t>
            </w:r>
          </w:p>
        </w:tc>
        <w:tc>
          <w:tcPr>
            <w:tcW w:w="1309"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08711BBB"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Fringe Benefits</w:t>
            </w:r>
          </w:p>
        </w:tc>
        <w:tc>
          <w:tcPr>
            <w:tcW w:w="1179"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76419B23"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Overhead Loading</w:t>
            </w:r>
          </w:p>
        </w:tc>
        <w:tc>
          <w:tcPr>
            <w:tcW w:w="1341"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4DE9957C"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Wage rate</w:t>
            </w:r>
          </w:p>
        </w:tc>
      </w:tr>
      <w:tr w:rsidRPr="001635D6" w:rsidR="001635D6" w:rsidTr="007576C4" w14:paraId="6CA5CE2A"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6B184057"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Physicians and Nurse Practitioners</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C693DAC"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29-1210 29-1170</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C6FB0E6"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$95.85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3E230FC"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77E0DB0"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9DFE01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$154.71 </w:t>
            </w:r>
          </w:p>
        </w:tc>
      </w:tr>
      <w:tr w:rsidRPr="001635D6" w:rsidR="001635D6" w:rsidTr="007576C4" w14:paraId="668DD7EA"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2FE31759"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Occupational Health and Safety (OHS) Specialists</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6036F00"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19-5011</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CC6194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$36.68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6C4C78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627873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57B4EE2"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$59.20 </w:t>
            </w:r>
          </w:p>
        </w:tc>
      </w:tr>
      <w:tr w:rsidRPr="001635D6" w:rsidR="001635D6" w:rsidTr="007576C4" w14:paraId="443EAB9E" w14:textId="257757AA">
        <w:trPr>
          <w:trHeight w:val="30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3C0E43" w:rsidRDefault="002847D3" w14:paraId="6AA12577" w14:textId="2BDC1499">
            <w:pPr>
              <w:autoSpaceDE/>
              <w:autoSpaceDN/>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General</w:t>
            </w:r>
            <w:r w:rsidRPr="001635D6">
              <w:rPr>
                <w:rFonts w:ascii="Calibri" w:hAnsi="Calibri" w:eastAsia="Times New Roman" w:cs="Calibri"/>
                <w:color w:val="000000"/>
                <w:sz w:val="22"/>
                <w:szCs w:val="22"/>
                <w:lang w:eastAsia="en-US"/>
              </w:rPr>
              <w:t xml:space="preserve"> </w:t>
            </w:r>
            <w:r w:rsidRPr="001635D6" w:rsidR="001635D6">
              <w:rPr>
                <w:rFonts w:ascii="Calibri" w:hAnsi="Calibri" w:eastAsia="Times New Roman" w:cs="Calibri"/>
                <w:color w:val="000000"/>
                <w:sz w:val="22"/>
                <w:szCs w:val="22"/>
                <w:lang w:eastAsia="en-US"/>
              </w:rPr>
              <w:t>W</w:t>
            </w:r>
            <w:r w:rsidR="003C0E43">
              <w:rPr>
                <w:rFonts w:ascii="Calibri" w:hAnsi="Calibri" w:eastAsia="Times New Roman" w:cs="Calibri"/>
                <w:color w:val="000000"/>
                <w:sz w:val="22"/>
                <w:szCs w:val="22"/>
                <w:lang w:eastAsia="en-US"/>
              </w:rPr>
              <w:t>orker</w:t>
            </w:r>
            <w:r w:rsidR="00D417F2">
              <w:rPr>
                <w:rFonts w:ascii="Calibri" w:hAnsi="Calibri" w:eastAsia="Times New Roman" w:cs="Calibri"/>
                <w:color w:val="000000"/>
                <w:sz w:val="22"/>
                <w:szCs w:val="22"/>
                <w:lang w:eastAsia="en-US"/>
              </w:rPr>
              <w:t>*</w:t>
            </w:r>
          </w:p>
        </w:tc>
        <w:tc>
          <w:tcPr>
            <w:tcW w:w="1205" w:type="dxa"/>
            <w:tcBorders>
              <w:top w:val="nil"/>
              <w:left w:val="nil"/>
              <w:bottom w:val="single" w:color="auto" w:sz="8" w:space="0"/>
              <w:right w:val="single" w:color="auto" w:sz="4" w:space="0"/>
            </w:tcBorders>
            <w:shd w:val="clear" w:color="auto" w:fill="auto"/>
            <w:noWrap/>
            <w:vAlign w:val="bottom"/>
            <w:hideMark/>
          </w:tcPr>
          <w:p w:rsidRPr="001635D6" w:rsidR="001635D6" w:rsidP="001635D6" w:rsidRDefault="001635D6" w14:paraId="432730EE" w14:textId="10D6BE6A">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w:t>
            </w:r>
            <w:r w:rsidR="003C0E43">
              <w:rPr>
                <w:rFonts w:ascii="Calibri" w:hAnsi="Calibri" w:eastAsia="Times New Roman" w:cs="Calibri"/>
                <w:color w:val="000000"/>
                <w:sz w:val="22"/>
                <w:szCs w:val="22"/>
                <w:lang w:eastAsia="en-US"/>
              </w:rPr>
              <w:t>-------</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18CE71D" w14:textId="37D04181">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$21.61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258B1668" w14:textId="4CA2BBC8">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63E76993" w14:textId="27FBEA5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3FCA056B" w14:textId="3D37EC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$35.60 </w:t>
            </w:r>
          </w:p>
        </w:tc>
      </w:tr>
      <w:tr w:rsidRPr="001635D6" w:rsidR="00BD20AB" w:rsidTr="00D417F2" w14:paraId="22ED21A4"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334AACC2"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Human Resources (HR) Manager</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D417F2" w:rsidRDefault="00AA6319" w14:paraId="52D25894" w14:textId="7D83001D">
            <w:pPr>
              <w:autoSpaceDE/>
              <w:autoSpaceDN/>
              <w:jc w:val="center"/>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11-3121</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6A9D1841"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$62.29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27B8646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67F1C29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40C36457"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$100.54 </w:t>
            </w:r>
          </w:p>
        </w:tc>
      </w:tr>
      <w:tr w:rsidRPr="001635D6" w:rsidR="001635D6" w:rsidTr="007576C4" w14:paraId="44775A55" w14:textId="77777777">
        <w:trPr>
          <w:trHeight w:val="59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1635D6" w:rsidRDefault="001635D6" w14:paraId="7FD821C3"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General and Operation (GO) Manager</w:t>
            </w:r>
          </w:p>
        </w:tc>
        <w:tc>
          <w:tcPr>
            <w:tcW w:w="1205" w:type="dxa"/>
            <w:tcBorders>
              <w:top w:val="nil"/>
              <w:left w:val="nil"/>
              <w:bottom w:val="single" w:color="auto" w:sz="8" w:space="0"/>
              <w:right w:val="single" w:color="auto" w:sz="4" w:space="0"/>
            </w:tcBorders>
            <w:shd w:val="clear" w:color="auto" w:fill="auto"/>
            <w:noWrap/>
            <w:vAlign w:val="bottom"/>
            <w:hideMark/>
          </w:tcPr>
          <w:p w:rsidRPr="001635D6" w:rsidR="001635D6" w:rsidP="00D417F2" w:rsidRDefault="001635D6" w14:paraId="2194294E"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11-1020</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4C016BBA"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$53.58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6D8EA8F7"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14F5093D"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1770263B"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$88.16 </w:t>
            </w:r>
          </w:p>
        </w:tc>
      </w:tr>
      <w:tr w:rsidRPr="001635D6" w:rsidR="001635D6" w:rsidTr="007576C4" w14:paraId="23D714EE" w14:textId="77777777">
        <w:trPr>
          <w:trHeight w:val="59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1635D6" w:rsidRDefault="001635D6" w14:paraId="31D151DC"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Information and Records (IR) Clerk</w:t>
            </w:r>
          </w:p>
        </w:tc>
        <w:tc>
          <w:tcPr>
            <w:tcW w:w="1205" w:type="dxa"/>
            <w:tcBorders>
              <w:top w:val="nil"/>
              <w:left w:val="nil"/>
              <w:bottom w:val="single" w:color="auto" w:sz="8" w:space="0"/>
              <w:right w:val="single" w:color="auto" w:sz="4" w:space="0"/>
            </w:tcBorders>
            <w:shd w:val="clear" w:color="auto" w:fill="auto"/>
            <w:vAlign w:val="center"/>
            <w:hideMark/>
          </w:tcPr>
          <w:p w:rsidRPr="001635D6" w:rsidR="001635D6" w:rsidP="00D417F2" w:rsidRDefault="001635D6" w14:paraId="463E3CBD"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43-4000</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CACF401"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$21.47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72199FEE"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C1957E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534F4A02"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$36.94 </w:t>
            </w:r>
          </w:p>
        </w:tc>
      </w:tr>
      <w:tr w:rsidRPr="001635D6" w:rsidR="00BD20AB" w:rsidTr="00D417F2" w14:paraId="08D3149E" w14:textId="45AE79C1">
        <w:trPr>
          <w:trHeight w:val="30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20767A" w:rsidR="001635D6" w:rsidP="001635D6" w:rsidRDefault="001635D6" w14:paraId="0D4ABF03" w14:textId="76DDFB05">
            <w:pPr>
              <w:autoSpaceDE/>
              <w:autoSpaceDN/>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General Office Clerk</w:t>
            </w:r>
          </w:p>
        </w:tc>
        <w:tc>
          <w:tcPr>
            <w:tcW w:w="1205" w:type="dxa"/>
            <w:tcBorders>
              <w:top w:val="nil"/>
              <w:left w:val="nil"/>
              <w:bottom w:val="single" w:color="auto" w:sz="8" w:space="0"/>
              <w:right w:val="single" w:color="auto" w:sz="8" w:space="0"/>
            </w:tcBorders>
            <w:shd w:val="clear" w:color="auto" w:fill="auto"/>
            <w:vAlign w:val="center"/>
            <w:hideMark/>
          </w:tcPr>
          <w:p w:rsidRPr="0020767A" w:rsidR="001635D6" w:rsidP="00D417F2" w:rsidRDefault="001635D6" w14:paraId="078E93AF" w14:textId="765616DA">
            <w:pPr>
              <w:autoSpaceDE/>
              <w:autoSpaceDN/>
              <w:jc w:val="center"/>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43-9061</w:t>
            </w:r>
          </w:p>
        </w:tc>
        <w:tc>
          <w:tcPr>
            <w:tcW w:w="1031" w:type="dxa"/>
            <w:tcBorders>
              <w:top w:val="nil"/>
              <w:left w:val="nil"/>
              <w:bottom w:val="single" w:color="auto" w:sz="8" w:space="0"/>
              <w:right w:val="single" w:color="auto" w:sz="8" w:space="0"/>
            </w:tcBorders>
            <w:shd w:val="clear" w:color="auto" w:fill="auto"/>
            <w:vAlign w:val="center"/>
            <w:hideMark/>
          </w:tcPr>
          <w:p w:rsidRPr="0020767A" w:rsidR="001635D6" w:rsidP="001635D6" w:rsidRDefault="001635D6" w14:paraId="03C45FE5" w14:textId="22AB6E15">
            <w:pPr>
              <w:autoSpaceDE/>
              <w:autoSpaceDN/>
              <w:jc w:val="center"/>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 xml:space="preserve">$17.48 </w:t>
            </w:r>
          </w:p>
        </w:tc>
        <w:tc>
          <w:tcPr>
            <w:tcW w:w="1309"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1F9F73F7" w14:textId="2A167416">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43307ECE" w14:textId="7FC7ADD1">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367D87E4" w14:textId="5E7B9275">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 xml:space="preserve">$28.21 </w:t>
            </w:r>
          </w:p>
        </w:tc>
      </w:tr>
    </w:tbl>
    <w:p w:rsidR="006C2FC3" w:rsidP="00A222D4" w:rsidRDefault="00D417F2" w14:paraId="4459AF73" w14:textId="0D29D3E9">
      <w:pPr>
        <w:outlineLvl w:val="4"/>
        <w:rPr>
          <w:rFonts w:eastAsia="Arial Unicode MS"/>
          <w:color w:val="000000"/>
        </w:rPr>
      </w:pPr>
      <w:r>
        <w:rPr>
          <w:rFonts w:eastAsia="Arial Unicode MS"/>
          <w:color w:val="000000"/>
        </w:rPr>
        <w:t xml:space="preserve">* </w:t>
      </w:r>
      <w:r w:rsidR="003941A4">
        <w:rPr>
          <w:rFonts w:eastAsia="Arial Unicode MS"/>
          <w:color w:val="000000"/>
        </w:rPr>
        <w:t xml:space="preserve">This wage rate is a </w:t>
      </w:r>
      <w:r w:rsidR="009D1FB5">
        <w:rPr>
          <w:rFonts w:eastAsia="Arial Unicode MS"/>
          <w:color w:val="000000"/>
        </w:rPr>
        <w:t xml:space="preserve">weighted average </w:t>
      </w:r>
      <w:r w:rsidR="00770034">
        <w:rPr>
          <w:rFonts w:eastAsia="Arial Unicode MS"/>
          <w:color w:val="000000"/>
        </w:rPr>
        <w:t>of all employees across all industries</w:t>
      </w:r>
      <w:r w:rsidR="009D1FB5">
        <w:rPr>
          <w:rFonts w:eastAsia="Arial Unicode MS"/>
          <w:color w:val="000000"/>
        </w:rPr>
        <w:t>.</w:t>
      </w:r>
      <w:r w:rsidR="00B63C7C">
        <w:rPr>
          <w:rFonts w:eastAsia="Arial Unicode MS"/>
          <w:color w:val="000000"/>
        </w:rPr>
        <w:t xml:space="preserve"> Source: ETS Economic Analysis Spreadsheets</w:t>
      </w:r>
      <w:r w:rsidR="00770034">
        <w:rPr>
          <w:rFonts w:eastAsia="Arial Unicode MS"/>
          <w:color w:val="000000"/>
        </w:rPr>
        <w:t>,</w:t>
      </w:r>
      <w:r w:rsidR="00B63C7C">
        <w:rPr>
          <w:rFonts w:eastAsia="Arial Unicode MS"/>
          <w:color w:val="000000"/>
        </w:rPr>
        <w:t xml:space="preserve"> under the “Labor Wage” tab.</w:t>
      </w:r>
    </w:p>
    <w:p w:rsidR="009D1FB5" w:rsidP="00A222D4" w:rsidRDefault="009D1FB5" w14:paraId="326CE016" w14:textId="14E0F147">
      <w:pPr>
        <w:outlineLvl w:val="4"/>
        <w:rPr>
          <w:rFonts w:eastAsia="Arial Unicode MS"/>
          <w:color w:val="000000"/>
        </w:rPr>
      </w:pPr>
      <w:r>
        <w:rPr>
          <w:rFonts w:eastAsia="Arial Unicode MS"/>
          <w:color w:val="000000"/>
        </w:rPr>
        <w:t xml:space="preserve"> </w:t>
      </w:r>
    </w:p>
    <w:p w:rsidRPr="00D417F2" w:rsidR="009105F3" w:rsidP="00A222D4" w:rsidRDefault="009105F3" w14:paraId="1494F1AF" w14:textId="77777777">
      <w:pPr>
        <w:outlineLvl w:val="4"/>
        <w:rPr>
          <w:rFonts w:eastAsia="Arial Unicode MS"/>
          <w:color w:val="000000"/>
        </w:rPr>
      </w:pPr>
    </w:p>
    <w:p w:rsidRPr="00CC0DE5" w:rsidR="00C05411" w:rsidP="00C05411" w:rsidRDefault="00645361" w14:paraId="5568F4DA" w14:textId="7F2B3FFC">
      <w:pPr>
        <w:pStyle w:val="Heading2"/>
        <w:numPr>
          <w:ilvl w:val="0"/>
          <w:numId w:val="0"/>
        </w:numPr>
      </w:pPr>
      <w:r>
        <w:t>1</w:t>
      </w:r>
      <w:r w:rsidR="00C05411">
        <w:t xml:space="preserve">.   </w:t>
      </w:r>
      <w:r w:rsidRPr="001401D5" w:rsidR="00C05411">
        <w:t>Recordkeeping</w:t>
      </w:r>
      <w:r w:rsidRPr="00CC0DE5" w:rsidR="00C05411">
        <w:t xml:space="preserve">.  </w:t>
      </w:r>
    </w:p>
    <w:p w:rsidR="00C05411" w:rsidP="00C05411" w:rsidRDefault="00C05411" w14:paraId="55599F00" w14:textId="695B5976">
      <w:pPr>
        <w:ind w:firstLine="360"/>
        <w:rPr>
          <w:bCs/>
        </w:rPr>
      </w:pPr>
      <w:r w:rsidRPr="00363BA1">
        <w:rPr>
          <w:rFonts w:eastAsia="Arial Unicode MS"/>
          <w:b/>
          <w:color w:val="000000"/>
        </w:rPr>
        <w:t>§</w:t>
      </w:r>
      <w:r w:rsidRPr="001401D5">
        <w:rPr>
          <w:b/>
        </w:rPr>
        <w:t>1910.502(q)</w:t>
      </w:r>
      <w:r>
        <w:rPr>
          <w:b/>
        </w:rPr>
        <w:t>(2)</w:t>
      </w:r>
      <w:r w:rsidR="0005259D">
        <w:rPr>
          <w:b/>
        </w:rPr>
        <w:t>(ii)</w:t>
      </w:r>
      <w:r w:rsidR="00E26F5D">
        <w:rPr>
          <w:b/>
        </w:rPr>
        <w:t xml:space="preserve"> – Required Records</w:t>
      </w:r>
    </w:p>
    <w:p w:rsidRPr="00394886" w:rsidR="00C05411" w:rsidP="00C05411" w:rsidRDefault="00C05411" w14:paraId="6A35999D" w14:textId="77777777">
      <w:pPr>
        <w:rPr>
          <w:bCs/>
        </w:rPr>
      </w:pPr>
      <w:r>
        <w:rPr>
          <w:bCs/>
        </w:rPr>
        <w:tab/>
      </w:r>
    </w:p>
    <w:p w:rsidR="005E1744" w:rsidP="00C05411" w:rsidRDefault="00C05411" w14:paraId="09A4B4F5" w14:textId="3D5BD173">
      <w:pPr>
        <w:ind w:left="360"/>
        <w:rPr>
          <w:bCs/>
        </w:rPr>
      </w:pPr>
      <w:r w:rsidRPr="00394886">
        <w:rPr>
          <w:bCs/>
        </w:rPr>
        <w:t xml:space="preserve">Employers with more than 10 employees on the effective date of this section must: </w:t>
      </w:r>
    </w:p>
    <w:p w:rsidR="00C05411" w:rsidP="00C05411" w:rsidRDefault="00C05411" w14:paraId="09828305" w14:textId="77777777">
      <w:pPr>
        <w:ind w:left="720" w:hanging="360"/>
        <w:rPr>
          <w:bCs/>
        </w:rPr>
      </w:pPr>
    </w:p>
    <w:p w:rsidR="00C05411" w:rsidP="00C05411" w:rsidRDefault="00C05411" w14:paraId="6EE9159B" w14:textId="77777777">
      <w:pPr>
        <w:ind w:left="720" w:hanging="360"/>
        <w:rPr>
          <w:bCs/>
        </w:rPr>
      </w:pPr>
      <w:r w:rsidRPr="002E13EF">
        <w:rPr>
          <w:bCs/>
          <w:i/>
        </w:rPr>
        <w:t>COVID-19 Log</w:t>
      </w:r>
      <w:r>
        <w:rPr>
          <w:bCs/>
        </w:rPr>
        <w:t>:</w:t>
      </w:r>
    </w:p>
    <w:p w:rsidR="00C05411" w:rsidP="00C05411" w:rsidRDefault="00C05411" w14:paraId="7EEEBD63" w14:textId="77777777">
      <w:pPr>
        <w:ind w:left="720" w:hanging="360"/>
      </w:pPr>
    </w:p>
    <w:p w:rsidR="00C05411" w:rsidP="00C05411" w:rsidRDefault="00C05411" w14:paraId="71CC1A68" w14:textId="62FC3A37">
      <w:pPr>
        <w:ind w:left="720"/>
        <w:rPr>
          <w:bCs/>
        </w:rPr>
      </w:pPr>
      <w:r w:rsidRPr="00592306">
        <w:rPr>
          <w:bCs/>
          <w:i/>
        </w:rPr>
        <w:t>Maintain Log</w:t>
      </w:r>
      <w:r>
        <w:rPr>
          <w:bCs/>
        </w:rPr>
        <w:t>:</w:t>
      </w:r>
      <w:r w:rsidR="00052958">
        <w:rPr>
          <w:bCs/>
        </w:rPr>
        <w:t xml:space="preserve"> </w:t>
      </w:r>
    </w:p>
    <w:p w:rsidR="00C05411" w:rsidP="00C05411" w:rsidRDefault="00C05411" w14:paraId="3E1E0D87" w14:textId="77777777">
      <w:pPr>
        <w:ind w:left="720"/>
        <w:rPr>
          <w:bCs/>
        </w:rPr>
      </w:pPr>
    </w:p>
    <w:p w:rsidRPr="009E6423" w:rsidR="009E6423" w:rsidP="009E6423" w:rsidRDefault="009E6423" w14:paraId="299816E5" w14:textId="01523716">
      <w:pPr>
        <w:ind w:left="720"/>
        <w:rPr>
          <w:bCs/>
        </w:rPr>
      </w:pPr>
      <w:r w:rsidRPr="009E6423">
        <w:rPr>
          <w:bCs/>
        </w:rPr>
        <w:t xml:space="preserve">For each employee with COVID-19, OSHA assumes 10 minutes (0.17 hours) of labor from an Information and Records Clerk (SOC 43-4000) to record the case in the employer’s COVID-19 log. </w:t>
      </w:r>
      <w:r w:rsidR="00D35EBB">
        <w:rPr>
          <w:bCs/>
        </w:rPr>
        <w:t xml:space="preserve">OSHA estimates </w:t>
      </w:r>
      <w:r w:rsidR="005D1E5A">
        <w:rPr>
          <w:bCs/>
        </w:rPr>
        <w:t>78,57</w:t>
      </w:r>
      <w:r w:rsidR="00E54675">
        <w:rPr>
          <w:bCs/>
        </w:rPr>
        <w:t>1</w:t>
      </w:r>
      <w:r w:rsidRPr="009E6423">
        <w:rPr>
          <w:bCs/>
        </w:rPr>
        <w:t xml:space="preserve"> cases</w:t>
      </w:r>
      <w:r w:rsidR="0017530A">
        <w:rPr>
          <w:rStyle w:val="FootnoteReference"/>
          <w:bCs/>
        </w:rPr>
        <w:footnoteReference w:id="3"/>
      </w:r>
      <w:r w:rsidR="00D35EBB">
        <w:rPr>
          <w:bCs/>
        </w:rPr>
        <w:t xml:space="preserve"> will need to be recorded</w:t>
      </w:r>
      <w:r w:rsidRPr="009E6423">
        <w:rPr>
          <w:bCs/>
        </w:rPr>
        <w:t>.  Baseline non-compliance is estimated to be 100 percent.</w:t>
      </w:r>
    </w:p>
    <w:p w:rsidR="00C05411" w:rsidP="00C05411" w:rsidRDefault="00C05411" w14:paraId="08AF5984" w14:textId="77777777">
      <w:pPr>
        <w:ind w:left="720"/>
      </w:pPr>
    </w:p>
    <w:p w:rsidR="00C05411" w:rsidP="006A063F" w:rsidRDefault="00C05411" w14:paraId="4A09DC6B" w14:textId="1494A368">
      <w:pPr>
        <w:ind w:left="3600" w:hanging="2160"/>
        <w:rPr>
          <w:b/>
          <w:bCs/>
        </w:rPr>
      </w:pPr>
      <w:r w:rsidRPr="00B80178">
        <w:rPr>
          <w:b/>
          <w:bCs/>
        </w:rPr>
        <w:t>Burden Hours:</w:t>
      </w:r>
      <w:r>
        <w:rPr>
          <w:b/>
          <w:bCs/>
        </w:rPr>
        <w:tab/>
      </w:r>
      <w:r w:rsidR="005D1E5A">
        <w:rPr>
          <w:bCs/>
        </w:rPr>
        <w:t>78,57</w:t>
      </w:r>
      <w:r w:rsidR="00E54675">
        <w:rPr>
          <w:bCs/>
        </w:rPr>
        <w:t>1</w:t>
      </w:r>
      <w:r w:rsidRPr="002E13EF">
        <w:rPr>
          <w:bCs/>
        </w:rPr>
        <w:t xml:space="preserve"> cases x </w:t>
      </w:r>
      <w:r w:rsidR="002C58BF">
        <w:rPr>
          <w:bCs/>
        </w:rPr>
        <w:t xml:space="preserve">1.0 (non-compliance) </w:t>
      </w:r>
      <w:r w:rsidR="00D35EBB">
        <w:rPr>
          <w:bCs/>
        </w:rPr>
        <w:t>x</w:t>
      </w:r>
      <w:r w:rsidRPr="002E13EF">
        <w:rPr>
          <w:bCs/>
        </w:rPr>
        <w:t xml:space="preserve"> 0.</w:t>
      </w:r>
      <w:r>
        <w:rPr>
          <w:bCs/>
        </w:rPr>
        <w:t>17</w:t>
      </w:r>
      <w:r w:rsidRPr="002E13EF">
        <w:rPr>
          <w:bCs/>
        </w:rPr>
        <w:t xml:space="preserve"> hours</w:t>
      </w:r>
      <w:r>
        <w:rPr>
          <w:bCs/>
        </w:rPr>
        <w:t xml:space="preserve"> = </w:t>
      </w:r>
      <w:r w:rsidR="005D1E5A">
        <w:rPr>
          <w:bCs/>
        </w:rPr>
        <w:t>13,</w:t>
      </w:r>
      <w:r w:rsidR="00E54675">
        <w:rPr>
          <w:bCs/>
        </w:rPr>
        <w:t>357.15</w:t>
      </w:r>
      <w:r w:rsidR="006A063F">
        <w:rPr>
          <w:bCs/>
        </w:rPr>
        <w:t xml:space="preserve"> hours</w:t>
      </w:r>
    </w:p>
    <w:p w:rsidR="00C05411" w:rsidP="00C05411" w:rsidRDefault="00C05411" w14:paraId="7759C8F0" w14:textId="77777777">
      <w:pPr>
        <w:ind w:left="720" w:firstLine="720"/>
        <w:rPr>
          <w:b/>
          <w:bCs/>
        </w:rPr>
      </w:pPr>
    </w:p>
    <w:p w:rsidR="00C05411" w:rsidP="00C05411" w:rsidRDefault="00C05411" w14:paraId="4A7E97BF" w14:textId="2D68A5AC">
      <w:pPr>
        <w:ind w:left="720" w:firstLine="720"/>
        <w:rPr>
          <w:b/>
          <w:bCs/>
        </w:rPr>
      </w:pPr>
      <w:r w:rsidRPr="00E26F5D">
        <w:rPr>
          <w:b/>
          <w:bCs/>
        </w:rPr>
        <w:t>Cost:</w:t>
      </w:r>
      <w:r w:rsidRPr="00E26F5D">
        <w:rPr>
          <w:b/>
          <w:bCs/>
        </w:rPr>
        <w:tab/>
      </w:r>
      <w:r w:rsidRPr="00E26F5D">
        <w:rPr>
          <w:b/>
          <w:bCs/>
        </w:rPr>
        <w:tab/>
      </w:r>
      <w:r w:rsidRPr="00E26F5D">
        <w:rPr>
          <w:b/>
          <w:bCs/>
        </w:rPr>
        <w:tab/>
      </w:r>
      <w:r w:rsidR="005D1E5A">
        <w:rPr>
          <w:bCs/>
        </w:rPr>
        <w:t>13,</w:t>
      </w:r>
      <w:r w:rsidR="00E54675">
        <w:rPr>
          <w:bCs/>
        </w:rPr>
        <w:t>357.15</w:t>
      </w:r>
      <w:r w:rsidRPr="00E26F5D">
        <w:rPr>
          <w:bCs/>
        </w:rPr>
        <w:t xml:space="preserve"> hours x $</w:t>
      </w:r>
      <w:r w:rsidRPr="00E26F5D" w:rsidR="00704FBC">
        <w:rPr>
          <w:bCs/>
        </w:rPr>
        <w:t>36.94</w:t>
      </w:r>
      <w:r w:rsidRPr="00E26F5D">
        <w:rPr>
          <w:bCs/>
        </w:rPr>
        <w:t xml:space="preserve"> (IR clerk) = $</w:t>
      </w:r>
      <w:r w:rsidR="005D1E5A">
        <w:rPr>
          <w:bCs/>
        </w:rPr>
        <w:t>493,413.20</w:t>
      </w:r>
    </w:p>
    <w:p w:rsidR="00C05411" w:rsidP="00C05411" w:rsidRDefault="00C05411" w14:paraId="75905E43" w14:textId="77777777">
      <w:pPr>
        <w:ind w:left="720" w:hanging="360"/>
        <w:rPr>
          <w:bCs/>
        </w:rPr>
      </w:pPr>
    </w:p>
    <w:p w:rsidR="00C05411" w:rsidP="00C05411" w:rsidRDefault="00C05411" w14:paraId="40A4ECB4" w14:textId="77777777">
      <w:pPr>
        <w:ind w:left="720" w:hanging="360"/>
        <w:rPr>
          <w:bCs/>
        </w:rPr>
      </w:pPr>
    </w:p>
    <w:p w:rsidR="00C05411" w:rsidP="008D39C5" w:rsidRDefault="00C05411" w14:paraId="12197B74" w14:textId="01232468">
      <w:pPr>
        <w:rPr>
          <w:bCs/>
        </w:rPr>
      </w:pPr>
      <w:r w:rsidRPr="00394886">
        <w:rPr>
          <w:bCs/>
        </w:rPr>
        <w:t xml:space="preserve"> </w:t>
      </w:r>
      <w:r w:rsidRPr="00363BA1">
        <w:rPr>
          <w:rFonts w:eastAsia="Arial Unicode MS"/>
          <w:b/>
          <w:color w:val="000000"/>
        </w:rPr>
        <w:t>§</w:t>
      </w:r>
      <w:r w:rsidRPr="001401D5">
        <w:rPr>
          <w:b/>
        </w:rPr>
        <w:t>1910.502(q</w:t>
      </w:r>
      <w:r w:rsidRPr="00743FE3">
        <w:rPr>
          <w:b/>
        </w:rPr>
        <w:t>)</w:t>
      </w:r>
      <w:r w:rsidRPr="00743FE3">
        <w:rPr>
          <w:b/>
          <w:bCs/>
        </w:rPr>
        <w:t>(3)</w:t>
      </w:r>
      <w:r w:rsidR="0005259D">
        <w:rPr>
          <w:b/>
          <w:bCs/>
        </w:rPr>
        <w:t>(ii)-(iv)</w:t>
      </w:r>
      <w:r w:rsidRPr="00743FE3">
        <w:rPr>
          <w:b/>
          <w:bCs/>
        </w:rPr>
        <w:t xml:space="preserve"> </w:t>
      </w:r>
      <w:r w:rsidR="00D72A38">
        <w:rPr>
          <w:b/>
          <w:bCs/>
        </w:rPr>
        <w:t xml:space="preserve">- </w:t>
      </w:r>
      <w:r w:rsidRPr="00D72A38" w:rsidR="00D72A38">
        <w:rPr>
          <w:b/>
          <w:bCs/>
        </w:rPr>
        <w:t>Availability of records.</w:t>
      </w:r>
    </w:p>
    <w:p w:rsidR="00C05411" w:rsidP="008D39C5" w:rsidRDefault="00C05411" w14:paraId="76A1BE3F" w14:textId="77777777">
      <w:pPr>
        <w:rPr>
          <w:bCs/>
        </w:rPr>
      </w:pPr>
    </w:p>
    <w:p w:rsidRPr="00394886" w:rsidR="00C05411" w:rsidP="008D39C5" w:rsidRDefault="00E921CE" w14:paraId="66D7C152" w14:textId="4C6F2C82">
      <w:pPr>
        <w:rPr>
          <w:bCs/>
        </w:rPr>
      </w:pPr>
      <w:r w:rsidRPr="00E921CE">
        <w:rPr>
          <w:bCs/>
        </w:rPr>
        <w:t>By the end of the next business day after a request</w:t>
      </w:r>
      <w:r w:rsidRPr="00394886" w:rsidR="00C05411">
        <w:rPr>
          <w:bCs/>
        </w:rPr>
        <w:t>, the employer must provide, for</w:t>
      </w:r>
      <w:r w:rsidR="00C05411">
        <w:rPr>
          <w:bCs/>
        </w:rPr>
        <w:t xml:space="preserve"> </w:t>
      </w:r>
      <w:r w:rsidRPr="00394886" w:rsidR="00C05411">
        <w:rPr>
          <w:bCs/>
        </w:rPr>
        <w:t>examination and copying:</w:t>
      </w:r>
      <w:r w:rsidR="00C05411">
        <w:rPr>
          <w:bCs/>
        </w:rPr>
        <w:t xml:space="preserve"> </w:t>
      </w:r>
      <w:r w:rsidRPr="00394886" w:rsidR="00C05411">
        <w:rPr>
          <w:bCs/>
        </w:rPr>
        <w:t xml:space="preserve">(ii)  </w:t>
      </w:r>
      <w:r>
        <w:rPr>
          <w:bCs/>
        </w:rPr>
        <w:t>t</w:t>
      </w:r>
      <w:r w:rsidRPr="00394886">
        <w:rPr>
          <w:bCs/>
        </w:rPr>
        <w:t xml:space="preserve">he </w:t>
      </w:r>
      <w:r>
        <w:rPr>
          <w:bCs/>
        </w:rPr>
        <w:t xml:space="preserve">individual </w:t>
      </w:r>
      <w:r w:rsidRPr="00394886" w:rsidR="00C05411">
        <w:rPr>
          <w:bCs/>
        </w:rPr>
        <w:t xml:space="preserve">COVID-19 log entry for </w:t>
      </w:r>
      <w:r>
        <w:rPr>
          <w:bCs/>
        </w:rPr>
        <w:t>a particular</w:t>
      </w:r>
      <w:r w:rsidRPr="00394886">
        <w:rPr>
          <w:bCs/>
        </w:rPr>
        <w:t xml:space="preserve"> </w:t>
      </w:r>
      <w:r w:rsidRPr="00394886" w:rsidR="00C05411">
        <w:rPr>
          <w:bCs/>
        </w:rPr>
        <w:t>employee to that employee and to</w:t>
      </w:r>
      <w:r w:rsidR="00C05411">
        <w:rPr>
          <w:bCs/>
        </w:rPr>
        <w:t xml:space="preserve"> </w:t>
      </w:r>
      <w:r w:rsidRPr="00E921CE">
        <w:rPr>
          <w:bCs/>
        </w:rPr>
        <w:t xml:space="preserve">anyone having written authorized </w:t>
      </w:r>
      <w:r>
        <w:rPr>
          <w:bCs/>
        </w:rPr>
        <w:t>consent of that employee,</w:t>
      </w:r>
      <w:r w:rsidR="00C05411">
        <w:rPr>
          <w:bCs/>
        </w:rPr>
        <w:t xml:space="preserve"> </w:t>
      </w:r>
      <w:r w:rsidRPr="00394886" w:rsidR="00C05411">
        <w:rPr>
          <w:bCs/>
        </w:rPr>
        <w:t xml:space="preserve">(iii) </w:t>
      </w:r>
      <w:r>
        <w:rPr>
          <w:bCs/>
        </w:rPr>
        <w:t xml:space="preserve">a </w:t>
      </w:r>
      <w:r w:rsidRPr="00E921CE">
        <w:rPr>
          <w:bCs/>
        </w:rPr>
        <w:t xml:space="preserve">version of the COVID-19 log </w:t>
      </w:r>
      <w:r w:rsidR="00803E8E">
        <w:t xml:space="preserve">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w:t>
      </w:r>
      <w:r w:rsidRPr="00E921CE">
        <w:rPr>
          <w:bCs/>
        </w:rPr>
        <w:t>to all of the following:  any employees, their personal representatives, and their authorized representatives</w:t>
      </w:r>
      <w:r>
        <w:rPr>
          <w:bCs/>
        </w:rPr>
        <w:t>,</w:t>
      </w:r>
      <w:r w:rsidR="00C05411">
        <w:rPr>
          <w:bCs/>
        </w:rPr>
        <w:t xml:space="preserve"> </w:t>
      </w:r>
      <w:r w:rsidRPr="00394886" w:rsidR="00C05411">
        <w:rPr>
          <w:bCs/>
        </w:rPr>
        <w:t xml:space="preserve">(iv) </w:t>
      </w:r>
      <w:r>
        <w:rPr>
          <w:bCs/>
        </w:rPr>
        <w:t>a</w:t>
      </w:r>
      <w:r w:rsidRPr="00394886">
        <w:rPr>
          <w:bCs/>
        </w:rPr>
        <w:t xml:space="preserve">ll </w:t>
      </w:r>
      <w:r w:rsidRPr="00394886" w:rsidR="00C05411">
        <w:rPr>
          <w:bCs/>
        </w:rPr>
        <w:t>records required to be maintained by this section to the Assistant Secretary.</w:t>
      </w:r>
    </w:p>
    <w:p w:rsidRPr="00601C70" w:rsidR="00601C70" w:rsidP="00601C70" w:rsidRDefault="00601C70" w14:paraId="516E5258" w14:textId="6D728C0D">
      <w:pPr>
        <w:ind w:left="720"/>
        <w:rPr>
          <w:lang w:val="x-none"/>
        </w:rPr>
      </w:pPr>
    </w:p>
    <w:p w:rsidRPr="00601C70" w:rsidR="00601C70" w:rsidP="00D72A38" w:rsidRDefault="00601C70" w14:paraId="1059D59C" w14:textId="301A495B">
      <w:pPr>
        <w:ind w:left="450"/>
      </w:pPr>
      <w:r w:rsidRPr="00601C70">
        <w:rPr>
          <w:lang w:val="x-none"/>
        </w:rPr>
        <w:t xml:space="preserve">OSHA estimates </w:t>
      </w:r>
      <w:r w:rsidRPr="00601C70">
        <w:t xml:space="preserve">it </w:t>
      </w:r>
      <w:r w:rsidRPr="00601C70">
        <w:rPr>
          <w:lang w:val="x-none"/>
        </w:rPr>
        <w:t>take</w:t>
      </w:r>
      <w:r w:rsidRPr="00601C70">
        <w:t>s</w:t>
      </w:r>
      <w:r w:rsidRPr="00601C70">
        <w:rPr>
          <w:lang w:val="x-none"/>
        </w:rPr>
        <w:t xml:space="preserve"> 5 minutes (0.08 hours) of a </w:t>
      </w:r>
      <w:r w:rsidRPr="00601C70">
        <w:t>c</w:t>
      </w:r>
      <w:r w:rsidRPr="00601C70">
        <w:rPr>
          <w:lang w:val="x-none"/>
        </w:rPr>
        <w:t xml:space="preserve">lerical </w:t>
      </w:r>
      <w:r w:rsidRPr="00601C70">
        <w:t>w</w:t>
      </w:r>
      <w:r w:rsidRPr="00601C70">
        <w:rPr>
          <w:lang w:val="x-none"/>
        </w:rPr>
        <w:t xml:space="preserve">orker’s time to </w:t>
      </w:r>
      <w:r w:rsidRPr="00601C70">
        <w:t>make the relevant COVID-19 log entries accessible to the</w:t>
      </w:r>
      <w:r w:rsidRPr="00601C70">
        <w:rPr>
          <w:lang w:val="x-none"/>
        </w:rPr>
        <w:t xml:space="preserve"> </w:t>
      </w:r>
      <w:r w:rsidRPr="00601C70">
        <w:t>employee or their representative</w:t>
      </w:r>
      <w:r w:rsidRPr="00601C70">
        <w:rPr>
          <w:lang w:val="x-none"/>
        </w:rPr>
        <w:t xml:space="preserve">. </w:t>
      </w:r>
      <w:r w:rsidRPr="00601C70">
        <w:t>OSHA estimates that</w:t>
      </w:r>
      <w:r w:rsidRPr="00601C70">
        <w:rPr>
          <w:lang w:val="x-none"/>
        </w:rPr>
        <w:t xml:space="preserve"> approximately </w:t>
      </w:r>
      <w:r w:rsidR="00A2725A">
        <w:t>5</w:t>
      </w:r>
      <w:r w:rsidRPr="00601C70">
        <w:t>%</w:t>
      </w:r>
      <w:r w:rsidRPr="00601C70">
        <w:rPr>
          <w:lang w:val="x-none"/>
        </w:rPr>
        <w:t xml:space="preserve"> of the </w:t>
      </w:r>
      <w:r w:rsidR="0062724C">
        <w:t>10,33</w:t>
      </w:r>
      <w:r w:rsidR="00FB43BA">
        <w:t>8</w:t>
      </w:r>
      <w:r w:rsidR="0062724C">
        <w:t>,</w:t>
      </w:r>
      <w:r w:rsidR="00FB43BA">
        <w:t>353</w:t>
      </w:r>
      <w:r w:rsidRPr="00601C70">
        <w:t xml:space="preserve"> covered employees, or </w:t>
      </w:r>
      <w:r w:rsidR="00A2725A">
        <w:t>516,918</w:t>
      </w:r>
      <w:r w:rsidRPr="00601C70">
        <w:t xml:space="preserve"> workers, will request access to these records during </w:t>
      </w:r>
      <w:r w:rsidR="00645361">
        <w:t>each year</w:t>
      </w:r>
      <w:r w:rsidRPr="00601C70">
        <w:t xml:space="preserve"> the ETS is in effect</w:t>
      </w:r>
      <w:r w:rsidRPr="00601C70">
        <w:rPr>
          <w:lang w:val="x-none"/>
        </w:rPr>
        <w:t xml:space="preserve">.  </w:t>
      </w:r>
      <w:r w:rsidRPr="00601C70">
        <w:t>Baseline non-compliance with this requirement is estimated to be 25 percent.</w:t>
      </w:r>
    </w:p>
    <w:p w:rsidRPr="00601C70" w:rsidR="00601C70" w:rsidP="00601C70" w:rsidRDefault="00601C70" w14:paraId="61647AC4" w14:textId="77777777">
      <w:pPr>
        <w:ind w:left="720"/>
      </w:pPr>
    </w:p>
    <w:p w:rsidRPr="00601C70" w:rsidR="00601C70" w:rsidP="00601C70" w:rsidRDefault="00601C70" w14:paraId="66C69AC6" w14:textId="2B5B2066">
      <w:pPr>
        <w:ind w:left="3600" w:hanging="2160"/>
        <w:rPr>
          <w:b/>
          <w:bCs/>
        </w:rPr>
      </w:pPr>
      <w:r w:rsidRPr="00601C70">
        <w:rPr>
          <w:b/>
          <w:bCs/>
        </w:rPr>
        <w:t>Burden Hours:</w:t>
      </w:r>
      <w:r w:rsidRPr="00601C70">
        <w:rPr>
          <w:b/>
          <w:bCs/>
        </w:rPr>
        <w:tab/>
      </w:r>
      <w:r w:rsidR="00A2725A">
        <w:rPr>
          <w:bCs/>
        </w:rPr>
        <w:t>516,918</w:t>
      </w:r>
      <w:r w:rsidR="00103C3A">
        <w:rPr>
          <w:bCs/>
        </w:rPr>
        <w:t xml:space="preserve"> </w:t>
      </w:r>
      <w:r w:rsidRPr="00601C70">
        <w:rPr>
          <w:bCs/>
        </w:rPr>
        <w:t xml:space="preserve">employees x 0.25 (non-compliance) x 0.08 hours = </w:t>
      </w:r>
      <w:r w:rsidR="00A2725A">
        <w:rPr>
          <w:bCs/>
        </w:rPr>
        <w:t>10,338.36</w:t>
      </w:r>
      <w:r w:rsidRPr="00601C70">
        <w:rPr>
          <w:bCs/>
        </w:rPr>
        <w:t xml:space="preserve"> hours</w:t>
      </w:r>
    </w:p>
    <w:p w:rsidRPr="00601C70" w:rsidR="00601C70" w:rsidP="00601C70" w:rsidRDefault="00601C70" w14:paraId="6C2C9B82" w14:textId="77777777">
      <w:pPr>
        <w:ind w:left="720" w:firstLine="720"/>
        <w:rPr>
          <w:b/>
          <w:bCs/>
        </w:rPr>
      </w:pPr>
    </w:p>
    <w:p w:rsidRPr="00D72A38" w:rsidR="00601C70" w:rsidP="00601C70" w:rsidRDefault="00601C70" w14:paraId="0656B48E" w14:textId="4E97AB4A">
      <w:pPr>
        <w:ind w:left="720" w:firstLine="720"/>
        <w:rPr>
          <w:b/>
          <w:bCs/>
        </w:rPr>
      </w:pPr>
      <w:r w:rsidRPr="00D72A38">
        <w:rPr>
          <w:b/>
          <w:bCs/>
        </w:rPr>
        <w:t>Cost:</w:t>
      </w:r>
      <w:r w:rsidRPr="00D72A38">
        <w:rPr>
          <w:b/>
          <w:bCs/>
        </w:rPr>
        <w:tab/>
      </w:r>
      <w:r w:rsidRPr="00D72A38">
        <w:rPr>
          <w:b/>
          <w:bCs/>
        </w:rPr>
        <w:tab/>
      </w:r>
      <w:r w:rsidRPr="00D72A38">
        <w:rPr>
          <w:b/>
          <w:bCs/>
        </w:rPr>
        <w:tab/>
      </w:r>
      <w:r w:rsidR="00A2725A">
        <w:rPr>
          <w:bCs/>
        </w:rPr>
        <w:t>10,338.36</w:t>
      </w:r>
      <w:r w:rsidRPr="00D72A38">
        <w:rPr>
          <w:bCs/>
        </w:rPr>
        <w:t xml:space="preserve"> hours x $</w:t>
      </w:r>
      <w:r w:rsidRPr="00D72A38" w:rsidR="002D34FE">
        <w:rPr>
          <w:bCs/>
        </w:rPr>
        <w:t>36.94</w:t>
      </w:r>
      <w:r w:rsidRPr="00D72A38">
        <w:rPr>
          <w:bCs/>
        </w:rPr>
        <w:t xml:space="preserve"> (</w:t>
      </w:r>
      <w:r w:rsidRPr="00D72A38" w:rsidR="002D34FE">
        <w:rPr>
          <w:bCs/>
        </w:rPr>
        <w:t>IR</w:t>
      </w:r>
      <w:r w:rsidRPr="00D72A38">
        <w:rPr>
          <w:bCs/>
        </w:rPr>
        <w:t xml:space="preserve"> clerk) = $</w:t>
      </w:r>
      <w:r w:rsidR="00BD45E6">
        <w:rPr>
          <w:bCs/>
        </w:rPr>
        <w:t>381,899.02</w:t>
      </w:r>
    </w:p>
    <w:p w:rsidRPr="00D72A38" w:rsidR="00C05411" w:rsidP="00C05411" w:rsidRDefault="00C05411" w14:paraId="3EED16C3" w14:textId="77777777">
      <w:pPr>
        <w:pStyle w:val="BodyTextFirstIndent"/>
        <w:ind w:left="720" w:firstLine="0"/>
        <w:rPr>
          <w:b/>
        </w:rPr>
      </w:pPr>
    </w:p>
    <w:p w:rsidRPr="00D72A38" w:rsidR="00C05411" w:rsidP="00C05411" w:rsidRDefault="00645361" w14:paraId="288F14BA" w14:textId="7B7CE1E6">
      <w:pPr>
        <w:pStyle w:val="NoSpacing"/>
        <w:rPr>
          <w:rFonts w:ascii="Times New Roman" w:hAnsi="Times New Roman" w:cs="Times New Roman"/>
          <w:sz w:val="24"/>
          <w:szCs w:val="24"/>
        </w:rPr>
      </w:pPr>
      <w:r>
        <w:rPr>
          <w:rFonts w:ascii="Times New Roman" w:hAnsi="Times New Roman" w:cs="Times New Roman"/>
          <w:b/>
          <w:sz w:val="24"/>
          <w:szCs w:val="24"/>
        </w:rPr>
        <w:t>2</w:t>
      </w:r>
      <w:r w:rsidRPr="00D72A38" w:rsidR="00C05411">
        <w:rPr>
          <w:rFonts w:ascii="Times New Roman" w:hAnsi="Times New Roman" w:cs="Times New Roman"/>
          <w:b/>
          <w:sz w:val="24"/>
          <w:szCs w:val="24"/>
        </w:rPr>
        <w:t>.   Reporting COVID-19 fatalities and hospitalizations to OSHA</w:t>
      </w:r>
      <w:r w:rsidRPr="00D72A38" w:rsidR="00C05411">
        <w:rPr>
          <w:rFonts w:ascii="Times New Roman" w:hAnsi="Times New Roman" w:cs="Times New Roman"/>
          <w:sz w:val="24"/>
          <w:szCs w:val="24"/>
        </w:rPr>
        <w:t xml:space="preserve">. </w:t>
      </w:r>
    </w:p>
    <w:p w:rsidRPr="00D72A38" w:rsidR="00C05411" w:rsidP="00C05411" w:rsidRDefault="00C05411" w14:paraId="141AEDE7" w14:textId="77777777">
      <w:pPr>
        <w:pStyle w:val="NoSpacing"/>
        <w:rPr>
          <w:rFonts w:ascii="Times New Roman" w:hAnsi="Times New Roman" w:cs="Times New Roman"/>
          <w:sz w:val="24"/>
          <w:szCs w:val="24"/>
        </w:rPr>
      </w:pPr>
    </w:p>
    <w:p w:rsidRPr="00D72A38" w:rsidR="00C05411" w:rsidP="00C05411" w:rsidRDefault="00C05411" w14:paraId="68257196" w14:textId="77777777">
      <w:pPr>
        <w:pStyle w:val="NoSpacing"/>
        <w:ind w:left="720" w:hanging="360"/>
        <w:rPr>
          <w:rFonts w:ascii="Times New Roman" w:hAnsi="Times New Roman" w:cs="Times New Roman"/>
          <w:sz w:val="24"/>
          <w:szCs w:val="24"/>
        </w:rPr>
      </w:pPr>
      <w:r w:rsidRPr="00D72A38">
        <w:rPr>
          <w:rFonts w:ascii="Times New Roman" w:hAnsi="Times New Roman" w:cs="Times New Roman"/>
          <w:b/>
          <w:sz w:val="24"/>
          <w:szCs w:val="24"/>
        </w:rPr>
        <w:t>§1910.502(r)(2)</w:t>
      </w:r>
      <w:r w:rsidRPr="00D72A38">
        <w:rPr>
          <w:rFonts w:ascii="Times New Roman" w:hAnsi="Times New Roman" w:cs="Times New Roman"/>
          <w:sz w:val="24"/>
          <w:szCs w:val="24"/>
        </w:rPr>
        <w:t xml:space="preserve"> </w:t>
      </w:r>
    </w:p>
    <w:p w:rsidRPr="00D72A38" w:rsidR="00C05411" w:rsidP="00C05411" w:rsidRDefault="00C05411" w14:paraId="7F8369F2" w14:textId="77777777">
      <w:pPr>
        <w:pStyle w:val="NoSpacing"/>
        <w:ind w:left="720" w:hanging="360"/>
        <w:rPr>
          <w:rFonts w:ascii="Times New Roman" w:hAnsi="Times New Roman" w:cs="Times New Roman"/>
          <w:sz w:val="24"/>
          <w:szCs w:val="24"/>
        </w:rPr>
      </w:pPr>
    </w:p>
    <w:p w:rsidRPr="00D72A38" w:rsidR="00C05411" w:rsidP="00C05411" w:rsidRDefault="00C05411" w14:paraId="6F845CAD" w14:textId="2F3F7659">
      <w:pPr>
        <w:pStyle w:val="NoSpacing"/>
        <w:ind w:left="360"/>
        <w:rPr>
          <w:rFonts w:ascii="Times New Roman" w:hAnsi="Times New Roman" w:cs="Times New Roman"/>
          <w:sz w:val="24"/>
          <w:szCs w:val="24"/>
        </w:rPr>
      </w:pPr>
      <w:r w:rsidRPr="00D72A38">
        <w:rPr>
          <w:rFonts w:ascii="Times New Roman" w:hAnsi="Times New Roman" w:cs="Times New Roman"/>
          <w:sz w:val="24"/>
          <w:szCs w:val="24"/>
        </w:rPr>
        <w:t>The employer must repor</w:t>
      </w:r>
      <w:r w:rsidRPr="00803E8E">
        <w:rPr>
          <w:rFonts w:ascii="Times New Roman" w:hAnsi="Times New Roman" w:cs="Times New Roman"/>
          <w:sz w:val="24"/>
          <w:szCs w:val="24"/>
        </w:rPr>
        <w:t>t</w:t>
      </w:r>
      <w:r w:rsidRPr="00803E8E" w:rsidR="00803E8E">
        <w:rPr>
          <w:rFonts w:ascii="Times New Roman" w:hAnsi="Times New Roman" w:cs="Times New Roman"/>
          <w:sz w:val="24"/>
          <w:szCs w:val="24"/>
        </w:rPr>
        <w:t xml:space="preserve"> to OSHA</w:t>
      </w:r>
      <w:r w:rsidRPr="00803E8E">
        <w:rPr>
          <w:rFonts w:ascii="Times New Roman" w:hAnsi="Times New Roman" w:cs="Times New Roman"/>
          <w:sz w:val="24"/>
          <w:szCs w:val="24"/>
        </w:rPr>
        <w:t xml:space="preserve">: (i) </w:t>
      </w:r>
      <w:r w:rsidRPr="00803E8E" w:rsidR="00A01624">
        <w:rPr>
          <w:rFonts w:ascii="Times New Roman" w:hAnsi="Times New Roman" w:cs="Times New Roman"/>
          <w:sz w:val="24"/>
          <w:szCs w:val="24"/>
        </w:rPr>
        <w:t>e</w:t>
      </w:r>
      <w:r w:rsidRPr="00D95076">
        <w:rPr>
          <w:rFonts w:ascii="Times New Roman" w:hAnsi="Times New Roman" w:cs="Times New Roman"/>
          <w:sz w:val="24"/>
          <w:szCs w:val="24"/>
        </w:rPr>
        <w:t xml:space="preserve">ach </w:t>
      </w:r>
      <w:r w:rsidR="00DC5497">
        <w:rPr>
          <w:rFonts w:ascii="Times New Roman" w:hAnsi="Times New Roman" w:cs="Times New Roman"/>
          <w:sz w:val="24"/>
          <w:szCs w:val="24"/>
        </w:rPr>
        <w:t>work</w:t>
      </w:r>
      <w:r w:rsidR="00444090">
        <w:rPr>
          <w:rFonts w:ascii="Times New Roman" w:hAnsi="Times New Roman" w:cs="Times New Roman"/>
          <w:sz w:val="24"/>
          <w:szCs w:val="24"/>
        </w:rPr>
        <w:t>-</w:t>
      </w:r>
      <w:r w:rsidR="00DC5497">
        <w:rPr>
          <w:rFonts w:ascii="Times New Roman" w:hAnsi="Times New Roman" w:cs="Times New Roman"/>
          <w:sz w:val="24"/>
          <w:szCs w:val="24"/>
        </w:rPr>
        <w:t xml:space="preserve">related </w:t>
      </w:r>
      <w:r w:rsidRPr="00313268" w:rsidR="00803E8E">
        <w:rPr>
          <w:rFonts w:ascii="Times New Roman" w:hAnsi="Times New Roman" w:cs="Times New Roman"/>
          <w:sz w:val="24"/>
          <w:szCs w:val="24"/>
        </w:rPr>
        <w:t xml:space="preserve">COVID-19 fatality </w:t>
      </w:r>
      <w:r w:rsidRPr="00803E8E">
        <w:rPr>
          <w:rFonts w:ascii="Times New Roman" w:hAnsi="Times New Roman" w:cs="Times New Roman"/>
          <w:sz w:val="24"/>
          <w:szCs w:val="24"/>
        </w:rPr>
        <w:t>within 8 hours of the employer lea</w:t>
      </w:r>
      <w:r w:rsidRPr="00D72A38">
        <w:rPr>
          <w:rFonts w:ascii="Times New Roman" w:hAnsi="Times New Roman" w:cs="Times New Roman"/>
          <w:sz w:val="24"/>
          <w:szCs w:val="24"/>
        </w:rPr>
        <w:t>rning about the fatality</w:t>
      </w:r>
      <w:r w:rsidRPr="00D72A38" w:rsidR="00A01624">
        <w:rPr>
          <w:rFonts w:ascii="Times New Roman" w:hAnsi="Times New Roman" w:cs="Times New Roman"/>
          <w:sz w:val="24"/>
          <w:szCs w:val="24"/>
        </w:rPr>
        <w:t>, and</w:t>
      </w:r>
      <w:r w:rsidRPr="00D72A38">
        <w:rPr>
          <w:rFonts w:ascii="Times New Roman" w:hAnsi="Times New Roman" w:cs="Times New Roman"/>
          <w:sz w:val="24"/>
          <w:szCs w:val="24"/>
        </w:rPr>
        <w:t xml:space="preserve"> (ii) </w:t>
      </w:r>
      <w:r w:rsidRPr="00D72A38" w:rsidR="00A01624">
        <w:rPr>
          <w:rFonts w:ascii="Times New Roman" w:hAnsi="Times New Roman" w:cs="Times New Roman"/>
          <w:sz w:val="24"/>
          <w:szCs w:val="24"/>
        </w:rPr>
        <w:t>e</w:t>
      </w:r>
      <w:r w:rsidRPr="00D72A38">
        <w:rPr>
          <w:rFonts w:ascii="Times New Roman" w:hAnsi="Times New Roman" w:cs="Times New Roman"/>
          <w:sz w:val="24"/>
          <w:szCs w:val="24"/>
        </w:rPr>
        <w:t>ach</w:t>
      </w:r>
      <w:r w:rsidRPr="00803E8E">
        <w:rPr>
          <w:rFonts w:ascii="Times New Roman" w:hAnsi="Times New Roman" w:cs="Times New Roman"/>
          <w:sz w:val="24"/>
          <w:szCs w:val="24"/>
        </w:rPr>
        <w:t xml:space="preserve"> </w:t>
      </w:r>
      <w:r w:rsidR="00DC5497">
        <w:rPr>
          <w:rFonts w:ascii="Times New Roman" w:hAnsi="Times New Roman" w:cs="Times New Roman"/>
          <w:sz w:val="24"/>
          <w:szCs w:val="24"/>
        </w:rPr>
        <w:t xml:space="preserve">work-related </w:t>
      </w:r>
      <w:r w:rsidRPr="00313268" w:rsidR="00803E8E">
        <w:rPr>
          <w:rFonts w:ascii="Times New Roman" w:hAnsi="Times New Roman" w:cs="Times New Roman"/>
          <w:sz w:val="24"/>
          <w:szCs w:val="24"/>
        </w:rPr>
        <w:t xml:space="preserve">COVID-19 in-patient hospitalization </w:t>
      </w:r>
      <w:r w:rsidRPr="00803E8E">
        <w:rPr>
          <w:rFonts w:ascii="Times New Roman" w:hAnsi="Times New Roman" w:cs="Times New Roman"/>
          <w:sz w:val="24"/>
          <w:szCs w:val="24"/>
        </w:rPr>
        <w:t xml:space="preserve">within </w:t>
      </w:r>
      <w:r w:rsidRPr="00D72A38">
        <w:rPr>
          <w:rFonts w:ascii="Times New Roman" w:hAnsi="Times New Roman" w:cs="Times New Roman"/>
          <w:sz w:val="24"/>
          <w:szCs w:val="24"/>
        </w:rPr>
        <w:t>24 hours of the employer learning about the in-patient hospitalization.</w:t>
      </w:r>
    </w:p>
    <w:p w:rsidRPr="00D72A38" w:rsidR="00C05411" w:rsidP="00C05411" w:rsidRDefault="00C05411" w14:paraId="43E44B1D" w14:textId="77777777">
      <w:pPr>
        <w:ind w:left="360"/>
        <w:rPr>
          <w:bCs/>
        </w:rPr>
      </w:pPr>
    </w:p>
    <w:p w:rsidRPr="00D72A38" w:rsidR="00641571" w:rsidP="00C05411" w:rsidRDefault="00C05411" w14:paraId="4ABE358C" w14:textId="32C55F78">
      <w:pPr>
        <w:ind w:left="360"/>
      </w:pPr>
      <w:r w:rsidRPr="00D72A38">
        <w:rPr>
          <w:lang w:val="x-none"/>
        </w:rPr>
        <w:t xml:space="preserve">OSHA </w:t>
      </w:r>
      <w:r w:rsidRPr="00D72A38" w:rsidR="00A01624">
        <w:t>estimates</w:t>
      </w:r>
      <w:r w:rsidRPr="00D72A38" w:rsidR="00A01624">
        <w:rPr>
          <w:lang w:val="x-none"/>
        </w:rPr>
        <w:t xml:space="preserve"> </w:t>
      </w:r>
      <w:r w:rsidRPr="00D72A38">
        <w:t xml:space="preserve">it </w:t>
      </w:r>
      <w:r w:rsidRPr="00D72A38">
        <w:rPr>
          <w:lang w:val="x-none"/>
        </w:rPr>
        <w:t>take</w:t>
      </w:r>
      <w:r w:rsidRPr="00D72A38">
        <w:t>s</w:t>
      </w:r>
      <w:r w:rsidRPr="00D72A38">
        <w:rPr>
          <w:lang w:val="x-none"/>
        </w:rPr>
        <w:t xml:space="preserve"> </w:t>
      </w:r>
      <w:r w:rsidRPr="00D72A38">
        <w:t>20</w:t>
      </w:r>
      <w:r w:rsidRPr="00D72A38">
        <w:rPr>
          <w:lang w:val="x-none"/>
        </w:rPr>
        <w:t xml:space="preserve"> minutes (0.</w:t>
      </w:r>
      <w:r w:rsidRPr="00D72A38">
        <w:t>33</w:t>
      </w:r>
      <w:r w:rsidRPr="00D72A38">
        <w:rPr>
          <w:lang w:val="x-none"/>
        </w:rPr>
        <w:t xml:space="preserve"> hours) of </w:t>
      </w:r>
      <w:r w:rsidRPr="007F7CFB" w:rsidR="001B0FE5">
        <w:t>GO manager time at $88.16</w:t>
      </w:r>
      <w:r w:rsidRPr="00D72A38">
        <w:rPr>
          <w:lang w:val="x-none"/>
        </w:rPr>
        <w:t xml:space="preserve"> to </w:t>
      </w:r>
      <w:r w:rsidRPr="00D72A38">
        <w:t xml:space="preserve">report the fatality or hospitalization to the </w:t>
      </w:r>
      <w:r w:rsidR="001B3AE9">
        <w:t>a</w:t>
      </w:r>
      <w:r w:rsidRPr="00D72A38">
        <w:t>gency</w:t>
      </w:r>
      <w:r w:rsidRPr="00D72A38">
        <w:rPr>
          <w:lang w:val="x-none"/>
        </w:rPr>
        <w:t>.</w:t>
      </w:r>
      <w:r w:rsidRPr="00D72A38">
        <w:t xml:space="preserve"> </w:t>
      </w:r>
      <w:r w:rsidRPr="00D72A38" w:rsidR="00641571">
        <w:t xml:space="preserve">OSHA estimates that </w:t>
      </w:r>
      <w:r w:rsidR="00905DCF">
        <w:t>0.00</w:t>
      </w:r>
      <w:r w:rsidR="00E1754C">
        <w:t>20</w:t>
      </w:r>
      <w:r w:rsidRPr="00D72A38" w:rsidR="00641571">
        <w:t xml:space="preserve"> percent of covered employees will be affected.</w:t>
      </w:r>
    </w:p>
    <w:p w:rsidRPr="00D72A38" w:rsidR="00641571" w:rsidP="00C05411" w:rsidRDefault="00641571" w14:paraId="0F8EE7A2" w14:textId="77777777">
      <w:pPr>
        <w:ind w:left="360"/>
      </w:pPr>
    </w:p>
    <w:p w:rsidRPr="00D72A38" w:rsidR="00641571" w:rsidP="00641571" w:rsidRDefault="00641571" w14:paraId="16409B28" w14:textId="77777777">
      <w:pPr>
        <w:ind w:left="360"/>
      </w:pPr>
      <w:r w:rsidRPr="00D72A38">
        <w:t>Large establishments:</w:t>
      </w:r>
    </w:p>
    <w:p w:rsidRPr="00D72A38" w:rsidR="00641571" w:rsidP="00641571" w:rsidRDefault="00641571" w14:paraId="478D0D25" w14:textId="77777777">
      <w:pPr>
        <w:ind w:left="360"/>
      </w:pPr>
    </w:p>
    <w:p w:rsidRPr="00D72A38" w:rsidR="00641571" w:rsidP="00641571" w:rsidRDefault="00641571" w14:paraId="093E2674" w14:textId="4AAF2050">
      <w:pPr>
        <w:ind w:left="360"/>
      </w:pPr>
      <w:r w:rsidRPr="00D72A38">
        <w:t xml:space="preserve">The </w:t>
      </w:r>
      <w:r w:rsidR="001B3AE9">
        <w:t>a</w:t>
      </w:r>
      <w:r w:rsidRPr="00D72A38">
        <w:t xml:space="preserve">gency estimates that large establishments will have to report </w:t>
      </w:r>
      <w:r w:rsidR="00410991">
        <w:t>66</w:t>
      </w:r>
      <w:r w:rsidRPr="00D72A38">
        <w:t xml:space="preserve"> cases </w:t>
      </w:r>
      <w:r w:rsidRPr="00D72A38">
        <w:rPr>
          <w:bCs/>
        </w:rPr>
        <w:t>(</w:t>
      </w:r>
      <w:r w:rsidR="00080D85">
        <w:rPr>
          <w:bCs/>
        </w:rPr>
        <w:t>3,300,919</w:t>
      </w:r>
      <w:r w:rsidRPr="00D72A38">
        <w:rPr>
          <w:bCs/>
        </w:rPr>
        <w:t xml:space="preserve"> covered employees x 0.0</w:t>
      </w:r>
      <w:r w:rsidR="00905DCF">
        <w:rPr>
          <w:bCs/>
        </w:rPr>
        <w:t>000</w:t>
      </w:r>
      <w:r w:rsidR="00E1754C">
        <w:rPr>
          <w:bCs/>
        </w:rPr>
        <w:t>2</w:t>
      </w:r>
      <w:r w:rsidRPr="00D72A38">
        <w:rPr>
          <w:bCs/>
        </w:rPr>
        <w:t xml:space="preserve"> = </w:t>
      </w:r>
      <w:r w:rsidR="00E1754C">
        <w:rPr>
          <w:bCs/>
        </w:rPr>
        <w:t>66</w:t>
      </w:r>
      <w:r w:rsidRPr="00D72A38">
        <w:rPr>
          <w:bCs/>
        </w:rPr>
        <w:t xml:space="preserve">). </w:t>
      </w:r>
      <w:r w:rsidRPr="00D72A38">
        <w:t>Baseline non-compliance is 25 percent for large establishments.</w:t>
      </w:r>
    </w:p>
    <w:p w:rsidRPr="00D72A38" w:rsidR="00641571" w:rsidP="00641571" w:rsidRDefault="00641571" w14:paraId="3055D3BC" w14:textId="77777777">
      <w:pPr>
        <w:autoSpaceDE/>
        <w:autoSpaceDN/>
        <w:ind w:left="360"/>
        <w:rPr>
          <w:rFonts w:eastAsiaTheme="minorHAnsi"/>
          <w:lang w:eastAsia="en-US"/>
        </w:rPr>
      </w:pPr>
    </w:p>
    <w:p w:rsidRPr="00D72A38" w:rsidR="00641571" w:rsidP="00905DCF" w:rsidRDefault="00641571" w14:paraId="67A8917C" w14:textId="11034D07">
      <w:pPr>
        <w:ind w:left="3600" w:hanging="2160"/>
        <w:rPr>
          <w:b/>
          <w:bCs/>
        </w:rPr>
      </w:pPr>
      <w:r w:rsidRPr="00D72A38">
        <w:rPr>
          <w:b/>
          <w:bCs/>
        </w:rPr>
        <w:t>Burden Hours:</w:t>
      </w:r>
      <w:r w:rsidRPr="00D72A38">
        <w:rPr>
          <w:b/>
          <w:bCs/>
        </w:rPr>
        <w:tab/>
      </w:r>
      <w:r w:rsidR="00E1754C">
        <w:rPr>
          <w:bCs/>
        </w:rPr>
        <w:t>66</w:t>
      </w:r>
      <w:r w:rsidRPr="00D72A38">
        <w:rPr>
          <w:bCs/>
        </w:rPr>
        <w:t xml:space="preserve"> cases reported x 0.25 (non-compliance) x 0.33 hours = </w:t>
      </w:r>
      <w:r w:rsidR="00E1754C">
        <w:rPr>
          <w:bCs/>
        </w:rPr>
        <w:t>5.45</w:t>
      </w:r>
      <w:r w:rsidRPr="00D72A38">
        <w:rPr>
          <w:bCs/>
        </w:rPr>
        <w:t xml:space="preserve"> hours</w:t>
      </w:r>
    </w:p>
    <w:p w:rsidRPr="00D72A38" w:rsidR="00641571" w:rsidP="00641571" w:rsidRDefault="00641571" w14:paraId="48E2391C" w14:textId="77777777">
      <w:pPr>
        <w:ind w:left="720" w:firstLine="720"/>
        <w:rPr>
          <w:b/>
          <w:bCs/>
        </w:rPr>
      </w:pPr>
    </w:p>
    <w:p w:rsidRPr="00D72A38" w:rsidR="00641571" w:rsidP="00641571" w:rsidRDefault="00641571" w14:paraId="3A955A77" w14:textId="37CEC88F">
      <w:pPr>
        <w:ind w:left="720" w:firstLine="720"/>
      </w:pPr>
      <w:r w:rsidRPr="00D72A38">
        <w:rPr>
          <w:b/>
          <w:bCs/>
        </w:rPr>
        <w:t>Cost:</w:t>
      </w:r>
      <w:r w:rsidRPr="00D72A38">
        <w:rPr>
          <w:b/>
          <w:bCs/>
        </w:rPr>
        <w:tab/>
      </w:r>
      <w:r w:rsidRPr="00D72A38">
        <w:rPr>
          <w:b/>
          <w:bCs/>
        </w:rPr>
        <w:tab/>
      </w:r>
      <w:r w:rsidRPr="00D72A38">
        <w:rPr>
          <w:b/>
          <w:bCs/>
        </w:rPr>
        <w:tab/>
      </w:r>
      <w:r w:rsidR="00E1754C">
        <w:rPr>
          <w:bCs/>
        </w:rPr>
        <w:t>5.45</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410991">
        <w:rPr>
          <w:bCs/>
        </w:rPr>
        <w:t>480.16</w:t>
      </w:r>
    </w:p>
    <w:p w:rsidR="008078A1" w:rsidP="00641571" w:rsidRDefault="008078A1" w14:paraId="71B0A8BD" w14:textId="77777777">
      <w:pPr>
        <w:ind w:left="360"/>
      </w:pPr>
    </w:p>
    <w:p w:rsidRPr="00D72A38" w:rsidR="00641571" w:rsidP="00641571" w:rsidRDefault="00641571" w14:paraId="0EBC4E1E" w14:textId="32F4BAD7">
      <w:pPr>
        <w:ind w:left="360"/>
      </w:pPr>
      <w:r w:rsidRPr="00D72A38">
        <w:t>SBA-defined small establishments:</w:t>
      </w:r>
    </w:p>
    <w:p w:rsidRPr="00D72A38" w:rsidR="00641571" w:rsidP="00641571" w:rsidRDefault="00641571" w14:paraId="690D81EE" w14:textId="77777777">
      <w:pPr>
        <w:ind w:left="360"/>
      </w:pPr>
    </w:p>
    <w:p w:rsidRPr="00D72A38" w:rsidR="00641571" w:rsidP="00641571" w:rsidRDefault="00641571" w14:paraId="4C2475D8" w14:textId="088967FD">
      <w:pPr>
        <w:ind w:left="360"/>
      </w:pPr>
      <w:r w:rsidRPr="00D72A38">
        <w:t xml:space="preserve">The </w:t>
      </w:r>
      <w:r w:rsidR="00645361">
        <w:t>a</w:t>
      </w:r>
      <w:r w:rsidRPr="00D72A38">
        <w:t xml:space="preserve">gency estimates that SBA-defined small establishments will have to report </w:t>
      </w:r>
      <w:r w:rsidR="00410991">
        <w:t>116</w:t>
      </w:r>
      <w:r w:rsidRPr="00D72A38">
        <w:t xml:space="preserve"> cases </w:t>
      </w:r>
      <w:r w:rsidRPr="00D72A38">
        <w:rPr>
          <w:bCs/>
        </w:rPr>
        <w:t>(</w:t>
      </w:r>
      <w:r w:rsidR="00B06697">
        <w:rPr>
          <w:bCs/>
        </w:rPr>
        <w:t>5,799,312</w:t>
      </w:r>
      <w:r w:rsidRPr="00D72A38">
        <w:rPr>
          <w:bCs/>
        </w:rPr>
        <w:t xml:space="preserve"> covered employees x 0.000</w:t>
      </w:r>
      <w:r w:rsidR="00905DCF">
        <w:rPr>
          <w:bCs/>
        </w:rPr>
        <w:t>0</w:t>
      </w:r>
      <w:r w:rsidR="00410991">
        <w:rPr>
          <w:bCs/>
        </w:rPr>
        <w:t>2</w:t>
      </w:r>
      <w:r w:rsidRPr="00D72A38">
        <w:rPr>
          <w:bCs/>
        </w:rPr>
        <w:t xml:space="preserve"> = </w:t>
      </w:r>
      <w:r w:rsidR="00410991">
        <w:rPr>
          <w:bCs/>
        </w:rPr>
        <w:t>116</w:t>
      </w:r>
      <w:r w:rsidRPr="00D72A38">
        <w:rPr>
          <w:bCs/>
        </w:rPr>
        <w:t xml:space="preserve">). </w:t>
      </w:r>
      <w:r w:rsidRPr="00D72A38">
        <w:t>Baseline non-compliance is 25 percent for SBA-defined small establishments.</w:t>
      </w:r>
    </w:p>
    <w:p w:rsidRPr="00D72A38" w:rsidR="00641571" w:rsidP="00641571" w:rsidRDefault="00641571" w14:paraId="631BEDA6" w14:textId="77777777">
      <w:pPr>
        <w:ind w:left="360"/>
        <w:rPr>
          <w:bCs/>
        </w:rPr>
      </w:pPr>
    </w:p>
    <w:p w:rsidRPr="00D72A38" w:rsidR="00641571" w:rsidP="00641571" w:rsidRDefault="00641571" w14:paraId="4178F40A" w14:textId="2FE3170C">
      <w:pPr>
        <w:ind w:left="3600" w:hanging="2160"/>
        <w:rPr>
          <w:b/>
          <w:bCs/>
        </w:rPr>
      </w:pPr>
      <w:r w:rsidRPr="00D72A38">
        <w:rPr>
          <w:b/>
          <w:bCs/>
        </w:rPr>
        <w:t>Burden Hours:</w:t>
      </w:r>
      <w:r w:rsidRPr="00D72A38">
        <w:rPr>
          <w:b/>
          <w:bCs/>
        </w:rPr>
        <w:tab/>
      </w:r>
      <w:r w:rsidR="00410991">
        <w:rPr>
          <w:bCs/>
        </w:rPr>
        <w:t>116</w:t>
      </w:r>
      <w:r w:rsidRPr="00D72A38" w:rsidR="00410991">
        <w:rPr>
          <w:bCs/>
        </w:rPr>
        <w:t xml:space="preserve"> </w:t>
      </w:r>
      <w:r w:rsidRPr="00D72A38">
        <w:rPr>
          <w:bCs/>
        </w:rPr>
        <w:t xml:space="preserve">cases reported x 0.25 (non-compliance) x 0.33 hours = </w:t>
      </w:r>
      <w:r w:rsidR="00410991">
        <w:rPr>
          <w:bCs/>
        </w:rPr>
        <w:t>9.57</w:t>
      </w:r>
      <w:r w:rsidRPr="00D72A38">
        <w:rPr>
          <w:bCs/>
        </w:rPr>
        <w:t xml:space="preserve"> hours</w:t>
      </w:r>
    </w:p>
    <w:p w:rsidRPr="00D72A38" w:rsidR="00641571" w:rsidP="00641571" w:rsidRDefault="00641571" w14:paraId="5836EB57" w14:textId="77777777">
      <w:pPr>
        <w:ind w:left="720" w:firstLine="720"/>
        <w:rPr>
          <w:b/>
          <w:bCs/>
        </w:rPr>
      </w:pPr>
    </w:p>
    <w:p w:rsidRPr="00641571" w:rsidR="00641571" w:rsidP="00FC64EF" w:rsidRDefault="00641571" w14:paraId="4DEF3BED" w14:textId="0583DC84">
      <w:pPr>
        <w:ind w:left="3600" w:hanging="2160"/>
        <w:rPr>
          <w:bCs/>
        </w:rPr>
      </w:pPr>
      <w:r w:rsidRPr="00D72A38">
        <w:rPr>
          <w:b/>
          <w:bCs/>
        </w:rPr>
        <w:t>Cost:</w:t>
      </w:r>
      <w:r w:rsidRPr="00D72A38">
        <w:rPr>
          <w:b/>
          <w:bCs/>
        </w:rPr>
        <w:tab/>
      </w:r>
      <w:r w:rsidR="00410991">
        <w:rPr>
          <w:bCs/>
        </w:rPr>
        <w:t>9.57</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410991">
        <w:rPr>
          <w:bCs/>
        </w:rPr>
        <w:t>843.59</w:t>
      </w:r>
    </w:p>
    <w:p w:rsidRPr="00641571" w:rsidR="00641571" w:rsidP="00641571" w:rsidRDefault="00641571" w14:paraId="6DDACC56" w14:textId="77777777">
      <w:pPr>
        <w:ind w:left="720" w:firstLine="720"/>
        <w:rPr>
          <w:bCs/>
        </w:rPr>
      </w:pPr>
    </w:p>
    <w:p w:rsidRPr="00641571" w:rsidR="00641571" w:rsidP="00641571" w:rsidRDefault="00641571" w14:paraId="7DDDE5E4" w14:textId="77777777">
      <w:pPr>
        <w:ind w:left="360"/>
      </w:pPr>
      <w:r w:rsidRPr="00641571">
        <w:t>Very small establishments:</w:t>
      </w:r>
    </w:p>
    <w:p w:rsidRPr="00641571" w:rsidR="00641571" w:rsidP="00641571" w:rsidRDefault="00641571" w14:paraId="44C95656" w14:textId="77777777">
      <w:pPr>
        <w:ind w:left="360"/>
      </w:pPr>
    </w:p>
    <w:p w:rsidRPr="00641571" w:rsidR="00641571" w:rsidP="00641571" w:rsidRDefault="00641571" w14:paraId="15F32757" w14:textId="0136CE98">
      <w:pPr>
        <w:ind w:left="360"/>
        <w:rPr>
          <w:bCs/>
        </w:rPr>
      </w:pPr>
      <w:r w:rsidRPr="00641571">
        <w:t xml:space="preserve">The </w:t>
      </w:r>
      <w:r w:rsidR="001B3AE9">
        <w:t>a</w:t>
      </w:r>
      <w:r w:rsidRPr="00641571">
        <w:t xml:space="preserve">gency estimates that </w:t>
      </w:r>
      <w:r>
        <w:t>very</w:t>
      </w:r>
      <w:r w:rsidRPr="00641571">
        <w:t xml:space="preserve"> small establishments will have to report </w:t>
      </w:r>
      <w:r w:rsidR="00410991">
        <w:t>25</w:t>
      </w:r>
      <w:r w:rsidRPr="00641571">
        <w:t xml:space="preserve"> cases </w:t>
      </w:r>
      <w:r w:rsidRPr="00641571">
        <w:rPr>
          <w:bCs/>
        </w:rPr>
        <w:t>(</w:t>
      </w:r>
      <w:r w:rsidR="0055074B">
        <w:rPr>
          <w:bCs/>
        </w:rPr>
        <w:t>1,238,122</w:t>
      </w:r>
      <w:r w:rsidRPr="00641571">
        <w:rPr>
          <w:bCs/>
        </w:rPr>
        <w:t xml:space="preserve"> covered employees x 0.000</w:t>
      </w:r>
      <w:r w:rsidR="004C3FA5">
        <w:rPr>
          <w:bCs/>
        </w:rPr>
        <w:t>0</w:t>
      </w:r>
      <w:r w:rsidR="00410991">
        <w:rPr>
          <w:bCs/>
        </w:rPr>
        <w:t>2</w:t>
      </w:r>
      <w:r w:rsidRPr="00641571">
        <w:rPr>
          <w:bCs/>
        </w:rPr>
        <w:t xml:space="preserve"> = </w:t>
      </w:r>
      <w:r w:rsidR="00410991">
        <w:rPr>
          <w:bCs/>
        </w:rPr>
        <w:t>25</w:t>
      </w:r>
      <w:r w:rsidRPr="00641571">
        <w:rPr>
          <w:bCs/>
        </w:rPr>
        <w:t xml:space="preserve">). </w:t>
      </w:r>
      <w:r w:rsidRPr="00641571">
        <w:t xml:space="preserve">Baseline non-compliance is </w:t>
      </w:r>
      <w:r>
        <w:t>50</w:t>
      </w:r>
      <w:r w:rsidRPr="00641571">
        <w:t xml:space="preserve"> percent for </w:t>
      </w:r>
      <w:r>
        <w:t xml:space="preserve">very small </w:t>
      </w:r>
      <w:r w:rsidRPr="00641571">
        <w:t>establishments.</w:t>
      </w:r>
    </w:p>
    <w:p w:rsidRPr="00641571" w:rsidR="00641571" w:rsidP="00641571" w:rsidRDefault="00641571" w14:paraId="59F177B8" w14:textId="77777777">
      <w:pPr>
        <w:ind w:left="360"/>
        <w:rPr>
          <w:bCs/>
        </w:rPr>
      </w:pPr>
    </w:p>
    <w:p w:rsidRPr="00641571" w:rsidR="00641571" w:rsidP="00641571" w:rsidRDefault="00641571" w14:paraId="2C38E263" w14:textId="77BE611F">
      <w:pPr>
        <w:ind w:left="3600" w:hanging="2160"/>
        <w:rPr>
          <w:b/>
          <w:bCs/>
        </w:rPr>
      </w:pPr>
      <w:r w:rsidRPr="00641571">
        <w:rPr>
          <w:b/>
          <w:bCs/>
        </w:rPr>
        <w:t>Burden Hours:</w:t>
      </w:r>
      <w:r w:rsidRPr="00641571">
        <w:rPr>
          <w:b/>
          <w:bCs/>
        </w:rPr>
        <w:tab/>
      </w:r>
      <w:r w:rsidR="004C3FA5">
        <w:rPr>
          <w:bCs/>
        </w:rPr>
        <w:t>2</w:t>
      </w:r>
      <w:r w:rsidR="00410991">
        <w:rPr>
          <w:bCs/>
        </w:rPr>
        <w:t>5</w:t>
      </w:r>
      <w:r w:rsidRPr="00641571">
        <w:rPr>
          <w:bCs/>
        </w:rPr>
        <w:t xml:space="preserve"> cases reported x 0.50 (non-compliance) x 0.33 hours = </w:t>
      </w:r>
      <w:r w:rsidR="00410991">
        <w:rPr>
          <w:bCs/>
        </w:rPr>
        <w:t>4.09</w:t>
      </w:r>
      <w:r w:rsidRPr="00641571">
        <w:rPr>
          <w:bCs/>
        </w:rPr>
        <w:t xml:space="preserve"> hours</w:t>
      </w:r>
    </w:p>
    <w:p w:rsidRPr="00641571" w:rsidR="00641571" w:rsidP="00641571" w:rsidRDefault="00641571" w14:paraId="1D51C922" w14:textId="77777777">
      <w:pPr>
        <w:ind w:left="720" w:firstLine="720"/>
        <w:rPr>
          <w:b/>
          <w:bCs/>
        </w:rPr>
      </w:pPr>
    </w:p>
    <w:p w:rsidRPr="00641571" w:rsidR="00641571" w:rsidP="00641571" w:rsidRDefault="00641571" w14:paraId="1248DDF2" w14:textId="018CB06D">
      <w:pPr>
        <w:ind w:left="720" w:firstLine="720"/>
        <w:rPr>
          <w:bCs/>
        </w:rPr>
      </w:pPr>
      <w:r w:rsidRPr="00641571">
        <w:rPr>
          <w:b/>
          <w:bCs/>
        </w:rPr>
        <w:t>Cost:</w:t>
      </w:r>
      <w:r w:rsidRPr="00641571">
        <w:rPr>
          <w:b/>
          <w:bCs/>
        </w:rPr>
        <w:tab/>
      </w:r>
      <w:r w:rsidRPr="00641571">
        <w:rPr>
          <w:b/>
          <w:bCs/>
        </w:rPr>
        <w:tab/>
      </w:r>
      <w:r w:rsidRPr="00641571">
        <w:rPr>
          <w:b/>
          <w:bCs/>
        </w:rPr>
        <w:tab/>
      </w:r>
      <w:r w:rsidR="00410991">
        <w:rPr>
          <w:bCs/>
        </w:rPr>
        <w:t>4.09</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410991">
        <w:rPr>
          <w:bCs/>
        </w:rPr>
        <w:t>360.20</w:t>
      </w:r>
    </w:p>
    <w:p w:rsidR="00193225" w:rsidP="00193225" w:rsidRDefault="00193225" w14:paraId="56F4F07B" w14:textId="7EBCDD91">
      <w:pPr>
        <w:ind w:left="720" w:firstLine="720"/>
        <w:rPr>
          <w:bCs/>
        </w:rPr>
      </w:pPr>
    </w:p>
    <w:p w:rsidRPr="008078A1" w:rsidR="0046649C" w:rsidP="0046649C" w:rsidRDefault="0046649C" w14:paraId="41348A35" w14:textId="4F5F3CA6">
      <w:pPr>
        <w:rPr>
          <w:rFonts w:eastAsia="Arial Unicode MS"/>
          <w:b/>
          <w:color w:val="000000"/>
        </w:rPr>
        <w:sectPr w:rsidRPr="008078A1" w:rsidR="0046649C" w:rsidSect="003F3BC9">
          <w:headerReference w:type="default" r:id="rId11"/>
          <w:footerReference w:type="default" r:id="rId12"/>
          <w:pgSz w:w="12240" w:h="15840" w:code="1"/>
          <w:pgMar w:top="1440" w:right="1440" w:bottom="1440" w:left="1440" w:header="720" w:footer="720" w:gutter="0"/>
          <w:cols w:space="720"/>
          <w:docGrid w:linePitch="360"/>
        </w:sectPr>
      </w:pPr>
    </w:p>
    <w:tbl>
      <w:tblPr>
        <w:tblpPr w:leftFromText="180" w:rightFromText="180" w:vertAnchor="text" w:horzAnchor="margin" w:tblpXSpec="center" w:tblpY="-68"/>
        <w:tblW w:w="14760" w:type="dxa"/>
        <w:tblLayout w:type="fixed"/>
        <w:tblLook w:val="04A0" w:firstRow="1" w:lastRow="0" w:firstColumn="1" w:lastColumn="0" w:noHBand="0" w:noVBand="1"/>
      </w:tblPr>
      <w:tblGrid>
        <w:gridCol w:w="1620"/>
        <w:gridCol w:w="1260"/>
        <w:gridCol w:w="1440"/>
        <w:gridCol w:w="1404"/>
        <w:gridCol w:w="1170"/>
        <w:gridCol w:w="1223"/>
        <w:gridCol w:w="1080"/>
        <w:gridCol w:w="1440"/>
        <w:gridCol w:w="937"/>
        <w:gridCol w:w="1746"/>
        <w:gridCol w:w="1440"/>
      </w:tblGrid>
      <w:tr w:rsidRPr="00AE701A" w:rsidR="00D905F1" w:rsidTr="00D905F1" w14:paraId="7CE2CB4E" w14:textId="77777777">
        <w:trPr>
          <w:trHeight w:val="310"/>
          <w:tblHeader/>
        </w:trPr>
        <w:tc>
          <w:tcPr>
            <w:tcW w:w="14760" w:type="dxa"/>
            <w:gridSpan w:val="11"/>
            <w:tcBorders>
              <w:top w:val="nil"/>
              <w:left w:val="nil"/>
              <w:bottom w:val="single" w:color="auto" w:sz="4" w:space="0"/>
              <w:right w:val="nil"/>
            </w:tcBorders>
            <w:shd w:val="clear" w:color="auto" w:fill="auto"/>
            <w:noWrap/>
            <w:vAlign w:val="center"/>
            <w:hideMark/>
          </w:tcPr>
          <w:p w:rsidR="00D905F1" w:rsidP="00D905F1" w:rsidRDefault="00D905F1" w14:paraId="3F68A5ED" w14:textId="77777777">
            <w:pPr>
              <w:autoSpaceDE/>
              <w:autoSpaceDN/>
              <w:jc w:val="center"/>
              <w:rPr>
                <w:rFonts w:eastAsia="Times New Roman"/>
                <w:b/>
                <w:bCs/>
                <w:color w:val="000000"/>
                <w:sz w:val="20"/>
                <w:szCs w:val="20"/>
                <w:lang w:eastAsia="en-US"/>
              </w:rPr>
            </w:pPr>
          </w:p>
          <w:p w:rsidRPr="00FD5B56" w:rsidR="00D905F1" w:rsidP="00D905F1" w:rsidRDefault="00D905F1" w14:paraId="7299446C" w14:textId="53F6D57B">
            <w:pPr>
              <w:autoSpaceDE/>
              <w:autoSpaceDN/>
              <w:jc w:val="center"/>
              <w:rPr>
                <w:rFonts w:eastAsia="Times New Roman"/>
                <w:b/>
                <w:bCs/>
                <w:color w:val="000000"/>
                <w:sz w:val="20"/>
                <w:szCs w:val="20"/>
                <w:lang w:eastAsia="en-US"/>
              </w:rPr>
            </w:pPr>
            <w:r w:rsidRPr="00FD5B56">
              <w:rPr>
                <w:rFonts w:eastAsia="Times New Roman"/>
                <w:b/>
                <w:bCs/>
                <w:color w:val="000000"/>
                <w:sz w:val="20"/>
                <w:szCs w:val="20"/>
                <w:lang w:eastAsia="en-US"/>
              </w:rPr>
              <w:t xml:space="preserve">Table </w:t>
            </w:r>
            <w:r>
              <w:rPr>
                <w:rFonts w:eastAsia="Times New Roman"/>
                <w:b/>
                <w:bCs/>
                <w:color w:val="000000"/>
                <w:sz w:val="20"/>
                <w:szCs w:val="20"/>
                <w:lang w:eastAsia="en-US"/>
              </w:rPr>
              <w:t>B</w:t>
            </w:r>
            <w:r w:rsidRPr="00FD5B56">
              <w:rPr>
                <w:rFonts w:eastAsia="Times New Roman"/>
                <w:b/>
                <w:bCs/>
                <w:color w:val="000000"/>
                <w:sz w:val="20"/>
                <w:szCs w:val="20"/>
                <w:lang w:eastAsia="en-US"/>
              </w:rPr>
              <w:t>. Summary of Burden Hours and Cost Under Item 12 of this Supporting Statement - Healthcare and Associated Industries</w:t>
            </w:r>
          </w:p>
        </w:tc>
      </w:tr>
      <w:tr w:rsidRPr="00AE701A" w:rsidR="00D905F1" w:rsidTr="00D905F1" w14:paraId="0F23341C" w14:textId="77777777">
        <w:trPr>
          <w:trHeight w:val="1050"/>
          <w:tblHeader/>
        </w:trPr>
        <w:tc>
          <w:tcPr>
            <w:tcW w:w="162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520C25" w:rsidR="00D905F1" w:rsidP="00D905F1" w:rsidRDefault="00D905F1" w14:paraId="239E7B14" w14:textId="77777777">
            <w:pPr>
              <w:autoSpaceDE/>
              <w:autoSpaceDN/>
              <w:jc w:val="center"/>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AB1E6C" w:rsidR="00D905F1" w:rsidP="00D905F1" w:rsidRDefault="00D905F1" w14:paraId="11E47EF7" w14:textId="77777777">
            <w:pPr>
              <w:autoSpaceDE/>
              <w:autoSpaceDN/>
              <w:jc w:val="center"/>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Frequency</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7B4BA7" w:rsidR="00D905F1" w:rsidP="00D905F1" w:rsidRDefault="00D905F1" w14:paraId="05E79543" w14:textId="77777777">
            <w:pPr>
              <w:autoSpaceDE/>
              <w:autoSpaceDN/>
              <w:jc w:val="center"/>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Basis</w:t>
            </w:r>
          </w:p>
        </w:tc>
        <w:tc>
          <w:tcPr>
            <w:tcW w:w="1404"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6A5228" w:rsidR="00D905F1" w:rsidP="00D905F1" w:rsidRDefault="00D905F1" w14:paraId="2055E26A" w14:textId="77777777">
            <w:pPr>
              <w:autoSpaceDE/>
              <w:autoSpaceDN/>
              <w:jc w:val="center"/>
              <w:rPr>
                <w:rFonts w:ascii="Calibri" w:hAnsi="Calibri" w:eastAsia="Times New Roman" w:cs="Calibri"/>
                <w:b/>
                <w:bCs/>
                <w:color w:val="000000"/>
                <w:sz w:val="20"/>
                <w:szCs w:val="20"/>
                <w:lang w:eastAsia="en-US"/>
              </w:rPr>
            </w:pPr>
            <w:r w:rsidRPr="006A5228">
              <w:rPr>
                <w:rFonts w:ascii="Calibri" w:hAnsi="Calibri" w:eastAsia="Times New Roman" w:cs="Calibri"/>
                <w:b/>
                <w:bCs/>
                <w:color w:val="000000"/>
                <w:sz w:val="20"/>
                <w:szCs w:val="20"/>
                <w:lang w:eastAsia="en-US"/>
              </w:rPr>
              <w:t>Respondent</w:t>
            </w:r>
          </w:p>
        </w:tc>
        <w:tc>
          <w:tcPr>
            <w:tcW w:w="117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1D0186" w:rsidR="00D905F1" w:rsidP="00D905F1" w:rsidRDefault="007D1C17" w14:paraId="19DBC365" w14:textId="00F33D74">
            <w:pPr>
              <w:autoSpaceDE/>
              <w:autoSpaceDN/>
              <w:jc w:val="center"/>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Annual Responses</w:t>
            </w:r>
          </w:p>
        </w:tc>
        <w:tc>
          <w:tcPr>
            <w:tcW w:w="1223"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D905F1" w:rsidRDefault="00D905F1" w14:paraId="1EE3A6BA"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Non-Compliance Rate/NTR</w:t>
            </w:r>
          </w:p>
        </w:tc>
        <w:tc>
          <w:tcPr>
            <w:tcW w:w="108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D905F1" w:rsidRDefault="00D905F1" w14:paraId="1E7FE76B"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Hours per Response</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7D1C17" w:rsidRDefault="007D1C17" w14:paraId="2BDDB00A" w14:textId="41650E62">
            <w:pPr>
              <w:autoSpaceDE/>
              <w:autoSpaceDN/>
              <w:jc w:val="center"/>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 xml:space="preserve">Annual </w:t>
            </w:r>
            <w:r w:rsidRPr="00252CD2" w:rsidR="00D905F1">
              <w:rPr>
                <w:rFonts w:ascii="Calibri" w:hAnsi="Calibri" w:eastAsia="Times New Roman" w:cs="Calibri"/>
                <w:b/>
                <w:bCs/>
                <w:color w:val="000000"/>
                <w:sz w:val="20"/>
                <w:szCs w:val="20"/>
                <w:lang w:eastAsia="en-US"/>
              </w:rPr>
              <w:t xml:space="preserve">Hour </w:t>
            </w:r>
            <w:r>
              <w:rPr>
                <w:rFonts w:ascii="Calibri" w:hAnsi="Calibri" w:eastAsia="Times New Roman" w:cs="Calibri"/>
                <w:b/>
                <w:bCs/>
                <w:color w:val="000000"/>
                <w:sz w:val="20"/>
                <w:szCs w:val="20"/>
                <w:lang w:eastAsia="en-US"/>
              </w:rPr>
              <w:t>Burden</w:t>
            </w:r>
          </w:p>
        </w:tc>
        <w:tc>
          <w:tcPr>
            <w:tcW w:w="93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D905F1" w:rsidRDefault="00D905F1" w14:paraId="72B74400"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Loaded Hourly Wage</w:t>
            </w:r>
          </w:p>
        </w:tc>
        <w:tc>
          <w:tcPr>
            <w:tcW w:w="1746"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D905F1" w:rsidRDefault="00D905F1" w14:paraId="7BB8A211"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Total Cost</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D905F1" w:rsidP="00D905F1" w:rsidRDefault="00D905F1" w14:paraId="752E5FEE"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Total Responses</w:t>
            </w:r>
          </w:p>
        </w:tc>
      </w:tr>
      <w:tr w:rsidRPr="00AE701A" w:rsidR="00D905F1" w:rsidTr="00D905F1" w14:paraId="783C1EF7" w14:textId="77777777">
        <w:trPr>
          <w:trHeight w:val="300"/>
          <w:tblHeader/>
        </w:trPr>
        <w:tc>
          <w:tcPr>
            <w:tcW w:w="162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492D962" w14:textId="77777777">
            <w:pPr>
              <w:autoSpaceDE/>
              <w:autoSpaceDN/>
              <w:rPr>
                <w:rFonts w:ascii="Calibri" w:hAnsi="Calibri" w:eastAsia="Times New Roman" w:cs="Calibri"/>
                <w:b/>
                <w:bCs/>
                <w:color w:val="000000"/>
                <w:sz w:val="20"/>
                <w:szCs w:val="20"/>
                <w:lang w:eastAsia="en-US"/>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20AA5BD2" w14:textId="77777777">
            <w:pPr>
              <w:autoSpaceDE/>
              <w:autoSpaceDN/>
              <w:rPr>
                <w:rFonts w:ascii="Calibri" w:hAnsi="Calibri" w:eastAsia="Times New Roman" w:cs="Calibri"/>
                <w:b/>
                <w:bCs/>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2914B40" w14:textId="77777777">
            <w:pPr>
              <w:autoSpaceDE/>
              <w:autoSpaceDN/>
              <w:rPr>
                <w:rFonts w:ascii="Calibri" w:hAnsi="Calibri" w:eastAsia="Times New Roman" w:cs="Calibri"/>
                <w:b/>
                <w:bCs/>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B00A66C" w14:textId="77777777">
            <w:pPr>
              <w:autoSpaceDE/>
              <w:autoSpaceDN/>
              <w:rPr>
                <w:rFonts w:ascii="Calibri" w:hAnsi="Calibri" w:eastAsia="Times New Roman" w:cs="Calibri"/>
                <w:b/>
                <w:bCs/>
                <w:color w:val="000000"/>
                <w:sz w:val="20"/>
                <w:szCs w:val="20"/>
                <w:lang w:eastAsia="en-US"/>
              </w:rPr>
            </w:pPr>
          </w:p>
        </w:tc>
        <w:tc>
          <w:tcPr>
            <w:tcW w:w="117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42FD64B6"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a</w:t>
            </w:r>
          </w:p>
        </w:tc>
        <w:tc>
          <w:tcPr>
            <w:tcW w:w="1223"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0E0D6E0A"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b</w:t>
            </w:r>
          </w:p>
        </w:tc>
        <w:tc>
          <w:tcPr>
            <w:tcW w:w="108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344339E5"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C</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1210CBE1"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d = a x b x c</w:t>
            </w:r>
          </w:p>
        </w:tc>
        <w:tc>
          <w:tcPr>
            <w:tcW w:w="93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296A275E"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 xml:space="preserve">e </w:t>
            </w:r>
          </w:p>
        </w:tc>
        <w:tc>
          <w:tcPr>
            <w:tcW w:w="1746"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68751691"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f = d x e</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D905F1" w:rsidP="00D905F1" w:rsidRDefault="00D905F1" w14:paraId="6EEF9536"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g = a x b</w:t>
            </w:r>
          </w:p>
        </w:tc>
      </w:tr>
      <w:tr w:rsidRPr="00AE701A" w:rsidR="00D905F1" w:rsidTr="00D905F1" w14:paraId="14DF3F4C" w14:textId="77777777">
        <w:trPr>
          <w:trHeight w:val="300"/>
        </w:trPr>
        <w:tc>
          <w:tcPr>
            <w:tcW w:w="14760" w:type="dxa"/>
            <w:gridSpan w:val="11"/>
            <w:tcBorders>
              <w:top w:val="single" w:color="auto" w:sz="4" w:space="0"/>
              <w:left w:val="single" w:color="auto" w:sz="4" w:space="0"/>
              <w:bottom w:val="single" w:color="auto" w:sz="4" w:space="0"/>
              <w:right w:val="single" w:color="auto" w:sz="4" w:space="0"/>
            </w:tcBorders>
            <w:shd w:val="clear" w:color="000000" w:fill="8EA9DB"/>
            <w:vAlign w:val="center"/>
            <w:hideMark/>
          </w:tcPr>
          <w:p w:rsidRPr="00520C25" w:rsidR="00D905F1" w:rsidP="00D905F1" w:rsidRDefault="00D905F1" w14:paraId="357CEEBB"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1910.502 – Healthcare and Associated Industries</w:t>
            </w:r>
          </w:p>
        </w:tc>
      </w:tr>
      <w:tr w:rsidRPr="00AE701A" w:rsidR="00D905F1" w:rsidTr="00D905F1" w14:paraId="6788BCD6" w14:textId="77777777">
        <w:trPr>
          <w:trHeight w:val="300"/>
        </w:trPr>
        <w:tc>
          <w:tcPr>
            <w:tcW w:w="14760"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D905F1" w:rsidP="00D905F1" w:rsidRDefault="00000D86" w14:paraId="0B3E13C2" w14:textId="0237E947">
            <w:pPr>
              <w:autoSpaceDE/>
              <w:autoSpaceDN/>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1</w:t>
            </w:r>
            <w:r w:rsidRPr="00520C25" w:rsidR="00D905F1">
              <w:rPr>
                <w:rFonts w:ascii="Calibri" w:hAnsi="Calibri" w:eastAsia="Times New Roman" w:cs="Calibri"/>
                <w:b/>
                <w:bCs/>
                <w:color w:val="000000"/>
                <w:sz w:val="20"/>
                <w:szCs w:val="20"/>
                <w:lang w:eastAsia="en-US"/>
              </w:rPr>
              <w:t>. Recordkeeping</w:t>
            </w:r>
          </w:p>
        </w:tc>
      </w:tr>
      <w:tr w:rsidRPr="00AE701A" w:rsidR="00D905F1" w:rsidTr="00D905F1" w14:paraId="134D4AE4"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D905F1" w:rsidP="00000D86" w:rsidRDefault="00D905F1" w14:paraId="3D46ADBB" w14:textId="376E0C36">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xml:space="preserve"> COVID-19 Log</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D905F1" w:rsidP="00D905F1" w:rsidRDefault="00D905F1" w14:paraId="5B83A61D"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D905F1" w:rsidP="00D905F1" w:rsidRDefault="00D905F1" w14:paraId="648895CD"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D905F1" w:rsidP="00D905F1" w:rsidRDefault="00D905F1" w14:paraId="66E7CF8F"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D905F1" w:rsidP="00D905F1" w:rsidRDefault="00D905F1" w14:paraId="661284FA"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6F84577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431C589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31800D3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18871DA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746"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1289EF2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D905F1" w:rsidP="00D905F1" w:rsidRDefault="00D905F1" w14:paraId="50A98B2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r>
      <w:tr w:rsidRPr="00AE701A" w:rsidR="00D905F1" w:rsidTr="00D905F1" w14:paraId="4B3B6BE2"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173EC4E1"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Maintain COVID-19 Log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D905F1" w:rsidP="00D905F1" w:rsidRDefault="00D905F1" w14:paraId="5E139A1E"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D905F1" w:rsidP="00D905F1" w:rsidRDefault="00D905F1" w14:paraId="310C5B73"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Employee</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D905F1" w:rsidP="00D905F1" w:rsidRDefault="00D905F1" w14:paraId="421D097E" w14:textId="77777777">
            <w:pPr>
              <w:autoSpaceDE/>
              <w:autoSpaceDN/>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IR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6F0201E2"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78,571</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3B0F368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51AAF95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272D19FC"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13,357.15</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D905F1" w:rsidP="00D905F1" w:rsidRDefault="00D905F1" w14:paraId="084AB10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347693F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Pr>
                <w:rFonts w:ascii="Calibri" w:hAnsi="Calibri" w:eastAsia="Times New Roman" w:cs="Calibri"/>
                <w:color w:val="000000"/>
                <w:sz w:val="20"/>
                <w:szCs w:val="20"/>
                <w:lang w:eastAsia="en-US"/>
              </w:rPr>
              <w:t>493,413.20</w:t>
            </w:r>
            <w:r w:rsidRPr="00252CD2">
              <w:rPr>
                <w:rFonts w:ascii="Calibri" w:hAnsi="Calibri" w:eastAsia="Times New Roman" w:cs="Calibri"/>
                <w:color w:val="000000"/>
                <w:sz w:val="20"/>
                <w:szCs w:val="20"/>
                <w:lang w:eastAsia="en-US"/>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44174193"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78,571.48</w:t>
            </w:r>
          </w:p>
        </w:tc>
      </w:tr>
      <w:tr w:rsidRPr="00AE701A" w:rsidR="00D905F1" w:rsidTr="00D905F1" w14:paraId="60425794"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41A6A1E1"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Employee Access to the COVID-19 Records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D905F1" w:rsidP="00D905F1" w:rsidRDefault="00D905F1" w14:paraId="309D1A5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D905F1" w:rsidP="00D905F1" w:rsidRDefault="00D905F1" w14:paraId="16086123"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D905F1" w:rsidP="00D905F1" w:rsidRDefault="00D905F1" w14:paraId="5A8333E9"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File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D905F1" w:rsidP="00D905F1" w:rsidRDefault="00D905F1" w14:paraId="766B5452"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516,918</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0E8ED67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18C62C5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059F8CF4"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10.338.36</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D905F1" w:rsidP="00D905F1" w:rsidRDefault="00D905F1" w14:paraId="54EF187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38ABDC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Pr>
                <w:rFonts w:ascii="Calibri" w:hAnsi="Calibri" w:eastAsia="Times New Roman" w:cs="Calibri"/>
                <w:color w:val="000000"/>
                <w:sz w:val="20"/>
                <w:szCs w:val="20"/>
                <w:lang w:eastAsia="en-US"/>
              </w:rPr>
              <w:t>381,899.02</w:t>
            </w:r>
            <w:r w:rsidRPr="00252CD2">
              <w:rPr>
                <w:rFonts w:ascii="Calibri" w:hAnsi="Calibri" w:eastAsia="Times New Roman" w:cs="Calibri"/>
                <w:color w:val="000000"/>
                <w:sz w:val="20"/>
                <w:szCs w:val="20"/>
                <w:lang w:eastAsia="en-US"/>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2C9EB995"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129,229.41</w:t>
            </w:r>
          </w:p>
        </w:tc>
      </w:tr>
      <w:tr w:rsidRPr="00AE701A" w:rsidR="00D905F1" w:rsidTr="00D905F1" w14:paraId="223E7A37" w14:textId="77777777">
        <w:trPr>
          <w:trHeight w:val="300"/>
        </w:trPr>
        <w:tc>
          <w:tcPr>
            <w:tcW w:w="14760"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D905F1" w:rsidP="00D905F1" w:rsidRDefault="00000D86" w14:paraId="6C26A96C" w14:textId="16D84A00">
            <w:pPr>
              <w:autoSpaceDE/>
              <w:autoSpaceDN/>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2</w:t>
            </w:r>
            <w:r w:rsidRPr="00520C25" w:rsidR="00D905F1">
              <w:rPr>
                <w:rFonts w:ascii="Calibri" w:hAnsi="Calibri" w:eastAsia="Times New Roman" w:cs="Calibri"/>
                <w:b/>
                <w:bCs/>
                <w:color w:val="000000"/>
                <w:sz w:val="20"/>
                <w:szCs w:val="20"/>
                <w:lang w:eastAsia="en-US"/>
              </w:rPr>
              <w:t>. Reporting COVID-19 of Fatalities and Hospitalizations</w:t>
            </w:r>
          </w:p>
        </w:tc>
      </w:tr>
      <w:tr w:rsidRPr="00AE701A" w:rsidR="00D905F1" w:rsidTr="00D905F1" w14:paraId="6A0D7384"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51E34BB3"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D905F1" w:rsidP="00D905F1" w:rsidRDefault="00D905F1" w14:paraId="17DBE2F4"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D905F1" w:rsidP="00D905F1" w:rsidRDefault="00D905F1" w14:paraId="699E64B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D905F1" w:rsidP="00D905F1" w:rsidRDefault="00D905F1" w14:paraId="7C8A6B3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D905F1" w:rsidP="00D905F1" w:rsidRDefault="00D905F1" w14:paraId="653EFECE"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3CC2141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C8A1F8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59E8886F"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5.45</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D905F1" w:rsidP="00D905F1" w:rsidRDefault="00D905F1" w14:paraId="48C6F70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74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1400505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Pr>
                <w:rFonts w:ascii="Calibri" w:hAnsi="Calibri" w:eastAsia="Times New Roman" w:cs="Calibri"/>
                <w:color w:val="000000"/>
                <w:sz w:val="20"/>
                <w:szCs w:val="20"/>
                <w:lang w:eastAsia="en-US"/>
              </w:rPr>
              <w:t>480.16</w:t>
            </w:r>
            <w:r w:rsidRPr="00252CD2">
              <w:rPr>
                <w:rFonts w:ascii="Calibri" w:hAnsi="Calibri" w:eastAsia="Times New Roman" w:cs="Calibri"/>
                <w:color w:val="000000"/>
                <w:sz w:val="20"/>
                <w:szCs w:val="20"/>
                <w:lang w:eastAsia="en-US"/>
              </w:rPr>
              <w:t xml:space="preserve"> </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6B16F04C"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16.50</w:t>
            </w:r>
          </w:p>
        </w:tc>
      </w:tr>
      <w:tr w:rsidRPr="00AE701A" w:rsidR="00D905F1" w:rsidTr="00D905F1" w14:paraId="2484AAEA" w14:textId="77777777">
        <w:trPr>
          <w:trHeight w:val="3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21157BFA"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041E44F"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0AE09746"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65181379"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67AFE7E4"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625FF4FC"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16465B9D"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24355760"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2D65C056" w14:textId="77777777">
            <w:pPr>
              <w:autoSpaceDE/>
              <w:autoSpaceDN/>
              <w:rPr>
                <w:rFonts w:ascii="Calibri" w:hAnsi="Calibri" w:eastAsia="Times New Roman" w:cs="Calibri"/>
                <w:color w:val="000000"/>
                <w:sz w:val="20"/>
                <w:szCs w:val="20"/>
                <w:lang w:eastAsia="en-US"/>
              </w:rPr>
            </w:pPr>
          </w:p>
        </w:tc>
        <w:tc>
          <w:tcPr>
            <w:tcW w:w="1746"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33908181"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9C4F8AC" w14:textId="77777777">
            <w:pPr>
              <w:autoSpaceDE/>
              <w:autoSpaceDN/>
              <w:rPr>
                <w:rFonts w:ascii="Calibri" w:hAnsi="Calibri" w:eastAsia="Times New Roman" w:cs="Calibri"/>
                <w:color w:val="000000"/>
                <w:sz w:val="20"/>
                <w:szCs w:val="20"/>
                <w:lang w:eastAsia="en-US"/>
              </w:rPr>
            </w:pPr>
          </w:p>
        </w:tc>
      </w:tr>
      <w:tr w:rsidRPr="00AE701A" w:rsidR="00D905F1" w:rsidTr="00D905F1" w14:paraId="607C9994"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109D90FA"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D905F1" w:rsidP="00D905F1" w:rsidRDefault="00D905F1" w14:paraId="07CF829E"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D905F1" w:rsidP="00D905F1" w:rsidRDefault="00D905F1" w14:paraId="3ED298ED"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D905F1" w:rsidP="00D905F1" w:rsidRDefault="00D905F1" w14:paraId="30419869"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734FB" w:rsidR="00D905F1" w:rsidP="00D905F1" w:rsidRDefault="00D905F1" w14:paraId="5F80C597"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116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D905F1" w:rsidP="00D905F1" w:rsidRDefault="00D905F1" w14:paraId="6A291CB3"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463EFFF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9EF0ACF"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9.57</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D905F1" w:rsidP="00D905F1" w:rsidRDefault="00D905F1" w14:paraId="627EA41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74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2F6A71D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Pr>
                <w:rFonts w:ascii="Calibri" w:hAnsi="Calibri" w:eastAsia="Times New Roman" w:cs="Calibri"/>
                <w:color w:val="000000"/>
                <w:sz w:val="20"/>
                <w:szCs w:val="20"/>
                <w:lang w:eastAsia="en-US"/>
              </w:rPr>
              <w:t>843.59</w:t>
            </w:r>
            <w:r w:rsidRPr="00252CD2">
              <w:rPr>
                <w:rFonts w:ascii="Calibri" w:hAnsi="Calibri" w:eastAsia="Times New Roman" w:cs="Calibri"/>
                <w:color w:val="000000"/>
                <w:sz w:val="20"/>
                <w:szCs w:val="20"/>
                <w:lang w:eastAsia="en-US"/>
              </w:rPr>
              <w:t xml:space="preserve"> </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219EB46E"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29.00</w:t>
            </w:r>
          </w:p>
        </w:tc>
      </w:tr>
      <w:tr w:rsidRPr="00AE701A" w:rsidR="00D905F1" w:rsidTr="00D905F1" w14:paraId="3C48627B" w14:textId="77777777">
        <w:trPr>
          <w:trHeight w:val="64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271CB6C2"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139BEAD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F8D4D6A"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ADFB965"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03D82206"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159DFADA"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68AD394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87B9948"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18B4515A" w14:textId="77777777">
            <w:pPr>
              <w:autoSpaceDE/>
              <w:autoSpaceDN/>
              <w:rPr>
                <w:rFonts w:ascii="Calibri" w:hAnsi="Calibri" w:eastAsia="Times New Roman" w:cs="Calibri"/>
                <w:color w:val="000000"/>
                <w:sz w:val="20"/>
                <w:szCs w:val="20"/>
                <w:lang w:eastAsia="en-US"/>
              </w:rPr>
            </w:pPr>
          </w:p>
        </w:tc>
        <w:tc>
          <w:tcPr>
            <w:tcW w:w="1746"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8A19647"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A0EFE8E" w14:textId="77777777">
            <w:pPr>
              <w:autoSpaceDE/>
              <w:autoSpaceDN/>
              <w:rPr>
                <w:rFonts w:ascii="Calibri" w:hAnsi="Calibri" w:eastAsia="Times New Roman" w:cs="Calibri"/>
                <w:color w:val="000000"/>
                <w:sz w:val="20"/>
                <w:szCs w:val="20"/>
                <w:lang w:eastAsia="en-US"/>
              </w:rPr>
            </w:pPr>
          </w:p>
        </w:tc>
      </w:tr>
      <w:tr w:rsidRPr="00AE701A" w:rsidR="00D905F1" w:rsidTr="00D905F1" w14:paraId="5EDDC6E9"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3FF6DACE"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D905F1" w:rsidP="00D905F1" w:rsidRDefault="00D905F1" w14:paraId="7C34EDAB"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D905F1" w:rsidP="00D905F1" w:rsidRDefault="00D905F1" w14:paraId="158EBB59"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D905F1" w:rsidP="00D905F1" w:rsidRDefault="00D905F1" w14:paraId="1FB6137C"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734FB" w:rsidR="00D905F1" w:rsidP="00D905F1" w:rsidRDefault="00D905F1" w14:paraId="271640D5"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25</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D905F1" w:rsidP="00D905F1" w:rsidRDefault="00D905F1" w14:paraId="1BC1FB7B"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BD957D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5C0B380E"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4.09</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D905F1" w:rsidP="00D905F1" w:rsidRDefault="00D905F1" w14:paraId="35725B6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74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F299B5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Pr>
                <w:rFonts w:ascii="Calibri" w:hAnsi="Calibri" w:eastAsia="Times New Roman" w:cs="Calibri"/>
                <w:color w:val="000000"/>
                <w:sz w:val="20"/>
                <w:szCs w:val="20"/>
                <w:lang w:eastAsia="en-US"/>
              </w:rPr>
              <w:t>360.20</w:t>
            </w:r>
            <w:r w:rsidRPr="00252CD2">
              <w:rPr>
                <w:rFonts w:ascii="Calibri" w:hAnsi="Calibri" w:eastAsia="Times New Roman" w:cs="Calibri"/>
                <w:color w:val="000000"/>
                <w:sz w:val="20"/>
                <w:szCs w:val="20"/>
                <w:lang w:eastAsia="en-US"/>
              </w:rPr>
              <w:t xml:space="preserve"> </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D905F1" w:rsidP="00D905F1" w:rsidRDefault="00D905F1" w14:paraId="7A3859E6" w14:textId="7777777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12.38</w:t>
            </w:r>
          </w:p>
        </w:tc>
      </w:tr>
      <w:tr w:rsidRPr="00AE701A" w:rsidR="00D905F1" w:rsidTr="00D905F1" w14:paraId="24CD993A" w14:textId="77777777">
        <w:trPr>
          <w:trHeight w:val="3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D905F1" w:rsidP="00D905F1" w:rsidRDefault="00D905F1" w14:paraId="7D24CA4F"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0772279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165C577"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78553880"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78657145"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66B75E1F"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23A2C76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36C92CE3"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5ECBD236" w14:textId="77777777">
            <w:pPr>
              <w:autoSpaceDE/>
              <w:autoSpaceDN/>
              <w:rPr>
                <w:rFonts w:ascii="Calibri" w:hAnsi="Calibri" w:eastAsia="Times New Roman" w:cs="Calibri"/>
                <w:color w:val="000000"/>
                <w:sz w:val="20"/>
                <w:szCs w:val="20"/>
                <w:lang w:eastAsia="en-US"/>
              </w:rPr>
            </w:pPr>
          </w:p>
        </w:tc>
        <w:tc>
          <w:tcPr>
            <w:tcW w:w="1746"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4C4C41F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D905F1" w:rsidP="00D905F1" w:rsidRDefault="00D905F1" w14:paraId="248BDDED" w14:textId="77777777">
            <w:pPr>
              <w:autoSpaceDE/>
              <w:autoSpaceDN/>
              <w:rPr>
                <w:rFonts w:ascii="Calibri" w:hAnsi="Calibri" w:eastAsia="Times New Roman" w:cs="Calibri"/>
                <w:color w:val="000000"/>
                <w:sz w:val="20"/>
                <w:szCs w:val="20"/>
                <w:lang w:eastAsia="en-US"/>
              </w:rPr>
            </w:pPr>
          </w:p>
        </w:tc>
      </w:tr>
      <w:tr w:rsidRPr="00AE701A" w:rsidR="00D905F1" w:rsidTr="00D905F1" w14:paraId="417C3B13"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000000" w:fill="8EA9DB"/>
            <w:noWrap/>
            <w:textDirection w:val="tbRl"/>
            <w:vAlign w:val="bottom"/>
            <w:hideMark/>
          </w:tcPr>
          <w:p w:rsidRPr="00091560" w:rsidR="00D905F1" w:rsidP="00D905F1" w:rsidRDefault="00D905F1" w14:paraId="7E7C0E86" w14:textId="77777777">
            <w:pPr>
              <w:autoSpaceDE/>
              <w:autoSpaceDN/>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 </w:t>
            </w:r>
          </w:p>
        </w:tc>
        <w:tc>
          <w:tcPr>
            <w:tcW w:w="1260" w:type="dxa"/>
            <w:tcBorders>
              <w:top w:val="single" w:color="auto" w:sz="4" w:space="0"/>
              <w:left w:val="nil"/>
              <w:bottom w:val="single" w:color="auto" w:sz="4" w:space="0"/>
              <w:right w:val="single" w:color="auto" w:sz="4" w:space="0"/>
            </w:tcBorders>
            <w:shd w:val="clear" w:color="000000" w:fill="8EA9DB"/>
            <w:vAlign w:val="center"/>
            <w:hideMark/>
          </w:tcPr>
          <w:p w:rsidRPr="00520C25" w:rsidR="00D905F1" w:rsidP="00D905F1" w:rsidRDefault="00D905F1" w14:paraId="78461D51"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8EA9DB"/>
            <w:vAlign w:val="center"/>
            <w:hideMark/>
          </w:tcPr>
          <w:p w:rsidRPr="00AB1E6C" w:rsidR="00D905F1" w:rsidP="00D905F1" w:rsidRDefault="00D905F1" w14:paraId="34DFA955"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04" w:type="dxa"/>
            <w:tcBorders>
              <w:top w:val="single" w:color="auto" w:sz="4" w:space="0"/>
              <w:left w:val="nil"/>
              <w:bottom w:val="single" w:color="auto" w:sz="4" w:space="0"/>
              <w:right w:val="single" w:color="auto" w:sz="4" w:space="0"/>
            </w:tcBorders>
            <w:shd w:val="clear" w:color="000000" w:fill="8EA9DB"/>
            <w:vAlign w:val="center"/>
            <w:hideMark/>
          </w:tcPr>
          <w:p w:rsidRPr="007B4BA7" w:rsidR="00D905F1" w:rsidP="00D905F1" w:rsidRDefault="00D905F1" w14:paraId="036FF3EE"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170" w:type="dxa"/>
            <w:tcBorders>
              <w:top w:val="single" w:color="auto" w:sz="4" w:space="0"/>
              <w:left w:val="nil"/>
              <w:bottom w:val="single" w:color="auto" w:sz="4" w:space="0"/>
              <w:right w:val="single" w:color="auto" w:sz="4" w:space="0"/>
            </w:tcBorders>
            <w:shd w:val="clear" w:color="000000" w:fill="8EA9DB"/>
            <w:vAlign w:val="center"/>
            <w:hideMark/>
          </w:tcPr>
          <w:p w:rsidRPr="003340D7" w:rsidR="00D905F1" w:rsidP="00D905F1" w:rsidRDefault="00D905F1" w14:paraId="78EDA0F6"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223" w:type="dxa"/>
            <w:tcBorders>
              <w:top w:val="single" w:color="auto" w:sz="4" w:space="0"/>
              <w:left w:val="nil"/>
              <w:bottom w:val="single" w:color="auto" w:sz="4" w:space="0"/>
              <w:right w:val="single" w:color="auto" w:sz="4" w:space="0"/>
            </w:tcBorders>
            <w:shd w:val="clear" w:color="000000" w:fill="8EA9DB"/>
            <w:vAlign w:val="center"/>
            <w:hideMark/>
          </w:tcPr>
          <w:p w:rsidRPr="003734FB" w:rsidR="00D905F1" w:rsidP="00D905F1" w:rsidRDefault="00D905F1" w14:paraId="4F4503B7" w14:textId="77777777">
            <w:pPr>
              <w:autoSpaceDE/>
              <w:autoSpaceDN/>
              <w:rPr>
                <w:rFonts w:ascii="Calibri" w:hAnsi="Calibri" w:eastAsia="Times New Roman" w:cs="Calibri"/>
                <w:b/>
                <w:bCs/>
                <w:color w:val="000000"/>
                <w:sz w:val="20"/>
                <w:szCs w:val="20"/>
                <w:lang w:eastAsia="en-US"/>
              </w:rPr>
            </w:pPr>
            <w:r w:rsidRPr="003734FB">
              <w:rPr>
                <w:rFonts w:ascii="Calibri" w:hAnsi="Calibri" w:eastAsia="Times New Roman" w:cs="Calibri"/>
                <w:b/>
                <w:bCs/>
                <w:color w:val="000000"/>
                <w:sz w:val="20"/>
                <w:szCs w:val="20"/>
                <w:lang w:eastAsia="en-US"/>
              </w:rPr>
              <w:t> </w:t>
            </w:r>
          </w:p>
        </w:tc>
        <w:tc>
          <w:tcPr>
            <w:tcW w:w="1080" w:type="dxa"/>
            <w:tcBorders>
              <w:top w:val="single" w:color="auto" w:sz="4" w:space="0"/>
              <w:left w:val="nil"/>
              <w:bottom w:val="single" w:color="auto" w:sz="4" w:space="0"/>
              <w:right w:val="single" w:color="auto" w:sz="4" w:space="0"/>
            </w:tcBorders>
            <w:shd w:val="clear" w:color="000000" w:fill="8EA9DB"/>
            <w:vAlign w:val="center"/>
            <w:hideMark/>
          </w:tcPr>
          <w:p w:rsidRPr="001D0186" w:rsidR="00D905F1" w:rsidP="00D905F1" w:rsidRDefault="00D905F1" w14:paraId="25AC512F"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8EA9DB"/>
            <w:vAlign w:val="center"/>
            <w:hideMark/>
          </w:tcPr>
          <w:p w:rsidRPr="00252CD2" w:rsidR="00D905F1" w:rsidP="00D905F1" w:rsidRDefault="00D905F1" w14:paraId="5EB33969"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nil"/>
              <w:bottom w:val="single" w:color="auto" w:sz="4" w:space="0"/>
              <w:right w:val="single" w:color="auto" w:sz="4" w:space="0"/>
            </w:tcBorders>
            <w:shd w:val="clear" w:color="000000" w:fill="8EA9DB"/>
            <w:vAlign w:val="center"/>
            <w:hideMark/>
          </w:tcPr>
          <w:p w:rsidRPr="00252CD2" w:rsidR="00D905F1" w:rsidP="00D905F1" w:rsidRDefault="00D905F1" w14:paraId="1CAE59F9"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746" w:type="dxa"/>
            <w:tcBorders>
              <w:top w:val="single" w:color="auto" w:sz="4" w:space="0"/>
              <w:left w:val="nil"/>
              <w:bottom w:val="single" w:color="auto" w:sz="4" w:space="0"/>
              <w:right w:val="single" w:color="auto" w:sz="4" w:space="0"/>
            </w:tcBorders>
            <w:shd w:val="clear" w:color="000000" w:fill="8EA9DB"/>
            <w:vAlign w:val="center"/>
            <w:hideMark/>
          </w:tcPr>
          <w:p w:rsidRPr="00252CD2" w:rsidR="00D905F1" w:rsidP="00D905F1" w:rsidRDefault="00D905F1" w14:paraId="67BE5D5A"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8EA9DB"/>
            <w:vAlign w:val="center"/>
            <w:hideMark/>
          </w:tcPr>
          <w:p w:rsidRPr="00252CD2" w:rsidR="00D905F1" w:rsidP="00D905F1" w:rsidRDefault="00D905F1" w14:paraId="0D1032DF"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r>
      <w:tr w:rsidRPr="00AE701A" w:rsidR="00D905F1" w:rsidTr="00D905F1" w14:paraId="65A25B78" w14:textId="77777777">
        <w:trPr>
          <w:trHeight w:val="290"/>
        </w:trPr>
        <w:tc>
          <w:tcPr>
            <w:tcW w:w="1620" w:type="dxa"/>
            <w:tcBorders>
              <w:top w:val="single" w:color="auto" w:sz="4" w:space="0"/>
              <w:left w:val="single" w:color="auto" w:sz="4" w:space="0"/>
              <w:bottom w:val="single" w:color="auto" w:sz="4" w:space="0"/>
              <w:right w:val="nil"/>
            </w:tcBorders>
            <w:shd w:val="clear" w:color="000000" w:fill="B4C6E7"/>
            <w:noWrap/>
            <w:vAlign w:val="bottom"/>
            <w:hideMark/>
          </w:tcPr>
          <w:p w:rsidRPr="00091560" w:rsidR="00D905F1" w:rsidP="00D905F1" w:rsidRDefault="00D905F1" w14:paraId="55F32C3B" w14:textId="77777777">
            <w:pPr>
              <w:autoSpaceDE/>
              <w:autoSpaceDN/>
              <w:rPr>
                <w:rFonts w:ascii="Calibri" w:hAnsi="Calibri" w:eastAsia="Times New Roman" w:cs="Calibri"/>
                <w:b/>
                <w:bCs/>
                <w:color w:val="000000"/>
                <w:sz w:val="20"/>
                <w:szCs w:val="20"/>
                <w:lang w:eastAsia="en-US"/>
              </w:rPr>
            </w:pPr>
            <w:r w:rsidRPr="00091560">
              <w:rPr>
                <w:rFonts w:ascii="Calibri" w:hAnsi="Calibri" w:eastAsia="Times New Roman" w:cs="Calibri"/>
                <w:b/>
                <w:bCs/>
                <w:color w:val="000000"/>
                <w:sz w:val="20"/>
                <w:szCs w:val="20"/>
                <w:lang w:eastAsia="en-US"/>
              </w:rPr>
              <w:t>Total</w:t>
            </w:r>
          </w:p>
        </w:tc>
        <w:tc>
          <w:tcPr>
            <w:tcW w:w="1260" w:type="dxa"/>
            <w:tcBorders>
              <w:top w:val="single" w:color="auto" w:sz="4" w:space="0"/>
              <w:left w:val="single" w:color="auto" w:sz="4" w:space="0"/>
              <w:bottom w:val="single" w:color="auto" w:sz="4" w:space="0"/>
              <w:right w:val="single" w:color="auto" w:sz="4" w:space="0"/>
            </w:tcBorders>
            <w:shd w:val="clear" w:color="000000" w:fill="B4C6E7"/>
            <w:vAlign w:val="bottom"/>
            <w:hideMark/>
          </w:tcPr>
          <w:p w:rsidRPr="00520C25" w:rsidR="00D905F1" w:rsidP="00D905F1" w:rsidRDefault="00D905F1" w14:paraId="6CF4B596" w14:textId="77777777">
            <w:pPr>
              <w:autoSpaceDE/>
              <w:autoSpaceDN/>
              <w:jc w:val="right"/>
              <w:rPr>
                <w:rFonts w:ascii="Calibri" w:hAnsi="Calibri" w:eastAsia="Times New Roman" w:cs="Calibri"/>
                <w:b/>
                <w:bCs/>
                <w:color w:val="000000"/>
                <w:sz w:val="20"/>
                <w:szCs w:val="20"/>
                <w:lang w:eastAsia="en-US"/>
              </w:rPr>
            </w:pPr>
          </w:p>
        </w:tc>
        <w:tc>
          <w:tcPr>
            <w:tcW w:w="1440" w:type="dxa"/>
            <w:tcBorders>
              <w:top w:val="single" w:color="auto" w:sz="4" w:space="0"/>
              <w:left w:val="nil"/>
              <w:bottom w:val="single" w:color="auto" w:sz="4" w:space="0"/>
              <w:right w:val="single" w:color="auto" w:sz="4" w:space="0"/>
            </w:tcBorders>
            <w:shd w:val="clear" w:color="000000" w:fill="B4C6E7"/>
            <w:vAlign w:val="bottom"/>
            <w:hideMark/>
          </w:tcPr>
          <w:p w:rsidRPr="00AB1E6C" w:rsidR="00D905F1" w:rsidP="00D905F1" w:rsidRDefault="00D905F1" w14:paraId="02E739C0" w14:textId="77777777">
            <w:pPr>
              <w:autoSpaceDE/>
              <w:autoSpaceDN/>
              <w:jc w:val="right"/>
              <w:rPr>
                <w:rFonts w:ascii="Calibri" w:hAnsi="Calibri" w:eastAsia="Times New Roman" w:cs="Calibri"/>
                <w:b/>
                <w:bCs/>
                <w:color w:val="000000"/>
                <w:sz w:val="20"/>
                <w:szCs w:val="20"/>
                <w:lang w:eastAsia="en-US"/>
              </w:rPr>
            </w:pPr>
          </w:p>
        </w:tc>
        <w:tc>
          <w:tcPr>
            <w:tcW w:w="1404" w:type="dxa"/>
            <w:tcBorders>
              <w:top w:val="single" w:color="auto" w:sz="4" w:space="0"/>
              <w:left w:val="nil"/>
              <w:bottom w:val="single" w:color="auto" w:sz="4" w:space="0"/>
              <w:right w:val="single" w:color="auto" w:sz="4" w:space="0"/>
            </w:tcBorders>
            <w:shd w:val="clear" w:color="000000" w:fill="B4C6E7"/>
            <w:vAlign w:val="bottom"/>
            <w:hideMark/>
          </w:tcPr>
          <w:p w:rsidRPr="007B4BA7" w:rsidR="00D905F1" w:rsidP="00D905F1" w:rsidRDefault="00D905F1" w14:paraId="7B9F30C5" w14:textId="77777777">
            <w:pPr>
              <w:autoSpaceDE/>
              <w:autoSpaceDN/>
              <w:jc w:val="right"/>
              <w:rPr>
                <w:rFonts w:ascii="Calibri" w:hAnsi="Calibri" w:eastAsia="Times New Roman" w:cs="Calibri"/>
                <w:b/>
                <w:bCs/>
                <w:color w:val="000000"/>
                <w:sz w:val="20"/>
                <w:szCs w:val="20"/>
                <w:lang w:eastAsia="en-US"/>
              </w:rPr>
            </w:pPr>
          </w:p>
        </w:tc>
        <w:tc>
          <w:tcPr>
            <w:tcW w:w="1170" w:type="dxa"/>
            <w:tcBorders>
              <w:top w:val="single" w:color="auto" w:sz="4" w:space="0"/>
              <w:left w:val="nil"/>
              <w:bottom w:val="single" w:color="auto" w:sz="4" w:space="0"/>
              <w:right w:val="single" w:color="auto" w:sz="4" w:space="0"/>
            </w:tcBorders>
            <w:shd w:val="clear" w:color="000000" w:fill="B4C6E7"/>
            <w:vAlign w:val="bottom"/>
            <w:hideMark/>
          </w:tcPr>
          <w:p w:rsidR="00D905F1" w:rsidP="00D905F1" w:rsidRDefault="00D905F1" w14:paraId="6348E482" w14:textId="3064649D">
            <w:pPr>
              <w:autoSpaceDE/>
              <w:autoSpaceDN/>
              <w:jc w:val="right"/>
              <w:rPr>
                <w:rFonts w:ascii="Calibri" w:hAnsi="Calibri" w:cs="Calibri"/>
                <w:b/>
                <w:bCs/>
                <w:color w:val="000000"/>
                <w:sz w:val="20"/>
                <w:szCs w:val="20"/>
              </w:rPr>
            </w:pPr>
          </w:p>
          <w:p w:rsidRPr="003340D7" w:rsidR="004207E9" w:rsidP="00D905F1" w:rsidRDefault="004207E9" w14:paraId="251EF459" w14:textId="1E22117E">
            <w:pPr>
              <w:autoSpaceDE/>
              <w:autoSpaceDN/>
              <w:jc w:val="right"/>
              <w:rPr>
                <w:rFonts w:ascii="Calibri" w:hAnsi="Calibri" w:eastAsia="Times New Roman" w:cs="Calibri"/>
                <w:b/>
                <w:bCs/>
                <w:color w:val="000000"/>
                <w:sz w:val="20"/>
                <w:szCs w:val="20"/>
                <w:lang w:eastAsia="en-US"/>
              </w:rPr>
            </w:pPr>
            <w:r>
              <w:rPr>
                <w:rFonts w:ascii="Calibri" w:hAnsi="Calibri" w:cs="Calibri"/>
                <w:b/>
                <w:bCs/>
                <w:color w:val="000000"/>
                <w:sz w:val="20"/>
                <w:szCs w:val="20"/>
              </w:rPr>
              <w:t>595,696</w:t>
            </w:r>
          </w:p>
        </w:tc>
        <w:tc>
          <w:tcPr>
            <w:tcW w:w="1223" w:type="dxa"/>
            <w:tcBorders>
              <w:top w:val="single" w:color="auto" w:sz="4" w:space="0"/>
              <w:left w:val="nil"/>
              <w:bottom w:val="single" w:color="auto" w:sz="4" w:space="0"/>
              <w:right w:val="single" w:color="auto" w:sz="4" w:space="0"/>
            </w:tcBorders>
            <w:shd w:val="clear" w:color="000000" w:fill="B4C6E7"/>
            <w:vAlign w:val="bottom"/>
            <w:hideMark/>
          </w:tcPr>
          <w:p w:rsidRPr="003340D7" w:rsidR="00D905F1" w:rsidP="00D905F1" w:rsidRDefault="00D905F1" w14:paraId="2F90D1C6" w14:textId="77777777">
            <w:pPr>
              <w:autoSpaceDE/>
              <w:autoSpaceDN/>
              <w:jc w:val="right"/>
              <w:rPr>
                <w:rFonts w:ascii="Calibri" w:hAnsi="Calibri" w:eastAsia="Times New Roman" w:cs="Calibri"/>
                <w:b/>
                <w:bCs/>
                <w:color w:val="000000"/>
                <w:sz w:val="20"/>
                <w:szCs w:val="20"/>
                <w:lang w:eastAsia="en-US"/>
              </w:rPr>
            </w:pPr>
          </w:p>
        </w:tc>
        <w:tc>
          <w:tcPr>
            <w:tcW w:w="1080" w:type="dxa"/>
            <w:tcBorders>
              <w:top w:val="single" w:color="auto" w:sz="4" w:space="0"/>
              <w:left w:val="nil"/>
              <w:bottom w:val="single" w:color="auto" w:sz="4" w:space="0"/>
              <w:right w:val="single" w:color="auto" w:sz="4" w:space="0"/>
            </w:tcBorders>
            <w:shd w:val="clear" w:color="000000" w:fill="B4C6E7"/>
            <w:vAlign w:val="bottom"/>
            <w:hideMark/>
          </w:tcPr>
          <w:p w:rsidRPr="003734FB" w:rsidR="00D905F1" w:rsidP="00D905F1" w:rsidRDefault="00D905F1" w14:paraId="61CC71CB" w14:textId="77777777">
            <w:pPr>
              <w:autoSpaceDE/>
              <w:autoSpaceDN/>
              <w:jc w:val="right"/>
              <w:rPr>
                <w:rFonts w:ascii="Calibri" w:hAnsi="Calibri" w:eastAsia="Times New Roman" w:cs="Calibri"/>
                <w:b/>
                <w:bCs/>
                <w:color w:val="000000"/>
                <w:sz w:val="20"/>
                <w:szCs w:val="20"/>
                <w:lang w:eastAsia="en-US"/>
              </w:rPr>
            </w:pPr>
          </w:p>
        </w:tc>
        <w:tc>
          <w:tcPr>
            <w:tcW w:w="1440" w:type="dxa"/>
            <w:tcBorders>
              <w:top w:val="single" w:color="auto" w:sz="4" w:space="0"/>
              <w:left w:val="nil"/>
              <w:bottom w:val="single" w:color="auto" w:sz="4" w:space="0"/>
              <w:right w:val="single" w:color="auto" w:sz="4" w:space="0"/>
            </w:tcBorders>
            <w:shd w:val="clear" w:color="000000" w:fill="B4C6E7"/>
            <w:vAlign w:val="bottom"/>
            <w:hideMark/>
          </w:tcPr>
          <w:p w:rsidR="00D905F1" w:rsidP="00D905F1" w:rsidRDefault="00D905F1" w14:paraId="7E6F6C99" w14:textId="1674A48B">
            <w:pPr>
              <w:autoSpaceDE/>
              <w:autoSpaceDN/>
              <w:jc w:val="right"/>
              <w:rPr>
                <w:rFonts w:ascii="Calibri" w:hAnsi="Calibri" w:cs="Calibri"/>
                <w:b/>
                <w:bCs/>
                <w:color w:val="000000"/>
                <w:sz w:val="20"/>
                <w:szCs w:val="20"/>
              </w:rPr>
            </w:pPr>
          </w:p>
          <w:p w:rsidRPr="00252CD2" w:rsidR="004207E9" w:rsidP="00D905F1" w:rsidRDefault="004207E9" w14:paraId="7B3662EB" w14:textId="592FA37B">
            <w:pPr>
              <w:autoSpaceDE/>
              <w:autoSpaceDN/>
              <w:jc w:val="right"/>
              <w:rPr>
                <w:rFonts w:ascii="Calibri" w:hAnsi="Calibri" w:eastAsia="Times New Roman" w:cs="Calibri"/>
                <w:b/>
                <w:bCs/>
                <w:color w:val="000000"/>
                <w:sz w:val="20"/>
                <w:szCs w:val="20"/>
                <w:lang w:eastAsia="en-US"/>
              </w:rPr>
            </w:pPr>
            <w:r>
              <w:rPr>
                <w:rFonts w:ascii="Calibri" w:hAnsi="Calibri" w:cs="Calibri"/>
                <w:b/>
                <w:bCs/>
                <w:color w:val="000000"/>
                <w:sz w:val="20"/>
                <w:szCs w:val="20"/>
              </w:rPr>
              <w:t>23,714.61</w:t>
            </w:r>
          </w:p>
        </w:tc>
        <w:tc>
          <w:tcPr>
            <w:tcW w:w="937" w:type="dxa"/>
            <w:tcBorders>
              <w:top w:val="single" w:color="auto" w:sz="4" w:space="0"/>
              <w:left w:val="nil"/>
              <w:bottom w:val="single" w:color="auto" w:sz="4" w:space="0"/>
              <w:right w:val="single" w:color="auto" w:sz="4" w:space="0"/>
            </w:tcBorders>
            <w:shd w:val="clear" w:color="000000" w:fill="B4C6E7"/>
            <w:vAlign w:val="bottom"/>
            <w:hideMark/>
          </w:tcPr>
          <w:p w:rsidRPr="00252CD2" w:rsidR="00D905F1" w:rsidP="00D905F1" w:rsidRDefault="00D905F1" w14:paraId="707DB9F8" w14:textId="77777777">
            <w:pPr>
              <w:autoSpaceDE/>
              <w:autoSpaceDN/>
              <w:jc w:val="right"/>
              <w:rPr>
                <w:rFonts w:ascii="Calibri" w:hAnsi="Calibri" w:eastAsia="Times New Roman" w:cs="Calibri"/>
                <w:b/>
                <w:bCs/>
                <w:color w:val="000000"/>
                <w:sz w:val="20"/>
                <w:szCs w:val="20"/>
                <w:lang w:eastAsia="en-US"/>
              </w:rPr>
            </w:pPr>
          </w:p>
        </w:tc>
        <w:tc>
          <w:tcPr>
            <w:tcW w:w="1746" w:type="dxa"/>
            <w:tcBorders>
              <w:top w:val="single" w:color="auto" w:sz="4" w:space="0"/>
              <w:left w:val="nil"/>
              <w:bottom w:val="single" w:color="auto" w:sz="4" w:space="0"/>
              <w:right w:val="single" w:color="auto" w:sz="4" w:space="0"/>
            </w:tcBorders>
            <w:shd w:val="clear" w:color="000000" w:fill="B4C6E7"/>
            <w:vAlign w:val="bottom"/>
            <w:hideMark/>
          </w:tcPr>
          <w:p w:rsidRPr="00252CD2" w:rsidR="00D905F1" w:rsidP="00360B02" w:rsidRDefault="004207E9" w14:paraId="22544ED0" w14:textId="38DF8D95">
            <w:pPr>
              <w:autoSpaceDE/>
              <w:autoSpaceDN/>
              <w:jc w:val="right"/>
              <w:rPr>
                <w:rFonts w:ascii="Calibri" w:hAnsi="Calibri" w:eastAsia="Times New Roman" w:cs="Calibri"/>
                <w:b/>
                <w:bCs/>
                <w:color w:val="000000"/>
                <w:sz w:val="20"/>
                <w:szCs w:val="20"/>
                <w:lang w:eastAsia="en-US"/>
              </w:rPr>
            </w:pPr>
            <w:r>
              <w:rPr>
                <w:rFonts w:ascii="Calibri" w:hAnsi="Calibri" w:cs="Calibri"/>
                <w:b/>
                <w:bCs/>
                <w:color w:val="000000"/>
                <w:sz w:val="20"/>
                <w:szCs w:val="20"/>
              </w:rPr>
              <w:t>$876,99</w:t>
            </w:r>
            <w:r w:rsidR="00360B02">
              <w:rPr>
                <w:rFonts w:ascii="Calibri" w:hAnsi="Calibri" w:cs="Calibri"/>
                <w:b/>
                <w:bCs/>
                <w:color w:val="000000"/>
                <w:sz w:val="20"/>
                <w:szCs w:val="20"/>
              </w:rPr>
              <w:t>6.18</w:t>
            </w:r>
          </w:p>
        </w:tc>
        <w:tc>
          <w:tcPr>
            <w:tcW w:w="1440" w:type="dxa"/>
            <w:tcBorders>
              <w:top w:val="single" w:color="auto" w:sz="4" w:space="0"/>
              <w:left w:val="nil"/>
              <w:bottom w:val="single" w:color="auto" w:sz="4" w:space="0"/>
              <w:right w:val="single" w:color="auto" w:sz="4" w:space="0"/>
            </w:tcBorders>
            <w:shd w:val="clear" w:color="000000" w:fill="B4C6E7"/>
            <w:vAlign w:val="bottom"/>
            <w:hideMark/>
          </w:tcPr>
          <w:p w:rsidRPr="00252CD2" w:rsidR="00D905F1" w:rsidP="00360B02" w:rsidRDefault="00360B02" w14:paraId="176054D0" w14:textId="4AADCB8F">
            <w:pPr>
              <w:autoSpaceDE/>
              <w:autoSpaceDN/>
              <w:jc w:val="right"/>
              <w:rPr>
                <w:rFonts w:ascii="Calibri" w:hAnsi="Calibri" w:eastAsia="Times New Roman" w:cs="Calibri"/>
                <w:b/>
                <w:bCs/>
                <w:color w:val="000000"/>
                <w:sz w:val="20"/>
                <w:szCs w:val="20"/>
                <w:lang w:eastAsia="en-US"/>
              </w:rPr>
            </w:pPr>
            <w:r>
              <w:rPr>
                <w:rFonts w:ascii="Calibri" w:hAnsi="Calibri" w:cs="Calibri"/>
                <w:b/>
                <w:bCs/>
                <w:color w:val="000000"/>
                <w:sz w:val="20"/>
                <w:szCs w:val="20"/>
              </w:rPr>
              <w:t xml:space="preserve"> 207,858.87</w:t>
            </w:r>
          </w:p>
        </w:tc>
      </w:tr>
    </w:tbl>
    <w:p w:rsidR="00C05411" w:rsidP="00C05411" w:rsidRDefault="00C05411" w14:paraId="508DF0B1" w14:textId="193AF8CC">
      <w:pPr>
        <w:spacing w:line="480" w:lineRule="auto"/>
        <w:outlineLvl w:val="4"/>
        <w:rPr>
          <w:rFonts w:eastAsia="Arial Unicode MS"/>
          <w:color w:val="000000"/>
        </w:rPr>
      </w:pPr>
    </w:p>
    <w:p w:rsidRPr="00394886" w:rsidR="00AE701A" w:rsidP="00C05411" w:rsidRDefault="00AE701A" w14:paraId="437F867E" w14:textId="77777777">
      <w:pPr>
        <w:spacing w:line="480" w:lineRule="auto"/>
        <w:outlineLvl w:val="4"/>
        <w:rPr>
          <w:rFonts w:eastAsia="Arial Unicode MS"/>
          <w:color w:val="000000"/>
        </w:rPr>
      </w:pPr>
    </w:p>
    <w:p w:rsidRPr="00394886" w:rsidR="00C05411" w:rsidP="00C05411" w:rsidRDefault="00C05411" w14:paraId="7057A950" w14:textId="77777777">
      <w:pPr>
        <w:outlineLvl w:val="4"/>
        <w:rPr>
          <w:rFonts w:eastAsia="Arial Unicode MS"/>
          <w:b/>
          <w:color w:val="000000"/>
        </w:rPr>
      </w:pPr>
    </w:p>
    <w:p w:rsidR="00DF31C0" w:rsidP="00C05411" w:rsidRDefault="00DF31C0" w14:paraId="20352608" w14:textId="3423FE22"/>
    <w:p w:rsidR="00DF31C0" w:rsidP="00C05411" w:rsidRDefault="00DF31C0" w14:paraId="0D01D438" w14:textId="77777777"/>
    <w:p w:rsidR="00C05411" w:rsidP="00C05411" w:rsidRDefault="00C05411" w14:paraId="022EC89E" w14:textId="77777777"/>
    <w:p w:rsidR="006F6DBC" w:rsidP="00C05411" w:rsidRDefault="006F6DBC" w14:paraId="083F18A9" w14:textId="77777777">
      <w:pPr>
        <w:rPr>
          <w:b/>
          <w:bCs/>
        </w:rPr>
      </w:pPr>
    </w:p>
    <w:p w:rsidR="00C05411" w:rsidP="00C05411" w:rsidRDefault="00C05411" w14:paraId="7A5A5EE3" w14:textId="16050B7F"/>
    <w:p w:rsidR="00C05411" w:rsidP="00C05411" w:rsidRDefault="00C05411" w14:paraId="77F71FA6" w14:textId="77777777"/>
    <w:p w:rsidR="00C05411" w:rsidP="00C05411" w:rsidRDefault="00C05411" w14:paraId="5E8626CD" w14:textId="77777777">
      <w:pPr>
        <w:rPr>
          <w:b/>
        </w:rPr>
      </w:pPr>
    </w:p>
    <w:p w:rsidR="00C05411" w:rsidP="00C05411" w:rsidRDefault="00C05411" w14:paraId="5B8B7E48" w14:textId="77777777">
      <w:pPr>
        <w:rPr>
          <w:b/>
        </w:rPr>
      </w:pPr>
    </w:p>
    <w:p w:rsidRPr="006D42DA" w:rsidR="00C05411" w:rsidP="00C05411" w:rsidRDefault="00C05411" w14:paraId="3A5A0397" w14:textId="77777777">
      <w:pPr>
        <w:rPr>
          <w:b/>
        </w:rPr>
      </w:pPr>
    </w:p>
    <w:p w:rsidR="0038224F" w:rsidP="00E35242" w:rsidRDefault="0038224F" w14:paraId="352ED93B" w14:textId="0BFF3782">
      <w:pPr>
        <w:rPr>
          <w:b/>
          <w:bCs/>
        </w:rPr>
      </w:pPr>
    </w:p>
    <w:p w:rsidR="0038224F" w:rsidP="00E35242" w:rsidRDefault="0038224F" w14:paraId="54692569" w14:textId="77777777">
      <w:pPr>
        <w:rPr>
          <w:b/>
          <w:bCs/>
        </w:rPr>
        <w:sectPr w:rsidR="0038224F" w:rsidSect="00D905F1">
          <w:pgSz w:w="15840" w:h="12240" w:orient="landscape" w:code="1"/>
          <w:pgMar w:top="1440" w:right="1440" w:bottom="1440" w:left="1440" w:header="720" w:footer="720" w:gutter="0"/>
          <w:cols w:space="720"/>
          <w:docGrid w:linePitch="360"/>
        </w:sectPr>
      </w:pPr>
    </w:p>
    <w:p w:rsidRPr="00CF752A" w:rsidR="00E35242" w:rsidP="00CF752A" w:rsidRDefault="00E35242" w14:paraId="4A9766B7" w14:textId="09E38F16">
      <w:pPr>
        <w:pStyle w:val="Heading2"/>
        <w:numPr>
          <w:ilvl w:val="1"/>
          <w:numId w:val="19"/>
        </w:numPr>
        <w:rPr>
          <w:sz w:val="22"/>
          <w:szCs w:val="22"/>
          <w:lang w:val="x-none"/>
        </w:rPr>
      </w:pPr>
      <w:r w:rsidRPr="00CF752A">
        <w:rPr>
          <w:sz w:val="22"/>
          <w:szCs w:val="22"/>
          <w:lang w:val="x-none"/>
        </w:rPr>
        <w:t>Provide an estimate of the total annual cost burden to respondents or recordkeepers resulting from the collection of information.  (Do not include the cost of any hour burden shown in Items 12 and 14.)</w:t>
      </w:r>
    </w:p>
    <w:p w:rsidR="00E35242" w:rsidP="00E35242" w:rsidRDefault="00E35242" w14:paraId="2D4C63E8" w14:textId="77777777">
      <w:pPr>
        <w:ind w:left="432" w:firstLine="18"/>
        <w:rPr>
          <w:b/>
          <w:bCs/>
          <w:sz w:val="22"/>
          <w:szCs w:val="22"/>
        </w:rPr>
      </w:pPr>
      <w:r>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242" w:rsidP="00E35242" w:rsidRDefault="00E35242" w14:paraId="66A1848F" w14:textId="77777777">
      <w:pPr>
        <w:ind w:firstLine="18"/>
        <w:rPr>
          <w:b/>
          <w:bCs/>
          <w:sz w:val="22"/>
          <w:szCs w:val="22"/>
        </w:rPr>
      </w:pPr>
    </w:p>
    <w:p w:rsidR="00E35242" w:rsidP="00E35242" w:rsidRDefault="00E35242" w14:paraId="5D675483" w14:textId="77777777">
      <w:pPr>
        <w:ind w:left="432" w:firstLine="18"/>
        <w:rPr>
          <w:b/>
          <w:bCs/>
          <w:sz w:val="22"/>
          <w:szCs w:val="22"/>
        </w:rPr>
      </w:pPr>
      <w:r>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242" w:rsidP="00E35242" w:rsidRDefault="00E35242" w14:paraId="60221B60" w14:textId="77777777">
      <w:pPr>
        <w:ind w:firstLine="18"/>
        <w:rPr>
          <w:b/>
          <w:bCs/>
          <w:sz w:val="22"/>
          <w:szCs w:val="22"/>
        </w:rPr>
      </w:pPr>
    </w:p>
    <w:p w:rsidR="00E35242" w:rsidP="00E35242" w:rsidRDefault="00E35242" w14:paraId="17812066" w14:textId="77777777">
      <w:pPr>
        <w:ind w:left="432" w:firstLine="18"/>
        <w:rPr>
          <w:b/>
          <w:bCs/>
          <w:sz w:val="22"/>
          <w:szCs w:val="22"/>
        </w:rPr>
      </w:pPr>
      <w:r>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67E24" w:rsidR="003D6428" w:rsidP="00E35242" w:rsidRDefault="003D6428" w14:paraId="79C5A1E7" w14:textId="3E894E56">
      <w:pPr>
        <w:pStyle w:val="Default"/>
        <w:rPr>
          <w:color w:val="auto"/>
        </w:rPr>
      </w:pPr>
    </w:p>
    <w:p w:rsidRPr="00E4458D" w:rsidR="007258A1" w:rsidP="007258A1" w:rsidRDefault="007258A1" w14:paraId="766CC8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4458D">
        <w:t xml:space="preserve">Item 12 above provides the total cost of the information collection requirements specified by </w:t>
      </w:r>
    </w:p>
    <w:p w:rsidR="007258A1" w:rsidP="007258A1" w:rsidRDefault="007258A1" w14:paraId="4657E1F5" w14:textId="10D2D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4458D">
        <w:t>§ 19</w:t>
      </w:r>
      <w:r>
        <w:t>10.502</w:t>
      </w:r>
      <w:r w:rsidRPr="00E4458D">
        <w:t>(</w:t>
      </w:r>
      <w:r>
        <w:t>q</w:t>
      </w:r>
      <w:r w:rsidRPr="00E4458D">
        <w:t>)</w:t>
      </w:r>
      <w:r>
        <w:t>(2)</w:t>
      </w:r>
      <w:r w:rsidR="0005259D">
        <w:t>(ii)</w:t>
      </w:r>
      <w:r>
        <w:t>&amp;(3)</w:t>
      </w:r>
      <w:r w:rsidR="0005259D">
        <w:t>(ii)-(iv)</w:t>
      </w:r>
      <w:r w:rsidRPr="00E4458D">
        <w:t xml:space="preserve"> and § 19</w:t>
      </w:r>
      <w:r>
        <w:t>10</w:t>
      </w:r>
      <w:r w:rsidRPr="00E4458D">
        <w:t>.</w:t>
      </w:r>
      <w:r>
        <w:t>502</w:t>
      </w:r>
      <w:r w:rsidRPr="00E4458D">
        <w:t>(</w:t>
      </w:r>
      <w:r>
        <w:t>r</w:t>
      </w:r>
      <w:r w:rsidRPr="00E4458D">
        <w:t>)(2).</w:t>
      </w:r>
    </w:p>
    <w:p w:rsidRPr="00E4458D" w:rsidR="001056B6" w:rsidP="007258A1" w:rsidRDefault="001056B6" w14:paraId="02BA6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E35242" w:rsidP="00E35242" w:rsidRDefault="00E35242" w14:paraId="6595CC6A" w14:textId="6E35008F">
      <w:pPr>
        <w:pStyle w:val="Heading2"/>
        <w:ind w:left="0" w:firstLine="0"/>
        <w:rPr>
          <w:sz w:val="22"/>
          <w:szCs w:val="22"/>
          <w:lang w:val="x-none"/>
        </w:rPr>
      </w:pPr>
      <w:r>
        <w:rPr>
          <w:sz w:val="22"/>
          <w:szCs w:val="22"/>
          <w:lang w:val="x-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35242" w:rsidP="00E35242" w:rsidRDefault="00E35242" w14:paraId="3ECFF904" w14:textId="08AA0253">
      <w:r>
        <w:t xml:space="preserve">There are no costs to the Federal Government. </w:t>
      </w:r>
    </w:p>
    <w:p w:rsidR="00FB1F3B" w:rsidP="00E35242" w:rsidRDefault="00FB1F3B" w14:paraId="7D27D515" w14:textId="77777777"/>
    <w:p w:rsidR="00E35242" w:rsidP="00E35242" w:rsidRDefault="00E35242" w14:paraId="11127816" w14:textId="7E57EE43">
      <w:pPr>
        <w:pStyle w:val="Heading2"/>
        <w:ind w:left="0" w:firstLine="0"/>
        <w:rPr>
          <w:lang w:val="x-none"/>
        </w:rPr>
      </w:pPr>
      <w:r>
        <w:rPr>
          <w:lang w:val="x-none"/>
        </w:rPr>
        <w:t>Explain the reasons for any program changes or adjustments.</w:t>
      </w:r>
    </w:p>
    <w:p w:rsidRPr="00E2437D" w:rsidR="00E2437D" w:rsidP="00E2437D" w:rsidRDefault="008E4A08" w14:paraId="0E5C8EC8" w14:textId="7D784F5F">
      <w:pPr>
        <w:pStyle w:val="Heading2"/>
        <w:numPr>
          <w:ilvl w:val="0"/>
          <w:numId w:val="0"/>
        </w:numPr>
        <w:rPr>
          <w:b w:val="0"/>
          <w:lang w:val="x-none"/>
        </w:rPr>
      </w:pPr>
      <w:r>
        <w:rPr>
          <w:b w:val="0"/>
        </w:rPr>
        <w:t xml:space="preserve">The </w:t>
      </w:r>
      <w:r w:rsidR="001B3AE9">
        <w:rPr>
          <w:b w:val="0"/>
        </w:rPr>
        <w:t>a</w:t>
      </w:r>
      <w:r>
        <w:rPr>
          <w:b w:val="0"/>
        </w:rPr>
        <w:t xml:space="preserve">gency is requesting </w:t>
      </w:r>
      <w:r w:rsidRPr="00645361" w:rsidR="00645361">
        <w:rPr>
          <w:b w:val="0"/>
        </w:rPr>
        <w:t>a program change decrease of 19,248,345 hours and an adjustment increase of 11,858 hours in recordkeeping</w:t>
      </w:r>
      <w:r w:rsidR="00C215FE">
        <w:rPr>
          <w:b w:val="0"/>
        </w:rPr>
        <w:t xml:space="preserve"> with</w:t>
      </w:r>
      <w:r w:rsidR="00EA3BB4">
        <w:rPr>
          <w:b w:val="0"/>
        </w:rPr>
        <w:t xml:space="preserve"> an annual burden of </w:t>
      </w:r>
      <w:r w:rsidR="00C215FE">
        <w:rPr>
          <w:b w:val="0"/>
        </w:rPr>
        <w:t>23,715</w:t>
      </w:r>
      <w:r>
        <w:rPr>
          <w:b w:val="0"/>
        </w:rPr>
        <w:t>.</w:t>
      </w:r>
      <w:r w:rsidR="00EA3BB4">
        <w:rPr>
          <w:b w:val="0"/>
        </w:rPr>
        <w:t xml:space="preserve"> </w:t>
      </w:r>
      <w:r>
        <w:rPr>
          <w:b w:val="0"/>
        </w:rPr>
        <w:t xml:space="preserve"> </w:t>
      </w:r>
      <w:r w:rsidR="00EA3BB4">
        <w:rPr>
          <w:b w:val="0"/>
        </w:rPr>
        <w:t xml:space="preserve">The change in burden from the previous submission is a result of OSHA seeking clearance for the recordkeeping requirements under </w:t>
      </w:r>
      <w:r w:rsidRPr="00EA3BB4" w:rsidR="00EA3BB4">
        <w:rPr>
          <w:b w:val="0"/>
        </w:rPr>
        <w:t>§ 1910.502(q)(2)(ii) and (3)</w:t>
      </w:r>
      <w:r w:rsidR="00645361">
        <w:rPr>
          <w:b w:val="0"/>
        </w:rPr>
        <w:t xml:space="preserve"> (ii)-(iv)</w:t>
      </w:r>
      <w:r w:rsidR="00EA3BB4">
        <w:rPr>
          <w:b w:val="0"/>
        </w:rPr>
        <w:t xml:space="preserve"> </w:t>
      </w:r>
      <w:r w:rsidRPr="00EA3BB4" w:rsidR="00EA3BB4">
        <w:rPr>
          <w:b w:val="0"/>
        </w:rPr>
        <w:t>to establish and maintain COVID-19 logs recording each instance in which an employee is COVID-19 positive, and to make such records available upon request to employees or their representatives</w:t>
      </w:r>
      <w:r w:rsidR="00EA3BB4">
        <w:rPr>
          <w:b w:val="0"/>
        </w:rPr>
        <w:t xml:space="preserve">, and the reporting requirements under </w:t>
      </w:r>
      <w:r w:rsidRPr="00EA3BB4" w:rsidR="00EA3BB4">
        <w:rPr>
          <w:b w:val="0"/>
        </w:rPr>
        <w:tab/>
        <w:t>§ 1910.502(r)</w:t>
      </w:r>
      <w:r w:rsidR="00EA3BB4">
        <w:rPr>
          <w:b w:val="0"/>
        </w:rPr>
        <w:t>, r</w:t>
      </w:r>
      <w:r w:rsidRPr="00EA3BB4" w:rsidR="00EA3BB4">
        <w:rPr>
          <w:b w:val="0"/>
        </w:rPr>
        <w:t>eporting COVID-19 fatalities and hospitalizations to OSHA.  Requiring the employer to report each work-related COVID-19 fatality within 8 hours of the employer learning about the fatality and each work-related COVID-19 in-patient hospitalization within 24 hours of the employer learning about the in-patient hospitalization.</w:t>
      </w:r>
      <w:r w:rsidR="00EA3BB4">
        <w:rPr>
          <w:b w:val="0"/>
        </w:rPr>
        <w:t xml:space="preserve"> </w:t>
      </w:r>
    </w:p>
    <w:p w:rsidRPr="005A7D5B" w:rsidR="00E35242" w:rsidP="00A96066" w:rsidRDefault="00E2437D" w14:paraId="619E8B3D" w14:textId="12115B6A">
      <w:pPr>
        <w:pStyle w:val="Heading2"/>
        <w:ind w:left="0" w:firstLine="0"/>
        <w:rPr>
          <w:lang w:val="x-none"/>
        </w:rPr>
      </w:pPr>
      <w:r>
        <w:t>This is a new information collection request.</w:t>
      </w:r>
      <w:r w:rsidR="00E878C3">
        <w:t xml:space="preserve"> </w:t>
      </w:r>
      <w:r w:rsidRPr="005A7D5B" w:rsidR="00E35242">
        <w:rPr>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242" w:rsidP="00E35242" w:rsidRDefault="00404ED4" w14:paraId="1A508E9C" w14:textId="78C3F92F">
      <w:pPr>
        <w:pStyle w:val="BodyTextFirstIndent"/>
        <w:ind w:firstLine="0"/>
        <w:rPr>
          <w:b/>
          <w:bCs/>
          <w:sz w:val="24"/>
          <w:szCs w:val="24"/>
          <w:lang w:val="x-none"/>
        </w:rPr>
      </w:pPr>
      <w:r w:rsidRPr="00404ED4">
        <w:rPr>
          <w:sz w:val="24"/>
          <w:szCs w:val="24"/>
          <w:lang w:val="x-none"/>
        </w:rPr>
        <w:t>There are no tabulating, statistical, tabulating analysis, or publication plans for the collection</w:t>
      </w:r>
      <w:r w:rsidR="008271B8">
        <w:rPr>
          <w:sz w:val="24"/>
          <w:szCs w:val="24"/>
        </w:rPr>
        <w:t>s</w:t>
      </w:r>
      <w:r w:rsidRPr="00404ED4">
        <w:rPr>
          <w:sz w:val="24"/>
          <w:szCs w:val="24"/>
          <w:lang w:val="x-none"/>
        </w:rPr>
        <w:t xml:space="preserve"> of information.</w:t>
      </w:r>
      <w:r w:rsidR="00E35242">
        <w:rPr>
          <w:sz w:val="24"/>
          <w:szCs w:val="24"/>
          <w:lang w:val="x-none"/>
        </w:rPr>
        <w:t xml:space="preserve"> </w:t>
      </w:r>
    </w:p>
    <w:p w:rsidR="00E35242" w:rsidP="00E35242" w:rsidRDefault="00E35242" w14:paraId="1F7BBC48" w14:textId="77777777">
      <w:pPr>
        <w:pStyle w:val="Heading2"/>
        <w:ind w:left="0" w:firstLine="0"/>
        <w:rPr>
          <w:lang w:val="x-none"/>
        </w:rPr>
      </w:pPr>
      <w:r>
        <w:rPr>
          <w:lang w:val="x-none"/>
        </w:rPr>
        <w:t>If seeking approval to not display the expiration date for OMB approval of the information collection, explain the reasons that display would be inappropriate.</w:t>
      </w:r>
    </w:p>
    <w:p w:rsidRPr="00404ED4" w:rsidR="00E35242" w:rsidP="00E35242" w:rsidRDefault="00404ED4" w14:paraId="68F2E62D" w14:textId="0BCDCD49">
      <w:pPr>
        <w:pStyle w:val="BodyTextFirstIndent"/>
        <w:ind w:firstLine="0"/>
        <w:rPr>
          <w:sz w:val="24"/>
          <w:szCs w:val="24"/>
        </w:rPr>
      </w:pPr>
      <w:r w:rsidRPr="00404ED4">
        <w:rPr>
          <w:sz w:val="24"/>
          <w:szCs w:val="24"/>
        </w:rPr>
        <w:t xml:space="preserve">Not applicable. </w:t>
      </w:r>
      <w:r w:rsidR="00F911D0">
        <w:rPr>
          <w:sz w:val="24"/>
          <w:szCs w:val="24"/>
        </w:rPr>
        <w:t>OSHA</w:t>
      </w:r>
      <w:r w:rsidRPr="00404ED4">
        <w:rPr>
          <w:sz w:val="24"/>
          <w:szCs w:val="24"/>
        </w:rPr>
        <w:t xml:space="preserve"> is not seeking to display the expiration date of th</w:t>
      </w:r>
      <w:r>
        <w:rPr>
          <w:sz w:val="24"/>
          <w:szCs w:val="24"/>
        </w:rPr>
        <w:t xml:space="preserve">ese </w:t>
      </w:r>
      <w:r w:rsidRPr="00404ED4">
        <w:rPr>
          <w:sz w:val="24"/>
          <w:szCs w:val="24"/>
        </w:rPr>
        <w:t>collection</w:t>
      </w:r>
      <w:r>
        <w:rPr>
          <w:sz w:val="24"/>
          <w:szCs w:val="24"/>
        </w:rPr>
        <w:t>s</w:t>
      </w:r>
      <w:r w:rsidRPr="00404ED4">
        <w:rPr>
          <w:sz w:val="24"/>
          <w:szCs w:val="24"/>
        </w:rPr>
        <w:t xml:space="preserve"> nor is any format proposed that would support displaying the expiration date.</w:t>
      </w:r>
    </w:p>
    <w:p w:rsidR="00E35242" w:rsidP="00E35242" w:rsidRDefault="00E35242" w14:paraId="49754C40" w14:textId="77777777">
      <w:pPr>
        <w:pStyle w:val="Heading2"/>
        <w:ind w:left="0" w:firstLine="0"/>
        <w:rPr>
          <w:lang w:val="x-none"/>
        </w:rPr>
      </w:pPr>
      <w:r>
        <w:rPr>
          <w:sz w:val="22"/>
          <w:szCs w:val="22"/>
          <w:lang w:val="x-none"/>
        </w:rPr>
        <w:t>Explain each exception to the certification statement.</w:t>
      </w:r>
    </w:p>
    <w:p w:rsidR="00E35242" w:rsidP="00DC12A2" w:rsidRDefault="00E35242" w14:paraId="33FB0F6A" w14:textId="77777777">
      <w:pPr>
        <w:pStyle w:val="BodyTextFirstIndent"/>
        <w:ind w:firstLine="0"/>
      </w:pPr>
      <w:r>
        <w:rPr>
          <w:sz w:val="24"/>
          <w:szCs w:val="24"/>
          <w:lang w:val="x-none"/>
        </w:rPr>
        <w:t>OSHA is not requesting an exception to the certification statement.</w:t>
      </w:r>
    </w:p>
    <w:p w:rsidR="00E35242" w:rsidP="00E35242" w:rsidRDefault="00E35242" w14:paraId="418B1905" w14:textId="77777777">
      <w:pPr>
        <w:pStyle w:val="Heading1"/>
        <w:rPr>
          <w:lang w:val="x-none"/>
        </w:rPr>
      </w:pPr>
      <w:r>
        <w:rPr>
          <w:lang w:val="x-none"/>
        </w:rPr>
        <w:t>COLLECTIONS OF INFORMATION EMPLOYING STATISTICAL METHODS     </w:t>
      </w:r>
    </w:p>
    <w:p w:rsidR="00E35242" w:rsidP="00E35242" w:rsidRDefault="00E35242" w14:paraId="104BA18C" w14:textId="77777777">
      <w:pPr>
        <w:pStyle w:val="BodyTextFirstIndent"/>
        <w:ind w:firstLine="0"/>
        <w:rPr>
          <w:sz w:val="24"/>
          <w:szCs w:val="24"/>
          <w:lang w:val="x-none"/>
        </w:rPr>
      </w:pPr>
      <w:r>
        <w:rPr>
          <w:sz w:val="24"/>
          <w:szCs w:val="24"/>
          <w:lang w:val="x-none"/>
        </w:rPr>
        <w:t>This Supporting Statement does not contain any collection of information requirements that employ statistical methods.</w:t>
      </w:r>
    </w:p>
    <w:p w:rsidR="00424F31" w:rsidRDefault="00424F31" w14:paraId="40812B56" w14:textId="77777777"/>
    <w:sectPr w:rsidR="00424F31" w:rsidSect="00D905F1">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E3801" w16cex:dateUtc="2021-12-11T01:33:00Z"/>
  <w16cex:commentExtensible w16cex:durableId="255E3A38" w16cex:dateUtc="2021-12-11T01:42:00Z"/>
  <w16cex:commentExtensible w16cex:durableId="255E3A66" w16cex:dateUtc="2021-12-11T01:43:00Z"/>
  <w16cex:commentExtensible w16cex:durableId="255E34DF" w16cex:dateUtc="2021-12-11T01:19:00Z"/>
  <w16cex:commentExtensible w16cex:durableId="255E35CD" w16cex:dateUtc="2021-12-11T01:23:00Z"/>
  <w16cex:commentExtensible w16cex:durableId="255E3678" w16cex:dateUtc="2021-12-11T01:26:00Z"/>
  <w16cex:commentExtensible w16cex:durableId="255E36B0" w16cex:dateUtc="2021-12-11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B0B212" w16cid:durableId="255E2EE5"/>
  <w16cid:commentId w16cid:paraId="7AE3D1B0" w16cid:durableId="255E2EE6"/>
  <w16cid:commentId w16cid:paraId="30ACA41B" w16cid:durableId="255E2EE7"/>
  <w16cid:commentId w16cid:paraId="19703A98" w16cid:durableId="255E2EE8"/>
  <w16cid:commentId w16cid:paraId="080834E4" w16cid:durableId="255E2EE9"/>
  <w16cid:commentId w16cid:paraId="14750721" w16cid:durableId="255E2EEA"/>
  <w16cid:commentId w16cid:paraId="370260AC" w16cid:durableId="255E2EEB"/>
  <w16cid:commentId w16cid:paraId="03704EEA" w16cid:durableId="255E2EEC"/>
  <w16cid:commentId w16cid:paraId="7BDCFCAC" w16cid:durableId="255E2EED"/>
  <w16cid:commentId w16cid:paraId="14880151" w16cid:durableId="255E3801"/>
  <w16cid:commentId w16cid:paraId="22812DAA" w16cid:durableId="255E2EEE"/>
  <w16cid:commentId w16cid:paraId="6AD9A010" w16cid:durableId="255E2EEF"/>
  <w16cid:commentId w16cid:paraId="5689A0A5" w16cid:durableId="255E3A38"/>
  <w16cid:commentId w16cid:paraId="519C60E4" w16cid:durableId="255E2EF0"/>
  <w16cid:commentId w16cid:paraId="1FA3D808" w16cid:durableId="255E2EF1"/>
  <w16cid:commentId w16cid:paraId="62039BC0" w16cid:durableId="255E3A66"/>
  <w16cid:commentId w16cid:paraId="0BDC43C1" w16cid:durableId="255E2EF2"/>
  <w16cid:commentId w16cid:paraId="636E6F55" w16cid:durableId="255E2EF3"/>
  <w16cid:commentId w16cid:paraId="64A06B35" w16cid:durableId="255E34DF"/>
  <w16cid:commentId w16cid:paraId="41A5AB57" w16cid:durableId="255E2EF4"/>
  <w16cid:commentId w16cid:paraId="20477E75" w16cid:durableId="255E2EF5"/>
  <w16cid:commentId w16cid:paraId="202291E3" w16cid:durableId="255E2EF6"/>
  <w16cid:commentId w16cid:paraId="726571C4" w16cid:durableId="255E2EF7"/>
  <w16cid:commentId w16cid:paraId="29C30A0C" w16cid:durableId="255E2EF8"/>
  <w16cid:commentId w16cid:paraId="03BEFEDB" w16cid:durableId="255E2EF9"/>
  <w16cid:commentId w16cid:paraId="6A6730D4" w16cid:durableId="255E2EFA"/>
  <w16cid:commentId w16cid:paraId="097EC0BC" w16cid:durableId="255E2EFB"/>
  <w16cid:commentId w16cid:paraId="4421FEBA" w16cid:durableId="255E35CD"/>
  <w16cid:commentId w16cid:paraId="6D6805C0" w16cid:durableId="255E2EFC"/>
  <w16cid:commentId w16cid:paraId="5D8FC8C6" w16cid:durableId="255E2EFD"/>
  <w16cid:commentId w16cid:paraId="736BEDCC" w16cid:durableId="255E2EFE"/>
  <w16cid:commentId w16cid:paraId="3C803AC0" w16cid:durableId="255E2EFF"/>
  <w16cid:commentId w16cid:paraId="45E9673E" w16cid:durableId="255E2F00"/>
  <w16cid:commentId w16cid:paraId="54EB1B43" w16cid:durableId="255E2F01"/>
  <w16cid:commentId w16cid:paraId="14E44B94" w16cid:durableId="255E3678"/>
  <w16cid:commentId w16cid:paraId="45BC66AB" w16cid:durableId="255E2F02"/>
  <w16cid:commentId w16cid:paraId="20BEDE3B" w16cid:durableId="255E2F03"/>
  <w16cid:commentId w16cid:paraId="359E34A0" w16cid:durableId="255E2F04"/>
  <w16cid:commentId w16cid:paraId="49450357" w16cid:durableId="255E36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D686" w14:textId="77777777" w:rsidR="00695F72" w:rsidRDefault="00695F72" w:rsidP="00E35242">
      <w:r>
        <w:separator/>
      </w:r>
    </w:p>
  </w:endnote>
  <w:endnote w:type="continuationSeparator" w:id="0">
    <w:p w14:paraId="07F016A2" w14:textId="77777777" w:rsidR="00695F72" w:rsidRDefault="00695F72" w:rsidP="00E35242">
      <w:r>
        <w:continuationSeparator/>
      </w:r>
    </w:p>
  </w:endnote>
  <w:endnote w:type="continuationNotice" w:id="1">
    <w:p w14:paraId="5B100F6C" w14:textId="77777777" w:rsidR="00695F72" w:rsidRDefault="00695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27243"/>
      <w:docPartObj>
        <w:docPartGallery w:val="Page Numbers (Bottom of Page)"/>
        <w:docPartUnique/>
      </w:docPartObj>
    </w:sdtPr>
    <w:sdtEndPr>
      <w:rPr>
        <w:noProof/>
      </w:rPr>
    </w:sdtEndPr>
    <w:sdtContent>
      <w:p w14:paraId="3CA3F746" w14:textId="3E7E3DB6" w:rsidR="00695F72" w:rsidRDefault="00695F72">
        <w:pPr>
          <w:pStyle w:val="Footer"/>
          <w:jc w:val="center"/>
        </w:pPr>
        <w:r>
          <w:fldChar w:fldCharType="begin"/>
        </w:r>
        <w:r>
          <w:instrText xml:space="preserve"> PAGE   \* MERGEFORMAT </w:instrText>
        </w:r>
        <w:r>
          <w:fldChar w:fldCharType="separate"/>
        </w:r>
        <w:r w:rsidR="00F144ED">
          <w:rPr>
            <w:noProof/>
          </w:rPr>
          <w:t>1</w:t>
        </w:r>
        <w:r>
          <w:rPr>
            <w:noProof/>
          </w:rPr>
          <w:fldChar w:fldCharType="end"/>
        </w:r>
      </w:p>
    </w:sdtContent>
  </w:sdt>
  <w:p w14:paraId="79520202" w14:textId="77777777" w:rsidR="00695F72" w:rsidRDefault="0069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EBD3" w14:textId="77777777" w:rsidR="00695F72" w:rsidRDefault="00695F72" w:rsidP="00E35242">
      <w:r>
        <w:separator/>
      </w:r>
    </w:p>
  </w:footnote>
  <w:footnote w:type="continuationSeparator" w:id="0">
    <w:p w14:paraId="4E751F8E" w14:textId="77777777" w:rsidR="00695F72" w:rsidRDefault="00695F72" w:rsidP="00E35242">
      <w:r>
        <w:continuationSeparator/>
      </w:r>
    </w:p>
  </w:footnote>
  <w:footnote w:type="continuationNotice" w:id="1">
    <w:p w14:paraId="3BD9A8E8" w14:textId="77777777" w:rsidR="00695F72" w:rsidRDefault="00695F72"/>
  </w:footnote>
  <w:footnote w:id="2">
    <w:p w14:paraId="63515C1A" w14:textId="77777777" w:rsidR="00695F72" w:rsidRDefault="00695F72" w:rsidP="00D74D9F">
      <w:pPr>
        <w:pStyle w:val="FootnoteText"/>
        <w:ind w:firstLine="0"/>
      </w:pPr>
      <w:r w:rsidRPr="009F4F97">
        <w:rPr>
          <w:rStyle w:val="FootnoteReference"/>
        </w:rPr>
        <w:footnoteRef/>
      </w:r>
      <w:r w:rsidRPr="009F4F97">
        <w:t xml:space="preserve"> </w:t>
      </w:r>
      <w:r>
        <w:t>The scope provision of § 1910.502 states:</w:t>
      </w:r>
    </w:p>
    <w:p w14:paraId="67068426" w14:textId="77777777" w:rsidR="00695F72" w:rsidRPr="00160B10" w:rsidRDefault="00695F72" w:rsidP="00160B10">
      <w:pPr>
        <w:pStyle w:val="FootnoteText"/>
        <w:ind w:firstLine="0"/>
      </w:pPr>
      <w:r w:rsidRPr="00160B10">
        <w:t xml:space="preserve">(a) </w:t>
      </w:r>
      <w:r w:rsidRPr="00160B10">
        <w:rPr>
          <w:i/>
        </w:rPr>
        <w:t>Scope and application</w:t>
      </w:r>
      <w:r w:rsidRPr="00160B10">
        <w:t xml:space="preserve">.  </w:t>
      </w:r>
    </w:p>
    <w:p w14:paraId="0008A291" w14:textId="77777777" w:rsidR="00695F72" w:rsidRPr="00160B10" w:rsidRDefault="00695F72" w:rsidP="00160B10">
      <w:pPr>
        <w:pStyle w:val="FootnoteText"/>
        <w:ind w:left="360" w:firstLine="0"/>
      </w:pPr>
      <w:r w:rsidRPr="00160B10">
        <w:t>(1) Except as otherwise provided in this paragraph, this section applies to all settings where any employee provides healthcare services or healthcare support services.</w:t>
      </w:r>
    </w:p>
    <w:p w14:paraId="66513258" w14:textId="77777777" w:rsidR="00695F72" w:rsidRPr="00160B10" w:rsidRDefault="00695F72" w:rsidP="00160B10">
      <w:pPr>
        <w:pStyle w:val="FootnoteText"/>
        <w:ind w:left="360" w:firstLine="0"/>
      </w:pPr>
      <w:r w:rsidRPr="00160B10">
        <w:t>(2) This section does not apply to the following:</w:t>
      </w:r>
    </w:p>
    <w:p w14:paraId="54055779" w14:textId="77777777" w:rsidR="00695F72" w:rsidRPr="00160B10" w:rsidRDefault="00695F72" w:rsidP="00160B10">
      <w:pPr>
        <w:pStyle w:val="FootnoteText"/>
        <w:ind w:left="720" w:firstLine="0"/>
      </w:pPr>
      <w:r w:rsidRPr="00160B10">
        <w:t xml:space="preserve">(i) the provision of first aid by an employee who is not a licensed healthcare provider; </w:t>
      </w:r>
    </w:p>
    <w:p w14:paraId="6BF9ADF2" w14:textId="77777777" w:rsidR="00695F72" w:rsidRPr="00160B10" w:rsidRDefault="00695F72" w:rsidP="00160B10">
      <w:pPr>
        <w:pStyle w:val="FootnoteText"/>
        <w:ind w:left="720" w:firstLine="0"/>
      </w:pPr>
      <w:r w:rsidRPr="00160B10">
        <w:t xml:space="preserve">(ii) the dispensing of prescriptions by pharmacists in retail settings; </w:t>
      </w:r>
    </w:p>
    <w:p w14:paraId="649319D1" w14:textId="77777777" w:rsidR="00695F72" w:rsidRPr="00160B10" w:rsidRDefault="00695F72" w:rsidP="00160B10">
      <w:pPr>
        <w:pStyle w:val="FootnoteText"/>
        <w:ind w:left="720" w:firstLine="0"/>
      </w:pPr>
      <w:r w:rsidRPr="00160B10">
        <w:t xml:space="preserve">(iii) non-hospital ambulatory care settings where all non-employees are screened prior to entry and people with suspected or confirmed COVID-19 are not permitted to enter those settings;  </w:t>
      </w:r>
    </w:p>
    <w:p w14:paraId="7A525F55" w14:textId="77777777" w:rsidR="00695F72" w:rsidRPr="00160B10" w:rsidRDefault="00695F72" w:rsidP="00160B10">
      <w:pPr>
        <w:pStyle w:val="FootnoteText"/>
        <w:ind w:left="720" w:firstLine="0"/>
      </w:pPr>
      <w:r w:rsidRPr="00160B10">
        <w:t>(iv) well-defined hospital ambulatory care settings where all employees are fully vaccinated and all non-employees are screened prior to entry and people with suspected or confirmed COVID-19 are not permitted to enter those settings;</w:t>
      </w:r>
    </w:p>
    <w:p w14:paraId="45203C1C" w14:textId="77777777" w:rsidR="00695F72" w:rsidRPr="00160B10" w:rsidRDefault="00695F72" w:rsidP="00160B10">
      <w:pPr>
        <w:pStyle w:val="FootnoteText"/>
        <w:ind w:left="720" w:firstLine="0"/>
      </w:pPr>
      <w:r w:rsidRPr="00160B10">
        <w:t xml:space="preserve"> (v) home healthcare settings where all employees are fully vaccinated and all non-employees are screened prior to entry and people with suspected or confirmed COVID-19 are not present;</w:t>
      </w:r>
    </w:p>
    <w:p w14:paraId="00AEDE4F" w14:textId="77777777" w:rsidR="00695F72" w:rsidRPr="00160B10" w:rsidRDefault="00695F72" w:rsidP="00160B10">
      <w:pPr>
        <w:pStyle w:val="FootnoteText"/>
        <w:ind w:left="720" w:firstLine="0"/>
      </w:pPr>
      <w:r w:rsidRPr="00160B10">
        <w:t>(vi) healthcare support services not performed in a healthcare setting (e.g., off-site laundry, off-site medical billing); or</w:t>
      </w:r>
    </w:p>
    <w:p w14:paraId="4F9331E6" w14:textId="652149A7" w:rsidR="00695F72" w:rsidRDefault="00695F72" w:rsidP="00160B10">
      <w:pPr>
        <w:pStyle w:val="FootnoteText"/>
        <w:ind w:left="720" w:firstLine="0"/>
      </w:pPr>
      <w:r w:rsidRPr="00160B10">
        <w:t>(vii) telehealth services performed outside of a setting where direct patient care occurs.</w:t>
      </w:r>
    </w:p>
    <w:p w14:paraId="4913698E" w14:textId="77777777" w:rsidR="00695F72" w:rsidRPr="00160B10" w:rsidRDefault="00695F72" w:rsidP="00160B10">
      <w:pPr>
        <w:pStyle w:val="FootnoteText"/>
        <w:ind w:left="720" w:firstLine="0"/>
      </w:pPr>
    </w:p>
    <w:p w14:paraId="5CEE1D0B" w14:textId="77777777" w:rsidR="00695F72" w:rsidRPr="00160B10" w:rsidRDefault="00695F72" w:rsidP="00160B10">
      <w:pPr>
        <w:pStyle w:val="FootnoteText"/>
        <w:ind w:left="360" w:firstLine="0"/>
      </w:pPr>
      <w:r w:rsidRPr="00160B10">
        <w:t>Note to paragraphs (a)(2)(iv) and (a)(2)(v): OSHA does not intend to preclude the employers of employees who are unable to be vaccinated from the scope exemption in paragraphs (a)(2)(iv) and (a)(2)(v).  Under various anti-discrimination laws, workers who cannot be vaccinated because of physical conditions, such as allergies to vaccine ingredients, or certain religious beliefs may ask for a reasonable accommodation from their employer. Accordingly, where an employer reasonably accommodates an employee who is unable to be vaccinated in a manner that does not expose the employee to COVID-19 hazards (e.g., telework, working in isolation), that employer may be within the scope exemption in paragraphs (a)(2)(iv) and (a)(2)(v).</w:t>
      </w:r>
    </w:p>
    <w:p w14:paraId="35DD2828" w14:textId="77777777" w:rsidR="00695F72" w:rsidRPr="00160B10" w:rsidRDefault="00695F72" w:rsidP="00160B10">
      <w:pPr>
        <w:pStyle w:val="FootnoteText"/>
      </w:pPr>
    </w:p>
    <w:p w14:paraId="005A555C" w14:textId="673FA6F7" w:rsidR="00695F72" w:rsidRPr="00160B10" w:rsidRDefault="00695F72" w:rsidP="00160B10">
      <w:pPr>
        <w:pStyle w:val="FootnoteText"/>
        <w:ind w:left="360" w:firstLine="0"/>
      </w:pPr>
      <w:r w:rsidRPr="00160B10">
        <w:t xml:space="preserve">(3) (i) Where a healthcare setting is embedded within a non-healthcare setting (e.g., nurse’s office in a school, medical clinic in a manufacturing facility, walk-in clinic in a retail setting), this section applies only to the embedded healthcare setting and not to the remainder of the physical location.  </w:t>
      </w:r>
    </w:p>
    <w:p w14:paraId="24896132" w14:textId="77777777" w:rsidR="00695F72" w:rsidRPr="00160B10" w:rsidRDefault="00695F72" w:rsidP="00160B10">
      <w:pPr>
        <w:pStyle w:val="FootnoteText"/>
        <w:ind w:left="720" w:firstLine="0"/>
      </w:pPr>
      <w:r w:rsidRPr="00160B10">
        <w:t xml:space="preserve">(ii)  Where emergency responders or other licensed healthcare providers (e.g., school nurse providing care to a student in a classroom) enter a non-healthcare setting to provide healthcare services, this section applies only to the provision of the healthcare services by that employee. </w:t>
      </w:r>
    </w:p>
    <w:p w14:paraId="45628C8A" w14:textId="77777777" w:rsidR="00695F72" w:rsidRPr="00160B10" w:rsidRDefault="00695F72" w:rsidP="00160B10">
      <w:pPr>
        <w:pStyle w:val="FootnoteText"/>
        <w:ind w:left="360" w:firstLine="0"/>
      </w:pPr>
      <w:r w:rsidRPr="00160B10">
        <w:t xml:space="preserve">(4) In well-defined areas where there is no reasonable expectation that any person with suspected or confirmed COVID-19 will be present, paragraphs (f), (h), and (i) of this section do not apply to employees who are fully vaccinated. </w:t>
      </w:r>
    </w:p>
    <w:p w14:paraId="5EFFC71A" w14:textId="082B2B82" w:rsidR="00695F72" w:rsidRPr="009F4F97" w:rsidRDefault="00695F72" w:rsidP="00313268">
      <w:pPr>
        <w:pStyle w:val="FootnoteText"/>
        <w:ind w:firstLine="0"/>
        <w:rPr>
          <w:b/>
        </w:rPr>
      </w:pPr>
      <w:r w:rsidRPr="00160B10" w:rsidDel="00D74D9F">
        <w:t xml:space="preserve"> </w:t>
      </w:r>
    </w:p>
    <w:p w14:paraId="50F9D31C" w14:textId="6C80CE67" w:rsidR="00695F72" w:rsidRPr="009F4F97" w:rsidRDefault="00695F72">
      <w:pPr>
        <w:pStyle w:val="FootnoteText"/>
      </w:pPr>
    </w:p>
  </w:footnote>
  <w:footnote w:id="3">
    <w:p w14:paraId="4E4C97E6" w14:textId="1DF1237C" w:rsidR="00695F72" w:rsidRDefault="00695F72">
      <w:pPr>
        <w:pStyle w:val="FootnoteText"/>
      </w:pPr>
      <w:r>
        <w:rPr>
          <w:rStyle w:val="FootnoteReference"/>
        </w:rPr>
        <w:footnoteRef/>
      </w:r>
      <w:r>
        <w:t xml:space="preserve"> The number of cases confirmed positive after taking the COVID-19 test. (10,338,353 employees x 0.38% = 39,286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8E49" w14:textId="6BBCDEE3" w:rsidR="00695F72" w:rsidRPr="004F1E29" w:rsidRDefault="00695F72" w:rsidP="00925ED6">
    <w:pPr>
      <w:pStyle w:val="Header"/>
      <w:rPr>
        <w:b/>
      </w:rPr>
    </w:pPr>
    <w:r w:rsidRPr="004F1E29">
      <w:rPr>
        <w:b/>
      </w:rPr>
      <w:t>COVID-19 ETS (29 CFR 1910, Subpart U)</w:t>
    </w:r>
  </w:p>
  <w:p w14:paraId="107965AF" w14:textId="06635C34" w:rsidR="00695F72" w:rsidRPr="004F1E29" w:rsidRDefault="00695F72" w:rsidP="00925ED6">
    <w:pPr>
      <w:pStyle w:val="Header"/>
      <w:rPr>
        <w:b/>
      </w:rPr>
    </w:pPr>
    <w:r>
      <w:rPr>
        <w:b/>
      </w:rPr>
      <w:t xml:space="preserve">OMB Control Number: </w:t>
    </w:r>
    <w:r w:rsidRPr="004F1E29">
      <w:rPr>
        <w:b/>
      </w:rPr>
      <w:t>1218-0277</w:t>
    </w:r>
  </w:p>
  <w:p w14:paraId="1C3E9210" w14:textId="5AD0B4A7" w:rsidR="00695F72" w:rsidRPr="004F1E29" w:rsidRDefault="00695F72" w:rsidP="00925ED6">
    <w:pPr>
      <w:pStyle w:val="Header"/>
      <w:rPr>
        <w:b/>
      </w:rPr>
    </w:pPr>
    <w:r>
      <w:rPr>
        <w:b/>
      </w:rPr>
      <w:t xml:space="preserve">Expires: </w:t>
    </w:r>
    <w:r w:rsidRPr="004F1E29">
      <w:rPr>
        <w:b/>
      </w:rPr>
      <w:t xml:space="preserve">December </w:t>
    </w:r>
    <w:r>
      <w:rPr>
        <w:b/>
      </w:rPr>
      <w:t xml:space="preserve">31, </w:t>
    </w:r>
    <w:r w:rsidRPr="004F1E29">
      <w:rPr>
        <w:b/>
      </w:rPr>
      <w:t>2021</w:t>
    </w:r>
  </w:p>
  <w:p w14:paraId="27763F17" w14:textId="77777777" w:rsidR="00695F72" w:rsidRDefault="00695F72">
    <w:pPr>
      <w:pStyle w:val="Header"/>
    </w:pPr>
  </w:p>
  <w:p w14:paraId="7E5F0F92" w14:textId="77777777" w:rsidR="00695F72" w:rsidRDefault="0069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305"/>
    <w:multiLevelType w:val="hybridMultilevel"/>
    <w:tmpl w:val="BC22E1D4"/>
    <w:lvl w:ilvl="0" w:tplc="28AA7FDC">
      <w:start w:val="1"/>
      <w:numFmt w:val="upperLetter"/>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071425"/>
    <w:multiLevelType w:val="hybridMultilevel"/>
    <w:tmpl w:val="6BB8FC02"/>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D6623"/>
    <w:multiLevelType w:val="hybridMultilevel"/>
    <w:tmpl w:val="066831D2"/>
    <w:lvl w:ilvl="0" w:tplc="A05A1838">
      <w:start w:val="1"/>
      <w:numFmt w:val="upperLetter"/>
      <w:lvlText w:val="(%1)"/>
      <w:lvlJc w:val="left"/>
      <w:pPr>
        <w:ind w:left="1470" w:hanging="39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8D0A49"/>
    <w:multiLevelType w:val="hybridMultilevel"/>
    <w:tmpl w:val="91C243AC"/>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C77BC"/>
    <w:multiLevelType w:val="hybridMultilevel"/>
    <w:tmpl w:val="14C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46DD0"/>
    <w:multiLevelType w:val="hybridMultilevel"/>
    <w:tmpl w:val="7F46314A"/>
    <w:lvl w:ilvl="0" w:tplc="52A030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D248A"/>
    <w:multiLevelType w:val="hybridMultilevel"/>
    <w:tmpl w:val="4642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72D1B"/>
    <w:multiLevelType w:val="hybridMultilevel"/>
    <w:tmpl w:val="328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B46CB"/>
    <w:multiLevelType w:val="hybridMultilevel"/>
    <w:tmpl w:val="4A4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4370D"/>
    <w:multiLevelType w:val="hybridMultilevel"/>
    <w:tmpl w:val="56D2519A"/>
    <w:lvl w:ilvl="0" w:tplc="CD58603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A266E8"/>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86047"/>
    <w:multiLevelType w:val="hybridMultilevel"/>
    <w:tmpl w:val="A1C80E1A"/>
    <w:lvl w:ilvl="0" w:tplc="9476DA2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2B199B"/>
    <w:multiLevelType w:val="multilevel"/>
    <w:tmpl w:val="094AAA0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b/>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16" w15:restartNumberingAfterBreak="0">
    <w:nsid w:val="7E8F100F"/>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4"/>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7"/>
    </w:lvlOverride>
  </w:num>
  <w:num w:numId="9">
    <w:abstractNumId w:val="5"/>
  </w:num>
  <w:num w:numId="10">
    <w:abstractNumId w:val="15"/>
    <w:lvlOverride w:ilvl="0">
      <w:startOverride w:val="1"/>
    </w:lvlOverride>
    <w:lvlOverride w:ilvl="1">
      <w:startOverride w:val="1"/>
    </w:lvlOverride>
  </w:num>
  <w:num w:numId="11">
    <w:abstractNumId w:val="1"/>
  </w:num>
  <w:num w:numId="12">
    <w:abstractNumId w:val="2"/>
  </w:num>
  <w:num w:numId="13">
    <w:abstractNumId w:val="6"/>
  </w:num>
  <w:num w:numId="14">
    <w:abstractNumId w:val="7"/>
  </w:num>
  <w:num w:numId="15">
    <w:abstractNumId w:val="3"/>
  </w:num>
  <w:num w:numId="16">
    <w:abstractNumId w:val="13"/>
  </w:num>
  <w:num w:numId="17">
    <w:abstractNumId w:val="11"/>
  </w:num>
  <w:num w:numId="18">
    <w:abstractNumId w:val="9"/>
  </w:num>
  <w:num w:numId="19">
    <w:abstractNumId w:val="15"/>
    <w:lvlOverride w:ilvl="0">
      <w:startOverride w:val="1"/>
    </w:lvlOverride>
    <w:lvlOverride w:ilvl="1">
      <w:startOverride w:val="13"/>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2"/>
    <w:rsid w:val="00000198"/>
    <w:rsid w:val="00000D86"/>
    <w:rsid w:val="00000E37"/>
    <w:rsid w:val="000014C0"/>
    <w:rsid w:val="000017D9"/>
    <w:rsid w:val="00001BA9"/>
    <w:rsid w:val="00002884"/>
    <w:rsid w:val="00002C2D"/>
    <w:rsid w:val="00002CE9"/>
    <w:rsid w:val="0000408D"/>
    <w:rsid w:val="000040D3"/>
    <w:rsid w:val="00004AF1"/>
    <w:rsid w:val="00004D48"/>
    <w:rsid w:val="00004EC8"/>
    <w:rsid w:val="000068BF"/>
    <w:rsid w:val="000077EA"/>
    <w:rsid w:val="00007826"/>
    <w:rsid w:val="00007ABA"/>
    <w:rsid w:val="00010DBE"/>
    <w:rsid w:val="00011229"/>
    <w:rsid w:val="00011F36"/>
    <w:rsid w:val="0001205F"/>
    <w:rsid w:val="00012522"/>
    <w:rsid w:val="0001302F"/>
    <w:rsid w:val="000138AA"/>
    <w:rsid w:val="00015492"/>
    <w:rsid w:val="000155C6"/>
    <w:rsid w:val="000157A7"/>
    <w:rsid w:val="00015CA2"/>
    <w:rsid w:val="00016127"/>
    <w:rsid w:val="000162BD"/>
    <w:rsid w:val="00016EE1"/>
    <w:rsid w:val="000175F3"/>
    <w:rsid w:val="00017B7F"/>
    <w:rsid w:val="00017ECA"/>
    <w:rsid w:val="000207EB"/>
    <w:rsid w:val="000214D5"/>
    <w:rsid w:val="00021963"/>
    <w:rsid w:val="00021B8C"/>
    <w:rsid w:val="00022E7F"/>
    <w:rsid w:val="00023635"/>
    <w:rsid w:val="00023996"/>
    <w:rsid w:val="00023B7B"/>
    <w:rsid w:val="00024A1F"/>
    <w:rsid w:val="00024CB5"/>
    <w:rsid w:val="00025258"/>
    <w:rsid w:val="0002606A"/>
    <w:rsid w:val="00026878"/>
    <w:rsid w:val="00026F00"/>
    <w:rsid w:val="0002739B"/>
    <w:rsid w:val="00027F23"/>
    <w:rsid w:val="000304F0"/>
    <w:rsid w:val="000308B0"/>
    <w:rsid w:val="00031F72"/>
    <w:rsid w:val="00032E79"/>
    <w:rsid w:val="00033233"/>
    <w:rsid w:val="00033953"/>
    <w:rsid w:val="00033E85"/>
    <w:rsid w:val="00034238"/>
    <w:rsid w:val="00035DDB"/>
    <w:rsid w:val="000370ED"/>
    <w:rsid w:val="000373FE"/>
    <w:rsid w:val="00040191"/>
    <w:rsid w:val="00041D5D"/>
    <w:rsid w:val="0004248B"/>
    <w:rsid w:val="00043163"/>
    <w:rsid w:val="00043512"/>
    <w:rsid w:val="000435FC"/>
    <w:rsid w:val="00044156"/>
    <w:rsid w:val="000447DB"/>
    <w:rsid w:val="00044841"/>
    <w:rsid w:val="00044DB2"/>
    <w:rsid w:val="0004527B"/>
    <w:rsid w:val="0004531C"/>
    <w:rsid w:val="0004587C"/>
    <w:rsid w:val="0004629A"/>
    <w:rsid w:val="00046627"/>
    <w:rsid w:val="00046DD8"/>
    <w:rsid w:val="000470E9"/>
    <w:rsid w:val="000473E2"/>
    <w:rsid w:val="0004757B"/>
    <w:rsid w:val="000506B7"/>
    <w:rsid w:val="0005259D"/>
    <w:rsid w:val="000527AC"/>
    <w:rsid w:val="00052958"/>
    <w:rsid w:val="00053D7E"/>
    <w:rsid w:val="00054969"/>
    <w:rsid w:val="00056C41"/>
    <w:rsid w:val="00056C84"/>
    <w:rsid w:val="00057389"/>
    <w:rsid w:val="00057782"/>
    <w:rsid w:val="000600A7"/>
    <w:rsid w:val="000604F3"/>
    <w:rsid w:val="00060AD6"/>
    <w:rsid w:val="0006162F"/>
    <w:rsid w:val="0006190D"/>
    <w:rsid w:val="000628B2"/>
    <w:rsid w:val="00063319"/>
    <w:rsid w:val="00063B3B"/>
    <w:rsid w:val="00063C54"/>
    <w:rsid w:val="00063E0F"/>
    <w:rsid w:val="00064756"/>
    <w:rsid w:val="00070596"/>
    <w:rsid w:val="00070E96"/>
    <w:rsid w:val="000710A3"/>
    <w:rsid w:val="000710E2"/>
    <w:rsid w:val="00071404"/>
    <w:rsid w:val="000726BA"/>
    <w:rsid w:val="00072BDC"/>
    <w:rsid w:val="00076A38"/>
    <w:rsid w:val="00076B0A"/>
    <w:rsid w:val="0007703F"/>
    <w:rsid w:val="000772EC"/>
    <w:rsid w:val="0008032B"/>
    <w:rsid w:val="00080450"/>
    <w:rsid w:val="000808D3"/>
    <w:rsid w:val="00080B2A"/>
    <w:rsid w:val="00080D85"/>
    <w:rsid w:val="0008147B"/>
    <w:rsid w:val="000827C2"/>
    <w:rsid w:val="0008390E"/>
    <w:rsid w:val="00083D10"/>
    <w:rsid w:val="00086140"/>
    <w:rsid w:val="000862B8"/>
    <w:rsid w:val="00086FEF"/>
    <w:rsid w:val="0008706C"/>
    <w:rsid w:val="0009016E"/>
    <w:rsid w:val="000912A8"/>
    <w:rsid w:val="00091560"/>
    <w:rsid w:val="000917B5"/>
    <w:rsid w:val="00091F5A"/>
    <w:rsid w:val="00092A9A"/>
    <w:rsid w:val="00092EA9"/>
    <w:rsid w:val="0009340F"/>
    <w:rsid w:val="00093A1D"/>
    <w:rsid w:val="00093FD7"/>
    <w:rsid w:val="00094F03"/>
    <w:rsid w:val="00095A96"/>
    <w:rsid w:val="00095D3B"/>
    <w:rsid w:val="00097854"/>
    <w:rsid w:val="00097911"/>
    <w:rsid w:val="000979C5"/>
    <w:rsid w:val="000A063F"/>
    <w:rsid w:val="000A0EA2"/>
    <w:rsid w:val="000A286F"/>
    <w:rsid w:val="000A30B1"/>
    <w:rsid w:val="000A365D"/>
    <w:rsid w:val="000A3ED1"/>
    <w:rsid w:val="000A528E"/>
    <w:rsid w:val="000A5922"/>
    <w:rsid w:val="000A5ABD"/>
    <w:rsid w:val="000A6208"/>
    <w:rsid w:val="000A697A"/>
    <w:rsid w:val="000A700A"/>
    <w:rsid w:val="000A7879"/>
    <w:rsid w:val="000B0431"/>
    <w:rsid w:val="000B1BC3"/>
    <w:rsid w:val="000B1E67"/>
    <w:rsid w:val="000B22B4"/>
    <w:rsid w:val="000B2D78"/>
    <w:rsid w:val="000B2FE5"/>
    <w:rsid w:val="000B4F28"/>
    <w:rsid w:val="000B587F"/>
    <w:rsid w:val="000B5FF3"/>
    <w:rsid w:val="000B713F"/>
    <w:rsid w:val="000B71A8"/>
    <w:rsid w:val="000C05B8"/>
    <w:rsid w:val="000C0763"/>
    <w:rsid w:val="000C09C0"/>
    <w:rsid w:val="000C0A28"/>
    <w:rsid w:val="000C0DA6"/>
    <w:rsid w:val="000C0E34"/>
    <w:rsid w:val="000C0FC4"/>
    <w:rsid w:val="000C126F"/>
    <w:rsid w:val="000C1AB9"/>
    <w:rsid w:val="000C1F86"/>
    <w:rsid w:val="000C1FCC"/>
    <w:rsid w:val="000C290F"/>
    <w:rsid w:val="000C2C08"/>
    <w:rsid w:val="000C437D"/>
    <w:rsid w:val="000C6BA7"/>
    <w:rsid w:val="000C78C5"/>
    <w:rsid w:val="000C793E"/>
    <w:rsid w:val="000D027B"/>
    <w:rsid w:val="000D0D8E"/>
    <w:rsid w:val="000D243B"/>
    <w:rsid w:val="000D2470"/>
    <w:rsid w:val="000D278C"/>
    <w:rsid w:val="000D30A3"/>
    <w:rsid w:val="000D33A5"/>
    <w:rsid w:val="000D340D"/>
    <w:rsid w:val="000D3A4D"/>
    <w:rsid w:val="000D4DE9"/>
    <w:rsid w:val="000D56D4"/>
    <w:rsid w:val="000D5958"/>
    <w:rsid w:val="000D5E6A"/>
    <w:rsid w:val="000D67A6"/>
    <w:rsid w:val="000D6DC4"/>
    <w:rsid w:val="000E017D"/>
    <w:rsid w:val="000E0E4B"/>
    <w:rsid w:val="000E134D"/>
    <w:rsid w:val="000E19B1"/>
    <w:rsid w:val="000E27FD"/>
    <w:rsid w:val="000E44FE"/>
    <w:rsid w:val="000E4B7C"/>
    <w:rsid w:val="000E5013"/>
    <w:rsid w:val="000E5455"/>
    <w:rsid w:val="000E5D5C"/>
    <w:rsid w:val="000E60CF"/>
    <w:rsid w:val="000F0E62"/>
    <w:rsid w:val="000F1BE7"/>
    <w:rsid w:val="000F2E40"/>
    <w:rsid w:val="000F2F0C"/>
    <w:rsid w:val="000F32BF"/>
    <w:rsid w:val="000F459E"/>
    <w:rsid w:val="000F4C11"/>
    <w:rsid w:val="000F4D1D"/>
    <w:rsid w:val="000F4F59"/>
    <w:rsid w:val="000F54A9"/>
    <w:rsid w:val="000F57B1"/>
    <w:rsid w:val="000F5871"/>
    <w:rsid w:val="000F6CA3"/>
    <w:rsid w:val="000F708C"/>
    <w:rsid w:val="000F7316"/>
    <w:rsid w:val="000F757C"/>
    <w:rsid w:val="000F7698"/>
    <w:rsid w:val="000F7B58"/>
    <w:rsid w:val="00100E9A"/>
    <w:rsid w:val="00101663"/>
    <w:rsid w:val="00101AF9"/>
    <w:rsid w:val="00102F14"/>
    <w:rsid w:val="00102FA8"/>
    <w:rsid w:val="001034F9"/>
    <w:rsid w:val="00103C3A"/>
    <w:rsid w:val="00103C4C"/>
    <w:rsid w:val="00104600"/>
    <w:rsid w:val="001053F1"/>
    <w:rsid w:val="001056B6"/>
    <w:rsid w:val="001074D4"/>
    <w:rsid w:val="00107BF0"/>
    <w:rsid w:val="00107D2E"/>
    <w:rsid w:val="00107DA5"/>
    <w:rsid w:val="001133A9"/>
    <w:rsid w:val="00113890"/>
    <w:rsid w:val="00115045"/>
    <w:rsid w:val="00115D5B"/>
    <w:rsid w:val="00115E98"/>
    <w:rsid w:val="00116A83"/>
    <w:rsid w:val="00116BBD"/>
    <w:rsid w:val="001170C1"/>
    <w:rsid w:val="00117215"/>
    <w:rsid w:val="00117AB7"/>
    <w:rsid w:val="00117BD2"/>
    <w:rsid w:val="00121153"/>
    <w:rsid w:val="0012154C"/>
    <w:rsid w:val="00121E1E"/>
    <w:rsid w:val="001224E5"/>
    <w:rsid w:val="00122A98"/>
    <w:rsid w:val="00122F28"/>
    <w:rsid w:val="001231D9"/>
    <w:rsid w:val="001236ED"/>
    <w:rsid w:val="001237EF"/>
    <w:rsid w:val="00124EF1"/>
    <w:rsid w:val="00125EE6"/>
    <w:rsid w:val="001261D1"/>
    <w:rsid w:val="001263F1"/>
    <w:rsid w:val="00126E34"/>
    <w:rsid w:val="001274C5"/>
    <w:rsid w:val="0012787E"/>
    <w:rsid w:val="001306F0"/>
    <w:rsid w:val="00130CA8"/>
    <w:rsid w:val="0013348E"/>
    <w:rsid w:val="0013376F"/>
    <w:rsid w:val="00134257"/>
    <w:rsid w:val="00135185"/>
    <w:rsid w:val="00135D71"/>
    <w:rsid w:val="00136898"/>
    <w:rsid w:val="00136D56"/>
    <w:rsid w:val="00137989"/>
    <w:rsid w:val="00137AF1"/>
    <w:rsid w:val="00137CC3"/>
    <w:rsid w:val="00137FF8"/>
    <w:rsid w:val="00140093"/>
    <w:rsid w:val="001401D5"/>
    <w:rsid w:val="00140577"/>
    <w:rsid w:val="00140716"/>
    <w:rsid w:val="00141438"/>
    <w:rsid w:val="00143249"/>
    <w:rsid w:val="001435EB"/>
    <w:rsid w:val="00143C16"/>
    <w:rsid w:val="0014471C"/>
    <w:rsid w:val="001454AA"/>
    <w:rsid w:val="001454FC"/>
    <w:rsid w:val="00146450"/>
    <w:rsid w:val="00146A12"/>
    <w:rsid w:val="001473D5"/>
    <w:rsid w:val="001473E7"/>
    <w:rsid w:val="00147CE1"/>
    <w:rsid w:val="00150B49"/>
    <w:rsid w:val="00150EAD"/>
    <w:rsid w:val="00151020"/>
    <w:rsid w:val="00152265"/>
    <w:rsid w:val="00152BBD"/>
    <w:rsid w:val="00152D3A"/>
    <w:rsid w:val="0015391B"/>
    <w:rsid w:val="00154203"/>
    <w:rsid w:val="00154DE9"/>
    <w:rsid w:val="001550B8"/>
    <w:rsid w:val="001563C6"/>
    <w:rsid w:val="00156FA7"/>
    <w:rsid w:val="0015726B"/>
    <w:rsid w:val="0016067D"/>
    <w:rsid w:val="0016069B"/>
    <w:rsid w:val="00160B10"/>
    <w:rsid w:val="00161B76"/>
    <w:rsid w:val="00161E58"/>
    <w:rsid w:val="00162270"/>
    <w:rsid w:val="00162529"/>
    <w:rsid w:val="00162CAF"/>
    <w:rsid w:val="001635D6"/>
    <w:rsid w:val="00163B09"/>
    <w:rsid w:val="00164086"/>
    <w:rsid w:val="00164210"/>
    <w:rsid w:val="00164562"/>
    <w:rsid w:val="001651B2"/>
    <w:rsid w:val="00165518"/>
    <w:rsid w:val="00165D5A"/>
    <w:rsid w:val="00165FC8"/>
    <w:rsid w:val="0016615A"/>
    <w:rsid w:val="001661AF"/>
    <w:rsid w:val="001664E1"/>
    <w:rsid w:val="00166679"/>
    <w:rsid w:val="0016686A"/>
    <w:rsid w:val="001671DF"/>
    <w:rsid w:val="00167578"/>
    <w:rsid w:val="00170C11"/>
    <w:rsid w:val="00170FE8"/>
    <w:rsid w:val="0017100D"/>
    <w:rsid w:val="001717A5"/>
    <w:rsid w:val="00172189"/>
    <w:rsid w:val="00173026"/>
    <w:rsid w:val="00173263"/>
    <w:rsid w:val="0017388E"/>
    <w:rsid w:val="00173D0E"/>
    <w:rsid w:val="001745C1"/>
    <w:rsid w:val="00174BC5"/>
    <w:rsid w:val="00174E7A"/>
    <w:rsid w:val="0017530A"/>
    <w:rsid w:val="00175E3C"/>
    <w:rsid w:val="0017603E"/>
    <w:rsid w:val="001773F3"/>
    <w:rsid w:val="00177B52"/>
    <w:rsid w:val="00180F45"/>
    <w:rsid w:val="0018102C"/>
    <w:rsid w:val="00181F3C"/>
    <w:rsid w:val="00183E0B"/>
    <w:rsid w:val="0018522D"/>
    <w:rsid w:val="00185AD4"/>
    <w:rsid w:val="00185C2C"/>
    <w:rsid w:val="00185E62"/>
    <w:rsid w:val="001861E8"/>
    <w:rsid w:val="0018697A"/>
    <w:rsid w:val="00186B31"/>
    <w:rsid w:val="00186EB5"/>
    <w:rsid w:val="001875B7"/>
    <w:rsid w:val="00187B33"/>
    <w:rsid w:val="00187DD7"/>
    <w:rsid w:val="00187EC9"/>
    <w:rsid w:val="00187F6F"/>
    <w:rsid w:val="00191D73"/>
    <w:rsid w:val="001930C7"/>
    <w:rsid w:val="00193106"/>
    <w:rsid w:val="00193225"/>
    <w:rsid w:val="00194DDF"/>
    <w:rsid w:val="00195061"/>
    <w:rsid w:val="00195FE7"/>
    <w:rsid w:val="00196303"/>
    <w:rsid w:val="0019763F"/>
    <w:rsid w:val="001A047C"/>
    <w:rsid w:val="001A0591"/>
    <w:rsid w:val="001A09E9"/>
    <w:rsid w:val="001A136C"/>
    <w:rsid w:val="001A1D90"/>
    <w:rsid w:val="001A2385"/>
    <w:rsid w:val="001A2A6D"/>
    <w:rsid w:val="001A4504"/>
    <w:rsid w:val="001A46C3"/>
    <w:rsid w:val="001A5D16"/>
    <w:rsid w:val="001A62BD"/>
    <w:rsid w:val="001A68F0"/>
    <w:rsid w:val="001A7DAF"/>
    <w:rsid w:val="001B04F5"/>
    <w:rsid w:val="001B0FE5"/>
    <w:rsid w:val="001B1E50"/>
    <w:rsid w:val="001B2E41"/>
    <w:rsid w:val="001B33AA"/>
    <w:rsid w:val="001B3725"/>
    <w:rsid w:val="001B3739"/>
    <w:rsid w:val="001B390D"/>
    <w:rsid w:val="001B3AE9"/>
    <w:rsid w:val="001B44AB"/>
    <w:rsid w:val="001B469A"/>
    <w:rsid w:val="001B5C21"/>
    <w:rsid w:val="001B5D8E"/>
    <w:rsid w:val="001B6FA4"/>
    <w:rsid w:val="001B76E4"/>
    <w:rsid w:val="001B77EA"/>
    <w:rsid w:val="001B78D5"/>
    <w:rsid w:val="001C0040"/>
    <w:rsid w:val="001C01B8"/>
    <w:rsid w:val="001C01D0"/>
    <w:rsid w:val="001C2243"/>
    <w:rsid w:val="001C291F"/>
    <w:rsid w:val="001C32BE"/>
    <w:rsid w:val="001C3549"/>
    <w:rsid w:val="001C4E54"/>
    <w:rsid w:val="001C4F0A"/>
    <w:rsid w:val="001C4F33"/>
    <w:rsid w:val="001C5674"/>
    <w:rsid w:val="001C61AB"/>
    <w:rsid w:val="001C6662"/>
    <w:rsid w:val="001D0186"/>
    <w:rsid w:val="001D1313"/>
    <w:rsid w:val="001D1CCC"/>
    <w:rsid w:val="001D2FF7"/>
    <w:rsid w:val="001D3809"/>
    <w:rsid w:val="001D381F"/>
    <w:rsid w:val="001D3C22"/>
    <w:rsid w:val="001D3DAE"/>
    <w:rsid w:val="001D40A6"/>
    <w:rsid w:val="001D41DF"/>
    <w:rsid w:val="001D450C"/>
    <w:rsid w:val="001D4948"/>
    <w:rsid w:val="001D5433"/>
    <w:rsid w:val="001D62BB"/>
    <w:rsid w:val="001D67A6"/>
    <w:rsid w:val="001D7537"/>
    <w:rsid w:val="001E076E"/>
    <w:rsid w:val="001E0DF0"/>
    <w:rsid w:val="001E1198"/>
    <w:rsid w:val="001E251A"/>
    <w:rsid w:val="001E3F30"/>
    <w:rsid w:val="001E4608"/>
    <w:rsid w:val="001E55FC"/>
    <w:rsid w:val="001E5649"/>
    <w:rsid w:val="001E5AA5"/>
    <w:rsid w:val="001E5AAA"/>
    <w:rsid w:val="001E5E07"/>
    <w:rsid w:val="001E683C"/>
    <w:rsid w:val="001E715E"/>
    <w:rsid w:val="001F0A65"/>
    <w:rsid w:val="001F196A"/>
    <w:rsid w:val="001F3795"/>
    <w:rsid w:val="001F56DD"/>
    <w:rsid w:val="001F71E1"/>
    <w:rsid w:val="002001C6"/>
    <w:rsid w:val="00200FD5"/>
    <w:rsid w:val="00201A6F"/>
    <w:rsid w:val="002020B1"/>
    <w:rsid w:val="00202329"/>
    <w:rsid w:val="00202D3A"/>
    <w:rsid w:val="002034A6"/>
    <w:rsid w:val="00203890"/>
    <w:rsid w:val="00204185"/>
    <w:rsid w:val="00204280"/>
    <w:rsid w:val="002054F5"/>
    <w:rsid w:val="00205BE9"/>
    <w:rsid w:val="00205C14"/>
    <w:rsid w:val="00206642"/>
    <w:rsid w:val="002067D2"/>
    <w:rsid w:val="002072B3"/>
    <w:rsid w:val="0020767A"/>
    <w:rsid w:val="00210ADE"/>
    <w:rsid w:val="00210FDD"/>
    <w:rsid w:val="00211AF9"/>
    <w:rsid w:val="00213AEA"/>
    <w:rsid w:val="00214D8A"/>
    <w:rsid w:val="002150A6"/>
    <w:rsid w:val="00215D5D"/>
    <w:rsid w:val="00216A79"/>
    <w:rsid w:val="00216DCB"/>
    <w:rsid w:val="00217178"/>
    <w:rsid w:val="0021787C"/>
    <w:rsid w:val="0022066E"/>
    <w:rsid w:val="00220FE8"/>
    <w:rsid w:val="00221CA0"/>
    <w:rsid w:val="0022205F"/>
    <w:rsid w:val="00222385"/>
    <w:rsid w:val="00223497"/>
    <w:rsid w:val="00223DC7"/>
    <w:rsid w:val="0022411B"/>
    <w:rsid w:val="00224F97"/>
    <w:rsid w:val="002250DA"/>
    <w:rsid w:val="00225B34"/>
    <w:rsid w:val="00225FD4"/>
    <w:rsid w:val="00226953"/>
    <w:rsid w:val="002271B1"/>
    <w:rsid w:val="00227432"/>
    <w:rsid w:val="0022756B"/>
    <w:rsid w:val="002309B2"/>
    <w:rsid w:val="00230A32"/>
    <w:rsid w:val="00230BBE"/>
    <w:rsid w:val="00230C18"/>
    <w:rsid w:val="00230EEA"/>
    <w:rsid w:val="00231737"/>
    <w:rsid w:val="00231E32"/>
    <w:rsid w:val="00232416"/>
    <w:rsid w:val="0023282A"/>
    <w:rsid w:val="0023323B"/>
    <w:rsid w:val="002336B6"/>
    <w:rsid w:val="00233ABC"/>
    <w:rsid w:val="00233BB2"/>
    <w:rsid w:val="00233D2E"/>
    <w:rsid w:val="00233D9F"/>
    <w:rsid w:val="00234391"/>
    <w:rsid w:val="00234428"/>
    <w:rsid w:val="00234836"/>
    <w:rsid w:val="002349B6"/>
    <w:rsid w:val="00235149"/>
    <w:rsid w:val="002354B3"/>
    <w:rsid w:val="002361A6"/>
    <w:rsid w:val="0023642E"/>
    <w:rsid w:val="00236A7C"/>
    <w:rsid w:val="00236FE0"/>
    <w:rsid w:val="00237806"/>
    <w:rsid w:val="00237D36"/>
    <w:rsid w:val="0024090F"/>
    <w:rsid w:val="002410E8"/>
    <w:rsid w:val="002411EB"/>
    <w:rsid w:val="00241D1B"/>
    <w:rsid w:val="002424E3"/>
    <w:rsid w:val="002426AA"/>
    <w:rsid w:val="00242C70"/>
    <w:rsid w:val="00242D3A"/>
    <w:rsid w:val="00243317"/>
    <w:rsid w:val="00243911"/>
    <w:rsid w:val="00243C6C"/>
    <w:rsid w:val="002444C9"/>
    <w:rsid w:val="00244D37"/>
    <w:rsid w:val="00244DF2"/>
    <w:rsid w:val="00244F5D"/>
    <w:rsid w:val="00245AC8"/>
    <w:rsid w:val="002466F0"/>
    <w:rsid w:val="0024741E"/>
    <w:rsid w:val="00250B43"/>
    <w:rsid w:val="0025134D"/>
    <w:rsid w:val="00251AFE"/>
    <w:rsid w:val="00251FD1"/>
    <w:rsid w:val="0025238F"/>
    <w:rsid w:val="002529C0"/>
    <w:rsid w:val="00252CD2"/>
    <w:rsid w:val="00253BAA"/>
    <w:rsid w:val="002547DE"/>
    <w:rsid w:val="00255068"/>
    <w:rsid w:val="00255610"/>
    <w:rsid w:val="0025661A"/>
    <w:rsid w:val="00257249"/>
    <w:rsid w:val="0025745D"/>
    <w:rsid w:val="00257466"/>
    <w:rsid w:val="002576D1"/>
    <w:rsid w:val="00257880"/>
    <w:rsid w:val="00257D40"/>
    <w:rsid w:val="00260DE8"/>
    <w:rsid w:val="00261180"/>
    <w:rsid w:val="002611C0"/>
    <w:rsid w:val="00261807"/>
    <w:rsid w:val="002621E8"/>
    <w:rsid w:val="002628BA"/>
    <w:rsid w:val="00262B0B"/>
    <w:rsid w:val="00263001"/>
    <w:rsid w:val="0026378C"/>
    <w:rsid w:val="00263FA1"/>
    <w:rsid w:val="002648B0"/>
    <w:rsid w:val="00264907"/>
    <w:rsid w:val="00264ABB"/>
    <w:rsid w:val="0026542C"/>
    <w:rsid w:val="00265955"/>
    <w:rsid w:val="00265EBE"/>
    <w:rsid w:val="00266091"/>
    <w:rsid w:val="002660A3"/>
    <w:rsid w:val="002664A8"/>
    <w:rsid w:val="00266C72"/>
    <w:rsid w:val="00266F71"/>
    <w:rsid w:val="002679A8"/>
    <w:rsid w:val="00267A6F"/>
    <w:rsid w:val="00267E24"/>
    <w:rsid w:val="00270879"/>
    <w:rsid w:val="00270CF5"/>
    <w:rsid w:val="00271B55"/>
    <w:rsid w:val="00271FBB"/>
    <w:rsid w:val="002720A1"/>
    <w:rsid w:val="00272244"/>
    <w:rsid w:val="00274B27"/>
    <w:rsid w:val="002753B1"/>
    <w:rsid w:val="0027571D"/>
    <w:rsid w:val="002761E1"/>
    <w:rsid w:val="0027636A"/>
    <w:rsid w:val="00276714"/>
    <w:rsid w:val="0027705C"/>
    <w:rsid w:val="00277DA0"/>
    <w:rsid w:val="00277E18"/>
    <w:rsid w:val="002803C5"/>
    <w:rsid w:val="0028066A"/>
    <w:rsid w:val="002820D4"/>
    <w:rsid w:val="002823D9"/>
    <w:rsid w:val="002829E7"/>
    <w:rsid w:val="00283106"/>
    <w:rsid w:val="00284172"/>
    <w:rsid w:val="0028424D"/>
    <w:rsid w:val="002844A3"/>
    <w:rsid w:val="00284749"/>
    <w:rsid w:val="002847D3"/>
    <w:rsid w:val="002857F0"/>
    <w:rsid w:val="00287399"/>
    <w:rsid w:val="00290D06"/>
    <w:rsid w:val="00291089"/>
    <w:rsid w:val="002937E9"/>
    <w:rsid w:val="00294765"/>
    <w:rsid w:val="00294F53"/>
    <w:rsid w:val="00295388"/>
    <w:rsid w:val="00295A32"/>
    <w:rsid w:val="002961C1"/>
    <w:rsid w:val="00296A72"/>
    <w:rsid w:val="00297141"/>
    <w:rsid w:val="00297A24"/>
    <w:rsid w:val="002A04CE"/>
    <w:rsid w:val="002A1697"/>
    <w:rsid w:val="002A17CE"/>
    <w:rsid w:val="002A1E50"/>
    <w:rsid w:val="002A201F"/>
    <w:rsid w:val="002A29E9"/>
    <w:rsid w:val="002A2F0E"/>
    <w:rsid w:val="002A2FD6"/>
    <w:rsid w:val="002A3F12"/>
    <w:rsid w:val="002A452E"/>
    <w:rsid w:val="002A56CF"/>
    <w:rsid w:val="002A5D43"/>
    <w:rsid w:val="002A61D1"/>
    <w:rsid w:val="002A6936"/>
    <w:rsid w:val="002A6D22"/>
    <w:rsid w:val="002A6ECA"/>
    <w:rsid w:val="002A7477"/>
    <w:rsid w:val="002A768F"/>
    <w:rsid w:val="002A79C9"/>
    <w:rsid w:val="002B13D2"/>
    <w:rsid w:val="002B1641"/>
    <w:rsid w:val="002B204F"/>
    <w:rsid w:val="002B2699"/>
    <w:rsid w:val="002B2E82"/>
    <w:rsid w:val="002B3CF8"/>
    <w:rsid w:val="002B3E69"/>
    <w:rsid w:val="002B4DB5"/>
    <w:rsid w:val="002B552F"/>
    <w:rsid w:val="002B6464"/>
    <w:rsid w:val="002B6DDD"/>
    <w:rsid w:val="002C1977"/>
    <w:rsid w:val="002C1CD8"/>
    <w:rsid w:val="002C2F1D"/>
    <w:rsid w:val="002C3627"/>
    <w:rsid w:val="002C38C0"/>
    <w:rsid w:val="002C42D1"/>
    <w:rsid w:val="002C4B6F"/>
    <w:rsid w:val="002C58BF"/>
    <w:rsid w:val="002C6AAD"/>
    <w:rsid w:val="002C6E93"/>
    <w:rsid w:val="002D041B"/>
    <w:rsid w:val="002D1350"/>
    <w:rsid w:val="002D19B4"/>
    <w:rsid w:val="002D1F4D"/>
    <w:rsid w:val="002D34FE"/>
    <w:rsid w:val="002D3F43"/>
    <w:rsid w:val="002D3F84"/>
    <w:rsid w:val="002D4994"/>
    <w:rsid w:val="002D4CC2"/>
    <w:rsid w:val="002D4D3D"/>
    <w:rsid w:val="002D5B58"/>
    <w:rsid w:val="002D66A6"/>
    <w:rsid w:val="002D6712"/>
    <w:rsid w:val="002D67DA"/>
    <w:rsid w:val="002D6981"/>
    <w:rsid w:val="002E05FB"/>
    <w:rsid w:val="002E088D"/>
    <w:rsid w:val="002E1C6C"/>
    <w:rsid w:val="002E1F19"/>
    <w:rsid w:val="002E2FE6"/>
    <w:rsid w:val="002E3B29"/>
    <w:rsid w:val="002E4078"/>
    <w:rsid w:val="002E4672"/>
    <w:rsid w:val="002E6051"/>
    <w:rsid w:val="002E64B3"/>
    <w:rsid w:val="002E6A72"/>
    <w:rsid w:val="002E77CA"/>
    <w:rsid w:val="002E7B48"/>
    <w:rsid w:val="002E7F0A"/>
    <w:rsid w:val="002F0775"/>
    <w:rsid w:val="002F1285"/>
    <w:rsid w:val="002F17AE"/>
    <w:rsid w:val="002F1AFB"/>
    <w:rsid w:val="002F2B3F"/>
    <w:rsid w:val="002F3F25"/>
    <w:rsid w:val="002F4726"/>
    <w:rsid w:val="002F4B85"/>
    <w:rsid w:val="002F602D"/>
    <w:rsid w:val="002F62D6"/>
    <w:rsid w:val="002F7925"/>
    <w:rsid w:val="002F7929"/>
    <w:rsid w:val="002F7F5A"/>
    <w:rsid w:val="00300C40"/>
    <w:rsid w:val="00300ECF"/>
    <w:rsid w:val="00301399"/>
    <w:rsid w:val="00301B39"/>
    <w:rsid w:val="0030209A"/>
    <w:rsid w:val="00302ADF"/>
    <w:rsid w:val="0030303D"/>
    <w:rsid w:val="003035DD"/>
    <w:rsid w:val="00303667"/>
    <w:rsid w:val="003046AE"/>
    <w:rsid w:val="00304C56"/>
    <w:rsid w:val="00305C7D"/>
    <w:rsid w:val="00307161"/>
    <w:rsid w:val="00307775"/>
    <w:rsid w:val="003108D5"/>
    <w:rsid w:val="00310E24"/>
    <w:rsid w:val="00311996"/>
    <w:rsid w:val="00312A86"/>
    <w:rsid w:val="00313268"/>
    <w:rsid w:val="00313678"/>
    <w:rsid w:val="0031369F"/>
    <w:rsid w:val="00316A2A"/>
    <w:rsid w:val="00316F4E"/>
    <w:rsid w:val="0031734B"/>
    <w:rsid w:val="00321A9E"/>
    <w:rsid w:val="00322427"/>
    <w:rsid w:val="003236A5"/>
    <w:rsid w:val="00323B77"/>
    <w:rsid w:val="00324F43"/>
    <w:rsid w:val="003251DA"/>
    <w:rsid w:val="00325440"/>
    <w:rsid w:val="00325861"/>
    <w:rsid w:val="00325DF6"/>
    <w:rsid w:val="0032627C"/>
    <w:rsid w:val="00326EAF"/>
    <w:rsid w:val="0032763A"/>
    <w:rsid w:val="00330A6D"/>
    <w:rsid w:val="00330BD3"/>
    <w:rsid w:val="00330BE8"/>
    <w:rsid w:val="00330D33"/>
    <w:rsid w:val="00330D8C"/>
    <w:rsid w:val="003310BA"/>
    <w:rsid w:val="003340D7"/>
    <w:rsid w:val="0033440B"/>
    <w:rsid w:val="00334A41"/>
    <w:rsid w:val="00334C3E"/>
    <w:rsid w:val="00334E99"/>
    <w:rsid w:val="00335054"/>
    <w:rsid w:val="0033653F"/>
    <w:rsid w:val="00337459"/>
    <w:rsid w:val="00337587"/>
    <w:rsid w:val="00337636"/>
    <w:rsid w:val="00337744"/>
    <w:rsid w:val="003400C7"/>
    <w:rsid w:val="00340B92"/>
    <w:rsid w:val="003413E7"/>
    <w:rsid w:val="003414FA"/>
    <w:rsid w:val="00341D0C"/>
    <w:rsid w:val="00341D9E"/>
    <w:rsid w:val="003435CA"/>
    <w:rsid w:val="00344110"/>
    <w:rsid w:val="00344D4D"/>
    <w:rsid w:val="00345BEC"/>
    <w:rsid w:val="00345D01"/>
    <w:rsid w:val="00345FC4"/>
    <w:rsid w:val="00346913"/>
    <w:rsid w:val="0035019E"/>
    <w:rsid w:val="0035055F"/>
    <w:rsid w:val="00350B06"/>
    <w:rsid w:val="0035126D"/>
    <w:rsid w:val="00351659"/>
    <w:rsid w:val="00351AB3"/>
    <w:rsid w:val="00351F7C"/>
    <w:rsid w:val="00352394"/>
    <w:rsid w:val="00352D32"/>
    <w:rsid w:val="00353C0D"/>
    <w:rsid w:val="00354104"/>
    <w:rsid w:val="0035473A"/>
    <w:rsid w:val="00354CBD"/>
    <w:rsid w:val="00355540"/>
    <w:rsid w:val="0035601D"/>
    <w:rsid w:val="00356477"/>
    <w:rsid w:val="003568EE"/>
    <w:rsid w:val="00357141"/>
    <w:rsid w:val="00357F2A"/>
    <w:rsid w:val="0036034C"/>
    <w:rsid w:val="00360B02"/>
    <w:rsid w:val="00361FD0"/>
    <w:rsid w:val="003621CF"/>
    <w:rsid w:val="003628C3"/>
    <w:rsid w:val="00363BA1"/>
    <w:rsid w:val="00364022"/>
    <w:rsid w:val="003655A7"/>
    <w:rsid w:val="00365796"/>
    <w:rsid w:val="0037051E"/>
    <w:rsid w:val="003711FC"/>
    <w:rsid w:val="0037125F"/>
    <w:rsid w:val="00372055"/>
    <w:rsid w:val="003728BB"/>
    <w:rsid w:val="00372A40"/>
    <w:rsid w:val="00372B8D"/>
    <w:rsid w:val="003734FB"/>
    <w:rsid w:val="00373ED5"/>
    <w:rsid w:val="00373FDF"/>
    <w:rsid w:val="00374151"/>
    <w:rsid w:val="00377611"/>
    <w:rsid w:val="003804E1"/>
    <w:rsid w:val="00381729"/>
    <w:rsid w:val="003819C8"/>
    <w:rsid w:val="00381D26"/>
    <w:rsid w:val="00381DD6"/>
    <w:rsid w:val="003820BC"/>
    <w:rsid w:val="0038224F"/>
    <w:rsid w:val="003834C4"/>
    <w:rsid w:val="0038369F"/>
    <w:rsid w:val="003872C0"/>
    <w:rsid w:val="00387EFB"/>
    <w:rsid w:val="003901EB"/>
    <w:rsid w:val="00390E78"/>
    <w:rsid w:val="003919CC"/>
    <w:rsid w:val="0039201E"/>
    <w:rsid w:val="00392DE7"/>
    <w:rsid w:val="003941A4"/>
    <w:rsid w:val="0039528D"/>
    <w:rsid w:val="00395A58"/>
    <w:rsid w:val="0039752D"/>
    <w:rsid w:val="003978FC"/>
    <w:rsid w:val="00397B5A"/>
    <w:rsid w:val="003A1113"/>
    <w:rsid w:val="003A21D7"/>
    <w:rsid w:val="003A47AB"/>
    <w:rsid w:val="003A604E"/>
    <w:rsid w:val="003A61B4"/>
    <w:rsid w:val="003A64DF"/>
    <w:rsid w:val="003A6D25"/>
    <w:rsid w:val="003A6F85"/>
    <w:rsid w:val="003A7B34"/>
    <w:rsid w:val="003B0350"/>
    <w:rsid w:val="003B0846"/>
    <w:rsid w:val="003B1189"/>
    <w:rsid w:val="003B1732"/>
    <w:rsid w:val="003B3D7D"/>
    <w:rsid w:val="003B44C0"/>
    <w:rsid w:val="003B4791"/>
    <w:rsid w:val="003B4834"/>
    <w:rsid w:val="003B52B0"/>
    <w:rsid w:val="003B5517"/>
    <w:rsid w:val="003B5589"/>
    <w:rsid w:val="003B5C38"/>
    <w:rsid w:val="003B5E85"/>
    <w:rsid w:val="003B5E98"/>
    <w:rsid w:val="003B6316"/>
    <w:rsid w:val="003B67B5"/>
    <w:rsid w:val="003B6D6D"/>
    <w:rsid w:val="003B77D5"/>
    <w:rsid w:val="003B7BC5"/>
    <w:rsid w:val="003C027B"/>
    <w:rsid w:val="003C06D6"/>
    <w:rsid w:val="003C0E43"/>
    <w:rsid w:val="003C114F"/>
    <w:rsid w:val="003C1151"/>
    <w:rsid w:val="003C12B0"/>
    <w:rsid w:val="003C1DF6"/>
    <w:rsid w:val="003C22BD"/>
    <w:rsid w:val="003C36FD"/>
    <w:rsid w:val="003C475A"/>
    <w:rsid w:val="003C616E"/>
    <w:rsid w:val="003D0862"/>
    <w:rsid w:val="003D08EC"/>
    <w:rsid w:val="003D1A49"/>
    <w:rsid w:val="003D1BA9"/>
    <w:rsid w:val="003D1CCE"/>
    <w:rsid w:val="003D1CF7"/>
    <w:rsid w:val="003D22E7"/>
    <w:rsid w:val="003D353B"/>
    <w:rsid w:val="003D6428"/>
    <w:rsid w:val="003D6452"/>
    <w:rsid w:val="003D7723"/>
    <w:rsid w:val="003D7730"/>
    <w:rsid w:val="003D7AA9"/>
    <w:rsid w:val="003D7FBD"/>
    <w:rsid w:val="003E02CB"/>
    <w:rsid w:val="003E0692"/>
    <w:rsid w:val="003E099B"/>
    <w:rsid w:val="003E0C5C"/>
    <w:rsid w:val="003E0CCF"/>
    <w:rsid w:val="003E106E"/>
    <w:rsid w:val="003E216C"/>
    <w:rsid w:val="003E30E1"/>
    <w:rsid w:val="003E3483"/>
    <w:rsid w:val="003E4D0F"/>
    <w:rsid w:val="003E4D42"/>
    <w:rsid w:val="003E540D"/>
    <w:rsid w:val="003E545D"/>
    <w:rsid w:val="003E5BC2"/>
    <w:rsid w:val="003F03E7"/>
    <w:rsid w:val="003F0897"/>
    <w:rsid w:val="003F0A0F"/>
    <w:rsid w:val="003F1215"/>
    <w:rsid w:val="003F16FC"/>
    <w:rsid w:val="003F1D7F"/>
    <w:rsid w:val="003F1DBA"/>
    <w:rsid w:val="003F1F8D"/>
    <w:rsid w:val="003F26C0"/>
    <w:rsid w:val="003F280B"/>
    <w:rsid w:val="003F2AE7"/>
    <w:rsid w:val="003F2E8F"/>
    <w:rsid w:val="003F3BC9"/>
    <w:rsid w:val="003F3C5E"/>
    <w:rsid w:val="003F3F95"/>
    <w:rsid w:val="003F4C84"/>
    <w:rsid w:val="003F5766"/>
    <w:rsid w:val="003F5E67"/>
    <w:rsid w:val="003F5FAB"/>
    <w:rsid w:val="003F6AE4"/>
    <w:rsid w:val="003F712B"/>
    <w:rsid w:val="003F71CC"/>
    <w:rsid w:val="003F74CB"/>
    <w:rsid w:val="00400132"/>
    <w:rsid w:val="004014E1"/>
    <w:rsid w:val="00401728"/>
    <w:rsid w:val="00401B36"/>
    <w:rsid w:val="004036DD"/>
    <w:rsid w:val="0040415C"/>
    <w:rsid w:val="004046D0"/>
    <w:rsid w:val="00404994"/>
    <w:rsid w:val="00404ED4"/>
    <w:rsid w:val="00404FEF"/>
    <w:rsid w:val="0040519D"/>
    <w:rsid w:val="00405713"/>
    <w:rsid w:val="00405E0A"/>
    <w:rsid w:val="00406331"/>
    <w:rsid w:val="00406599"/>
    <w:rsid w:val="00406947"/>
    <w:rsid w:val="00406D90"/>
    <w:rsid w:val="004101FB"/>
    <w:rsid w:val="0041073D"/>
    <w:rsid w:val="00410865"/>
    <w:rsid w:val="00410991"/>
    <w:rsid w:val="00411C86"/>
    <w:rsid w:val="00412927"/>
    <w:rsid w:val="00413165"/>
    <w:rsid w:val="00413E18"/>
    <w:rsid w:val="00414D45"/>
    <w:rsid w:val="004165CA"/>
    <w:rsid w:val="00416A05"/>
    <w:rsid w:val="0041791D"/>
    <w:rsid w:val="00417A9F"/>
    <w:rsid w:val="00417AD3"/>
    <w:rsid w:val="004207E9"/>
    <w:rsid w:val="00420A8B"/>
    <w:rsid w:val="00420B98"/>
    <w:rsid w:val="00420D9A"/>
    <w:rsid w:val="00420FC5"/>
    <w:rsid w:val="00422381"/>
    <w:rsid w:val="004226B3"/>
    <w:rsid w:val="00422827"/>
    <w:rsid w:val="00423F4A"/>
    <w:rsid w:val="00424F31"/>
    <w:rsid w:val="00425B40"/>
    <w:rsid w:val="004266C8"/>
    <w:rsid w:val="00427659"/>
    <w:rsid w:val="0042792B"/>
    <w:rsid w:val="00430235"/>
    <w:rsid w:val="00431001"/>
    <w:rsid w:val="00432229"/>
    <w:rsid w:val="0043229D"/>
    <w:rsid w:val="0043267B"/>
    <w:rsid w:val="00432761"/>
    <w:rsid w:val="00433595"/>
    <w:rsid w:val="00433B3C"/>
    <w:rsid w:val="004346F0"/>
    <w:rsid w:val="00434C86"/>
    <w:rsid w:val="00434F1D"/>
    <w:rsid w:val="00435447"/>
    <w:rsid w:val="0043565D"/>
    <w:rsid w:val="004361E1"/>
    <w:rsid w:val="0043622C"/>
    <w:rsid w:val="004365BF"/>
    <w:rsid w:val="00436798"/>
    <w:rsid w:val="004367A9"/>
    <w:rsid w:val="00440478"/>
    <w:rsid w:val="00440A37"/>
    <w:rsid w:val="00440F49"/>
    <w:rsid w:val="004410BE"/>
    <w:rsid w:val="0044133F"/>
    <w:rsid w:val="004418BC"/>
    <w:rsid w:val="004420F0"/>
    <w:rsid w:val="00442A7C"/>
    <w:rsid w:val="00442F23"/>
    <w:rsid w:val="00443155"/>
    <w:rsid w:val="00443445"/>
    <w:rsid w:val="00443718"/>
    <w:rsid w:val="00443A72"/>
    <w:rsid w:val="00444090"/>
    <w:rsid w:val="0044428F"/>
    <w:rsid w:val="00444A8B"/>
    <w:rsid w:val="004461D2"/>
    <w:rsid w:val="00446B0D"/>
    <w:rsid w:val="00447D77"/>
    <w:rsid w:val="00451A31"/>
    <w:rsid w:val="00452E7E"/>
    <w:rsid w:val="004531AA"/>
    <w:rsid w:val="0045361E"/>
    <w:rsid w:val="00454B32"/>
    <w:rsid w:val="004553A9"/>
    <w:rsid w:val="00455DF3"/>
    <w:rsid w:val="00456059"/>
    <w:rsid w:val="00456B6A"/>
    <w:rsid w:val="00456F59"/>
    <w:rsid w:val="00457EA5"/>
    <w:rsid w:val="00460268"/>
    <w:rsid w:val="0046031D"/>
    <w:rsid w:val="00460876"/>
    <w:rsid w:val="00460C51"/>
    <w:rsid w:val="0046136F"/>
    <w:rsid w:val="00461710"/>
    <w:rsid w:val="004619E6"/>
    <w:rsid w:val="00461AAC"/>
    <w:rsid w:val="00461AE8"/>
    <w:rsid w:val="00461F2E"/>
    <w:rsid w:val="00462AB5"/>
    <w:rsid w:val="004644AA"/>
    <w:rsid w:val="004653EF"/>
    <w:rsid w:val="00465F45"/>
    <w:rsid w:val="0046649C"/>
    <w:rsid w:val="00466AC1"/>
    <w:rsid w:val="00470487"/>
    <w:rsid w:val="0047194F"/>
    <w:rsid w:val="00471E9B"/>
    <w:rsid w:val="00471F91"/>
    <w:rsid w:val="00471FE3"/>
    <w:rsid w:val="0047483A"/>
    <w:rsid w:val="00475276"/>
    <w:rsid w:val="00476685"/>
    <w:rsid w:val="00476800"/>
    <w:rsid w:val="00476F6A"/>
    <w:rsid w:val="00477324"/>
    <w:rsid w:val="0048004E"/>
    <w:rsid w:val="00481A29"/>
    <w:rsid w:val="00482046"/>
    <w:rsid w:val="00482437"/>
    <w:rsid w:val="00483343"/>
    <w:rsid w:val="004838D7"/>
    <w:rsid w:val="0048440A"/>
    <w:rsid w:val="00484BF1"/>
    <w:rsid w:val="00486060"/>
    <w:rsid w:val="004874CC"/>
    <w:rsid w:val="0048780F"/>
    <w:rsid w:val="0048784D"/>
    <w:rsid w:val="00487965"/>
    <w:rsid w:val="00487C90"/>
    <w:rsid w:val="0049029B"/>
    <w:rsid w:val="00490F17"/>
    <w:rsid w:val="004913F6"/>
    <w:rsid w:val="00492160"/>
    <w:rsid w:val="00493942"/>
    <w:rsid w:val="00493C25"/>
    <w:rsid w:val="00493E00"/>
    <w:rsid w:val="00494FE0"/>
    <w:rsid w:val="004953C9"/>
    <w:rsid w:val="004954DC"/>
    <w:rsid w:val="00495A63"/>
    <w:rsid w:val="00495C3E"/>
    <w:rsid w:val="00495DE2"/>
    <w:rsid w:val="004960AF"/>
    <w:rsid w:val="004969D0"/>
    <w:rsid w:val="004971AB"/>
    <w:rsid w:val="004A0152"/>
    <w:rsid w:val="004A0897"/>
    <w:rsid w:val="004A0DE9"/>
    <w:rsid w:val="004A2738"/>
    <w:rsid w:val="004A431A"/>
    <w:rsid w:val="004A4510"/>
    <w:rsid w:val="004A5EEF"/>
    <w:rsid w:val="004A65F9"/>
    <w:rsid w:val="004A6601"/>
    <w:rsid w:val="004A7141"/>
    <w:rsid w:val="004A7CE8"/>
    <w:rsid w:val="004B0B66"/>
    <w:rsid w:val="004B0E52"/>
    <w:rsid w:val="004B1B0E"/>
    <w:rsid w:val="004B1DA5"/>
    <w:rsid w:val="004B2477"/>
    <w:rsid w:val="004B2E27"/>
    <w:rsid w:val="004B3F71"/>
    <w:rsid w:val="004B4047"/>
    <w:rsid w:val="004B4AA8"/>
    <w:rsid w:val="004B4C4F"/>
    <w:rsid w:val="004B52B1"/>
    <w:rsid w:val="004B6500"/>
    <w:rsid w:val="004B65FC"/>
    <w:rsid w:val="004B6793"/>
    <w:rsid w:val="004B6D68"/>
    <w:rsid w:val="004B71D1"/>
    <w:rsid w:val="004B7B58"/>
    <w:rsid w:val="004C0C73"/>
    <w:rsid w:val="004C2156"/>
    <w:rsid w:val="004C2F64"/>
    <w:rsid w:val="004C3A4B"/>
    <w:rsid w:val="004C3E28"/>
    <w:rsid w:val="004C3FA5"/>
    <w:rsid w:val="004C3FE1"/>
    <w:rsid w:val="004C40F3"/>
    <w:rsid w:val="004C4420"/>
    <w:rsid w:val="004C493B"/>
    <w:rsid w:val="004C54E0"/>
    <w:rsid w:val="004C55DB"/>
    <w:rsid w:val="004C57CD"/>
    <w:rsid w:val="004C5B5F"/>
    <w:rsid w:val="004C5E67"/>
    <w:rsid w:val="004C5E6D"/>
    <w:rsid w:val="004C5FCB"/>
    <w:rsid w:val="004C6640"/>
    <w:rsid w:val="004C68B3"/>
    <w:rsid w:val="004C6FAE"/>
    <w:rsid w:val="004C7452"/>
    <w:rsid w:val="004C754B"/>
    <w:rsid w:val="004D001A"/>
    <w:rsid w:val="004D00EE"/>
    <w:rsid w:val="004D102A"/>
    <w:rsid w:val="004D1D9C"/>
    <w:rsid w:val="004D317A"/>
    <w:rsid w:val="004D438E"/>
    <w:rsid w:val="004D47D2"/>
    <w:rsid w:val="004D49D0"/>
    <w:rsid w:val="004D50A2"/>
    <w:rsid w:val="004D5E67"/>
    <w:rsid w:val="004D758D"/>
    <w:rsid w:val="004D7787"/>
    <w:rsid w:val="004D7F83"/>
    <w:rsid w:val="004E09B5"/>
    <w:rsid w:val="004E14E5"/>
    <w:rsid w:val="004E18E0"/>
    <w:rsid w:val="004E1AAF"/>
    <w:rsid w:val="004E1DDC"/>
    <w:rsid w:val="004E2269"/>
    <w:rsid w:val="004E2ACE"/>
    <w:rsid w:val="004E2D26"/>
    <w:rsid w:val="004E320B"/>
    <w:rsid w:val="004E394E"/>
    <w:rsid w:val="004E3F94"/>
    <w:rsid w:val="004E5331"/>
    <w:rsid w:val="004E5FAE"/>
    <w:rsid w:val="004E62FB"/>
    <w:rsid w:val="004E672D"/>
    <w:rsid w:val="004F04A1"/>
    <w:rsid w:val="004F0562"/>
    <w:rsid w:val="004F06A3"/>
    <w:rsid w:val="004F0DFA"/>
    <w:rsid w:val="004F19B6"/>
    <w:rsid w:val="004F1AD5"/>
    <w:rsid w:val="004F1E29"/>
    <w:rsid w:val="004F2090"/>
    <w:rsid w:val="004F23B1"/>
    <w:rsid w:val="004F38B4"/>
    <w:rsid w:val="004F45EC"/>
    <w:rsid w:val="004F4720"/>
    <w:rsid w:val="004F4B9E"/>
    <w:rsid w:val="004F4C9A"/>
    <w:rsid w:val="004F5209"/>
    <w:rsid w:val="004F5B40"/>
    <w:rsid w:val="004F61FA"/>
    <w:rsid w:val="004F65DE"/>
    <w:rsid w:val="004F688A"/>
    <w:rsid w:val="004F6E0C"/>
    <w:rsid w:val="004F74F8"/>
    <w:rsid w:val="004F7696"/>
    <w:rsid w:val="004F7883"/>
    <w:rsid w:val="004F7C1F"/>
    <w:rsid w:val="004F7F6A"/>
    <w:rsid w:val="00500626"/>
    <w:rsid w:val="005013A0"/>
    <w:rsid w:val="00501576"/>
    <w:rsid w:val="00502E70"/>
    <w:rsid w:val="005032E7"/>
    <w:rsid w:val="00503A81"/>
    <w:rsid w:val="00503DBB"/>
    <w:rsid w:val="005045DF"/>
    <w:rsid w:val="0050501C"/>
    <w:rsid w:val="00505140"/>
    <w:rsid w:val="00505851"/>
    <w:rsid w:val="00505B75"/>
    <w:rsid w:val="00505B81"/>
    <w:rsid w:val="00505C1A"/>
    <w:rsid w:val="00506CF1"/>
    <w:rsid w:val="00507425"/>
    <w:rsid w:val="00510977"/>
    <w:rsid w:val="00510F12"/>
    <w:rsid w:val="005122E9"/>
    <w:rsid w:val="0051245D"/>
    <w:rsid w:val="00513F27"/>
    <w:rsid w:val="00513F3A"/>
    <w:rsid w:val="0051452F"/>
    <w:rsid w:val="0051555F"/>
    <w:rsid w:val="00515B3D"/>
    <w:rsid w:val="005161CA"/>
    <w:rsid w:val="00516204"/>
    <w:rsid w:val="0051707D"/>
    <w:rsid w:val="00517707"/>
    <w:rsid w:val="00517ED9"/>
    <w:rsid w:val="005204A2"/>
    <w:rsid w:val="00520C25"/>
    <w:rsid w:val="00520C47"/>
    <w:rsid w:val="00520F1B"/>
    <w:rsid w:val="00521127"/>
    <w:rsid w:val="005215B5"/>
    <w:rsid w:val="00521989"/>
    <w:rsid w:val="005219D0"/>
    <w:rsid w:val="00521DB9"/>
    <w:rsid w:val="00521E42"/>
    <w:rsid w:val="00523003"/>
    <w:rsid w:val="0052304D"/>
    <w:rsid w:val="00523FF1"/>
    <w:rsid w:val="00524233"/>
    <w:rsid w:val="00524A9D"/>
    <w:rsid w:val="005251D2"/>
    <w:rsid w:val="0052572E"/>
    <w:rsid w:val="00525DAC"/>
    <w:rsid w:val="00526A09"/>
    <w:rsid w:val="00527C3C"/>
    <w:rsid w:val="00527C8D"/>
    <w:rsid w:val="00530348"/>
    <w:rsid w:val="00530F60"/>
    <w:rsid w:val="00531280"/>
    <w:rsid w:val="0053176A"/>
    <w:rsid w:val="00531937"/>
    <w:rsid w:val="00532256"/>
    <w:rsid w:val="005345A3"/>
    <w:rsid w:val="005346C5"/>
    <w:rsid w:val="00535145"/>
    <w:rsid w:val="0053563E"/>
    <w:rsid w:val="0053727D"/>
    <w:rsid w:val="0053728A"/>
    <w:rsid w:val="00537F67"/>
    <w:rsid w:val="005407A4"/>
    <w:rsid w:val="00540EC1"/>
    <w:rsid w:val="00541A69"/>
    <w:rsid w:val="00541CC0"/>
    <w:rsid w:val="00542878"/>
    <w:rsid w:val="005436F1"/>
    <w:rsid w:val="00544190"/>
    <w:rsid w:val="005445EB"/>
    <w:rsid w:val="00545A5E"/>
    <w:rsid w:val="00546AAF"/>
    <w:rsid w:val="00546E4D"/>
    <w:rsid w:val="005505AB"/>
    <w:rsid w:val="0055074B"/>
    <w:rsid w:val="00550A45"/>
    <w:rsid w:val="00551075"/>
    <w:rsid w:val="0055274F"/>
    <w:rsid w:val="005529EC"/>
    <w:rsid w:val="0055332A"/>
    <w:rsid w:val="00553BD8"/>
    <w:rsid w:val="00553E26"/>
    <w:rsid w:val="0055482F"/>
    <w:rsid w:val="00554A23"/>
    <w:rsid w:val="00554E48"/>
    <w:rsid w:val="00555D36"/>
    <w:rsid w:val="00555E94"/>
    <w:rsid w:val="0055647C"/>
    <w:rsid w:val="00556739"/>
    <w:rsid w:val="00556EA6"/>
    <w:rsid w:val="00556FF7"/>
    <w:rsid w:val="005577C3"/>
    <w:rsid w:val="0056071F"/>
    <w:rsid w:val="00562C67"/>
    <w:rsid w:val="00562DB9"/>
    <w:rsid w:val="005631B8"/>
    <w:rsid w:val="005632C0"/>
    <w:rsid w:val="00564079"/>
    <w:rsid w:val="00564E35"/>
    <w:rsid w:val="00565A0D"/>
    <w:rsid w:val="005663DF"/>
    <w:rsid w:val="005702A0"/>
    <w:rsid w:val="00570A95"/>
    <w:rsid w:val="00570F2B"/>
    <w:rsid w:val="00570FB7"/>
    <w:rsid w:val="00571611"/>
    <w:rsid w:val="00573CC1"/>
    <w:rsid w:val="00574255"/>
    <w:rsid w:val="00574747"/>
    <w:rsid w:val="00574D0D"/>
    <w:rsid w:val="005756BB"/>
    <w:rsid w:val="0057576D"/>
    <w:rsid w:val="00575BCC"/>
    <w:rsid w:val="00576A71"/>
    <w:rsid w:val="00577112"/>
    <w:rsid w:val="00577B86"/>
    <w:rsid w:val="00577DDB"/>
    <w:rsid w:val="00580522"/>
    <w:rsid w:val="00581037"/>
    <w:rsid w:val="00581B7B"/>
    <w:rsid w:val="005822EF"/>
    <w:rsid w:val="005827C2"/>
    <w:rsid w:val="00582AD1"/>
    <w:rsid w:val="00582F29"/>
    <w:rsid w:val="00584D1F"/>
    <w:rsid w:val="005860CB"/>
    <w:rsid w:val="005864AA"/>
    <w:rsid w:val="00587336"/>
    <w:rsid w:val="00590347"/>
    <w:rsid w:val="00590631"/>
    <w:rsid w:val="00591FBB"/>
    <w:rsid w:val="0059218E"/>
    <w:rsid w:val="005922B6"/>
    <w:rsid w:val="00592306"/>
    <w:rsid w:val="00592984"/>
    <w:rsid w:val="00594FCF"/>
    <w:rsid w:val="005952E8"/>
    <w:rsid w:val="0059543C"/>
    <w:rsid w:val="00595F99"/>
    <w:rsid w:val="00596492"/>
    <w:rsid w:val="005977B3"/>
    <w:rsid w:val="005A040F"/>
    <w:rsid w:val="005A0D31"/>
    <w:rsid w:val="005A1123"/>
    <w:rsid w:val="005A1497"/>
    <w:rsid w:val="005A173C"/>
    <w:rsid w:val="005A1958"/>
    <w:rsid w:val="005A1C18"/>
    <w:rsid w:val="005A26C1"/>
    <w:rsid w:val="005A2791"/>
    <w:rsid w:val="005A3036"/>
    <w:rsid w:val="005A3426"/>
    <w:rsid w:val="005A38B0"/>
    <w:rsid w:val="005A44B1"/>
    <w:rsid w:val="005A49C8"/>
    <w:rsid w:val="005A7D5B"/>
    <w:rsid w:val="005A7D86"/>
    <w:rsid w:val="005B02AA"/>
    <w:rsid w:val="005B0606"/>
    <w:rsid w:val="005B1687"/>
    <w:rsid w:val="005B1815"/>
    <w:rsid w:val="005B18DD"/>
    <w:rsid w:val="005B1E0B"/>
    <w:rsid w:val="005B2E00"/>
    <w:rsid w:val="005B341E"/>
    <w:rsid w:val="005B3C1A"/>
    <w:rsid w:val="005B43AF"/>
    <w:rsid w:val="005B4895"/>
    <w:rsid w:val="005B509B"/>
    <w:rsid w:val="005B51C9"/>
    <w:rsid w:val="005B541A"/>
    <w:rsid w:val="005B5718"/>
    <w:rsid w:val="005B6497"/>
    <w:rsid w:val="005B64DB"/>
    <w:rsid w:val="005B6DDD"/>
    <w:rsid w:val="005B7031"/>
    <w:rsid w:val="005B717F"/>
    <w:rsid w:val="005C005C"/>
    <w:rsid w:val="005C048F"/>
    <w:rsid w:val="005C04CF"/>
    <w:rsid w:val="005C1108"/>
    <w:rsid w:val="005C1AD1"/>
    <w:rsid w:val="005C1B71"/>
    <w:rsid w:val="005C2DC4"/>
    <w:rsid w:val="005C2DE1"/>
    <w:rsid w:val="005C3D9C"/>
    <w:rsid w:val="005C4CFC"/>
    <w:rsid w:val="005C4F81"/>
    <w:rsid w:val="005C5676"/>
    <w:rsid w:val="005C6417"/>
    <w:rsid w:val="005C6A2C"/>
    <w:rsid w:val="005D0961"/>
    <w:rsid w:val="005D0974"/>
    <w:rsid w:val="005D11B5"/>
    <w:rsid w:val="005D1A03"/>
    <w:rsid w:val="005D1E44"/>
    <w:rsid w:val="005D1E5A"/>
    <w:rsid w:val="005D4ECB"/>
    <w:rsid w:val="005D5942"/>
    <w:rsid w:val="005D686B"/>
    <w:rsid w:val="005D6E58"/>
    <w:rsid w:val="005D706C"/>
    <w:rsid w:val="005E13C2"/>
    <w:rsid w:val="005E1744"/>
    <w:rsid w:val="005E220E"/>
    <w:rsid w:val="005E2DCF"/>
    <w:rsid w:val="005E315D"/>
    <w:rsid w:val="005E3EBC"/>
    <w:rsid w:val="005E3F7D"/>
    <w:rsid w:val="005E4476"/>
    <w:rsid w:val="005E514E"/>
    <w:rsid w:val="005E536A"/>
    <w:rsid w:val="005E5470"/>
    <w:rsid w:val="005E582A"/>
    <w:rsid w:val="005E5960"/>
    <w:rsid w:val="005E621F"/>
    <w:rsid w:val="005E6312"/>
    <w:rsid w:val="005E64F6"/>
    <w:rsid w:val="005E689F"/>
    <w:rsid w:val="005E6F9F"/>
    <w:rsid w:val="005E70FA"/>
    <w:rsid w:val="005E7731"/>
    <w:rsid w:val="005E7832"/>
    <w:rsid w:val="005F0731"/>
    <w:rsid w:val="005F0D2E"/>
    <w:rsid w:val="005F1515"/>
    <w:rsid w:val="005F1AC2"/>
    <w:rsid w:val="005F1EF7"/>
    <w:rsid w:val="005F2832"/>
    <w:rsid w:val="005F2966"/>
    <w:rsid w:val="005F297E"/>
    <w:rsid w:val="005F308B"/>
    <w:rsid w:val="005F3380"/>
    <w:rsid w:val="005F3B1E"/>
    <w:rsid w:val="005F5824"/>
    <w:rsid w:val="005F70F6"/>
    <w:rsid w:val="005F783D"/>
    <w:rsid w:val="006011CB"/>
    <w:rsid w:val="006014AA"/>
    <w:rsid w:val="00601510"/>
    <w:rsid w:val="00601C70"/>
    <w:rsid w:val="00602646"/>
    <w:rsid w:val="006043F6"/>
    <w:rsid w:val="006049E5"/>
    <w:rsid w:val="0060544B"/>
    <w:rsid w:val="006062CC"/>
    <w:rsid w:val="00607C4C"/>
    <w:rsid w:val="00610B2F"/>
    <w:rsid w:val="006113AF"/>
    <w:rsid w:val="00611689"/>
    <w:rsid w:val="00612466"/>
    <w:rsid w:val="00612EFF"/>
    <w:rsid w:val="006135E8"/>
    <w:rsid w:val="006148E9"/>
    <w:rsid w:val="0061510B"/>
    <w:rsid w:val="0061662C"/>
    <w:rsid w:val="0061663B"/>
    <w:rsid w:val="00616EC0"/>
    <w:rsid w:val="0061736F"/>
    <w:rsid w:val="006173C0"/>
    <w:rsid w:val="00621613"/>
    <w:rsid w:val="00621FBC"/>
    <w:rsid w:val="00622574"/>
    <w:rsid w:val="00622B81"/>
    <w:rsid w:val="00622CD6"/>
    <w:rsid w:val="0062356E"/>
    <w:rsid w:val="0062364F"/>
    <w:rsid w:val="00623F8B"/>
    <w:rsid w:val="00624F93"/>
    <w:rsid w:val="00625109"/>
    <w:rsid w:val="0062724C"/>
    <w:rsid w:val="00630801"/>
    <w:rsid w:val="00630840"/>
    <w:rsid w:val="006311DA"/>
    <w:rsid w:val="00631D79"/>
    <w:rsid w:val="00631E3D"/>
    <w:rsid w:val="00633219"/>
    <w:rsid w:val="00633690"/>
    <w:rsid w:val="006337D5"/>
    <w:rsid w:val="00634432"/>
    <w:rsid w:val="0063466E"/>
    <w:rsid w:val="006359C8"/>
    <w:rsid w:val="00635FA5"/>
    <w:rsid w:val="00637466"/>
    <w:rsid w:val="006378A7"/>
    <w:rsid w:val="006404AA"/>
    <w:rsid w:val="00640CA6"/>
    <w:rsid w:val="00641571"/>
    <w:rsid w:val="00643BB7"/>
    <w:rsid w:val="00643C20"/>
    <w:rsid w:val="0064403A"/>
    <w:rsid w:val="006444CE"/>
    <w:rsid w:val="006452C4"/>
    <w:rsid w:val="00645361"/>
    <w:rsid w:val="0064560B"/>
    <w:rsid w:val="006503C8"/>
    <w:rsid w:val="006504DE"/>
    <w:rsid w:val="006515D2"/>
    <w:rsid w:val="00652CB2"/>
    <w:rsid w:val="00653712"/>
    <w:rsid w:val="00653735"/>
    <w:rsid w:val="00653AF0"/>
    <w:rsid w:val="00653DE6"/>
    <w:rsid w:val="006540F9"/>
    <w:rsid w:val="00654AC6"/>
    <w:rsid w:val="00655439"/>
    <w:rsid w:val="00656A5C"/>
    <w:rsid w:val="00656B94"/>
    <w:rsid w:val="00656C07"/>
    <w:rsid w:val="00656E50"/>
    <w:rsid w:val="00660B15"/>
    <w:rsid w:val="00662034"/>
    <w:rsid w:val="0066300C"/>
    <w:rsid w:val="006638AA"/>
    <w:rsid w:val="006643EC"/>
    <w:rsid w:val="00665083"/>
    <w:rsid w:val="00665477"/>
    <w:rsid w:val="00665D8C"/>
    <w:rsid w:val="00666345"/>
    <w:rsid w:val="00666419"/>
    <w:rsid w:val="006664A8"/>
    <w:rsid w:val="00666BA6"/>
    <w:rsid w:val="00666C6A"/>
    <w:rsid w:val="006702F3"/>
    <w:rsid w:val="00670ECD"/>
    <w:rsid w:val="006714DE"/>
    <w:rsid w:val="00671803"/>
    <w:rsid w:val="00671861"/>
    <w:rsid w:val="00671BE2"/>
    <w:rsid w:val="00671F14"/>
    <w:rsid w:val="006720B2"/>
    <w:rsid w:val="00672173"/>
    <w:rsid w:val="00672CBC"/>
    <w:rsid w:val="00672D5F"/>
    <w:rsid w:val="00673065"/>
    <w:rsid w:val="0067323A"/>
    <w:rsid w:val="00673841"/>
    <w:rsid w:val="00673865"/>
    <w:rsid w:val="00673988"/>
    <w:rsid w:val="00673D3B"/>
    <w:rsid w:val="00675526"/>
    <w:rsid w:val="00675740"/>
    <w:rsid w:val="006761F1"/>
    <w:rsid w:val="00676AE3"/>
    <w:rsid w:val="00676F95"/>
    <w:rsid w:val="00677537"/>
    <w:rsid w:val="00680267"/>
    <w:rsid w:val="006805F3"/>
    <w:rsid w:val="00680EEE"/>
    <w:rsid w:val="0068171E"/>
    <w:rsid w:val="006818A8"/>
    <w:rsid w:val="00681910"/>
    <w:rsid w:val="00682050"/>
    <w:rsid w:val="006820B4"/>
    <w:rsid w:val="00682DFA"/>
    <w:rsid w:val="0068361C"/>
    <w:rsid w:val="006838EB"/>
    <w:rsid w:val="006839F2"/>
    <w:rsid w:val="00684566"/>
    <w:rsid w:val="006845A4"/>
    <w:rsid w:val="00685F11"/>
    <w:rsid w:val="00686351"/>
    <w:rsid w:val="00686683"/>
    <w:rsid w:val="0068742C"/>
    <w:rsid w:val="00687AF5"/>
    <w:rsid w:val="00687D17"/>
    <w:rsid w:val="006903E2"/>
    <w:rsid w:val="00690FBB"/>
    <w:rsid w:val="00691BCB"/>
    <w:rsid w:val="00692402"/>
    <w:rsid w:val="00692532"/>
    <w:rsid w:val="00692841"/>
    <w:rsid w:val="00692955"/>
    <w:rsid w:val="00692A51"/>
    <w:rsid w:val="00692AD8"/>
    <w:rsid w:val="00694128"/>
    <w:rsid w:val="00695048"/>
    <w:rsid w:val="0069587C"/>
    <w:rsid w:val="00695A8E"/>
    <w:rsid w:val="00695E04"/>
    <w:rsid w:val="00695F72"/>
    <w:rsid w:val="00696290"/>
    <w:rsid w:val="0069756A"/>
    <w:rsid w:val="00697A2B"/>
    <w:rsid w:val="006A010D"/>
    <w:rsid w:val="006A01F4"/>
    <w:rsid w:val="006A063F"/>
    <w:rsid w:val="006A23D0"/>
    <w:rsid w:val="006A2B68"/>
    <w:rsid w:val="006A2BA8"/>
    <w:rsid w:val="006A2FA6"/>
    <w:rsid w:val="006A5128"/>
    <w:rsid w:val="006A5228"/>
    <w:rsid w:val="006A551E"/>
    <w:rsid w:val="006A58EE"/>
    <w:rsid w:val="006A59B7"/>
    <w:rsid w:val="006A67EA"/>
    <w:rsid w:val="006A6B07"/>
    <w:rsid w:val="006A6CD6"/>
    <w:rsid w:val="006A70B6"/>
    <w:rsid w:val="006A73AC"/>
    <w:rsid w:val="006A7868"/>
    <w:rsid w:val="006A7B34"/>
    <w:rsid w:val="006A7CAD"/>
    <w:rsid w:val="006B0AD4"/>
    <w:rsid w:val="006B0DDA"/>
    <w:rsid w:val="006B10D3"/>
    <w:rsid w:val="006B1DF4"/>
    <w:rsid w:val="006B2BFC"/>
    <w:rsid w:val="006B3408"/>
    <w:rsid w:val="006B34AD"/>
    <w:rsid w:val="006B5359"/>
    <w:rsid w:val="006B6194"/>
    <w:rsid w:val="006B6809"/>
    <w:rsid w:val="006C027F"/>
    <w:rsid w:val="006C064E"/>
    <w:rsid w:val="006C0B7A"/>
    <w:rsid w:val="006C0E7A"/>
    <w:rsid w:val="006C1133"/>
    <w:rsid w:val="006C11FB"/>
    <w:rsid w:val="006C2895"/>
    <w:rsid w:val="006C2FC3"/>
    <w:rsid w:val="006C6C10"/>
    <w:rsid w:val="006C6F71"/>
    <w:rsid w:val="006D104B"/>
    <w:rsid w:val="006D164B"/>
    <w:rsid w:val="006D1D64"/>
    <w:rsid w:val="006D2054"/>
    <w:rsid w:val="006D2CEA"/>
    <w:rsid w:val="006D326D"/>
    <w:rsid w:val="006D49A1"/>
    <w:rsid w:val="006D5332"/>
    <w:rsid w:val="006D582E"/>
    <w:rsid w:val="006D66E7"/>
    <w:rsid w:val="006D6CFF"/>
    <w:rsid w:val="006D6E71"/>
    <w:rsid w:val="006D7D4D"/>
    <w:rsid w:val="006E0338"/>
    <w:rsid w:val="006E127D"/>
    <w:rsid w:val="006E1A38"/>
    <w:rsid w:val="006E1EFC"/>
    <w:rsid w:val="006E3981"/>
    <w:rsid w:val="006E3B36"/>
    <w:rsid w:val="006E403A"/>
    <w:rsid w:val="006E419B"/>
    <w:rsid w:val="006E4E41"/>
    <w:rsid w:val="006E5115"/>
    <w:rsid w:val="006E62F3"/>
    <w:rsid w:val="006E6479"/>
    <w:rsid w:val="006E6481"/>
    <w:rsid w:val="006E6DDF"/>
    <w:rsid w:val="006E6EA6"/>
    <w:rsid w:val="006E712A"/>
    <w:rsid w:val="006F005A"/>
    <w:rsid w:val="006F0D75"/>
    <w:rsid w:val="006F1F6D"/>
    <w:rsid w:val="006F1FE0"/>
    <w:rsid w:val="006F441F"/>
    <w:rsid w:val="006F48A8"/>
    <w:rsid w:val="006F55B5"/>
    <w:rsid w:val="006F58B8"/>
    <w:rsid w:val="006F6511"/>
    <w:rsid w:val="006F6C67"/>
    <w:rsid w:val="006F6DBC"/>
    <w:rsid w:val="006F7B34"/>
    <w:rsid w:val="006F7C5D"/>
    <w:rsid w:val="00700702"/>
    <w:rsid w:val="007013CE"/>
    <w:rsid w:val="00701562"/>
    <w:rsid w:val="00701DC4"/>
    <w:rsid w:val="007022F2"/>
    <w:rsid w:val="007024A6"/>
    <w:rsid w:val="00702837"/>
    <w:rsid w:val="007036AB"/>
    <w:rsid w:val="00703849"/>
    <w:rsid w:val="00703BEC"/>
    <w:rsid w:val="00704062"/>
    <w:rsid w:val="007045CE"/>
    <w:rsid w:val="00704971"/>
    <w:rsid w:val="00704C04"/>
    <w:rsid w:val="00704FBC"/>
    <w:rsid w:val="0070588B"/>
    <w:rsid w:val="00706B92"/>
    <w:rsid w:val="007070AB"/>
    <w:rsid w:val="0070750B"/>
    <w:rsid w:val="0071011C"/>
    <w:rsid w:val="0071102D"/>
    <w:rsid w:val="00711BA2"/>
    <w:rsid w:val="007126E5"/>
    <w:rsid w:val="00713230"/>
    <w:rsid w:val="00713DEE"/>
    <w:rsid w:val="00713FDA"/>
    <w:rsid w:val="00714CF8"/>
    <w:rsid w:val="007154CB"/>
    <w:rsid w:val="007159F1"/>
    <w:rsid w:val="00715B71"/>
    <w:rsid w:val="00717BD5"/>
    <w:rsid w:val="007204FE"/>
    <w:rsid w:val="0072135D"/>
    <w:rsid w:val="00721858"/>
    <w:rsid w:val="00721CF1"/>
    <w:rsid w:val="00722470"/>
    <w:rsid w:val="0072266B"/>
    <w:rsid w:val="00722CB0"/>
    <w:rsid w:val="00722DAA"/>
    <w:rsid w:val="00723167"/>
    <w:rsid w:val="007237DB"/>
    <w:rsid w:val="0072382A"/>
    <w:rsid w:val="007252F2"/>
    <w:rsid w:val="00725556"/>
    <w:rsid w:val="007258A1"/>
    <w:rsid w:val="00725C22"/>
    <w:rsid w:val="007264B6"/>
    <w:rsid w:val="0072672F"/>
    <w:rsid w:val="00726E7D"/>
    <w:rsid w:val="007277ED"/>
    <w:rsid w:val="00730250"/>
    <w:rsid w:val="00731E6B"/>
    <w:rsid w:val="00731E76"/>
    <w:rsid w:val="007324CD"/>
    <w:rsid w:val="0073294D"/>
    <w:rsid w:val="00732D13"/>
    <w:rsid w:val="0073301B"/>
    <w:rsid w:val="007332EC"/>
    <w:rsid w:val="00735A5D"/>
    <w:rsid w:val="00736015"/>
    <w:rsid w:val="0073684F"/>
    <w:rsid w:val="007375EA"/>
    <w:rsid w:val="00737CB9"/>
    <w:rsid w:val="007407E6"/>
    <w:rsid w:val="00740BDF"/>
    <w:rsid w:val="0074168D"/>
    <w:rsid w:val="00741915"/>
    <w:rsid w:val="007422BA"/>
    <w:rsid w:val="007422C1"/>
    <w:rsid w:val="00743C55"/>
    <w:rsid w:val="00743FE3"/>
    <w:rsid w:val="007442F2"/>
    <w:rsid w:val="0074459A"/>
    <w:rsid w:val="0074475E"/>
    <w:rsid w:val="00744DF4"/>
    <w:rsid w:val="00744E5C"/>
    <w:rsid w:val="00744EC9"/>
    <w:rsid w:val="0074630C"/>
    <w:rsid w:val="0074666E"/>
    <w:rsid w:val="00746860"/>
    <w:rsid w:val="00746CDE"/>
    <w:rsid w:val="00747BEB"/>
    <w:rsid w:val="00751F4E"/>
    <w:rsid w:val="0075266C"/>
    <w:rsid w:val="00752E17"/>
    <w:rsid w:val="007531A0"/>
    <w:rsid w:val="0075360E"/>
    <w:rsid w:val="00753B3B"/>
    <w:rsid w:val="00754F68"/>
    <w:rsid w:val="007553A4"/>
    <w:rsid w:val="00756865"/>
    <w:rsid w:val="0075719D"/>
    <w:rsid w:val="007576C4"/>
    <w:rsid w:val="00757753"/>
    <w:rsid w:val="00760D06"/>
    <w:rsid w:val="007612D7"/>
    <w:rsid w:val="00762711"/>
    <w:rsid w:val="0076291C"/>
    <w:rsid w:val="00763417"/>
    <w:rsid w:val="007639CC"/>
    <w:rsid w:val="00763B6A"/>
    <w:rsid w:val="00770034"/>
    <w:rsid w:val="00770171"/>
    <w:rsid w:val="00770BC1"/>
    <w:rsid w:val="00770C66"/>
    <w:rsid w:val="00770E6D"/>
    <w:rsid w:val="007718EF"/>
    <w:rsid w:val="0077238B"/>
    <w:rsid w:val="00772AD2"/>
    <w:rsid w:val="007730AB"/>
    <w:rsid w:val="0077457B"/>
    <w:rsid w:val="00774CD4"/>
    <w:rsid w:val="00774EF8"/>
    <w:rsid w:val="007753CE"/>
    <w:rsid w:val="007754C9"/>
    <w:rsid w:val="0077592F"/>
    <w:rsid w:val="00775B46"/>
    <w:rsid w:val="00776011"/>
    <w:rsid w:val="00776370"/>
    <w:rsid w:val="00776A62"/>
    <w:rsid w:val="007776E1"/>
    <w:rsid w:val="00780313"/>
    <w:rsid w:val="00781EDF"/>
    <w:rsid w:val="00782386"/>
    <w:rsid w:val="00782CD5"/>
    <w:rsid w:val="007839A4"/>
    <w:rsid w:val="00783B90"/>
    <w:rsid w:val="00784877"/>
    <w:rsid w:val="00784F53"/>
    <w:rsid w:val="00785030"/>
    <w:rsid w:val="007853BF"/>
    <w:rsid w:val="00785DCC"/>
    <w:rsid w:val="007868F6"/>
    <w:rsid w:val="00786AAA"/>
    <w:rsid w:val="00787126"/>
    <w:rsid w:val="00787374"/>
    <w:rsid w:val="00787636"/>
    <w:rsid w:val="00787A28"/>
    <w:rsid w:val="0079012E"/>
    <w:rsid w:val="007902C8"/>
    <w:rsid w:val="00790F83"/>
    <w:rsid w:val="007910E6"/>
    <w:rsid w:val="0079188B"/>
    <w:rsid w:val="007922F8"/>
    <w:rsid w:val="007928AB"/>
    <w:rsid w:val="00792F85"/>
    <w:rsid w:val="00793006"/>
    <w:rsid w:val="00793554"/>
    <w:rsid w:val="007936AF"/>
    <w:rsid w:val="0079467B"/>
    <w:rsid w:val="00794CD9"/>
    <w:rsid w:val="0079573F"/>
    <w:rsid w:val="0079582D"/>
    <w:rsid w:val="00796789"/>
    <w:rsid w:val="007A01E6"/>
    <w:rsid w:val="007A13FB"/>
    <w:rsid w:val="007A2CCF"/>
    <w:rsid w:val="007A2DF7"/>
    <w:rsid w:val="007A40A4"/>
    <w:rsid w:val="007A4327"/>
    <w:rsid w:val="007A512C"/>
    <w:rsid w:val="007A5211"/>
    <w:rsid w:val="007A5E4A"/>
    <w:rsid w:val="007A60A8"/>
    <w:rsid w:val="007A610E"/>
    <w:rsid w:val="007A6867"/>
    <w:rsid w:val="007A6FC7"/>
    <w:rsid w:val="007B01D8"/>
    <w:rsid w:val="007B0378"/>
    <w:rsid w:val="007B0953"/>
    <w:rsid w:val="007B149F"/>
    <w:rsid w:val="007B20CA"/>
    <w:rsid w:val="007B2E41"/>
    <w:rsid w:val="007B387C"/>
    <w:rsid w:val="007B3CE7"/>
    <w:rsid w:val="007B3EC2"/>
    <w:rsid w:val="007B4350"/>
    <w:rsid w:val="007B43BE"/>
    <w:rsid w:val="007B4ABC"/>
    <w:rsid w:val="007B4BA7"/>
    <w:rsid w:val="007B52E1"/>
    <w:rsid w:val="007B67F5"/>
    <w:rsid w:val="007C0235"/>
    <w:rsid w:val="007C0A20"/>
    <w:rsid w:val="007C1195"/>
    <w:rsid w:val="007C11AC"/>
    <w:rsid w:val="007C18AC"/>
    <w:rsid w:val="007C1C55"/>
    <w:rsid w:val="007C2F50"/>
    <w:rsid w:val="007C38ED"/>
    <w:rsid w:val="007C3FF0"/>
    <w:rsid w:val="007C40CF"/>
    <w:rsid w:val="007C553B"/>
    <w:rsid w:val="007C5690"/>
    <w:rsid w:val="007C6264"/>
    <w:rsid w:val="007C6A59"/>
    <w:rsid w:val="007C7224"/>
    <w:rsid w:val="007C7599"/>
    <w:rsid w:val="007D0126"/>
    <w:rsid w:val="007D01AB"/>
    <w:rsid w:val="007D0727"/>
    <w:rsid w:val="007D0AB6"/>
    <w:rsid w:val="007D0BEE"/>
    <w:rsid w:val="007D1B35"/>
    <w:rsid w:val="007D1C17"/>
    <w:rsid w:val="007D1E90"/>
    <w:rsid w:val="007D2363"/>
    <w:rsid w:val="007D4632"/>
    <w:rsid w:val="007D616B"/>
    <w:rsid w:val="007D65B0"/>
    <w:rsid w:val="007D7290"/>
    <w:rsid w:val="007D7472"/>
    <w:rsid w:val="007E01A6"/>
    <w:rsid w:val="007E03D8"/>
    <w:rsid w:val="007E07EF"/>
    <w:rsid w:val="007E1260"/>
    <w:rsid w:val="007E19E9"/>
    <w:rsid w:val="007E21D0"/>
    <w:rsid w:val="007E4CEE"/>
    <w:rsid w:val="007E581B"/>
    <w:rsid w:val="007E77D4"/>
    <w:rsid w:val="007F02AC"/>
    <w:rsid w:val="007F1A7D"/>
    <w:rsid w:val="007F1E43"/>
    <w:rsid w:val="007F2496"/>
    <w:rsid w:val="007F28AC"/>
    <w:rsid w:val="007F2FD3"/>
    <w:rsid w:val="007F3443"/>
    <w:rsid w:val="007F3727"/>
    <w:rsid w:val="007F3DD6"/>
    <w:rsid w:val="007F5875"/>
    <w:rsid w:val="007F6686"/>
    <w:rsid w:val="007F66C6"/>
    <w:rsid w:val="007F73B5"/>
    <w:rsid w:val="007F78D7"/>
    <w:rsid w:val="007F7B29"/>
    <w:rsid w:val="007F7CFB"/>
    <w:rsid w:val="007F7D2B"/>
    <w:rsid w:val="0080004D"/>
    <w:rsid w:val="008003DD"/>
    <w:rsid w:val="00800643"/>
    <w:rsid w:val="0080165E"/>
    <w:rsid w:val="00803E8E"/>
    <w:rsid w:val="00804A34"/>
    <w:rsid w:val="00805BF9"/>
    <w:rsid w:val="008063F3"/>
    <w:rsid w:val="00806FFC"/>
    <w:rsid w:val="008072B8"/>
    <w:rsid w:val="008076F2"/>
    <w:rsid w:val="008078A1"/>
    <w:rsid w:val="0081071B"/>
    <w:rsid w:val="00810F00"/>
    <w:rsid w:val="00810F97"/>
    <w:rsid w:val="008116F9"/>
    <w:rsid w:val="0081239C"/>
    <w:rsid w:val="008123A5"/>
    <w:rsid w:val="0081287C"/>
    <w:rsid w:val="00813164"/>
    <w:rsid w:val="008135DA"/>
    <w:rsid w:val="008138AC"/>
    <w:rsid w:val="00813C68"/>
    <w:rsid w:val="0081557C"/>
    <w:rsid w:val="00815A7B"/>
    <w:rsid w:val="008160D8"/>
    <w:rsid w:val="008160EA"/>
    <w:rsid w:val="00816CEF"/>
    <w:rsid w:val="00820969"/>
    <w:rsid w:val="008216B2"/>
    <w:rsid w:val="00821AC0"/>
    <w:rsid w:val="00821DD9"/>
    <w:rsid w:val="00822355"/>
    <w:rsid w:val="008225E2"/>
    <w:rsid w:val="008225EA"/>
    <w:rsid w:val="00822C8C"/>
    <w:rsid w:val="00822CBB"/>
    <w:rsid w:val="008243FE"/>
    <w:rsid w:val="0082447A"/>
    <w:rsid w:val="00824E4E"/>
    <w:rsid w:val="00826881"/>
    <w:rsid w:val="008271B8"/>
    <w:rsid w:val="008274C1"/>
    <w:rsid w:val="008276BF"/>
    <w:rsid w:val="008276E3"/>
    <w:rsid w:val="008276F4"/>
    <w:rsid w:val="00827E32"/>
    <w:rsid w:val="0083027C"/>
    <w:rsid w:val="00830865"/>
    <w:rsid w:val="0083142F"/>
    <w:rsid w:val="0083200B"/>
    <w:rsid w:val="00832903"/>
    <w:rsid w:val="00832A09"/>
    <w:rsid w:val="00832CCC"/>
    <w:rsid w:val="008331B8"/>
    <w:rsid w:val="00833436"/>
    <w:rsid w:val="00833477"/>
    <w:rsid w:val="00834353"/>
    <w:rsid w:val="00834D37"/>
    <w:rsid w:val="0083506B"/>
    <w:rsid w:val="00835143"/>
    <w:rsid w:val="008352CE"/>
    <w:rsid w:val="008364E1"/>
    <w:rsid w:val="00837744"/>
    <w:rsid w:val="00840191"/>
    <w:rsid w:val="00840B3C"/>
    <w:rsid w:val="00840D88"/>
    <w:rsid w:val="00840E17"/>
    <w:rsid w:val="0084141E"/>
    <w:rsid w:val="008414C1"/>
    <w:rsid w:val="00841945"/>
    <w:rsid w:val="00841997"/>
    <w:rsid w:val="00841EE2"/>
    <w:rsid w:val="008424C4"/>
    <w:rsid w:val="00842A89"/>
    <w:rsid w:val="008430F5"/>
    <w:rsid w:val="00843182"/>
    <w:rsid w:val="00843586"/>
    <w:rsid w:val="008449E1"/>
    <w:rsid w:val="00845433"/>
    <w:rsid w:val="008454AC"/>
    <w:rsid w:val="00845A4F"/>
    <w:rsid w:val="00845E75"/>
    <w:rsid w:val="008461C5"/>
    <w:rsid w:val="00850A85"/>
    <w:rsid w:val="00850F3E"/>
    <w:rsid w:val="0085104B"/>
    <w:rsid w:val="0085110B"/>
    <w:rsid w:val="00851206"/>
    <w:rsid w:val="00852388"/>
    <w:rsid w:val="008527AE"/>
    <w:rsid w:val="008527C6"/>
    <w:rsid w:val="00852C7B"/>
    <w:rsid w:val="00853B7E"/>
    <w:rsid w:val="00853EC1"/>
    <w:rsid w:val="008544B1"/>
    <w:rsid w:val="00854F5B"/>
    <w:rsid w:val="00854FA9"/>
    <w:rsid w:val="008551A1"/>
    <w:rsid w:val="008555C0"/>
    <w:rsid w:val="00855915"/>
    <w:rsid w:val="00855C0E"/>
    <w:rsid w:val="00855CF4"/>
    <w:rsid w:val="0085682E"/>
    <w:rsid w:val="008569B5"/>
    <w:rsid w:val="00856AEE"/>
    <w:rsid w:val="008574DE"/>
    <w:rsid w:val="00857550"/>
    <w:rsid w:val="008576FF"/>
    <w:rsid w:val="008600DF"/>
    <w:rsid w:val="008611DF"/>
    <w:rsid w:val="00861426"/>
    <w:rsid w:val="008614B3"/>
    <w:rsid w:val="0086251D"/>
    <w:rsid w:val="0086295C"/>
    <w:rsid w:val="008629AD"/>
    <w:rsid w:val="00862C8A"/>
    <w:rsid w:val="0086419D"/>
    <w:rsid w:val="008644D1"/>
    <w:rsid w:val="00864E24"/>
    <w:rsid w:val="00866713"/>
    <w:rsid w:val="008671C9"/>
    <w:rsid w:val="00867DCE"/>
    <w:rsid w:val="008700B6"/>
    <w:rsid w:val="008702E7"/>
    <w:rsid w:val="0087092C"/>
    <w:rsid w:val="00870A9A"/>
    <w:rsid w:val="00870E0F"/>
    <w:rsid w:val="00871D1B"/>
    <w:rsid w:val="00871E7F"/>
    <w:rsid w:val="00872083"/>
    <w:rsid w:val="00873027"/>
    <w:rsid w:val="00873747"/>
    <w:rsid w:val="00873E83"/>
    <w:rsid w:val="008742C7"/>
    <w:rsid w:val="008743E6"/>
    <w:rsid w:val="008746CD"/>
    <w:rsid w:val="00874E81"/>
    <w:rsid w:val="00875062"/>
    <w:rsid w:val="00875573"/>
    <w:rsid w:val="008760D4"/>
    <w:rsid w:val="0087648F"/>
    <w:rsid w:val="00877201"/>
    <w:rsid w:val="008778C9"/>
    <w:rsid w:val="00877C5A"/>
    <w:rsid w:val="00877C79"/>
    <w:rsid w:val="00877EEA"/>
    <w:rsid w:val="00877FC1"/>
    <w:rsid w:val="00880687"/>
    <w:rsid w:val="00880BDD"/>
    <w:rsid w:val="00880F50"/>
    <w:rsid w:val="008812A5"/>
    <w:rsid w:val="00882A14"/>
    <w:rsid w:val="00883875"/>
    <w:rsid w:val="0088471C"/>
    <w:rsid w:val="00884ED2"/>
    <w:rsid w:val="00885050"/>
    <w:rsid w:val="00885621"/>
    <w:rsid w:val="008856C5"/>
    <w:rsid w:val="00885D89"/>
    <w:rsid w:val="00885E4D"/>
    <w:rsid w:val="008861B1"/>
    <w:rsid w:val="0088638E"/>
    <w:rsid w:val="00886BF5"/>
    <w:rsid w:val="008878CF"/>
    <w:rsid w:val="00887FEA"/>
    <w:rsid w:val="00890133"/>
    <w:rsid w:val="00890947"/>
    <w:rsid w:val="008909FB"/>
    <w:rsid w:val="00890BED"/>
    <w:rsid w:val="00890CAF"/>
    <w:rsid w:val="00891257"/>
    <w:rsid w:val="00891D75"/>
    <w:rsid w:val="0089202A"/>
    <w:rsid w:val="0089251D"/>
    <w:rsid w:val="00892759"/>
    <w:rsid w:val="00892E7D"/>
    <w:rsid w:val="008939BF"/>
    <w:rsid w:val="00894701"/>
    <w:rsid w:val="00894C73"/>
    <w:rsid w:val="00896996"/>
    <w:rsid w:val="008978E5"/>
    <w:rsid w:val="00897939"/>
    <w:rsid w:val="008A0BAE"/>
    <w:rsid w:val="008A1284"/>
    <w:rsid w:val="008A1BFD"/>
    <w:rsid w:val="008A2493"/>
    <w:rsid w:val="008A253D"/>
    <w:rsid w:val="008A2614"/>
    <w:rsid w:val="008A395D"/>
    <w:rsid w:val="008A3BB1"/>
    <w:rsid w:val="008A4615"/>
    <w:rsid w:val="008A4DCB"/>
    <w:rsid w:val="008A5976"/>
    <w:rsid w:val="008A64C7"/>
    <w:rsid w:val="008A79F6"/>
    <w:rsid w:val="008A7D52"/>
    <w:rsid w:val="008B008A"/>
    <w:rsid w:val="008B089F"/>
    <w:rsid w:val="008B0FC3"/>
    <w:rsid w:val="008B10C4"/>
    <w:rsid w:val="008B17CC"/>
    <w:rsid w:val="008B29DA"/>
    <w:rsid w:val="008B2BB0"/>
    <w:rsid w:val="008B381C"/>
    <w:rsid w:val="008B4508"/>
    <w:rsid w:val="008B4585"/>
    <w:rsid w:val="008B502D"/>
    <w:rsid w:val="008B5034"/>
    <w:rsid w:val="008B5DD6"/>
    <w:rsid w:val="008B5E43"/>
    <w:rsid w:val="008B6085"/>
    <w:rsid w:val="008B69E2"/>
    <w:rsid w:val="008B717C"/>
    <w:rsid w:val="008B7A12"/>
    <w:rsid w:val="008B7BEF"/>
    <w:rsid w:val="008C0C8A"/>
    <w:rsid w:val="008C188D"/>
    <w:rsid w:val="008C1981"/>
    <w:rsid w:val="008C2BEE"/>
    <w:rsid w:val="008C3D43"/>
    <w:rsid w:val="008C4B36"/>
    <w:rsid w:val="008C4CB2"/>
    <w:rsid w:val="008C5B85"/>
    <w:rsid w:val="008C5C45"/>
    <w:rsid w:val="008C68F4"/>
    <w:rsid w:val="008C69BA"/>
    <w:rsid w:val="008C6F26"/>
    <w:rsid w:val="008C76A1"/>
    <w:rsid w:val="008D0573"/>
    <w:rsid w:val="008D192B"/>
    <w:rsid w:val="008D20D5"/>
    <w:rsid w:val="008D23B7"/>
    <w:rsid w:val="008D244A"/>
    <w:rsid w:val="008D32ED"/>
    <w:rsid w:val="008D39C5"/>
    <w:rsid w:val="008D3DA6"/>
    <w:rsid w:val="008D40C6"/>
    <w:rsid w:val="008D4329"/>
    <w:rsid w:val="008D4927"/>
    <w:rsid w:val="008D4F52"/>
    <w:rsid w:val="008D56F1"/>
    <w:rsid w:val="008D5766"/>
    <w:rsid w:val="008D584F"/>
    <w:rsid w:val="008D594E"/>
    <w:rsid w:val="008D5C24"/>
    <w:rsid w:val="008D5E6B"/>
    <w:rsid w:val="008D6335"/>
    <w:rsid w:val="008D7936"/>
    <w:rsid w:val="008D7EA4"/>
    <w:rsid w:val="008E01FB"/>
    <w:rsid w:val="008E0E11"/>
    <w:rsid w:val="008E0EDF"/>
    <w:rsid w:val="008E1AA7"/>
    <w:rsid w:val="008E2011"/>
    <w:rsid w:val="008E2FD9"/>
    <w:rsid w:val="008E399F"/>
    <w:rsid w:val="008E39EE"/>
    <w:rsid w:val="008E3CAA"/>
    <w:rsid w:val="008E3F67"/>
    <w:rsid w:val="008E400F"/>
    <w:rsid w:val="008E4539"/>
    <w:rsid w:val="008E4919"/>
    <w:rsid w:val="008E4A08"/>
    <w:rsid w:val="008E4D49"/>
    <w:rsid w:val="008E5645"/>
    <w:rsid w:val="008E7F75"/>
    <w:rsid w:val="008F02D3"/>
    <w:rsid w:val="008F032D"/>
    <w:rsid w:val="008F15DA"/>
    <w:rsid w:val="008F2113"/>
    <w:rsid w:val="008F29DE"/>
    <w:rsid w:val="008F3145"/>
    <w:rsid w:val="008F37A6"/>
    <w:rsid w:val="008F43D7"/>
    <w:rsid w:val="008F506D"/>
    <w:rsid w:val="008F7020"/>
    <w:rsid w:val="008F7624"/>
    <w:rsid w:val="0090002B"/>
    <w:rsid w:val="009000CE"/>
    <w:rsid w:val="009003B5"/>
    <w:rsid w:val="00901510"/>
    <w:rsid w:val="009017F3"/>
    <w:rsid w:val="009033B8"/>
    <w:rsid w:val="0090340D"/>
    <w:rsid w:val="009040B1"/>
    <w:rsid w:val="009047CB"/>
    <w:rsid w:val="00905DCF"/>
    <w:rsid w:val="009065E4"/>
    <w:rsid w:val="00906838"/>
    <w:rsid w:val="009105F3"/>
    <w:rsid w:val="00910BFC"/>
    <w:rsid w:val="009111D8"/>
    <w:rsid w:val="00912CDC"/>
    <w:rsid w:val="00913DEB"/>
    <w:rsid w:val="00913EA7"/>
    <w:rsid w:val="00913F78"/>
    <w:rsid w:val="00915585"/>
    <w:rsid w:val="009164E7"/>
    <w:rsid w:val="00916D23"/>
    <w:rsid w:val="009175B8"/>
    <w:rsid w:val="009175FD"/>
    <w:rsid w:val="009176D5"/>
    <w:rsid w:val="00920019"/>
    <w:rsid w:val="00920C25"/>
    <w:rsid w:val="0092132D"/>
    <w:rsid w:val="0092169B"/>
    <w:rsid w:val="009219A9"/>
    <w:rsid w:val="009227E8"/>
    <w:rsid w:val="00922A64"/>
    <w:rsid w:val="009232F8"/>
    <w:rsid w:val="009240D0"/>
    <w:rsid w:val="00925A6C"/>
    <w:rsid w:val="00925B4F"/>
    <w:rsid w:val="00925ED6"/>
    <w:rsid w:val="00925EED"/>
    <w:rsid w:val="00926198"/>
    <w:rsid w:val="009261EE"/>
    <w:rsid w:val="00926606"/>
    <w:rsid w:val="00930088"/>
    <w:rsid w:val="009303F3"/>
    <w:rsid w:val="009311AF"/>
    <w:rsid w:val="00931D25"/>
    <w:rsid w:val="00932320"/>
    <w:rsid w:val="00932671"/>
    <w:rsid w:val="00932BB6"/>
    <w:rsid w:val="00932CDB"/>
    <w:rsid w:val="00933526"/>
    <w:rsid w:val="00933ACD"/>
    <w:rsid w:val="00933FEF"/>
    <w:rsid w:val="009345F4"/>
    <w:rsid w:val="009348D7"/>
    <w:rsid w:val="009355EB"/>
    <w:rsid w:val="00935634"/>
    <w:rsid w:val="00935C3F"/>
    <w:rsid w:val="009360C4"/>
    <w:rsid w:val="009363D2"/>
    <w:rsid w:val="009374D9"/>
    <w:rsid w:val="00937508"/>
    <w:rsid w:val="00937DBF"/>
    <w:rsid w:val="00940554"/>
    <w:rsid w:val="00940657"/>
    <w:rsid w:val="00940BCC"/>
    <w:rsid w:val="0094284D"/>
    <w:rsid w:val="0094288B"/>
    <w:rsid w:val="009431D0"/>
    <w:rsid w:val="009433C8"/>
    <w:rsid w:val="00943D9E"/>
    <w:rsid w:val="009444AC"/>
    <w:rsid w:val="00945D24"/>
    <w:rsid w:val="0094652A"/>
    <w:rsid w:val="00946568"/>
    <w:rsid w:val="00946A53"/>
    <w:rsid w:val="0094765C"/>
    <w:rsid w:val="00947B9E"/>
    <w:rsid w:val="00947F1D"/>
    <w:rsid w:val="009504A8"/>
    <w:rsid w:val="00950AB6"/>
    <w:rsid w:val="009511AC"/>
    <w:rsid w:val="0095179E"/>
    <w:rsid w:val="00951F66"/>
    <w:rsid w:val="00952651"/>
    <w:rsid w:val="0095356A"/>
    <w:rsid w:val="00953856"/>
    <w:rsid w:val="00954191"/>
    <w:rsid w:val="0095593D"/>
    <w:rsid w:val="00955DE7"/>
    <w:rsid w:val="00956116"/>
    <w:rsid w:val="00956E6B"/>
    <w:rsid w:val="00956FA1"/>
    <w:rsid w:val="009576B5"/>
    <w:rsid w:val="00957788"/>
    <w:rsid w:val="00957A4B"/>
    <w:rsid w:val="00957E28"/>
    <w:rsid w:val="00960A77"/>
    <w:rsid w:val="00960E87"/>
    <w:rsid w:val="0096167B"/>
    <w:rsid w:val="00962B77"/>
    <w:rsid w:val="00962E19"/>
    <w:rsid w:val="009635B5"/>
    <w:rsid w:val="00963C37"/>
    <w:rsid w:val="009642B5"/>
    <w:rsid w:val="0096566F"/>
    <w:rsid w:val="00965F2A"/>
    <w:rsid w:val="00966793"/>
    <w:rsid w:val="009700CC"/>
    <w:rsid w:val="009717B8"/>
    <w:rsid w:val="00972A90"/>
    <w:rsid w:val="00973114"/>
    <w:rsid w:val="0097336B"/>
    <w:rsid w:val="0097424E"/>
    <w:rsid w:val="00974382"/>
    <w:rsid w:val="00974CB2"/>
    <w:rsid w:val="00975497"/>
    <w:rsid w:val="009760E7"/>
    <w:rsid w:val="009801AE"/>
    <w:rsid w:val="00981038"/>
    <w:rsid w:val="0098104F"/>
    <w:rsid w:val="00981448"/>
    <w:rsid w:val="00982C14"/>
    <w:rsid w:val="00982FF5"/>
    <w:rsid w:val="0098351B"/>
    <w:rsid w:val="00983C84"/>
    <w:rsid w:val="009844BC"/>
    <w:rsid w:val="00984981"/>
    <w:rsid w:val="00984CF1"/>
    <w:rsid w:val="00984E14"/>
    <w:rsid w:val="00986D86"/>
    <w:rsid w:val="009870AA"/>
    <w:rsid w:val="009872CB"/>
    <w:rsid w:val="00987354"/>
    <w:rsid w:val="00987410"/>
    <w:rsid w:val="009900F0"/>
    <w:rsid w:val="0099039C"/>
    <w:rsid w:val="009904ED"/>
    <w:rsid w:val="00990566"/>
    <w:rsid w:val="00990ABE"/>
    <w:rsid w:val="00990CEE"/>
    <w:rsid w:val="00990D32"/>
    <w:rsid w:val="0099101A"/>
    <w:rsid w:val="0099138D"/>
    <w:rsid w:val="009915F8"/>
    <w:rsid w:val="00991FAB"/>
    <w:rsid w:val="009923CD"/>
    <w:rsid w:val="00992516"/>
    <w:rsid w:val="00992564"/>
    <w:rsid w:val="0099316C"/>
    <w:rsid w:val="00993621"/>
    <w:rsid w:val="0099488F"/>
    <w:rsid w:val="00994A81"/>
    <w:rsid w:val="00994ABF"/>
    <w:rsid w:val="00995184"/>
    <w:rsid w:val="00995DA4"/>
    <w:rsid w:val="009965C6"/>
    <w:rsid w:val="00996AB3"/>
    <w:rsid w:val="00996E7D"/>
    <w:rsid w:val="009A0229"/>
    <w:rsid w:val="009A0B9C"/>
    <w:rsid w:val="009A0D37"/>
    <w:rsid w:val="009A0E11"/>
    <w:rsid w:val="009A0F75"/>
    <w:rsid w:val="009A1C70"/>
    <w:rsid w:val="009A2AE8"/>
    <w:rsid w:val="009A320F"/>
    <w:rsid w:val="009A35FA"/>
    <w:rsid w:val="009A4EED"/>
    <w:rsid w:val="009A5162"/>
    <w:rsid w:val="009A6072"/>
    <w:rsid w:val="009A657C"/>
    <w:rsid w:val="009A6BA9"/>
    <w:rsid w:val="009A7B80"/>
    <w:rsid w:val="009A7BE2"/>
    <w:rsid w:val="009B0EAB"/>
    <w:rsid w:val="009B26F3"/>
    <w:rsid w:val="009B28BA"/>
    <w:rsid w:val="009B2A8E"/>
    <w:rsid w:val="009B3370"/>
    <w:rsid w:val="009B34C8"/>
    <w:rsid w:val="009B359A"/>
    <w:rsid w:val="009B43E1"/>
    <w:rsid w:val="009B4CC0"/>
    <w:rsid w:val="009B59BD"/>
    <w:rsid w:val="009B63D2"/>
    <w:rsid w:val="009B6502"/>
    <w:rsid w:val="009B6D08"/>
    <w:rsid w:val="009B6DCF"/>
    <w:rsid w:val="009B6F94"/>
    <w:rsid w:val="009B709F"/>
    <w:rsid w:val="009B725D"/>
    <w:rsid w:val="009B728B"/>
    <w:rsid w:val="009B7BB0"/>
    <w:rsid w:val="009C0145"/>
    <w:rsid w:val="009C07AF"/>
    <w:rsid w:val="009C1051"/>
    <w:rsid w:val="009C28AF"/>
    <w:rsid w:val="009C3431"/>
    <w:rsid w:val="009C48F0"/>
    <w:rsid w:val="009C4D3A"/>
    <w:rsid w:val="009C4EFE"/>
    <w:rsid w:val="009C5374"/>
    <w:rsid w:val="009C6F35"/>
    <w:rsid w:val="009C782F"/>
    <w:rsid w:val="009D0484"/>
    <w:rsid w:val="009D1FB5"/>
    <w:rsid w:val="009D3A39"/>
    <w:rsid w:val="009D4346"/>
    <w:rsid w:val="009D5435"/>
    <w:rsid w:val="009D6480"/>
    <w:rsid w:val="009D6CD0"/>
    <w:rsid w:val="009D76B9"/>
    <w:rsid w:val="009E0092"/>
    <w:rsid w:val="009E1FC5"/>
    <w:rsid w:val="009E2725"/>
    <w:rsid w:val="009E4B5B"/>
    <w:rsid w:val="009E6423"/>
    <w:rsid w:val="009E6698"/>
    <w:rsid w:val="009E6A83"/>
    <w:rsid w:val="009E7972"/>
    <w:rsid w:val="009E7EC3"/>
    <w:rsid w:val="009F0D5E"/>
    <w:rsid w:val="009F0ECB"/>
    <w:rsid w:val="009F129A"/>
    <w:rsid w:val="009F143B"/>
    <w:rsid w:val="009F1A81"/>
    <w:rsid w:val="009F1BF3"/>
    <w:rsid w:val="009F2332"/>
    <w:rsid w:val="009F2841"/>
    <w:rsid w:val="009F29CE"/>
    <w:rsid w:val="009F317E"/>
    <w:rsid w:val="009F36C2"/>
    <w:rsid w:val="009F3D8F"/>
    <w:rsid w:val="009F461E"/>
    <w:rsid w:val="009F4F97"/>
    <w:rsid w:val="009F51FF"/>
    <w:rsid w:val="009F54BB"/>
    <w:rsid w:val="009F6D65"/>
    <w:rsid w:val="00A00616"/>
    <w:rsid w:val="00A007D5"/>
    <w:rsid w:val="00A00F08"/>
    <w:rsid w:val="00A01624"/>
    <w:rsid w:val="00A01CFB"/>
    <w:rsid w:val="00A01D8C"/>
    <w:rsid w:val="00A0218A"/>
    <w:rsid w:val="00A02854"/>
    <w:rsid w:val="00A038FD"/>
    <w:rsid w:val="00A04178"/>
    <w:rsid w:val="00A0424F"/>
    <w:rsid w:val="00A05B5A"/>
    <w:rsid w:val="00A05CF7"/>
    <w:rsid w:val="00A06552"/>
    <w:rsid w:val="00A07D1C"/>
    <w:rsid w:val="00A07FEF"/>
    <w:rsid w:val="00A106D3"/>
    <w:rsid w:val="00A119EA"/>
    <w:rsid w:val="00A11B34"/>
    <w:rsid w:val="00A11E36"/>
    <w:rsid w:val="00A12DC8"/>
    <w:rsid w:val="00A138E8"/>
    <w:rsid w:val="00A14324"/>
    <w:rsid w:val="00A147F8"/>
    <w:rsid w:val="00A14B03"/>
    <w:rsid w:val="00A14E7B"/>
    <w:rsid w:val="00A16854"/>
    <w:rsid w:val="00A16968"/>
    <w:rsid w:val="00A1712E"/>
    <w:rsid w:val="00A1735D"/>
    <w:rsid w:val="00A17594"/>
    <w:rsid w:val="00A1778E"/>
    <w:rsid w:val="00A178FE"/>
    <w:rsid w:val="00A17BDE"/>
    <w:rsid w:val="00A17FBC"/>
    <w:rsid w:val="00A2165F"/>
    <w:rsid w:val="00A21684"/>
    <w:rsid w:val="00A218E3"/>
    <w:rsid w:val="00A222D4"/>
    <w:rsid w:val="00A23507"/>
    <w:rsid w:val="00A248E2"/>
    <w:rsid w:val="00A24AC7"/>
    <w:rsid w:val="00A24E79"/>
    <w:rsid w:val="00A25DEB"/>
    <w:rsid w:val="00A25E1D"/>
    <w:rsid w:val="00A269D5"/>
    <w:rsid w:val="00A26C10"/>
    <w:rsid w:val="00A26C7B"/>
    <w:rsid w:val="00A26D69"/>
    <w:rsid w:val="00A26D8F"/>
    <w:rsid w:val="00A26FD3"/>
    <w:rsid w:val="00A2725A"/>
    <w:rsid w:val="00A27430"/>
    <w:rsid w:val="00A27D3D"/>
    <w:rsid w:val="00A27EBF"/>
    <w:rsid w:val="00A306A3"/>
    <w:rsid w:val="00A30A18"/>
    <w:rsid w:val="00A30AE6"/>
    <w:rsid w:val="00A31007"/>
    <w:rsid w:val="00A3173C"/>
    <w:rsid w:val="00A3194A"/>
    <w:rsid w:val="00A31BB2"/>
    <w:rsid w:val="00A32110"/>
    <w:rsid w:val="00A33326"/>
    <w:rsid w:val="00A3350F"/>
    <w:rsid w:val="00A335CC"/>
    <w:rsid w:val="00A34040"/>
    <w:rsid w:val="00A355BA"/>
    <w:rsid w:val="00A3568C"/>
    <w:rsid w:val="00A3575C"/>
    <w:rsid w:val="00A3595E"/>
    <w:rsid w:val="00A365C8"/>
    <w:rsid w:val="00A36A06"/>
    <w:rsid w:val="00A372CB"/>
    <w:rsid w:val="00A3774E"/>
    <w:rsid w:val="00A37C63"/>
    <w:rsid w:val="00A37E35"/>
    <w:rsid w:val="00A41441"/>
    <w:rsid w:val="00A427B0"/>
    <w:rsid w:val="00A42BB3"/>
    <w:rsid w:val="00A431BA"/>
    <w:rsid w:val="00A43EFB"/>
    <w:rsid w:val="00A442AC"/>
    <w:rsid w:val="00A462B2"/>
    <w:rsid w:val="00A462B3"/>
    <w:rsid w:val="00A46787"/>
    <w:rsid w:val="00A46BDF"/>
    <w:rsid w:val="00A472DE"/>
    <w:rsid w:val="00A47990"/>
    <w:rsid w:val="00A47F88"/>
    <w:rsid w:val="00A50DBF"/>
    <w:rsid w:val="00A50FD8"/>
    <w:rsid w:val="00A51A4A"/>
    <w:rsid w:val="00A51F53"/>
    <w:rsid w:val="00A5207A"/>
    <w:rsid w:val="00A525F2"/>
    <w:rsid w:val="00A5395F"/>
    <w:rsid w:val="00A54A21"/>
    <w:rsid w:val="00A556B0"/>
    <w:rsid w:val="00A55CF9"/>
    <w:rsid w:val="00A56EF2"/>
    <w:rsid w:val="00A57DC8"/>
    <w:rsid w:val="00A609BA"/>
    <w:rsid w:val="00A60E5E"/>
    <w:rsid w:val="00A61317"/>
    <w:rsid w:val="00A615CC"/>
    <w:rsid w:val="00A61A40"/>
    <w:rsid w:val="00A61FBB"/>
    <w:rsid w:val="00A62116"/>
    <w:rsid w:val="00A62175"/>
    <w:rsid w:val="00A64923"/>
    <w:rsid w:val="00A650C4"/>
    <w:rsid w:val="00A658AD"/>
    <w:rsid w:val="00A65CD8"/>
    <w:rsid w:val="00A667FE"/>
    <w:rsid w:val="00A709C1"/>
    <w:rsid w:val="00A71B2B"/>
    <w:rsid w:val="00A73D26"/>
    <w:rsid w:val="00A747C9"/>
    <w:rsid w:val="00A7566A"/>
    <w:rsid w:val="00A75A3C"/>
    <w:rsid w:val="00A7635A"/>
    <w:rsid w:val="00A76724"/>
    <w:rsid w:val="00A77510"/>
    <w:rsid w:val="00A77905"/>
    <w:rsid w:val="00A77C4F"/>
    <w:rsid w:val="00A8010E"/>
    <w:rsid w:val="00A808FA"/>
    <w:rsid w:val="00A80B26"/>
    <w:rsid w:val="00A80CCB"/>
    <w:rsid w:val="00A81313"/>
    <w:rsid w:val="00A8151D"/>
    <w:rsid w:val="00A819B5"/>
    <w:rsid w:val="00A81DE9"/>
    <w:rsid w:val="00A8265B"/>
    <w:rsid w:val="00A83BE2"/>
    <w:rsid w:val="00A84212"/>
    <w:rsid w:val="00A843B6"/>
    <w:rsid w:val="00A8458E"/>
    <w:rsid w:val="00A84E32"/>
    <w:rsid w:val="00A86224"/>
    <w:rsid w:val="00A867A0"/>
    <w:rsid w:val="00A87539"/>
    <w:rsid w:val="00A8767A"/>
    <w:rsid w:val="00A876C2"/>
    <w:rsid w:val="00A87C90"/>
    <w:rsid w:val="00A9115B"/>
    <w:rsid w:val="00A91363"/>
    <w:rsid w:val="00A92B28"/>
    <w:rsid w:val="00A92D0F"/>
    <w:rsid w:val="00A9309A"/>
    <w:rsid w:val="00A9354D"/>
    <w:rsid w:val="00A93920"/>
    <w:rsid w:val="00A93C78"/>
    <w:rsid w:val="00A944C6"/>
    <w:rsid w:val="00A946F4"/>
    <w:rsid w:val="00A958AC"/>
    <w:rsid w:val="00A95CE6"/>
    <w:rsid w:val="00A96066"/>
    <w:rsid w:val="00A96498"/>
    <w:rsid w:val="00A97D3E"/>
    <w:rsid w:val="00AA06AE"/>
    <w:rsid w:val="00AA0D8B"/>
    <w:rsid w:val="00AA18D4"/>
    <w:rsid w:val="00AA1AFB"/>
    <w:rsid w:val="00AA1F8B"/>
    <w:rsid w:val="00AA239E"/>
    <w:rsid w:val="00AA27FA"/>
    <w:rsid w:val="00AA298F"/>
    <w:rsid w:val="00AA2C17"/>
    <w:rsid w:val="00AA2CB8"/>
    <w:rsid w:val="00AA487B"/>
    <w:rsid w:val="00AA4ADE"/>
    <w:rsid w:val="00AA4CA0"/>
    <w:rsid w:val="00AA4D02"/>
    <w:rsid w:val="00AA6319"/>
    <w:rsid w:val="00AA63E2"/>
    <w:rsid w:val="00AA6538"/>
    <w:rsid w:val="00AA718E"/>
    <w:rsid w:val="00AB1202"/>
    <w:rsid w:val="00AB1229"/>
    <w:rsid w:val="00AB1476"/>
    <w:rsid w:val="00AB1E6C"/>
    <w:rsid w:val="00AB2307"/>
    <w:rsid w:val="00AB2B5C"/>
    <w:rsid w:val="00AB2D37"/>
    <w:rsid w:val="00AB31AC"/>
    <w:rsid w:val="00AB31FD"/>
    <w:rsid w:val="00AB35A9"/>
    <w:rsid w:val="00AB5C7C"/>
    <w:rsid w:val="00AB5D5D"/>
    <w:rsid w:val="00AB66B0"/>
    <w:rsid w:val="00AB6CFF"/>
    <w:rsid w:val="00AB769C"/>
    <w:rsid w:val="00AB7E08"/>
    <w:rsid w:val="00AC177D"/>
    <w:rsid w:val="00AC25F7"/>
    <w:rsid w:val="00AC2A8D"/>
    <w:rsid w:val="00AC2E0B"/>
    <w:rsid w:val="00AC30AD"/>
    <w:rsid w:val="00AC3638"/>
    <w:rsid w:val="00AC5442"/>
    <w:rsid w:val="00AC64C7"/>
    <w:rsid w:val="00AD0EB8"/>
    <w:rsid w:val="00AD2EFF"/>
    <w:rsid w:val="00AD3859"/>
    <w:rsid w:val="00AD4C8F"/>
    <w:rsid w:val="00AD508E"/>
    <w:rsid w:val="00AD50AE"/>
    <w:rsid w:val="00AD51C4"/>
    <w:rsid w:val="00AD5F80"/>
    <w:rsid w:val="00AD6479"/>
    <w:rsid w:val="00AD65D0"/>
    <w:rsid w:val="00AD7F5E"/>
    <w:rsid w:val="00AE023C"/>
    <w:rsid w:val="00AE0F67"/>
    <w:rsid w:val="00AE13D7"/>
    <w:rsid w:val="00AE1CBD"/>
    <w:rsid w:val="00AE2060"/>
    <w:rsid w:val="00AE2316"/>
    <w:rsid w:val="00AE2E00"/>
    <w:rsid w:val="00AE3291"/>
    <w:rsid w:val="00AE3E20"/>
    <w:rsid w:val="00AE4536"/>
    <w:rsid w:val="00AE5F36"/>
    <w:rsid w:val="00AE67B5"/>
    <w:rsid w:val="00AE6A41"/>
    <w:rsid w:val="00AE701A"/>
    <w:rsid w:val="00AE758E"/>
    <w:rsid w:val="00AF04E6"/>
    <w:rsid w:val="00AF050A"/>
    <w:rsid w:val="00AF07B5"/>
    <w:rsid w:val="00AF148F"/>
    <w:rsid w:val="00AF1FA2"/>
    <w:rsid w:val="00AF2002"/>
    <w:rsid w:val="00AF22EE"/>
    <w:rsid w:val="00AF2F5B"/>
    <w:rsid w:val="00AF3BF2"/>
    <w:rsid w:val="00AF3D1D"/>
    <w:rsid w:val="00AF4A63"/>
    <w:rsid w:val="00AF5C86"/>
    <w:rsid w:val="00AF5D39"/>
    <w:rsid w:val="00AF5EF1"/>
    <w:rsid w:val="00AF7D05"/>
    <w:rsid w:val="00AF7D92"/>
    <w:rsid w:val="00B00254"/>
    <w:rsid w:val="00B0031E"/>
    <w:rsid w:val="00B00C91"/>
    <w:rsid w:val="00B018E7"/>
    <w:rsid w:val="00B01F2D"/>
    <w:rsid w:val="00B024ED"/>
    <w:rsid w:val="00B02E4C"/>
    <w:rsid w:val="00B03C30"/>
    <w:rsid w:val="00B03F24"/>
    <w:rsid w:val="00B052BB"/>
    <w:rsid w:val="00B05A83"/>
    <w:rsid w:val="00B05CCF"/>
    <w:rsid w:val="00B065EF"/>
    <w:rsid w:val="00B06697"/>
    <w:rsid w:val="00B06D1C"/>
    <w:rsid w:val="00B070F0"/>
    <w:rsid w:val="00B10C89"/>
    <w:rsid w:val="00B114E1"/>
    <w:rsid w:val="00B11712"/>
    <w:rsid w:val="00B11F82"/>
    <w:rsid w:val="00B124CB"/>
    <w:rsid w:val="00B125F6"/>
    <w:rsid w:val="00B12C1F"/>
    <w:rsid w:val="00B13065"/>
    <w:rsid w:val="00B145C0"/>
    <w:rsid w:val="00B149F1"/>
    <w:rsid w:val="00B14E61"/>
    <w:rsid w:val="00B177F0"/>
    <w:rsid w:val="00B17838"/>
    <w:rsid w:val="00B17DF5"/>
    <w:rsid w:val="00B20A68"/>
    <w:rsid w:val="00B20CB8"/>
    <w:rsid w:val="00B20EEA"/>
    <w:rsid w:val="00B2215B"/>
    <w:rsid w:val="00B22954"/>
    <w:rsid w:val="00B22DB2"/>
    <w:rsid w:val="00B23063"/>
    <w:rsid w:val="00B23B44"/>
    <w:rsid w:val="00B23B8C"/>
    <w:rsid w:val="00B240B6"/>
    <w:rsid w:val="00B25A72"/>
    <w:rsid w:val="00B25DB8"/>
    <w:rsid w:val="00B26828"/>
    <w:rsid w:val="00B26ACD"/>
    <w:rsid w:val="00B3300D"/>
    <w:rsid w:val="00B33103"/>
    <w:rsid w:val="00B3350D"/>
    <w:rsid w:val="00B33DEB"/>
    <w:rsid w:val="00B3499F"/>
    <w:rsid w:val="00B35DE7"/>
    <w:rsid w:val="00B3601E"/>
    <w:rsid w:val="00B36B9A"/>
    <w:rsid w:val="00B36C74"/>
    <w:rsid w:val="00B375F7"/>
    <w:rsid w:val="00B3779C"/>
    <w:rsid w:val="00B37F0E"/>
    <w:rsid w:val="00B40B64"/>
    <w:rsid w:val="00B418BE"/>
    <w:rsid w:val="00B42643"/>
    <w:rsid w:val="00B42CF0"/>
    <w:rsid w:val="00B43A29"/>
    <w:rsid w:val="00B43AEF"/>
    <w:rsid w:val="00B44017"/>
    <w:rsid w:val="00B44521"/>
    <w:rsid w:val="00B4496E"/>
    <w:rsid w:val="00B4539A"/>
    <w:rsid w:val="00B45857"/>
    <w:rsid w:val="00B45BDD"/>
    <w:rsid w:val="00B45D3D"/>
    <w:rsid w:val="00B46A03"/>
    <w:rsid w:val="00B47566"/>
    <w:rsid w:val="00B50AFF"/>
    <w:rsid w:val="00B50CEA"/>
    <w:rsid w:val="00B50D54"/>
    <w:rsid w:val="00B51AA1"/>
    <w:rsid w:val="00B51F96"/>
    <w:rsid w:val="00B52510"/>
    <w:rsid w:val="00B53D40"/>
    <w:rsid w:val="00B54136"/>
    <w:rsid w:val="00B5450E"/>
    <w:rsid w:val="00B551FC"/>
    <w:rsid w:val="00B55B8B"/>
    <w:rsid w:val="00B55E2B"/>
    <w:rsid w:val="00B55E7E"/>
    <w:rsid w:val="00B560EC"/>
    <w:rsid w:val="00B570F5"/>
    <w:rsid w:val="00B603CB"/>
    <w:rsid w:val="00B60B2C"/>
    <w:rsid w:val="00B60CEA"/>
    <w:rsid w:val="00B610D2"/>
    <w:rsid w:val="00B61B7E"/>
    <w:rsid w:val="00B61C87"/>
    <w:rsid w:val="00B623C8"/>
    <w:rsid w:val="00B628A5"/>
    <w:rsid w:val="00B6368C"/>
    <w:rsid w:val="00B63844"/>
    <w:rsid w:val="00B63C7C"/>
    <w:rsid w:val="00B64ABB"/>
    <w:rsid w:val="00B64D67"/>
    <w:rsid w:val="00B67870"/>
    <w:rsid w:val="00B70887"/>
    <w:rsid w:val="00B70D50"/>
    <w:rsid w:val="00B741FE"/>
    <w:rsid w:val="00B7449D"/>
    <w:rsid w:val="00B74C95"/>
    <w:rsid w:val="00B74D06"/>
    <w:rsid w:val="00B75B83"/>
    <w:rsid w:val="00B75F29"/>
    <w:rsid w:val="00B760E1"/>
    <w:rsid w:val="00B77109"/>
    <w:rsid w:val="00B80523"/>
    <w:rsid w:val="00B809F2"/>
    <w:rsid w:val="00B80EB7"/>
    <w:rsid w:val="00B812B4"/>
    <w:rsid w:val="00B825DA"/>
    <w:rsid w:val="00B83B7A"/>
    <w:rsid w:val="00B83EA0"/>
    <w:rsid w:val="00B85C6A"/>
    <w:rsid w:val="00B860AB"/>
    <w:rsid w:val="00B872B9"/>
    <w:rsid w:val="00B90500"/>
    <w:rsid w:val="00B90757"/>
    <w:rsid w:val="00B917AD"/>
    <w:rsid w:val="00B91896"/>
    <w:rsid w:val="00B920D7"/>
    <w:rsid w:val="00B92240"/>
    <w:rsid w:val="00B93203"/>
    <w:rsid w:val="00B93383"/>
    <w:rsid w:val="00B9373B"/>
    <w:rsid w:val="00B93E22"/>
    <w:rsid w:val="00B94883"/>
    <w:rsid w:val="00B9544C"/>
    <w:rsid w:val="00B957B9"/>
    <w:rsid w:val="00B9591A"/>
    <w:rsid w:val="00B95BD3"/>
    <w:rsid w:val="00B96346"/>
    <w:rsid w:val="00B96E08"/>
    <w:rsid w:val="00B97227"/>
    <w:rsid w:val="00B97FD6"/>
    <w:rsid w:val="00BA0262"/>
    <w:rsid w:val="00BA0CE2"/>
    <w:rsid w:val="00BA1585"/>
    <w:rsid w:val="00BA179B"/>
    <w:rsid w:val="00BA1A58"/>
    <w:rsid w:val="00BA26F6"/>
    <w:rsid w:val="00BA321D"/>
    <w:rsid w:val="00BA39BC"/>
    <w:rsid w:val="00BA43F1"/>
    <w:rsid w:val="00BA46BF"/>
    <w:rsid w:val="00BA4EEB"/>
    <w:rsid w:val="00BA4FC2"/>
    <w:rsid w:val="00BA50A7"/>
    <w:rsid w:val="00BA577E"/>
    <w:rsid w:val="00BA5929"/>
    <w:rsid w:val="00BA59EC"/>
    <w:rsid w:val="00BA5CA2"/>
    <w:rsid w:val="00BA5F2E"/>
    <w:rsid w:val="00BA606D"/>
    <w:rsid w:val="00BA60B1"/>
    <w:rsid w:val="00BA6D16"/>
    <w:rsid w:val="00BA6F82"/>
    <w:rsid w:val="00BA7AD7"/>
    <w:rsid w:val="00BA7DA2"/>
    <w:rsid w:val="00BB145E"/>
    <w:rsid w:val="00BB2027"/>
    <w:rsid w:val="00BB2448"/>
    <w:rsid w:val="00BB287F"/>
    <w:rsid w:val="00BB299E"/>
    <w:rsid w:val="00BB377D"/>
    <w:rsid w:val="00BB4829"/>
    <w:rsid w:val="00BB48EE"/>
    <w:rsid w:val="00BB4ED4"/>
    <w:rsid w:val="00BB4F2D"/>
    <w:rsid w:val="00BB5A03"/>
    <w:rsid w:val="00BB5C86"/>
    <w:rsid w:val="00BB62F8"/>
    <w:rsid w:val="00BB6D6A"/>
    <w:rsid w:val="00BC0631"/>
    <w:rsid w:val="00BC0E45"/>
    <w:rsid w:val="00BC10D1"/>
    <w:rsid w:val="00BC1260"/>
    <w:rsid w:val="00BC1678"/>
    <w:rsid w:val="00BC1895"/>
    <w:rsid w:val="00BC1A9C"/>
    <w:rsid w:val="00BC24D0"/>
    <w:rsid w:val="00BC2E00"/>
    <w:rsid w:val="00BC30F0"/>
    <w:rsid w:val="00BC32E7"/>
    <w:rsid w:val="00BC4539"/>
    <w:rsid w:val="00BC551E"/>
    <w:rsid w:val="00BC582F"/>
    <w:rsid w:val="00BC5939"/>
    <w:rsid w:val="00BC6E90"/>
    <w:rsid w:val="00BD0AF5"/>
    <w:rsid w:val="00BD0FA1"/>
    <w:rsid w:val="00BD1052"/>
    <w:rsid w:val="00BD1D95"/>
    <w:rsid w:val="00BD1DBB"/>
    <w:rsid w:val="00BD1FD7"/>
    <w:rsid w:val="00BD20AB"/>
    <w:rsid w:val="00BD3942"/>
    <w:rsid w:val="00BD41F1"/>
    <w:rsid w:val="00BD45E6"/>
    <w:rsid w:val="00BD4AB4"/>
    <w:rsid w:val="00BD6714"/>
    <w:rsid w:val="00BD7438"/>
    <w:rsid w:val="00BD7923"/>
    <w:rsid w:val="00BE0163"/>
    <w:rsid w:val="00BE0292"/>
    <w:rsid w:val="00BE0467"/>
    <w:rsid w:val="00BE04AB"/>
    <w:rsid w:val="00BE09DC"/>
    <w:rsid w:val="00BE0E03"/>
    <w:rsid w:val="00BE2317"/>
    <w:rsid w:val="00BE257C"/>
    <w:rsid w:val="00BE3511"/>
    <w:rsid w:val="00BE44BA"/>
    <w:rsid w:val="00BE4A78"/>
    <w:rsid w:val="00BE4F17"/>
    <w:rsid w:val="00BE58FA"/>
    <w:rsid w:val="00BE5AE8"/>
    <w:rsid w:val="00BE6515"/>
    <w:rsid w:val="00BF1291"/>
    <w:rsid w:val="00BF15E9"/>
    <w:rsid w:val="00BF201B"/>
    <w:rsid w:val="00BF22A6"/>
    <w:rsid w:val="00BF240F"/>
    <w:rsid w:val="00BF24EE"/>
    <w:rsid w:val="00BF3155"/>
    <w:rsid w:val="00BF3415"/>
    <w:rsid w:val="00BF4B5E"/>
    <w:rsid w:val="00BF5182"/>
    <w:rsid w:val="00BF6B44"/>
    <w:rsid w:val="00BF7284"/>
    <w:rsid w:val="00BF7B7C"/>
    <w:rsid w:val="00BF7C26"/>
    <w:rsid w:val="00C016B1"/>
    <w:rsid w:val="00C01F28"/>
    <w:rsid w:val="00C0216B"/>
    <w:rsid w:val="00C027A8"/>
    <w:rsid w:val="00C02A90"/>
    <w:rsid w:val="00C030F8"/>
    <w:rsid w:val="00C031C8"/>
    <w:rsid w:val="00C03337"/>
    <w:rsid w:val="00C039C5"/>
    <w:rsid w:val="00C03C4F"/>
    <w:rsid w:val="00C05411"/>
    <w:rsid w:val="00C06402"/>
    <w:rsid w:val="00C0677F"/>
    <w:rsid w:val="00C06C62"/>
    <w:rsid w:val="00C075B4"/>
    <w:rsid w:val="00C07868"/>
    <w:rsid w:val="00C07BD0"/>
    <w:rsid w:val="00C101A9"/>
    <w:rsid w:val="00C111F4"/>
    <w:rsid w:val="00C11B91"/>
    <w:rsid w:val="00C12241"/>
    <w:rsid w:val="00C12724"/>
    <w:rsid w:val="00C1309B"/>
    <w:rsid w:val="00C14D66"/>
    <w:rsid w:val="00C14E3E"/>
    <w:rsid w:val="00C15036"/>
    <w:rsid w:val="00C20B6D"/>
    <w:rsid w:val="00C214C3"/>
    <w:rsid w:val="00C215FE"/>
    <w:rsid w:val="00C21FFB"/>
    <w:rsid w:val="00C22C67"/>
    <w:rsid w:val="00C22E6C"/>
    <w:rsid w:val="00C24A27"/>
    <w:rsid w:val="00C256BC"/>
    <w:rsid w:val="00C267B3"/>
    <w:rsid w:val="00C319DD"/>
    <w:rsid w:val="00C31EFF"/>
    <w:rsid w:val="00C31F2B"/>
    <w:rsid w:val="00C33664"/>
    <w:rsid w:val="00C33761"/>
    <w:rsid w:val="00C34783"/>
    <w:rsid w:val="00C34C7B"/>
    <w:rsid w:val="00C350FB"/>
    <w:rsid w:val="00C351B0"/>
    <w:rsid w:val="00C3563C"/>
    <w:rsid w:val="00C359E8"/>
    <w:rsid w:val="00C35B3F"/>
    <w:rsid w:val="00C35D6B"/>
    <w:rsid w:val="00C36D5A"/>
    <w:rsid w:val="00C370C0"/>
    <w:rsid w:val="00C37202"/>
    <w:rsid w:val="00C3728E"/>
    <w:rsid w:val="00C37BC5"/>
    <w:rsid w:val="00C37FDF"/>
    <w:rsid w:val="00C414B1"/>
    <w:rsid w:val="00C4171F"/>
    <w:rsid w:val="00C42292"/>
    <w:rsid w:val="00C422F9"/>
    <w:rsid w:val="00C429D4"/>
    <w:rsid w:val="00C4371C"/>
    <w:rsid w:val="00C44268"/>
    <w:rsid w:val="00C44DC4"/>
    <w:rsid w:val="00C45413"/>
    <w:rsid w:val="00C4558E"/>
    <w:rsid w:val="00C4681C"/>
    <w:rsid w:val="00C46925"/>
    <w:rsid w:val="00C46F8B"/>
    <w:rsid w:val="00C470BF"/>
    <w:rsid w:val="00C4794A"/>
    <w:rsid w:val="00C47A4A"/>
    <w:rsid w:val="00C47B38"/>
    <w:rsid w:val="00C50702"/>
    <w:rsid w:val="00C5093B"/>
    <w:rsid w:val="00C513C2"/>
    <w:rsid w:val="00C52BB8"/>
    <w:rsid w:val="00C53374"/>
    <w:rsid w:val="00C53731"/>
    <w:rsid w:val="00C53B29"/>
    <w:rsid w:val="00C54AF0"/>
    <w:rsid w:val="00C56A10"/>
    <w:rsid w:val="00C61CEB"/>
    <w:rsid w:val="00C627A7"/>
    <w:rsid w:val="00C63394"/>
    <w:rsid w:val="00C6376F"/>
    <w:rsid w:val="00C638C5"/>
    <w:rsid w:val="00C648E1"/>
    <w:rsid w:val="00C65A9C"/>
    <w:rsid w:val="00C65ADF"/>
    <w:rsid w:val="00C65B63"/>
    <w:rsid w:val="00C65C05"/>
    <w:rsid w:val="00C65CB3"/>
    <w:rsid w:val="00C65EE7"/>
    <w:rsid w:val="00C66249"/>
    <w:rsid w:val="00C66982"/>
    <w:rsid w:val="00C66EA5"/>
    <w:rsid w:val="00C6729B"/>
    <w:rsid w:val="00C7071B"/>
    <w:rsid w:val="00C712B0"/>
    <w:rsid w:val="00C73B42"/>
    <w:rsid w:val="00C7419F"/>
    <w:rsid w:val="00C747AF"/>
    <w:rsid w:val="00C74E5A"/>
    <w:rsid w:val="00C75CF4"/>
    <w:rsid w:val="00C7666E"/>
    <w:rsid w:val="00C76CA0"/>
    <w:rsid w:val="00C76FF8"/>
    <w:rsid w:val="00C7795B"/>
    <w:rsid w:val="00C7798C"/>
    <w:rsid w:val="00C77C71"/>
    <w:rsid w:val="00C80093"/>
    <w:rsid w:val="00C81039"/>
    <w:rsid w:val="00C813D7"/>
    <w:rsid w:val="00C81CF2"/>
    <w:rsid w:val="00C821F4"/>
    <w:rsid w:val="00C825B8"/>
    <w:rsid w:val="00C8297E"/>
    <w:rsid w:val="00C82BC9"/>
    <w:rsid w:val="00C8357F"/>
    <w:rsid w:val="00C83FA5"/>
    <w:rsid w:val="00C84446"/>
    <w:rsid w:val="00C8479A"/>
    <w:rsid w:val="00C85022"/>
    <w:rsid w:val="00C85139"/>
    <w:rsid w:val="00C860B4"/>
    <w:rsid w:val="00C86C26"/>
    <w:rsid w:val="00C86DFD"/>
    <w:rsid w:val="00C86F81"/>
    <w:rsid w:val="00C87034"/>
    <w:rsid w:val="00C8725A"/>
    <w:rsid w:val="00C87323"/>
    <w:rsid w:val="00C8743D"/>
    <w:rsid w:val="00C876D3"/>
    <w:rsid w:val="00C87EC5"/>
    <w:rsid w:val="00C90AFA"/>
    <w:rsid w:val="00C90B5A"/>
    <w:rsid w:val="00C90BB6"/>
    <w:rsid w:val="00C92314"/>
    <w:rsid w:val="00C9257F"/>
    <w:rsid w:val="00C9310E"/>
    <w:rsid w:val="00C93C74"/>
    <w:rsid w:val="00C9421C"/>
    <w:rsid w:val="00C94E8D"/>
    <w:rsid w:val="00C952A6"/>
    <w:rsid w:val="00C95498"/>
    <w:rsid w:val="00C95561"/>
    <w:rsid w:val="00C95754"/>
    <w:rsid w:val="00C95DDE"/>
    <w:rsid w:val="00C96202"/>
    <w:rsid w:val="00C96323"/>
    <w:rsid w:val="00C9651F"/>
    <w:rsid w:val="00C96D7C"/>
    <w:rsid w:val="00C97614"/>
    <w:rsid w:val="00C97F91"/>
    <w:rsid w:val="00C97FFE"/>
    <w:rsid w:val="00CA0321"/>
    <w:rsid w:val="00CA0E94"/>
    <w:rsid w:val="00CA2995"/>
    <w:rsid w:val="00CA2AF5"/>
    <w:rsid w:val="00CA2B09"/>
    <w:rsid w:val="00CA3006"/>
    <w:rsid w:val="00CA337D"/>
    <w:rsid w:val="00CA389D"/>
    <w:rsid w:val="00CA3FE7"/>
    <w:rsid w:val="00CA42C5"/>
    <w:rsid w:val="00CA44A7"/>
    <w:rsid w:val="00CA4ABB"/>
    <w:rsid w:val="00CA4B7E"/>
    <w:rsid w:val="00CA5963"/>
    <w:rsid w:val="00CA6480"/>
    <w:rsid w:val="00CA6F26"/>
    <w:rsid w:val="00CA7101"/>
    <w:rsid w:val="00CA7A70"/>
    <w:rsid w:val="00CB04B5"/>
    <w:rsid w:val="00CB04FB"/>
    <w:rsid w:val="00CB0BB0"/>
    <w:rsid w:val="00CB164B"/>
    <w:rsid w:val="00CB25CF"/>
    <w:rsid w:val="00CB2BA5"/>
    <w:rsid w:val="00CB2EBB"/>
    <w:rsid w:val="00CB3695"/>
    <w:rsid w:val="00CB39A4"/>
    <w:rsid w:val="00CB3C02"/>
    <w:rsid w:val="00CB3CAD"/>
    <w:rsid w:val="00CB470B"/>
    <w:rsid w:val="00CB5421"/>
    <w:rsid w:val="00CB569B"/>
    <w:rsid w:val="00CB6335"/>
    <w:rsid w:val="00CB6CA6"/>
    <w:rsid w:val="00CB6E95"/>
    <w:rsid w:val="00CB6E9C"/>
    <w:rsid w:val="00CB6F3F"/>
    <w:rsid w:val="00CB7054"/>
    <w:rsid w:val="00CB7156"/>
    <w:rsid w:val="00CC0C18"/>
    <w:rsid w:val="00CC0DE5"/>
    <w:rsid w:val="00CC176D"/>
    <w:rsid w:val="00CC1B43"/>
    <w:rsid w:val="00CC2277"/>
    <w:rsid w:val="00CC3250"/>
    <w:rsid w:val="00CC326B"/>
    <w:rsid w:val="00CC3ACB"/>
    <w:rsid w:val="00CC3B72"/>
    <w:rsid w:val="00CC4AE7"/>
    <w:rsid w:val="00CC560C"/>
    <w:rsid w:val="00CC57CE"/>
    <w:rsid w:val="00CC6EB2"/>
    <w:rsid w:val="00CC7C64"/>
    <w:rsid w:val="00CD17BC"/>
    <w:rsid w:val="00CD2791"/>
    <w:rsid w:val="00CD31AC"/>
    <w:rsid w:val="00CD3269"/>
    <w:rsid w:val="00CD3B04"/>
    <w:rsid w:val="00CD4E5A"/>
    <w:rsid w:val="00CD55E7"/>
    <w:rsid w:val="00CD6AF1"/>
    <w:rsid w:val="00CD6C90"/>
    <w:rsid w:val="00CD7008"/>
    <w:rsid w:val="00CD7B26"/>
    <w:rsid w:val="00CE07F4"/>
    <w:rsid w:val="00CE1C5E"/>
    <w:rsid w:val="00CE2C40"/>
    <w:rsid w:val="00CE2DB1"/>
    <w:rsid w:val="00CE306C"/>
    <w:rsid w:val="00CE367B"/>
    <w:rsid w:val="00CE4243"/>
    <w:rsid w:val="00CE4644"/>
    <w:rsid w:val="00CE4716"/>
    <w:rsid w:val="00CE5E24"/>
    <w:rsid w:val="00CE6941"/>
    <w:rsid w:val="00CE6C6A"/>
    <w:rsid w:val="00CE6E61"/>
    <w:rsid w:val="00CE77AF"/>
    <w:rsid w:val="00CE7C8C"/>
    <w:rsid w:val="00CF0D27"/>
    <w:rsid w:val="00CF2436"/>
    <w:rsid w:val="00CF2C53"/>
    <w:rsid w:val="00CF3BCF"/>
    <w:rsid w:val="00CF3FB0"/>
    <w:rsid w:val="00CF43C3"/>
    <w:rsid w:val="00CF535D"/>
    <w:rsid w:val="00CF53CF"/>
    <w:rsid w:val="00CF57FF"/>
    <w:rsid w:val="00CF6B51"/>
    <w:rsid w:val="00CF6E98"/>
    <w:rsid w:val="00CF752A"/>
    <w:rsid w:val="00CF7F99"/>
    <w:rsid w:val="00D014CD"/>
    <w:rsid w:val="00D01735"/>
    <w:rsid w:val="00D01CAA"/>
    <w:rsid w:val="00D01D36"/>
    <w:rsid w:val="00D02040"/>
    <w:rsid w:val="00D027ED"/>
    <w:rsid w:val="00D0281D"/>
    <w:rsid w:val="00D0447C"/>
    <w:rsid w:val="00D0484A"/>
    <w:rsid w:val="00D055FB"/>
    <w:rsid w:val="00D0585C"/>
    <w:rsid w:val="00D05D18"/>
    <w:rsid w:val="00D05E3D"/>
    <w:rsid w:val="00D064AC"/>
    <w:rsid w:val="00D06FC0"/>
    <w:rsid w:val="00D0736D"/>
    <w:rsid w:val="00D1070D"/>
    <w:rsid w:val="00D10BAC"/>
    <w:rsid w:val="00D111E0"/>
    <w:rsid w:val="00D1150C"/>
    <w:rsid w:val="00D11A6F"/>
    <w:rsid w:val="00D11AB9"/>
    <w:rsid w:val="00D12878"/>
    <w:rsid w:val="00D12BD6"/>
    <w:rsid w:val="00D12C2F"/>
    <w:rsid w:val="00D150B2"/>
    <w:rsid w:val="00D151BD"/>
    <w:rsid w:val="00D15340"/>
    <w:rsid w:val="00D160FF"/>
    <w:rsid w:val="00D16393"/>
    <w:rsid w:val="00D16D15"/>
    <w:rsid w:val="00D17018"/>
    <w:rsid w:val="00D17E5C"/>
    <w:rsid w:val="00D17E98"/>
    <w:rsid w:val="00D20F1A"/>
    <w:rsid w:val="00D21714"/>
    <w:rsid w:val="00D21EBC"/>
    <w:rsid w:val="00D2381F"/>
    <w:rsid w:val="00D23EF3"/>
    <w:rsid w:val="00D2448B"/>
    <w:rsid w:val="00D24570"/>
    <w:rsid w:val="00D24D7E"/>
    <w:rsid w:val="00D255C9"/>
    <w:rsid w:val="00D30FA7"/>
    <w:rsid w:val="00D31A51"/>
    <w:rsid w:val="00D331E4"/>
    <w:rsid w:val="00D33AC3"/>
    <w:rsid w:val="00D346B2"/>
    <w:rsid w:val="00D348B7"/>
    <w:rsid w:val="00D35CE6"/>
    <w:rsid w:val="00D35EBB"/>
    <w:rsid w:val="00D36392"/>
    <w:rsid w:val="00D3639B"/>
    <w:rsid w:val="00D36D69"/>
    <w:rsid w:val="00D36EF8"/>
    <w:rsid w:val="00D371AD"/>
    <w:rsid w:val="00D417F2"/>
    <w:rsid w:val="00D43051"/>
    <w:rsid w:val="00D4310A"/>
    <w:rsid w:val="00D4331B"/>
    <w:rsid w:val="00D43608"/>
    <w:rsid w:val="00D43FB4"/>
    <w:rsid w:val="00D44225"/>
    <w:rsid w:val="00D45237"/>
    <w:rsid w:val="00D456ED"/>
    <w:rsid w:val="00D4674E"/>
    <w:rsid w:val="00D501E0"/>
    <w:rsid w:val="00D5052E"/>
    <w:rsid w:val="00D50F20"/>
    <w:rsid w:val="00D5127C"/>
    <w:rsid w:val="00D51ED4"/>
    <w:rsid w:val="00D5226D"/>
    <w:rsid w:val="00D544BE"/>
    <w:rsid w:val="00D55160"/>
    <w:rsid w:val="00D5528F"/>
    <w:rsid w:val="00D55506"/>
    <w:rsid w:val="00D55D93"/>
    <w:rsid w:val="00D560BB"/>
    <w:rsid w:val="00D5680B"/>
    <w:rsid w:val="00D5682D"/>
    <w:rsid w:val="00D56913"/>
    <w:rsid w:val="00D56D4C"/>
    <w:rsid w:val="00D579DF"/>
    <w:rsid w:val="00D60EF5"/>
    <w:rsid w:val="00D61069"/>
    <w:rsid w:val="00D613C9"/>
    <w:rsid w:val="00D6179B"/>
    <w:rsid w:val="00D6284E"/>
    <w:rsid w:val="00D63986"/>
    <w:rsid w:val="00D63D69"/>
    <w:rsid w:val="00D63F58"/>
    <w:rsid w:val="00D64593"/>
    <w:rsid w:val="00D651D9"/>
    <w:rsid w:val="00D6525B"/>
    <w:rsid w:val="00D6546F"/>
    <w:rsid w:val="00D657A9"/>
    <w:rsid w:val="00D6590F"/>
    <w:rsid w:val="00D66461"/>
    <w:rsid w:val="00D67495"/>
    <w:rsid w:val="00D701A5"/>
    <w:rsid w:val="00D70C29"/>
    <w:rsid w:val="00D70DF8"/>
    <w:rsid w:val="00D71094"/>
    <w:rsid w:val="00D719B8"/>
    <w:rsid w:val="00D72487"/>
    <w:rsid w:val="00D725DC"/>
    <w:rsid w:val="00D72A38"/>
    <w:rsid w:val="00D72D9C"/>
    <w:rsid w:val="00D73CC3"/>
    <w:rsid w:val="00D7471F"/>
    <w:rsid w:val="00D74D9F"/>
    <w:rsid w:val="00D7549E"/>
    <w:rsid w:val="00D75E53"/>
    <w:rsid w:val="00D77A0C"/>
    <w:rsid w:val="00D80173"/>
    <w:rsid w:val="00D801AF"/>
    <w:rsid w:val="00D80B9F"/>
    <w:rsid w:val="00D80EC5"/>
    <w:rsid w:val="00D8155E"/>
    <w:rsid w:val="00D82117"/>
    <w:rsid w:val="00D82B73"/>
    <w:rsid w:val="00D8368B"/>
    <w:rsid w:val="00D86344"/>
    <w:rsid w:val="00D86C0A"/>
    <w:rsid w:val="00D905F1"/>
    <w:rsid w:val="00D90B2D"/>
    <w:rsid w:val="00D911A0"/>
    <w:rsid w:val="00D91F3C"/>
    <w:rsid w:val="00D92E89"/>
    <w:rsid w:val="00D92FF5"/>
    <w:rsid w:val="00D93384"/>
    <w:rsid w:val="00D93412"/>
    <w:rsid w:val="00D93DF0"/>
    <w:rsid w:val="00D941BC"/>
    <w:rsid w:val="00D94664"/>
    <w:rsid w:val="00D95076"/>
    <w:rsid w:val="00D9532A"/>
    <w:rsid w:val="00D95D21"/>
    <w:rsid w:val="00D970AC"/>
    <w:rsid w:val="00D976DD"/>
    <w:rsid w:val="00DA0410"/>
    <w:rsid w:val="00DA1C88"/>
    <w:rsid w:val="00DA2334"/>
    <w:rsid w:val="00DA38E8"/>
    <w:rsid w:val="00DA4556"/>
    <w:rsid w:val="00DA496A"/>
    <w:rsid w:val="00DA5498"/>
    <w:rsid w:val="00DB010A"/>
    <w:rsid w:val="00DB03FF"/>
    <w:rsid w:val="00DB045A"/>
    <w:rsid w:val="00DB062C"/>
    <w:rsid w:val="00DB1106"/>
    <w:rsid w:val="00DB2FDB"/>
    <w:rsid w:val="00DB3315"/>
    <w:rsid w:val="00DB46C6"/>
    <w:rsid w:val="00DB4D31"/>
    <w:rsid w:val="00DB4DE4"/>
    <w:rsid w:val="00DB61D2"/>
    <w:rsid w:val="00DB6C36"/>
    <w:rsid w:val="00DB6D8F"/>
    <w:rsid w:val="00DB7096"/>
    <w:rsid w:val="00DB7184"/>
    <w:rsid w:val="00DB7337"/>
    <w:rsid w:val="00DB75B7"/>
    <w:rsid w:val="00DB7D97"/>
    <w:rsid w:val="00DC05EE"/>
    <w:rsid w:val="00DC0785"/>
    <w:rsid w:val="00DC12A2"/>
    <w:rsid w:val="00DC1579"/>
    <w:rsid w:val="00DC232A"/>
    <w:rsid w:val="00DC2BFE"/>
    <w:rsid w:val="00DC4690"/>
    <w:rsid w:val="00DC4805"/>
    <w:rsid w:val="00DC4C7F"/>
    <w:rsid w:val="00DC5497"/>
    <w:rsid w:val="00DC5820"/>
    <w:rsid w:val="00DC5BD4"/>
    <w:rsid w:val="00DC5CD0"/>
    <w:rsid w:val="00DC6E36"/>
    <w:rsid w:val="00DC7223"/>
    <w:rsid w:val="00DC7D84"/>
    <w:rsid w:val="00DC7F5D"/>
    <w:rsid w:val="00DD0018"/>
    <w:rsid w:val="00DD17F2"/>
    <w:rsid w:val="00DD1BDB"/>
    <w:rsid w:val="00DD2A6B"/>
    <w:rsid w:val="00DD2CDF"/>
    <w:rsid w:val="00DD4367"/>
    <w:rsid w:val="00DD438A"/>
    <w:rsid w:val="00DD5342"/>
    <w:rsid w:val="00DD562A"/>
    <w:rsid w:val="00DD605F"/>
    <w:rsid w:val="00DD6169"/>
    <w:rsid w:val="00DD66DA"/>
    <w:rsid w:val="00DD6E1B"/>
    <w:rsid w:val="00DD71F2"/>
    <w:rsid w:val="00DE01BE"/>
    <w:rsid w:val="00DE1823"/>
    <w:rsid w:val="00DE24D2"/>
    <w:rsid w:val="00DE2AD1"/>
    <w:rsid w:val="00DE311D"/>
    <w:rsid w:val="00DE3999"/>
    <w:rsid w:val="00DE3CB2"/>
    <w:rsid w:val="00DE43C6"/>
    <w:rsid w:val="00DE4A79"/>
    <w:rsid w:val="00DE4DA4"/>
    <w:rsid w:val="00DE4F55"/>
    <w:rsid w:val="00DE54E6"/>
    <w:rsid w:val="00DE5A0D"/>
    <w:rsid w:val="00DE5A35"/>
    <w:rsid w:val="00DE5C10"/>
    <w:rsid w:val="00DE606D"/>
    <w:rsid w:val="00DE6D62"/>
    <w:rsid w:val="00DE7823"/>
    <w:rsid w:val="00DE7934"/>
    <w:rsid w:val="00DF018F"/>
    <w:rsid w:val="00DF0EEE"/>
    <w:rsid w:val="00DF1C7D"/>
    <w:rsid w:val="00DF1F9C"/>
    <w:rsid w:val="00DF31C0"/>
    <w:rsid w:val="00DF362D"/>
    <w:rsid w:val="00DF3742"/>
    <w:rsid w:val="00DF49D7"/>
    <w:rsid w:val="00DF61A4"/>
    <w:rsid w:val="00DF7097"/>
    <w:rsid w:val="00DF711C"/>
    <w:rsid w:val="00DF72DC"/>
    <w:rsid w:val="00DF76A4"/>
    <w:rsid w:val="00DF7A8B"/>
    <w:rsid w:val="00DF7B3F"/>
    <w:rsid w:val="00E0009C"/>
    <w:rsid w:val="00E00159"/>
    <w:rsid w:val="00E00C7A"/>
    <w:rsid w:val="00E01083"/>
    <w:rsid w:val="00E02CF4"/>
    <w:rsid w:val="00E056BD"/>
    <w:rsid w:val="00E05CA9"/>
    <w:rsid w:val="00E06E1A"/>
    <w:rsid w:val="00E0729A"/>
    <w:rsid w:val="00E07D15"/>
    <w:rsid w:val="00E07F3F"/>
    <w:rsid w:val="00E10818"/>
    <w:rsid w:val="00E109AC"/>
    <w:rsid w:val="00E116F6"/>
    <w:rsid w:val="00E12DE7"/>
    <w:rsid w:val="00E12F02"/>
    <w:rsid w:val="00E145E5"/>
    <w:rsid w:val="00E149C3"/>
    <w:rsid w:val="00E155EA"/>
    <w:rsid w:val="00E15604"/>
    <w:rsid w:val="00E164D7"/>
    <w:rsid w:val="00E16E30"/>
    <w:rsid w:val="00E16E37"/>
    <w:rsid w:val="00E1754C"/>
    <w:rsid w:val="00E200C7"/>
    <w:rsid w:val="00E2059F"/>
    <w:rsid w:val="00E20BE8"/>
    <w:rsid w:val="00E2158D"/>
    <w:rsid w:val="00E225B9"/>
    <w:rsid w:val="00E232BD"/>
    <w:rsid w:val="00E23314"/>
    <w:rsid w:val="00E2363F"/>
    <w:rsid w:val="00E236F5"/>
    <w:rsid w:val="00E23F83"/>
    <w:rsid w:val="00E24011"/>
    <w:rsid w:val="00E2437D"/>
    <w:rsid w:val="00E24672"/>
    <w:rsid w:val="00E2526E"/>
    <w:rsid w:val="00E25369"/>
    <w:rsid w:val="00E25AAE"/>
    <w:rsid w:val="00E25D08"/>
    <w:rsid w:val="00E268FA"/>
    <w:rsid w:val="00E26BB2"/>
    <w:rsid w:val="00E26C64"/>
    <w:rsid w:val="00E26CAF"/>
    <w:rsid w:val="00E26F5D"/>
    <w:rsid w:val="00E2726F"/>
    <w:rsid w:val="00E2785B"/>
    <w:rsid w:val="00E27A34"/>
    <w:rsid w:val="00E3078B"/>
    <w:rsid w:val="00E3210D"/>
    <w:rsid w:val="00E33089"/>
    <w:rsid w:val="00E335A5"/>
    <w:rsid w:val="00E33788"/>
    <w:rsid w:val="00E33A42"/>
    <w:rsid w:val="00E340A6"/>
    <w:rsid w:val="00E34237"/>
    <w:rsid w:val="00E34829"/>
    <w:rsid w:val="00E35242"/>
    <w:rsid w:val="00E353F5"/>
    <w:rsid w:val="00E369D6"/>
    <w:rsid w:val="00E37297"/>
    <w:rsid w:val="00E37556"/>
    <w:rsid w:val="00E3790E"/>
    <w:rsid w:val="00E411B4"/>
    <w:rsid w:val="00E4177F"/>
    <w:rsid w:val="00E4195C"/>
    <w:rsid w:val="00E4391A"/>
    <w:rsid w:val="00E4445C"/>
    <w:rsid w:val="00E45D0A"/>
    <w:rsid w:val="00E4614D"/>
    <w:rsid w:val="00E464D1"/>
    <w:rsid w:val="00E47B58"/>
    <w:rsid w:val="00E47E50"/>
    <w:rsid w:val="00E50521"/>
    <w:rsid w:val="00E508F2"/>
    <w:rsid w:val="00E52950"/>
    <w:rsid w:val="00E533F1"/>
    <w:rsid w:val="00E533F8"/>
    <w:rsid w:val="00E54675"/>
    <w:rsid w:val="00E54816"/>
    <w:rsid w:val="00E554E1"/>
    <w:rsid w:val="00E55509"/>
    <w:rsid w:val="00E5772B"/>
    <w:rsid w:val="00E57971"/>
    <w:rsid w:val="00E60451"/>
    <w:rsid w:val="00E60BAF"/>
    <w:rsid w:val="00E61B1C"/>
    <w:rsid w:val="00E61FFD"/>
    <w:rsid w:val="00E63125"/>
    <w:rsid w:val="00E63B31"/>
    <w:rsid w:val="00E643EA"/>
    <w:rsid w:val="00E64483"/>
    <w:rsid w:val="00E64717"/>
    <w:rsid w:val="00E64833"/>
    <w:rsid w:val="00E6493E"/>
    <w:rsid w:val="00E649B6"/>
    <w:rsid w:val="00E64E93"/>
    <w:rsid w:val="00E659F7"/>
    <w:rsid w:val="00E65C15"/>
    <w:rsid w:val="00E65D18"/>
    <w:rsid w:val="00E6649B"/>
    <w:rsid w:val="00E6651A"/>
    <w:rsid w:val="00E66B14"/>
    <w:rsid w:val="00E7073F"/>
    <w:rsid w:val="00E70CEE"/>
    <w:rsid w:val="00E70E17"/>
    <w:rsid w:val="00E70F39"/>
    <w:rsid w:val="00E7184D"/>
    <w:rsid w:val="00E722DB"/>
    <w:rsid w:val="00E726A1"/>
    <w:rsid w:val="00E72E75"/>
    <w:rsid w:val="00E73AFE"/>
    <w:rsid w:val="00E73B6D"/>
    <w:rsid w:val="00E73DEB"/>
    <w:rsid w:val="00E746F4"/>
    <w:rsid w:val="00E747FE"/>
    <w:rsid w:val="00E74C10"/>
    <w:rsid w:val="00E75D27"/>
    <w:rsid w:val="00E75E43"/>
    <w:rsid w:val="00E76F4F"/>
    <w:rsid w:val="00E771DB"/>
    <w:rsid w:val="00E77C38"/>
    <w:rsid w:val="00E8117F"/>
    <w:rsid w:val="00E81BA0"/>
    <w:rsid w:val="00E81BDF"/>
    <w:rsid w:val="00E81E2B"/>
    <w:rsid w:val="00E8219A"/>
    <w:rsid w:val="00E8296F"/>
    <w:rsid w:val="00E837E7"/>
    <w:rsid w:val="00E83AF8"/>
    <w:rsid w:val="00E83AFE"/>
    <w:rsid w:val="00E84911"/>
    <w:rsid w:val="00E857D5"/>
    <w:rsid w:val="00E86380"/>
    <w:rsid w:val="00E87076"/>
    <w:rsid w:val="00E87354"/>
    <w:rsid w:val="00E87768"/>
    <w:rsid w:val="00E878C3"/>
    <w:rsid w:val="00E90E0A"/>
    <w:rsid w:val="00E91A6B"/>
    <w:rsid w:val="00E921CE"/>
    <w:rsid w:val="00E928B8"/>
    <w:rsid w:val="00E935D8"/>
    <w:rsid w:val="00E93D1B"/>
    <w:rsid w:val="00E94639"/>
    <w:rsid w:val="00E95ACF"/>
    <w:rsid w:val="00E960EC"/>
    <w:rsid w:val="00E969C1"/>
    <w:rsid w:val="00E96F3A"/>
    <w:rsid w:val="00E971F0"/>
    <w:rsid w:val="00E97953"/>
    <w:rsid w:val="00EA16F7"/>
    <w:rsid w:val="00EA1A7F"/>
    <w:rsid w:val="00EA1E85"/>
    <w:rsid w:val="00EA2164"/>
    <w:rsid w:val="00EA2977"/>
    <w:rsid w:val="00EA3BB4"/>
    <w:rsid w:val="00EA4247"/>
    <w:rsid w:val="00EA49ED"/>
    <w:rsid w:val="00EA5134"/>
    <w:rsid w:val="00EA604F"/>
    <w:rsid w:val="00EA619B"/>
    <w:rsid w:val="00EA66D7"/>
    <w:rsid w:val="00EA6C43"/>
    <w:rsid w:val="00EA717B"/>
    <w:rsid w:val="00EA7F88"/>
    <w:rsid w:val="00EB005A"/>
    <w:rsid w:val="00EB05A8"/>
    <w:rsid w:val="00EB34DA"/>
    <w:rsid w:val="00EB34EE"/>
    <w:rsid w:val="00EB43A7"/>
    <w:rsid w:val="00EB43DB"/>
    <w:rsid w:val="00EB46B7"/>
    <w:rsid w:val="00EB476E"/>
    <w:rsid w:val="00EB4B4C"/>
    <w:rsid w:val="00EB55F2"/>
    <w:rsid w:val="00EB59B1"/>
    <w:rsid w:val="00EB770F"/>
    <w:rsid w:val="00EB7912"/>
    <w:rsid w:val="00EC0114"/>
    <w:rsid w:val="00EC11D6"/>
    <w:rsid w:val="00EC1C33"/>
    <w:rsid w:val="00EC1EBD"/>
    <w:rsid w:val="00EC214D"/>
    <w:rsid w:val="00EC2702"/>
    <w:rsid w:val="00EC4921"/>
    <w:rsid w:val="00EC4A89"/>
    <w:rsid w:val="00EC4B25"/>
    <w:rsid w:val="00EC5B3F"/>
    <w:rsid w:val="00EC5EA6"/>
    <w:rsid w:val="00EC5F3A"/>
    <w:rsid w:val="00EC65CF"/>
    <w:rsid w:val="00EC7470"/>
    <w:rsid w:val="00EC7C49"/>
    <w:rsid w:val="00ED0D0D"/>
    <w:rsid w:val="00ED0DB1"/>
    <w:rsid w:val="00ED14C7"/>
    <w:rsid w:val="00ED17E4"/>
    <w:rsid w:val="00ED1814"/>
    <w:rsid w:val="00ED28AE"/>
    <w:rsid w:val="00ED564C"/>
    <w:rsid w:val="00ED56EF"/>
    <w:rsid w:val="00ED6C4F"/>
    <w:rsid w:val="00ED78A0"/>
    <w:rsid w:val="00EE0149"/>
    <w:rsid w:val="00EE02A8"/>
    <w:rsid w:val="00EE0362"/>
    <w:rsid w:val="00EE0D9B"/>
    <w:rsid w:val="00EE0F38"/>
    <w:rsid w:val="00EE213F"/>
    <w:rsid w:val="00EE3489"/>
    <w:rsid w:val="00EE349F"/>
    <w:rsid w:val="00EE388E"/>
    <w:rsid w:val="00EE3C90"/>
    <w:rsid w:val="00EE3CA0"/>
    <w:rsid w:val="00EF002C"/>
    <w:rsid w:val="00EF03E2"/>
    <w:rsid w:val="00EF042D"/>
    <w:rsid w:val="00EF068E"/>
    <w:rsid w:val="00EF0A65"/>
    <w:rsid w:val="00EF0B6A"/>
    <w:rsid w:val="00EF14C0"/>
    <w:rsid w:val="00EF1657"/>
    <w:rsid w:val="00EF24A0"/>
    <w:rsid w:val="00EF2C5C"/>
    <w:rsid w:val="00EF2D3A"/>
    <w:rsid w:val="00EF345D"/>
    <w:rsid w:val="00EF3A00"/>
    <w:rsid w:val="00EF4149"/>
    <w:rsid w:val="00EF4F9D"/>
    <w:rsid w:val="00EF5359"/>
    <w:rsid w:val="00EF579B"/>
    <w:rsid w:val="00EF5FF9"/>
    <w:rsid w:val="00EF634F"/>
    <w:rsid w:val="00EF676B"/>
    <w:rsid w:val="00EF6ADE"/>
    <w:rsid w:val="00EF7032"/>
    <w:rsid w:val="00EF7137"/>
    <w:rsid w:val="00EF756D"/>
    <w:rsid w:val="00EF7BF3"/>
    <w:rsid w:val="00EF7D0C"/>
    <w:rsid w:val="00F004FC"/>
    <w:rsid w:val="00F00730"/>
    <w:rsid w:val="00F00814"/>
    <w:rsid w:val="00F00A39"/>
    <w:rsid w:val="00F00BA6"/>
    <w:rsid w:val="00F00DBC"/>
    <w:rsid w:val="00F014B5"/>
    <w:rsid w:val="00F01808"/>
    <w:rsid w:val="00F019A7"/>
    <w:rsid w:val="00F0203D"/>
    <w:rsid w:val="00F0247D"/>
    <w:rsid w:val="00F02A8F"/>
    <w:rsid w:val="00F02CC3"/>
    <w:rsid w:val="00F04C5E"/>
    <w:rsid w:val="00F04CAD"/>
    <w:rsid w:val="00F04D1A"/>
    <w:rsid w:val="00F053BE"/>
    <w:rsid w:val="00F057A3"/>
    <w:rsid w:val="00F058CC"/>
    <w:rsid w:val="00F0717B"/>
    <w:rsid w:val="00F0722E"/>
    <w:rsid w:val="00F07D38"/>
    <w:rsid w:val="00F10009"/>
    <w:rsid w:val="00F10E17"/>
    <w:rsid w:val="00F11DDB"/>
    <w:rsid w:val="00F120BA"/>
    <w:rsid w:val="00F120E0"/>
    <w:rsid w:val="00F12BEB"/>
    <w:rsid w:val="00F130AD"/>
    <w:rsid w:val="00F144ED"/>
    <w:rsid w:val="00F1458F"/>
    <w:rsid w:val="00F145A8"/>
    <w:rsid w:val="00F14D2B"/>
    <w:rsid w:val="00F15344"/>
    <w:rsid w:val="00F163E3"/>
    <w:rsid w:val="00F16F3A"/>
    <w:rsid w:val="00F1743E"/>
    <w:rsid w:val="00F179DB"/>
    <w:rsid w:val="00F17B47"/>
    <w:rsid w:val="00F20548"/>
    <w:rsid w:val="00F20EFE"/>
    <w:rsid w:val="00F21C34"/>
    <w:rsid w:val="00F21D3E"/>
    <w:rsid w:val="00F21D4F"/>
    <w:rsid w:val="00F21E79"/>
    <w:rsid w:val="00F22275"/>
    <w:rsid w:val="00F22D36"/>
    <w:rsid w:val="00F23C2C"/>
    <w:rsid w:val="00F24FEE"/>
    <w:rsid w:val="00F2523C"/>
    <w:rsid w:val="00F25B15"/>
    <w:rsid w:val="00F25F77"/>
    <w:rsid w:val="00F25FA9"/>
    <w:rsid w:val="00F276D7"/>
    <w:rsid w:val="00F27D37"/>
    <w:rsid w:val="00F30188"/>
    <w:rsid w:val="00F30D92"/>
    <w:rsid w:val="00F31EAE"/>
    <w:rsid w:val="00F34187"/>
    <w:rsid w:val="00F343F1"/>
    <w:rsid w:val="00F3480A"/>
    <w:rsid w:val="00F357E5"/>
    <w:rsid w:val="00F362C7"/>
    <w:rsid w:val="00F3630A"/>
    <w:rsid w:val="00F367F1"/>
    <w:rsid w:val="00F36BC2"/>
    <w:rsid w:val="00F3796B"/>
    <w:rsid w:val="00F37A70"/>
    <w:rsid w:val="00F40901"/>
    <w:rsid w:val="00F4100A"/>
    <w:rsid w:val="00F41E24"/>
    <w:rsid w:val="00F4210F"/>
    <w:rsid w:val="00F42698"/>
    <w:rsid w:val="00F42C24"/>
    <w:rsid w:val="00F42CFB"/>
    <w:rsid w:val="00F42D7E"/>
    <w:rsid w:val="00F43861"/>
    <w:rsid w:val="00F43E61"/>
    <w:rsid w:val="00F444AD"/>
    <w:rsid w:val="00F4496F"/>
    <w:rsid w:val="00F44A22"/>
    <w:rsid w:val="00F44A84"/>
    <w:rsid w:val="00F4554E"/>
    <w:rsid w:val="00F45605"/>
    <w:rsid w:val="00F47281"/>
    <w:rsid w:val="00F47877"/>
    <w:rsid w:val="00F47D3D"/>
    <w:rsid w:val="00F47F0A"/>
    <w:rsid w:val="00F504B0"/>
    <w:rsid w:val="00F50A80"/>
    <w:rsid w:val="00F511E4"/>
    <w:rsid w:val="00F51711"/>
    <w:rsid w:val="00F51E99"/>
    <w:rsid w:val="00F52C02"/>
    <w:rsid w:val="00F548CA"/>
    <w:rsid w:val="00F54926"/>
    <w:rsid w:val="00F54ECD"/>
    <w:rsid w:val="00F55932"/>
    <w:rsid w:val="00F55E63"/>
    <w:rsid w:val="00F56331"/>
    <w:rsid w:val="00F56A55"/>
    <w:rsid w:val="00F60F70"/>
    <w:rsid w:val="00F615B0"/>
    <w:rsid w:val="00F625FD"/>
    <w:rsid w:val="00F63D7C"/>
    <w:rsid w:val="00F63F03"/>
    <w:rsid w:val="00F64379"/>
    <w:rsid w:val="00F6441D"/>
    <w:rsid w:val="00F6456D"/>
    <w:rsid w:val="00F646ED"/>
    <w:rsid w:val="00F652BD"/>
    <w:rsid w:val="00F655F9"/>
    <w:rsid w:val="00F662E5"/>
    <w:rsid w:val="00F66D9A"/>
    <w:rsid w:val="00F66F1B"/>
    <w:rsid w:val="00F675AE"/>
    <w:rsid w:val="00F67AFF"/>
    <w:rsid w:val="00F700F4"/>
    <w:rsid w:val="00F708A2"/>
    <w:rsid w:val="00F70CE9"/>
    <w:rsid w:val="00F70EAF"/>
    <w:rsid w:val="00F71011"/>
    <w:rsid w:val="00F71148"/>
    <w:rsid w:val="00F71625"/>
    <w:rsid w:val="00F72512"/>
    <w:rsid w:val="00F72E0C"/>
    <w:rsid w:val="00F7457A"/>
    <w:rsid w:val="00F7491E"/>
    <w:rsid w:val="00F74E2B"/>
    <w:rsid w:val="00F7686D"/>
    <w:rsid w:val="00F7692D"/>
    <w:rsid w:val="00F76C36"/>
    <w:rsid w:val="00F77351"/>
    <w:rsid w:val="00F774BE"/>
    <w:rsid w:val="00F80AB9"/>
    <w:rsid w:val="00F80B94"/>
    <w:rsid w:val="00F81D5A"/>
    <w:rsid w:val="00F828DC"/>
    <w:rsid w:val="00F834BF"/>
    <w:rsid w:val="00F83F11"/>
    <w:rsid w:val="00F84483"/>
    <w:rsid w:val="00F852FC"/>
    <w:rsid w:val="00F8622C"/>
    <w:rsid w:val="00F865DE"/>
    <w:rsid w:val="00F911D0"/>
    <w:rsid w:val="00F91340"/>
    <w:rsid w:val="00F91A88"/>
    <w:rsid w:val="00F92974"/>
    <w:rsid w:val="00F92A39"/>
    <w:rsid w:val="00F92E1F"/>
    <w:rsid w:val="00F94284"/>
    <w:rsid w:val="00F9494F"/>
    <w:rsid w:val="00F94F1A"/>
    <w:rsid w:val="00F95108"/>
    <w:rsid w:val="00F9528E"/>
    <w:rsid w:val="00F95C42"/>
    <w:rsid w:val="00F95CA2"/>
    <w:rsid w:val="00F97A60"/>
    <w:rsid w:val="00FA08D0"/>
    <w:rsid w:val="00FA11B2"/>
    <w:rsid w:val="00FA2C1C"/>
    <w:rsid w:val="00FA3723"/>
    <w:rsid w:val="00FA42B5"/>
    <w:rsid w:val="00FA4E00"/>
    <w:rsid w:val="00FA4EBB"/>
    <w:rsid w:val="00FA5C86"/>
    <w:rsid w:val="00FA624D"/>
    <w:rsid w:val="00FA643E"/>
    <w:rsid w:val="00FA7BDA"/>
    <w:rsid w:val="00FB0FD3"/>
    <w:rsid w:val="00FB179C"/>
    <w:rsid w:val="00FB1AA2"/>
    <w:rsid w:val="00FB1F3B"/>
    <w:rsid w:val="00FB1FFF"/>
    <w:rsid w:val="00FB2581"/>
    <w:rsid w:val="00FB28D4"/>
    <w:rsid w:val="00FB29DD"/>
    <w:rsid w:val="00FB2ABD"/>
    <w:rsid w:val="00FB40EB"/>
    <w:rsid w:val="00FB43BA"/>
    <w:rsid w:val="00FB4B7C"/>
    <w:rsid w:val="00FB7B27"/>
    <w:rsid w:val="00FC01E9"/>
    <w:rsid w:val="00FC0C8C"/>
    <w:rsid w:val="00FC10A9"/>
    <w:rsid w:val="00FC3242"/>
    <w:rsid w:val="00FC3529"/>
    <w:rsid w:val="00FC37C6"/>
    <w:rsid w:val="00FC3A84"/>
    <w:rsid w:val="00FC3AAB"/>
    <w:rsid w:val="00FC3FA3"/>
    <w:rsid w:val="00FC46FB"/>
    <w:rsid w:val="00FC5267"/>
    <w:rsid w:val="00FC5429"/>
    <w:rsid w:val="00FC5970"/>
    <w:rsid w:val="00FC64EF"/>
    <w:rsid w:val="00FC6E02"/>
    <w:rsid w:val="00FC6FC6"/>
    <w:rsid w:val="00FC7FE2"/>
    <w:rsid w:val="00FD0873"/>
    <w:rsid w:val="00FD11AE"/>
    <w:rsid w:val="00FD13A0"/>
    <w:rsid w:val="00FD1863"/>
    <w:rsid w:val="00FD3217"/>
    <w:rsid w:val="00FD3A1E"/>
    <w:rsid w:val="00FD489F"/>
    <w:rsid w:val="00FD581A"/>
    <w:rsid w:val="00FD594C"/>
    <w:rsid w:val="00FD5B56"/>
    <w:rsid w:val="00FD6C1B"/>
    <w:rsid w:val="00FD6C9C"/>
    <w:rsid w:val="00FD75D2"/>
    <w:rsid w:val="00FD7D37"/>
    <w:rsid w:val="00FE0709"/>
    <w:rsid w:val="00FE0DBE"/>
    <w:rsid w:val="00FE112F"/>
    <w:rsid w:val="00FE1625"/>
    <w:rsid w:val="00FE21B8"/>
    <w:rsid w:val="00FE267E"/>
    <w:rsid w:val="00FE2F88"/>
    <w:rsid w:val="00FE3C29"/>
    <w:rsid w:val="00FE43AB"/>
    <w:rsid w:val="00FE4E43"/>
    <w:rsid w:val="00FE58B8"/>
    <w:rsid w:val="00FE5D3F"/>
    <w:rsid w:val="00FE6842"/>
    <w:rsid w:val="00FE728E"/>
    <w:rsid w:val="00FE7448"/>
    <w:rsid w:val="00FE773A"/>
    <w:rsid w:val="00FF029C"/>
    <w:rsid w:val="00FF08FA"/>
    <w:rsid w:val="00FF09B0"/>
    <w:rsid w:val="00FF1D79"/>
    <w:rsid w:val="00FF2E80"/>
    <w:rsid w:val="00FF2F46"/>
    <w:rsid w:val="00FF3242"/>
    <w:rsid w:val="00FF3C66"/>
    <w:rsid w:val="00FF4C8F"/>
    <w:rsid w:val="00FF5B89"/>
    <w:rsid w:val="00FF6027"/>
    <w:rsid w:val="00FF6E41"/>
    <w:rsid w:val="00FF71AB"/>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A20A2F"/>
  <w15:docId w15:val="{74271205-7D94-42D1-B299-F5F223E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2"/>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unhideWhenUsed/>
    <w:qFormat/>
    <w:rsid w:val="00E35242"/>
    <w:pPr>
      <w:keepNext/>
      <w:numPr>
        <w:ilvl w:val="1"/>
        <w:numId w:val="2"/>
      </w:numPr>
      <w:spacing w:after="24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2"/>
      </w:numPr>
      <w:spacing w:after="240"/>
      <w:outlineLvl w:val="2"/>
    </w:pPr>
    <w:rPr>
      <w:b/>
      <w:bCs/>
      <w:lang w:eastAsia="x-none"/>
    </w:rPr>
  </w:style>
  <w:style w:type="paragraph" w:styleId="Heading4">
    <w:name w:val="heading 4"/>
    <w:basedOn w:val="Normal"/>
    <w:link w:val="Heading4Char"/>
    <w:uiPriority w:val="9"/>
    <w:unhideWhenUsed/>
    <w:qFormat/>
    <w:rsid w:val="00E35242"/>
    <w:pPr>
      <w:keepNext/>
      <w:numPr>
        <w:ilvl w:val="3"/>
        <w:numId w:val="2"/>
      </w:numPr>
      <w:spacing w:after="240"/>
      <w:outlineLvl w:val="3"/>
    </w:pPr>
    <w:rPr>
      <w:u w:val="single"/>
      <w:lang w:eastAsia="x-none"/>
    </w:rPr>
  </w:style>
  <w:style w:type="paragraph" w:styleId="Heading5">
    <w:name w:val="heading 5"/>
    <w:basedOn w:val="Normal"/>
    <w:link w:val="Heading5Char"/>
    <w:uiPriority w:val="9"/>
    <w:unhideWhenUsed/>
    <w:qFormat/>
    <w:rsid w:val="00E35242"/>
    <w:pPr>
      <w:numPr>
        <w:ilvl w:val="4"/>
        <w:numId w:val="2"/>
      </w:numPr>
      <w:autoSpaceDE/>
      <w:autoSpaceDN/>
      <w:spacing w:after="240"/>
      <w:outlineLvl w:val="4"/>
    </w:pPr>
    <w:rPr>
      <w:i/>
      <w:iCs/>
    </w:rPr>
  </w:style>
  <w:style w:type="paragraph" w:styleId="Heading6">
    <w:name w:val="heading 6"/>
    <w:basedOn w:val="Normal"/>
    <w:link w:val="Heading6Char"/>
    <w:uiPriority w:val="9"/>
    <w:unhideWhenUsed/>
    <w:qFormat/>
    <w:rsid w:val="00E35242"/>
    <w:pPr>
      <w:numPr>
        <w:ilvl w:val="5"/>
        <w:numId w:val="2"/>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unhideWhenUsed/>
    <w:qFormat/>
    <w:rsid w:val="00E35242"/>
    <w:pPr>
      <w:numPr>
        <w:ilvl w:val="6"/>
        <w:numId w:val="2"/>
      </w:numPr>
      <w:spacing w:before="240" w:after="60"/>
      <w:outlineLvl w:val="6"/>
    </w:pPr>
    <w:rPr>
      <w:rFonts w:ascii="Calibri" w:hAnsi="Calibri"/>
      <w:lang w:eastAsia="x-none"/>
    </w:rPr>
  </w:style>
  <w:style w:type="paragraph" w:styleId="Heading8">
    <w:name w:val="heading 8"/>
    <w:basedOn w:val="Normal"/>
    <w:link w:val="Heading8Char"/>
    <w:uiPriority w:val="9"/>
    <w:unhideWhenUsed/>
    <w:qFormat/>
    <w:rsid w:val="00E35242"/>
    <w:pPr>
      <w:numPr>
        <w:ilvl w:val="7"/>
        <w:numId w:val="2"/>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2"/>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ft"/>
    <w:basedOn w:val="Normal"/>
    <w:link w:val="FootnoteTextChar1"/>
    <w:unhideWhenUsed/>
    <w:rsid w:val="00E35242"/>
    <w:pPr>
      <w:ind w:firstLine="720"/>
    </w:pPr>
    <w:rPr>
      <w:sz w:val="20"/>
      <w:szCs w:val="20"/>
    </w:r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3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paragraph" w:styleId="NoSpacing">
    <w:name w:val="No Spacing"/>
    <w:uiPriority w:val="1"/>
    <w:qFormat/>
    <w:rsid w:val="008B2BB0"/>
    <w:pPr>
      <w:spacing w:after="0" w:line="240" w:lineRule="auto"/>
    </w:pPr>
  </w:style>
  <w:style w:type="character" w:customStyle="1" w:styleId="normaltextrun">
    <w:name w:val="normaltextrun"/>
    <w:basedOn w:val="DefaultParagraphFont"/>
    <w:rsid w:val="00B94883"/>
  </w:style>
  <w:style w:type="character" w:customStyle="1" w:styleId="eop">
    <w:name w:val="eop"/>
    <w:basedOn w:val="DefaultParagraphFont"/>
    <w:rsid w:val="00A26C10"/>
  </w:style>
  <w:style w:type="paragraph" w:customStyle="1" w:styleId="paragraph">
    <w:name w:val="paragraph"/>
    <w:basedOn w:val="Normal"/>
    <w:rsid w:val="00264907"/>
    <w:pPr>
      <w:autoSpaceDE/>
      <w:autoSpaceDN/>
      <w:spacing w:before="100" w:beforeAutospacing="1" w:after="100" w:afterAutospacing="1"/>
    </w:pPr>
    <w:rPr>
      <w:rFonts w:eastAsia="Times New Roman"/>
      <w:lang w:eastAsia="en-US"/>
    </w:rPr>
  </w:style>
  <w:style w:type="character" w:customStyle="1" w:styleId="spellingerror">
    <w:name w:val="spellingerror"/>
    <w:basedOn w:val="DefaultParagraphFont"/>
    <w:rsid w:val="00264907"/>
  </w:style>
  <w:style w:type="character" w:customStyle="1" w:styleId="contextualspellingandgrammarerror">
    <w:name w:val="contextualspellingandgrammarerror"/>
    <w:basedOn w:val="DefaultParagraphFont"/>
    <w:rsid w:val="0054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8082706">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7911074">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76314996">
      <w:bodyDiv w:val="1"/>
      <w:marLeft w:val="0"/>
      <w:marRight w:val="0"/>
      <w:marTop w:val="0"/>
      <w:marBottom w:val="0"/>
      <w:divBdr>
        <w:top w:val="none" w:sz="0" w:space="0" w:color="auto"/>
        <w:left w:val="none" w:sz="0" w:space="0" w:color="auto"/>
        <w:bottom w:val="none" w:sz="0" w:space="0" w:color="auto"/>
        <w:right w:val="none" w:sz="0" w:space="0" w:color="auto"/>
      </w:divBdr>
      <w:divsChild>
        <w:div w:id="201553385">
          <w:marLeft w:val="0"/>
          <w:marRight w:val="0"/>
          <w:marTop w:val="0"/>
          <w:marBottom w:val="0"/>
          <w:divBdr>
            <w:top w:val="none" w:sz="0" w:space="0" w:color="auto"/>
            <w:left w:val="none" w:sz="0" w:space="0" w:color="auto"/>
            <w:bottom w:val="none" w:sz="0" w:space="0" w:color="auto"/>
            <w:right w:val="none" w:sz="0" w:space="0" w:color="auto"/>
          </w:divBdr>
        </w:div>
        <w:div w:id="298536108">
          <w:marLeft w:val="0"/>
          <w:marRight w:val="0"/>
          <w:marTop w:val="0"/>
          <w:marBottom w:val="0"/>
          <w:divBdr>
            <w:top w:val="none" w:sz="0" w:space="0" w:color="auto"/>
            <w:left w:val="none" w:sz="0" w:space="0" w:color="auto"/>
            <w:bottom w:val="none" w:sz="0" w:space="0" w:color="auto"/>
            <w:right w:val="none" w:sz="0" w:space="0" w:color="auto"/>
          </w:divBdr>
        </w:div>
        <w:div w:id="375160484">
          <w:marLeft w:val="0"/>
          <w:marRight w:val="0"/>
          <w:marTop w:val="0"/>
          <w:marBottom w:val="0"/>
          <w:divBdr>
            <w:top w:val="none" w:sz="0" w:space="0" w:color="auto"/>
            <w:left w:val="none" w:sz="0" w:space="0" w:color="auto"/>
            <w:bottom w:val="none" w:sz="0" w:space="0" w:color="auto"/>
            <w:right w:val="none" w:sz="0" w:space="0" w:color="auto"/>
          </w:divBdr>
        </w:div>
        <w:div w:id="391656844">
          <w:marLeft w:val="0"/>
          <w:marRight w:val="0"/>
          <w:marTop w:val="0"/>
          <w:marBottom w:val="0"/>
          <w:divBdr>
            <w:top w:val="none" w:sz="0" w:space="0" w:color="auto"/>
            <w:left w:val="none" w:sz="0" w:space="0" w:color="auto"/>
            <w:bottom w:val="none" w:sz="0" w:space="0" w:color="auto"/>
            <w:right w:val="none" w:sz="0" w:space="0" w:color="auto"/>
          </w:divBdr>
        </w:div>
        <w:div w:id="1450583724">
          <w:marLeft w:val="0"/>
          <w:marRight w:val="0"/>
          <w:marTop w:val="0"/>
          <w:marBottom w:val="0"/>
          <w:divBdr>
            <w:top w:val="none" w:sz="0" w:space="0" w:color="auto"/>
            <w:left w:val="none" w:sz="0" w:space="0" w:color="auto"/>
            <w:bottom w:val="none" w:sz="0" w:space="0" w:color="auto"/>
            <w:right w:val="none" w:sz="0" w:space="0" w:color="auto"/>
          </w:divBdr>
        </w:div>
      </w:divsChild>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01288784">
      <w:bodyDiv w:val="1"/>
      <w:marLeft w:val="0"/>
      <w:marRight w:val="0"/>
      <w:marTop w:val="0"/>
      <w:marBottom w:val="0"/>
      <w:divBdr>
        <w:top w:val="none" w:sz="0" w:space="0" w:color="auto"/>
        <w:left w:val="none" w:sz="0" w:space="0" w:color="auto"/>
        <w:bottom w:val="none" w:sz="0" w:space="0" w:color="auto"/>
        <w:right w:val="none" w:sz="0" w:space="0" w:color="auto"/>
      </w:divBdr>
    </w:div>
    <w:div w:id="207299890">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57451061">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600795119">
      <w:bodyDiv w:val="1"/>
      <w:marLeft w:val="0"/>
      <w:marRight w:val="0"/>
      <w:marTop w:val="0"/>
      <w:marBottom w:val="0"/>
      <w:divBdr>
        <w:top w:val="none" w:sz="0" w:space="0" w:color="auto"/>
        <w:left w:val="none" w:sz="0" w:space="0" w:color="auto"/>
        <w:bottom w:val="none" w:sz="0" w:space="0" w:color="auto"/>
        <w:right w:val="none" w:sz="0" w:space="0" w:color="auto"/>
      </w:divBdr>
    </w:div>
    <w:div w:id="610085776">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766119854">
      <w:bodyDiv w:val="1"/>
      <w:marLeft w:val="0"/>
      <w:marRight w:val="0"/>
      <w:marTop w:val="0"/>
      <w:marBottom w:val="0"/>
      <w:divBdr>
        <w:top w:val="none" w:sz="0" w:space="0" w:color="auto"/>
        <w:left w:val="none" w:sz="0" w:space="0" w:color="auto"/>
        <w:bottom w:val="none" w:sz="0" w:space="0" w:color="auto"/>
        <w:right w:val="none" w:sz="0" w:space="0" w:color="auto"/>
      </w:divBdr>
    </w:div>
    <w:div w:id="800924242">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81469805">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17718662">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173567555">
      <w:bodyDiv w:val="1"/>
      <w:marLeft w:val="0"/>
      <w:marRight w:val="0"/>
      <w:marTop w:val="0"/>
      <w:marBottom w:val="0"/>
      <w:divBdr>
        <w:top w:val="none" w:sz="0" w:space="0" w:color="auto"/>
        <w:left w:val="none" w:sz="0" w:space="0" w:color="auto"/>
        <w:bottom w:val="none" w:sz="0" w:space="0" w:color="auto"/>
        <w:right w:val="none" w:sz="0" w:space="0" w:color="auto"/>
      </w:divBdr>
    </w:div>
    <w:div w:id="1198589196">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27035729">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0153485">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392383920">
      <w:bodyDiv w:val="1"/>
      <w:marLeft w:val="0"/>
      <w:marRight w:val="0"/>
      <w:marTop w:val="0"/>
      <w:marBottom w:val="0"/>
      <w:divBdr>
        <w:top w:val="none" w:sz="0" w:space="0" w:color="auto"/>
        <w:left w:val="none" w:sz="0" w:space="0" w:color="auto"/>
        <w:bottom w:val="none" w:sz="0" w:space="0" w:color="auto"/>
        <w:right w:val="none" w:sz="0" w:space="0" w:color="auto"/>
      </w:divBdr>
    </w:div>
    <w:div w:id="1406419930">
      <w:bodyDiv w:val="1"/>
      <w:marLeft w:val="0"/>
      <w:marRight w:val="0"/>
      <w:marTop w:val="0"/>
      <w:marBottom w:val="0"/>
      <w:divBdr>
        <w:top w:val="none" w:sz="0" w:space="0" w:color="auto"/>
        <w:left w:val="none" w:sz="0" w:space="0" w:color="auto"/>
        <w:bottom w:val="none" w:sz="0" w:space="0" w:color="auto"/>
        <w:right w:val="none" w:sz="0" w:space="0" w:color="auto"/>
      </w:divBdr>
    </w:div>
    <w:div w:id="1435058890">
      <w:bodyDiv w:val="1"/>
      <w:marLeft w:val="0"/>
      <w:marRight w:val="0"/>
      <w:marTop w:val="0"/>
      <w:marBottom w:val="0"/>
      <w:divBdr>
        <w:top w:val="none" w:sz="0" w:space="0" w:color="auto"/>
        <w:left w:val="none" w:sz="0" w:space="0" w:color="auto"/>
        <w:bottom w:val="none" w:sz="0" w:space="0" w:color="auto"/>
        <w:right w:val="none" w:sz="0" w:space="0" w:color="auto"/>
      </w:divBdr>
      <w:divsChild>
        <w:div w:id="8147552">
          <w:marLeft w:val="0"/>
          <w:marRight w:val="0"/>
          <w:marTop w:val="0"/>
          <w:marBottom w:val="0"/>
          <w:divBdr>
            <w:top w:val="none" w:sz="0" w:space="0" w:color="auto"/>
            <w:left w:val="none" w:sz="0" w:space="0" w:color="auto"/>
            <w:bottom w:val="none" w:sz="0" w:space="0" w:color="auto"/>
            <w:right w:val="none" w:sz="0" w:space="0" w:color="auto"/>
          </w:divBdr>
        </w:div>
        <w:div w:id="624118016">
          <w:marLeft w:val="0"/>
          <w:marRight w:val="0"/>
          <w:marTop w:val="0"/>
          <w:marBottom w:val="0"/>
          <w:divBdr>
            <w:top w:val="none" w:sz="0" w:space="0" w:color="auto"/>
            <w:left w:val="none" w:sz="0" w:space="0" w:color="auto"/>
            <w:bottom w:val="none" w:sz="0" w:space="0" w:color="auto"/>
            <w:right w:val="none" w:sz="0" w:space="0" w:color="auto"/>
          </w:divBdr>
        </w:div>
        <w:div w:id="791480714">
          <w:marLeft w:val="0"/>
          <w:marRight w:val="0"/>
          <w:marTop w:val="0"/>
          <w:marBottom w:val="0"/>
          <w:divBdr>
            <w:top w:val="none" w:sz="0" w:space="0" w:color="auto"/>
            <w:left w:val="none" w:sz="0" w:space="0" w:color="auto"/>
            <w:bottom w:val="none" w:sz="0" w:space="0" w:color="auto"/>
            <w:right w:val="none" w:sz="0" w:space="0" w:color="auto"/>
          </w:divBdr>
        </w:div>
        <w:div w:id="2142728463">
          <w:marLeft w:val="0"/>
          <w:marRight w:val="0"/>
          <w:marTop w:val="0"/>
          <w:marBottom w:val="0"/>
          <w:divBdr>
            <w:top w:val="none" w:sz="0" w:space="0" w:color="auto"/>
            <w:left w:val="none" w:sz="0" w:space="0" w:color="auto"/>
            <w:bottom w:val="none" w:sz="0" w:space="0" w:color="auto"/>
            <w:right w:val="none" w:sz="0" w:space="0" w:color="auto"/>
          </w:divBdr>
        </w:div>
      </w:divsChild>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73656468">
      <w:bodyDiv w:val="1"/>
      <w:marLeft w:val="0"/>
      <w:marRight w:val="0"/>
      <w:marTop w:val="0"/>
      <w:marBottom w:val="0"/>
      <w:divBdr>
        <w:top w:val="none" w:sz="0" w:space="0" w:color="auto"/>
        <w:left w:val="none" w:sz="0" w:space="0" w:color="auto"/>
        <w:bottom w:val="none" w:sz="0" w:space="0" w:color="auto"/>
        <w:right w:val="none" w:sz="0" w:space="0" w:color="auto"/>
      </w:divBdr>
      <w:divsChild>
        <w:div w:id="358237977">
          <w:marLeft w:val="0"/>
          <w:marRight w:val="0"/>
          <w:marTop w:val="0"/>
          <w:marBottom w:val="0"/>
          <w:divBdr>
            <w:top w:val="none" w:sz="0" w:space="0" w:color="auto"/>
            <w:left w:val="none" w:sz="0" w:space="0" w:color="auto"/>
            <w:bottom w:val="none" w:sz="0" w:space="0" w:color="auto"/>
            <w:right w:val="none" w:sz="0" w:space="0" w:color="auto"/>
          </w:divBdr>
        </w:div>
        <w:div w:id="879322651">
          <w:marLeft w:val="0"/>
          <w:marRight w:val="0"/>
          <w:marTop w:val="0"/>
          <w:marBottom w:val="0"/>
          <w:divBdr>
            <w:top w:val="none" w:sz="0" w:space="0" w:color="auto"/>
            <w:left w:val="none" w:sz="0" w:space="0" w:color="auto"/>
            <w:bottom w:val="none" w:sz="0" w:space="0" w:color="auto"/>
            <w:right w:val="none" w:sz="0" w:space="0" w:color="auto"/>
          </w:divBdr>
        </w:div>
        <w:div w:id="1169712898">
          <w:marLeft w:val="0"/>
          <w:marRight w:val="0"/>
          <w:marTop w:val="0"/>
          <w:marBottom w:val="0"/>
          <w:divBdr>
            <w:top w:val="none" w:sz="0" w:space="0" w:color="auto"/>
            <w:left w:val="none" w:sz="0" w:space="0" w:color="auto"/>
            <w:bottom w:val="none" w:sz="0" w:space="0" w:color="auto"/>
            <w:right w:val="none" w:sz="0" w:space="0" w:color="auto"/>
          </w:divBdr>
        </w:div>
        <w:div w:id="1645348234">
          <w:marLeft w:val="0"/>
          <w:marRight w:val="0"/>
          <w:marTop w:val="0"/>
          <w:marBottom w:val="0"/>
          <w:divBdr>
            <w:top w:val="none" w:sz="0" w:space="0" w:color="auto"/>
            <w:left w:val="none" w:sz="0" w:space="0" w:color="auto"/>
            <w:bottom w:val="none" w:sz="0" w:space="0" w:color="auto"/>
            <w:right w:val="none" w:sz="0" w:space="0" w:color="auto"/>
          </w:divBdr>
        </w:div>
      </w:divsChild>
    </w:div>
    <w:div w:id="1648439125">
      <w:bodyDiv w:val="1"/>
      <w:marLeft w:val="0"/>
      <w:marRight w:val="0"/>
      <w:marTop w:val="0"/>
      <w:marBottom w:val="0"/>
      <w:divBdr>
        <w:top w:val="none" w:sz="0" w:space="0" w:color="auto"/>
        <w:left w:val="none" w:sz="0" w:space="0" w:color="auto"/>
        <w:bottom w:val="none" w:sz="0" w:space="0" w:color="auto"/>
        <w:right w:val="none" w:sz="0" w:space="0" w:color="auto"/>
      </w:divBdr>
    </w:div>
    <w:div w:id="1671055800">
      <w:bodyDiv w:val="1"/>
      <w:marLeft w:val="0"/>
      <w:marRight w:val="0"/>
      <w:marTop w:val="0"/>
      <w:marBottom w:val="0"/>
      <w:divBdr>
        <w:top w:val="none" w:sz="0" w:space="0" w:color="auto"/>
        <w:left w:val="none" w:sz="0" w:space="0" w:color="auto"/>
        <w:bottom w:val="none" w:sz="0" w:space="0" w:color="auto"/>
        <w:right w:val="none" w:sz="0" w:space="0" w:color="auto"/>
      </w:divBdr>
      <w:divsChild>
        <w:div w:id="1037003990">
          <w:marLeft w:val="0"/>
          <w:marRight w:val="0"/>
          <w:marTop w:val="0"/>
          <w:marBottom w:val="0"/>
          <w:divBdr>
            <w:top w:val="none" w:sz="0" w:space="0" w:color="auto"/>
            <w:left w:val="none" w:sz="0" w:space="0" w:color="auto"/>
            <w:bottom w:val="none" w:sz="0" w:space="0" w:color="auto"/>
            <w:right w:val="none" w:sz="0" w:space="0" w:color="auto"/>
          </w:divBdr>
        </w:div>
        <w:div w:id="1277758063">
          <w:marLeft w:val="0"/>
          <w:marRight w:val="0"/>
          <w:marTop w:val="0"/>
          <w:marBottom w:val="0"/>
          <w:divBdr>
            <w:top w:val="none" w:sz="0" w:space="0" w:color="auto"/>
            <w:left w:val="none" w:sz="0" w:space="0" w:color="auto"/>
            <w:bottom w:val="none" w:sz="0" w:space="0" w:color="auto"/>
            <w:right w:val="none" w:sz="0" w:space="0" w:color="auto"/>
          </w:divBdr>
        </w:div>
        <w:div w:id="2073116973">
          <w:marLeft w:val="0"/>
          <w:marRight w:val="0"/>
          <w:marTop w:val="0"/>
          <w:marBottom w:val="0"/>
          <w:divBdr>
            <w:top w:val="none" w:sz="0" w:space="0" w:color="auto"/>
            <w:left w:val="none" w:sz="0" w:space="0" w:color="auto"/>
            <w:bottom w:val="none" w:sz="0" w:space="0" w:color="auto"/>
            <w:right w:val="none" w:sz="0" w:space="0" w:color="auto"/>
          </w:divBdr>
        </w:div>
      </w:divsChild>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76415551">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731155103">
      <w:bodyDiv w:val="1"/>
      <w:marLeft w:val="0"/>
      <w:marRight w:val="0"/>
      <w:marTop w:val="0"/>
      <w:marBottom w:val="0"/>
      <w:divBdr>
        <w:top w:val="none" w:sz="0" w:space="0" w:color="auto"/>
        <w:left w:val="none" w:sz="0" w:space="0" w:color="auto"/>
        <w:bottom w:val="none" w:sz="0" w:space="0" w:color="auto"/>
        <w:right w:val="none" w:sz="0" w:space="0" w:color="auto"/>
      </w:divBdr>
    </w:div>
    <w:div w:id="1735472287">
      <w:bodyDiv w:val="1"/>
      <w:marLeft w:val="0"/>
      <w:marRight w:val="0"/>
      <w:marTop w:val="0"/>
      <w:marBottom w:val="0"/>
      <w:divBdr>
        <w:top w:val="none" w:sz="0" w:space="0" w:color="auto"/>
        <w:left w:val="none" w:sz="0" w:space="0" w:color="auto"/>
        <w:bottom w:val="none" w:sz="0" w:space="0" w:color="auto"/>
        <w:right w:val="none" w:sz="0" w:space="0" w:color="auto"/>
      </w:divBdr>
    </w:div>
    <w:div w:id="1772161807">
      <w:bodyDiv w:val="1"/>
      <w:marLeft w:val="0"/>
      <w:marRight w:val="0"/>
      <w:marTop w:val="0"/>
      <w:marBottom w:val="0"/>
      <w:divBdr>
        <w:top w:val="none" w:sz="0" w:space="0" w:color="auto"/>
        <w:left w:val="none" w:sz="0" w:space="0" w:color="auto"/>
        <w:bottom w:val="none" w:sz="0" w:space="0" w:color="auto"/>
        <w:right w:val="none" w:sz="0" w:space="0" w:color="auto"/>
      </w:divBdr>
      <w:divsChild>
        <w:div w:id="1504780180">
          <w:marLeft w:val="0"/>
          <w:marRight w:val="0"/>
          <w:marTop w:val="0"/>
          <w:marBottom w:val="0"/>
          <w:divBdr>
            <w:top w:val="none" w:sz="0" w:space="0" w:color="auto"/>
            <w:left w:val="none" w:sz="0" w:space="0" w:color="auto"/>
            <w:bottom w:val="none" w:sz="0" w:space="0" w:color="auto"/>
            <w:right w:val="none" w:sz="0" w:space="0" w:color="auto"/>
          </w:divBdr>
        </w:div>
        <w:div w:id="1677537156">
          <w:marLeft w:val="0"/>
          <w:marRight w:val="0"/>
          <w:marTop w:val="0"/>
          <w:marBottom w:val="0"/>
          <w:divBdr>
            <w:top w:val="none" w:sz="0" w:space="0" w:color="auto"/>
            <w:left w:val="none" w:sz="0" w:space="0" w:color="auto"/>
            <w:bottom w:val="none" w:sz="0" w:space="0" w:color="auto"/>
            <w:right w:val="none" w:sz="0" w:space="0" w:color="auto"/>
          </w:divBdr>
        </w:div>
        <w:div w:id="1946159134">
          <w:marLeft w:val="0"/>
          <w:marRight w:val="0"/>
          <w:marTop w:val="0"/>
          <w:marBottom w:val="0"/>
          <w:divBdr>
            <w:top w:val="none" w:sz="0" w:space="0" w:color="auto"/>
            <w:left w:val="none" w:sz="0" w:space="0" w:color="auto"/>
            <w:bottom w:val="none" w:sz="0" w:space="0" w:color="auto"/>
            <w:right w:val="none" w:sz="0" w:space="0" w:color="auto"/>
          </w:divBdr>
        </w:div>
      </w:divsChild>
    </w:div>
    <w:div w:id="1814061129">
      <w:bodyDiv w:val="1"/>
      <w:marLeft w:val="0"/>
      <w:marRight w:val="0"/>
      <w:marTop w:val="0"/>
      <w:marBottom w:val="0"/>
      <w:divBdr>
        <w:top w:val="none" w:sz="0" w:space="0" w:color="auto"/>
        <w:left w:val="none" w:sz="0" w:space="0" w:color="auto"/>
        <w:bottom w:val="none" w:sz="0" w:space="0" w:color="auto"/>
        <w:right w:val="none" w:sz="0" w:space="0" w:color="auto"/>
      </w:divBdr>
    </w:div>
    <w:div w:id="1834681616">
      <w:bodyDiv w:val="1"/>
      <w:marLeft w:val="0"/>
      <w:marRight w:val="0"/>
      <w:marTop w:val="0"/>
      <w:marBottom w:val="0"/>
      <w:divBdr>
        <w:top w:val="none" w:sz="0" w:space="0" w:color="auto"/>
        <w:left w:val="none" w:sz="0" w:space="0" w:color="auto"/>
        <w:bottom w:val="none" w:sz="0" w:space="0" w:color="auto"/>
        <w:right w:val="none" w:sz="0" w:space="0" w:color="auto"/>
      </w:divBdr>
      <w:divsChild>
        <w:div w:id="300959291">
          <w:marLeft w:val="0"/>
          <w:marRight w:val="0"/>
          <w:marTop w:val="0"/>
          <w:marBottom w:val="0"/>
          <w:divBdr>
            <w:top w:val="none" w:sz="0" w:space="0" w:color="auto"/>
            <w:left w:val="none" w:sz="0" w:space="0" w:color="auto"/>
            <w:bottom w:val="none" w:sz="0" w:space="0" w:color="auto"/>
            <w:right w:val="none" w:sz="0" w:space="0" w:color="auto"/>
          </w:divBdr>
        </w:div>
        <w:div w:id="321079767">
          <w:marLeft w:val="0"/>
          <w:marRight w:val="0"/>
          <w:marTop w:val="0"/>
          <w:marBottom w:val="0"/>
          <w:divBdr>
            <w:top w:val="none" w:sz="0" w:space="0" w:color="auto"/>
            <w:left w:val="none" w:sz="0" w:space="0" w:color="auto"/>
            <w:bottom w:val="none" w:sz="0" w:space="0" w:color="auto"/>
            <w:right w:val="none" w:sz="0" w:space="0" w:color="auto"/>
          </w:divBdr>
        </w:div>
        <w:div w:id="1129399844">
          <w:marLeft w:val="0"/>
          <w:marRight w:val="0"/>
          <w:marTop w:val="0"/>
          <w:marBottom w:val="0"/>
          <w:divBdr>
            <w:top w:val="none" w:sz="0" w:space="0" w:color="auto"/>
            <w:left w:val="none" w:sz="0" w:space="0" w:color="auto"/>
            <w:bottom w:val="none" w:sz="0" w:space="0" w:color="auto"/>
            <w:right w:val="none" w:sz="0" w:space="0" w:color="auto"/>
          </w:divBdr>
        </w:div>
        <w:div w:id="1180268246">
          <w:marLeft w:val="0"/>
          <w:marRight w:val="0"/>
          <w:marTop w:val="0"/>
          <w:marBottom w:val="0"/>
          <w:divBdr>
            <w:top w:val="none" w:sz="0" w:space="0" w:color="auto"/>
            <w:left w:val="none" w:sz="0" w:space="0" w:color="auto"/>
            <w:bottom w:val="none" w:sz="0" w:space="0" w:color="auto"/>
            <w:right w:val="none" w:sz="0" w:space="0" w:color="auto"/>
          </w:divBdr>
        </w:div>
        <w:div w:id="1787121765">
          <w:marLeft w:val="0"/>
          <w:marRight w:val="0"/>
          <w:marTop w:val="0"/>
          <w:marBottom w:val="0"/>
          <w:divBdr>
            <w:top w:val="none" w:sz="0" w:space="0" w:color="auto"/>
            <w:left w:val="none" w:sz="0" w:space="0" w:color="auto"/>
            <w:bottom w:val="none" w:sz="0" w:space="0" w:color="auto"/>
            <w:right w:val="none" w:sz="0" w:space="0" w:color="auto"/>
          </w:divBdr>
        </w:div>
        <w:div w:id="1918589209">
          <w:marLeft w:val="0"/>
          <w:marRight w:val="0"/>
          <w:marTop w:val="0"/>
          <w:marBottom w:val="0"/>
          <w:divBdr>
            <w:top w:val="none" w:sz="0" w:space="0" w:color="auto"/>
            <w:left w:val="none" w:sz="0" w:space="0" w:color="auto"/>
            <w:bottom w:val="none" w:sz="0" w:space="0" w:color="auto"/>
            <w:right w:val="none" w:sz="0" w:space="0" w:color="auto"/>
          </w:divBdr>
        </w:div>
      </w:divsChild>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938443094">
      <w:bodyDiv w:val="1"/>
      <w:marLeft w:val="0"/>
      <w:marRight w:val="0"/>
      <w:marTop w:val="0"/>
      <w:marBottom w:val="0"/>
      <w:divBdr>
        <w:top w:val="none" w:sz="0" w:space="0" w:color="auto"/>
        <w:left w:val="none" w:sz="0" w:space="0" w:color="auto"/>
        <w:bottom w:val="none" w:sz="0" w:space="0" w:color="auto"/>
        <w:right w:val="none" w:sz="0" w:space="0" w:color="auto"/>
      </w:divBdr>
    </w:div>
    <w:div w:id="2015691550">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7088245">
      <w:bodyDiv w:val="1"/>
      <w:marLeft w:val="0"/>
      <w:marRight w:val="0"/>
      <w:marTop w:val="0"/>
      <w:marBottom w:val="0"/>
      <w:divBdr>
        <w:top w:val="none" w:sz="0" w:space="0" w:color="auto"/>
        <w:left w:val="none" w:sz="0" w:space="0" w:color="auto"/>
        <w:bottom w:val="none" w:sz="0" w:space="0" w:color="auto"/>
        <w:right w:val="none" w:sz="0" w:space="0" w:color="auto"/>
      </w:divBdr>
      <w:divsChild>
        <w:div w:id="1094400520">
          <w:marLeft w:val="0"/>
          <w:marRight w:val="0"/>
          <w:marTop w:val="0"/>
          <w:marBottom w:val="0"/>
          <w:divBdr>
            <w:top w:val="none" w:sz="0" w:space="0" w:color="auto"/>
            <w:left w:val="none" w:sz="0" w:space="0" w:color="auto"/>
            <w:bottom w:val="none" w:sz="0" w:space="0" w:color="auto"/>
            <w:right w:val="none" w:sz="0" w:space="0" w:color="auto"/>
          </w:divBdr>
        </w:div>
        <w:div w:id="1486507013">
          <w:marLeft w:val="0"/>
          <w:marRight w:val="0"/>
          <w:marTop w:val="0"/>
          <w:marBottom w:val="0"/>
          <w:divBdr>
            <w:top w:val="none" w:sz="0" w:space="0" w:color="auto"/>
            <w:left w:val="none" w:sz="0" w:space="0" w:color="auto"/>
            <w:bottom w:val="none" w:sz="0" w:space="0" w:color="auto"/>
            <w:right w:val="none" w:sz="0" w:space="0" w:color="auto"/>
          </w:divBdr>
        </w:div>
        <w:div w:id="1741098488">
          <w:marLeft w:val="0"/>
          <w:marRight w:val="0"/>
          <w:marTop w:val="0"/>
          <w:marBottom w:val="0"/>
          <w:divBdr>
            <w:top w:val="none" w:sz="0" w:space="0" w:color="auto"/>
            <w:left w:val="none" w:sz="0" w:space="0" w:color="auto"/>
            <w:bottom w:val="none" w:sz="0" w:space="0" w:color="auto"/>
            <w:right w:val="none" w:sz="0" w:space="0" w:color="auto"/>
          </w:divBdr>
        </w:div>
        <w:div w:id="174764922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28422982">
      <w:bodyDiv w:val="1"/>
      <w:marLeft w:val="0"/>
      <w:marRight w:val="0"/>
      <w:marTop w:val="0"/>
      <w:marBottom w:val="0"/>
      <w:divBdr>
        <w:top w:val="none" w:sz="0" w:space="0" w:color="auto"/>
        <w:left w:val="none" w:sz="0" w:space="0" w:color="auto"/>
        <w:bottom w:val="none" w:sz="0" w:space="0" w:color="auto"/>
        <w:right w:val="none" w:sz="0" w:space="0" w:color="auto"/>
      </w:divBdr>
    </w:div>
    <w:div w:id="2142185724">
      <w:bodyDiv w:val="1"/>
      <w:marLeft w:val="0"/>
      <w:marRight w:val="0"/>
      <w:marTop w:val="0"/>
      <w:marBottom w:val="0"/>
      <w:divBdr>
        <w:top w:val="none" w:sz="0" w:space="0" w:color="auto"/>
        <w:left w:val="none" w:sz="0" w:space="0" w:color="auto"/>
        <w:bottom w:val="none" w:sz="0" w:space="0" w:color="auto"/>
        <w:right w:val="none" w:sz="0" w:space="0" w:color="auto"/>
      </w:divBdr>
      <w:divsChild>
        <w:div w:id="683284508">
          <w:marLeft w:val="0"/>
          <w:marRight w:val="0"/>
          <w:marTop w:val="0"/>
          <w:marBottom w:val="0"/>
          <w:divBdr>
            <w:top w:val="none" w:sz="0" w:space="0" w:color="auto"/>
            <w:left w:val="none" w:sz="0" w:space="0" w:color="auto"/>
            <w:bottom w:val="none" w:sz="0" w:space="0" w:color="auto"/>
            <w:right w:val="none" w:sz="0" w:space="0" w:color="auto"/>
          </w:divBdr>
        </w:div>
        <w:div w:id="208857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D6C2-09BF-4580-90FD-CBA1AE46D546}">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2a1ba486-ff2f-4459-80ac-1ab5aa17f82f"/>
    <ds:schemaRef ds:uri="2b487234-2a61-45b0-86e3-998bf12a0e9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D822C89-B553-4274-B977-BEC37DA36A90}">
  <ds:schemaRefs>
    <ds:schemaRef ds:uri="http://schemas.microsoft.com/sharepoint/v3/contenttype/forms"/>
  </ds:schemaRefs>
</ds:datastoreItem>
</file>

<file path=customXml/itemProps3.xml><?xml version="1.0" encoding="utf-8"?>
<ds:datastoreItem xmlns:ds="http://schemas.openxmlformats.org/officeDocument/2006/customXml" ds:itemID="{BFF1540A-E619-4983-9709-2EE4C615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75F93-4F17-46F1-B4D1-35D7F2D9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4857</Words>
  <Characters>27688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MSB</cp:lastModifiedBy>
  <cp:revision>2</cp:revision>
  <cp:lastPrinted>2018-07-26T12:55:00Z</cp:lastPrinted>
  <dcterms:created xsi:type="dcterms:W3CDTF">2021-12-30T15:56:00Z</dcterms:created>
  <dcterms:modified xsi:type="dcterms:W3CDTF">2021-12-30T15:56:00Z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