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1F06" w:rsidR="000B1374" w:rsidP="008E1F06" w:rsidRDefault="000B1374" w14:paraId="0DC30A6C" w14:textId="77777777">
      <w:pPr>
        <w:jc w:val="center"/>
        <w:rPr>
          <w:rFonts w:ascii="Times New Roman" w:hAnsi="Times New Roman"/>
        </w:rPr>
      </w:pPr>
      <w:r w:rsidRPr="008E1F06">
        <w:rPr>
          <w:rFonts w:ascii="Times New Roman" w:hAnsi="Times New Roman"/>
        </w:rPr>
        <w:t>SUPPORTING STATEMENT</w:t>
      </w:r>
    </w:p>
    <w:p w:rsidRPr="008E1F06" w:rsidR="007B77A0" w:rsidP="008E1F06" w:rsidRDefault="007B77A0" w14:paraId="0E737CFF" w14:textId="77777777">
      <w:pPr>
        <w:jc w:val="center"/>
        <w:rPr>
          <w:rFonts w:ascii="Times New Roman" w:hAnsi="Times New Roman"/>
        </w:rPr>
      </w:pPr>
      <w:r w:rsidRPr="008E1F06">
        <w:rPr>
          <w:rFonts w:ascii="Times New Roman" w:hAnsi="Times New Roman"/>
        </w:rPr>
        <w:t>Internal Revenue Service</w:t>
      </w:r>
    </w:p>
    <w:p w:rsidRPr="008E1F06" w:rsidR="000B1374" w:rsidP="008E1F06" w:rsidRDefault="00EF5FFB" w14:paraId="7F8EF91B" w14:textId="77777777">
      <w:pPr>
        <w:rPr>
          <w:rFonts w:ascii="Times New Roman" w:hAnsi="Times New Roman"/>
          <w:color w:val="000000"/>
        </w:rPr>
      </w:pPr>
      <w:r w:rsidRPr="008E1F06">
        <w:rPr>
          <w:rFonts w:ascii="Times New Roman" w:hAnsi="Times New Roman"/>
        </w:rPr>
        <w:t>TD 9759- Limitations on the Impor</w:t>
      </w:r>
      <w:r w:rsidRPr="008E1F06">
        <w:rPr>
          <w:rFonts w:ascii="Times New Roman" w:hAnsi="Times New Roman"/>
          <w:color w:val="000000"/>
        </w:rPr>
        <w:t>tation of Net Built-In Losses, TD 9451</w:t>
      </w:r>
      <w:r w:rsidRPr="008E1F06" w:rsidR="00B657B1">
        <w:rPr>
          <w:rFonts w:ascii="Times New Roman" w:hAnsi="Times New Roman"/>
          <w:color w:val="000000"/>
        </w:rPr>
        <w:t xml:space="preserve"> - Guidance Necessary </w:t>
      </w:r>
      <w:r w:rsidR="00AA74AB">
        <w:rPr>
          <w:rFonts w:ascii="Times New Roman" w:hAnsi="Times New Roman"/>
          <w:color w:val="000000"/>
        </w:rPr>
        <w:t>t</w:t>
      </w:r>
      <w:r w:rsidRPr="008E1F06" w:rsidR="00B657B1">
        <w:rPr>
          <w:rFonts w:ascii="Times New Roman" w:hAnsi="Times New Roman"/>
          <w:color w:val="000000"/>
        </w:rPr>
        <w:t>o Facilitate Business Election Filing; Finalization of Controlled Group Qualification Rules</w:t>
      </w:r>
      <w:r w:rsidR="00AA74AB">
        <w:rPr>
          <w:rFonts w:ascii="Times New Roman" w:hAnsi="Times New Roman"/>
          <w:color w:val="000000"/>
        </w:rPr>
        <w:t>,</w:t>
      </w:r>
      <w:r w:rsidRPr="008E1F06" w:rsidR="00B657B1">
        <w:rPr>
          <w:rFonts w:ascii="Times New Roman" w:hAnsi="Times New Roman"/>
          <w:color w:val="000000"/>
        </w:rPr>
        <w:t xml:space="preserve"> TD 9329</w:t>
      </w:r>
      <w:r w:rsidRPr="008E1F06" w:rsidR="003525A7">
        <w:rPr>
          <w:rFonts w:ascii="Times New Roman" w:hAnsi="Times New Roman"/>
          <w:color w:val="000000"/>
        </w:rPr>
        <w:t>-</w:t>
      </w:r>
      <w:r w:rsidRPr="008E1F06" w:rsidR="00BB40F6">
        <w:rPr>
          <w:rFonts w:ascii="Times New Roman" w:hAnsi="Times New Roman"/>
          <w:color w:val="000000"/>
        </w:rPr>
        <w:t xml:space="preserve"> Guidance Necessary </w:t>
      </w:r>
      <w:r w:rsidR="00AA74AB">
        <w:rPr>
          <w:rFonts w:ascii="Times New Roman" w:hAnsi="Times New Roman"/>
          <w:color w:val="000000"/>
        </w:rPr>
        <w:t>t</w:t>
      </w:r>
      <w:r w:rsidRPr="008E1F06" w:rsidR="003525A7">
        <w:rPr>
          <w:rFonts w:ascii="Times New Roman" w:hAnsi="Times New Roman"/>
          <w:color w:val="000000"/>
        </w:rPr>
        <w:t>o Facilitate Business Electronic Filing</w:t>
      </w:r>
      <w:r w:rsidR="00AA74AB">
        <w:rPr>
          <w:rFonts w:ascii="Times New Roman" w:hAnsi="Times New Roman"/>
          <w:color w:val="000000"/>
        </w:rPr>
        <w:t xml:space="preserve"> </w:t>
      </w:r>
      <w:r w:rsidRPr="008E1F06">
        <w:rPr>
          <w:rFonts w:ascii="Times New Roman" w:hAnsi="Times New Roman"/>
          <w:color w:val="000000"/>
        </w:rPr>
        <w:t>and Burden Reduction</w:t>
      </w:r>
      <w:r w:rsidR="00AA74AB">
        <w:rPr>
          <w:rFonts w:ascii="Times New Roman" w:hAnsi="Times New Roman"/>
          <w:color w:val="000000"/>
        </w:rPr>
        <w:t xml:space="preserve">, </w:t>
      </w:r>
      <w:r w:rsidR="008E33E4">
        <w:rPr>
          <w:rFonts w:ascii="Times New Roman" w:hAnsi="Times New Roman"/>
          <w:color w:val="000000"/>
        </w:rPr>
        <w:t xml:space="preserve">TD 9304- </w:t>
      </w:r>
      <w:r w:rsidRPr="002D2190" w:rsidR="008E33E4">
        <w:rPr>
          <w:rFonts w:ascii="Times New Roman" w:hAnsi="Times New Roman"/>
          <w:color w:val="000000"/>
        </w:rPr>
        <w:t xml:space="preserve">Guidance Necessary </w:t>
      </w:r>
      <w:r w:rsidR="00AA74AB">
        <w:rPr>
          <w:rFonts w:ascii="Times New Roman" w:hAnsi="Times New Roman"/>
          <w:color w:val="000000"/>
        </w:rPr>
        <w:t>t</w:t>
      </w:r>
      <w:r w:rsidRPr="002D2190" w:rsidR="008E33E4">
        <w:rPr>
          <w:rFonts w:ascii="Times New Roman" w:hAnsi="Times New Roman"/>
          <w:color w:val="000000"/>
        </w:rPr>
        <w:t>o Facilitate Business Electronic Filing</w:t>
      </w:r>
      <w:r w:rsidR="008E33E4">
        <w:rPr>
          <w:rFonts w:ascii="Times New Roman" w:hAnsi="Times New Roman"/>
          <w:color w:val="000000"/>
        </w:rPr>
        <w:t xml:space="preserve"> Under Section 1561</w:t>
      </w:r>
    </w:p>
    <w:p w:rsidRPr="008E1F06" w:rsidR="00EF5FFB" w:rsidP="008E1F06" w:rsidRDefault="00EF5FFB" w14:paraId="2AF78309" w14:textId="77777777">
      <w:pPr>
        <w:jc w:val="center"/>
        <w:rPr>
          <w:rFonts w:ascii="Times New Roman" w:hAnsi="Times New Roman"/>
          <w:color w:val="000000"/>
        </w:rPr>
      </w:pPr>
      <w:r w:rsidRPr="008E1F06">
        <w:rPr>
          <w:rFonts w:ascii="Times New Roman" w:hAnsi="Times New Roman"/>
          <w:color w:val="000000"/>
        </w:rPr>
        <w:t>OMB Control Number 1545-2019</w:t>
      </w:r>
    </w:p>
    <w:p w:rsidR="00EF5FFB" w:rsidP="008E1F06" w:rsidRDefault="00EF5FFB" w14:paraId="746ABE6B" w14:textId="77777777">
      <w:pPr>
        <w:jc w:val="center"/>
        <w:rPr>
          <w:rFonts w:ascii="Times New Roman" w:hAnsi="Times New Roman"/>
          <w:color w:val="000000"/>
        </w:rPr>
      </w:pPr>
    </w:p>
    <w:p w:rsidRPr="00432297" w:rsidR="00EF5FFB" w:rsidP="008E1F06" w:rsidRDefault="00EF5FFB" w14:paraId="3E17FA05" w14:textId="77777777">
      <w:pPr>
        <w:jc w:val="center"/>
        <w:rPr>
          <w:rFonts w:ascii="Times New Roman" w:hAnsi="Times New Roman"/>
        </w:rPr>
      </w:pPr>
    </w:p>
    <w:p w:rsidRPr="00432297" w:rsidR="000B1374" w:rsidP="000B1374" w:rsidRDefault="000B1374" w14:paraId="38DF6211" w14:textId="77777777">
      <w:pPr>
        <w:autoSpaceDE w:val="0"/>
        <w:autoSpaceDN w:val="0"/>
        <w:adjustRightInd w:val="0"/>
        <w:rPr>
          <w:rFonts w:ascii="Times New Roman" w:hAnsi="Times New Roman"/>
        </w:rPr>
      </w:pPr>
      <w:r w:rsidRPr="00432297">
        <w:rPr>
          <w:rFonts w:ascii="Times New Roman" w:hAnsi="Times New Roman"/>
        </w:rPr>
        <w:t xml:space="preserve">1. </w:t>
      </w:r>
      <w:r w:rsidRPr="00432297">
        <w:rPr>
          <w:rFonts w:ascii="Times New Roman" w:hAnsi="Times New Roman"/>
          <w:u w:val="single"/>
        </w:rPr>
        <w:t>CIRCUMSTANCES NECESSITATING COLLECTION OF INFORMATION</w:t>
      </w:r>
    </w:p>
    <w:p w:rsidRPr="00432297" w:rsidR="000B1374" w:rsidP="000B1374" w:rsidRDefault="000B1374" w14:paraId="6CC1EE41" w14:textId="77777777">
      <w:pPr>
        <w:autoSpaceDE w:val="0"/>
        <w:autoSpaceDN w:val="0"/>
        <w:adjustRightInd w:val="0"/>
        <w:rPr>
          <w:rFonts w:ascii="Times New Roman" w:hAnsi="Times New Roman"/>
        </w:rPr>
      </w:pPr>
    </w:p>
    <w:p w:rsidR="00A9410F" w:rsidP="00061039" w:rsidRDefault="00A9410F" w14:paraId="66DE29C6" w14:textId="484B3C71">
      <w:pPr>
        <w:autoSpaceDE w:val="0"/>
        <w:autoSpaceDN w:val="0"/>
        <w:adjustRightInd w:val="0"/>
        <w:rPr>
          <w:rFonts w:ascii="Times New Roman" w:hAnsi="Times New Roman"/>
        </w:rPr>
      </w:pPr>
      <w:r w:rsidRPr="00432297">
        <w:rPr>
          <w:rFonts w:ascii="Times New Roman" w:hAnsi="Times New Roman"/>
        </w:rPr>
        <w:t>Many Federal income tax regulations require taxpayers to attach a statement on or with their Federal income tax return</w:t>
      </w:r>
      <w:r w:rsidRPr="00432297" w:rsidR="00AC699D">
        <w:rPr>
          <w:rFonts w:ascii="Times New Roman" w:hAnsi="Times New Roman"/>
        </w:rPr>
        <w:t>s</w:t>
      </w:r>
      <w:r w:rsidRPr="00432297">
        <w:rPr>
          <w:rFonts w:ascii="Times New Roman" w:hAnsi="Times New Roman"/>
        </w:rPr>
        <w:t xml:space="preserve"> in order to make an election, or claim the treatment, allowed by that regulation.  Some of these regulations further require taxpayers to sign that statement and, in some cases, also require a third party to sign that statement.  This signature requir</w:t>
      </w:r>
      <w:r w:rsidRPr="00432297" w:rsidR="00AC699D">
        <w:rPr>
          <w:rFonts w:ascii="Times New Roman" w:hAnsi="Times New Roman"/>
        </w:rPr>
        <w:t>ement presents an impediment to taxpayers e-filing these returns.  Starting in 2006, large corporations (as defined by the program) are required to e-file their returns.  To eliminate</w:t>
      </w:r>
      <w:r w:rsidRPr="00432297" w:rsidR="001A2C27">
        <w:rPr>
          <w:rFonts w:ascii="Times New Roman" w:hAnsi="Times New Roman"/>
        </w:rPr>
        <w:t xml:space="preserve"> this impediment in</w:t>
      </w:r>
      <w:r w:rsidRPr="00432297" w:rsidR="00AC699D">
        <w:rPr>
          <w:rFonts w:ascii="Times New Roman" w:hAnsi="Times New Roman"/>
        </w:rPr>
        <w:t xml:space="preserve"> these </w:t>
      </w:r>
      <w:r w:rsidRPr="00432297" w:rsidR="001A2C27">
        <w:rPr>
          <w:rFonts w:ascii="Times New Roman" w:hAnsi="Times New Roman"/>
        </w:rPr>
        <w:t>regulations</w:t>
      </w:r>
      <w:r w:rsidRPr="00432297" w:rsidR="00AC699D">
        <w:rPr>
          <w:rFonts w:ascii="Times New Roman" w:hAnsi="Times New Roman"/>
        </w:rPr>
        <w:t>, the Treasury Department publish</w:t>
      </w:r>
      <w:r w:rsidR="00114250">
        <w:rPr>
          <w:rFonts w:ascii="Times New Roman" w:hAnsi="Times New Roman"/>
        </w:rPr>
        <w:t>ed</w:t>
      </w:r>
      <w:r w:rsidRPr="00432297" w:rsidR="00AC699D">
        <w:rPr>
          <w:rFonts w:ascii="Times New Roman" w:hAnsi="Times New Roman"/>
        </w:rPr>
        <w:t xml:space="preserve"> temporary regulations </w:t>
      </w:r>
      <w:r w:rsidRPr="00432297" w:rsidR="00F61732">
        <w:rPr>
          <w:rFonts w:ascii="Times New Roman" w:hAnsi="Times New Roman"/>
        </w:rPr>
        <w:t xml:space="preserve">to amend these regulations by </w:t>
      </w:r>
      <w:r w:rsidRPr="00432297" w:rsidR="00AC699D">
        <w:rPr>
          <w:rFonts w:ascii="Times New Roman" w:hAnsi="Times New Roman"/>
        </w:rPr>
        <w:t>eliminating this signature requirement</w:t>
      </w:r>
      <w:r w:rsidR="00981C33">
        <w:rPr>
          <w:rFonts w:ascii="Times New Roman" w:hAnsi="Times New Roman"/>
        </w:rPr>
        <w:t xml:space="preserve"> pursuant 26 USC 7805</w:t>
      </w:r>
      <w:r w:rsidRPr="00432297" w:rsidR="00AC699D">
        <w:rPr>
          <w:rFonts w:ascii="Times New Roman" w:hAnsi="Times New Roman"/>
        </w:rPr>
        <w:t>.</w:t>
      </w:r>
    </w:p>
    <w:p w:rsidR="00862073" w:rsidP="00061039" w:rsidRDefault="00862073" w14:paraId="73F57C00" w14:textId="77777777">
      <w:pPr>
        <w:autoSpaceDE w:val="0"/>
        <w:autoSpaceDN w:val="0"/>
        <w:adjustRightInd w:val="0"/>
        <w:rPr>
          <w:rFonts w:ascii="Times New Roman" w:hAnsi="Times New Roman"/>
        </w:rPr>
      </w:pPr>
    </w:p>
    <w:p w:rsidR="00E30517" w:rsidP="00E30517" w:rsidRDefault="00E30517" w14:paraId="2BA2FB7F" w14:textId="77777777">
      <w:pPr>
        <w:autoSpaceDE w:val="0"/>
        <w:autoSpaceDN w:val="0"/>
        <w:adjustRightInd w:val="0"/>
        <w:rPr>
          <w:rFonts w:ascii="Times New Roman" w:hAnsi="Times New Roman" w:eastAsia="Arial Unicode MS"/>
          <w:color w:val="000000"/>
        </w:rPr>
      </w:pPr>
      <w:r w:rsidRPr="00473AE8">
        <w:rPr>
          <w:rFonts w:ascii="Times New Roman" w:hAnsi="Times New Roman"/>
        </w:rPr>
        <w:t>Treasury decision 9329</w:t>
      </w:r>
      <w:r>
        <w:rPr>
          <w:rFonts w:ascii="Times New Roman" w:hAnsi="Times New Roman"/>
        </w:rPr>
        <w:t xml:space="preserve"> contains final regulations under sections 302, 331, 332, 338, 351, 355, 368, 381, 382, 1081, 1221, 1502, 1563 and 6012 that affect taxpayers filing Federal income tax          returns. The</w:t>
      </w:r>
      <w:r w:rsidR="008105E6">
        <w:rPr>
          <w:rFonts w:ascii="Times New Roman" w:hAnsi="Times New Roman"/>
        </w:rPr>
        <w:t>se regulations</w:t>
      </w:r>
      <w:r>
        <w:rPr>
          <w:rFonts w:ascii="Times New Roman" w:hAnsi="Times New Roman"/>
        </w:rPr>
        <w:t xml:space="preserve"> </w:t>
      </w:r>
      <w:r w:rsidRPr="00473AE8">
        <w:rPr>
          <w:rFonts w:ascii="Times New Roman" w:hAnsi="Times New Roman" w:eastAsia="Arial Unicode MS"/>
          <w:color w:val="000000"/>
        </w:rPr>
        <w:t>simplify, clarify, or eliminate reporting burdens and</w:t>
      </w:r>
      <w:r>
        <w:rPr>
          <w:rFonts w:ascii="Times New Roman" w:hAnsi="Times New Roman" w:eastAsia="Arial Unicode MS"/>
          <w:color w:val="000000"/>
        </w:rPr>
        <w:t xml:space="preserve"> </w:t>
      </w:r>
      <w:r w:rsidRPr="00473AE8">
        <w:rPr>
          <w:rFonts w:ascii="Times New Roman" w:hAnsi="Times New Roman" w:eastAsia="Arial Unicode MS"/>
          <w:color w:val="000000"/>
        </w:rPr>
        <w:t>also eliminate regulatory</w:t>
      </w:r>
      <w:r>
        <w:rPr>
          <w:rFonts w:ascii="Times New Roman" w:hAnsi="Times New Roman" w:eastAsia="Arial Unicode MS"/>
          <w:color w:val="000000"/>
        </w:rPr>
        <w:t xml:space="preserve"> </w:t>
      </w:r>
      <w:r w:rsidRPr="00473AE8">
        <w:rPr>
          <w:rFonts w:ascii="Times New Roman" w:hAnsi="Times New Roman" w:eastAsia="Arial Unicode MS"/>
          <w:color w:val="000000"/>
        </w:rPr>
        <w:t xml:space="preserve">impediments to the electronic filing of certain statements that taxpayers are required to include on or with their </w:t>
      </w:r>
      <w:proofErr w:type="gramStart"/>
      <w:r w:rsidRPr="00473AE8">
        <w:rPr>
          <w:rFonts w:ascii="Times New Roman" w:hAnsi="Times New Roman" w:eastAsia="Arial Unicode MS"/>
          <w:color w:val="000000"/>
        </w:rPr>
        <w:t>Federal</w:t>
      </w:r>
      <w:proofErr w:type="gramEnd"/>
      <w:r w:rsidRPr="00473AE8">
        <w:rPr>
          <w:rFonts w:ascii="Times New Roman" w:hAnsi="Times New Roman" w:eastAsia="Arial Unicode MS"/>
          <w:color w:val="000000"/>
        </w:rPr>
        <w:t xml:space="preserve"> income tax returns.</w:t>
      </w:r>
    </w:p>
    <w:p w:rsidR="00E30517" w:rsidP="00061039" w:rsidRDefault="00E30517" w14:paraId="2696F567" w14:textId="77777777">
      <w:pPr>
        <w:autoSpaceDE w:val="0"/>
        <w:autoSpaceDN w:val="0"/>
        <w:adjustRightInd w:val="0"/>
        <w:rPr>
          <w:rFonts w:ascii="Times New Roman" w:hAnsi="Times New Roman"/>
        </w:rPr>
      </w:pPr>
    </w:p>
    <w:p w:rsidR="00EF7C75" w:rsidP="00862073" w:rsidRDefault="00FC6F4D" w14:paraId="08514816" w14:textId="77777777">
      <w:pPr>
        <w:autoSpaceDE w:val="0"/>
        <w:autoSpaceDN w:val="0"/>
        <w:adjustRightInd w:val="0"/>
        <w:rPr>
          <w:rFonts w:ascii="Times New Roman" w:hAnsi="Times New Roman"/>
        </w:rPr>
      </w:pPr>
      <w:r w:rsidRPr="00432297">
        <w:rPr>
          <w:rFonts w:ascii="Times New Roman" w:hAnsi="Times New Roman"/>
        </w:rPr>
        <w:t xml:space="preserve">Treasury decision 9304 </w:t>
      </w:r>
      <w:r>
        <w:rPr>
          <w:rFonts w:ascii="Times New Roman" w:hAnsi="Times New Roman"/>
        </w:rPr>
        <w:t>contains</w:t>
      </w:r>
      <w:r>
        <w:rPr>
          <w:rFonts w:ascii="Times New Roman" w:hAnsi="Times New Roman" w:eastAsia="Arial Unicode MS"/>
          <w:color w:val="000000"/>
        </w:rPr>
        <w:t xml:space="preserve"> </w:t>
      </w:r>
      <w:r w:rsidRPr="007B48E3">
        <w:rPr>
          <w:rFonts w:ascii="Times New Roman" w:hAnsi="Times New Roman" w:eastAsia="Arial Unicode MS"/>
          <w:color w:val="000000"/>
        </w:rPr>
        <w:t xml:space="preserve">temporary regulations </w:t>
      </w:r>
      <w:r>
        <w:rPr>
          <w:rFonts w:ascii="Times New Roman" w:hAnsi="Times New Roman" w:eastAsia="Arial Unicode MS"/>
          <w:color w:val="000000"/>
        </w:rPr>
        <w:t>that</w:t>
      </w:r>
      <w:r w:rsidRPr="007B48E3">
        <w:rPr>
          <w:rFonts w:ascii="Times New Roman" w:hAnsi="Times New Roman" w:eastAsia="Arial Unicode MS"/>
          <w:color w:val="000000"/>
        </w:rPr>
        <w:t xml:space="preserve"> provide </w:t>
      </w:r>
      <w:r>
        <w:rPr>
          <w:rFonts w:ascii="Times New Roman" w:hAnsi="Times New Roman" w:eastAsia="Arial Unicode MS"/>
          <w:color w:val="000000"/>
        </w:rPr>
        <w:t xml:space="preserve">guidance to </w:t>
      </w:r>
      <w:r w:rsidRPr="007B48E3">
        <w:rPr>
          <w:rFonts w:ascii="Times New Roman" w:hAnsi="Times New Roman" w:eastAsia="Arial Unicode MS"/>
          <w:color w:val="000000"/>
        </w:rPr>
        <w:t>component members of a controlled group</w:t>
      </w:r>
      <w:r w:rsidR="00000B01">
        <w:rPr>
          <w:rFonts w:ascii="Times New Roman" w:hAnsi="Times New Roman" w:eastAsia="Arial Unicode MS"/>
          <w:color w:val="000000"/>
        </w:rPr>
        <w:t xml:space="preserve"> of corporations</w:t>
      </w:r>
      <w:r>
        <w:rPr>
          <w:rFonts w:ascii="Times New Roman" w:hAnsi="Times New Roman" w:eastAsia="Arial Unicode MS"/>
          <w:color w:val="000000"/>
        </w:rPr>
        <w:t xml:space="preserve"> </w:t>
      </w:r>
      <w:r w:rsidR="00E64DA9">
        <w:rPr>
          <w:rFonts w:ascii="Times New Roman" w:hAnsi="Times New Roman" w:eastAsia="Arial Unicode MS"/>
          <w:color w:val="000000"/>
        </w:rPr>
        <w:t xml:space="preserve">(see section 1563) </w:t>
      </w:r>
      <w:r w:rsidRPr="00D44FFA">
        <w:rPr>
          <w:rFonts w:ascii="Times New Roman" w:hAnsi="Times New Roman"/>
        </w:rPr>
        <w:t xml:space="preserve">regarding the apportionment of tax benefit items </w:t>
      </w:r>
      <w:r w:rsidR="00C22C48">
        <w:rPr>
          <w:rFonts w:ascii="Times New Roman" w:hAnsi="Times New Roman"/>
        </w:rPr>
        <w:t xml:space="preserve">under </w:t>
      </w:r>
      <w:r w:rsidRPr="006C5DCC" w:rsidR="00C22C48">
        <w:rPr>
          <w:rFonts w:ascii="Times New Roman" w:hAnsi="Times New Roman"/>
        </w:rPr>
        <w:t>section 1561</w:t>
      </w:r>
      <w:r w:rsidR="00C22C48">
        <w:rPr>
          <w:rFonts w:ascii="Times New Roman" w:hAnsi="Times New Roman"/>
        </w:rPr>
        <w:t xml:space="preserve">(a) </w:t>
      </w:r>
      <w:r w:rsidRPr="00D44FFA">
        <w:rPr>
          <w:rFonts w:ascii="Times New Roman" w:hAnsi="Times New Roman"/>
        </w:rPr>
        <w:t>and the amount and type of information these members are required to submit with their returns</w:t>
      </w:r>
      <w:r>
        <w:rPr>
          <w:rFonts w:ascii="Times New Roman" w:hAnsi="Times New Roman" w:eastAsia="Arial Unicode MS"/>
          <w:color w:val="000000"/>
        </w:rPr>
        <w:t>.</w:t>
      </w:r>
      <w:r w:rsidRPr="007B48E3">
        <w:rPr>
          <w:rFonts w:ascii="Times New Roman" w:hAnsi="Times New Roman"/>
        </w:rPr>
        <w:t xml:space="preserve"> </w:t>
      </w:r>
      <w:r w:rsidR="00C0118F">
        <w:rPr>
          <w:rFonts w:ascii="Times New Roman" w:hAnsi="Times New Roman"/>
        </w:rPr>
        <w:t xml:space="preserve">Treasury decision 9476 finalized </w:t>
      </w:r>
      <w:r>
        <w:rPr>
          <w:rFonts w:ascii="Times New Roman" w:hAnsi="Times New Roman"/>
        </w:rPr>
        <w:t>these</w:t>
      </w:r>
      <w:r w:rsidR="00C0118F">
        <w:rPr>
          <w:rFonts w:ascii="Times New Roman" w:hAnsi="Times New Roman"/>
        </w:rPr>
        <w:t xml:space="preserve"> rule</w:t>
      </w:r>
      <w:r>
        <w:rPr>
          <w:rFonts w:ascii="Times New Roman" w:hAnsi="Times New Roman"/>
        </w:rPr>
        <w:t>s</w:t>
      </w:r>
      <w:r w:rsidR="00C0118F">
        <w:rPr>
          <w:rFonts w:ascii="Times New Roman" w:hAnsi="Times New Roman"/>
        </w:rPr>
        <w:t>.</w:t>
      </w:r>
    </w:p>
    <w:p w:rsidR="00122FA4" w:rsidP="00862073" w:rsidRDefault="00122FA4" w14:paraId="31473B66" w14:textId="77777777">
      <w:pPr>
        <w:autoSpaceDE w:val="0"/>
        <w:autoSpaceDN w:val="0"/>
        <w:adjustRightInd w:val="0"/>
        <w:rPr>
          <w:rFonts w:ascii="Times New Roman" w:hAnsi="Times New Roman" w:eastAsia="Arial Unicode MS"/>
          <w:color w:val="000000"/>
        </w:rPr>
      </w:pPr>
    </w:p>
    <w:p w:rsidRPr="00EF7C75" w:rsidR="00862073" w:rsidP="00862073" w:rsidRDefault="00AF2770" w14:paraId="14BE95DE" w14:textId="77777777">
      <w:pPr>
        <w:autoSpaceDE w:val="0"/>
        <w:autoSpaceDN w:val="0"/>
        <w:adjustRightInd w:val="0"/>
        <w:rPr>
          <w:rFonts w:ascii="Times New Roman" w:hAnsi="Times New Roman"/>
        </w:rPr>
      </w:pPr>
      <w:r>
        <w:rPr>
          <w:rFonts w:ascii="Times New Roman" w:hAnsi="Times New Roman"/>
        </w:rPr>
        <w:t>Treasury decision 9451 contains final regulation</w:t>
      </w:r>
      <w:r w:rsidR="005122A7">
        <w:rPr>
          <w:rFonts w:ascii="Times New Roman" w:hAnsi="Times New Roman"/>
        </w:rPr>
        <w:t>s</w:t>
      </w:r>
      <w:r>
        <w:rPr>
          <w:rFonts w:ascii="Times New Roman" w:hAnsi="Times New Roman"/>
        </w:rPr>
        <w:t xml:space="preserve"> that provide guidance to taxpayers for determining which corporations are </w:t>
      </w:r>
      <w:r w:rsidRPr="00EF7C75">
        <w:rPr>
          <w:rFonts w:ascii="Times New Roman" w:hAnsi="Times New Roman" w:eastAsia="Arial Unicode MS"/>
          <w:color w:val="000000"/>
        </w:rPr>
        <w:t xml:space="preserve">included in a controlled group of corporations. </w:t>
      </w:r>
      <w:r w:rsidRPr="00EF7C75" w:rsidR="00EF7C75">
        <w:rPr>
          <w:rFonts w:ascii="Times New Roman" w:hAnsi="Times New Roman" w:eastAsia="Arial Unicode MS"/>
          <w:color w:val="000000"/>
        </w:rPr>
        <w:t>The collection of information is in § 1.1563-1(c)(2). The information is required if a taxpayer or taxpayers could be a member of more than one brother-sister controlled group and elect</w:t>
      </w:r>
      <w:r w:rsidR="0082288F">
        <w:rPr>
          <w:rFonts w:ascii="Times New Roman" w:hAnsi="Times New Roman" w:eastAsia="Arial Unicode MS"/>
          <w:color w:val="000000"/>
        </w:rPr>
        <w:t>s</w:t>
      </w:r>
      <w:r w:rsidRPr="00EF7C75" w:rsidR="00EF7C75">
        <w:rPr>
          <w:rFonts w:ascii="Times New Roman" w:hAnsi="Times New Roman" w:eastAsia="Arial Unicode MS"/>
          <w:color w:val="000000"/>
        </w:rPr>
        <w:t xml:space="preserve"> </w:t>
      </w:r>
      <w:r w:rsidR="00C02EAD">
        <w:rPr>
          <w:rFonts w:ascii="Times New Roman" w:hAnsi="Times New Roman" w:eastAsia="Arial Unicode MS"/>
          <w:color w:val="000000"/>
        </w:rPr>
        <w:t xml:space="preserve">the </w:t>
      </w:r>
      <w:r w:rsidRPr="00EF7C75" w:rsidR="00EF7C75">
        <w:rPr>
          <w:rFonts w:ascii="Times New Roman" w:hAnsi="Times New Roman" w:eastAsia="Arial Unicode MS"/>
          <w:color w:val="000000"/>
        </w:rPr>
        <w:t xml:space="preserve">group </w:t>
      </w:r>
      <w:r w:rsidR="00C02EAD">
        <w:rPr>
          <w:rFonts w:ascii="Times New Roman" w:hAnsi="Times New Roman" w:eastAsia="Arial Unicode MS"/>
          <w:color w:val="000000"/>
        </w:rPr>
        <w:t>in which it is to be included</w:t>
      </w:r>
      <w:r w:rsidRPr="00EF7C75" w:rsidR="00EF7C75">
        <w:rPr>
          <w:rFonts w:ascii="Times New Roman" w:hAnsi="Times New Roman" w:eastAsia="Arial Unicode MS"/>
          <w:color w:val="000000"/>
        </w:rPr>
        <w:t>.</w:t>
      </w:r>
      <w:r w:rsidR="0082288F">
        <w:rPr>
          <w:rFonts w:ascii="Times New Roman" w:hAnsi="Times New Roman" w:eastAsia="Arial Unicode MS"/>
          <w:color w:val="000000"/>
        </w:rPr>
        <w:t xml:space="preserve">  If no election is filed</w:t>
      </w:r>
      <w:r w:rsidRPr="00EF7C75" w:rsidR="00EF7C75">
        <w:rPr>
          <w:rFonts w:ascii="Times New Roman" w:hAnsi="Times New Roman" w:eastAsia="Arial Unicode MS"/>
          <w:color w:val="000000"/>
        </w:rPr>
        <w:t xml:space="preserve">, the IRS </w:t>
      </w:r>
      <w:r w:rsidR="00C02EAD">
        <w:rPr>
          <w:rFonts w:ascii="Times New Roman" w:hAnsi="Times New Roman" w:eastAsia="Arial Unicode MS"/>
          <w:color w:val="000000"/>
        </w:rPr>
        <w:t>will</w:t>
      </w:r>
      <w:r w:rsidRPr="00EF7C75" w:rsidR="00C02EAD">
        <w:rPr>
          <w:rFonts w:ascii="Times New Roman" w:hAnsi="Times New Roman" w:eastAsia="Arial Unicode MS"/>
          <w:color w:val="000000"/>
        </w:rPr>
        <w:t xml:space="preserve"> </w:t>
      </w:r>
      <w:r w:rsidRPr="00EF7C75" w:rsidR="00EF7C75">
        <w:rPr>
          <w:rFonts w:ascii="Times New Roman" w:hAnsi="Times New Roman" w:eastAsia="Arial Unicode MS"/>
          <w:color w:val="000000"/>
        </w:rPr>
        <w:t>designate a group.</w:t>
      </w:r>
    </w:p>
    <w:p w:rsidR="005D5D61" w:rsidP="00061039" w:rsidRDefault="005D5D61" w14:paraId="6E882902" w14:textId="77777777">
      <w:pPr>
        <w:autoSpaceDE w:val="0"/>
        <w:autoSpaceDN w:val="0"/>
        <w:adjustRightInd w:val="0"/>
        <w:rPr>
          <w:rFonts w:ascii="Times New Roman" w:hAnsi="Times New Roman"/>
        </w:rPr>
      </w:pPr>
    </w:p>
    <w:p w:rsidRPr="005B4454" w:rsidR="005D5D61" w:rsidP="005660AC" w:rsidRDefault="005D5D61" w14:paraId="789A16E0" w14:textId="77777777">
      <w:pPr>
        <w:autoSpaceDE w:val="0"/>
        <w:autoSpaceDN w:val="0"/>
        <w:adjustRightInd w:val="0"/>
        <w:rPr>
          <w:rFonts w:ascii="Times New Roman" w:hAnsi="Times New Roman"/>
        </w:rPr>
      </w:pPr>
      <w:r w:rsidRPr="005B4454">
        <w:rPr>
          <w:rFonts w:ascii="Times New Roman" w:hAnsi="Times New Roman"/>
        </w:rPr>
        <w:t>Final</w:t>
      </w:r>
      <w:r w:rsidRPr="005B4454">
        <w:rPr>
          <w:rFonts w:ascii="Times New Roman" w:hAnsi="Times New Roman"/>
          <w:bCs/>
        </w:rPr>
        <w:t xml:space="preserve"> regulations</w:t>
      </w:r>
      <w:r w:rsidRPr="005B4454">
        <w:rPr>
          <w:rFonts w:ascii="Times New Roman" w:hAnsi="Times New Roman"/>
        </w:rPr>
        <w:t xml:space="preserve"> published in Treasury decision 9759 contain collection of information requirements in </w:t>
      </w:r>
      <w:r w:rsidRPr="005B4454">
        <w:rPr>
          <w:rFonts w:ascii="Times New Roman" w:hAnsi="Times New Roman"/>
          <w:bCs/>
        </w:rPr>
        <w:t xml:space="preserve">§§1.332-6, 1.351-3, and 1.368-3. </w:t>
      </w:r>
      <w:r w:rsidRPr="005B4454">
        <w:rPr>
          <w:rFonts w:ascii="Times New Roman" w:hAnsi="Times New Roman"/>
        </w:rPr>
        <w:t xml:space="preserve"> </w:t>
      </w:r>
      <w:r w:rsidRPr="005B4454">
        <w:rPr>
          <w:rFonts w:ascii="Times New Roman" w:hAnsi="Times New Roman"/>
          <w:color w:val="000000"/>
        </w:rPr>
        <w:t>This information is required to determine the extent to which a tax-free transfer of property could be subject to the special basis rules in either section 362(e)(1) or section 362(e)(2).  The data will be used by the Internal Revenue Service to ensure that taxpayers are preparing their returns in accordance with the statutory requirements. The collection of information is required to prevent the importation of loss into the US tax system and the duplication of loss within the US tax system. The respondents are corporations and their shareholders.</w:t>
      </w:r>
    </w:p>
    <w:p w:rsidRPr="00432297" w:rsidR="000B1374" w:rsidP="000B1374" w:rsidRDefault="000B1374" w14:paraId="4A6C97F8" w14:textId="77777777">
      <w:pPr>
        <w:autoSpaceDE w:val="0"/>
        <w:autoSpaceDN w:val="0"/>
        <w:adjustRightInd w:val="0"/>
        <w:rPr>
          <w:rFonts w:ascii="Times New Roman" w:hAnsi="Times New Roman"/>
        </w:rPr>
      </w:pPr>
    </w:p>
    <w:p w:rsidRPr="00432297" w:rsidR="000B1374" w:rsidP="000B1374" w:rsidRDefault="000B1374" w14:paraId="430EE407" w14:textId="77777777">
      <w:pPr>
        <w:autoSpaceDE w:val="0"/>
        <w:autoSpaceDN w:val="0"/>
        <w:adjustRightInd w:val="0"/>
        <w:rPr>
          <w:rFonts w:ascii="Times New Roman" w:hAnsi="Times New Roman"/>
        </w:rPr>
      </w:pPr>
      <w:r w:rsidRPr="00432297">
        <w:rPr>
          <w:rFonts w:ascii="Times New Roman" w:hAnsi="Times New Roman"/>
        </w:rPr>
        <w:lastRenderedPageBreak/>
        <w:t xml:space="preserve">2. </w:t>
      </w:r>
      <w:r w:rsidRPr="00432297">
        <w:rPr>
          <w:rFonts w:ascii="Times New Roman" w:hAnsi="Times New Roman"/>
          <w:u w:val="single"/>
        </w:rPr>
        <w:t>USE OF DATA</w:t>
      </w:r>
    </w:p>
    <w:p w:rsidRPr="00432297" w:rsidR="000B1374" w:rsidP="000B1374" w:rsidRDefault="000B1374" w14:paraId="2D4EBFB4" w14:textId="77777777">
      <w:pPr>
        <w:autoSpaceDE w:val="0"/>
        <w:autoSpaceDN w:val="0"/>
        <w:adjustRightInd w:val="0"/>
        <w:rPr>
          <w:rFonts w:ascii="Times New Roman" w:hAnsi="Times New Roman"/>
        </w:rPr>
      </w:pPr>
    </w:p>
    <w:p w:rsidRPr="00394BAB" w:rsidR="00BF1005" w:rsidP="00394BAB" w:rsidRDefault="00BF1005" w14:paraId="411D2A17" w14:textId="77777777">
      <w:pPr>
        <w:rPr>
          <w:rFonts w:ascii="Times New Roman" w:hAnsi="Times New Roman"/>
          <w:color w:val="000000"/>
        </w:rPr>
      </w:pPr>
      <w:r w:rsidRPr="00394BAB">
        <w:rPr>
          <w:rFonts w:ascii="Times New Roman" w:hAnsi="Times New Roman"/>
          <w:color w:val="000000"/>
        </w:rPr>
        <w:t>TD 9304 provide</w:t>
      </w:r>
      <w:r w:rsidR="001A7005">
        <w:rPr>
          <w:rFonts w:ascii="Times New Roman" w:hAnsi="Times New Roman"/>
          <w:color w:val="000000"/>
        </w:rPr>
        <w:t>s</w:t>
      </w:r>
      <w:r w:rsidRPr="00394BAB">
        <w:rPr>
          <w:rFonts w:ascii="Times New Roman" w:hAnsi="Times New Roman"/>
          <w:color w:val="000000"/>
        </w:rPr>
        <w:t xml:space="preserve"> guidance to taxpayers regarding the </w:t>
      </w:r>
      <w:r w:rsidR="00E64DA9">
        <w:rPr>
          <w:rFonts w:ascii="Times New Roman" w:hAnsi="Times New Roman"/>
          <w:color w:val="000000"/>
        </w:rPr>
        <w:t>apportionment</w:t>
      </w:r>
      <w:r w:rsidRPr="00394BAB">
        <w:rPr>
          <w:rFonts w:ascii="Times New Roman" w:hAnsi="Times New Roman"/>
          <w:color w:val="000000"/>
        </w:rPr>
        <w:t xml:space="preserve"> of tax benefit items under section 1561(a) amongst the component members of a controlled group of corporations. TD 9329 contains final regulations that simplify, clarify, or eliminate reporting burdens and also eliminate regulatory impediments to the electronic filing of certain statements that taxpayers are required to include on or with their </w:t>
      </w:r>
      <w:proofErr w:type="gramStart"/>
      <w:r w:rsidRPr="00394BAB">
        <w:rPr>
          <w:rFonts w:ascii="Times New Roman" w:hAnsi="Times New Roman"/>
          <w:color w:val="000000"/>
        </w:rPr>
        <w:t>Federal</w:t>
      </w:r>
      <w:proofErr w:type="gramEnd"/>
      <w:r w:rsidRPr="00394BAB">
        <w:rPr>
          <w:rFonts w:ascii="Times New Roman" w:hAnsi="Times New Roman"/>
          <w:color w:val="000000"/>
        </w:rPr>
        <w:t xml:space="preserve"> income tax returns. TD 9451 provides guidance to taxpayers for determining which corporations are included in a controlled group of corporations. TD 9759 provide</w:t>
      </w:r>
      <w:r w:rsidR="00D11825">
        <w:rPr>
          <w:rFonts w:ascii="Times New Roman" w:hAnsi="Times New Roman"/>
          <w:color w:val="000000"/>
        </w:rPr>
        <w:t>s</w:t>
      </w:r>
      <w:r w:rsidRPr="00394BAB">
        <w:rPr>
          <w:rFonts w:ascii="Times New Roman" w:hAnsi="Times New Roman"/>
          <w:color w:val="000000"/>
        </w:rPr>
        <w:t xml:space="preserve"> guidance for preventing the importation of loss when a corporation that is subject to U.S. income tax acquires loss property tax-free in certain transactions and the loss in the acquired property accrued outside the U.S. tax system by requiring the bases of the assets received to be equal to value.</w:t>
      </w:r>
    </w:p>
    <w:p w:rsidRPr="00BF1005" w:rsidR="00A9410F" w:rsidP="00A9410F" w:rsidRDefault="00A9410F" w14:paraId="16E49C0F" w14:textId="77777777">
      <w:pPr>
        <w:rPr>
          <w:rFonts w:ascii="Times New Roman" w:hAnsi="Times New Roman"/>
          <w:bCs/>
        </w:rPr>
      </w:pPr>
    </w:p>
    <w:p w:rsidRPr="00432297" w:rsidR="000B1374" w:rsidP="000B1374" w:rsidRDefault="000B1374" w14:paraId="5B43ADE9" w14:textId="77777777">
      <w:pPr>
        <w:autoSpaceDE w:val="0"/>
        <w:autoSpaceDN w:val="0"/>
        <w:adjustRightInd w:val="0"/>
        <w:rPr>
          <w:rFonts w:ascii="Times New Roman" w:hAnsi="Times New Roman"/>
        </w:rPr>
      </w:pPr>
      <w:r w:rsidRPr="00432297">
        <w:rPr>
          <w:rFonts w:ascii="Times New Roman" w:hAnsi="Times New Roman"/>
        </w:rPr>
        <w:t xml:space="preserve">3. </w:t>
      </w:r>
      <w:r w:rsidRPr="00432297">
        <w:rPr>
          <w:rFonts w:ascii="Times New Roman" w:hAnsi="Times New Roman"/>
          <w:u w:val="single"/>
        </w:rPr>
        <w:t>USE OF IMPROVED INFORMATION TECHNOLOGY TO REDUCE BURDEN</w:t>
      </w:r>
    </w:p>
    <w:p w:rsidRPr="00432297" w:rsidR="002319F5" w:rsidP="000B1374" w:rsidRDefault="002319F5" w14:paraId="4E73A1E7" w14:textId="77777777">
      <w:pPr>
        <w:autoSpaceDE w:val="0"/>
        <w:autoSpaceDN w:val="0"/>
        <w:adjustRightInd w:val="0"/>
        <w:rPr>
          <w:rFonts w:ascii="Times New Roman" w:hAnsi="Times New Roman"/>
        </w:rPr>
      </w:pPr>
    </w:p>
    <w:p w:rsidRPr="00432297" w:rsidR="00A9410F" w:rsidP="00A9410F" w:rsidRDefault="00DD2F22" w14:paraId="45170817" w14:textId="77777777">
      <w:pPr>
        <w:rPr>
          <w:rFonts w:ascii="Times New Roman" w:hAnsi="Times New Roman"/>
          <w:bCs/>
        </w:rPr>
      </w:pPr>
      <w:r w:rsidRPr="00432297">
        <w:rPr>
          <w:rFonts w:ascii="Times New Roman" w:hAnsi="Times New Roman"/>
          <w:bCs/>
        </w:rPr>
        <w:t xml:space="preserve">Because the </w:t>
      </w:r>
      <w:r w:rsidR="001355F0">
        <w:rPr>
          <w:rFonts w:ascii="Times New Roman" w:hAnsi="Times New Roman"/>
          <w:bCs/>
        </w:rPr>
        <w:t xml:space="preserve">final </w:t>
      </w:r>
      <w:r w:rsidRPr="00432297">
        <w:rPr>
          <w:rFonts w:ascii="Times New Roman" w:hAnsi="Times New Roman"/>
          <w:bCs/>
        </w:rPr>
        <w:t>regulations</w:t>
      </w:r>
      <w:r w:rsidR="001355F0">
        <w:rPr>
          <w:rFonts w:ascii="Times New Roman" w:hAnsi="Times New Roman"/>
          <w:bCs/>
        </w:rPr>
        <w:t xml:space="preserve"> in </w:t>
      </w:r>
      <w:r w:rsidR="00DE07BE">
        <w:rPr>
          <w:rFonts w:ascii="Times New Roman" w:hAnsi="Times New Roman"/>
          <w:bCs/>
        </w:rPr>
        <w:t>TD 9329</w:t>
      </w:r>
      <w:r w:rsidRPr="00432297">
        <w:rPr>
          <w:rFonts w:ascii="Times New Roman" w:hAnsi="Times New Roman"/>
          <w:bCs/>
        </w:rPr>
        <w:t xml:space="preserve"> remove the signature requirement for statements to be attached on or with Federal income tax returns, taxpayers</w:t>
      </w:r>
      <w:r w:rsidRPr="00432297" w:rsidR="00A9410F">
        <w:rPr>
          <w:rFonts w:ascii="Times New Roman" w:hAnsi="Times New Roman"/>
          <w:bCs/>
        </w:rPr>
        <w:t xml:space="preserve"> </w:t>
      </w:r>
      <w:r w:rsidRPr="00432297">
        <w:rPr>
          <w:rFonts w:ascii="Times New Roman" w:hAnsi="Times New Roman"/>
          <w:bCs/>
        </w:rPr>
        <w:t>will be able to e-file such returns</w:t>
      </w:r>
      <w:r w:rsidRPr="00432297" w:rsidR="00A9410F">
        <w:rPr>
          <w:rFonts w:ascii="Times New Roman" w:hAnsi="Times New Roman"/>
          <w:bCs/>
        </w:rPr>
        <w:t>.</w:t>
      </w:r>
    </w:p>
    <w:p w:rsidRPr="00432297" w:rsidR="002319F5" w:rsidP="000B1374" w:rsidRDefault="002319F5" w14:paraId="1F9E26C9" w14:textId="77777777">
      <w:pPr>
        <w:autoSpaceDE w:val="0"/>
        <w:autoSpaceDN w:val="0"/>
        <w:adjustRightInd w:val="0"/>
        <w:rPr>
          <w:rFonts w:ascii="Times New Roman" w:hAnsi="Times New Roman"/>
        </w:rPr>
      </w:pPr>
    </w:p>
    <w:p w:rsidRPr="00432297" w:rsidR="000B1374" w:rsidP="000B1374" w:rsidRDefault="000B1374" w14:paraId="1142AAFD" w14:textId="77777777">
      <w:pPr>
        <w:autoSpaceDE w:val="0"/>
        <w:autoSpaceDN w:val="0"/>
        <w:adjustRightInd w:val="0"/>
        <w:rPr>
          <w:rFonts w:ascii="Times New Roman" w:hAnsi="Times New Roman"/>
        </w:rPr>
      </w:pPr>
      <w:r w:rsidRPr="00432297">
        <w:rPr>
          <w:rFonts w:ascii="Times New Roman" w:hAnsi="Times New Roman"/>
        </w:rPr>
        <w:t xml:space="preserve">4. </w:t>
      </w:r>
      <w:r w:rsidRPr="00432297">
        <w:rPr>
          <w:rFonts w:ascii="Times New Roman" w:hAnsi="Times New Roman"/>
          <w:u w:val="single"/>
        </w:rPr>
        <w:t>EFFORTS TO IDENTIFY DUPLICATION</w:t>
      </w:r>
    </w:p>
    <w:p w:rsidRPr="00432297" w:rsidR="002319F5" w:rsidP="000B1374" w:rsidRDefault="002319F5" w14:paraId="45A667B4" w14:textId="77777777">
      <w:pPr>
        <w:autoSpaceDE w:val="0"/>
        <w:autoSpaceDN w:val="0"/>
        <w:adjustRightInd w:val="0"/>
        <w:rPr>
          <w:rFonts w:ascii="Times New Roman" w:hAnsi="Times New Roman"/>
        </w:rPr>
      </w:pPr>
    </w:p>
    <w:p w:rsidRPr="00E7715D" w:rsidR="00E7715D" w:rsidP="00E7715D" w:rsidRDefault="00E7715D" w14:paraId="1BE53C49" w14:textId="77777777">
      <w:pPr>
        <w:rPr>
          <w:rFonts w:ascii="Times New Roman" w:hAnsi="Times New Roman"/>
        </w:rPr>
      </w:pPr>
      <w:r w:rsidRPr="00E7715D">
        <w:rPr>
          <w:rFonts w:ascii="Calibri" w:hAnsi="Calibri"/>
          <w:sz w:val="22"/>
          <w:szCs w:val="22"/>
        </w:rPr>
        <w:t xml:space="preserve"> </w:t>
      </w:r>
      <w:r w:rsidRPr="00E7715D">
        <w:rPr>
          <w:rFonts w:ascii="Times New Roman" w:hAnsi="Times New Roman"/>
        </w:rPr>
        <w:t xml:space="preserve">The information obtained through this collection is unique and is not already available or use or adaption from another source.    </w:t>
      </w:r>
    </w:p>
    <w:p w:rsidRPr="00432297" w:rsidR="002319F5" w:rsidP="000B1374" w:rsidRDefault="002319F5" w14:paraId="44467278" w14:textId="77777777">
      <w:pPr>
        <w:autoSpaceDE w:val="0"/>
        <w:autoSpaceDN w:val="0"/>
        <w:adjustRightInd w:val="0"/>
        <w:rPr>
          <w:rFonts w:ascii="Times New Roman" w:hAnsi="Times New Roman"/>
        </w:rPr>
      </w:pPr>
    </w:p>
    <w:p w:rsidRPr="00432297" w:rsidR="000B1374" w:rsidP="000B1374" w:rsidRDefault="000B1374" w14:paraId="5DA2370A" w14:textId="77777777">
      <w:pPr>
        <w:autoSpaceDE w:val="0"/>
        <w:autoSpaceDN w:val="0"/>
        <w:adjustRightInd w:val="0"/>
        <w:rPr>
          <w:rFonts w:ascii="Times New Roman" w:hAnsi="Times New Roman"/>
          <w:u w:val="single"/>
        </w:rPr>
      </w:pPr>
      <w:r w:rsidRPr="00432297">
        <w:rPr>
          <w:rFonts w:ascii="Times New Roman" w:hAnsi="Times New Roman"/>
        </w:rPr>
        <w:t xml:space="preserve">5. </w:t>
      </w:r>
      <w:r w:rsidRPr="00432297">
        <w:rPr>
          <w:rFonts w:ascii="Times New Roman" w:hAnsi="Times New Roman"/>
          <w:u w:val="single"/>
        </w:rPr>
        <w:t>METHODS TO MINIMIZE BURDEN ON SMALL BUSINESSES OR OTHER SMALL</w:t>
      </w:r>
    </w:p>
    <w:p w:rsidRPr="00432297" w:rsidR="000B1374" w:rsidP="000B1374" w:rsidRDefault="000B1374" w14:paraId="3326657B" w14:textId="77777777">
      <w:pPr>
        <w:autoSpaceDE w:val="0"/>
        <w:autoSpaceDN w:val="0"/>
        <w:adjustRightInd w:val="0"/>
        <w:rPr>
          <w:rFonts w:ascii="Times New Roman" w:hAnsi="Times New Roman"/>
        </w:rPr>
      </w:pPr>
      <w:r w:rsidRPr="00432297">
        <w:rPr>
          <w:rFonts w:ascii="Times New Roman" w:hAnsi="Times New Roman"/>
          <w:u w:val="single"/>
        </w:rPr>
        <w:t>ENTITIES</w:t>
      </w:r>
    </w:p>
    <w:p w:rsidRPr="00432297" w:rsidR="002319F5" w:rsidP="000B1374" w:rsidRDefault="002319F5" w14:paraId="630FFA45" w14:textId="77777777">
      <w:pPr>
        <w:autoSpaceDE w:val="0"/>
        <w:autoSpaceDN w:val="0"/>
        <w:adjustRightInd w:val="0"/>
        <w:rPr>
          <w:rFonts w:ascii="Times New Roman" w:hAnsi="Times New Roman"/>
        </w:rPr>
      </w:pPr>
    </w:p>
    <w:p w:rsidRPr="00E7715D" w:rsidR="00E7715D" w:rsidP="00E7715D" w:rsidRDefault="00E7715D" w14:paraId="77011A0E" w14:textId="77777777">
      <w:pPr>
        <w:rPr>
          <w:rFonts w:ascii="Times New Roman" w:hAnsi="Times New Roman"/>
          <w:color w:val="000000"/>
        </w:rPr>
      </w:pPr>
      <w:r w:rsidRPr="00E7715D">
        <w:rPr>
          <w:rFonts w:ascii="Times New Roman" w:hAnsi="Times New Roman"/>
        </w:rPr>
        <w:t xml:space="preserve"> There is no burden on small businesses or other small entities</w:t>
      </w:r>
      <w:r w:rsidRPr="00E7715D">
        <w:rPr>
          <w:rFonts w:ascii="Times New Roman" w:hAnsi="Times New Roman"/>
          <w:color w:val="000000"/>
        </w:rPr>
        <w:t xml:space="preserve"> due to the inapplicability of the authorizing statute to this type of entity.  </w:t>
      </w:r>
    </w:p>
    <w:p w:rsidRPr="00432297" w:rsidR="008963C1" w:rsidP="000B1374" w:rsidRDefault="008963C1" w14:paraId="005187FF" w14:textId="77777777">
      <w:pPr>
        <w:autoSpaceDE w:val="0"/>
        <w:autoSpaceDN w:val="0"/>
        <w:adjustRightInd w:val="0"/>
        <w:rPr>
          <w:rFonts w:ascii="Times New Roman" w:hAnsi="Times New Roman"/>
        </w:rPr>
      </w:pPr>
    </w:p>
    <w:p w:rsidRPr="00432297" w:rsidR="000B1374" w:rsidP="000B1374" w:rsidRDefault="000B1374" w14:paraId="52DAED52" w14:textId="77777777">
      <w:pPr>
        <w:autoSpaceDE w:val="0"/>
        <w:autoSpaceDN w:val="0"/>
        <w:adjustRightInd w:val="0"/>
        <w:rPr>
          <w:rFonts w:ascii="Times New Roman" w:hAnsi="Times New Roman"/>
          <w:u w:val="single"/>
        </w:rPr>
      </w:pPr>
      <w:r w:rsidRPr="00432297">
        <w:rPr>
          <w:rFonts w:ascii="Times New Roman" w:hAnsi="Times New Roman"/>
        </w:rPr>
        <w:t xml:space="preserve">6. </w:t>
      </w:r>
      <w:r w:rsidRPr="00432297">
        <w:rPr>
          <w:rFonts w:ascii="Times New Roman" w:hAnsi="Times New Roman"/>
          <w:u w:val="single"/>
        </w:rPr>
        <w:t>CONSEQUENCES OF LESS FREQUENT COLLECTION ON FEDERAL PROGRAMS OR</w:t>
      </w:r>
    </w:p>
    <w:p w:rsidRPr="00432297" w:rsidR="000B1374" w:rsidP="000B1374" w:rsidRDefault="000B1374" w14:paraId="33CF38A9" w14:textId="77777777">
      <w:pPr>
        <w:autoSpaceDE w:val="0"/>
        <w:autoSpaceDN w:val="0"/>
        <w:adjustRightInd w:val="0"/>
        <w:rPr>
          <w:rFonts w:ascii="Times New Roman" w:hAnsi="Times New Roman"/>
        </w:rPr>
      </w:pPr>
      <w:r w:rsidRPr="00432297">
        <w:rPr>
          <w:rFonts w:ascii="Times New Roman" w:hAnsi="Times New Roman"/>
          <w:u w:val="single"/>
        </w:rPr>
        <w:t>POLICY ACTIVITIES</w:t>
      </w:r>
    </w:p>
    <w:p w:rsidRPr="00432297" w:rsidR="002319F5" w:rsidP="000B1374" w:rsidRDefault="002319F5" w14:paraId="2FBD7367" w14:textId="77777777">
      <w:pPr>
        <w:autoSpaceDE w:val="0"/>
        <w:autoSpaceDN w:val="0"/>
        <w:adjustRightInd w:val="0"/>
        <w:rPr>
          <w:rFonts w:ascii="Times New Roman" w:hAnsi="Times New Roman"/>
        </w:rPr>
      </w:pPr>
    </w:p>
    <w:p w:rsidR="000B1374" w:rsidP="000B1374" w:rsidRDefault="00883AE9" w14:paraId="1200FF40" w14:textId="77777777">
      <w:pPr>
        <w:autoSpaceDE w:val="0"/>
        <w:autoSpaceDN w:val="0"/>
        <w:adjustRightInd w:val="0"/>
        <w:rPr>
          <w:rFonts w:ascii="Times New Roman" w:hAnsi="Times New Roman"/>
          <w:color w:val="000000"/>
        </w:rPr>
      </w:pPr>
      <w:r w:rsidRPr="00883AE9">
        <w:rPr>
          <w:rFonts w:ascii="Times New Roman" w:hAnsi="Times New Roman"/>
        </w:rPr>
        <w:t>Consequences of less frequent collection on federal</w:t>
      </w:r>
      <w:r w:rsidR="005B4454">
        <w:rPr>
          <w:rFonts w:ascii="Times New Roman" w:hAnsi="Times New Roman"/>
        </w:rPr>
        <w:t xml:space="preserve"> </w:t>
      </w:r>
      <w:r w:rsidRPr="00883AE9" w:rsidR="005B4454">
        <w:rPr>
          <w:rFonts w:ascii="Times New Roman" w:hAnsi="Times New Roman"/>
        </w:rPr>
        <w:t>programs or</w:t>
      </w:r>
      <w:r w:rsidRPr="00883AE9">
        <w:rPr>
          <w:rFonts w:ascii="Times New Roman" w:hAnsi="Times New Roman"/>
        </w:rPr>
        <w:t xml:space="preserve"> policy activities</w:t>
      </w:r>
      <w:r w:rsidR="00CF25F4">
        <w:rPr>
          <w:rFonts w:ascii="Times New Roman" w:hAnsi="Times New Roman"/>
        </w:rPr>
        <w:t xml:space="preserve"> </w:t>
      </w:r>
      <w:r w:rsidRPr="00883AE9">
        <w:rPr>
          <w:rFonts w:ascii="Times New Roman" w:hAnsi="Times New Roman"/>
        </w:rPr>
        <w:t xml:space="preserve">could </w:t>
      </w:r>
      <w:r w:rsidR="00E4377D">
        <w:rPr>
          <w:rFonts w:ascii="Times New Roman" w:hAnsi="Times New Roman"/>
        </w:rPr>
        <w:t>in</w:t>
      </w:r>
      <w:r w:rsidR="00462648">
        <w:rPr>
          <w:rFonts w:ascii="Times New Roman" w:hAnsi="Times New Roman"/>
        </w:rPr>
        <w:t>clude</w:t>
      </w:r>
      <w:r w:rsidRPr="00432297" w:rsidR="00E4377D">
        <w:rPr>
          <w:rFonts w:ascii="Times New Roman" w:hAnsi="Times New Roman"/>
          <w:bCs/>
        </w:rPr>
        <w:t xml:space="preserve"> taxpayers </w:t>
      </w:r>
      <w:r w:rsidR="00D3404A">
        <w:rPr>
          <w:rFonts w:ascii="Times New Roman" w:hAnsi="Times New Roman"/>
          <w:bCs/>
        </w:rPr>
        <w:t>not reporting the correct amount of the fair market value of any property (including stock) received and the basis of any property (including stock) surrendered in the transactions</w:t>
      </w:r>
      <w:r w:rsidR="00462648">
        <w:rPr>
          <w:rFonts w:ascii="Times New Roman" w:hAnsi="Times New Roman"/>
          <w:bCs/>
        </w:rPr>
        <w:t>.</w:t>
      </w:r>
      <w:r w:rsidR="00D3404A">
        <w:rPr>
          <w:rFonts w:ascii="Times New Roman" w:hAnsi="Times New Roman"/>
          <w:bCs/>
        </w:rPr>
        <w:t xml:space="preserve"> </w:t>
      </w:r>
      <w:r w:rsidR="00462648">
        <w:rPr>
          <w:rFonts w:ascii="Times New Roman" w:hAnsi="Times New Roman"/>
          <w:bCs/>
        </w:rPr>
        <w:t xml:space="preserve">The collection of information </w:t>
      </w:r>
      <w:r w:rsidRPr="004A4E36" w:rsidR="005203F7">
        <w:rPr>
          <w:rFonts w:ascii="Times New Roman" w:hAnsi="Times New Roman"/>
        </w:rPr>
        <w:t>facilitates the ability of the IRS to verify that</w:t>
      </w:r>
      <w:r w:rsidR="005203F7">
        <w:rPr>
          <w:rFonts w:ascii="Times New Roman" w:hAnsi="Times New Roman"/>
        </w:rPr>
        <w:t xml:space="preserve"> </w:t>
      </w:r>
      <w:r w:rsidRPr="004A4E36" w:rsidR="005203F7">
        <w:rPr>
          <w:rFonts w:ascii="Times New Roman" w:hAnsi="Times New Roman"/>
        </w:rPr>
        <w:t>taxpayers are complying with sections 334(b)(1)(B), 362(e)(1), and 362(e)(2).</w:t>
      </w:r>
      <w:r w:rsidR="005203F7">
        <w:rPr>
          <w:rFonts w:ascii="Times New Roman" w:hAnsi="Times New Roman"/>
        </w:rPr>
        <w:t xml:space="preserve"> </w:t>
      </w:r>
      <w:r w:rsidR="00ED1F93">
        <w:rPr>
          <w:rFonts w:ascii="Times New Roman" w:hAnsi="Times New Roman"/>
          <w:bCs/>
        </w:rPr>
        <w:t xml:space="preserve"> </w:t>
      </w:r>
      <w:r w:rsidR="00247C04">
        <w:rPr>
          <w:rFonts w:ascii="Times New Roman" w:hAnsi="Times New Roman"/>
          <w:bCs/>
        </w:rPr>
        <w:t xml:space="preserve">See TD 9759. </w:t>
      </w:r>
      <w:r w:rsidR="00ED1F93">
        <w:rPr>
          <w:rFonts w:ascii="Times New Roman" w:hAnsi="Times New Roman"/>
          <w:bCs/>
        </w:rPr>
        <w:t xml:space="preserve">Also, the </w:t>
      </w:r>
      <w:r w:rsidRPr="005B4454" w:rsidR="00ED1F93">
        <w:rPr>
          <w:rFonts w:ascii="Times New Roman" w:hAnsi="Times New Roman"/>
          <w:color w:val="000000"/>
        </w:rPr>
        <w:t>collection of information is required to prevent the importation of loss into the US tax system and the duplication of loss within the US tax system.</w:t>
      </w:r>
    </w:p>
    <w:p w:rsidRPr="00432297" w:rsidR="002319F5" w:rsidP="000B1374" w:rsidRDefault="002319F5" w14:paraId="4B4D0301" w14:textId="77777777">
      <w:pPr>
        <w:autoSpaceDE w:val="0"/>
        <w:autoSpaceDN w:val="0"/>
        <w:adjustRightInd w:val="0"/>
        <w:rPr>
          <w:rFonts w:ascii="Times New Roman" w:hAnsi="Times New Roman"/>
        </w:rPr>
      </w:pPr>
    </w:p>
    <w:p w:rsidRPr="00432297" w:rsidR="000B1374" w:rsidP="000B1374" w:rsidRDefault="000B1374" w14:paraId="64792583" w14:textId="77777777">
      <w:pPr>
        <w:autoSpaceDE w:val="0"/>
        <w:autoSpaceDN w:val="0"/>
        <w:adjustRightInd w:val="0"/>
        <w:rPr>
          <w:rFonts w:ascii="Times New Roman" w:hAnsi="Times New Roman"/>
        </w:rPr>
      </w:pPr>
      <w:r w:rsidRPr="00432297">
        <w:rPr>
          <w:rFonts w:ascii="Times New Roman" w:hAnsi="Times New Roman"/>
        </w:rPr>
        <w:t xml:space="preserve">7. </w:t>
      </w:r>
      <w:r w:rsidRPr="00432297">
        <w:rPr>
          <w:rFonts w:ascii="Times New Roman" w:hAnsi="Times New Roman"/>
          <w:u w:val="single"/>
        </w:rPr>
        <w:t>SPECIAL CIRCUMSTANCES REQUIRING DATA COLLECTION TO BE INCONSISTENT</w:t>
      </w:r>
      <w:r w:rsidR="00EF741E">
        <w:rPr>
          <w:rFonts w:ascii="Times New Roman" w:hAnsi="Times New Roman"/>
          <w:u w:val="single"/>
        </w:rPr>
        <w:t xml:space="preserve"> </w:t>
      </w:r>
      <w:r w:rsidRPr="00432297">
        <w:rPr>
          <w:rFonts w:ascii="Times New Roman" w:hAnsi="Times New Roman"/>
          <w:u w:val="single"/>
        </w:rPr>
        <w:t xml:space="preserve">WITH GUIDELINES IN 5 CFR </w:t>
      </w:r>
      <w:r w:rsidR="00A20E03">
        <w:rPr>
          <w:rFonts w:ascii="Times New Roman" w:hAnsi="Times New Roman"/>
          <w:u w:val="single"/>
        </w:rPr>
        <w:t xml:space="preserve">§ </w:t>
      </w:r>
      <w:r w:rsidRPr="00432297">
        <w:rPr>
          <w:rFonts w:ascii="Times New Roman" w:hAnsi="Times New Roman"/>
          <w:u w:val="single"/>
        </w:rPr>
        <w:t>1320.5(d)(2)</w:t>
      </w:r>
    </w:p>
    <w:p w:rsidRPr="00432297" w:rsidR="002319F5" w:rsidP="000B1374" w:rsidRDefault="002319F5" w14:paraId="16A0FEDD" w14:textId="77777777">
      <w:pPr>
        <w:autoSpaceDE w:val="0"/>
        <w:autoSpaceDN w:val="0"/>
        <w:adjustRightInd w:val="0"/>
        <w:rPr>
          <w:rFonts w:ascii="Times New Roman" w:hAnsi="Times New Roman"/>
        </w:rPr>
      </w:pPr>
    </w:p>
    <w:p w:rsidRPr="00432297" w:rsidR="002319F5" w:rsidP="000B1374" w:rsidRDefault="00CF25F4" w14:paraId="395E29D2" w14:textId="77777777">
      <w:pPr>
        <w:autoSpaceDE w:val="0"/>
        <w:autoSpaceDN w:val="0"/>
        <w:adjustRightInd w:val="0"/>
        <w:rPr>
          <w:rFonts w:ascii="Times New Roman" w:hAnsi="Times New Roman"/>
        </w:rPr>
      </w:pPr>
      <w:r>
        <w:rPr>
          <w:rFonts w:ascii="Times New Roman" w:hAnsi="Times New Roman"/>
        </w:rPr>
        <w:t xml:space="preserve">There are no special circumstances requiring </w:t>
      </w:r>
      <w:r w:rsidR="001E48BF">
        <w:rPr>
          <w:rFonts w:ascii="Times New Roman" w:hAnsi="Times New Roman"/>
        </w:rPr>
        <w:t xml:space="preserve">data </w:t>
      </w:r>
      <w:r>
        <w:rPr>
          <w:rFonts w:ascii="Times New Roman" w:hAnsi="Times New Roman"/>
        </w:rPr>
        <w:t xml:space="preserve">collection to be inconsistent with </w:t>
      </w:r>
      <w:r w:rsidR="00306C3A">
        <w:rPr>
          <w:rFonts w:ascii="Times New Roman" w:hAnsi="Times New Roman"/>
        </w:rPr>
        <w:t xml:space="preserve">Guidelines in 5 CFR </w:t>
      </w:r>
      <w:r w:rsidR="00A20E03">
        <w:rPr>
          <w:rFonts w:ascii="Times New Roman" w:hAnsi="Times New Roman"/>
        </w:rPr>
        <w:t xml:space="preserve">§ </w:t>
      </w:r>
      <w:r w:rsidR="00306C3A">
        <w:rPr>
          <w:rFonts w:ascii="Times New Roman" w:hAnsi="Times New Roman"/>
        </w:rPr>
        <w:t>1320.5(d)(2).</w:t>
      </w:r>
    </w:p>
    <w:p w:rsidRPr="00432297" w:rsidR="00061039" w:rsidP="000B1374" w:rsidRDefault="00061039" w14:paraId="6C772657" w14:textId="77777777">
      <w:pPr>
        <w:autoSpaceDE w:val="0"/>
        <w:autoSpaceDN w:val="0"/>
        <w:adjustRightInd w:val="0"/>
        <w:rPr>
          <w:rFonts w:ascii="Times New Roman" w:hAnsi="Times New Roman"/>
        </w:rPr>
      </w:pPr>
    </w:p>
    <w:p w:rsidRPr="00432297" w:rsidR="000B1374" w:rsidP="000B1374" w:rsidRDefault="000B1374" w14:paraId="3206DBA1" w14:textId="77777777">
      <w:pPr>
        <w:autoSpaceDE w:val="0"/>
        <w:autoSpaceDN w:val="0"/>
        <w:adjustRightInd w:val="0"/>
        <w:rPr>
          <w:rFonts w:ascii="Times New Roman" w:hAnsi="Times New Roman"/>
        </w:rPr>
      </w:pPr>
      <w:r w:rsidRPr="00432297">
        <w:rPr>
          <w:rFonts w:ascii="Times New Roman" w:hAnsi="Times New Roman"/>
        </w:rPr>
        <w:lastRenderedPageBreak/>
        <w:t xml:space="preserve">8. </w:t>
      </w:r>
      <w:r w:rsidRPr="00432297">
        <w:rPr>
          <w:rFonts w:ascii="Times New Roman" w:hAnsi="Times New Roman"/>
          <w:u w:val="single"/>
        </w:rPr>
        <w:t>CONSULTATION WITH INDIVIDUALS OUTSIDE OF THE AGENCY ON AVAILABILITY OF</w:t>
      </w:r>
      <w:r w:rsidR="003672F1">
        <w:rPr>
          <w:rFonts w:ascii="Times New Roman" w:hAnsi="Times New Roman"/>
          <w:u w:val="single"/>
        </w:rPr>
        <w:t xml:space="preserve"> </w:t>
      </w:r>
      <w:r w:rsidRPr="00432297">
        <w:rPr>
          <w:rFonts w:ascii="Times New Roman" w:hAnsi="Times New Roman"/>
          <w:u w:val="single"/>
        </w:rPr>
        <w:t>DATA, FREQUENCY OF COLLECTION, CLARITY OF INSTRUCTIONS AND FORMS, AND</w:t>
      </w:r>
      <w:r w:rsidR="003672F1">
        <w:rPr>
          <w:rFonts w:ascii="Times New Roman" w:hAnsi="Times New Roman"/>
          <w:u w:val="single"/>
        </w:rPr>
        <w:t xml:space="preserve"> </w:t>
      </w:r>
      <w:r w:rsidRPr="00432297">
        <w:rPr>
          <w:rFonts w:ascii="Times New Roman" w:hAnsi="Times New Roman"/>
          <w:u w:val="single"/>
        </w:rPr>
        <w:t>DATA ELEMENTS</w:t>
      </w:r>
    </w:p>
    <w:p w:rsidRPr="00432297" w:rsidR="00DD2F22" w:rsidP="000B1374" w:rsidRDefault="00D336F5" w14:paraId="4C248B6D" w14:textId="77777777">
      <w:pPr>
        <w:autoSpaceDE w:val="0"/>
        <w:autoSpaceDN w:val="0"/>
        <w:adjustRightInd w:val="0"/>
        <w:rPr>
          <w:rFonts w:ascii="Times New Roman" w:hAnsi="Times New Roman"/>
        </w:rPr>
      </w:pPr>
      <w:r>
        <w:rPr>
          <w:rFonts w:ascii="Times New Roman" w:hAnsi="Times New Roman"/>
        </w:rPr>
        <w:t xml:space="preserve">   </w:t>
      </w:r>
    </w:p>
    <w:p w:rsidRPr="00862073" w:rsidR="00862073" w:rsidP="00862073" w:rsidRDefault="00862073" w14:paraId="4146F8C4" w14:textId="77777777">
      <w:pPr>
        <w:rPr>
          <w:rFonts w:ascii="Times New Roman" w:hAnsi="Times New Roman"/>
        </w:rPr>
      </w:pPr>
    </w:p>
    <w:p w:rsidR="00AE06FC" w:rsidP="000B1374" w:rsidRDefault="00862073" w14:paraId="5AC24FEB" w14:textId="77777777">
      <w:pPr>
        <w:autoSpaceDE w:val="0"/>
        <w:autoSpaceDN w:val="0"/>
        <w:adjustRightInd w:val="0"/>
        <w:rPr>
          <w:rFonts w:ascii="Times New Roman" w:hAnsi="Times New Roman"/>
        </w:rPr>
      </w:pPr>
      <w:r w:rsidRPr="00862073">
        <w:rPr>
          <w:rFonts w:ascii="Times New Roman" w:hAnsi="Times New Roman"/>
        </w:rPr>
        <w:t xml:space="preserve">In response to the </w:t>
      </w:r>
      <w:r w:rsidRPr="00AE06FC">
        <w:rPr>
          <w:rFonts w:ascii="Times New Roman" w:hAnsi="Times New Roman"/>
          <w:bCs/>
          <w:i/>
        </w:rPr>
        <w:t>Federal</w:t>
      </w:r>
      <w:r w:rsidRPr="00AE06FC">
        <w:rPr>
          <w:rFonts w:ascii="Times New Roman" w:hAnsi="Times New Roman"/>
          <w:i/>
        </w:rPr>
        <w:t xml:space="preserve"> </w:t>
      </w:r>
      <w:r w:rsidRPr="00AE06FC">
        <w:rPr>
          <w:rFonts w:ascii="Times New Roman" w:hAnsi="Times New Roman"/>
          <w:bCs/>
          <w:i/>
        </w:rPr>
        <w:t>Register</w:t>
      </w:r>
      <w:r w:rsidRPr="00862073">
        <w:rPr>
          <w:rFonts w:ascii="Times New Roman" w:hAnsi="Times New Roman"/>
        </w:rPr>
        <w:t xml:space="preserve"> notice dated </w:t>
      </w:r>
      <w:r w:rsidR="00AB2558">
        <w:rPr>
          <w:rFonts w:ascii="Times New Roman" w:hAnsi="Times New Roman"/>
        </w:rPr>
        <w:t>September 17, 2021</w:t>
      </w:r>
      <w:r w:rsidRPr="00862073">
        <w:rPr>
          <w:rFonts w:ascii="Times New Roman" w:hAnsi="Times New Roman"/>
        </w:rPr>
        <w:t xml:space="preserve"> (</w:t>
      </w:r>
      <w:r w:rsidRPr="00862073" w:rsidR="00AB2558">
        <w:rPr>
          <w:rFonts w:ascii="Times New Roman" w:hAnsi="Times New Roman"/>
        </w:rPr>
        <w:t>8</w:t>
      </w:r>
      <w:r w:rsidR="00AB2558">
        <w:rPr>
          <w:rFonts w:ascii="Times New Roman" w:hAnsi="Times New Roman"/>
        </w:rPr>
        <w:t>6</w:t>
      </w:r>
      <w:r w:rsidRPr="00862073" w:rsidR="00AB2558">
        <w:rPr>
          <w:rFonts w:ascii="Times New Roman" w:hAnsi="Times New Roman"/>
        </w:rPr>
        <w:t xml:space="preserve"> </w:t>
      </w:r>
      <w:r w:rsidRPr="00862073">
        <w:rPr>
          <w:rFonts w:ascii="Times New Roman" w:hAnsi="Times New Roman"/>
        </w:rPr>
        <w:t xml:space="preserve">FR </w:t>
      </w:r>
      <w:r w:rsidR="00AB2558">
        <w:rPr>
          <w:rFonts w:ascii="Times New Roman" w:hAnsi="Times New Roman"/>
        </w:rPr>
        <w:t>51955</w:t>
      </w:r>
      <w:r w:rsidRPr="00862073">
        <w:rPr>
          <w:rFonts w:ascii="Times New Roman" w:hAnsi="Times New Roman"/>
        </w:rPr>
        <w:t xml:space="preserve">), we received no comments during the comment period regarding </w:t>
      </w:r>
      <w:r w:rsidR="00AE06FC">
        <w:rPr>
          <w:rFonts w:ascii="Times New Roman" w:hAnsi="Times New Roman"/>
        </w:rPr>
        <w:t xml:space="preserve">TDs 9304, 9329, 9451 and 9759.  </w:t>
      </w:r>
    </w:p>
    <w:p w:rsidR="00AE06FC" w:rsidP="000B1374" w:rsidRDefault="00AE06FC" w14:paraId="6B80C69B" w14:textId="77777777">
      <w:pPr>
        <w:autoSpaceDE w:val="0"/>
        <w:autoSpaceDN w:val="0"/>
        <w:adjustRightInd w:val="0"/>
        <w:rPr>
          <w:rFonts w:ascii="Times New Roman" w:hAnsi="Times New Roman"/>
        </w:rPr>
      </w:pPr>
    </w:p>
    <w:p w:rsidRPr="00432297" w:rsidR="000B1374" w:rsidP="000B1374" w:rsidRDefault="00721FD1" w14:paraId="46501927" w14:textId="77777777">
      <w:pPr>
        <w:autoSpaceDE w:val="0"/>
        <w:autoSpaceDN w:val="0"/>
        <w:adjustRightInd w:val="0"/>
        <w:rPr>
          <w:rFonts w:ascii="Times New Roman" w:hAnsi="Times New Roman"/>
        </w:rPr>
      </w:pPr>
      <w:r>
        <w:rPr>
          <w:rFonts w:ascii="Times New Roman" w:hAnsi="Times New Roman"/>
        </w:rPr>
        <w:t xml:space="preserve">9. </w:t>
      </w:r>
      <w:r w:rsidRPr="007D310F" w:rsidR="00AE06FC">
        <w:rPr>
          <w:rFonts w:ascii="Times New Roman" w:hAnsi="Times New Roman"/>
          <w:u w:val="single"/>
        </w:rPr>
        <w:t>E</w:t>
      </w:r>
      <w:r w:rsidRPr="00721FD1" w:rsidR="000B1374">
        <w:rPr>
          <w:rFonts w:ascii="Times New Roman" w:hAnsi="Times New Roman"/>
          <w:u w:val="single"/>
        </w:rPr>
        <w:t>X</w:t>
      </w:r>
      <w:r w:rsidRPr="00432297" w:rsidR="000B1374">
        <w:rPr>
          <w:rFonts w:ascii="Times New Roman" w:hAnsi="Times New Roman"/>
          <w:u w:val="single"/>
        </w:rPr>
        <w:t>PLANATION OF DECISION TO PROVIDE ANY PAYMENT OR GIFT TO RESPONDENTS</w:t>
      </w:r>
    </w:p>
    <w:p w:rsidRPr="00432297" w:rsidR="002319F5" w:rsidP="000B1374" w:rsidRDefault="002319F5" w14:paraId="09E1B5ED" w14:textId="77777777">
      <w:pPr>
        <w:autoSpaceDE w:val="0"/>
        <w:autoSpaceDN w:val="0"/>
        <w:adjustRightInd w:val="0"/>
        <w:rPr>
          <w:rFonts w:ascii="Times New Roman" w:hAnsi="Times New Roman"/>
        </w:rPr>
      </w:pPr>
    </w:p>
    <w:p w:rsidRPr="00306C3A" w:rsidR="000B1374" w:rsidP="000B1374" w:rsidRDefault="00306C3A" w14:paraId="330D06E3" w14:textId="77777777">
      <w:pPr>
        <w:autoSpaceDE w:val="0"/>
        <w:autoSpaceDN w:val="0"/>
        <w:adjustRightInd w:val="0"/>
        <w:rPr>
          <w:rFonts w:ascii="Times New Roman" w:hAnsi="Times New Roman"/>
        </w:rPr>
      </w:pPr>
      <w:r w:rsidRPr="00306C3A">
        <w:rPr>
          <w:rFonts w:ascii="Times New Roman" w:hAnsi="Times New Roman"/>
        </w:rPr>
        <w:t>No payment or gift has been provided to any respondents.</w:t>
      </w:r>
    </w:p>
    <w:p w:rsidRPr="00432297" w:rsidR="002319F5" w:rsidP="002319F5" w:rsidRDefault="002319F5" w14:paraId="15CDF860" w14:textId="77777777">
      <w:pPr>
        <w:autoSpaceDE w:val="0"/>
        <w:autoSpaceDN w:val="0"/>
        <w:adjustRightInd w:val="0"/>
        <w:rPr>
          <w:rFonts w:ascii="Times New Roman" w:hAnsi="Times New Roman"/>
        </w:rPr>
      </w:pPr>
    </w:p>
    <w:p w:rsidRPr="00432297" w:rsidR="000B1374" w:rsidP="000B1374" w:rsidRDefault="000B1374" w14:paraId="19BE4069" w14:textId="77777777">
      <w:pPr>
        <w:autoSpaceDE w:val="0"/>
        <w:autoSpaceDN w:val="0"/>
        <w:adjustRightInd w:val="0"/>
        <w:rPr>
          <w:rFonts w:ascii="Times New Roman" w:hAnsi="Times New Roman"/>
        </w:rPr>
      </w:pPr>
      <w:r w:rsidRPr="00432297">
        <w:rPr>
          <w:rFonts w:ascii="Times New Roman" w:hAnsi="Times New Roman"/>
        </w:rPr>
        <w:t xml:space="preserve">10. </w:t>
      </w:r>
      <w:r w:rsidRPr="00432297">
        <w:rPr>
          <w:rFonts w:ascii="Times New Roman" w:hAnsi="Times New Roman"/>
          <w:u w:val="single"/>
        </w:rPr>
        <w:t>ASSURANCE OF CONFIDENTIALITY OF RESPONSES</w:t>
      </w:r>
    </w:p>
    <w:p w:rsidRPr="00432297" w:rsidR="002319F5" w:rsidP="000B1374" w:rsidRDefault="002319F5" w14:paraId="32B9C533" w14:textId="77777777">
      <w:pPr>
        <w:autoSpaceDE w:val="0"/>
        <w:autoSpaceDN w:val="0"/>
        <w:adjustRightInd w:val="0"/>
        <w:rPr>
          <w:rFonts w:ascii="Times New Roman" w:hAnsi="Times New Roman"/>
        </w:rPr>
      </w:pPr>
    </w:p>
    <w:p w:rsidRPr="00432297" w:rsidR="000B1374" w:rsidP="000B1374" w:rsidRDefault="000B1374" w14:paraId="1BCF1331" w14:textId="77777777">
      <w:pPr>
        <w:autoSpaceDE w:val="0"/>
        <w:autoSpaceDN w:val="0"/>
        <w:adjustRightInd w:val="0"/>
        <w:rPr>
          <w:rFonts w:ascii="Times New Roman" w:hAnsi="Times New Roman"/>
        </w:rPr>
      </w:pPr>
      <w:r w:rsidRPr="00432297">
        <w:rPr>
          <w:rFonts w:ascii="Times New Roman" w:hAnsi="Times New Roman"/>
        </w:rPr>
        <w:t xml:space="preserve">Generally, tax returns and tax return information are confidential as required by 26 USC </w:t>
      </w:r>
      <w:r w:rsidR="001E1FEF">
        <w:rPr>
          <w:rFonts w:ascii="Times New Roman" w:hAnsi="Times New Roman"/>
        </w:rPr>
        <w:t xml:space="preserve">§ </w:t>
      </w:r>
      <w:r w:rsidRPr="00432297">
        <w:rPr>
          <w:rFonts w:ascii="Times New Roman" w:hAnsi="Times New Roman"/>
        </w:rPr>
        <w:t>6103.</w:t>
      </w:r>
    </w:p>
    <w:p w:rsidRPr="00432297" w:rsidR="002319F5" w:rsidP="000B1374" w:rsidRDefault="002319F5" w14:paraId="721FF439" w14:textId="77777777">
      <w:pPr>
        <w:autoSpaceDE w:val="0"/>
        <w:autoSpaceDN w:val="0"/>
        <w:adjustRightInd w:val="0"/>
        <w:rPr>
          <w:rFonts w:ascii="Times New Roman" w:hAnsi="Times New Roman"/>
        </w:rPr>
      </w:pPr>
    </w:p>
    <w:p w:rsidRPr="00432297" w:rsidR="000B1374" w:rsidP="000B1374" w:rsidRDefault="000B1374" w14:paraId="4EE91C1A" w14:textId="77777777">
      <w:pPr>
        <w:autoSpaceDE w:val="0"/>
        <w:autoSpaceDN w:val="0"/>
        <w:adjustRightInd w:val="0"/>
        <w:rPr>
          <w:rFonts w:ascii="Times New Roman" w:hAnsi="Times New Roman"/>
        </w:rPr>
      </w:pPr>
      <w:r w:rsidRPr="00432297">
        <w:rPr>
          <w:rFonts w:ascii="Times New Roman" w:hAnsi="Times New Roman"/>
        </w:rPr>
        <w:t xml:space="preserve">11. </w:t>
      </w:r>
      <w:r w:rsidRPr="00432297">
        <w:rPr>
          <w:rFonts w:ascii="Times New Roman" w:hAnsi="Times New Roman"/>
          <w:u w:val="single"/>
        </w:rPr>
        <w:t>JUSTIFICATION OF SENSITIVE QUESTIONS</w:t>
      </w:r>
    </w:p>
    <w:p w:rsidRPr="00432297" w:rsidR="002319F5" w:rsidP="000B1374" w:rsidRDefault="002319F5" w14:paraId="5FE7F2C7" w14:textId="77777777">
      <w:pPr>
        <w:autoSpaceDE w:val="0"/>
        <w:autoSpaceDN w:val="0"/>
        <w:adjustRightInd w:val="0"/>
        <w:rPr>
          <w:rFonts w:ascii="Times New Roman" w:hAnsi="Times New Roman"/>
        </w:rPr>
      </w:pPr>
    </w:p>
    <w:p w:rsidRPr="00306C3A" w:rsidR="00306C3A" w:rsidP="00306C3A" w:rsidRDefault="00306C3A" w14:paraId="60599442" w14:textId="77777777">
      <w:pPr>
        <w:rPr>
          <w:rFonts w:ascii="Times New Roman" w:hAnsi="Times New Roman"/>
        </w:rPr>
      </w:pPr>
      <w:r w:rsidRPr="00306C3A">
        <w:rPr>
          <w:rFonts w:ascii="Times New Roman" w:hAnsi="Times New Roman"/>
        </w:rPr>
        <w:t>No personally identifiable information (PII) is collected.</w:t>
      </w:r>
    </w:p>
    <w:p w:rsidRPr="00432297" w:rsidR="002319F5" w:rsidP="000B1374" w:rsidRDefault="002319F5" w14:paraId="67998B41" w14:textId="77777777">
      <w:pPr>
        <w:autoSpaceDE w:val="0"/>
        <w:autoSpaceDN w:val="0"/>
        <w:adjustRightInd w:val="0"/>
        <w:rPr>
          <w:rFonts w:ascii="Times New Roman" w:hAnsi="Times New Roman"/>
        </w:rPr>
      </w:pPr>
    </w:p>
    <w:p w:rsidRPr="00432297" w:rsidR="000B1374" w:rsidP="000B1374" w:rsidRDefault="000B1374" w14:paraId="0880304E" w14:textId="77777777">
      <w:pPr>
        <w:autoSpaceDE w:val="0"/>
        <w:autoSpaceDN w:val="0"/>
        <w:adjustRightInd w:val="0"/>
        <w:rPr>
          <w:rFonts w:ascii="Times New Roman" w:hAnsi="Times New Roman"/>
        </w:rPr>
      </w:pPr>
      <w:r w:rsidRPr="00432297">
        <w:rPr>
          <w:rFonts w:ascii="Times New Roman" w:hAnsi="Times New Roman"/>
        </w:rPr>
        <w:t xml:space="preserve">12. </w:t>
      </w:r>
      <w:r w:rsidRPr="00432297">
        <w:rPr>
          <w:rFonts w:ascii="Times New Roman" w:hAnsi="Times New Roman"/>
          <w:u w:val="single"/>
        </w:rPr>
        <w:t>ESTIMATED BURDEN OF INFORMATION COLLECTION</w:t>
      </w:r>
    </w:p>
    <w:p w:rsidR="004A4E36" w:rsidP="004A4E36" w:rsidRDefault="004A4E36" w14:paraId="38C9E532" w14:textId="77777777">
      <w:pPr>
        <w:autoSpaceDE w:val="0"/>
        <w:autoSpaceDN w:val="0"/>
        <w:adjustRightInd w:val="0"/>
        <w:rPr>
          <w:rFonts w:ascii="Times New Roman" w:hAnsi="Times New Roman"/>
        </w:rPr>
      </w:pPr>
    </w:p>
    <w:p w:rsidR="002319F5" w:rsidP="004A4E36" w:rsidRDefault="004A4E36" w14:paraId="346A863B" w14:textId="77777777">
      <w:pPr>
        <w:autoSpaceDE w:val="0"/>
        <w:autoSpaceDN w:val="0"/>
        <w:adjustRightInd w:val="0"/>
        <w:rPr>
          <w:rFonts w:ascii="Times New Roman" w:hAnsi="Times New Roman"/>
        </w:rPr>
      </w:pPr>
      <w:r w:rsidRPr="004A4E36">
        <w:rPr>
          <w:rFonts w:ascii="Times New Roman" w:hAnsi="Times New Roman"/>
        </w:rPr>
        <w:t xml:space="preserve">The collection of information in </w:t>
      </w:r>
      <w:r w:rsidR="00F5269D">
        <w:rPr>
          <w:rFonts w:ascii="Times New Roman" w:hAnsi="Times New Roman"/>
        </w:rPr>
        <w:t>TD 9759</w:t>
      </w:r>
      <w:r w:rsidRPr="004A4E36">
        <w:rPr>
          <w:rFonts w:ascii="Times New Roman" w:hAnsi="Times New Roman"/>
        </w:rPr>
        <w:t xml:space="preserve"> is in §§ 1.332</w:t>
      </w:r>
      <w:r w:rsidR="003519CE">
        <w:rPr>
          <w:rFonts w:ascii="Times New Roman" w:hAnsi="Times New Roman"/>
        </w:rPr>
        <w:t>-</w:t>
      </w:r>
      <w:r w:rsidRPr="004A4E36">
        <w:rPr>
          <w:rFonts w:ascii="Times New Roman" w:hAnsi="Times New Roman"/>
        </w:rPr>
        <w:t>6, 1.351</w:t>
      </w:r>
      <w:r w:rsidR="003519CE">
        <w:rPr>
          <w:rFonts w:ascii="Times New Roman" w:hAnsi="Times New Roman"/>
        </w:rPr>
        <w:t>-</w:t>
      </w:r>
      <w:r w:rsidRPr="004A4E36">
        <w:rPr>
          <w:rFonts w:ascii="Times New Roman" w:hAnsi="Times New Roman"/>
        </w:rPr>
        <w:t>3, and 1.368</w:t>
      </w:r>
      <w:r w:rsidR="003519CE">
        <w:rPr>
          <w:rFonts w:ascii="Times New Roman" w:hAnsi="Times New Roman"/>
        </w:rPr>
        <w:t>-</w:t>
      </w:r>
      <w:r w:rsidRPr="004A4E36">
        <w:rPr>
          <w:rFonts w:ascii="Times New Roman" w:hAnsi="Times New Roman"/>
        </w:rPr>
        <w:t>3. By requiring that taxpayers separately report the fair market value and basis of property (including stock) described in section 362(e)(1)(B) and in 362(e)(2)(A)</w:t>
      </w:r>
      <w:r>
        <w:rPr>
          <w:rFonts w:ascii="Times New Roman" w:hAnsi="Times New Roman"/>
        </w:rPr>
        <w:t xml:space="preserve"> </w:t>
      </w:r>
      <w:r w:rsidRPr="004A4E36">
        <w:rPr>
          <w:rFonts w:ascii="Times New Roman" w:hAnsi="Times New Roman"/>
        </w:rPr>
        <w:t xml:space="preserve">that is transferred in a tax-free transaction, </w:t>
      </w:r>
      <w:r w:rsidR="00BB4F56">
        <w:rPr>
          <w:rFonts w:ascii="Times New Roman" w:hAnsi="Times New Roman"/>
        </w:rPr>
        <w:t xml:space="preserve">in addition to reporting these in the aggregate, </w:t>
      </w:r>
      <w:r w:rsidRPr="004A4E36">
        <w:rPr>
          <w:rFonts w:ascii="Times New Roman" w:hAnsi="Times New Roman"/>
        </w:rPr>
        <w:t>this collection of information aids in identifying transactions within the scope of sections</w:t>
      </w:r>
      <w:r w:rsidR="00B1676C">
        <w:rPr>
          <w:rFonts w:ascii="Times New Roman" w:hAnsi="Times New Roman"/>
        </w:rPr>
        <w:t xml:space="preserve"> </w:t>
      </w:r>
      <w:r w:rsidRPr="004A4E36" w:rsidR="00B1676C">
        <w:rPr>
          <w:rFonts w:ascii="Times New Roman" w:hAnsi="Times New Roman"/>
        </w:rPr>
        <w:t>334(b)(1)(B), 362(e)(1), and 362(e)(2) and thereby facilitates the ability of the IRS to verify that</w:t>
      </w:r>
      <w:r w:rsidR="00B1676C">
        <w:rPr>
          <w:rFonts w:ascii="Times New Roman" w:hAnsi="Times New Roman"/>
        </w:rPr>
        <w:t xml:space="preserve"> </w:t>
      </w:r>
      <w:r w:rsidRPr="004A4E36">
        <w:rPr>
          <w:rFonts w:ascii="Times New Roman" w:hAnsi="Times New Roman"/>
        </w:rPr>
        <w:t xml:space="preserve">taxpayers are complying with sections 334(b)(1)(B), 362(e)(1), and 362(e)(2). The respondents </w:t>
      </w:r>
      <w:r w:rsidR="0011666C">
        <w:rPr>
          <w:rFonts w:ascii="Times New Roman" w:hAnsi="Times New Roman"/>
        </w:rPr>
        <w:t>are</w:t>
      </w:r>
      <w:r w:rsidRPr="004A4E36">
        <w:rPr>
          <w:rFonts w:ascii="Times New Roman" w:hAnsi="Times New Roman"/>
        </w:rPr>
        <w:t xml:space="preserve"> corporations and their shareholders.</w:t>
      </w:r>
    </w:p>
    <w:p w:rsidR="00E11600" w:rsidP="004A4E36" w:rsidRDefault="00E11600" w14:paraId="75AC61D1" w14:textId="77777777">
      <w:pPr>
        <w:autoSpaceDE w:val="0"/>
        <w:autoSpaceDN w:val="0"/>
        <w:adjustRightInd w:val="0"/>
        <w:rPr>
          <w:rFonts w:ascii="Times New Roman" w:hAnsi="Times New Roman"/>
        </w:rPr>
      </w:pPr>
    </w:p>
    <w:p w:rsidR="00E11600" w:rsidP="004A4E36" w:rsidRDefault="00E11600" w14:paraId="71318DB4" w14:textId="77777777">
      <w:pPr>
        <w:autoSpaceDE w:val="0"/>
        <w:autoSpaceDN w:val="0"/>
        <w:adjustRightInd w:val="0"/>
        <w:rPr>
          <w:rFonts w:ascii="Times New Roman" w:hAnsi="Times New Roman"/>
        </w:rPr>
      </w:pPr>
      <w:r>
        <w:rPr>
          <w:rFonts w:ascii="Times New Roman" w:hAnsi="Times New Roman"/>
        </w:rPr>
        <w:t>Burden estimates are as follows:</w:t>
      </w:r>
    </w:p>
    <w:p w:rsidR="005203F7" w:rsidP="004A4E36" w:rsidRDefault="005203F7" w14:paraId="1516191F" w14:textId="77777777">
      <w:pPr>
        <w:autoSpaceDE w:val="0"/>
        <w:autoSpaceDN w:val="0"/>
        <w:adjustRightInd w:val="0"/>
        <w:rPr>
          <w:rFonts w:ascii="Times New Roman" w:hAnsi="Times New Roman"/>
        </w:rPr>
      </w:pPr>
    </w:p>
    <w:tbl>
      <w:tblPr>
        <w:tblW w:w="9488" w:type="dxa"/>
        <w:jc w:val="center"/>
        <w:tblLayout w:type="fixed"/>
        <w:tblLook w:val="04A0" w:firstRow="1" w:lastRow="0" w:firstColumn="1" w:lastColumn="0" w:noHBand="0" w:noVBand="1"/>
      </w:tblPr>
      <w:tblGrid>
        <w:gridCol w:w="1242"/>
        <w:gridCol w:w="1278"/>
        <w:gridCol w:w="1623"/>
        <w:gridCol w:w="1661"/>
        <w:gridCol w:w="1437"/>
        <w:gridCol w:w="1167"/>
        <w:gridCol w:w="1080"/>
      </w:tblGrid>
      <w:tr w:rsidRPr="005A4F9A" w:rsidR="003B6D46" w:rsidTr="006C5DCC" w14:paraId="16FB7CED" w14:textId="77777777">
        <w:trPr>
          <w:trHeight w:val="675"/>
          <w:jc w:val="center"/>
        </w:trPr>
        <w:tc>
          <w:tcPr>
            <w:tcW w:w="1242" w:type="dxa"/>
            <w:tcBorders>
              <w:top w:val="single" w:color="auto" w:sz="8" w:space="0"/>
              <w:left w:val="single" w:color="auto" w:sz="8" w:space="0"/>
              <w:bottom w:val="single" w:color="auto" w:sz="8" w:space="0"/>
              <w:right w:val="single" w:color="auto" w:sz="8" w:space="0"/>
            </w:tcBorders>
            <w:vAlign w:val="center"/>
          </w:tcPr>
          <w:p w:rsidRPr="003B6D46" w:rsidR="00E0287C" w:rsidP="006C5DCC" w:rsidRDefault="003B6D46" w14:paraId="0982BB44" w14:textId="77777777">
            <w:pPr>
              <w:jc w:val="center"/>
              <w:rPr>
                <w:rFonts w:ascii="Calibri" w:hAnsi="Calibri" w:cs="Calibri"/>
                <w:sz w:val="22"/>
                <w:szCs w:val="22"/>
              </w:rPr>
            </w:pPr>
            <w:r>
              <w:rPr>
                <w:rFonts w:ascii="Calibri" w:hAnsi="Calibri" w:cs="Calibri"/>
                <w:sz w:val="22"/>
                <w:szCs w:val="22"/>
              </w:rPr>
              <w:t>Authority</w:t>
            </w:r>
          </w:p>
        </w:tc>
        <w:tc>
          <w:tcPr>
            <w:tcW w:w="1278" w:type="dxa"/>
            <w:tcBorders>
              <w:top w:val="single" w:color="auto" w:sz="8" w:space="0"/>
              <w:left w:val="single" w:color="auto" w:sz="8" w:space="0"/>
              <w:bottom w:val="single" w:color="auto" w:sz="8" w:space="0"/>
              <w:right w:val="single" w:color="auto" w:sz="8" w:space="0"/>
            </w:tcBorders>
            <w:noWrap/>
            <w:vAlign w:val="center"/>
            <w:hideMark/>
          </w:tcPr>
          <w:p w:rsidRPr="005A4F9A" w:rsidR="00E0287C" w:rsidRDefault="00E0287C" w14:paraId="7756DD84" w14:textId="77777777">
            <w:pPr>
              <w:keepNext/>
              <w:keepLines/>
              <w:jc w:val="center"/>
              <w:rPr>
                <w:rFonts w:ascii="Calibri" w:hAnsi="Calibri" w:cs="Calibri"/>
                <w:color w:val="000000"/>
                <w:sz w:val="22"/>
                <w:szCs w:val="22"/>
              </w:rPr>
            </w:pPr>
            <w:r>
              <w:rPr>
                <w:rFonts w:ascii="Calibri" w:hAnsi="Calibri" w:cs="Calibri"/>
                <w:color w:val="000000"/>
                <w:sz w:val="22"/>
                <w:szCs w:val="22"/>
              </w:rPr>
              <w:t>Document</w:t>
            </w:r>
          </w:p>
        </w:tc>
        <w:tc>
          <w:tcPr>
            <w:tcW w:w="1623" w:type="dxa"/>
            <w:tcBorders>
              <w:top w:val="single" w:color="auto" w:sz="8" w:space="0"/>
              <w:left w:val="nil"/>
              <w:bottom w:val="single" w:color="auto" w:sz="8" w:space="0"/>
              <w:right w:val="single" w:color="auto" w:sz="8" w:space="0"/>
            </w:tcBorders>
            <w:vAlign w:val="center"/>
            <w:hideMark/>
          </w:tcPr>
          <w:p w:rsidRPr="005A4F9A" w:rsidR="00E0287C" w:rsidRDefault="00E0287C" w14:paraId="5A7D0B89" w14:textId="77777777">
            <w:pPr>
              <w:keepNext/>
              <w:keepLines/>
              <w:jc w:val="center"/>
              <w:rPr>
                <w:rFonts w:ascii="Calibri" w:hAnsi="Calibri" w:cs="Calibri"/>
                <w:color w:val="000000"/>
                <w:sz w:val="22"/>
                <w:szCs w:val="22"/>
              </w:rPr>
            </w:pPr>
            <w:r w:rsidRPr="005A4F9A">
              <w:rPr>
                <w:rFonts w:ascii="Calibri" w:hAnsi="Calibri" w:cs="Calibri"/>
                <w:color w:val="000000"/>
                <w:sz w:val="22"/>
                <w:szCs w:val="22"/>
              </w:rPr>
              <w:t># Respondents</w:t>
            </w:r>
          </w:p>
        </w:tc>
        <w:tc>
          <w:tcPr>
            <w:tcW w:w="1661" w:type="dxa"/>
            <w:tcBorders>
              <w:top w:val="single" w:color="auto" w:sz="8" w:space="0"/>
              <w:left w:val="nil"/>
              <w:bottom w:val="single" w:color="auto" w:sz="8" w:space="0"/>
              <w:right w:val="single" w:color="auto" w:sz="8" w:space="0"/>
            </w:tcBorders>
            <w:vAlign w:val="center"/>
            <w:hideMark/>
          </w:tcPr>
          <w:p w:rsidRPr="005A4F9A" w:rsidR="00E0287C" w:rsidRDefault="00E0287C" w14:paraId="0A3066E8" w14:textId="77777777">
            <w:pPr>
              <w:keepNext/>
              <w:keepLines/>
              <w:jc w:val="center"/>
              <w:rPr>
                <w:rFonts w:ascii="Calibri" w:hAnsi="Calibri" w:cs="Calibri"/>
                <w:color w:val="000000"/>
                <w:sz w:val="22"/>
                <w:szCs w:val="22"/>
              </w:rPr>
            </w:pPr>
            <w:r w:rsidRPr="005A4F9A">
              <w:rPr>
                <w:rFonts w:ascii="Calibri" w:hAnsi="Calibri" w:cs="Calibri"/>
                <w:color w:val="000000"/>
                <w:sz w:val="22"/>
                <w:szCs w:val="22"/>
              </w:rPr>
              <w:t># Responses Per Respondent</w:t>
            </w:r>
          </w:p>
        </w:tc>
        <w:tc>
          <w:tcPr>
            <w:tcW w:w="1437" w:type="dxa"/>
            <w:tcBorders>
              <w:top w:val="single" w:color="auto" w:sz="8" w:space="0"/>
              <w:left w:val="nil"/>
              <w:bottom w:val="single" w:color="auto" w:sz="8" w:space="0"/>
              <w:right w:val="single" w:color="auto" w:sz="8" w:space="0"/>
            </w:tcBorders>
            <w:vAlign w:val="center"/>
            <w:hideMark/>
          </w:tcPr>
          <w:p w:rsidRPr="005A4F9A" w:rsidR="00E0287C" w:rsidRDefault="00E0287C" w14:paraId="7DE8877A" w14:textId="77777777">
            <w:pPr>
              <w:keepNext/>
              <w:keepLines/>
              <w:jc w:val="center"/>
              <w:rPr>
                <w:rFonts w:ascii="Calibri" w:hAnsi="Calibri" w:cs="Calibri"/>
                <w:color w:val="000000"/>
                <w:sz w:val="22"/>
                <w:szCs w:val="22"/>
              </w:rPr>
            </w:pPr>
            <w:r w:rsidRPr="005A4F9A">
              <w:rPr>
                <w:rFonts w:ascii="Calibri" w:hAnsi="Calibri" w:cs="Calibri"/>
                <w:color w:val="000000"/>
                <w:sz w:val="22"/>
                <w:szCs w:val="22"/>
              </w:rPr>
              <w:t>Total Annual Responses</w:t>
            </w:r>
          </w:p>
        </w:tc>
        <w:tc>
          <w:tcPr>
            <w:tcW w:w="1167" w:type="dxa"/>
            <w:tcBorders>
              <w:top w:val="single" w:color="auto" w:sz="8" w:space="0"/>
              <w:left w:val="nil"/>
              <w:bottom w:val="single" w:color="auto" w:sz="8" w:space="0"/>
              <w:right w:val="single" w:color="auto" w:sz="8" w:space="0"/>
            </w:tcBorders>
            <w:vAlign w:val="center"/>
            <w:hideMark/>
          </w:tcPr>
          <w:p w:rsidRPr="005A4F9A" w:rsidR="00E0287C" w:rsidRDefault="00E0287C" w14:paraId="5CA2522C" w14:textId="77777777">
            <w:pPr>
              <w:keepNext/>
              <w:keepLines/>
              <w:jc w:val="center"/>
              <w:rPr>
                <w:rFonts w:ascii="Calibri" w:hAnsi="Calibri" w:cs="Calibri"/>
                <w:color w:val="000000"/>
                <w:sz w:val="22"/>
                <w:szCs w:val="22"/>
              </w:rPr>
            </w:pPr>
            <w:r w:rsidRPr="005A4F9A">
              <w:rPr>
                <w:rFonts w:ascii="Calibri" w:hAnsi="Calibri" w:cs="Calibri"/>
                <w:color w:val="000000"/>
                <w:sz w:val="22"/>
                <w:szCs w:val="22"/>
              </w:rPr>
              <w:t>Hours Per Response</w:t>
            </w:r>
          </w:p>
        </w:tc>
        <w:tc>
          <w:tcPr>
            <w:tcW w:w="1080" w:type="dxa"/>
            <w:tcBorders>
              <w:top w:val="single" w:color="auto" w:sz="8" w:space="0"/>
              <w:left w:val="nil"/>
              <w:bottom w:val="single" w:color="auto" w:sz="8" w:space="0"/>
              <w:right w:val="single" w:color="auto" w:sz="8" w:space="0"/>
            </w:tcBorders>
            <w:vAlign w:val="center"/>
            <w:hideMark/>
          </w:tcPr>
          <w:p w:rsidRPr="005A4F9A" w:rsidR="00E0287C" w:rsidRDefault="00E0287C" w14:paraId="5A374FC1" w14:textId="77777777">
            <w:pPr>
              <w:keepNext/>
              <w:keepLines/>
              <w:jc w:val="center"/>
              <w:rPr>
                <w:rFonts w:ascii="Calibri" w:hAnsi="Calibri" w:cs="Calibri"/>
                <w:color w:val="000000"/>
                <w:sz w:val="22"/>
                <w:szCs w:val="22"/>
              </w:rPr>
            </w:pPr>
            <w:r w:rsidRPr="005A4F9A">
              <w:rPr>
                <w:rFonts w:ascii="Calibri" w:hAnsi="Calibri" w:cs="Calibri"/>
                <w:color w:val="000000"/>
                <w:sz w:val="22"/>
                <w:szCs w:val="22"/>
              </w:rPr>
              <w:t>Total Burden</w:t>
            </w:r>
          </w:p>
        </w:tc>
      </w:tr>
      <w:tr w:rsidRPr="005A4F9A" w:rsidR="00884314" w:rsidTr="006C5DCC" w14:paraId="3D464CBE" w14:textId="77777777">
        <w:trPr>
          <w:trHeight w:val="345"/>
          <w:jc w:val="center"/>
        </w:trPr>
        <w:tc>
          <w:tcPr>
            <w:tcW w:w="1242" w:type="dxa"/>
            <w:tcBorders>
              <w:top w:val="single" w:color="auto" w:sz="8" w:space="0"/>
              <w:left w:val="single" w:color="auto" w:sz="8" w:space="0"/>
              <w:bottom w:val="single" w:color="000000" w:sz="8" w:space="0"/>
              <w:right w:val="single" w:color="auto" w:sz="8" w:space="0"/>
            </w:tcBorders>
          </w:tcPr>
          <w:p w:rsidR="00884314" w:rsidP="00757441" w:rsidRDefault="002F4ED3" w14:paraId="48F45375" w14:textId="77777777">
            <w:pPr>
              <w:keepNext/>
              <w:keepLines/>
              <w:jc w:val="center"/>
              <w:rPr>
                <w:rFonts w:ascii="Calibri" w:hAnsi="Calibri" w:cs="Calibri"/>
                <w:color w:val="000000"/>
                <w:sz w:val="22"/>
                <w:szCs w:val="22"/>
              </w:rPr>
            </w:pPr>
            <w:r w:rsidRPr="002F4ED3">
              <w:rPr>
                <w:rFonts w:ascii="Times New Roman" w:hAnsi="Times New Roman" w:cs="Calibri"/>
                <w:color w:val="000000"/>
                <w:sz w:val="22"/>
                <w:szCs w:val="22"/>
              </w:rPr>
              <w:t>§</w:t>
            </w:r>
            <w:r w:rsidRPr="00884314" w:rsidR="00884314">
              <w:rPr>
                <w:rFonts w:ascii="Times New Roman" w:hAnsi="Times New Roman" w:cs="Calibri"/>
                <w:color w:val="000000"/>
                <w:sz w:val="22"/>
                <w:szCs w:val="22"/>
              </w:rPr>
              <w:t>§</w:t>
            </w:r>
            <w:r w:rsidR="00884314">
              <w:rPr>
                <w:rFonts w:ascii="Times New Roman" w:hAnsi="Times New Roman" w:cs="Calibri"/>
                <w:color w:val="000000"/>
                <w:sz w:val="22"/>
                <w:szCs w:val="22"/>
              </w:rPr>
              <w:t>1.33</w:t>
            </w:r>
            <w:r>
              <w:rPr>
                <w:rFonts w:ascii="Times New Roman" w:hAnsi="Times New Roman" w:cs="Calibri"/>
                <w:color w:val="000000"/>
                <w:sz w:val="22"/>
                <w:szCs w:val="22"/>
              </w:rPr>
              <w:t xml:space="preserve">2-6,    1.351-3 and </w:t>
            </w:r>
            <w:r w:rsidR="00065081">
              <w:rPr>
                <w:rFonts w:ascii="Times New Roman" w:hAnsi="Times New Roman" w:cs="Calibri"/>
                <w:color w:val="000000"/>
                <w:sz w:val="22"/>
                <w:szCs w:val="22"/>
              </w:rPr>
              <w:t xml:space="preserve">  1.</w:t>
            </w:r>
            <w:r w:rsidR="00884314">
              <w:rPr>
                <w:rFonts w:ascii="Times New Roman" w:hAnsi="Times New Roman" w:cs="Calibri"/>
                <w:color w:val="000000"/>
                <w:sz w:val="22"/>
                <w:szCs w:val="22"/>
              </w:rPr>
              <w:t>36</w:t>
            </w:r>
            <w:r w:rsidR="00065081">
              <w:rPr>
                <w:rFonts w:ascii="Times New Roman" w:hAnsi="Times New Roman" w:cs="Calibri"/>
                <w:color w:val="000000"/>
                <w:sz w:val="22"/>
                <w:szCs w:val="22"/>
              </w:rPr>
              <w:t>8-3</w:t>
            </w:r>
          </w:p>
          <w:p w:rsidR="00884314" w:rsidP="00757441" w:rsidRDefault="00884314" w14:paraId="603294A8" w14:textId="77777777">
            <w:pPr>
              <w:keepNext/>
              <w:keepLines/>
              <w:jc w:val="center"/>
              <w:rPr>
                <w:rFonts w:ascii="Calibri" w:hAnsi="Calibri" w:cs="Calibri"/>
                <w:color w:val="000000"/>
                <w:sz w:val="22"/>
                <w:szCs w:val="22"/>
              </w:rPr>
            </w:pPr>
          </w:p>
        </w:tc>
        <w:tc>
          <w:tcPr>
            <w:tcW w:w="1278" w:type="dxa"/>
            <w:tcBorders>
              <w:top w:val="single" w:color="auto" w:sz="8" w:space="0"/>
              <w:left w:val="single" w:color="auto" w:sz="8" w:space="0"/>
              <w:bottom w:val="single" w:color="000000" w:sz="8" w:space="0"/>
              <w:right w:val="single" w:color="auto" w:sz="8" w:space="0"/>
            </w:tcBorders>
            <w:noWrap/>
            <w:vAlign w:val="center"/>
          </w:tcPr>
          <w:p w:rsidR="00884314" w:rsidP="00757441" w:rsidRDefault="00884314" w14:paraId="0F7DD31E" w14:textId="77777777">
            <w:pPr>
              <w:keepNext/>
              <w:keepLines/>
              <w:jc w:val="center"/>
              <w:rPr>
                <w:rFonts w:ascii="Calibri" w:hAnsi="Calibri" w:cs="Calibri"/>
                <w:color w:val="000000"/>
                <w:sz w:val="22"/>
                <w:szCs w:val="22"/>
              </w:rPr>
            </w:pPr>
            <w:r>
              <w:rPr>
                <w:rFonts w:ascii="Calibri" w:hAnsi="Calibri" w:cs="Calibri"/>
                <w:color w:val="000000"/>
                <w:sz w:val="22"/>
                <w:szCs w:val="22"/>
              </w:rPr>
              <w:t>TD 9759</w:t>
            </w:r>
          </w:p>
        </w:tc>
        <w:tc>
          <w:tcPr>
            <w:tcW w:w="1623" w:type="dxa"/>
            <w:tcBorders>
              <w:top w:val="single" w:color="auto" w:sz="8" w:space="0"/>
              <w:left w:val="nil"/>
              <w:bottom w:val="single" w:color="auto" w:sz="8" w:space="0"/>
              <w:right w:val="single" w:color="auto" w:sz="8" w:space="0"/>
            </w:tcBorders>
            <w:noWrap/>
            <w:vAlign w:val="center"/>
          </w:tcPr>
          <w:p w:rsidR="00884314" w:rsidP="00757441" w:rsidRDefault="00884314" w14:paraId="6918D075" w14:textId="77777777">
            <w:pPr>
              <w:keepNext/>
              <w:keepLines/>
              <w:jc w:val="center"/>
              <w:rPr>
                <w:rFonts w:ascii="Calibri" w:hAnsi="Calibri" w:cs="Calibri"/>
                <w:color w:val="000000"/>
                <w:sz w:val="22"/>
                <w:szCs w:val="22"/>
              </w:rPr>
            </w:pPr>
            <w:r>
              <w:rPr>
                <w:rFonts w:ascii="Calibri" w:hAnsi="Calibri" w:cs="Calibri"/>
                <w:color w:val="000000"/>
                <w:sz w:val="22"/>
                <w:szCs w:val="22"/>
              </w:rPr>
              <w:t>225,000</w:t>
            </w:r>
          </w:p>
        </w:tc>
        <w:tc>
          <w:tcPr>
            <w:tcW w:w="1661" w:type="dxa"/>
            <w:tcBorders>
              <w:top w:val="single" w:color="auto" w:sz="8" w:space="0"/>
              <w:left w:val="nil"/>
              <w:bottom w:val="single" w:color="auto" w:sz="8" w:space="0"/>
              <w:right w:val="single" w:color="auto" w:sz="8" w:space="0"/>
            </w:tcBorders>
            <w:noWrap/>
            <w:vAlign w:val="center"/>
          </w:tcPr>
          <w:p w:rsidRPr="005A4F9A" w:rsidR="00884314" w:rsidP="00757441" w:rsidRDefault="00884314" w14:paraId="7801F8EF" w14:textId="77777777">
            <w:pPr>
              <w:keepNext/>
              <w:keepLines/>
              <w:jc w:val="center"/>
              <w:rPr>
                <w:rFonts w:ascii="Calibri" w:hAnsi="Calibri" w:cs="Calibri"/>
                <w:color w:val="000000"/>
                <w:sz w:val="22"/>
                <w:szCs w:val="22"/>
              </w:rPr>
            </w:pPr>
            <w:r>
              <w:rPr>
                <w:rFonts w:ascii="Calibri" w:hAnsi="Calibri" w:cs="Calibri"/>
                <w:color w:val="000000"/>
                <w:sz w:val="22"/>
                <w:szCs w:val="22"/>
              </w:rPr>
              <w:t>1</w:t>
            </w:r>
          </w:p>
        </w:tc>
        <w:tc>
          <w:tcPr>
            <w:tcW w:w="1437" w:type="dxa"/>
            <w:tcBorders>
              <w:top w:val="single" w:color="auto" w:sz="8" w:space="0"/>
              <w:left w:val="nil"/>
              <w:bottom w:val="single" w:color="auto" w:sz="8" w:space="0"/>
              <w:right w:val="single" w:color="auto" w:sz="8" w:space="0"/>
            </w:tcBorders>
            <w:noWrap/>
            <w:vAlign w:val="center"/>
          </w:tcPr>
          <w:p w:rsidR="00884314" w:rsidP="00757441" w:rsidRDefault="00884314" w14:paraId="7EB7E042" w14:textId="77777777">
            <w:pPr>
              <w:keepNext/>
              <w:keepLines/>
              <w:jc w:val="center"/>
              <w:rPr>
                <w:rFonts w:ascii="Calibri" w:hAnsi="Calibri" w:cs="Calibri"/>
                <w:color w:val="000000"/>
                <w:sz w:val="22"/>
                <w:szCs w:val="22"/>
              </w:rPr>
            </w:pPr>
            <w:r>
              <w:rPr>
                <w:rFonts w:ascii="Calibri" w:hAnsi="Calibri" w:cs="Calibri"/>
                <w:color w:val="000000"/>
                <w:sz w:val="22"/>
                <w:szCs w:val="22"/>
              </w:rPr>
              <w:t>225,000</w:t>
            </w:r>
          </w:p>
        </w:tc>
        <w:tc>
          <w:tcPr>
            <w:tcW w:w="1167" w:type="dxa"/>
            <w:tcBorders>
              <w:top w:val="single" w:color="auto" w:sz="8" w:space="0"/>
              <w:left w:val="nil"/>
              <w:bottom w:val="single" w:color="auto" w:sz="8" w:space="0"/>
              <w:right w:val="single" w:color="auto" w:sz="8" w:space="0"/>
            </w:tcBorders>
            <w:noWrap/>
            <w:vAlign w:val="center"/>
          </w:tcPr>
          <w:p w:rsidR="00884314" w:rsidP="00757441" w:rsidRDefault="00884314" w14:paraId="6F23327E" w14:textId="77777777">
            <w:pPr>
              <w:keepNext/>
              <w:keepLines/>
              <w:jc w:val="center"/>
              <w:rPr>
                <w:rFonts w:ascii="Calibri" w:hAnsi="Calibri" w:cs="Calibri"/>
                <w:color w:val="000000"/>
                <w:sz w:val="22"/>
                <w:szCs w:val="22"/>
              </w:rPr>
            </w:pPr>
            <w:r>
              <w:rPr>
                <w:rFonts w:ascii="Calibri" w:hAnsi="Calibri" w:cs="Calibri"/>
                <w:color w:val="000000"/>
                <w:sz w:val="22"/>
                <w:szCs w:val="22"/>
              </w:rPr>
              <w:t>1.</w:t>
            </w:r>
            <w:r w:rsidR="00CE703D">
              <w:rPr>
                <w:rFonts w:ascii="Calibri" w:hAnsi="Calibri" w:cs="Calibri"/>
                <w:color w:val="000000"/>
                <w:sz w:val="22"/>
                <w:szCs w:val="22"/>
              </w:rPr>
              <w:t>67</w:t>
            </w:r>
          </w:p>
        </w:tc>
        <w:tc>
          <w:tcPr>
            <w:tcW w:w="1080" w:type="dxa"/>
            <w:tcBorders>
              <w:top w:val="single" w:color="auto" w:sz="8" w:space="0"/>
              <w:left w:val="nil"/>
              <w:bottom w:val="single" w:color="auto" w:sz="8" w:space="0"/>
              <w:right w:val="single" w:color="auto" w:sz="8" w:space="0"/>
            </w:tcBorders>
            <w:noWrap/>
            <w:vAlign w:val="center"/>
          </w:tcPr>
          <w:p w:rsidR="00884314" w:rsidP="00757441" w:rsidRDefault="00A2443C" w14:paraId="345508FB" w14:textId="77777777">
            <w:pPr>
              <w:keepNext/>
              <w:keepLines/>
              <w:jc w:val="center"/>
              <w:rPr>
                <w:rFonts w:ascii="Calibri" w:hAnsi="Calibri" w:cs="Calibri"/>
                <w:color w:val="000000"/>
                <w:sz w:val="22"/>
                <w:szCs w:val="22"/>
              </w:rPr>
            </w:pPr>
            <w:r>
              <w:rPr>
                <w:rFonts w:ascii="Calibri" w:hAnsi="Calibri" w:cs="Calibri"/>
                <w:color w:val="000000"/>
                <w:sz w:val="22"/>
                <w:szCs w:val="22"/>
              </w:rPr>
              <w:t>375</w:t>
            </w:r>
            <w:r w:rsidR="00F87515">
              <w:rPr>
                <w:rFonts w:ascii="Calibri" w:hAnsi="Calibri" w:cs="Calibri"/>
                <w:color w:val="000000"/>
                <w:sz w:val="22"/>
                <w:szCs w:val="22"/>
              </w:rPr>
              <w:t>,</w:t>
            </w:r>
            <w:r>
              <w:rPr>
                <w:rFonts w:ascii="Calibri" w:hAnsi="Calibri" w:cs="Calibri"/>
                <w:color w:val="000000"/>
                <w:sz w:val="22"/>
                <w:szCs w:val="22"/>
              </w:rPr>
              <w:t>0</w:t>
            </w:r>
            <w:r w:rsidR="00884314">
              <w:rPr>
                <w:rFonts w:ascii="Calibri" w:hAnsi="Calibri" w:cs="Calibri"/>
                <w:color w:val="000000"/>
                <w:sz w:val="22"/>
                <w:szCs w:val="22"/>
              </w:rPr>
              <w:t>00</w:t>
            </w:r>
          </w:p>
        </w:tc>
      </w:tr>
    </w:tbl>
    <w:p w:rsidRPr="00432297" w:rsidR="00F61732" w:rsidP="000B1374" w:rsidRDefault="00F61732" w14:paraId="4CFADA68" w14:textId="77777777">
      <w:pPr>
        <w:autoSpaceDE w:val="0"/>
        <w:autoSpaceDN w:val="0"/>
        <w:adjustRightInd w:val="0"/>
        <w:rPr>
          <w:rFonts w:ascii="Times New Roman" w:hAnsi="Times New Roman"/>
        </w:rPr>
      </w:pPr>
    </w:p>
    <w:p w:rsidRPr="00432297" w:rsidR="000B1374" w:rsidP="000B1374" w:rsidRDefault="000B1374" w14:paraId="4E99A943" w14:textId="77777777">
      <w:pPr>
        <w:autoSpaceDE w:val="0"/>
        <w:autoSpaceDN w:val="0"/>
        <w:adjustRightInd w:val="0"/>
        <w:rPr>
          <w:rFonts w:ascii="Times New Roman" w:hAnsi="Times New Roman"/>
        </w:rPr>
      </w:pPr>
      <w:r w:rsidRPr="00432297">
        <w:rPr>
          <w:rFonts w:ascii="Times New Roman" w:hAnsi="Times New Roman"/>
        </w:rPr>
        <w:t xml:space="preserve">13. </w:t>
      </w:r>
      <w:r w:rsidRPr="00432297">
        <w:rPr>
          <w:rFonts w:ascii="Times New Roman" w:hAnsi="Times New Roman"/>
          <w:u w:val="single"/>
        </w:rPr>
        <w:t>ESTIMATED TOTAL ANNUAL COST BURDEN TO RESPONDENTS</w:t>
      </w:r>
    </w:p>
    <w:p w:rsidRPr="00432297" w:rsidR="002319F5" w:rsidP="000B1374" w:rsidRDefault="002319F5" w14:paraId="77FF553D" w14:textId="77777777">
      <w:pPr>
        <w:autoSpaceDE w:val="0"/>
        <w:autoSpaceDN w:val="0"/>
        <w:adjustRightInd w:val="0"/>
        <w:rPr>
          <w:rFonts w:ascii="Times New Roman" w:hAnsi="Times New Roman"/>
        </w:rPr>
      </w:pPr>
    </w:p>
    <w:p w:rsidRPr="00D37DC7" w:rsidR="00F87515" w:rsidP="0006774B" w:rsidRDefault="00F87515" w14:paraId="19760690" w14:textId="77777777">
      <w:pPr>
        <w:rPr>
          <w:rFonts w:ascii="Calibri" w:hAnsi="Calibri"/>
          <w:sz w:val="22"/>
          <w:szCs w:val="22"/>
        </w:rPr>
      </w:pPr>
      <w:r w:rsidRPr="0006774B">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D37DC7">
        <w:rPr>
          <w:rFonts w:ascii="Calibri" w:hAnsi="Calibri"/>
          <w:sz w:val="22"/>
          <w:szCs w:val="22"/>
        </w:rPr>
        <w:t>.</w:t>
      </w:r>
    </w:p>
    <w:p w:rsidRPr="00432297" w:rsidR="00F61732" w:rsidP="000B1374" w:rsidRDefault="00F61732" w14:paraId="5FE69076" w14:textId="77777777">
      <w:pPr>
        <w:autoSpaceDE w:val="0"/>
        <w:autoSpaceDN w:val="0"/>
        <w:adjustRightInd w:val="0"/>
        <w:rPr>
          <w:rFonts w:ascii="Times New Roman" w:hAnsi="Times New Roman"/>
        </w:rPr>
      </w:pPr>
    </w:p>
    <w:p w:rsidRPr="00432297" w:rsidR="000B1374" w:rsidP="000B1374" w:rsidRDefault="000B1374" w14:paraId="2B40EA04" w14:textId="77777777">
      <w:pPr>
        <w:autoSpaceDE w:val="0"/>
        <w:autoSpaceDN w:val="0"/>
        <w:adjustRightInd w:val="0"/>
        <w:rPr>
          <w:rFonts w:ascii="Times New Roman" w:hAnsi="Times New Roman"/>
        </w:rPr>
      </w:pPr>
      <w:r w:rsidRPr="00432297">
        <w:rPr>
          <w:rFonts w:ascii="Times New Roman" w:hAnsi="Times New Roman"/>
        </w:rPr>
        <w:t xml:space="preserve">14. </w:t>
      </w:r>
      <w:r w:rsidRPr="00432297">
        <w:rPr>
          <w:rFonts w:ascii="Times New Roman" w:hAnsi="Times New Roman"/>
          <w:u w:val="single"/>
        </w:rPr>
        <w:t>ESTIMATED ANNUALIZED COST TO THE FEDERAL GOVERNMENT</w:t>
      </w:r>
    </w:p>
    <w:p w:rsidRPr="00432297" w:rsidR="002319F5" w:rsidP="000B1374" w:rsidRDefault="002319F5" w14:paraId="745E6B8C" w14:textId="77777777">
      <w:pPr>
        <w:autoSpaceDE w:val="0"/>
        <w:autoSpaceDN w:val="0"/>
        <w:adjustRightInd w:val="0"/>
        <w:rPr>
          <w:rFonts w:ascii="Times New Roman" w:hAnsi="Times New Roman"/>
        </w:rPr>
      </w:pPr>
    </w:p>
    <w:p w:rsidRPr="0006774B" w:rsidR="0006774B" w:rsidP="0006774B" w:rsidRDefault="0006774B" w14:paraId="6550E0BA" w14:textId="77777777">
      <w:pPr>
        <w:rPr>
          <w:rFonts w:ascii="Times New Roman" w:hAnsi="Times New Roman"/>
        </w:rPr>
      </w:pPr>
      <w:r w:rsidRPr="0006774B">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06C3A" w:rsidR="0006774B" w:rsidP="00306C3A" w:rsidRDefault="0006774B" w14:paraId="6ACA3DF9" w14:textId="77777777">
      <w:pPr>
        <w:rPr>
          <w:rFonts w:ascii="Times New Roman" w:hAnsi="Times New Roman"/>
        </w:rPr>
      </w:pPr>
    </w:p>
    <w:p w:rsidRPr="009F0CB5" w:rsidR="00981C33" w:rsidP="006C5DCC" w:rsidRDefault="00981C33" w14:paraId="3344E8EC" w14:textId="77777777">
      <w:pPr>
        <w:tabs>
          <w:tab w:val="left" w:pos="-1440"/>
        </w:tabs>
        <w:ind w:left="360" w:hanging="360"/>
        <w:rPr>
          <w:rFonts w:ascii="Times New Roman" w:hAnsi="Times New Roman"/>
        </w:rPr>
      </w:pPr>
      <w:r w:rsidRPr="009F0CB5">
        <w:rPr>
          <w:rFonts w:ascii="Times New Roman" w:hAnsi="Times New Roman"/>
        </w:rPr>
        <w:t>15.</w:t>
      </w:r>
      <w:r w:rsidRPr="009F0CB5">
        <w:rPr>
          <w:rFonts w:ascii="Times New Roman" w:hAnsi="Times New Roman"/>
        </w:rPr>
        <w:tab/>
      </w:r>
      <w:r w:rsidRPr="009F0CB5">
        <w:rPr>
          <w:rFonts w:ascii="Times New Roman" w:hAnsi="Times New Roman"/>
          <w:u w:val="single"/>
        </w:rPr>
        <w:t>REASONS FOR CHANGE IN BURDEN</w:t>
      </w:r>
    </w:p>
    <w:p w:rsidRPr="009F0CB5" w:rsidR="00981C33" w:rsidP="00981C33" w:rsidRDefault="00981C33" w14:paraId="75A86A85" w14:textId="77777777">
      <w:pPr>
        <w:rPr>
          <w:rFonts w:ascii="Times New Roman" w:hAnsi="Times New Roman"/>
        </w:rPr>
      </w:pPr>
    </w:p>
    <w:p w:rsidR="00981C33" w:rsidP="006C5DCC" w:rsidRDefault="00981C33" w14:paraId="590B576B" w14:textId="77777777">
      <w:pPr>
        <w:rPr>
          <w:rFonts w:ascii="Times New Roman" w:hAnsi="Times New Roman"/>
        </w:rPr>
      </w:pPr>
      <w:r w:rsidRPr="009F0CB5">
        <w:rPr>
          <w:rFonts w:ascii="Times New Roman" w:hAnsi="Times New Roman"/>
        </w:rPr>
        <w:t>There is no change in the paperwork burden previously approved by OMB. We are making this submission to renew the OMB approval.</w:t>
      </w:r>
    </w:p>
    <w:p w:rsidRPr="00432297" w:rsidR="001147AD" w:rsidP="001147AD" w:rsidRDefault="001147AD" w14:paraId="6BB863B4" w14:textId="77777777">
      <w:pPr>
        <w:autoSpaceDE w:val="0"/>
        <w:autoSpaceDN w:val="0"/>
        <w:adjustRightInd w:val="0"/>
        <w:rPr>
          <w:rFonts w:ascii="Times New Roman" w:hAnsi="Times New Roman"/>
        </w:rPr>
      </w:pPr>
    </w:p>
    <w:p w:rsidRPr="00432297" w:rsidR="0017217F" w:rsidP="001147AD" w:rsidRDefault="0017217F" w14:paraId="1BD5E01C" w14:textId="77777777">
      <w:pPr>
        <w:autoSpaceDE w:val="0"/>
        <w:autoSpaceDN w:val="0"/>
        <w:adjustRightInd w:val="0"/>
        <w:rPr>
          <w:rFonts w:ascii="Times New Roman" w:hAnsi="Times New Roman"/>
        </w:rPr>
      </w:pPr>
    </w:p>
    <w:p w:rsidRPr="00432297" w:rsidR="000B1374" w:rsidP="000B1374" w:rsidRDefault="000B1374" w14:paraId="7703656A" w14:textId="72BE5508">
      <w:pPr>
        <w:autoSpaceDE w:val="0"/>
        <w:autoSpaceDN w:val="0"/>
        <w:adjustRightInd w:val="0"/>
        <w:rPr>
          <w:rFonts w:ascii="Times New Roman" w:hAnsi="Times New Roman"/>
        </w:rPr>
      </w:pPr>
      <w:r w:rsidRPr="00432297">
        <w:rPr>
          <w:rFonts w:ascii="Times New Roman" w:hAnsi="Times New Roman"/>
        </w:rPr>
        <w:t>1</w:t>
      </w:r>
      <w:r w:rsidR="00981C33">
        <w:rPr>
          <w:rFonts w:ascii="Times New Roman" w:hAnsi="Times New Roman"/>
        </w:rPr>
        <w:t>6</w:t>
      </w:r>
      <w:r w:rsidRPr="00432297">
        <w:rPr>
          <w:rFonts w:ascii="Times New Roman" w:hAnsi="Times New Roman"/>
        </w:rPr>
        <w:t xml:space="preserve">. </w:t>
      </w:r>
      <w:r w:rsidRPr="00432297">
        <w:rPr>
          <w:rFonts w:ascii="Times New Roman" w:hAnsi="Times New Roman"/>
          <w:u w:val="single"/>
        </w:rPr>
        <w:t>PLANS FOR TABULATION, STATISTICAL ANALYSIS AND PUBLICATION</w:t>
      </w:r>
    </w:p>
    <w:p w:rsidRPr="00432297" w:rsidR="009D5F6D" w:rsidP="000B1374" w:rsidRDefault="009D5F6D" w14:paraId="58568C24" w14:textId="77777777">
      <w:pPr>
        <w:autoSpaceDE w:val="0"/>
        <w:autoSpaceDN w:val="0"/>
        <w:adjustRightInd w:val="0"/>
        <w:rPr>
          <w:rFonts w:ascii="Times New Roman" w:hAnsi="Times New Roman"/>
        </w:rPr>
      </w:pPr>
    </w:p>
    <w:p w:rsidRPr="008B51C1" w:rsidR="008B51C1" w:rsidP="008B51C1" w:rsidRDefault="008B51C1" w14:paraId="0B4B2C01" w14:textId="77777777">
      <w:pPr>
        <w:rPr>
          <w:rFonts w:ascii="Times New Roman" w:hAnsi="Times New Roman"/>
        </w:rPr>
      </w:pPr>
      <w:r w:rsidRPr="008B51C1">
        <w:rPr>
          <w:rFonts w:ascii="Times New Roman" w:hAnsi="Times New Roman"/>
        </w:rPr>
        <w:t>There are no plans for tabulation, statistical analysis and publication.</w:t>
      </w:r>
    </w:p>
    <w:p w:rsidRPr="00432297" w:rsidR="009D5F6D" w:rsidP="000B1374" w:rsidRDefault="009D5F6D" w14:paraId="5DE3DD8E" w14:textId="77777777">
      <w:pPr>
        <w:autoSpaceDE w:val="0"/>
        <w:autoSpaceDN w:val="0"/>
        <w:adjustRightInd w:val="0"/>
        <w:rPr>
          <w:rFonts w:ascii="Times New Roman" w:hAnsi="Times New Roman"/>
        </w:rPr>
      </w:pPr>
    </w:p>
    <w:p w:rsidRPr="00432297" w:rsidR="000B1374" w:rsidP="000B1374" w:rsidRDefault="000B1374" w14:paraId="09B77D76" w14:textId="0AD110D1">
      <w:pPr>
        <w:autoSpaceDE w:val="0"/>
        <w:autoSpaceDN w:val="0"/>
        <w:adjustRightInd w:val="0"/>
        <w:rPr>
          <w:rFonts w:ascii="Times New Roman" w:hAnsi="Times New Roman"/>
        </w:rPr>
      </w:pPr>
      <w:r w:rsidRPr="00432297">
        <w:rPr>
          <w:rFonts w:ascii="Times New Roman" w:hAnsi="Times New Roman"/>
        </w:rPr>
        <w:t>1</w:t>
      </w:r>
      <w:r w:rsidR="00981C33">
        <w:rPr>
          <w:rFonts w:ascii="Times New Roman" w:hAnsi="Times New Roman"/>
        </w:rPr>
        <w:t>7</w:t>
      </w:r>
      <w:r w:rsidRPr="00432297">
        <w:rPr>
          <w:rFonts w:ascii="Times New Roman" w:hAnsi="Times New Roman"/>
        </w:rPr>
        <w:t xml:space="preserve">. </w:t>
      </w:r>
      <w:r w:rsidRPr="00432297">
        <w:rPr>
          <w:rFonts w:ascii="Times New Roman" w:hAnsi="Times New Roman"/>
          <w:u w:val="single"/>
        </w:rPr>
        <w:t>REASONS WHY DISPLAYING THE OMB EXPIRATION DATE IS INAPPROPRIATE</w:t>
      </w:r>
    </w:p>
    <w:p w:rsidRPr="00432297" w:rsidR="009D5F6D" w:rsidP="000B1374" w:rsidRDefault="009D5F6D" w14:paraId="5F54C86B" w14:textId="77777777">
      <w:pPr>
        <w:autoSpaceDE w:val="0"/>
        <w:autoSpaceDN w:val="0"/>
        <w:adjustRightInd w:val="0"/>
        <w:rPr>
          <w:rFonts w:ascii="Times New Roman" w:hAnsi="Times New Roman"/>
        </w:rPr>
      </w:pPr>
    </w:p>
    <w:p w:rsidRPr="00432297" w:rsidR="000B1374" w:rsidP="000B1374" w:rsidRDefault="0006774B" w14:paraId="5299A5AF" w14:textId="77777777">
      <w:pPr>
        <w:autoSpaceDE w:val="0"/>
        <w:autoSpaceDN w:val="0"/>
        <w:adjustRightInd w:val="0"/>
        <w:rPr>
          <w:rFonts w:ascii="Times New Roman" w:hAnsi="Times New Roman"/>
        </w:rPr>
      </w:pPr>
      <w:r>
        <w:rPr>
          <w:rFonts w:ascii="Times New Roman" w:hAnsi="Times New Roman"/>
        </w:rPr>
        <w:t>The IRS</w:t>
      </w:r>
      <w:r w:rsidRPr="00432297" w:rsidR="000B1374">
        <w:rPr>
          <w:rFonts w:ascii="Times New Roman" w:hAnsi="Times New Roman"/>
        </w:rPr>
        <w:t xml:space="preserve"> believe</w:t>
      </w:r>
      <w:r>
        <w:rPr>
          <w:rFonts w:ascii="Times New Roman" w:hAnsi="Times New Roman"/>
        </w:rPr>
        <w:t>s</w:t>
      </w:r>
      <w:r w:rsidRPr="00432297" w:rsidR="000B1374">
        <w:rPr>
          <w:rFonts w:ascii="Times New Roman" w:hAnsi="Times New Roman"/>
        </w:rPr>
        <w:t xml:space="preserve"> that displaying the OMB expiration date is inappropriate because it could cause</w:t>
      </w:r>
      <w:r w:rsidRPr="00432297" w:rsidR="00A90626">
        <w:rPr>
          <w:rFonts w:ascii="Times New Roman" w:hAnsi="Times New Roman"/>
        </w:rPr>
        <w:t xml:space="preserve"> </w:t>
      </w:r>
      <w:r w:rsidRPr="00432297" w:rsidR="000B1374">
        <w:rPr>
          <w:rFonts w:ascii="Times New Roman" w:hAnsi="Times New Roman"/>
        </w:rPr>
        <w:t>confusion by leading taxpayers to believe that the regulations sunset as of the expiration date.</w:t>
      </w:r>
      <w:r>
        <w:rPr>
          <w:rFonts w:ascii="Times New Roman" w:hAnsi="Times New Roman"/>
        </w:rPr>
        <w:t xml:space="preserve"> </w:t>
      </w:r>
      <w:r w:rsidRPr="00432297" w:rsidR="000B1374">
        <w:rPr>
          <w:rFonts w:ascii="Times New Roman" w:hAnsi="Times New Roman"/>
        </w:rPr>
        <w:t>Taxpayers are not likely to be aware that the Service intends to request renewal of the OMB</w:t>
      </w:r>
      <w:r w:rsidRPr="00432297" w:rsidR="00A90626">
        <w:rPr>
          <w:rFonts w:ascii="Times New Roman" w:hAnsi="Times New Roman"/>
        </w:rPr>
        <w:t xml:space="preserve"> </w:t>
      </w:r>
      <w:r w:rsidRPr="00432297" w:rsidR="000B1374">
        <w:rPr>
          <w:rFonts w:ascii="Times New Roman" w:hAnsi="Times New Roman"/>
        </w:rPr>
        <w:t>approval and obtain a new expiration date before the old one expires.</w:t>
      </w:r>
    </w:p>
    <w:p w:rsidRPr="00432297" w:rsidR="009D5F6D" w:rsidP="000B1374" w:rsidRDefault="009D5F6D" w14:paraId="6B760B3B" w14:textId="77777777">
      <w:pPr>
        <w:autoSpaceDE w:val="0"/>
        <w:autoSpaceDN w:val="0"/>
        <w:adjustRightInd w:val="0"/>
        <w:rPr>
          <w:rFonts w:ascii="Times New Roman" w:hAnsi="Times New Roman"/>
        </w:rPr>
      </w:pPr>
    </w:p>
    <w:p w:rsidRPr="00432297" w:rsidR="000B1374" w:rsidP="000B1374" w:rsidRDefault="000B1374" w14:paraId="2A99BC6A" w14:textId="117ECD9D">
      <w:pPr>
        <w:autoSpaceDE w:val="0"/>
        <w:autoSpaceDN w:val="0"/>
        <w:adjustRightInd w:val="0"/>
        <w:rPr>
          <w:rFonts w:ascii="Times New Roman" w:hAnsi="Times New Roman"/>
        </w:rPr>
      </w:pPr>
      <w:r w:rsidRPr="00432297">
        <w:rPr>
          <w:rFonts w:ascii="Times New Roman" w:hAnsi="Times New Roman"/>
        </w:rPr>
        <w:t>1</w:t>
      </w:r>
      <w:r w:rsidR="00981C33">
        <w:rPr>
          <w:rFonts w:ascii="Times New Roman" w:hAnsi="Times New Roman"/>
        </w:rPr>
        <w:t>8</w:t>
      </w:r>
      <w:r w:rsidRPr="00432297">
        <w:rPr>
          <w:rFonts w:ascii="Times New Roman" w:hAnsi="Times New Roman"/>
        </w:rPr>
        <w:t xml:space="preserve">. </w:t>
      </w:r>
      <w:r w:rsidRPr="00432297">
        <w:rPr>
          <w:rFonts w:ascii="Times New Roman" w:hAnsi="Times New Roman"/>
          <w:u w:val="single"/>
        </w:rPr>
        <w:t xml:space="preserve">EXCEPTIONS TO THE CERTIFICATION STATEMENT </w:t>
      </w:r>
    </w:p>
    <w:p w:rsidRPr="00432297" w:rsidR="009D5F6D" w:rsidP="000B1374" w:rsidRDefault="009D5F6D" w14:paraId="66DDEA39" w14:textId="77777777">
      <w:pPr>
        <w:autoSpaceDE w:val="0"/>
        <w:autoSpaceDN w:val="0"/>
        <w:adjustRightInd w:val="0"/>
        <w:rPr>
          <w:rFonts w:ascii="Times New Roman" w:hAnsi="Times New Roman"/>
        </w:rPr>
      </w:pPr>
    </w:p>
    <w:p w:rsidRPr="002C7A00" w:rsidR="002C7A00" w:rsidP="002C7A00" w:rsidRDefault="002C7A00" w14:paraId="6A6F83FE" w14:textId="77777777">
      <w:pPr>
        <w:rPr>
          <w:rFonts w:ascii="Times New Roman" w:hAnsi="Times New Roman"/>
        </w:rPr>
      </w:pPr>
      <w:r w:rsidRPr="002C7A00">
        <w:rPr>
          <w:rFonts w:ascii="Times New Roman" w:hAnsi="Times New Roman"/>
        </w:rPr>
        <w:t xml:space="preserve">There are no exceptions to the certification statement. </w:t>
      </w:r>
    </w:p>
    <w:p w:rsidRPr="00432297" w:rsidR="000B1374" w:rsidP="000B1374" w:rsidRDefault="000B1374" w14:paraId="532787B5" w14:textId="77777777">
      <w:pPr>
        <w:autoSpaceDE w:val="0"/>
        <w:autoSpaceDN w:val="0"/>
        <w:adjustRightInd w:val="0"/>
        <w:rPr>
          <w:rFonts w:ascii="Times New Roman" w:hAnsi="Times New Roman"/>
        </w:rPr>
      </w:pPr>
    </w:p>
    <w:p w:rsidRPr="00432297" w:rsidR="009D5F6D" w:rsidP="000B1374" w:rsidRDefault="009D5F6D" w14:paraId="2E8DFBD4" w14:textId="77777777">
      <w:pPr>
        <w:autoSpaceDE w:val="0"/>
        <w:autoSpaceDN w:val="0"/>
        <w:adjustRightInd w:val="0"/>
        <w:rPr>
          <w:rFonts w:ascii="Times New Roman" w:hAnsi="Times New Roman"/>
        </w:rPr>
      </w:pPr>
    </w:p>
    <w:p w:rsidRPr="00432297" w:rsidR="000B1374" w:rsidP="000B1374" w:rsidRDefault="000B1374" w14:paraId="1802BC06" w14:textId="77777777">
      <w:pPr>
        <w:autoSpaceDE w:val="0"/>
        <w:autoSpaceDN w:val="0"/>
        <w:adjustRightInd w:val="0"/>
        <w:rPr>
          <w:rFonts w:ascii="Times New Roman" w:hAnsi="Times New Roman"/>
        </w:rPr>
      </w:pPr>
      <w:r w:rsidRPr="0006774B">
        <w:rPr>
          <w:rFonts w:ascii="Times New Roman" w:hAnsi="Times New Roman"/>
          <w:u w:val="single"/>
        </w:rPr>
        <w:t>Note:</w:t>
      </w:r>
      <w:r w:rsidRPr="00432297">
        <w:rPr>
          <w:rFonts w:ascii="Times New Roman" w:hAnsi="Times New Roman"/>
        </w:rPr>
        <w:t xml:space="preserve"> The following paragraph applies to </w:t>
      </w:r>
      <w:proofErr w:type="gramStart"/>
      <w:r w:rsidRPr="00432297">
        <w:rPr>
          <w:rFonts w:ascii="Times New Roman" w:hAnsi="Times New Roman"/>
        </w:rPr>
        <w:t>all of</w:t>
      </w:r>
      <w:proofErr w:type="gramEnd"/>
      <w:r w:rsidRPr="00432297">
        <w:rPr>
          <w:rFonts w:ascii="Times New Roman" w:hAnsi="Times New Roman"/>
        </w:rPr>
        <w:t xml:space="preserve"> the collections of information in this submission:</w:t>
      </w:r>
    </w:p>
    <w:p w:rsidRPr="00432297" w:rsidR="009D5F6D" w:rsidP="009D5F6D" w:rsidRDefault="009D5F6D" w14:paraId="3BF3FB03" w14:textId="77777777">
      <w:pPr>
        <w:autoSpaceDE w:val="0"/>
        <w:autoSpaceDN w:val="0"/>
        <w:adjustRightInd w:val="0"/>
        <w:rPr>
          <w:rFonts w:ascii="Times New Roman" w:hAnsi="Times New Roman"/>
        </w:rPr>
      </w:pPr>
    </w:p>
    <w:p w:rsidRPr="00432297" w:rsidR="000B1374" w:rsidP="000B1374" w:rsidRDefault="002C7A00" w14:paraId="19F16AD9" w14:textId="77777777">
      <w:pPr>
        <w:autoSpaceDE w:val="0"/>
        <w:autoSpaceDN w:val="0"/>
        <w:adjustRightInd w:val="0"/>
        <w:rPr>
          <w:rFonts w:ascii="Times New Roman" w:hAnsi="Times New Roman"/>
        </w:rPr>
      </w:pPr>
      <w:r>
        <w:rPr>
          <w:rFonts w:ascii="Times New Roman" w:hAnsi="Times New Roman"/>
        </w:rPr>
        <w:t xml:space="preserve">     </w:t>
      </w:r>
      <w:r w:rsidRPr="00432297" w:rsidR="000B1374">
        <w:rPr>
          <w:rFonts w:ascii="Times New Roman" w:hAnsi="Times New Roman"/>
        </w:rPr>
        <w:t xml:space="preserve">An agency may not conduct or sponsor, and a person is not required to respond to, a </w:t>
      </w:r>
      <w:r w:rsidRPr="00432297" w:rsidR="009D5F6D">
        <w:rPr>
          <w:rFonts w:ascii="Times New Roman" w:hAnsi="Times New Roman"/>
        </w:rPr>
        <w:t>c</w:t>
      </w:r>
      <w:r w:rsidRPr="00432297" w:rsidR="000B1374">
        <w:rPr>
          <w:rFonts w:ascii="Times New Roman" w:hAnsi="Times New Roman"/>
        </w:rPr>
        <w:t>ollection of</w:t>
      </w:r>
      <w:r w:rsidRPr="00432297" w:rsidR="009D5F6D">
        <w:rPr>
          <w:rFonts w:ascii="Times New Roman" w:hAnsi="Times New Roman"/>
        </w:rPr>
        <w:t xml:space="preserve"> </w:t>
      </w:r>
      <w:r w:rsidRPr="00432297" w:rsidR="000B1374">
        <w:rPr>
          <w:rFonts w:ascii="Times New Roman" w:hAnsi="Times New Roman"/>
        </w:rPr>
        <w:t xml:space="preserve">information unless the collection of information displays a valid OMB control number. </w:t>
      </w:r>
      <w:r w:rsidRPr="00432297" w:rsidR="009D5F6D">
        <w:rPr>
          <w:rFonts w:ascii="Times New Roman" w:hAnsi="Times New Roman"/>
        </w:rPr>
        <w:t xml:space="preserve"> </w:t>
      </w:r>
      <w:r w:rsidRPr="00432297" w:rsidR="000B1374">
        <w:rPr>
          <w:rFonts w:ascii="Times New Roman" w:hAnsi="Times New Roman"/>
        </w:rPr>
        <w:t>Books or records</w:t>
      </w:r>
      <w:r w:rsidRPr="00432297" w:rsidR="009D5F6D">
        <w:rPr>
          <w:rFonts w:ascii="Times New Roman" w:hAnsi="Times New Roman"/>
        </w:rPr>
        <w:t xml:space="preserve"> </w:t>
      </w:r>
      <w:r w:rsidRPr="00432297" w:rsidR="000B1374">
        <w:rPr>
          <w:rFonts w:ascii="Times New Roman" w:hAnsi="Times New Roman"/>
        </w:rPr>
        <w:t xml:space="preserve">relating to a collection of information must be retained </w:t>
      </w:r>
      <w:proofErr w:type="gramStart"/>
      <w:r w:rsidRPr="00432297" w:rsidR="000B1374">
        <w:rPr>
          <w:rFonts w:ascii="Times New Roman" w:hAnsi="Times New Roman"/>
        </w:rPr>
        <w:t>as long as</w:t>
      </w:r>
      <w:proofErr w:type="gramEnd"/>
      <w:r w:rsidRPr="00432297" w:rsidR="000B1374">
        <w:rPr>
          <w:rFonts w:ascii="Times New Roman" w:hAnsi="Times New Roman"/>
        </w:rPr>
        <w:t xml:space="preserve"> their contents may become material in</w:t>
      </w:r>
      <w:r w:rsidRPr="00432297" w:rsidR="009D5F6D">
        <w:rPr>
          <w:rFonts w:ascii="Times New Roman" w:hAnsi="Times New Roman"/>
        </w:rPr>
        <w:t xml:space="preserve"> </w:t>
      </w:r>
      <w:r w:rsidRPr="00432297" w:rsidR="000B1374">
        <w:rPr>
          <w:rFonts w:ascii="Times New Roman" w:hAnsi="Times New Roman"/>
        </w:rPr>
        <w:t>the administration of any internal revenue law. Generally, tax returns and tax return information are</w:t>
      </w:r>
      <w:r w:rsidRPr="00432297" w:rsidR="009D5F6D">
        <w:rPr>
          <w:rFonts w:ascii="Times New Roman" w:hAnsi="Times New Roman"/>
        </w:rPr>
        <w:t xml:space="preserve"> </w:t>
      </w:r>
      <w:r w:rsidRPr="00432297" w:rsidR="000B1374">
        <w:rPr>
          <w:rFonts w:ascii="Times New Roman" w:hAnsi="Times New Roman"/>
        </w:rPr>
        <w:t xml:space="preserve">confidential, as required by 26 U.S.C. </w:t>
      </w:r>
      <w:r w:rsidR="00A529D3">
        <w:rPr>
          <w:rFonts w:ascii="Times New Roman" w:hAnsi="Times New Roman"/>
        </w:rPr>
        <w:t xml:space="preserve">§ </w:t>
      </w:r>
      <w:r w:rsidRPr="00432297" w:rsidR="000B1374">
        <w:rPr>
          <w:rFonts w:ascii="Times New Roman" w:hAnsi="Times New Roman"/>
        </w:rPr>
        <w:t>6103.</w:t>
      </w:r>
    </w:p>
    <w:p w:rsidRPr="00432297" w:rsidR="001F46E2" w:rsidRDefault="001F46E2" w14:paraId="5D9CC89E" w14:textId="77777777">
      <w:pPr>
        <w:rPr>
          <w:rFonts w:ascii="Times New Roman" w:hAnsi="Times New Roman"/>
        </w:rPr>
      </w:pPr>
    </w:p>
    <w:sectPr w:rsidRPr="00432297" w:rsidR="001F46E2" w:rsidSect="00E7715D">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BF6B3" w14:textId="77777777" w:rsidR="00445D0E" w:rsidRDefault="00445D0E" w:rsidP="00EF5FFB">
      <w:r>
        <w:separator/>
      </w:r>
    </w:p>
  </w:endnote>
  <w:endnote w:type="continuationSeparator" w:id="0">
    <w:p w14:paraId="4452260C" w14:textId="77777777" w:rsidR="00445D0E" w:rsidRDefault="00445D0E" w:rsidP="00EF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EF846" w14:textId="77777777" w:rsidR="00445D0E" w:rsidRDefault="00445D0E" w:rsidP="00EF5FFB">
      <w:r>
        <w:separator/>
      </w:r>
    </w:p>
  </w:footnote>
  <w:footnote w:type="continuationSeparator" w:id="0">
    <w:p w14:paraId="012D8914" w14:textId="77777777" w:rsidR="00445D0E" w:rsidRDefault="00445D0E" w:rsidP="00EF5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E7"/>
    <w:rsid w:val="00000B01"/>
    <w:rsid w:val="00007CC3"/>
    <w:rsid w:val="00011AC3"/>
    <w:rsid w:val="0002784C"/>
    <w:rsid w:val="00061039"/>
    <w:rsid w:val="0006316E"/>
    <w:rsid w:val="000648E5"/>
    <w:rsid w:val="00065081"/>
    <w:rsid w:val="000675FF"/>
    <w:rsid w:val="0006774B"/>
    <w:rsid w:val="00084890"/>
    <w:rsid w:val="000B1374"/>
    <w:rsid w:val="000B41F2"/>
    <w:rsid w:val="000B5C80"/>
    <w:rsid w:val="00114250"/>
    <w:rsid w:val="001147AD"/>
    <w:rsid w:val="0011666C"/>
    <w:rsid w:val="00122FA4"/>
    <w:rsid w:val="001355F0"/>
    <w:rsid w:val="00137540"/>
    <w:rsid w:val="00150B27"/>
    <w:rsid w:val="0017217F"/>
    <w:rsid w:val="00180008"/>
    <w:rsid w:val="001A056F"/>
    <w:rsid w:val="001A2C27"/>
    <w:rsid w:val="001A7005"/>
    <w:rsid w:val="001C6346"/>
    <w:rsid w:val="001D720B"/>
    <w:rsid w:val="001E1FEF"/>
    <w:rsid w:val="001E48BF"/>
    <w:rsid w:val="001F46E2"/>
    <w:rsid w:val="001F4833"/>
    <w:rsid w:val="001F49D3"/>
    <w:rsid w:val="001F4B11"/>
    <w:rsid w:val="0020762A"/>
    <w:rsid w:val="00214EA9"/>
    <w:rsid w:val="002319F5"/>
    <w:rsid w:val="002341C1"/>
    <w:rsid w:val="00237EFB"/>
    <w:rsid w:val="00247C04"/>
    <w:rsid w:val="0025284C"/>
    <w:rsid w:val="00265584"/>
    <w:rsid w:val="00280F77"/>
    <w:rsid w:val="002847EC"/>
    <w:rsid w:val="00285ABD"/>
    <w:rsid w:val="002B7863"/>
    <w:rsid w:val="002C7A00"/>
    <w:rsid w:val="002E3266"/>
    <w:rsid w:val="002F4ED3"/>
    <w:rsid w:val="00300B4F"/>
    <w:rsid w:val="00306C3A"/>
    <w:rsid w:val="00326C91"/>
    <w:rsid w:val="0033377F"/>
    <w:rsid w:val="003519CE"/>
    <w:rsid w:val="003525A7"/>
    <w:rsid w:val="003672F1"/>
    <w:rsid w:val="00394BAB"/>
    <w:rsid w:val="003A4FE6"/>
    <w:rsid w:val="003B0B6F"/>
    <w:rsid w:val="003B6D46"/>
    <w:rsid w:val="003D4129"/>
    <w:rsid w:val="00404D9F"/>
    <w:rsid w:val="004118E9"/>
    <w:rsid w:val="00432297"/>
    <w:rsid w:val="00445D0E"/>
    <w:rsid w:val="00455B68"/>
    <w:rsid w:val="00457ECB"/>
    <w:rsid w:val="00462648"/>
    <w:rsid w:val="00463548"/>
    <w:rsid w:val="00470C54"/>
    <w:rsid w:val="00473AE8"/>
    <w:rsid w:val="00473CD6"/>
    <w:rsid w:val="004815DA"/>
    <w:rsid w:val="00481CB4"/>
    <w:rsid w:val="004A4E36"/>
    <w:rsid w:val="004B6AD6"/>
    <w:rsid w:val="004C032B"/>
    <w:rsid w:val="004C30A1"/>
    <w:rsid w:val="004C73DF"/>
    <w:rsid w:val="004E7AA9"/>
    <w:rsid w:val="005122A7"/>
    <w:rsid w:val="0051520E"/>
    <w:rsid w:val="005203F7"/>
    <w:rsid w:val="00523689"/>
    <w:rsid w:val="005660AC"/>
    <w:rsid w:val="00577D3D"/>
    <w:rsid w:val="005A001C"/>
    <w:rsid w:val="005A73BE"/>
    <w:rsid w:val="005B1722"/>
    <w:rsid w:val="005B4454"/>
    <w:rsid w:val="005B64E7"/>
    <w:rsid w:val="005C4E60"/>
    <w:rsid w:val="005D5D61"/>
    <w:rsid w:val="005F4AAB"/>
    <w:rsid w:val="00600238"/>
    <w:rsid w:val="00607E84"/>
    <w:rsid w:val="00636CEF"/>
    <w:rsid w:val="0067714A"/>
    <w:rsid w:val="00687ADE"/>
    <w:rsid w:val="00691AC1"/>
    <w:rsid w:val="006A5D4F"/>
    <w:rsid w:val="006C5DCC"/>
    <w:rsid w:val="006D2373"/>
    <w:rsid w:val="006D3D11"/>
    <w:rsid w:val="006E1A22"/>
    <w:rsid w:val="006F336D"/>
    <w:rsid w:val="0071610D"/>
    <w:rsid w:val="00721FD1"/>
    <w:rsid w:val="00731D61"/>
    <w:rsid w:val="00757441"/>
    <w:rsid w:val="00775054"/>
    <w:rsid w:val="00776231"/>
    <w:rsid w:val="007A4EF0"/>
    <w:rsid w:val="007B48E3"/>
    <w:rsid w:val="007B77A0"/>
    <w:rsid w:val="007D310F"/>
    <w:rsid w:val="007D44DD"/>
    <w:rsid w:val="008105E6"/>
    <w:rsid w:val="0082288F"/>
    <w:rsid w:val="00841E44"/>
    <w:rsid w:val="008435FE"/>
    <w:rsid w:val="0085271C"/>
    <w:rsid w:val="00862073"/>
    <w:rsid w:val="00883AE9"/>
    <w:rsid w:val="00884314"/>
    <w:rsid w:val="008902B0"/>
    <w:rsid w:val="008963C1"/>
    <w:rsid w:val="008B51C1"/>
    <w:rsid w:val="008B7EE5"/>
    <w:rsid w:val="008C3A16"/>
    <w:rsid w:val="008D1B0E"/>
    <w:rsid w:val="008E088E"/>
    <w:rsid w:val="008E1F06"/>
    <w:rsid w:val="008E33E4"/>
    <w:rsid w:val="008E6166"/>
    <w:rsid w:val="00907F07"/>
    <w:rsid w:val="00911E3A"/>
    <w:rsid w:val="00915940"/>
    <w:rsid w:val="00916575"/>
    <w:rsid w:val="00916AE8"/>
    <w:rsid w:val="0092387E"/>
    <w:rsid w:val="00927EEC"/>
    <w:rsid w:val="00957D32"/>
    <w:rsid w:val="00981C33"/>
    <w:rsid w:val="00984F17"/>
    <w:rsid w:val="00993ABF"/>
    <w:rsid w:val="009A6F31"/>
    <w:rsid w:val="009B0374"/>
    <w:rsid w:val="009B1846"/>
    <w:rsid w:val="009B26B0"/>
    <w:rsid w:val="009B558B"/>
    <w:rsid w:val="009B63C9"/>
    <w:rsid w:val="009D5F6D"/>
    <w:rsid w:val="009E1B73"/>
    <w:rsid w:val="009E5680"/>
    <w:rsid w:val="009E6AA7"/>
    <w:rsid w:val="00A20E03"/>
    <w:rsid w:val="00A2443C"/>
    <w:rsid w:val="00A529D3"/>
    <w:rsid w:val="00A7113C"/>
    <w:rsid w:val="00A90626"/>
    <w:rsid w:val="00A92A37"/>
    <w:rsid w:val="00A9410F"/>
    <w:rsid w:val="00A94DA7"/>
    <w:rsid w:val="00AA0F61"/>
    <w:rsid w:val="00AA5FB9"/>
    <w:rsid w:val="00AA74AB"/>
    <w:rsid w:val="00AB174E"/>
    <w:rsid w:val="00AB2558"/>
    <w:rsid w:val="00AC699D"/>
    <w:rsid w:val="00AE06FC"/>
    <w:rsid w:val="00AF2770"/>
    <w:rsid w:val="00AF713F"/>
    <w:rsid w:val="00B0447A"/>
    <w:rsid w:val="00B1676C"/>
    <w:rsid w:val="00B340B3"/>
    <w:rsid w:val="00B44FB9"/>
    <w:rsid w:val="00B609E1"/>
    <w:rsid w:val="00B60C15"/>
    <w:rsid w:val="00B61133"/>
    <w:rsid w:val="00B657B1"/>
    <w:rsid w:val="00BA1350"/>
    <w:rsid w:val="00BA5E1B"/>
    <w:rsid w:val="00BB40F6"/>
    <w:rsid w:val="00BB4F56"/>
    <w:rsid w:val="00BF1005"/>
    <w:rsid w:val="00BF2F9B"/>
    <w:rsid w:val="00C0118F"/>
    <w:rsid w:val="00C01801"/>
    <w:rsid w:val="00C02EAD"/>
    <w:rsid w:val="00C17247"/>
    <w:rsid w:val="00C22C48"/>
    <w:rsid w:val="00C23092"/>
    <w:rsid w:val="00C403FF"/>
    <w:rsid w:val="00C676F1"/>
    <w:rsid w:val="00C94656"/>
    <w:rsid w:val="00CD773C"/>
    <w:rsid w:val="00CE703D"/>
    <w:rsid w:val="00CF01FA"/>
    <w:rsid w:val="00CF25F4"/>
    <w:rsid w:val="00D11825"/>
    <w:rsid w:val="00D12CA2"/>
    <w:rsid w:val="00D17926"/>
    <w:rsid w:val="00D336F5"/>
    <w:rsid w:val="00D33FF8"/>
    <w:rsid w:val="00D3404A"/>
    <w:rsid w:val="00D44FFA"/>
    <w:rsid w:val="00D65B75"/>
    <w:rsid w:val="00D717C0"/>
    <w:rsid w:val="00DA7F10"/>
    <w:rsid w:val="00DD2F22"/>
    <w:rsid w:val="00DD5463"/>
    <w:rsid w:val="00DE07BE"/>
    <w:rsid w:val="00E0287C"/>
    <w:rsid w:val="00E07449"/>
    <w:rsid w:val="00E11600"/>
    <w:rsid w:val="00E12FB6"/>
    <w:rsid w:val="00E30517"/>
    <w:rsid w:val="00E4377D"/>
    <w:rsid w:val="00E52705"/>
    <w:rsid w:val="00E531F6"/>
    <w:rsid w:val="00E64DA9"/>
    <w:rsid w:val="00E7715D"/>
    <w:rsid w:val="00E8548D"/>
    <w:rsid w:val="00ED1F93"/>
    <w:rsid w:val="00EE2A95"/>
    <w:rsid w:val="00EF5FFB"/>
    <w:rsid w:val="00EF741E"/>
    <w:rsid w:val="00EF7527"/>
    <w:rsid w:val="00EF7C75"/>
    <w:rsid w:val="00F159D5"/>
    <w:rsid w:val="00F2068F"/>
    <w:rsid w:val="00F242A3"/>
    <w:rsid w:val="00F279EA"/>
    <w:rsid w:val="00F348EC"/>
    <w:rsid w:val="00F35BE7"/>
    <w:rsid w:val="00F371B5"/>
    <w:rsid w:val="00F430D2"/>
    <w:rsid w:val="00F50FA8"/>
    <w:rsid w:val="00F5269D"/>
    <w:rsid w:val="00F60E6C"/>
    <w:rsid w:val="00F61732"/>
    <w:rsid w:val="00F71A77"/>
    <w:rsid w:val="00F803DD"/>
    <w:rsid w:val="00F87515"/>
    <w:rsid w:val="00FA1F96"/>
    <w:rsid w:val="00FC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8E195E"/>
  <w15:chartTrackingRefBased/>
  <w15:docId w15:val="{937091B6-7AD8-429C-ACC5-6D89B12B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B4454"/>
    <w:rPr>
      <w:rFonts w:ascii="Tahoma" w:hAnsi="Tahoma" w:cs="Tahoma"/>
      <w:sz w:val="16"/>
      <w:szCs w:val="16"/>
    </w:rPr>
  </w:style>
  <w:style w:type="character" w:customStyle="1" w:styleId="BalloonTextChar">
    <w:name w:val="Balloon Text Char"/>
    <w:link w:val="BalloonText"/>
    <w:rsid w:val="005B4454"/>
    <w:rPr>
      <w:rFonts w:ascii="Tahoma" w:hAnsi="Tahoma" w:cs="Tahoma"/>
      <w:sz w:val="16"/>
      <w:szCs w:val="16"/>
    </w:rPr>
  </w:style>
  <w:style w:type="paragraph" w:styleId="Header">
    <w:name w:val="header"/>
    <w:basedOn w:val="Normal"/>
    <w:link w:val="HeaderChar"/>
    <w:rsid w:val="00EF5FFB"/>
    <w:pPr>
      <w:tabs>
        <w:tab w:val="center" w:pos="4680"/>
        <w:tab w:val="right" w:pos="9360"/>
      </w:tabs>
    </w:pPr>
  </w:style>
  <w:style w:type="character" w:customStyle="1" w:styleId="HeaderChar">
    <w:name w:val="Header Char"/>
    <w:link w:val="Header"/>
    <w:rsid w:val="00EF5FFB"/>
    <w:rPr>
      <w:rFonts w:ascii="Arial" w:hAnsi="Arial"/>
      <w:sz w:val="24"/>
      <w:szCs w:val="24"/>
    </w:rPr>
  </w:style>
  <w:style w:type="paragraph" w:styleId="Footer">
    <w:name w:val="footer"/>
    <w:basedOn w:val="Normal"/>
    <w:link w:val="FooterChar"/>
    <w:rsid w:val="00EF5FFB"/>
    <w:pPr>
      <w:tabs>
        <w:tab w:val="center" w:pos="4680"/>
        <w:tab w:val="right" w:pos="9360"/>
      </w:tabs>
    </w:pPr>
  </w:style>
  <w:style w:type="character" w:customStyle="1" w:styleId="FooterChar">
    <w:name w:val="Footer Char"/>
    <w:link w:val="Footer"/>
    <w:rsid w:val="00EF5FFB"/>
    <w:rPr>
      <w:rFonts w:ascii="Arial" w:hAnsi="Arial"/>
      <w:sz w:val="24"/>
      <w:szCs w:val="24"/>
    </w:rPr>
  </w:style>
  <w:style w:type="character" w:styleId="CommentReference">
    <w:name w:val="annotation reference"/>
    <w:rsid w:val="00E30517"/>
    <w:rPr>
      <w:sz w:val="16"/>
      <w:szCs w:val="16"/>
    </w:rPr>
  </w:style>
  <w:style w:type="paragraph" w:styleId="CommentText">
    <w:name w:val="annotation text"/>
    <w:basedOn w:val="Normal"/>
    <w:link w:val="CommentTextChar"/>
    <w:rsid w:val="00E30517"/>
    <w:rPr>
      <w:sz w:val="20"/>
      <w:szCs w:val="20"/>
    </w:rPr>
  </w:style>
  <w:style w:type="character" w:customStyle="1" w:styleId="CommentTextChar">
    <w:name w:val="Comment Text Char"/>
    <w:link w:val="CommentText"/>
    <w:rsid w:val="00E30517"/>
    <w:rPr>
      <w:rFonts w:ascii="Arial" w:hAnsi="Arial"/>
    </w:rPr>
  </w:style>
  <w:style w:type="paragraph" w:styleId="CommentSubject">
    <w:name w:val="annotation subject"/>
    <w:basedOn w:val="CommentText"/>
    <w:next w:val="CommentText"/>
    <w:link w:val="CommentSubjectChar"/>
    <w:rsid w:val="00E30517"/>
    <w:rPr>
      <w:b/>
      <w:bCs/>
    </w:rPr>
  </w:style>
  <w:style w:type="character" w:customStyle="1" w:styleId="CommentSubjectChar">
    <w:name w:val="Comment Subject Char"/>
    <w:link w:val="CommentSubject"/>
    <w:rsid w:val="00E3051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19093">
      <w:bodyDiv w:val="1"/>
      <w:marLeft w:val="0"/>
      <w:marRight w:val="0"/>
      <w:marTop w:val="0"/>
      <w:marBottom w:val="0"/>
      <w:divBdr>
        <w:top w:val="none" w:sz="0" w:space="0" w:color="auto"/>
        <w:left w:val="none" w:sz="0" w:space="0" w:color="auto"/>
        <w:bottom w:val="none" w:sz="0" w:space="0" w:color="auto"/>
        <w:right w:val="none" w:sz="0" w:space="0" w:color="auto"/>
      </w:divBdr>
    </w:div>
    <w:div w:id="953488148">
      <w:bodyDiv w:val="1"/>
      <w:marLeft w:val="0"/>
      <w:marRight w:val="0"/>
      <w:marTop w:val="0"/>
      <w:marBottom w:val="0"/>
      <w:divBdr>
        <w:top w:val="none" w:sz="0" w:space="0" w:color="auto"/>
        <w:left w:val="none" w:sz="0" w:space="0" w:color="auto"/>
        <w:bottom w:val="none" w:sz="0" w:space="0" w:color="auto"/>
        <w:right w:val="none" w:sz="0" w:space="0" w:color="auto"/>
      </w:divBdr>
    </w:div>
    <w:div w:id="155716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14152-853B-42DF-A44C-B4C141A4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1416</Words>
  <Characters>8073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Department of the Treasury</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Glyer Grid R</dc:creator>
  <cp:keywords/>
  <cp:lastModifiedBy>Van Dyke Lanita</cp:lastModifiedBy>
  <cp:revision>2</cp:revision>
  <cp:lastPrinted>2006-05-17T11:56:00Z</cp:lastPrinted>
  <dcterms:created xsi:type="dcterms:W3CDTF">2022-03-16T19:17:00Z</dcterms:created>
  <dcterms:modified xsi:type="dcterms:W3CDTF">2022-03-16T19:17:00Z</dcterms:modified>
</cp:coreProperties>
</file>