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22EE" w:rsidP="002122EE" w:rsidRDefault="001B31CA" w14:paraId="5E144959" w14:textId="1610E545">
      <w:pPr>
        <w:pStyle w:val="Title"/>
        <w:jc w:val="right"/>
        <w:rPr>
          <w:sz w:val="28"/>
        </w:rPr>
      </w:pPr>
      <w:r>
        <w:rPr>
          <w:sz w:val="28"/>
        </w:rPr>
        <w:t>December 1</w:t>
      </w:r>
      <w:r w:rsidR="002122EE">
        <w:rPr>
          <w:sz w:val="28"/>
        </w:rPr>
        <w:t>, 2021</w:t>
      </w:r>
    </w:p>
    <w:p w:rsidRPr="00612845" w:rsidR="00562915" w:rsidP="00562915" w:rsidRDefault="00562915" w14:paraId="7BA0E05C" w14:textId="2DB007A6">
      <w:pPr>
        <w:pStyle w:val="Title"/>
        <w:rPr>
          <w:rFonts w:ascii="Arial" w:hAnsi="Arial" w:cs="Arial"/>
          <w:color w:val="000000" w:themeColor="text1"/>
        </w:rPr>
      </w:pPr>
      <w:r w:rsidRPr="3BFDE839">
        <w:rPr>
          <w:rFonts w:ascii="Arial" w:hAnsi="Arial" w:cs="Arial"/>
          <w:color w:val="000000" w:themeColor="text1"/>
        </w:rPr>
        <w:t xml:space="preserve">Supporting Statement for </w:t>
      </w:r>
    </w:p>
    <w:p w:rsidRPr="00612845" w:rsidR="00562915" w:rsidP="00562915" w:rsidRDefault="00562915" w14:paraId="65CC1EE8" w14:textId="77777777">
      <w:pPr>
        <w:pStyle w:val="Title"/>
        <w:rPr>
          <w:rFonts w:ascii="Arial" w:hAnsi="Arial" w:cs="Arial"/>
          <w:color w:val="000000" w:themeColor="text1"/>
          <w:sz w:val="28"/>
        </w:rPr>
      </w:pPr>
      <w:r w:rsidRPr="00612845">
        <w:rPr>
          <w:rFonts w:ascii="Arial" w:hAnsi="Arial" w:cs="Arial"/>
          <w:color w:val="000000" w:themeColor="text1"/>
        </w:rPr>
        <w:t>Paperwork Reduction Act Submissions</w:t>
      </w:r>
    </w:p>
    <w:p w:rsidRPr="00612845" w:rsidR="00562915" w:rsidP="00562915" w:rsidRDefault="00562915" w14:paraId="62CAA34A" w14:textId="77777777">
      <w:pPr>
        <w:tabs>
          <w:tab w:val="left" w:pos="-720"/>
        </w:tabs>
        <w:suppressAutoHyphens/>
        <w:rPr>
          <w:rFonts w:ascii="Times New Roman" w:hAnsi="Times New Roman" w:cs="Times New Roman"/>
          <w:b/>
          <w:color w:val="000000" w:themeColor="text1"/>
          <w:sz w:val="24"/>
          <w:szCs w:val="24"/>
        </w:rPr>
      </w:pPr>
    </w:p>
    <w:p w:rsidRPr="00612845" w:rsidR="00562915" w:rsidP="00562915" w:rsidRDefault="00562915" w14:paraId="12E73523" w14:textId="1E5A97EE">
      <w:pPr>
        <w:tabs>
          <w:tab w:val="left" w:pos="-720"/>
        </w:tabs>
        <w:suppressAutoHyphens/>
        <w:rPr>
          <w:rFonts w:ascii="Times New Roman" w:hAnsi="Times New Roman" w:cs="Times New Roman"/>
          <w:b/>
          <w:color w:val="000000" w:themeColor="text1"/>
          <w:sz w:val="28"/>
          <w:szCs w:val="28"/>
        </w:rPr>
      </w:pPr>
      <w:r w:rsidRPr="00612845">
        <w:rPr>
          <w:rFonts w:ascii="Times New Roman" w:hAnsi="Times New Roman" w:cs="Times New Roman"/>
          <w:b/>
          <w:color w:val="000000" w:themeColor="text1"/>
          <w:sz w:val="28"/>
          <w:szCs w:val="28"/>
        </w:rPr>
        <w:t xml:space="preserve">OMB Control Number:  1660 - </w:t>
      </w:r>
      <w:r w:rsidRPr="00612845" w:rsidR="007E08B6">
        <w:rPr>
          <w:rFonts w:ascii="Times New Roman" w:hAnsi="Times New Roman" w:cs="Times New Roman"/>
          <w:b/>
          <w:color w:val="000000" w:themeColor="text1"/>
          <w:sz w:val="28"/>
          <w:szCs w:val="28"/>
        </w:rPr>
        <w:t>0131</w:t>
      </w:r>
    </w:p>
    <w:p w:rsidRPr="00B92B09" w:rsidR="00562915" w:rsidP="00562915" w:rsidRDefault="00562915" w14:paraId="4AEE3EBB" w14:textId="0EC2EE3B">
      <w:pPr>
        <w:tabs>
          <w:tab w:val="left" w:pos="-720"/>
        </w:tabs>
        <w:suppressAutoHyphens/>
        <w:rPr>
          <w:rFonts w:ascii="Times New Roman" w:hAnsi="Times New Roman" w:cs="Times New Roman"/>
          <w:b/>
          <w:sz w:val="28"/>
          <w:szCs w:val="28"/>
        </w:rPr>
      </w:pPr>
      <w:r w:rsidRPr="00612845">
        <w:rPr>
          <w:rFonts w:ascii="Times New Roman" w:hAnsi="Times New Roman" w:cs="Times New Roman"/>
          <w:b/>
          <w:color w:val="000000" w:themeColor="text1"/>
          <w:sz w:val="28"/>
          <w:szCs w:val="28"/>
        </w:rPr>
        <w:t xml:space="preserve">Title:  </w:t>
      </w:r>
      <w:r w:rsidRPr="00612845" w:rsidR="00684D53">
        <w:rPr>
          <w:rFonts w:ascii="Times New Roman" w:hAnsi="Times New Roman" w:cs="Times New Roman"/>
          <w:b/>
          <w:color w:val="000000" w:themeColor="text1"/>
          <w:sz w:val="28"/>
          <w:szCs w:val="28"/>
        </w:rPr>
        <w:t xml:space="preserve">Threat and Hazard </w:t>
      </w:r>
      <w:r w:rsidRPr="00612845" w:rsidR="001122A0">
        <w:rPr>
          <w:rFonts w:ascii="Times New Roman" w:hAnsi="Times New Roman" w:cs="Times New Roman"/>
          <w:b/>
          <w:color w:val="000000" w:themeColor="text1"/>
          <w:sz w:val="28"/>
          <w:szCs w:val="28"/>
        </w:rPr>
        <w:t>Identification and Risk Assessment (THIRA) and Stakeholder Preparedness Review (</w:t>
      </w:r>
      <w:r w:rsidR="001122A0">
        <w:rPr>
          <w:rFonts w:ascii="Times New Roman" w:hAnsi="Times New Roman" w:cs="Times New Roman"/>
          <w:b/>
          <w:sz w:val="28"/>
          <w:szCs w:val="28"/>
        </w:rPr>
        <w:t xml:space="preserve">SPR) </w:t>
      </w:r>
      <w:r w:rsidR="009F2621">
        <w:rPr>
          <w:rFonts w:ascii="Times New Roman" w:hAnsi="Times New Roman" w:cs="Times New Roman"/>
          <w:b/>
          <w:sz w:val="28"/>
          <w:szCs w:val="28"/>
        </w:rPr>
        <w:t xml:space="preserve">Unified </w:t>
      </w:r>
      <w:r w:rsidR="001122A0">
        <w:rPr>
          <w:rFonts w:ascii="Times New Roman" w:hAnsi="Times New Roman" w:cs="Times New Roman"/>
          <w:b/>
          <w:sz w:val="28"/>
          <w:szCs w:val="28"/>
        </w:rPr>
        <w:t>Reporting Tool</w:t>
      </w:r>
    </w:p>
    <w:p w:rsidR="002122EE" w:rsidP="00117907" w:rsidRDefault="00562915" w14:paraId="059C105B" w14:textId="77777777">
      <w:pPr>
        <w:spacing w:line="240" w:lineRule="auto"/>
        <w:ind w:left="2160" w:hanging="2160"/>
        <w:contextualSpacing/>
        <w:rPr>
          <w:rFonts w:ascii="Times New Roman" w:hAnsi="Times New Roman" w:cs="Times New Roman"/>
          <w:b/>
          <w:sz w:val="28"/>
          <w:szCs w:val="28"/>
        </w:rPr>
      </w:pPr>
      <w:r w:rsidRPr="00B92B09">
        <w:rPr>
          <w:rFonts w:ascii="Times New Roman" w:hAnsi="Times New Roman" w:cs="Times New Roman"/>
          <w:b/>
          <w:sz w:val="28"/>
          <w:szCs w:val="28"/>
        </w:rPr>
        <w:t>Form Number(s):</w:t>
      </w:r>
      <w:r w:rsidR="005C4A84">
        <w:rPr>
          <w:rFonts w:ascii="Times New Roman" w:hAnsi="Times New Roman" w:cs="Times New Roman"/>
          <w:b/>
          <w:sz w:val="28"/>
          <w:szCs w:val="28"/>
        </w:rPr>
        <w:tab/>
      </w:r>
    </w:p>
    <w:p w:rsidR="002122EE" w:rsidP="00117907" w:rsidRDefault="002122EE" w14:paraId="6A8D35EC" w14:textId="77777777">
      <w:pPr>
        <w:spacing w:line="240" w:lineRule="auto"/>
        <w:ind w:left="2160" w:hanging="2160"/>
        <w:contextualSpacing/>
        <w:rPr>
          <w:rFonts w:ascii="Times New Roman" w:hAnsi="Times New Roman" w:cs="Times New Roman"/>
          <w:b/>
          <w:sz w:val="28"/>
          <w:szCs w:val="28"/>
        </w:rPr>
      </w:pPr>
    </w:p>
    <w:p w:rsidR="005C4A84" w:rsidP="3DBD55CA" w:rsidRDefault="009F2621" w14:paraId="3B5BB3E7" w14:textId="280FBCAF">
      <w:pPr>
        <w:spacing w:line="240" w:lineRule="auto"/>
        <w:ind w:left="720" w:hanging="720"/>
        <w:contextualSpacing/>
        <w:rPr>
          <w:rFonts w:ascii="Times New Roman" w:hAnsi="Times New Roman" w:cs="Times New Roman"/>
          <w:b/>
          <w:bCs/>
          <w:sz w:val="28"/>
          <w:szCs w:val="28"/>
        </w:rPr>
      </w:pPr>
      <w:r w:rsidRPr="3DBD55CA">
        <w:rPr>
          <w:rFonts w:ascii="Times New Roman" w:hAnsi="Times New Roman" w:cs="Times New Roman"/>
          <w:b/>
          <w:bCs/>
          <w:sz w:val="28"/>
          <w:szCs w:val="28"/>
        </w:rPr>
        <w:t>FEMA Form FF-008-FY-21-106</w:t>
      </w:r>
      <w:r w:rsidRPr="3DBD55CA" w:rsidR="002122EE">
        <w:rPr>
          <w:rFonts w:ascii="Times New Roman" w:hAnsi="Times New Roman" w:cs="Times New Roman"/>
          <w:b/>
          <w:bCs/>
          <w:sz w:val="28"/>
          <w:szCs w:val="28"/>
        </w:rPr>
        <w:t xml:space="preserve"> (formerly FEMA Forms 008-0-19 (for THIRA) and 008-0-20 (for SPR))</w:t>
      </w:r>
      <w:r w:rsidRPr="3DBD55CA">
        <w:rPr>
          <w:rFonts w:ascii="Times New Roman" w:hAnsi="Times New Roman" w:cs="Times New Roman"/>
          <w:b/>
          <w:bCs/>
          <w:sz w:val="28"/>
          <w:szCs w:val="28"/>
        </w:rPr>
        <w:t xml:space="preserve"> Threa</w:t>
      </w:r>
      <w:r w:rsidR="009C4502">
        <w:rPr>
          <w:rFonts w:ascii="Times New Roman" w:hAnsi="Times New Roman" w:cs="Times New Roman"/>
          <w:b/>
          <w:bCs/>
          <w:sz w:val="28"/>
          <w:szCs w:val="28"/>
        </w:rPr>
        <w:t>t</w:t>
      </w:r>
      <w:r w:rsidRPr="3DBD55CA">
        <w:rPr>
          <w:rFonts w:ascii="Times New Roman" w:hAnsi="Times New Roman" w:cs="Times New Roman"/>
          <w:b/>
          <w:bCs/>
          <w:sz w:val="28"/>
          <w:szCs w:val="28"/>
        </w:rPr>
        <w:t xml:space="preserve"> and Hazard Identification and</w:t>
      </w:r>
      <w:r w:rsidRPr="3DBD55CA" w:rsidR="002122EE">
        <w:rPr>
          <w:rFonts w:ascii="Times New Roman" w:hAnsi="Times New Roman" w:cs="Times New Roman"/>
          <w:b/>
          <w:bCs/>
          <w:sz w:val="28"/>
          <w:szCs w:val="28"/>
        </w:rPr>
        <w:t xml:space="preserve"> </w:t>
      </w:r>
      <w:r w:rsidRPr="3DBD55CA">
        <w:rPr>
          <w:rFonts w:ascii="Times New Roman" w:hAnsi="Times New Roman" w:cs="Times New Roman"/>
          <w:b/>
          <w:bCs/>
          <w:sz w:val="28"/>
          <w:szCs w:val="28"/>
        </w:rPr>
        <w:t xml:space="preserve">Risk Assessment (THIRA) / Stakeholder Preparedness Review (SPR) Unified Reporting Tool </w:t>
      </w:r>
    </w:p>
    <w:p w:rsidR="002122EE" w:rsidP="002122EE" w:rsidRDefault="002122EE" w14:paraId="74189B78" w14:textId="77777777">
      <w:pPr>
        <w:spacing w:line="240" w:lineRule="auto"/>
        <w:ind w:left="720" w:hanging="720"/>
        <w:contextualSpacing/>
        <w:rPr>
          <w:rFonts w:ascii="Times New Roman" w:hAnsi="Times New Roman" w:cs="Times New Roman"/>
          <w:b/>
          <w:sz w:val="28"/>
          <w:szCs w:val="28"/>
        </w:rPr>
      </w:pPr>
    </w:p>
    <w:p w:rsidR="007E08B6" w:rsidP="002122EE" w:rsidRDefault="009F2621" w14:paraId="27D843AF" w14:textId="63CABF45">
      <w:pPr>
        <w:spacing w:line="240" w:lineRule="auto"/>
        <w:ind w:left="720" w:hanging="720"/>
        <w:contextualSpacing/>
        <w:rPr>
          <w:rFonts w:ascii="Times New Roman" w:hAnsi="Times New Roman" w:cs="Times New Roman"/>
          <w:b/>
          <w:sz w:val="28"/>
          <w:szCs w:val="28"/>
        </w:rPr>
      </w:pPr>
      <w:r>
        <w:rPr>
          <w:rFonts w:ascii="Times New Roman" w:hAnsi="Times New Roman" w:cs="Times New Roman"/>
          <w:b/>
          <w:sz w:val="28"/>
          <w:szCs w:val="28"/>
        </w:rPr>
        <w:t xml:space="preserve">FEMA Form FF-008-FY-21-107 (formerly </w:t>
      </w:r>
      <w:r w:rsidR="005C4A84">
        <w:rPr>
          <w:rFonts w:ascii="Times New Roman" w:hAnsi="Times New Roman" w:cs="Times New Roman"/>
          <w:b/>
          <w:sz w:val="28"/>
          <w:szCs w:val="28"/>
        </w:rPr>
        <w:t xml:space="preserve">FEMA Form </w:t>
      </w:r>
      <w:r w:rsidR="007E08B6">
        <w:rPr>
          <w:rFonts w:ascii="Times New Roman" w:hAnsi="Times New Roman" w:cs="Times New Roman"/>
          <w:b/>
          <w:sz w:val="28"/>
          <w:szCs w:val="28"/>
        </w:rPr>
        <w:t>008-0-23</w:t>
      </w:r>
      <w:r>
        <w:rPr>
          <w:rFonts w:ascii="Times New Roman" w:hAnsi="Times New Roman" w:cs="Times New Roman"/>
          <w:b/>
          <w:sz w:val="28"/>
          <w:szCs w:val="28"/>
        </w:rPr>
        <w:t>)</w:t>
      </w:r>
      <w:r w:rsidR="005C4A84">
        <w:rPr>
          <w:rFonts w:ascii="Times New Roman" w:hAnsi="Times New Roman" w:cs="Times New Roman"/>
          <w:b/>
          <w:sz w:val="28"/>
          <w:szCs w:val="28"/>
        </w:rPr>
        <w:t xml:space="preserve"> THIRA/SPR After</w:t>
      </w:r>
      <w:r>
        <w:rPr>
          <w:rFonts w:ascii="Times New Roman" w:hAnsi="Times New Roman" w:cs="Times New Roman"/>
          <w:b/>
          <w:sz w:val="28"/>
          <w:szCs w:val="28"/>
        </w:rPr>
        <w:t xml:space="preserve"> </w:t>
      </w:r>
      <w:r w:rsidR="005C4A84">
        <w:rPr>
          <w:rFonts w:ascii="Times New Roman" w:hAnsi="Times New Roman" w:cs="Times New Roman"/>
          <w:b/>
          <w:sz w:val="28"/>
          <w:szCs w:val="28"/>
        </w:rPr>
        <w:t xml:space="preserve">Action </w:t>
      </w:r>
      <w:r>
        <w:rPr>
          <w:rFonts w:ascii="Times New Roman" w:hAnsi="Times New Roman" w:cs="Times New Roman"/>
          <w:b/>
          <w:sz w:val="28"/>
          <w:szCs w:val="28"/>
        </w:rPr>
        <w:t>Conference Calls</w:t>
      </w:r>
    </w:p>
    <w:p w:rsidR="00B92B09" w:rsidP="00562915" w:rsidRDefault="00B92B09" w14:paraId="03909E83" w14:textId="77777777">
      <w:pPr>
        <w:pStyle w:val="Heading1"/>
        <w:rPr>
          <w:szCs w:val="28"/>
        </w:rPr>
      </w:pPr>
    </w:p>
    <w:p w:rsidR="00562915" w:rsidP="00B92B09" w:rsidRDefault="00562915" w14:paraId="5E1DC2C8" w14:textId="77777777">
      <w:pPr>
        <w:pStyle w:val="Heading1"/>
        <w:rPr>
          <w:szCs w:val="28"/>
        </w:rPr>
      </w:pPr>
      <w:r w:rsidRPr="00B92B09">
        <w:rPr>
          <w:szCs w:val="28"/>
        </w:rPr>
        <w:t>General Instructions</w:t>
      </w:r>
    </w:p>
    <w:p w:rsidRPr="00B92B09" w:rsidR="00B92B09" w:rsidP="00B92B09" w:rsidRDefault="00B92B09" w14:paraId="36C65F87" w14:textId="77777777">
      <w:pPr>
        <w:spacing w:after="0" w:line="240" w:lineRule="auto"/>
      </w:pPr>
    </w:p>
    <w:p w:rsidRPr="006625E7" w:rsidR="00562915" w:rsidP="00B92B09" w:rsidRDefault="00562915" w14:paraId="734B94F5" w14:textId="0FBF7623">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0C2430">
        <w:rPr>
          <w:rFonts w:ascii="Times New Roman" w:hAnsi="Times New Roman" w:cs="Times New Roman"/>
          <w:sz w:val="24"/>
          <w:szCs w:val="24"/>
        </w:rPr>
        <w:t>1</w:t>
      </w:r>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6625E7" w:rsidDel="00FA0934">
        <w:rPr>
          <w:rFonts w:ascii="Times New Roman" w:hAnsi="Times New Roman" w:cs="Times New Roman"/>
          <w:sz w:val="24"/>
          <w:szCs w:val="24"/>
        </w:rPr>
        <w:t>below</w:t>
      </w:r>
      <w:r w:rsidRPr="006625E7" w:rsidR="00FA0934">
        <w:rPr>
          <w:rFonts w:ascii="Times New Roman" w:hAnsi="Times New Roman" w:cs="Times New Roman"/>
          <w:sz w:val="24"/>
          <w:szCs w:val="24"/>
        </w:rPr>
        <w:t xml:space="preserve">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59E6FD1" w14:textId="77777777">
      <w:pPr>
        <w:pStyle w:val="Heading1"/>
        <w:rPr>
          <w:szCs w:val="28"/>
        </w:rPr>
      </w:pPr>
    </w:p>
    <w:p w:rsidRPr="00B92B09" w:rsidR="00562915" w:rsidP="00B92B09" w:rsidRDefault="00562915" w14:paraId="1A3485A9" w14:textId="77777777">
      <w:pPr>
        <w:pStyle w:val="Heading1"/>
        <w:rPr>
          <w:szCs w:val="28"/>
        </w:rPr>
      </w:pPr>
      <w:r w:rsidRPr="00B92B09">
        <w:rPr>
          <w:szCs w:val="28"/>
        </w:rPr>
        <w:t>Specific Instructions</w:t>
      </w:r>
    </w:p>
    <w:p w:rsidRPr="00B92B09" w:rsidR="00562915" w:rsidP="00B92B09" w:rsidRDefault="00562915" w14:paraId="6BF86AFA"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342CD6B5" w14:textId="77777777">
      <w:pPr>
        <w:pStyle w:val="Heading1"/>
        <w:rPr>
          <w:szCs w:val="28"/>
        </w:rPr>
      </w:pPr>
      <w:r w:rsidRPr="00B92B09">
        <w:rPr>
          <w:szCs w:val="28"/>
        </w:rPr>
        <w:t>A.  Justification</w:t>
      </w:r>
    </w:p>
    <w:p w:rsidRPr="00B92B09" w:rsidR="00562915" w:rsidP="00B92B09" w:rsidRDefault="00562915" w14:paraId="3735A829" w14:textId="77777777">
      <w:pPr>
        <w:spacing w:after="0" w:line="240" w:lineRule="auto"/>
        <w:rPr>
          <w:rFonts w:ascii="Times New Roman" w:hAnsi="Times New Roman" w:cs="Times New Roman"/>
          <w:sz w:val="28"/>
          <w:szCs w:val="28"/>
        </w:rPr>
      </w:pPr>
    </w:p>
    <w:p w:rsidRPr="006625E7" w:rsidR="00562915" w:rsidP="00562915" w:rsidRDefault="00562915" w14:paraId="2080EE89"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7E08B6" w:rsidP="00562915" w:rsidRDefault="00562915" w14:paraId="1D5CD1F5"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Provide a detailed description of the nature and source of the information to be collected.</w:t>
      </w:r>
    </w:p>
    <w:p w:rsidRPr="00BC37B1" w:rsidR="00562915" w:rsidP="00562915" w:rsidRDefault="007E08B6" w14:paraId="2C8807CD" w14:textId="0D844BE0">
      <w:pPr>
        <w:rPr>
          <w:rFonts w:ascii="Times New Roman" w:hAnsi="Times New Roman" w:cs="Times New Roman"/>
          <w:spacing w:val="-3"/>
          <w:sz w:val="24"/>
          <w:szCs w:val="24"/>
          <w:u w:val="single"/>
        </w:rPr>
      </w:pPr>
      <w:r>
        <w:rPr>
          <w:rFonts w:ascii="Times New Roman" w:hAnsi="Times New Roman" w:cs="Times New Roman"/>
          <w:spacing w:val="-3"/>
          <w:sz w:val="24"/>
          <w:szCs w:val="24"/>
        </w:rPr>
        <w:lastRenderedPageBreak/>
        <w:t xml:space="preserve">This package is a revision to the collection titled </w:t>
      </w:r>
      <w:r w:rsidR="005C4A84">
        <w:rPr>
          <w:rFonts w:ascii="Times New Roman" w:hAnsi="Times New Roman" w:cs="Times New Roman"/>
          <w:spacing w:val="-3"/>
          <w:sz w:val="24"/>
          <w:szCs w:val="24"/>
        </w:rPr>
        <w:t xml:space="preserve">the Threat </w:t>
      </w:r>
      <w:r w:rsidR="001C2CA5">
        <w:rPr>
          <w:rFonts w:ascii="Times New Roman" w:hAnsi="Times New Roman" w:cs="Times New Roman"/>
          <w:spacing w:val="-3"/>
          <w:sz w:val="24"/>
          <w:szCs w:val="24"/>
        </w:rPr>
        <w:t xml:space="preserve">and </w:t>
      </w:r>
      <w:r w:rsidR="005C4A84">
        <w:rPr>
          <w:rFonts w:ascii="Times New Roman" w:hAnsi="Times New Roman" w:cs="Times New Roman"/>
          <w:spacing w:val="-3"/>
          <w:sz w:val="24"/>
          <w:szCs w:val="24"/>
        </w:rPr>
        <w:t>Hazard Identification and Risk Assessment (</w:t>
      </w:r>
      <w:r>
        <w:rPr>
          <w:rFonts w:ascii="Times New Roman" w:hAnsi="Times New Roman" w:cs="Times New Roman"/>
          <w:spacing w:val="-3"/>
          <w:sz w:val="24"/>
          <w:szCs w:val="24"/>
        </w:rPr>
        <w:t>THIRA</w:t>
      </w:r>
      <w:r w:rsidR="005C4A84">
        <w:rPr>
          <w:rFonts w:ascii="Times New Roman" w:hAnsi="Times New Roman" w:cs="Times New Roman"/>
          <w:spacing w:val="-3"/>
          <w:sz w:val="24"/>
          <w:szCs w:val="24"/>
        </w:rPr>
        <w:t>) – Stakeholder Preparedness Review (</w:t>
      </w:r>
      <w:r>
        <w:rPr>
          <w:rFonts w:ascii="Times New Roman" w:hAnsi="Times New Roman" w:cs="Times New Roman"/>
          <w:spacing w:val="-3"/>
          <w:sz w:val="24"/>
          <w:szCs w:val="24"/>
        </w:rPr>
        <w:t>SPR</w:t>
      </w:r>
      <w:r w:rsidR="005C4A84">
        <w:rPr>
          <w:rFonts w:ascii="Times New Roman" w:hAnsi="Times New Roman" w:cs="Times New Roman"/>
          <w:spacing w:val="-3"/>
          <w:sz w:val="24"/>
          <w:szCs w:val="24"/>
        </w:rPr>
        <w:t>) Reporting Tool under</w:t>
      </w:r>
      <w:r>
        <w:rPr>
          <w:rFonts w:ascii="Times New Roman" w:hAnsi="Times New Roman" w:cs="Times New Roman"/>
          <w:spacing w:val="-3"/>
          <w:sz w:val="24"/>
          <w:szCs w:val="24"/>
        </w:rPr>
        <w:t xml:space="preserve"> OMB Control Number</w:t>
      </w:r>
      <w:r w:rsidR="005C4A84">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1660-0131.  </w:t>
      </w:r>
      <w:r w:rsidRPr="00A808CB">
        <w:rPr>
          <w:rFonts w:ascii="Times New Roman" w:hAnsi="Times New Roman" w:cs="Times New Roman"/>
          <w:spacing w:val="-3"/>
          <w:sz w:val="24"/>
          <w:szCs w:val="24"/>
        </w:rPr>
        <w:t xml:space="preserve">The </w:t>
      </w:r>
      <w:r w:rsidRPr="32D3DFAC">
        <w:rPr>
          <w:rFonts w:ascii="Times New Roman" w:hAnsi="Times New Roman" w:cs="Times New Roman"/>
          <w:i/>
          <w:iCs/>
          <w:spacing w:val="-3"/>
          <w:sz w:val="24"/>
          <w:szCs w:val="24"/>
        </w:rPr>
        <w:t xml:space="preserve">Post-Katrina Emergency Management Reform Act of 2006 </w:t>
      </w:r>
      <w:r w:rsidRPr="34B63AF5">
        <w:rPr>
          <w:rFonts w:ascii="Times New Roman" w:hAnsi="Times New Roman" w:cs="Times New Roman"/>
          <w:spacing w:val="-3"/>
          <w:sz w:val="24"/>
          <w:szCs w:val="24"/>
        </w:rPr>
        <w:t>(PKEMRA)</w:t>
      </w:r>
      <w:r w:rsidRPr="34B63AF5" w:rsidR="005C4A84">
        <w:rPr>
          <w:rFonts w:ascii="Times New Roman" w:hAnsi="Times New Roman" w:cs="Times New Roman"/>
          <w:spacing w:val="-3"/>
          <w:sz w:val="24"/>
          <w:szCs w:val="24"/>
        </w:rPr>
        <w:t xml:space="preserve"> (Pub</w:t>
      </w:r>
      <w:r w:rsidRPr="34B63AF5" w:rsidR="1982BF80">
        <w:rPr>
          <w:rFonts w:ascii="Times New Roman" w:hAnsi="Times New Roman" w:cs="Times New Roman"/>
          <w:spacing w:val="-3"/>
          <w:sz w:val="24"/>
          <w:szCs w:val="24"/>
        </w:rPr>
        <w:t>.</w:t>
      </w:r>
      <w:r w:rsidRPr="34B63AF5" w:rsidR="005C4A84">
        <w:rPr>
          <w:rFonts w:ascii="Times New Roman" w:hAnsi="Times New Roman" w:cs="Times New Roman"/>
          <w:spacing w:val="-3"/>
          <w:sz w:val="24"/>
          <w:szCs w:val="24"/>
        </w:rPr>
        <w:t xml:space="preserve"> L</w:t>
      </w:r>
      <w:r w:rsidRPr="34B63AF5" w:rsidR="24F0AC2A">
        <w:rPr>
          <w:rFonts w:ascii="Times New Roman" w:hAnsi="Times New Roman" w:cs="Times New Roman"/>
          <w:spacing w:val="-3"/>
          <w:sz w:val="24"/>
          <w:szCs w:val="24"/>
        </w:rPr>
        <w:t>.</w:t>
      </w:r>
      <w:r w:rsidRPr="34B63AF5" w:rsidR="005C4A84">
        <w:rPr>
          <w:rFonts w:ascii="Times New Roman" w:hAnsi="Times New Roman" w:cs="Times New Roman"/>
          <w:spacing w:val="-3"/>
          <w:sz w:val="24"/>
          <w:szCs w:val="24"/>
        </w:rPr>
        <w:t xml:space="preserve"> 109-295)</w:t>
      </w:r>
      <w:r w:rsidRPr="00A808CB">
        <w:rPr>
          <w:rFonts w:ascii="Times New Roman" w:hAnsi="Times New Roman" w:cs="Times New Roman"/>
          <w:spacing w:val="-3"/>
          <w:sz w:val="24"/>
          <w:szCs w:val="24"/>
        </w:rPr>
        <w:t xml:space="preserve">, as </w:t>
      </w:r>
      <w:r w:rsidRPr="34B63AF5">
        <w:rPr>
          <w:rFonts w:ascii="Times New Roman" w:hAnsi="Times New Roman" w:cs="Times New Roman"/>
          <w:color w:val="000000"/>
          <w:sz w:val="24"/>
          <w:szCs w:val="24"/>
        </w:rPr>
        <w:t xml:space="preserve">amended by the </w:t>
      </w:r>
      <w:r w:rsidRPr="32D3DFAC">
        <w:rPr>
          <w:rFonts w:ascii="Times New Roman" w:hAnsi="Times New Roman" w:cs="Times New Roman"/>
          <w:i/>
          <w:iCs/>
          <w:color w:val="000000"/>
          <w:sz w:val="24"/>
          <w:szCs w:val="24"/>
        </w:rPr>
        <w:t>Implementing Recommendations of the 9/11 Commission Act of 2007</w:t>
      </w:r>
      <w:r w:rsidRPr="32D3DFAC" w:rsidR="005C4A84">
        <w:rPr>
          <w:rFonts w:ascii="Times New Roman" w:hAnsi="Times New Roman" w:cs="Times New Roman"/>
          <w:i/>
          <w:iCs/>
          <w:color w:val="000000"/>
          <w:sz w:val="24"/>
          <w:szCs w:val="24"/>
        </w:rPr>
        <w:t xml:space="preserve"> </w:t>
      </w:r>
      <w:r w:rsidRPr="34B63AF5" w:rsidR="005C4A84">
        <w:rPr>
          <w:rFonts w:ascii="Times New Roman" w:hAnsi="Times New Roman" w:cs="Times New Roman"/>
          <w:color w:val="000000"/>
          <w:sz w:val="24"/>
          <w:szCs w:val="24"/>
        </w:rPr>
        <w:t>(Pub</w:t>
      </w:r>
      <w:r w:rsidRPr="34B63AF5" w:rsidR="7B41EC98">
        <w:rPr>
          <w:rFonts w:ascii="Times New Roman" w:hAnsi="Times New Roman" w:cs="Times New Roman"/>
          <w:color w:val="000000"/>
          <w:sz w:val="24"/>
          <w:szCs w:val="24"/>
        </w:rPr>
        <w:t>.</w:t>
      </w:r>
      <w:r w:rsidRPr="34B63AF5" w:rsidR="005C4A84">
        <w:rPr>
          <w:rFonts w:ascii="Times New Roman" w:hAnsi="Times New Roman" w:cs="Times New Roman"/>
          <w:color w:val="000000"/>
          <w:sz w:val="24"/>
          <w:szCs w:val="24"/>
        </w:rPr>
        <w:t xml:space="preserve"> L</w:t>
      </w:r>
      <w:r w:rsidRPr="34B63AF5" w:rsidR="700DE7F3">
        <w:rPr>
          <w:rFonts w:ascii="Times New Roman" w:hAnsi="Times New Roman" w:cs="Times New Roman"/>
          <w:color w:val="000000"/>
          <w:sz w:val="24"/>
          <w:szCs w:val="24"/>
        </w:rPr>
        <w:t>.</w:t>
      </w:r>
      <w:r w:rsidRPr="34B63AF5" w:rsidR="005C4A84">
        <w:rPr>
          <w:rFonts w:ascii="Times New Roman" w:hAnsi="Times New Roman" w:cs="Times New Roman"/>
          <w:color w:val="000000"/>
          <w:sz w:val="24"/>
          <w:szCs w:val="24"/>
        </w:rPr>
        <w:t xml:space="preserve"> 110-53)</w:t>
      </w:r>
      <w:r w:rsidRPr="34B63AF5">
        <w:rPr>
          <w:rFonts w:ascii="Times New Roman" w:hAnsi="Times New Roman" w:cs="Times New Roman"/>
          <w:color w:val="000000"/>
          <w:sz w:val="24"/>
          <w:szCs w:val="24"/>
        </w:rPr>
        <w:t xml:space="preserve">, established an annual requirement for the 56 states and territories to submit a State Preparedness Report.  </w:t>
      </w:r>
      <w:r w:rsidRPr="34B63AF5">
        <w:rPr>
          <w:rFonts w:ascii="Times New Roman" w:hAnsi="Times New Roman"/>
          <w:color w:val="000000"/>
          <w:sz w:val="24"/>
          <w:szCs w:val="24"/>
        </w:rPr>
        <w:t xml:space="preserve">Because this reporting now includes </w:t>
      </w:r>
      <w:r w:rsidRPr="34B63AF5">
        <w:rPr>
          <w:rFonts w:ascii="Times New Roman" w:hAnsi="Times New Roman"/>
          <w:sz w:val="24"/>
          <w:szCs w:val="24"/>
        </w:rPr>
        <w:t>states, territories, urban areas, and tribes, FEMA has revised the name of the</w:t>
      </w:r>
      <w:r w:rsidR="0028460E">
        <w:rPr>
          <w:rFonts w:ascii="Times New Roman" w:hAnsi="Times New Roman"/>
          <w:sz w:val="24"/>
          <w:szCs w:val="24"/>
        </w:rPr>
        <w:t xml:space="preserve"> </w:t>
      </w:r>
      <w:r w:rsidRPr="34B63AF5" w:rsidR="53C3337F">
        <w:rPr>
          <w:rFonts w:ascii="Times New Roman" w:hAnsi="Times New Roman"/>
          <w:sz w:val="24"/>
          <w:szCs w:val="24"/>
        </w:rPr>
        <w:t>collection</w:t>
      </w:r>
      <w:r w:rsidRPr="34B63AF5">
        <w:rPr>
          <w:rFonts w:ascii="Times New Roman" w:hAnsi="Times New Roman"/>
          <w:sz w:val="24"/>
          <w:szCs w:val="24"/>
        </w:rPr>
        <w:t xml:space="preserve"> as the Stakeholder Preparedness Review </w:t>
      </w:r>
      <w:r w:rsidRPr="34B63AF5">
        <w:rPr>
          <w:rFonts w:ascii="Times New Roman" w:hAnsi="Times New Roman"/>
          <w:color w:val="000000"/>
          <w:sz w:val="24"/>
          <w:szCs w:val="24"/>
        </w:rPr>
        <w:t>(SPR).  States, territories, urban areas</w:t>
      </w:r>
      <w:r w:rsidRPr="34B63AF5" w:rsidR="00D65C1F">
        <w:rPr>
          <w:rFonts w:ascii="Times New Roman" w:hAnsi="Times New Roman"/>
          <w:color w:val="000000"/>
          <w:sz w:val="24"/>
          <w:szCs w:val="24"/>
        </w:rPr>
        <w:t>,</w:t>
      </w:r>
      <w:r w:rsidRPr="34B63AF5">
        <w:rPr>
          <w:rFonts w:ascii="Times New Roman" w:hAnsi="Times New Roman"/>
          <w:color w:val="000000"/>
          <w:sz w:val="24"/>
          <w:szCs w:val="24"/>
        </w:rPr>
        <w:t xml:space="preserve"> and tribes receiving non-disaster preparedness grant funds administered by the Department of Homeland Security submit the SPR annually, and this encompasses the requirements of the </w:t>
      </w:r>
      <w:r w:rsidRPr="34B63AF5" w:rsidR="009054F5">
        <w:rPr>
          <w:rFonts w:ascii="Times New Roman" w:hAnsi="Times New Roman"/>
          <w:color w:val="000000"/>
          <w:sz w:val="24"/>
          <w:szCs w:val="24"/>
        </w:rPr>
        <w:t xml:space="preserve">previous </w:t>
      </w:r>
      <w:r w:rsidRPr="34B63AF5">
        <w:rPr>
          <w:rFonts w:ascii="Times New Roman" w:hAnsi="Times New Roman"/>
          <w:color w:val="000000"/>
          <w:sz w:val="24"/>
          <w:szCs w:val="24"/>
        </w:rPr>
        <w:t xml:space="preserve">State Preparedness Report while reflecting the updated </w:t>
      </w:r>
      <w:r w:rsidRPr="34B63AF5" w:rsidR="009054F5">
        <w:rPr>
          <w:rFonts w:ascii="Times New Roman" w:hAnsi="Times New Roman"/>
          <w:color w:val="000000"/>
          <w:sz w:val="24"/>
          <w:szCs w:val="24"/>
        </w:rPr>
        <w:t xml:space="preserve">methodology </w:t>
      </w:r>
      <w:r w:rsidRPr="34B63AF5">
        <w:rPr>
          <w:rFonts w:ascii="Times New Roman" w:hAnsi="Times New Roman"/>
          <w:color w:val="000000"/>
          <w:sz w:val="24"/>
          <w:szCs w:val="24"/>
        </w:rPr>
        <w:t xml:space="preserve">reporting needs.  The legislation requires a report on current capability levels and a description of targeted capability levels from all states, territories, urban areas and tribes receiving non-disaster preparedness grant funds administered by the Department of Homeland Security.  Each report must also include a discussion of the extent to which target capabilities identified in the applicable </w:t>
      </w:r>
      <w:r w:rsidRPr="34B63AF5" w:rsidR="009A3742">
        <w:rPr>
          <w:rFonts w:ascii="Times New Roman" w:hAnsi="Times New Roman"/>
          <w:color w:val="000000"/>
          <w:sz w:val="24"/>
          <w:szCs w:val="24"/>
        </w:rPr>
        <w:t>s</w:t>
      </w:r>
      <w:r w:rsidRPr="34B63AF5">
        <w:rPr>
          <w:rFonts w:ascii="Times New Roman" w:hAnsi="Times New Roman"/>
          <w:color w:val="000000"/>
          <w:sz w:val="24"/>
          <w:szCs w:val="24"/>
        </w:rPr>
        <w:t>tate homeland security plan and other applicable plans are unmet, and an assessment of resources needed to meet the preparedness priorities established under PKEMRA Section 646(e), including:  (i) an estimate of the amount of expenditures required to attain the preparedness priorities; and (ii) the extent to which the use of Federal assistance during the preceding fiscal year achieved the preparedness priorities.  To meet this requirement, states, territories, tribes, and urban areas first identify capability targets through the THIRA and then assess against these targets in the SPR.  Through the SPR, these jurisdictions estimate their current capabilities, identify and describe gaps between current capabilities and targets, indicate their intended approach for addressing gaps in the future, and report on the impact of Federal grant dollars in building and sustaining capabilities. It is also important to note that completing the THIRA and SPR are allowable expenses under the grant awards.</w:t>
      </w:r>
    </w:p>
    <w:p w:rsidR="009A3742" w:rsidP="007E08B6" w:rsidRDefault="00562915" w14:paraId="416D9F3F" w14:textId="77777777">
      <w:pPr>
        <w:spacing w:after="0"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9A3742" w:rsidP="007E08B6" w:rsidRDefault="009A3742" w14:paraId="47A30F58" w14:textId="77777777">
      <w:pPr>
        <w:spacing w:after="0" w:line="240" w:lineRule="auto"/>
        <w:rPr>
          <w:rFonts w:ascii="Times New Roman" w:hAnsi="Times New Roman" w:cs="Times New Roman"/>
          <w:b/>
          <w:bCs/>
          <w:color w:val="000000"/>
          <w:sz w:val="24"/>
          <w:szCs w:val="24"/>
        </w:rPr>
      </w:pPr>
    </w:p>
    <w:p w:rsidR="007E08B6" w:rsidP="007E08B6" w:rsidRDefault="007E08B6" w14:paraId="60438B03" w14:textId="2393CA6F">
      <w:pPr>
        <w:spacing w:after="0" w:line="240" w:lineRule="auto"/>
        <w:rPr>
          <w:rFonts w:ascii="Times New Roman" w:hAnsi="Times New Roman" w:cs="Times New Roman"/>
          <w:sz w:val="24"/>
          <w:szCs w:val="24"/>
        </w:rPr>
      </w:pPr>
      <w:r w:rsidRPr="00BC37B1">
        <w:rPr>
          <w:rFonts w:ascii="Times New Roman" w:hAnsi="Times New Roman" w:cs="Times New Roman"/>
          <w:color w:val="000000"/>
          <w:sz w:val="24"/>
          <w:szCs w:val="24"/>
        </w:rPr>
        <w:t>T</w:t>
      </w:r>
      <w:r>
        <w:rPr>
          <w:rFonts w:ascii="Times New Roman" w:hAnsi="Times New Roman" w:cs="Times New Roman"/>
          <w:sz w:val="24"/>
          <w:szCs w:val="24"/>
        </w:rPr>
        <w:t xml:space="preserve">his collection renewal’s assessment goal and the information collected remain the same but with an adapted platform for the collection tool from </w:t>
      </w:r>
      <w:r w:rsidR="00416F88">
        <w:rPr>
          <w:rFonts w:ascii="Times New Roman" w:hAnsi="Times New Roman" w:cs="Times New Roman"/>
          <w:sz w:val="24"/>
          <w:szCs w:val="24"/>
        </w:rPr>
        <w:t xml:space="preserve">the Max.gov web portal </w:t>
      </w:r>
      <w:r>
        <w:rPr>
          <w:rFonts w:ascii="Times New Roman" w:hAnsi="Times New Roman" w:cs="Times New Roman"/>
          <w:sz w:val="24"/>
          <w:szCs w:val="24"/>
        </w:rPr>
        <w:t xml:space="preserve"> to </w:t>
      </w:r>
      <w:r w:rsidR="00416F88">
        <w:rPr>
          <w:rFonts w:ascii="Times New Roman" w:hAnsi="Times New Roman" w:cs="Times New Roman"/>
          <w:sz w:val="24"/>
          <w:szCs w:val="24"/>
        </w:rPr>
        <w:t>the</w:t>
      </w:r>
      <w:r>
        <w:rPr>
          <w:rFonts w:ascii="Times New Roman" w:hAnsi="Times New Roman" w:cs="Times New Roman"/>
          <w:sz w:val="24"/>
          <w:szCs w:val="24"/>
        </w:rPr>
        <w:t xml:space="preserve"> online forms available to respondents from the </w:t>
      </w:r>
      <w:hyperlink w:history="1" r:id="rId11">
        <w:r w:rsidRPr="00253BA3" w:rsidR="00D22E21">
          <w:rPr>
            <w:rStyle w:val="Hyperlink"/>
            <w:rFonts w:ascii="Times New Roman" w:hAnsi="Times New Roman" w:cs="Times New Roman"/>
            <w:sz w:val="24"/>
            <w:szCs w:val="24"/>
          </w:rPr>
          <w:t>https://preptoolkit.fema.gov/urt-info</w:t>
        </w:r>
      </w:hyperlink>
      <w:r w:rsidR="00D22E21">
        <w:rPr>
          <w:rFonts w:ascii="Times New Roman" w:hAnsi="Times New Roman" w:cs="Times New Roman"/>
          <w:sz w:val="24"/>
          <w:szCs w:val="24"/>
        </w:rPr>
        <w:t xml:space="preserve"> </w:t>
      </w:r>
      <w:r w:rsidR="00BC37B1">
        <w:rPr>
          <w:rFonts w:ascii="Times New Roman" w:hAnsi="Times New Roman" w:cs="Times New Roman"/>
          <w:sz w:val="24"/>
          <w:szCs w:val="24"/>
        </w:rPr>
        <w:t xml:space="preserve"> </w:t>
      </w:r>
      <w:r>
        <w:rPr>
          <w:rFonts w:ascii="Times New Roman" w:hAnsi="Times New Roman" w:cs="Times New Roman"/>
          <w:sz w:val="24"/>
          <w:szCs w:val="24"/>
        </w:rPr>
        <w:t xml:space="preserve">web portal.  This change was made because the prior method was more cumbersome for the respondents and for FEMA.  The information collected enables state, territory, local, and tribal jurisdictions, along with the Federal Government, to understand the risks these entities face from threats and hazards, to estimate the capabilities and resources they need to manage those risks, to assess their current capability levels against their targeted </w:t>
      </w:r>
      <w:r>
        <w:rPr>
          <w:rFonts w:ascii="Times New Roman" w:hAnsi="Times New Roman" w:cs="Times New Roman"/>
          <w:sz w:val="24"/>
          <w:szCs w:val="24"/>
        </w:rPr>
        <w:lastRenderedPageBreak/>
        <w:t xml:space="preserve">capability levels, and to identify gaps between their current capabilities and the capabilities they need.  This information characterizes the first two components of the National Preparedness System:  Identifying and Assessing </w:t>
      </w:r>
      <w:r w:rsidR="00E0588C">
        <w:rPr>
          <w:rFonts w:ascii="Times New Roman" w:hAnsi="Times New Roman" w:cs="Times New Roman"/>
          <w:sz w:val="24"/>
          <w:szCs w:val="24"/>
        </w:rPr>
        <w:t>Risk</w:t>
      </w:r>
      <w:r w:rsidR="009A3742">
        <w:rPr>
          <w:rFonts w:ascii="Times New Roman" w:hAnsi="Times New Roman" w:cs="Times New Roman"/>
          <w:sz w:val="24"/>
          <w:szCs w:val="24"/>
        </w:rPr>
        <w:t>,</w:t>
      </w:r>
      <w:r w:rsidR="00E0588C">
        <w:rPr>
          <w:rFonts w:ascii="Times New Roman" w:hAnsi="Times New Roman" w:cs="Times New Roman"/>
          <w:sz w:val="24"/>
          <w:szCs w:val="24"/>
        </w:rPr>
        <w:t xml:space="preserve"> and</w:t>
      </w:r>
      <w:r>
        <w:rPr>
          <w:rFonts w:ascii="Times New Roman" w:hAnsi="Times New Roman" w:cs="Times New Roman"/>
          <w:sz w:val="24"/>
          <w:szCs w:val="24"/>
        </w:rPr>
        <w:t xml:space="preserve"> Estimating Capability Requirements.  It serves as a foundation for the remainder of the National Preparedness System, and thus represents the first steps of the nation’s process for achieving its National Preparedness Goal of a secure and resilient nation.</w:t>
      </w:r>
    </w:p>
    <w:p w:rsidR="007E08B6" w:rsidP="007E08B6" w:rsidRDefault="007E08B6" w14:paraId="1A38C8EF" w14:textId="77777777">
      <w:pPr>
        <w:spacing w:after="0" w:line="240" w:lineRule="auto"/>
        <w:rPr>
          <w:rFonts w:ascii="Times New Roman" w:hAnsi="Times New Roman" w:cs="Times New Roman"/>
          <w:sz w:val="24"/>
          <w:szCs w:val="24"/>
        </w:rPr>
      </w:pPr>
    </w:p>
    <w:p w:rsidR="007E08B6" w:rsidP="007E08B6" w:rsidRDefault="007E08B6" w14:paraId="0F8140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consists of two major steps.  Respondents first complete a THIRA by establishing capability targets based on their jurisdiction’s own threats and hazards.  Respondents then estimate their current capability levels against those targets in the SPR.  Together, the two steps enable respondents to identify their capabilities and capability gaps and prioritize the building and sustaining of capabilities.  </w:t>
      </w:r>
    </w:p>
    <w:p w:rsidR="007E08B6" w:rsidP="007E08B6" w:rsidRDefault="007E08B6" w14:paraId="6C8CD51D" w14:textId="77777777">
      <w:pPr>
        <w:spacing w:after="0" w:line="240" w:lineRule="auto"/>
        <w:rPr>
          <w:rFonts w:ascii="Times New Roman" w:hAnsi="Times New Roman" w:cs="Times New Roman"/>
          <w:sz w:val="24"/>
          <w:szCs w:val="24"/>
        </w:rPr>
      </w:pPr>
    </w:p>
    <w:p w:rsidR="007E08B6" w:rsidP="007E08B6" w:rsidRDefault="007E08B6" w14:paraId="71D89F23" w14:textId="05BA45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assessment is structured by the 32 core capabilities from the 2015 National Preparedness Goal, and therefore states, </w:t>
      </w:r>
      <w:r w:rsidRPr="00F1395F">
        <w:rPr>
          <w:rFonts w:ascii="Times New Roman" w:hAnsi="Times New Roman" w:cs="Times New Roman"/>
          <w:sz w:val="24"/>
          <w:szCs w:val="24"/>
        </w:rPr>
        <w:t>territories</w:t>
      </w:r>
      <w:r>
        <w:rPr>
          <w:rFonts w:ascii="Times New Roman" w:hAnsi="Times New Roman" w:cs="Times New Roman"/>
          <w:sz w:val="24"/>
          <w:szCs w:val="24"/>
        </w:rPr>
        <w:t xml:space="preserve">, and urban areas provide information on their current capability levels and capability gaps in each core capability; tribes complete the THIRA and SPR processes only for </w:t>
      </w:r>
      <w:r w:rsidR="00FF5080">
        <w:rPr>
          <w:rFonts w:ascii="Times New Roman" w:hAnsi="Times New Roman" w:cs="Times New Roman"/>
          <w:sz w:val="24"/>
          <w:szCs w:val="24"/>
        </w:rPr>
        <w:t>eight</w:t>
      </w:r>
      <w:r>
        <w:rPr>
          <w:rFonts w:ascii="Times New Roman" w:hAnsi="Times New Roman" w:cs="Times New Roman"/>
          <w:sz w:val="24"/>
          <w:szCs w:val="24"/>
        </w:rPr>
        <w:t xml:space="preserve"> of the core capabilities</w:t>
      </w:r>
      <w:r w:rsidR="00AC3B57">
        <w:rPr>
          <w:rFonts w:ascii="Times New Roman" w:hAnsi="Times New Roman" w:cs="Times New Roman"/>
          <w:sz w:val="24"/>
          <w:szCs w:val="24"/>
        </w:rPr>
        <w:t>, which includes 12 total capability targets</w:t>
      </w:r>
      <w:r>
        <w:rPr>
          <w:rFonts w:ascii="Times New Roman" w:hAnsi="Times New Roman" w:cs="Times New Roman"/>
          <w:sz w:val="24"/>
          <w:szCs w:val="24"/>
        </w:rPr>
        <w:t xml:space="preserve">. </w:t>
      </w:r>
      <w:r w:rsidR="009A3742">
        <w:rPr>
          <w:rFonts w:ascii="Times New Roman" w:hAnsi="Times New Roman" w:cs="Times New Roman"/>
          <w:sz w:val="24"/>
          <w:szCs w:val="24"/>
        </w:rPr>
        <w:t xml:space="preserve"> </w:t>
      </w:r>
      <w:r>
        <w:rPr>
          <w:rFonts w:ascii="Times New Roman" w:hAnsi="Times New Roman" w:cs="Times New Roman"/>
          <w:sz w:val="24"/>
          <w:szCs w:val="24"/>
        </w:rPr>
        <w:t>States,</w:t>
      </w:r>
      <w:r w:rsidRPr="00F1395F">
        <w:rPr>
          <w:rFonts w:ascii="Times New Roman" w:hAnsi="Times New Roman" w:cs="Times New Roman"/>
          <w:sz w:val="24"/>
          <w:szCs w:val="24"/>
        </w:rPr>
        <w:t xml:space="preserve"> territories</w:t>
      </w:r>
      <w:r>
        <w:rPr>
          <w:rFonts w:ascii="Times New Roman" w:hAnsi="Times New Roman" w:cs="Times New Roman"/>
          <w:sz w:val="24"/>
          <w:szCs w:val="24"/>
        </w:rPr>
        <w:t xml:space="preserve">, tribes, and urban areas gather the information and complete the THIRA following Comprehensive Preparedness Guide (CPG) 201, </w:t>
      </w:r>
      <w:r w:rsidR="00AC3B57">
        <w:rPr>
          <w:rFonts w:ascii="Times New Roman" w:hAnsi="Times New Roman" w:cs="Times New Roman"/>
          <w:sz w:val="24"/>
          <w:szCs w:val="24"/>
        </w:rPr>
        <w:t>Third</w:t>
      </w:r>
      <w:r>
        <w:rPr>
          <w:rFonts w:ascii="Times New Roman" w:hAnsi="Times New Roman" w:cs="Times New Roman"/>
          <w:sz w:val="24"/>
          <w:szCs w:val="24"/>
        </w:rPr>
        <w:t xml:space="preserve"> Edition.  States, territories, tribes, and urban areas typically rely on subject matter expertise of emergency management personnel, homeland security personnel, and other stakeholders to complete the THIRA and SPR.</w:t>
      </w:r>
    </w:p>
    <w:p w:rsidR="007E08B6" w:rsidP="007E08B6" w:rsidRDefault="007E08B6" w14:paraId="1E5DE73F" w14:textId="19CB8A7A">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BB04A0">
        <w:rPr>
          <w:rFonts w:ascii="Times New Roman" w:hAnsi="Times New Roman" w:cs="Times New Roman"/>
          <w:sz w:val="24"/>
          <w:szCs w:val="24"/>
        </w:rPr>
        <w:t>This collection</w:t>
      </w:r>
      <w:r>
        <w:rPr>
          <w:rFonts w:ascii="Times New Roman" w:hAnsi="Times New Roman" w:cs="Times New Roman"/>
          <w:sz w:val="24"/>
          <w:szCs w:val="24"/>
        </w:rPr>
        <w:t xml:space="preserve"> is designed to standardize the submission method for states, </w:t>
      </w:r>
      <w:r w:rsidRPr="00F1395F">
        <w:rPr>
          <w:rFonts w:ascii="Times New Roman" w:hAnsi="Times New Roman" w:cs="Times New Roman"/>
          <w:sz w:val="24"/>
          <w:szCs w:val="24"/>
        </w:rPr>
        <w:t>territories</w:t>
      </w:r>
      <w:r>
        <w:rPr>
          <w:rFonts w:ascii="Times New Roman" w:hAnsi="Times New Roman" w:cs="Times New Roman"/>
          <w:sz w:val="24"/>
          <w:szCs w:val="24"/>
        </w:rPr>
        <w:t xml:space="preserve">, tribes, and urban areas, and to meet public law requirements.  The information serves as the primary source of data on the preparedness capabilities of all of the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The information is summarized in the National Preparedness Report, as required by </w:t>
      </w:r>
      <w:r>
        <w:rPr>
          <w:rFonts w:ascii="Times New Roman" w:hAnsi="Times New Roman" w:cs="Times New Roman"/>
          <w:i/>
          <w:sz w:val="24"/>
          <w:szCs w:val="24"/>
        </w:rPr>
        <w:t>Presidential Policy Directive 8:  National Preparedness</w:t>
      </w:r>
      <w:r>
        <w:rPr>
          <w:rFonts w:ascii="Times New Roman" w:hAnsi="Times New Roman" w:cs="Times New Roman"/>
          <w:sz w:val="24"/>
          <w:szCs w:val="24"/>
        </w:rPr>
        <w:t xml:space="preserve"> (PPD-8).  The National Preparedness Report is an annual report to the President that summarizes national progress in building, sustaining, and delivering the 32 core capabilities outlined in the National Preparedness Goal.</w:t>
      </w:r>
    </w:p>
    <w:p w:rsidR="007E08B6" w:rsidP="007E08B6" w:rsidRDefault="007E08B6" w14:paraId="137D1429" w14:textId="77777777">
      <w:pPr>
        <w:spacing w:after="0" w:line="240" w:lineRule="auto"/>
        <w:rPr>
          <w:rFonts w:ascii="Times New Roman" w:hAnsi="Times New Roman" w:cs="Times New Roman"/>
          <w:sz w:val="24"/>
          <w:szCs w:val="24"/>
        </w:rPr>
      </w:pPr>
    </w:p>
    <w:p w:rsidR="007E08B6" w:rsidP="007E08B6" w:rsidRDefault="007E08B6" w14:paraId="407B2C2E" w14:textId="3B5266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and other Federal </w:t>
      </w:r>
      <w:r w:rsidR="009A3742">
        <w:rPr>
          <w:rFonts w:ascii="Times New Roman" w:hAnsi="Times New Roman" w:cs="Times New Roman"/>
          <w:sz w:val="24"/>
          <w:szCs w:val="24"/>
        </w:rPr>
        <w:t>D</w:t>
      </w:r>
      <w:r>
        <w:rPr>
          <w:rFonts w:ascii="Times New Roman" w:hAnsi="Times New Roman" w:cs="Times New Roman"/>
          <w:sz w:val="24"/>
          <w:szCs w:val="24"/>
        </w:rPr>
        <w:t xml:space="preserve">epartments and </w:t>
      </w:r>
      <w:r w:rsidR="009A3742">
        <w:rPr>
          <w:rFonts w:ascii="Times New Roman" w:hAnsi="Times New Roman" w:cs="Times New Roman"/>
          <w:sz w:val="24"/>
          <w:szCs w:val="24"/>
        </w:rPr>
        <w:t>A</w:t>
      </w:r>
      <w:r>
        <w:rPr>
          <w:rFonts w:ascii="Times New Roman" w:hAnsi="Times New Roman" w:cs="Times New Roman"/>
          <w:sz w:val="24"/>
          <w:szCs w:val="24"/>
        </w:rPr>
        <w:t xml:space="preserve">gencies use THIRA and SPR information to inform and prioritize their preparedness programs and activities.  FEMA relies on the information in its Strategic Plan, </w:t>
      </w:r>
      <w:r w:rsidR="00BC37B1">
        <w:rPr>
          <w:rFonts w:ascii="Times New Roman" w:hAnsi="Times New Roman" w:cs="Times New Roman"/>
          <w:sz w:val="24"/>
          <w:szCs w:val="24"/>
        </w:rPr>
        <w:t>2018-2022</w:t>
      </w:r>
      <w:r>
        <w:rPr>
          <w:rFonts w:ascii="Times New Roman" w:hAnsi="Times New Roman" w:cs="Times New Roman"/>
          <w:sz w:val="24"/>
          <w:szCs w:val="24"/>
        </w:rPr>
        <w:t xml:space="preserve">, to assess Agency-wide Performance Goals in support of </w:t>
      </w:r>
      <w:r w:rsidDel="00505985">
        <w:rPr>
          <w:rFonts w:ascii="Times New Roman" w:hAnsi="Times New Roman" w:cs="Times New Roman"/>
          <w:sz w:val="24"/>
          <w:szCs w:val="24"/>
        </w:rPr>
        <w:t>Strategic</w:t>
      </w:r>
      <w:r w:rsidDel="00AD19FF">
        <w:rPr>
          <w:rFonts w:ascii="Times New Roman" w:hAnsi="Times New Roman" w:cs="Times New Roman"/>
          <w:sz w:val="24"/>
          <w:szCs w:val="24"/>
        </w:rPr>
        <w:t xml:space="preserve"> </w:t>
      </w:r>
      <w:r w:rsidRPr="00AD19FF" w:rsidR="00AD19FF">
        <w:rPr>
          <w:rFonts w:ascii="Times New Roman" w:hAnsi="Times New Roman" w:cs="Times New Roman"/>
          <w:sz w:val="24"/>
          <w:szCs w:val="24"/>
        </w:rPr>
        <w:t>Goal</w:t>
      </w:r>
      <w:r w:rsidR="00505985">
        <w:rPr>
          <w:rFonts w:ascii="Times New Roman" w:hAnsi="Times New Roman" w:cs="Times New Roman"/>
          <w:sz w:val="24"/>
          <w:szCs w:val="24"/>
        </w:rPr>
        <w:t>s</w:t>
      </w:r>
      <w:r w:rsidRPr="00AD19FF" w:rsidR="00AD19FF">
        <w:rPr>
          <w:rFonts w:ascii="Times New Roman" w:hAnsi="Times New Roman" w:cs="Times New Roman"/>
          <w:sz w:val="24"/>
          <w:szCs w:val="24"/>
        </w:rPr>
        <w:t xml:space="preserve"> 1: Build A Culture of Preparedness, and 2: Ready The Nation For Catastrophic Disasters.</w:t>
      </w:r>
      <w:r>
        <w:rPr>
          <w:rFonts w:ascii="Times New Roman" w:hAnsi="Times New Roman" w:cs="Times New Roman"/>
          <w:sz w:val="24"/>
          <w:szCs w:val="24"/>
        </w:rPr>
        <w:t xml:space="preserve"> </w:t>
      </w:r>
      <w:r w:rsidDel="00505985">
        <w:rPr>
          <w:rFonts w:ascii="Times New Roman" w:hAnsi="Times New Roman" w:cs="Times New Roman"/>
          <w:sz w:val="24"/>
          <w:szCs w:val="24"/>
        </w:rPr>
        <w:t xml:space="preserve"> </w:t>
      </w:r>
      <w:r>
        <w:rPr>
          <w:rFonts w:ascii="Times New Roman" w:hAnsi="Times New Roman" w:cs="Times New Roman"/>
          <w:sz w:val="24"/>
          <w:szCs w:val="24"/>
        </w:rPr>
        <w:t xml:space="preserve">Additionally, FEMA’s National Training and Education Division (NTED) uses the information to identify and address the </w:t>
      </w:r>
      <w:r w:rsidR="009A3742">
        <w:rPr>
          <w:rFonts w:ascii="Times New Roman" w:hAnsi="Times New Roman" w:cs="Times New Roman"/>
          <w:sz w:val="24"/>
          <w:szCs w:val="24"/>
        </w:rPr>
        <w:t>N</w:t>
      </w:r>
      <w:r>
        <w:rPr>
          <w:rFonts w:ascii="Times New Roman" w:hAnsi="Times New Roman" w:cs="Times New Roman"/>
          <w:sz w:val="24"/>
          <w:szCs w:val="24"/>
        </w:rPr>
        <w:t>ation’s greatest training needs.  Since 2016, FEMA has shared SPR information with over 50 Federal preparedness partners, and thus the information is widely used across the Federal preparedness community.</w:t>
      </w:r>
    </w:p>
    <w:p w:rsidRPr="006625E7" w:rsidR="00562915" w:rsidP="00562915" w:rsidRDefault="00562915" w14:paraId="0BF0B600" w14:textId="77777777">
      <w:pPr>
        <w:rPr>
          <w:rFonts w:ascii="Times New Roman" w:hAnsi="Times New Roman" w:cs="Times New Roman"/>
          <w:sz w:val="24"/>
          <w:szCs w:val="24"/>
        </w:rPr>
      </w:pPr>
    </w:p>
    <w:p w:rsidR="007E08B6" w:rsidP="007E08B6" w:rsidRDefault="00562915" w14:paraId="3742147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6625E7">
        <w:rPr>
          <w:rFonts w:ascii="Times New Roman" w:hAnsi="Times New Roman" w:cs="Times New Roman"/>
          <w:b/>
          <w:bCs/>
          <w:sz w:val="24"/>
          <w:szCs w:val="24"/>
        </w:rPr>
        <w:lastRenderedPageBreak/>
        <w:t xml:space="preserve">collection.  Also describe any consideration of using information technology to reduce burden. </w:t>
      </w:r>
    </w:p>
    <w:p w:rsidR="00C93633" w:rsidP="007E08B6" w:rsidRDefault="00C93633" w14:paraId="106E10A1" w14:textId="77777777">
      <w:pPr>
        <w:spacing w:after="0" w:line="240" w:lineRule="auto"/>
        <w:rPr>
          <w:rFonts w:ascii="Times New Roman" w:hAnsi="Times New Roman" w:cs="Times New Roman"/>
          <w:sz w:val="24"/>
          <w:szCs w:val="24"/>
        </w:rPr>
      </w:pPr>
    </w:p>
    <w:p w:rsidR="009A3742" w:rsidP="007E08B6" w:rsidRDefault="00BB04A0" w14:paraId="41B74F13" w14:textId="2BF27B39">
      <w:pPr>
        <w:spacing w:after="0" w:line="240" w:lineRule="auto"/>
        <w:rPr>
          <w:rFonts w:ascii="Times New Roman" w:hAnsi="Times New Roman" w:cs="Times New Roman"/>
          <w:sz w:val="24"/>
          <w:szCs w:val="24"/>
        </w:rPr>
      </w:pPr>
      <w:r>
        <w:rPr>
          <w:rFonts w:ascii="Times New Roman" w:hAnsi="Times New Roman" w:cs="Times New Roman"/>
          <w:sz w:val="24"/>
          <w:szCs w:val="24"/>
        </w:rPr>
        <w:t>The online</w:t>
      </w:r>
      <w:r w:rsidR="007E08B6">
        <w:rPr>
          <w:rFonts w:ascii="Times New Roman" w:hAnsi="Times New Roman" w:cs="Times New Roman"/>
          <w:sz w:val="24"/>
          <w:szCs w:val="24"/>
        </w:rPr>
        <w:t xml:space="preserve"> forms for this collection provide respondents with an easier and streamlined means to ensure the PKEMRA-required requirements could be met in a timely fashion</w:t>
      </w:r>
      <w:r w:rsidRPr="00A808CB" w:rsidR="007E08B6">
        <w:rPr>
          <w:rFonts w:ascii="Times New Roman" w:hAnsi="Times New Roman" w:cs="Times New Roman"/>
          <w:sz w:val="24"/>
          <w:szCs w:val="24"/>
        </w:rPr>
        <w:t>.</w:t>
      </w:r>
      <w:r w:rsidR="007E08B6">
        <w:rPr>
          <w:rFonts w:ascii="Times New Roman" w:hAnsi="Times New Roman" w:cs="Times New Roman"/>
          <w:sz w:val="24"/>
          <w:szCs w:val="24"/>
        </w:rPr>
        <w:t xml:space="preserve"> </w:t>
      </w:r>
    </w:p>
    <w:p w:rsidR="007E08B6" w:rsidP="007E08B6" w:rsidRDefault="007E08B6" w14:paraId="6303B71C" w14:textId="24706FE9">
      <w:pPr>
        <w:spacing w:after="0" w:line="240" w:lineRule="auto"/>
        <w:rPr>
          <w:rFonts w:ascii="Times New Roman" w:hAnsi="Times New Roman" w:cs="Times New Roman"/>
          <w:sz w:val="24"/>
          <w:szCs w:val="24"/>
        </w:rPr>
      </w:pPr>
      <w:r>
        <w:rPr>
          <w:rFonts w:ascii="Times New Roman" w:hAnsi="Times New Roman" w:cs="Times New Roman"/>
          <w:sz w:val="24"/>
          <w:szCs w:val="24"/>
        </w:rPr>
        <w:t>FEMA is utilizing the</w:t>
      </w:r>
      <w:r w:rsidR="00D22E21">
        <w:rPr>
          <w:rFonts w:ascii="Times New Roman" w:hAnsi="Times New Roman" w:cs="Times New Roman"/>
          <w:sz w:val="24"/>
          <w:szCs w:val="24"/>
        </w:rPr>
        <w:t xml:space="preserve"> </w:t>
      </w:r>
      <w:r w:rsidR="003012D8">
        <w:rPr>
          <w:rFonts w:ascii="Times New Roman" w:hAnsi="Times New Roman" w:cs="Times New Roman"/>
          <w:sz w:val="24"/>
          <w:szCs w:val="24"/>
        </w:rPr>
        <w:t xml:space="preserve">online Unified Reporting Tool (URT) hosted on </w:t>
      </w:r>
      <w:r w:rsidR="00D22E21">
        <w:rPr>
          <w:rFonts w:ascii="Times New Roman" w:hAnsi="Times New Roman" w:cs="Times New Roman"/>
          <w:sz w:val="24"/>
          <w:szCs w:val="24"/>
        </w:rPr>
        <w:t xml:space="preserve">preptoolkit.fema.gov </w:t>
      </w:r>
      <w:r>
        <w:rPr>
          <w:rFonts w:ascii="Times New Roman" w:hAnsi="Times New Roman" w:cs="Times New Roman"/>
          <w:sz w:val="24"/>
          <w:szCs w:val="24"/>
        </w:rPr>
        <w:t xml:space="preserve">web portal to enable respondents to access the online forms.  </w:t>
      </w:r>
      <w:r w:rsidR="00D22E21">
        <w:rPr>
          <w:rFonts w:ascii="Times New Roman" w:hAnsi="Times New Roman" w:cs="Times New Roman"/>
          <w:sz w:val="24"/>
          <w:szCs w:val="24"/>
        </w:rPr>
        <w:t>Preptoolkit.fema.gov</w:t>
      </w:r>
      <w:r>
        <w:rPr>
          <w:rFonts w:ascii="Times New Roman" w:hAnsi="Times New Roman" w:cs="Times New Roman"/>
          <w:sz w:val="24"/>
          <w:szCs w:val="24"/>
        </w:rPr>
        <w:t xml:space="preserve"> is a </w:t>
      </w:r>
      <w:r w:rsidR="0087333C">
        <w:rPr>
          <w:rFonts w:ascii="Times New Roman" w:hAnsi="Times New Roman" w:cs="Times New Roman"/>
          <w:sz w:val="24"/>
          <w:szCs w:val="24"/>
        </w:rPr>
        <w:t>government</w:t>
      </w:r>
      <w:r>
        <w:rPr>
          <w:rFonts w:ascii="Times New Roman" w:hAnsi="Times New Roman" w:cs="Times New Roman"/>
          <w:sz w:val="24"/>
          <w:szCs w:val="24"/>
        </w:rPr>
        <w:t>-wide collaborative web portal</w:t>
      </w:r>
      <w:r w:rsidR="0087333C">
        <w:rPr>
          <w:rFonts w:ascii="Times New Roman" w:hAnsi="Times New Roman" w:cs="Times New Roman"/>
          <w:sz w:val="24"/>
          <w:szCs w:val="24"/>
        </w:rPr>
        <w:t xml:space="preserve"> designed for the whole community</w:t>
      </w:r>
      <w:r>
        <w:rPr>
          <w:rFonts w:ascii="Times New Roman" w:hAnsi="Times New Roman" w:cs="Times New Roman"/>
          <w:sz w:val="24"/>
          <w:szCs w:val="24"/>
        </w:rPr>
        <w:t xml:space="preserve"> to which most respondents already have access (and those who do not can create online accounts).  The link to access FEMA Forms </w:t>
      </w:r>
      <w:r w:rsidR="00C93633">
        <w:rPr>
          <w:rFonts w:ascii="Times New Roman" w:hAnsi="Times New Roman" w:cs="Times New Roman"/>
          <w:sz w:val="24"/>
          <w:szCs w:val="24"/>
        </w:rPr>
        <w:t>FF-008-FY-21-106 (THIRA / SPR Unified Reporting Tool)</w:t>
      </w:r>
      <w:r w:rsidR="00A032B6">
        <w:rPr>
          <w:rFonts w:ascii="Times New Roman" w:hAnsi="Times New Roman" w:cs="Times New Roman"/>
          <w:sz w:val="24"/>
          <w:szCs w:val="24"/>
        </w:rPr>
        <w:t xml:space="preserve">, and </w:t>
      </w:r>
      <w:r w:rsidR="00C93633">
        <w:rPr>
          <w:rFonts w:ascii="Times New Roman" w:hAnsi="Times New Roman" w:cs="Times New Roman"/>
          <w:sz w:val="24"/>
          <w:szCs w:val="24"/>
        </w:rPr>
        <w:t xml:space="preserve">FF-008-FY-21-107 </w:t>
      </w:r>
      <w:r w:rsidR="005B3202">
        <w:rPr>
          <w:rFonts w:ascii="Times New Roman" w:hAnsi="Times New Roman" w:cs="Times New Roman"/>
          <w:sz w:val="24"/>
          <w:szCs w:val="24"/>
        </w:rPr>
        <w:t>(After</w:t>
      </w:r>
      <w:r w:rsidR="00C93633">
        <w:rPr>
          <w:rFonts w:ascii="Times New Roman" w:hAnsi="Times New Roman" w:cs="Times New Roman"/>
          <w:sz w:val="24"/>
          <w:szCs w:val="24"/>
        </w:rPr>
        <w:t xml:space="preserve"> </w:t>
      </w:r>
      <w:r w:rsidR="009A3742">
        <w:rPr>
          <w:rFonts w:ascii="Times New Roman" w:hAnsi="Times New Roman" w:cs="Times New Roman"/>
          <w:sz w:val="24"/>
          <w:szCs w:val="24"/>
        </w:rPr>
        <w:t>A</w:t>
      </w:r>
      <w:r w:rsidR="005B3202">
        <w:rPr>
          <w:rFonts w:ascii="Times New Roman" w:hAnsi="Times New Roman" w:cs="Times New Roman"/>
          <w:sz w:val="24"/>
          <w:szCs w:val="24"/>
        </w:rPr>
        <w:t xml:space="preserve">ction </w:t>
      </w:r>
      <w:r w:rsidR="00C93633">
        <w:rPr>
          <w:rFonts w:ascii="Times New Roman" w:hAnsi="Times New Roman" w:cs="Times New Roman"/>
          <w:sz w:val="24"/>
          <w:szCs w:val="24"/>
        </w:rPr>
        <w:t xml:space="preserve">Conference </w:t>
      </w:r>
      <w:r w:rsidR="00CA0D94">
        <w:rPr>
          <w:rFonts w:ascii="Times New Roman" w:hAnsi="Times New Roman" w:cs="Times New Roman"/>
          <w:sz w:val="24"/>
          <w:szCs w:val="24"/>
        </w:rPr>
        <w:t>C</w:t>
      </w:r>
      <w:r w:rsidR="005B3202">
        <w:rPr>
          <w:rFonts w:ascii="Times New Roman" w:hAnsi="Times New Roman" w:cs="Times New Roman"/>
          <w:sz w:val="24"/>
          <w:szCs w:val="24"/>
        </w:rPr>
        <w:t>all</w:t>
      </w:r>
      <w:r w:rsidR="00C93633">
        <w:rPr>
          <w:rFonts w:ascii="Times New Roman" w:hAnsi="Times New Roman" w:cs="Times New Roman"/>
          <w:sz w:val="24"/>
          <w:szCs w:val="24"/>
        </w:rPr>
        <w:t>s</w:t>
      </w:r>
      <w:r w:rsidR="005B3202">
        <w:rPr>
          <w:rFonts w:ascii="Times New Roman" w:hAnsi="Times New Roman" w:cs="Times New Roman"/>
          <w:sz w:val="24"/>
          <w:szCs w:val="24"/>
        </w:rPr>
        <w:t>)</w:t>
      </w:r>
      <w:r>
        <w:rPr>
          <w:rFonts w:ascii="Times New Roman" w:hAnsi="Times New Roman" w:cs="Times New Roman"/>
          <w:sz w:val="24"/>
          <w:szCs w:val="24"/>
        </w:rPr>
        <w:t xml:space="preserve"> can be found at: </w:t>
      </w:r>
      <w:hyperlink w:history="1" r:id="rId12">
        <w:r w:rsidRPr="00253BA3" w:rsidR="00D22E21">
          <w:rPr>
            <w:rStyle w:val="Hyperlink"/>
            <w:rFonts w:ascii="Times New Roman" w:hAnsi="Times New Roman" w:cs="Times New Roman"/>
            <w:sz w:val="24"/>
            <w:szCs w:val="24"/>
          </w:rPr>
          <w:t>https://preptoolkit.fema.gov/urt-info</w:t>
        </w:r>
      </w:hyperlink>
      <w:r w:rsidR="002D758C">
        <w:rPr>
          <w:rFonts w:ascii="Times New Roman" w:hAnsi="Times New Roman" w:cs="Times New Roman"/>
          <w:sz w:val="24"/>
          <w:szCs w:val="24"/>
        </w:rPr>
        <w:t>.</w:t>
      </w:r>
      <w:r w:rsidR="009A3742">
        <w:rPr>
          <w:rFonts w:ascii="Times New Roman" w:hAnsi="Times New Roman" w:cs="Times New Roman"/>
          <w:sz w:val="24"/>
          <w:szCs w:val="24"/>
        </w:rPr>
        <w:t xml:space="preserve">  </w:t>
      </w:r>
      <w:r>
        <w:rPr>
          <w:rFonts w:ascii="Times New Roman" w:hAnsi="Times New Roman" w:cs="Times New Roman"/>
          <w:sz w:val="24"/>
          <w:szCs w:val="24"/>
        </w:rPr>
        <w:t>Through the online process</w:t>
      </w:r>
      <w:r w:rsidR="009E5843">
        <w:rPr>
          <w:rFonts w:ascii="Times New Roman" w:hAnsi="Times New Roman" w:cs="Times New Roman"/>
          <w:sz w:val="24"/>
          <w:szCs w:val="24"/>
        </w:rPr>
        <w:t>,</w:t>
      </w:r>
      <w:r>
        <w:rPr>
          <w:rFonts w:ascii="Times New Roman" w:hAnsi="Times New Roman" w:cs="Times New Roman"/>
          <w:sz w:val="24"/>
          <w:szCs w:val="24"/>
        </w:rPr>
        <w:t xml:space="preserve"> respondents can easily log in and respond to each jurisdiction’s applicable questions.  FEMA</w:t>
      </w:r>
      <w:r w:rsidR="009A3742">
        <w:rPr>
          <w:rFonts w:ascii="Times New Roman" w:hAnsi="Times New Roman" w:cs="Times New Roman"/>
          <w:sz w:val="24"/>
          <w:szCs w:val="24"/>
        </w:rPr>
        <w:t>’s</w:t>
      </w:r>
      <w:r>
        <w:rPr>
          <w:rFonts w:ascii="Times New Roman" w:hAnsi="Times New Roman" w:cs="Times New Roman"/>
          <w:sz w:val="24"/>
          <w:szCs w:val="24"/>
        </w:rPr>
        <w:t xml:space="preserve"> </w:t>
      </w:r>
      <w:r w:rsidR="009A3742">
        <w:rPr>
          <w:rFonts w:ascii="Times New Roman" w:hAnsi="Times New Roman" w:cs="Times New Roman"/>
          <w:sz w:val="24"/>
          <w:szCs w:val="24"/>
        </w:rPr>
        <w:t>National Preparedness Assessment Division (</w:t>
      </w:r>
      <w:r>
        <w:rPr>
          <w:rFonts w:ascii="Times New Roman" w:hAnsi="Times New Roman" w:cs="Times New Roman"/>
          <w:sz w:val="24"/>
          <w:szCs w:val="24"/>
        </w:rPr>
        <w:t>NPAD</w:t>
      </w:r>
      <w:r w:rsidR="009A3742">
        <w:rPr>
          <w:rFonts w:ascii="Times New Roman" w:hAnsi="Times New Roman" w:cs="Times New Roman"/>
          <w:sz w:val="24"/>
          <w:szCs w:val="24"/>
        </w:rPr>
        <w:t>)</w:t>
      </w:r>
      <w:r>
        <w:rPr>
          <w:rFonts w:ascii="Times New Roman" w:hAnsi="Times New Roman" w:cs="Times New Roman"/>
          <w:sz w:val="24"/>
          <w:szCs w:val="24"/>
        </w:rPr>
        <w:t xml:space="preserve"> then exports the entered data into Excel Spreadsheets that are stored on the </w:t>
      </w:r>
      <w:r w:rsidR="00945571">
        <w:rPr>
          <w:rFonts w:ascii="Times New Roman" w:hAnsi="Times New Roman" w:cs="Times New Roman"/>
          <w:sz w:val="24"/>
          <w:szCs w:val="24"/>
        </w:rPr>
        <w:t xml:space="preserve">internal </w:t>
      </w:r>
      <w:r>
        <w:rPr>
          <w:rFonts w:ascii="Times New Roman" w:hAnsi="Times New Roman" w:cs="Times New Roman"/>
          <w:sz w:val="24"/>
          <w:szCs w:val="24"/>
        </w:rPr>
        <w:t>FEMA Share</w:t>
      </w:r>
      <w:r w:rsidR="00945571">
        <w:rPr>
          <w:rFonts w:ascii="Times New Roman" w:hAnsi="Times New Roman" w:cs="Times New Roman"/>
          <w:sz w:val="24"/>
          <w:szCs w:val="24"/>
        </w:rPr>
        <w:t>Point</w:t>
      </w:r>
      <w:r w:rsidR="00BB04A0">
        <w:rPr>
          <w:rFonts w:ascii="Times New Roman" w:hAnsi="Times New Roman" w:cs="Times New Roman"/>
          <w:sz w:val="24"/>
          <w:szCs w:val="24"/>
        </w:rPr>
        <w:t xml:space="preserve"> for analytical </w:t>
      </w:r>
      <w:r w:rsidR="00F910CA">
        <w:rPr>
          <w:rFonts w:ascii="Times New Roman" w:hAnsi="Times New Roman" w:cs="Times New Roman"/>
          <w:sz w:val="24"/>
          <w:szCs w:val="24"/>
        </w:rPr>
        <w:t>purposes</w:t>
      </w:r>
      <w:r>
        <w:rPr>
          <w:rFonts w:ascii="Times New Roman" w:hAnsi="Times New Roman" w:cs="Times New Roman"/>
          <w:sz w:val="24"/>
          <w:szCs w:val="24"/>
        </w:rPr>
        <w:t xml:space="preserve">.  </w:t>
      </w:r>
    </w:p>
    <w:p w:rsidR="007E08B6" w:rsidP="007E08B6" w:rsidRDefault="007E08B6" w14:paraId="2094A309" w14:textId="77777777">
      <w:pPr>
        <w:spacing w:after="0" w:line="240" w:lineRule="auto"/>
        <w:rPr>
          <w:rFonts w:ascii="Times New Roman" w:hAnsi="Times New Roman" w:cs="Times New Roman"/>
          <w:sz w:val="24"/>
          <w:szCs w:val="24"/>
        </w:rPr>
      </w:pPr>
    </w:p>
    <w:p w:rsidRPr="003E7D18" w:rsidR="002C7FCB" w:rsidP="007E08B6" w:rsidRDefault="007E08B6" w14:paraId="71DAFBFE" w14:textId="507D8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r w:rsidR="00FC4023">
        <w:rPr>
          <w:rFonts w:ascii="Times New Roman" w:hAnsi="Times New Roman" w:cs="Times New Roman"/>
          <w:sz w:val="24"/>
          <w:szCs w:val="24"/>
        </w:rPr>
        <w:t>After-Action</w:t>
      </w:r>
      <w:r>
        <w:rPr>
          <w:rFonts w:ascii="Times New Roman" w:hAnsi="Times New Roman" w:cs="Times New Roman"/>
          <w:sz w:val="24"/>
          <w:szCs w:val="24"/>
        </w:rPr>
        <w:t xml:space="preserve"> </w:t>
      </w:r>
      <w:r w:rsidR="00C93633">
        <w:rPr>
          <w:rFonts w:ascii="Times New Roman" w:hAnsi="Times New Roman" w:cs="Times New Roman"/>
          <w:sz w:val="24"/>
          <w:szCs w:val="24"/>
        </w:rPr>
        <w:t xml:space="preserve">Conference </w:t>
      </w:r>
      <w:r w:rsidR="009A3742">
        <w:rPr>
          <w:rFonts w:ascii="Times New Roman" w:hAnsi="Times New Roman" w:cs="Times New Roman"/>
          <w:sz w:val="24"/>
          <w:szCs w:val="24"/>
        </w:rPr>
        <w:t>Call</w:t>
      </w:r>
      <w:r w:rsidR="00C93633">
        <w:rPr>
          <w:rFonts w:ascii="Times New Roman" w:hAnsi="Times New Roman" w:cs="Times New Roman"/>
          <w:sz w:val="24"/>
          <w:szCs w:val="24"/>
        </w:rPr>
        <w:t>s</w:t>
      </w:r>
      <w:r w:rsidR="009A3742">
        <w:rPr>
          <w:rFonts w:ascii="Times New Roman" w:hAnsi="Times New Roman" w:cs="Times New Roman"/>
          <w:sz w:val="24"/>
          <w:szCs w:val="24"/>
        </w:rPr>
        <w:t xml:space="preserve"> found in</w:t>
      </w:r>
      <w:r>
        <w:rPr>
          <w:rFonts w:ascii="Times New Roman" w:hAnsi="Times New Roman" w:cs="Times New Roman"/>
          <w:sz w:val="24"/>
          <w:szCs w:val="24"/>
        </w:rPr>
        <w:t xml:space="preserve"> FEMA Form </w:t>
      </w:r>
      <w:r w:rsidR="00C93633">
        <w:rPr>
          <w:rFonts w:ascii="Times New Roman" w:hAnsi="Times New Roman" w:cs="Times New Roman"/>
          <w:sz w:val="24"/>
          <w:szCs w:val="24"/>
        </w:rPr>
        <w:t>FF-008-FY-21-107</w:t>
      </w:r>
      <w:r>
        <w:rPr>
          <w:rFonts w:ascii="Times New Roman" w:hAnsi="Times New Roman" w:cs="Times New Roman"/>
          <w:sz w:val="24"/>
          <w:szCs w:val="24"/>
        </w:rPr>
        <w:t xml:space="preserve">, questions will be provided to respondents by sending them a copy of FEMA Form </w:t>
      </w:r>
      <w:r w:rsidR="00C93633">
        <w:rPr>
          <w:rFonts w:ascii="Times New Roman" w:hAnsi="Times New Roman" w:cs="Times New Roman"/>
          <w:sz w:val="24"/>
          <w:szCs w:val="24"/>
        </w:rPr>
        <w:t>FF-008-FY-21-107</w:t>
      </w:r>
      <w:r>
        <w:rPr>
          <w:rFonts w:ascii="Times New Roman" w:hAnsi="Times New Roman" w:cs="Times New Roman"/>
          <w:sz w:val="24"/>
          <w:szCs w:val="24"/>
        </w:rPr>
        <w:t>.  Once respondents receive the form, FEMA will schedule regional after</w:t>
      </w:r>
      <w:r w:rsidR="00DE2F1B">
        <w:rPr>
          <w:rFonts w:ascii="Times New Roman" w:hAnsi="Times New Roman" w:cs="Times New Roman"/>
          <w:sz w:val="24"/>
          <w:szCs w:val="24"/>
        </w:rPr>
        <w:t>-</w:t>
      </w:r>
      <w:r>
        <w:rPr>
          <w:rFonts w:ascii="Times New Roman" w:hAnsi="Times New Roman" w:cs="Times New Roman"/>
          <w:sz w:val="24"/>
          <w:szCs w:val="24"/>
        </w:rPr>
        <w:t xml:space="preserve">action calls where respondents will have an opportunity to verbally respond to the questions.  If respondents prefer to answer the questions independently, they can use the form for that purpose and email it back to FEMA’s NPAD office. </w:t>
      </w:r>
      <w:r w:rsidR="009A3742">
        <w:rPr>
          <w:rFonts w:ascii="Times New Roman" w:hAnsi="Times New Roman" w:cs="Times New Roman"/>
          <w:sz w:val="24"/>
          <w:szCs w:val="24"/>
        </w:rPr>
        <w:t xml:space="preserve"> </w:t>
      </w:r>
      <w:r>
        <w:rPr>
          <w:rFonts w:ascii="Times New Roman" w:hAnsi="Times New Roman" w:cs="Times New Roman"/>
          <w:sz w:val="24"/>
          <w:szCs w:val="24"/>
        </w:rPr>
        <w:t>Responding to these after-action questions is voluntary and intended to give respondents an opportunity to provide input and feedback for improvements.</w:t>
      </w:r>
    </w:p>
    <w:p w:rsidRPr="006625E7" w:rsidR="00562915" w:rsidP="00150FB0" w:rsidRDefault="00562915" w14:paraId="3262FEB7" w14:textId="77777777">
      <w:pPr>
        <w:spacing w:after="0" w:line="240" w:lineRule="auto"/>
        <w:rPr>
          <w:rFonts w:ascii="Times New Roman" w:hAnsi="Times New Roman" w:cs="Times New Roman"/>
          <w:color w:val="000000"/>
          <w:sz w:val="24"/>
          <w:szCs w:val="24"/>
        </w:rPr>
      </w:pPr>
    </w:p>
    <w:p w:rsidR="00562915" w:rsidP="00562915" w:rsidRDefault="00562915" w14:paraId="1AD290AB" w14:textId="0F1F64A0">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E08B6" w:rsidP="007E08B6" w:rsidRDefault="007E08B6" w14:paraId="1389CC8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is not collected in any other form, and therefore is not duplicated elsewhere.</w:t>
      </w:r>
    </w:p>
    <w:p w:rsidRPr="006625E7" w:rsidR="002B2B7C" w:rsidP="00562915" w:rsidRDefault="002B2B7C" w14:paraId="1B04AFF6" w14:textId="77777777">
      <w:pPr>
        <w:rPr>
          <w:rFonts w:ascii="Times New Roman" w:hAnsi="Times New Roman" w:cs="Times New Roman"/>
          <w:sz w:val="24"/>
          <w:szCs w:val="24"/>
        </w:rPr>
      </w:pPr>
    </w:p>
    <w:p w:rsidRPr="006625E7" w:rsidR="00562915" w:rsidP="002B2B7C" w:rsidRDefault="00562915" w14:paraId="1DDF40E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625E7" w:rsidR="002B2B7C" w:rsidP="002B2B7C" w:rsidRDefault="00C16EAE" w14:paraId="18CA34F7" w14:textId="3CC64333">
      <w:pPr>
        <w:tabs>
          <w:tab w:val="left" w:pos="360"/>
        </w:tabs>
        <w:rPr>
          <w:rFonts w:ascii="Times New Roman" w:hAnsi="Times New Roman" w:cs="Times New Roman"/>
          <w:spacing w:val="-3"/>
          <w:sz w:val="24"/>
          <w:szCs w:val="24"/>
        </w:rPr>
      </w:pPr>
      <w:r w:rsidRPr="00C16EAE">
        <w:rPr>
          <w:rFonts w:ascii="Times New Roman" w:hAnsi="Times New Roman" w:cs="Times New Roman"/>
          <w:spacing w:val="-3"/>
          <w:sz w:val="24"/>
          <w:szCs w:val="24"/>
        </w:rPr>
        <w:t xml:space="preserve">FEMA provides technical assistance via training and technical support to those who request such support in responding to agency requests for information such as community THIRA and SPR.  Additionally, governmental jurisdictions of varying size may utilize the subject grant funds if they complete the THIRA and SPR process. </w:t>
      </w:r>
    </w:p>
    <w:p w:rsidRPr="006625E7" w:rsidR="00562915" w:rsidP="00562915" w:rsidRDefault="00562915" w14:paraId="205EA70C" w14:textId="2F8E18B4">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6.  Describe the consequence to Federal/FEMA program or policy activities if the collection of information is not conducted</w:t>
      </w:r>
      <w:r w:rsidRPr="006625E7" w:rsidR="00654EC7">
        <w:rPr>
          <w:rFonts w:ascii="Times New Roman" w:hAnsi="Times New Roman" w:cs="Times New Roman"/>
          <w:b/>
          <w:bCs/>
          <w:sz w:val="24"/>
          <w:szCs w:val="24"/>
        </w:rPr>
        <w:t xml:space="preserve"> or</w:t>
      </w:r>
      <w:r w:rsidRPr="006625E7">
        <w:rPr>
          <w:rFonts w:ascii="Times New Roman" w:hAnsi="Times New Roman" w:cs="Times New Roman"/>
          <w:b/>
          <w:bCs/>
          <w:sz w:val="24"/>
          <w:szCs w:val="24"/>
        </w:rPr>
        <w:t xml:space="preserve"> is conducted less frequently as well as any technical or legal obstacles to reducing burden.  </w:t>
      </w:r>
    </w:p>
    <w:p w:rsidR="007E08B6" w:rsidP="007E08B6" w:rsidRDefault="007E08B6" w14:paraId="1AF27070" w14:textId="2E2417D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FEMA would be unable to properly meet 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SPR without this revised collection of information.  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Catastrophic Resource Report would also be hindered, as the report includes THIRA and SPR information.  Additionally, the Federal preparedness community would lose the main source of data that provides an annual understanding of the states’, territories’, urban areas’ and tribes’ current preparedness levels, including an understanding of how prepared states, territories, urban areas, and tribes are for real-world events. </w:t>
      </w:r>
      <w:r w:rsidR="009A3742">
        <w:rPr>
          <w:rFonts w:ascii="Times New Roman" w:hAnsi="Times New Roman" w:cs="Times New Roman"/>
          <w:sz w:val="24"/>
          <w:szCs w:val="24"/>
        </w:rPr>
        <w:t xml:space="preserve"> </w:t>
      </w:r>
      <w:r w:rsidR="009A1BE4">
        <w:rPr>
          <w:rFonts w:ascii="Times New Roman" w:hAnsi="Times New Roman" w:cs="Times New Roman"/>
          <w:sz w:val="24"/>
          <w:szCs w:val="24"/>
        </w:rPr>
        <w:t>If the information requested in this collection was not collected, t</w:t>
      </w:r>
      <w:r>
        <w:rPr>
          <w:rFonts w:ascii="Times New Roman" w:hAnsi="Times New Roman" w:cs="Times New Roman"/>
          <w:sz w:val="24"/>
          <w:szCs w:val="24"/>
        </w:rPr>
        <w:t>he National Preparedness Report, a PPD-8 requirement, would lose one of its main inputs.  FEMA’s Strategic Plan would lose information it is using to assess Agency-wide Performance Goals in support of</w:t>
      </w:r>
      <w:r w:rsidDel="002B4CD8">
        <w:rPr>
          <w:rFonts w:ascii="Times New Roman" w:hAnsi="Times New Roman" w:cs="Times New Roman"/>
          <w:sz w:val="24"/>
          <w:szCs w:val="24"/>
        </w:rPr>
        <w:t xml:space="preserve"> Strategic </w:t>
      </w:r>
      <w:r w:rsidRPr="00AD19FF" w:rsidR="002B4CD8">
        <w:rPr>
          <w:rFonts w:ascii="Times New Roman" w:hAnsi="Times New Roman" w:cs="Times New Roman"/>
          <w:sz w:val="24"/>
          <w:szCs w:val="24"/>
        </w:rPr>
        <w:t>Goal</w:t>
      </w:r>
      <w:r w:rsidR="002B4CD8">
        <w:rPr>
          <w:rFonts w:ascii="Times New Roman" w:hAnsi="Times New Roman" w:cs="Times New Roman"/>
          <w:sz w:val="24"/>
          <w:szCs w:val="24"/>
        </w:rPr>
        <w:t>s</w:t>
      </w:r>
      <w:r w:rsidRPr="00AD19FF" w:rsidR="002B4CD8">
        <w:rPr>
          <w:rFonts w:ascii="Times New Roman" w:hAnsi="Times New Roman" w:cs="Times New Roman"/>
          <w:sz w:val="24"/>
          <w:szCs w:val="24"/>
        </w:rPr>
        <w:t xml:space="preserve"> 1: Build A Culture of Preparedness, and 2: Ready The Nation For Catastrophic Disasters.</w:t>
      </w:r>
      <w:r>
        <w:rPr>
          <w:rFonts w:ascii="Times New Roman" w:hAnsi="Times New Roman" w:cs="Times New Roman"/>
          <w:sz w:val="24"/>
          <w:szCs w:val="24"/>
        </w:rPr>
        <w:t xml:space="preserve"> </w:t>
      </w:r>
    </w:p>
    <w:p w:rsidR="007E08B6" w:rsidP="007E08B6" w:rsidRDefault="007E08B6" w14:paraId="61D03647" w14:textId="77777777">
      <w:pPr>
        <w:spacing w:after="0" w:line="240" w:lineRule="auto"/>
        <w:rPr>
          <w:rFonts w:ascii="Times New Roman" w:hAnsi="Times New Roman" w:cs="Times New Roman"/>
          <w:sz w:val="24"/>
          <w:szCs w:val="24"/>
        </w:rPr>
      </w:pPr>
    </w:p>
    <w:p w:rsidR="007E08B6" w:rsidP="007E08B6" w:rsidRDefault="007E08B6" w14:paraId="0BBF277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States, territories, urban areas, and tribes would not have a systematic process for obtaining the information required in the foundational steps of the National Preparedness System, and the nation would therefore be unable to follow that organized process for achieving the National Preparedness Goal.</w:t>
      </w:r>
    </w:p>
    <w:p w:rsidRPr="006625E7" w:rsidR="002B2B7C" w:rsidP="00562915" w:rsidRDefault="002B2B7C" w14:paraId="6A3B3D7D" w14:textId="77777777">
      <w:pPr>
        <w:rPr>
          <w:rFonts w:ascii="Times New Roman" w:hAnsi="Times New Roman" w:cs="Times New Roman"/>
          <w:spacing w:val="-3"/>
          <w:sz w:val="24"/>
          <w:szCs w:val="24"/>
        </w:rPr>
      </w:pPr>
    </w:p>
    <w:p w:rsidR="00562915" w:rsidP="00562915" w:rsidRDefault="00562915" w14:paraId="7DB2E535" w14:textId="27FCF86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7E08B6" w:rsidP="007E08B6" w:rsidRDefault="007E08B6" w14:paraId="5E75C740"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special circumstances contained in item 7(a) thru (h) of the supporting statement are not applicable to this information collection.</w:t>
      </w:r>
    </w:p>
    <w:p w:rsidRPr="006625E7" w:rsidR="007E08B6" w:rsidP="00562915" w:rsidRDefault="007E08B6" w14:paraId="2ED28CF1" w14:textId="77777777">
      <w:pPr>
        <w:rPr>
          <w:rFonts w:ascii="Times New Roman" w:hAnsi="Times New Roman" w:cs="Times New Roman"/>
          <w:b/>
          <w:bCs/>
          <w:sz w:val="24"/>
          <w:szCs w:val="24"/>
        </w:rPr>
      </w:pPr>
    </w:p>
    <w:p w:rsidRPr="006625E7" w:rsidR="00562915" w:rsidP="00562915" w:rsidRDefault="00562915" w14:paraId="53102BAC"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2E68446B"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1159C0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50FAC9B"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255D9E16"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13867B6D"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2939B860"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663020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3F52C25B"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64F6ECC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FE698A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7C7C5E38" w14:textId="77777777">
      <w:pPr>
        <w:spacing w:after="0" w:line="240" w:lineRule="auto"/>
        <w:rPr>
          <w:rFonts w:ascii="Times New Roman" w:hAnsi="Times New Roman" w:cs="Times New Roman"/>
          <w:sz w:val="24"/>
          <w:szCs w:val="24"/>
        </w:rPr>
      </w:pPr>
    </w:p>
    <w:p w:rsidRPr="006625E7" w:rsidR="00562915" w:rsidP="00562915" w:rsidRDefault="00562915" w14:paraId="4A3772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 xml:space="preserve">disclosure </w:t>
      </w:r>
      <w:r w:rsidRPr="006625E7">
        <w:rPr>
          <w:rFonts w:ascii="Times New Roman" w:hAnsi="Times New Roman" w:cs="Times New Roman"/>
          <w:b/>
          <w:bCs/>
          <w:sz w:val="24"/>
          <w:szCs w:val="24"/>
        </w:rPr>
        <w:lastRenderedPageBreak/>
        <w:t>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C3E977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2B2B7C" w14:paraId="1845DB38" w14:textId="77777777">
      <w:pPr>
        <w:rPr>
          <w:rFonts w:ascii="Times New Roman" w:hAnsi="Times New Roman" w:cs="Times New Roman"/>
          <w:sz w:val="24"/>
          <w:szCs w:val="24"/>
        </w:rPr>
      </w:pPr>
    </w:p>
    <w:p w:rsidRPr="006625E7" w:rsidR="00562915" w:rsidP="00562915" w:rsidRDefault="00562915" w14:paraId="4AF7BA2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2122EE" w:rsidR="00562915" w:rsidP="00562915" w:rsidRDefault="00562915" w14:paraId="1CAD3699" w14:textId="77777777">
      <w:pPr>
        <w:rPr>
          <w:rFonts w:ascii="Times New Roman" w:hAnsi="Times New Roman" w:cs="Times New Roman"/>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comments.  Specifically address comments received on </w:t>
      </w:r>
      <w:r w:rsidRPr="002122EE">
        <w:rPr>
          <w:rFonts w:ascii="Times New Roman" w:hAnsi="Times New Roman" w:cs="Times New Roman"/>
          <w:b/>
          <w:bCs/>
          <w:color w:val="000000" w:themeColor="text1"/>
          <w:sz w:val="24"/>
          <w:szCs w:val="24"/>
        </w:rPr>
        <w:t>cost and hour burden.</w:t>
      </w:r>
      <w:r w:rsidRPr="002122EE">
        <w:rPr>
          <w:rFonts w:ascii="Times New Roman" w:hAnsi="Times New Roman" w:cs="Times New Roman"/>
          <w:color w:val="000000" w:themeColor="text1"/>
          <w:sz w:val="24"/>
          <w:szCs w:val="24"/>
        </w:rPr>
        <w:fldChar w:fldCharType="begin"/>
      </w:r>
      <w:r w:rsidRPr="002122EE">
        <w:rPr>
          <w:rFonts w:ascii="Times New Roman" w:hAnsi="Times New Roman" w:cs="Times New Roman"/>
          <w:color w:val="000000" w:themeColor="text1"/>
          <w:sz w:val="24"/>
          <w:szCs w:val="24"/>
        </w:rPr>
        <w:instrText>ADVANCE \R 0.95</w:instrText>
      </w:r>
      <w:r w:rsidRPr="002122EE">
        <w:rPr>
          <w:rFonts w:ascii="Times New Roman" w:hAnsi="Times New Roman" w:cs="Times New Roman"/>
          <w:color w:val="000000" w:themeColor="text1"/>
          <w:sz w:val="24"/>
          <w:szCs w:val="24"/>
        </w:rPr>
        <w:fldChar w:fldCharType="end"/>
      </w:r>
    </w:p>
    <w:p w:rsidRPr="002122EE" w:rsidR="00562915" w:rsidP="00562915" w:rsidRDefault="00562915" w14:paraId="3C14498C" w14:textId="73B11DFE">
      <w:pPr>
        <w:rPr>
          <w:rFonts w:ascii="Times New Roman" w:hAnsi="Times New Roman" w:cs="Times New Roman"/>
          <w:b/>
          <w:bCs/>
          <w:color w:val="000000" w:themeColor="text1"/>
          <w:sz w:val="24"/>
          <w:szCs w:val="24"/>
        </w:rPr>
      </w:pPr>
      <w:r w:rsidRPr="002122EE">
        <w:rPr>
          <w:rFonts w:ascii="Times New Roman" w:hAnsi="Times New Roman" w:cs="Times New Roman"/>
          <w:color w:val="000000" w:themeColor="text1"/>
          <w:sz w:val="24"/>
          <w:szCs w:val="24"/>
        </w:rPr>
        <w:t xml:space="preserve">A 60-day Federal Register Notice inviting public comments was published on </w:t>
      </w:r>
      <w:r w:rsidRPr="002122EE" w:rsidR="002122EE">
        <w:rPr>
          <w:rFonts w:ascii="Times New Roman" w:hAnsi="Times New Roman" w:cs="Times New Roman"/>
          <w:color w:val="000000" w:themeColor="text1"/>
          <w:sz w:val="24"/>
          <w:szCs w:val="24"/>
        </w:rPr>
        <w:t>September 14, 2021, at 86 FR 51177.</w:t>
      </w:r>
      <w:r w:rsidRPr="002122EE">
        <w:rPr>
          <w:rFonts w:ascii="Times New Roman" w:hAnsi="Times New Roman" w:cs="Times New Roman"/>
          <w:color w:val="000000" w:themeColor="text1"/>
          <w:sz w:val="24"/>
          <w:szCs w:val="24"/>
        </w:rPr>
        <w:t xml:space="preserve">  </w:t>
      </w:r>
      <w:r w:rsidRPr="002122EE">
        <w:rPr>
          <w:rFonts w:ascii="Times New Roman" w:hAnsi="Times New Roman" w:cs="Times New Roman"/>
          <w:b/>
          <w:bCs/>
          <w:color w:val="000000" w:themeColor="text1"/>
          <w:sz w:val="24"/>
          <w:szCs w:val="24"/>
        </w:rPr>
        <w:t xml:space="preserve">No comments were received.  </w:t>
      </w:r>
    </w:p>
    <w:p w:rsidRPr="006625E7" w:rsidR="00562915" w:rsidP="00562915" w:rsidRDefault="00562915" w14:paraId="71566203" w14:textId="77777777">
      <w:pPr>
        <w:pStyle w:val="Footer"/>
        <w:tabs>
          <w:tab w:val="clear" w:pos="4320"/>
          <w:tab w:val="clear" w:pos="8640"/>
        </w:tabs>
      </w:pPr>
    </w:p>
    <w:p w:rsidRPr="006625E7" w:rsidR="00562915" w:rsidP="002B2B7C" w:rsidRDefault="00562915" w14:paraId="19FB0B59" w14:textId="77777777">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562915" w:rsidP="002B2B7C" w:rsidRDefault="00562915" w14:paraId="4EEF0B5B" w14:textId="3D162B3E">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08B6" w:rsidP="007E08B6" w:rsidRDefault="007E08B6" w14:paraId="21BEF9D3" w14:textId="03231AB5">
      <w:pPr>
        <w:spacing w:after="0" w:line="240" w:lineRule="auto"/>
        <w:rPr>
          <w:rFonts w:ascii="Times New Roman" w:hAnsi="Times New Roman" w:cs="Times New Roman"/>
          <w:bCs/>
          <w:color w:val="000000"/>
          <w:sz w:val="24"/>
          <w:szCs w:val="24"/>
        </w:rPr>
      </w:pPr>
      <w:r w:rsidRPr="002E783D">
        <w:rPr>
          <w:rFonts w:ascii="Times New Roman" w:hAnsi="Times New Roman" w:cs="Times New Roman"/>
          <w:bCs/>
          <w:color w:val="000000"/>
          <w:sz w:val="24"/>
          <w:szCs w:val="24"/>
        </w:rPr>
        <w:t xml:space="preserve">In 2010, FEMA convened a Reporting Requirements Working Group (RRWG), to conduct an exhaustive accounting of all information required of outside sources, including state and local jurisdictions. </w:t>
      </w:r>
      <w:r>
        <w:rPr>
          <w:rFonts w:ascii="Times New Roman" w:hAnsi="Times New Roman" w:cs="Times New Roman"/>
          <w:bCs/>
          <w:color w:val="000000"/>
          <w:sz w:val="24"/>
          <w:szCs w:val="24"/>
        </w:rPr>
        <w:t xml:space="preserve"> </w:t>
      </w:r>
      <w:r w:rsidRPr="002E783D">
        <w:rPr>
          <w:rFonts w:ascii="Times New Roman" w:hAnsi="Times New Roman" w:cs="Times New Roman"/>
          <w:bCs/>
          <w:color w:val="000000"/>
          <w:sz w:val="24"/>
          <w:szCs w:val="24"/>
        </w:rPr>
        <w:t xml:space="preserve">The findings of the RRWG indicated that the information gained through this collection represents the sole source of state preparedness data that is necessary to answer the </w:t>
      </w:r>
      <w:r w:rsidRPr="002E783D">
        <w:rPr>
          <w:rFonts w:ascii="Times New Roman" w:hAnsi="Times New Roman" w:cs="Times New Roman"/>
          <w:bCs/>
          <w:i/>
          <w:color w:val="000000"/>
          <w:sz w:val="24"/>
          <w:szCs w:val="24"/>
        </w:rPr>
        <w:t>PKEMRA</w:t>
      </w:r>
      <w:r w:rsidRPr="002E783D">
        <w:rPr>
          <w:rFonts w:ascii="Times New Roman" w:hAnsi="Times New Roman" w:cs="Times New Roman"/>
          <w:bCs/>
          <w:color w:val="000000"/>
          <w:sz w:val="24"/>
          <w:szCs w:val="24"/>
        </w:rPr>
        <w:t xml:space="preserve"> mandate and to authorize the State Preparedness Report</w:t>
      </w:r>
      <w:r w:rsidR="009054F5">
        <w:rPr>
          <w:rFonts w:ascii="Times New Roman" w:hAnsi="Times New Roman" w:cs="Times New Roman"/>
          <w:bCs/>
          <w:color w:val="000000"/>
          <w:sz w:val="24"/>
          <w:szCs w:val="24"/>
        </w:rPr>
        <w:t xml:space="preserve"> (now known are the State Preparedness Review)</w:t>
      </w:r>
      <w:r w:rsidRPr="002E783D">
        <w:rPr>
          <w:rFonts w:ascii="Times New Roman" w:hAnsi="Times New Roman" w:cs="Times New Roman"/>
          <w:bCs/>
          <w:color w:val="000000"/>
          <w:sz w:val="24"/>
          <w:szCs w:val="24"/>
        </w:rPr>
        <w:t>.</w:t>
      </w:r>
    </w:p>
    <w:p w:rsidR="007E08B6" w:rsidP="007E08B6" w:rsidRDefault="007E08B6" w14:paraId="3682E21A" w14:textId="77777777">
      <w:pPr>
        <w:spacing w:after="0" w:line="240" w:lineRule="auto"/>
        <w:rPr>
          <w:rFonts w:ascii="Times New Roman" w:hAnsi="Times New Roman" w:cs="Times New Roman"/>
          <w:bCs/>
          <w:color w:val="000000"/>
          <w:sz w:val="24"/>
          <w:szCs w:val="24"/>
        </w:rPr>
      </w:pPr>
    </w:p>
    <w:p w:rsidR="007E08B6" w:rsidP="007E08B6" w:rsidRDefault="007E08B6" w14:paraId="5628E01A" w14:textId="77777777">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 2013, FEMA again conducted an analysis to reduce FEMA’s preparedness grant reporting requirements.  This effort was initiated due to a request from the National Emergency Management Association, and FEMA consulted with the Centers for Disease Control and Prevention and the Department of Health and Human Services to conduct the analysis.  FEMA consolidated grant reporting requirements and implemented these changes in 2014.</w:t>
      </w:r>
    </w:p>
    <w:p w:rsidR="007E08B6" w:rsidP="007E08B6" w:rsidRDefault="007E08B6" w14:paraId="792A2B6B" w14:textId="77777777">
      <w:pPr>
        <w:spacing w:after="0" w:line="240" w:lineRule="auto"/>
        <w:rPr>
          <w:rFonts w:ascii="Times New Roman" w:hAnsi="Times New Roman" w:cs="Times New Roman"/>
          <w:bCs/>
          <w:color w:val="000000"/>
          <w:sz w:val="24"/>
          <w:szCs w:val="24"/>
        </w:rPr>
      </w:pPr>
    </w:p>
    <w:p w:rsidR="007E08B6" w:rsidP="007E08B6" w:rsidRDefault="007E08B6" w14:paraId="61D0B03D" w14:textId="483E618F">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lastRenderedPageBreak/>
        <w:t xml:space="preserve">FEMA consulted with over 20 Federal </w:t>
      </w:r>
      <w:r w:rsidR="009A1BE4">
        <w:rPr>
          <w:rFonts w:ascii="Times New Roman" w:hAnsi="Times New Roman" w:cs="Times New Roman"/>
          <w:bCs/>
          <w:color w:val="000000"/>
          <w:sz w:val="24"/>
          <w:szCs w:val="24"/>
        </w:rPr>
        <w:t>Departments and A</w:t>
      </w:r>
      <w:r>
        <w:rPr>
          <w:rFonts w:ascii="Times New Roman" w:hAnsi="Times New Roman" w:cs="Times New Roman"/>
          <w:bCs/>
          <w:color w:val="000000"/>
          <w:sz w:val="24"/>
          <w:szCs w:val="24"/>
        </w:rPr>
        <w:t xml:space="preserve">gencies in 2014 to discuss the utility and availability of the information collected, and to share the information so it could be used throughout the Federal Government.  Through this effort, FEMA confirmed that other departments and agencies do not have similar data.  This effort is ongoing and there is an increasing demand from other departments and agencies to view and use the information gained through this collection. </w:t>
      </w:r>
      <w:r w:rsidR="009A1BE4">
        <w:rPr>
          <w:rFonts w:ascii="Times New Roman" w:hAnsi="Times New Roman" w:cs="Times New Roman"/>
          <w:bCs/>
          <w:color w:val="000000"/>
          <w:sz w:val="24"/>
          <w:szCs w:val="24"/>
        </w:rPr>
        <w:t xml:space="preserve"> </w:t>
      </w:r>
      <w:r>
        <w:rPr>
          <w:rFonts w:ascii="Times New Roman" w:hAnsi="Times New Roman" w:cs="Times New Roman"/>
          <w:sz w:val="24"/>
          <w:szCs w:val="24"/>
        </w:rPr>
        <w:t>Since 2016, FEMA has shared SPR information with over 50 Federal preparedness partners, and thus the information is widely used across the Federal preparedness community.</w:t>
      </w:r>
    </w:p>
    <w:p w:rsidR="007E08B6" w:rsidP="007E08B6" w:rsidRDefault="007E08B6" w14:paraId="1E06047B" w14:textId="77777777">
      <w:pPr>
        <w:spacing w:after="0" w:line="240" w:lineRule="auto"/>
        <w:rPr>
          <w:rFonts w:ascii="Times New Roman" w:hAnsi="Times New Roman" w:cs="Times New Roman"/>
          <w:bCs/>
          <w:color w:val="000000"/>
          <w:sz w:val="24"/>
          <w:szCs w:val="24"/>
        </w:rPr>
      </w:pPr>
    </w:p>
    <w:p w:rsidR="007E08B6" w:rsidP="007E08B6" w:rsidRDefault="007E08B6" w14:paraId="67E6A0DF" w14:textId="5F086A8D">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2017, FEMA consulted with over 150 </w:t>
      </w:r>
      <w:r w:rsidR="009A1BE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tate, </w:t>
      </w:r>
      <w:r w:rsidR="009A1BE4">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erritorial, </w:t>
      </w:r>
      <w:r w:rsidR="009A1BE4">
        <w:rPr>
          <w:rFonts w:ascii="Times New Roman" w:hAnsi="Times New Roman" w:cs="Times New Roman"/>
          <w:bCs/>
          <w:color w:val="000000"/>
          <w:sz w:val="24"/>
          <w:szCs w:val="24"/>
        </w:rPr>
        <w:t>u</w:t>
      </w:r>
      <w:r>
        <w:rPr>
          <w:rFonts w:ascii="Times New Roman" w:hAnsi="Times New Roman" w:cs="Times New Roman"/>
          <w:bCs/>
          <w:color w:val="000000"/>
          <w:sz w:val="24"/>
          <w:szCs w:val="24"/>
        </w:rPr>
        <w:t xml:space="preserve">rban </w:t>
      </w:r>
      <w:r w:rsidR="009A1BE4">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rea, and </w:t>
      </w:r>
      <w:r w:rsidR="009A1BE4">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ribal representatives from over 70 jurisdictions during its technical assistance workshops. </w:t>
      </w:r>
      <w:r w:rsidR="009A1BE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Representatives were presented with multiple options for changing the process and were given the opportunity to recommend any changes they felt would improve the process. </w:t>
      </w:r>
      <w:r w:rsidR="009A1BE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After this primary engagement, approximately 20 of those jurisdictions opted to continue to participate in the development of the improved methodology. </w:t>
      </w:r>
      <w:r w:rsidR="009A1BE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Many of the new changes were adopted directly from stakeholder recommendations.</w:t>
      </w:r>
    </w:p>
    <w:p w:rsidR="00893469" w:rsidP="007E08B6" w:rsidRDefault="00893469" w14:paraId="095079D4" w14:textId="6F5E6266">
      <w:pPr>
        <w:spacing w:after="0" w:line="240" w:lineRule="auto"/>
        <w:rPr>
          <w:rFonts w:ascii="Times New Roman" w:hAnsi="Times New Roman" w:cs="Times New Roman"/>
          <w:bCs/>
          <w:color w:val="000000"/>
          <w:sz w:val="24"/>
          <w:szCs w:val="24"/>
        </w:rPr>
      </w:pPr>
    </w:p>
    <w:p w:rsidR="00893469" w:rsidP="007E08B6" w:rsidRDefault="00893469" w14:paraId="12F1DF97" w14:textId="10E45546">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2021, FEMA </w:t>
      </w:r>
      <w:r w:rsidR="004431BE">
        <w:rPr>
          <w:rFonts w:ascii="Times New Roman" w:hAnsi="Times New Roman" w:cs="Times New Roman"/>
          <w:bCs/>
          <w:color w:val="000000"/>
          <w:sz w:val="24"/>
          <w:szCs w:val="24"/>
        </w:rPr>
        <w:t xml:space="preserve">conducted after-action calls, </w:t>
      </w:r>
      <w:r w:rsidR="004B79CC">
        <w:rPr>
          <w:rFonts w:ascii="Times New Roman" w:hAnsi="Times New Roman" w:cs="Times New Roman"/>
          <w:bCs/>
          <w:color w:val="000000"/>
          <w:sz w:val="24"/>
          <w:szCs w:val="24"/>
        </w:rPr>
        <w:t>surveys</w:t>
      </w:r>
      <w:r w:rsidR="004431BE">
        <w:rPr>
          <w:rFonts w:ascii="Times New Roman" w:hAnsi="Times New Roman" w:cs="Times New Roman"/>
          <w:bCs/>
          <w:color w:val="000000"/>
          <w:sz w:val="24"/>
          <w:szCs w:val="24"/>
        </w:rPr>
        <w:t xml:space="preserve">, and listening sessions of </w:t>
      </w:r>
      <w:r w:rsidR="001A1120">
        <w:rPr>
          <w:rFonts w:ascii="Times New Roman" w:hAnsi="Times New Roman" w:cs="Times New Roman"/>
          <w:bCs/>
          <w:color w:val="000000"/>
          <w:sz w:val="24"/>
          <w:szCs w:val="24"/>
        </w:rPr>
        <w:t>ove</w:t>
      </w:r>
      <w:r w:rsidR="00622D8D">
        <w:rPr>
          <w:rFonts w:ascii="Times New Roman" w:hAnsi="Times New Roman" w:cs="Times New Roman"/>
          <w:bCs/>
          <w:color w:val="000000"/>
          <w:sz w:val="24"/>
          <w:szCs w:val="24"/>
        </w:rPr>
        <w:t xml:space="preserve">r 120 </w:t>
      </w:r>
      <w:r w:rsidR="009A1BE4">
        <w:rPr>
          <w:rFonts w:ascii="Times New Roman" w:hAnsi="Times New Roman" w:cs="Times New Roman"/>
          <w:bCs/>
          <w:color w:val="000000"/>
          <w:sz w:val="24"/>
          <w:szCs w:val="24"/>
        </w:rPr>
        <w:t>s</w:t>
      </w:r>
      <w:r w:rsidR="00AB14DA">
        <w:rPr>
          <w:rFonts w:ascii="Times New Roman" w:hAnsi="Times New Roman" w:cs="Times New Roman"/>
          <w:bCs/>
          <w:color w:val="000000"/>
          <w:sz w:val="24"/>
          <w:szCs w:val="24"/>
        </w:rPr>
        <w:t xml:space="preserve">tate, </w:t>
      </w:r>
      <w:r w:rsidR="009A1BE4">
        <w:rPr>
          <w:rFonts w:ascii="Times New Roman" w:hAnsi="Times New Roman" w:cs="Times New Roman"/>
          <w:bCs/>
          <w:color w:val="000000"/>
          <w:sz w:val="24"/>
          <w:szCs w:val="24"/>
        </w:rPr>
        <w:t>t</w:t>
      </w:r>
      <w:r w:rsidR="003554B4">
        <w:rPr>
          <w:rFonts w:ascii="Times New Roman" w:hAnsi="Times New Roman" w:cs="Times New Roman"/>
          <w:bCs/>
          <w:color w:val="000000"/>
          <w:sz w:val="24"/>
          <w:szCs w:val="24"/>
        </w:rPr>
        <w:t xml:space="preserve">erritorial, </w:t>
      </w:r>
      <w:r w:rsidR="009A1BE4">
        <w:rPr>
          <w:rFonts w:ascii="Times New Roman" w:hAnsi="Times New Roman" w:cs="Times New Roman"/>
          <w:bCs/>
          <w:color w:val="000000"/>
          <w:sz w:val="24"/>
          <w:szCs w:val="24"/>
        </w:rPr>
        <w:t>u</w:t>
      </w:r>
      <w:r w:rsidR="003554B4">
        <w:rPr>
          <w:rFonts w:ascii="Times New Roman" w:hAnsi="Times New Roman" w:cs="Times New Roman"/>
          <w:bCs/>
          <w:color w:val="000000"/>
          <w:sz w:val="24"/>
          <w:szCs w:val="24"/>
        </w:rPr>
        <w:t xml:space="preserve">rban </w:t>
      </w:r>
      <w:r w:rsidR="009A1BE4">
        <w:rPr>
          <w:rFonts w:ascii="Times New Roman" w:hAnsi="Times New Roman" w:cs="Times New Roman"/>
          <w:bCs/>
          <w:color w:val="000000"/>
          <w:sz w:val="24"/>
          <w:szCs w:val="24"/>
        </w:rPr>
        <w:t>a</w:t>
      </w:r>
      <w:r w:rsidR="003554B4">
        <w:rPr>
          <w:rFonts w:ascii="Times New Roman" w:hAnsi="Times New Roman" w:cs="Times New Roman"/>
          <w:bCs/>
          <w:color w:val="000000"/>
          <w:sz w:val="24"/>
          <w:szCs w:val="24"/>
        </w:rPr>
        <w:t xml:space="preserve">rea, and </w:t>
      </w:r>
      <w:r w:rsidR="009A1BE4">
        <w:rPr>
          <w:rFonts w:ascii="Times New Roman" w:hAnsi="Times New Roman" w:cs="Times New Roman"/>
          <w:bCs/>
          <w:color w:val="000000"/>
          <w:sz w:val="24"/>
          <w:szCs w:val="24"/>
        </w:rPr>
        <w:t>t</w:t>
      </w:r>
      <w:r w:rsidR="003554B4">
        <w:rPr>
          <w:rFonts w:ascii="Times New Roman" w:hAnsi="Times New Roman" w:cs="Times New Roman"/>
          <w:bCs/>
          <w:color w:val="000000"/>
          <w:sz w:val="24"/>
          <w:szCs w:val="24"/>
        </w:rPr>
        <w:t xml:space="preserve">ribal </w:t>
      </w:r>
      <w:r w:rsidR="009A1BE4">
        <w:rPr>
          <w:rFonts w:ascii="Times New Roman" w:hAnsi="Times New Roman" w:cs="Times New Roman"/>
          <w:bCs/>
          <w:color w:val="000000"/>
          <w:sz w:val="24"/>
          <w:szCs w:val="24"/>
        </w:rPr>
        <w:t>r</w:t>
      </w:r>
      <w:r w:rsidR="003554B4">
        <w:rPr>
          <w:rFonts w:ascii="Times New Roman" w:hAnsi="Times New Roman" w:cs="Times New Roman"/>
          <w:bCs/>
          <w:color w:val="000000"/>
          <w:sz w:val="24"/>
          <w:szCs w:val="24"/>
        </w:rPr>
        <w:t>ep</w:t>
      </w:r>
      <w:r w:rsidR="00AD6F09">
        <w:rPr>
          <w:rFonts w:ascii="Times New Roman" w:hAnsi="Times New Roman" w:cs="Times New Roman"/>
          <w:bCs/>
          <w:color w:val="000000"/>
          <w:sz w:val="24"/>
          <w:szCs w:val="24"/>
        </w:rPr>
        <w:t>resentatives</w:t>
      </w:r>
      <w:r w:rsidR="003554B4">
        <w:rPr>
          <w:rFonts w:ascii="Times New Roman" w:hAnsi="Times New Roman" w:cs="Times New Roman"/>
          <w:bCs/>
          <w:color w:val="000000"/>
          <w:sz w:val="24"/>
          <w:szCs w:val="24"/>
        </w:rPr>
        <w:t xml:space="preserve"> as well as </w:t>
      </w:r>
      <w:r w:rsidR="00BA38F7">
        <w:rPr>
          <w:rFonts w:ascii="Times New Roman" w:hAnsi="Times New Roman" w:cs="Times New Roman"/>
          <w:bCs/>
          <w:color w:val="000000"/>
          <w:sz w:val="24"/>
          <w:szCs w:val="24"/>
        </w:rPr>
        <w:t>intra-agency partners</w:t>
      </w:r>
      <w:r w:rsidR="00820764">
        <w:rPr>
          <w:rFonts w:ascii="Times New Roman" w:hAnsi="Times New Roman" w:cs="Times New Roman"/>
          <w:bCs/>
          <w:color w:val="000000"/>
          <w:sz w:val="24"/>
          <w:szCs w:val="24"/>
        </w:rPr>
        <w:t xml:space="preserve"> to</w:t>
      </w:r>
      <w:r w:rsidR="00317BA7">
        <w:rPr>
          <w:rFonts w:ascii="Times New Roman" w:hAnsi="Times New Roman" w:cs="Times New Roman"/>
          <w:bCs/>
          <w:color w:val="000000"/>
          <w:sz w:val="24"/>
          <w:szCs w:val="24"/>
        </w:rPr>
        <w:t xml:space="preserve"> collect feedback on </w:t>
      </w:r>
      <w:r w:rsidR="006C0F5C">
        <w:rPr>
          <w:rFonts w:ascii="Times New Roman" w:hAnsi="Times New Roman" w:cs="Times New Roman"/>
          <w:bCs/>
          <w:color w:val="000000"/>
          <w:sz w:val="24"/>
          <w:szCs w:val="24"/>
        </w:rPr>
        <w:t xml:space="preserve">updates to the THIRA/SPR Methodology that would help </w:t>
      </w:r>
      <w:r w:rsidR="00E21074">
        <w:rPr>
          <w:rFonts w:ascii="Times New Roman" w:hAnsi="Times New Roman" w:cs="Times New Roman"/>
          <w:bCs/>
          <w:color w:val="000000"/>
          <w:sz w:val="24"/>
          <w:szCs w:val="24"/>
        </w:rPr>
        <w:t xml:space="preserve">improve the </w:t>
      </w:r>
      <w:r w:rsidR="00C80D6D">
        <w:rPr>
          <w:rFonts w:ascii="Times New Roman" w:hAnsi="Times New Roman" w:cs="Times New Roman"/>
          <w:bCs/>
          <w:color w:val="000000"/>
          <w:sz w:val="24"/>
          <w:szCs w:val="24"/>
        </w:rPr>
        <w:t xml:space="preserve">process. </w:t>
      </w:r>
    </w:p>
    <w:p w:rsidR="007E08B6" w:rsidP="007E08B6" w:rsidRDefault="007E08B6" w14:paraId="15B68213" w14:textId="77777777">
      <w:pPr>
        <w:spacing w:after="0" w:line="240" w:lineRule="auto"/>
        <w:rPr>
          <w:rFonts w:ascii="Times New Roman" w:hAnsi="Times New Roman" w:cs="Times New Roman"/>
          <w:bCs/>
          <w:color w:val="000000"/>
          <w:sz w:val="24"/>
          <w:szCs w:val="24"/>
        </w:rPr>
      </w:pPr>
    </w:p>
    <w:p w:rsidRPr="00612845" w:rsidR="007E08B6" w:rsidP="007E08B6" w:rsidRDefault="007E08B6" w14:paraId="15A8DE6F" w14:textId="7777777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sz w:val="24"/>
          <w:szCs w:val="24"/>
        </w:rPr>
        <w:t xml:space="preserve">FEMA </w:t>
      </w:r>
      <w:r w:rsidRPr="00612845">
        <w:rPr>
          <w:rFonts w:ascii="Times New Roman" w:hAnsi="Times New Roman" w:cs="Times New Roman"/>
          <w:bCs/>
          <w:color w:val="000000" w:themeColor="text1"/>
          <w:sz w:val="24"/>
          <w:szCs w:val="24"/>
        </w:rPr>
        <w:t>also frequently engages with state and local emergency managers who provide the information in this collection to ensure that it captures useful information while reducing the burden as much as possible.  FEMA fully explains these activities in item 8(c) below.</w:t>
      </w:r>
    </w:p>
    <w:p w:rsidRPr="00612845" w:rsidR="007E08B6" w:rsidP="002B2B7C" w:rsidRDefault="007E08B6" w14:paraId="1685B009" w14:textId="77777777">
      <w:pPr>
        <w:tabs>
          <w:tab w:val="left" w:pos="360"/>
        </w:tabs>
        <w:rPr>
          <w:rFonts w:ascii="Times New Roman" w:hAnsi="Times New Roman" w:cs="Times New Roman"/>
          <w:color w:val="000000" w:themeColor="text1"/>
          <w:sz w:val="24"/>
          <w:szCs w:val="24"/>
        </w:rPr>
      </w:pPr>
    </w:p>
    <w:p w:rsidRPr="006625E7" w:rsidR="00562915" w:rsidP="00562915" w:rsidRDefault="00562915" w14:paraId="43937A79" w14:textId="77777777">
      <w:pPr>
        <w:tabs>
          <w:tab w:val="left" w:pos="360"/>
        </w:tabs>
        <w:rPr>
          <w:rFonts w:ascii="Times New Roman" w:hAnsi="Times New Roman" w:cs="Times New Roman"/>
          <w:b/>
          <w:bCs/>
          <w:sz w:val="24"/>
          <w:szCs w:val="24"/>
        </w:rPr>
      </w:pPr>
      <w:r w:rsidRPr="00612845">
        <w:rPr>
          <w:rFonts w:ascii="Times New Roman" w:hAnsi="Times New Roman" w:cs="Times New Roman"/>
          <w:b/>
          <w:bCs/>
          <w:color w:val="000000" w:themeColor="text1"/>
          <w:sz w:val="24"/>
          <w:szCs w:val="24"/>
        </w:rPr>
        <w:tab/>
      </w:r>
      <w:r w:rsidRPr="00612845">
        <w:rPr>
          <w:rFonts w:ascii="Times New Roman" w:hAnsi="Times New Roman" w:cs="Times New Roman"/>
          <w:b/>
          <w:bCs/>
          <w:color w:val="000000" w:themeColor="text1"/>
          <w:sz w:val="24"/>
          <w:szCs w:val="24"/>
        </w:rPr>
        <w:tab/>
        <w:t xml:space="preserve">c.  Describe consultations with representatives of those from whom information is to be obtained or those who must compile records. Consultation should occur at least </w:t>
      </w:r>
      <w:r w:rsidRPr="006625E7">
        <w:rPr>
          <w:rFonts w:ascii="Times New Roman" w:hAnsi="Times New Roman" w:cs="Times New Roman"/>
          <w:b/>
          <w:bCs/>
          <w:sz w:val="24"/>
          <w:szCs w:val="24"/>
        </w:rPr>
        <w:t>once every three years, even if the collection of information activities is the same as in prior periods.  There may be circumstances that may preclude consultation in a specific situation. These circumstances should be explained.</w:t>
      </w:r>
    </w:p>
    <w:p w:rsidR="007E08B6" w:rsidP="007E08B6" w:rsidRDefault="007E08B6" w14:paraId="4BDB9382" w14:textId="57F60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developed the original SPR methodology in 2010 and 2011 through consultations with state representatives who respond to this information collection.  </w:t>
      </w:r>
      <w:r w:rsidRPr="00456633">
        <w:rPr>
          <w:rFonts w:ascii="Times New Roman" w:hAnsi="Times New Roman" w:cs="Times New Roman"/>
          <w:sz w:val="24"/>
          <w:szCs w:val="24"/>
        </w:rPr>
        <w:t xml:space="preserve">FEMA conducted numerous site visits </w:t>
      </w:r>
      <w:r>
        <w:rPr>
          <w:rFonts w:ascii="Times New Roman" w:hAnsi="Times New Roman" w:cs="Times New Roman"/>
          <w:sz w:val="24"/>
          <w:szCs w:val="24"/>
        </w:rPr>
        <w:t>to s</w:t>
      </w:r>
      <w:r w:rsidRPr="00456633">
        <w:rPr>
          <w:rFonts w:ascii="Times New Roman" w:hAnsi="Times New Roman" w:cs="Times New Roman"/>
          <w:sz w:val="24"/>
          <w:szCs w:val="24"/>
        </w:rPr>
        <w:t xml:space="preserve">tate governments throughout the </w:t>
      </w:r>
      <w:r>
        <w:rPr>
          <w:rFonts w:ascii="Times New Roman" w:hAnsi="Times New Roman" w:cs="Times New Roman"/>
          <w:sz w:val="24"/>
          <w:szCs w:val="24"/>
        </w:rPr>
        <w:t>U.S.</w:t>
      </w:r>
      <w:r w:rsidRPr="00456633">
        <w:rPr>
          <w:rFonts w:ascii="Times New Roman" w:hAnsi="Times New Roman" w:cs="Times New Roman"/>
          <w:sz w:val="24"/>
          <w:szCs w:val="24"/>
        </w:rPr>
        <w:t xml:space="preserve"> to discuss this collection and to solicit input for ways to improve the survey while reducing burden. </w:t>
      </w:r>
      <w:r>
        <w:rPr>
          <w:rFonts w:ascii="Times New Roman" w:hAnsi="Times New Roman" w:cs="Times New Roman"/>
          <w:sz w:val="24"/>
          <w:szCs w:val="24"/>
        </w:rPr>
        <w:t xml:space="preserve"> FEMA used t</w:t>
      </w:r>
      <w:r w:rsidRPr="00456633">
        <w:rPr>
          <w:rFonts w:ascii="Times New Roman" w:hAnsi="Times New Roman" w:cs="Times New Roman"/>
          <w:sz w:val="24"/>
          <w:szCs w:val="24"/>
        </w:rPr>
        <w:t xml:space="preserve">he findings from these visits to </w:t>
      </w:r>
      <w:r>
        <w:rPr>
          <w:rFonts w:ascii="Times New Roman" w:hAnsi="Times New Roman" w:cs="Times New Roman"/>
          <w:sz w:val="24"/>
          <w:szCs w:val="24"/>
        </w:rPr>
        <w:t>develop</w:t>
      </w:r>
      <w:r w:rsidRPr="00456633">
        <w:rPr>
          <w:rFonts w:ascii="Times New Roman" w:hAnsi="Times New Roman" w:cs="Times New Roman"/>
          <w:sz w:val="24"/>
          <w:szCs w:val="24"/>
        </w:rPr>
        <w:t xml:space="preserve"> the agenda for a national workshop</w:t>
      </w:r>
      <w:r>
        <w:rPr>
          <w:rFonts w:ascii="Times New Roman" w:hAnsi="Times New Roman" w:cs="Times New Roman"/>
          <w:sz w:val="24"/>
          <w:szCs w:val="24"/>
        </w:rPr>
        <w:t xml:space="preserve"> of s</w:t>
      </w:r>
      <w:r w:rsidRPr="00456633">
        <w:rPr>
          <w:rFonts w:ascii="Times New Roman" w:hAnsi="Times New Roman" w:cs="Times New Roman"/>
          <w:sz w:val="24"/>
          <w:szCs w:val="24"/>
        </w:rPr>
        <w:t xml:space="preserve">tate governments, with open invitation to all respondents. </w:t>
      </w:r>
      <w:r>
        <w:rPr>
          <w:rFonts w:ascii="Times New Roman" w:hAnsi="Times New Roman" w:cs="Times New Roman"/>
          <w:sz w:val="24"/>
          <w:szCs w:val="24"/>
        </w:rPr>
        <w:t xml:space="preserve"> </w:t>
      </w:r>
      <w:r w:rsidRPr="00456633">
        <w:rPr>
          <w:rFonts w:ascii="Times New Roman" w:hAnsi="Times New Roman" w:cs="Times New Roman"/>
          <w:sz w:val="24"/>
          <w:szCs w:val="24"/>
        </w:rPr>
        <w:t>This workshop further discussed the collection and specific design considerations.</w:t>
      </w:r>
      <w:r>
        <w:rPr>
          <w:rFonts w:ascii="Times New Roman" w:hAnsi="Times New Roman" w:cs="Times New Roman"/>
          <w:sz w:val="24"/>
          <w:szCs w:val="24"/>
        </w:rPr>
        <w:t xml:space="preserve"> </w:t>
      </w:r>
      <w:r w:rsidRPr="00456633">
        <w:rPr>
          <w:rFonts w:ascii="Times New Roman" w:hAnsi="Times New Roman" w:cs="Times New Roman"/>
          <w:sz w:val="24"/>
          <w:szCs w:val="24"/>
        </w:rPr>
        <w:t xml:space="preserve"> </w:t>
      </w:r>
      <w:r>
        <w:rPr>
          <w:rFonts w:ascii="Times New Roman" w:hAnsi="Times New Roman" w:cs="Times New Roman"/>
          <w:sz w:val="24"/>
          <w:szCs w:val="24"/>
        </w:rPr>
        <w:t xml:space="preserve">FEMA developed this collection </w:t>
      </w:r>
      <w:r w:rsidRPr="00456633">
        <w:rPr>
          <w:rFonts w:ascii="Times New Roman" w:hAnsi="Times New Roman" w:cs="Times New Roman"/>
          <w:sz w:val="24"/>
          <w:szCs w:val="24"/>
        </w:rPr>
        <w:t>(format, methodology) directly from the input</w:t>
      </w:r>
      <w:r>
        <w:rPr>
          <w:rFonts w:ascii="Times New Roman" w:hAnsi="Times New Roman" w:cs="Times New Roman"/>
          <w:sz w:val="24"/>
          <w:szCs w:val="24"/>
        </w:rPr>
        <w:t xml:space="preserve"> of the respondents themselves.</w:t>
      </w:r>
      <w:r w:rsidRPr="00456633">
        <w:rPr>
          <w:rFonts w:ascii="Times New Roman" w:hAnsi="Times New Roman" w:cs="Times New Roman"/>
          <w:sz w:val="24"/>
          <w:szCs w:val="24"/>
        </w:rPr>
        <w:t xml:space="preserve"> </w:t>
      </w:r>
    </w:p>
    <w:p w:rsidR="007E08B6" w:rsidP="007E08B6" w:rsidRDefault="007E08B6" w14:paraId="41B6BC84" w14:textId="77777777">
      <w:pPr>
        <w:spacing w:after="0" w:line="240" w:lineRule="auto"/>
        <w:rPr>
          <w:rFonts w:ascii="Times New Roman" w:hAnsi="Times New Roman" w:cs="Times New Roman"/>
          <w:sz w:val="24"/>
          <w:szCs w:val="24"/>
        </w:rPr>
      </w:pPr>
    </w:p>
    <w:p w:rsidR="007E08B6" w:rsidP="007E08B6" w:rsidRDefault="007E08B6" w14:paraId="1A6AE913" w14:textId="20075E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holds annual after-action calls every February with all state, territory, tribal, and urban area jurisdictions who complete the THIRA/SPR.  FEMA uses this after-action process to gather feedback on the utility of the information and on how the burden can be </w:t>
      </w:r>
      <w:r>
        <w:rPr>
          <w:rFonts w:ascii="Times New Roman" w:hAnsi="Times New Roman" w:cs="Times New Roman"/>
          <w:sz w:val="24"/>
          <w:szCs w:val="24"/>
        </w:rPr>
        <w:lastRenderedPageBreak/>
        <w:t xml:space="preserve">further reduced.  Participation in these calls is voluntary.  Participants in the calls are asked to include their time participating in these calls when they respond to questions about hour burden.  </w:t>
      </w:r>
      <w:r w:rsidRPr="00F21CBE">
        <w:rPr>
          <w:rFonts w:ascii="Times New Roman" w:hAnsi="Times New Roman" w:cs="Times New Roman"/>
          <w:sz w:val="24"/>
          <w:szCs w:val="24"/>
        </w:rPr>
        <w:t>In 20</w:t>
      </w:r>
      <w:r w:rsidR="00AD3EAA">
        <w:rPr>
          <w:rFonts w:ascii="Times New Roman" w:hAnsi="Times New Roman" w:cs="Times New Roman"/>
          <w:sz w:val="24"/>
          <w:szCs w:val="24"/>
        </w:rPr>
        <w:t>2</w:t>
      </w:r>
      <w:r w:rsidR="008B2E64">
        <w:rPr>
          <w:rFonts w:ascii="Times New Roman" w:hAnsi="Times New Roman" w:cs="Times New Roman"/>
          <w:sz w:val="24"/>
          <w:szCs w:val="24"/>
        </w:rPr>
        <w:t>0</w:t>
      </w:r>
      <w:r w:rsidRPr="00F21CBE">
        <w:rPr>
          <w:rFonts w:ascii="Times New Roman" w:hAnsi="Times New Roman" w:cs="Times New Roman"/>
          <w:sz w:val="24"/>
          <w:szCs w:val="24"/>
        </w:rPr>
        <w:t xml:space="preserve">, FEMA collected feedback from </w:t>
      </w:r>
      <w:r w:rsidR="003827C5">
        <w:rPr>
          <w:rFonts w:ascii="Times New Roman" w:hAnsi="Times New Roman" w:cs="Times New Roman"/>
          <w:sz w:val="24"/>
          <w:szCs w:val="24"/>
        </w:rPr>
        <w:t>57</w:t>
      </w:r>
      <w:r w:rsidRPr="00F21CBE">
        <w:rPr>
          <w:rFonts w:ascii="Times New Roman" w:hAnsi="Times New Roman" w:cs="Times New Roman"/>
          <w:sz w:val="24"/>
          <w:szCs w:val="24"/>
        </w:rPr>
        <w:t xml:space="preserve"> states and territories</w:t>
      </w:r>
      <w:r w:rsidR="003827C5">
        <w:rPr>
          <w:rFonts w:ascii="Times New Roman" w:hAnsi="Times New Roman" w:cs="Times New Roman"/>
          <w:sz w:val="24"/>
          <w:szCs w:val="24"/>
        </w:rPr>
        <w:t>, and 10 tribes</w:t>
      </w:r>
      <w:r w:rsidRPr="00F21CBE">
        <w:rPr>
          <w:rFonts w:ascii="Times New Roman" w:hAnsi="Times New Roman" w:cs="Times New Roman"/>
          <w:sz w:val="24"/>
          <w:szCs w:val="24"/>
        </w:rPr>
        <w:t xml:space="preserve"> through this process.</w:t>
      </w:r>
    </w:p>
    <w:p w:rsidR="007E08B6" w:rsidP="007E08B6" w:rsidRDefault="007E08B6" w14:paraId="127C3E92" w14:textId="77777777">
      <w:pPr>
        <w:spacing w:after="0" w:line="240" w:lineRule="auto"/>
        <w:rPr>
          <w:rFonts w:ascii="Times New Roman" w:hAnsi="Times New Roman" w:cs="Times New Roman"/>
          <w:sz w:val="24"/>
          <w:szCs w:val="24"/>
        </w:rPr>
      </w:pPr>
    </w:p>
    <w:p w:rsidR="007E08B6" w:rsidP="007E08B6" w:rsidRDefault="007E08B6" w14:paraId="43791126" w14:textId="3011C6C4">
      <w:pPr>
        <w:spacing w:after="0" w:line="240" w:lineRule="auto"/>
        <w:rPr>
          <w:rFonts w:ascii="Times New Roman" w:hAnsi="Times New Roman" w:cs="Times New Roman"/>
          <w:sz w:val="24"/>
          <w:szCs w:val="24"/>
        </w:rPr>
      </w:pPr>
      <w:r>
        <w:rPr>
          <w:rFonts w:ascii="Times New Roman" w:hAnsi="Times New Roman" w:cs="Times New Roman"/>
          <w:sz w:val="24"/>
          <w:szCs w:val="24"/>
        </w:rPr>
        <w:t>Additionally, FEMA engages with representatives who provide the information several other times each year.  Each of these engagements are included in the respondent hour burden estimate.  Some examples of these engagements are provided below:</w:t>
      </w:r>
    </w:p>
    <w:p w:rsidR="001C2CA5" w:rsidP="007E08B6" w:rsidRDefault="001C2CA5" w14:paraId="35031AFB" w14:textId="77777777">
      <w:pPr>
        <w:spacing w:after="0" w:line="240" w:lineRule="auto"/>
        <w:rPr>
          <w:rFonts w:ascii="Times New Roman" w:hAnsi="Times New Roman" w:cs="Times New Roman"/>
          <w:sz w:val="24"/>
          <w:szCs w:val="24"/>
        </w:rPr>
      </w:pPr>
    </w:p>
    <w:p w:rsidR="007E08B6" w:rsidP="007E08B6" w:rsidRDefault="007E08B6" w14:paraId="1693BBCB" w14:textId="55AEEFC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FEMA conducts Technical Assistance (TA) each year to train stakeholders on the methodology and collection tool.  This training eases burden on stakeholders who provide this information.  FEMA provided three in-person TA sessions, spread throughout the U.S, in 201</w:t>
      </w:r>
      <w:r w:rsidR="00D22DF9">
        <w:rPr>
          <w:rFonts w:ascii="Times New Roman" w:hAnsi="Times New Roman" w:cs="Times New Roman"/>
          <w:sz w:val="24"/>
          <w:szCs w:val="24"/>
        </w:rPr>
        <w:t>8</w:t>
      </w:r>
      <w:r>
        <w:rPr>
          <w:rFonts w:ascii="Times New Roman" w:hAnsi="Times New Roman" w:cs="Times New Roman"/>
          <w:sz w:val="24"/>
          <w:szCs w:val="24"/>
        </w:rPr>
        <w:t xml:space="preserve">, paying for jurisdiction’s travel expenses.  </w:t>
      </w:r>
    </w:p>
    <w:p w:rsidR="007E08B6" w:rsidP="007E08B6" w:rsidRDefault="007E08B6" w14:paraId="3C981E2F" w14:textId="4AF5AFF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organizes monthly conference calls with every FEMA Region to answer any questions state and local stakeholders may have as they complete the THIRA and SPR process.  Participation in the calls is voluntary.  </w:t>
      </w:r>
    </w:p>
    <w:p w:rsidR="00086C19" w:rsidP="007E08B6" w:rsidRDefault="00086C19" w14:paraId="4E6BCAD4" w14:textId="1839EA2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organizes quarterly conference calls with each Urban Area Security Initiative (UASI) </w:t>
      </w:r>
      <w:r w:rsidR="00FB0606">
        <w:rPr>
          <w:rFonts w:ascii="Times New Roman" w:hAnsi="Times New Roman" w:cs="Times New Roman"/>
          <w:sz w:val="24"/>
          <w:szCs w:val="24"/>
        </w:rPr>
        <w:t xml:space="preserve">partner to answer any questions the UASI’s might have as they compete the THIRA and SPR process. </w:t>
      </w:r>
      <w:r w:rsidR="009A1BE4">
        <w:rPr>
          <w:rFonts w:ascii="Times New Roman" w:hAnsi="Times New Roman" w:cs="Times New Roman"/>
          <w:sz w:val="24"/>
          <w:szCs w:val="24"/>
        </w:rPr>
        <w:t xml:space="preserve"> </w:t>
      </w:r>
      <w:r w:rsidR="00FB0606">
        <w:rPr>
          <w:rFonts w:ascii="Times New Roman" w:hAnsi="Times New Roman" w:cs="Times New Roman"/>
          <w:sz w:val="24"/>
          <w:szCs w:val="24"/>
        </w:rPr>
        <w:t xml:space="preserve">Participation in these calls is voluntary. </w:t>
      </w:r>
    </w:p>
    <w:p w:rsidRPr="003E7D18" w:rsidR="006F1BEC" w:rsidP="007E08B6" w:rsidRDefault="006F1BEC" w14:paraId="0BCFA6E2" w14:textId="4B76DACA">
      <w:pPr>
        <w:pStyle w:val="ListParagraph"/>
        <w:numPr>
          <w:ilvl w:val="0"/>
          <w:numId w:val="5"/>
        </w:num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 2020</w:t>
      </w:r>
      <w:r w:rsidR="00EF60DF">
        <w:rPr>
          <w:rFonts w:ascii="Times New Roman" w:hAnsi="Times New Roman" w:cs="Times New Roman"/>
          <w:bCs/>
          <w:color w:val="000000"/>
          <w:sz w:val="24"/>
          <w:szCs w:val="24"/>
        </w:rPr>
        <w:t xml:space="preserve"> and 2021</w:t>
      </w:r>
      <w:r>
        <w:rPr>
          <w:rFonts w:ascii="Times New Roman" w:hAnsi="Times New Roman" w:cs="Times New Roman"/>
          <w:bCs/>
          <w:color w:val="000000"/>
          <w:sz w:val="24"/>
          <w:szCs w:val="24"/>
        </w:rPr>
        <w:t xml:space="preserve">, FEMA provided </w:t>
      </w:r>
      <w:r w:rsidR="00EE1619">
        <w:rPr>
          <w:rFonts w:ascii="Times New Roman" w:hAnsi="Times New Roman" w:cs="Times New Roman"/>
          <w:bCs/>
          <w:color w:val="000000"/>
          <w:sz w:val="24"/>
          <w:szCs w:val="24"/>
        </w:rPr>
        <w:t xml:space="preserve">technical assistance using an </w:t>
      </w:r>
      <w:r w:rsidR="00465D90">
        <w:rPr>
          <w:rFonts w:ascii="Times New Roman" w:hAnsi="Times New Roman" w:cs="Times New Roman"/>
          <w:bCs/>
          <w:color w:val="000000"/>
          <w:sz w:val="24"/>
          <w:szCs w:val="24"/>
        </w:rPr>
        <w:t>alternate live webinar</w:t>
      </w:r>
      <w:r w:rsidR="00A03EA2">
        <w:rPr>
          <w:rFonts w:ascii="Times New Roman" w:hAnsi="Times New Roman" w:cs="Times New Roman"/>
          <w:bCs/>
          <w:color w:val="000000"/>
          <w:sz w:val="24"/>
          <w:szCs w:val="24"/>
        </w:rPr>
        <w:t xml:space="preserve"> </w:t>
      </w:r>
      <w:r w:rsidR="00EE1619">
        <w:rPr>
          <w:rFonts w:ascii="Times New Roman" w:hAnsi="Times New Roman" w:cs="Times New Roman"/>
          <w:bCs/>
          <w:color w:val="000000"/>
          <w:sz w:val="24"/>
          <w:szCs w:val="24"/>
        </w:rPr>
        <w:t xml:space="preserve">online for jurisdictions </w:t>
      </w:r>
      <w:r w:rsidR="005136C6">
        <w:rPr>
          <w:rFonts w:ascii="Times New Roman" w:hAnsi="Times New Roman" w:cs="Times New Roman"/>
          <w:bCs/>
          <w:color w:val="000000"/>
          <w:sz w:val="24"/>
          <w:szCs w:val="24"/>
        </w:rPr>
        <w:t xml:space="preserve">due to COVID-19 travel restrictions. </w:t>
      </w:r>
      <w:r w:rsidR="009A1BE4">
        <w:rPr>
          <w:rFonts w:ascii="Times New Roman" w:hAnsi="Times New Roman" w:cs="Times New Roman"/>
          <w:bCs/>
          <w:color w:val="000000"/>
          <w:sz w:val="24"/>
          <w:szCs w:val="24"/>
        </w:rPr>
        <w:t xml:space="preserve"> </w:t>
      </w:r>
      <w:r w:rsidR="005136C6">
        <w:rPr>
          <w:rFonts w:ascii="Times New Roman" w:hAnsi="Times New Roman" w:cs="Times New Roman"/>
          <w:bCs/>
          <w:color w:val="000000"/>
          <w:sz w:val="24"/>
          <w:szCs w:val="24"/>
        </w:rPr>
        <w:t>The use of the online platform</w:t>
      </w:r>
      <w:r w:rsidR="00C413B8">
        <w:rPr>
          <w:rFonts w:ascii="Times New Roman" w:hAnsi="Times New Roman" w:cs="Times New Roman"/>
          <w:bCs/>
          <w:color w:val="000000"/>
          <w:sz w:val="24"/>
          <w:szCs w:val="24"/>
        </w:rPr>
        <w:t xml:space="preserve"> to provide live webinars enabled more tha</w:t>
      </w:r>
      <w:r w:rsidR="00D7135A">
        <w:rPr>
          <w:rFonts w:ascii="Times New Roman" w:hAnsi="Times New Roman" w:cs="Times New Roman"/>
          <w:bCs/>
          <w:color w:val="000000"/>
          <w:sz w:val="24"/>
          <w:szCs w:val="24"/>
        </w:rPr>
        <w:t xml:space="preserve">n 400 </w:t>
      </w:r>
      <w:r w:rsidR="009A1BE4">
        <w:rPr>
          <w:rFonts w:ascii="Times New Roman" w:hAnsi="Times New Roman" w:cs="Times New Roman"/>
          <w:bCs/>
          <w:color w:val="000000"/>
          <w:sz w:val="24"/>
          <w:szCs w:val="24"/>
        </w:rPr>
        <w:t>s</w:t>
      </w:r>
      <w:r w:rsidR="00656513">
        <w:rPr>
          <w:rFonts w:ascii="Times New Roman" w:hAnsi="Times New Roman" w:cs="Times New Roman"/>
          <w:bCs/>
          <w:color w:val="000000"/>
          <w:sz w:val="24"/>
          <w:szCs w:val="24"/>
        </w:rPr>
        <w:t>tate</w:t>
      </w:r>
      <w:r w:rsidR="00843396">
        <w:rPr>
          <w:rFonts w:ascii="Times New Roman" w:hAnsi="Times New Roman" w:cs="Times New Roman"/>
          <w:bCs/>
          <w:color w:val="000000"/>
          <w:sz w:val="24"/>
          <w:szCs w:val="24"/>
        </w:rPr>
        <w:t xml:space="preserve">, </w:t>
      </w:r>
      <w:r w:rsidR="009A1BE4">
        <w:rPr>
          <w:rFonts w:ascii="Times New Roman" w:hAnsi="Times New Roman" w:cs="Times New Roman"/>
          <w:bCs/>
          <w:color w:val="000000"/>
          <w:sz w:val="24"/>
          <w:szCs w:val="24"/>
        </w:rPr>
        <w:t>l</w:t>
      </w:r>
      <w:r w:rsidR="00843396">
        <w:rPr>
          <w:rFonts w:ascii="Times New Roman" w:hAnsi="Times New Roman" w:cs="Times New Roman"/>
          <w:bCs/>
          <w:color w:val="000000"/>
          <w:sz w:val="24"/>
          <w:szCs w:val="24"/>
        </w:rPr>
        <w:t xml:space="preserve">ocal, </w:t>
      </w:r>
      <w:r w:rsidR="009A1BE4">
        <w:rPr>
          <w:rFonts w:ascii="Times New Roman" w:hAnsi="Times New Roman" w:cs="Times New Roman"/>
          <w:bCs/>
          <w:color w:val="000000"/>
          <w:sz w:val="24"/>
          <w:szCs w:val="24"/>
        </w:rPr>
        <w:t>t</w:t>
      </w:r>
      <w:r w:rsidR="00F30278">
        <w:rPr>
          <w:rFonts w:ascii="Times New Roman" w:hAnsi="Times New Roman" w:cs="Times New Roman"/>
          <w:bCs/>
          <w:color w:val="000000"/>
          <w:sz w:val="24"/>
          <w:szCs w:val="24"/>
        </w:rPr>
        <w:t xml:space="preserve">erritorial, </w:t>
      </w:r>
      <w:r w:rsidR="009A1BE4">
        <w:rPr>
          <w:rFonts w:ascii="Times New Roman" w:hAnsi="Times New Roman" w:cs="Times New Roman"/>
          <w:bCs/>
          <w:color w:val="000000"/>
          <w:sz w:val="24"/>
          <w:szCs w:val="24"/>
        </w:rPr>
        <w:t>t</w:t>
      </w:r>
      <w:r w:rsidR="00F30278">
        <w:rPr>
          <w:rFonts w:ascii="Times New Roman" w:hAnsi="Times New Roman" w:cs="Times New Roman"/>
          <w:bCs/>
          <w:color w:val="000000"/>
          <w:sz w:val="24"/>
          <w:szCs w:val="24"/>
        </w:rPr>
        <w:t xml:space="preserve">ribal and UASI </w:t>
      </w:r>
      <w:r w:rsidR="00473979">
        <w:rPr>
          <w:rFonts w:ascii="Times New Roman" w:hAnsi="Times New Roman" w:cs="Times New Roman"/>
          <w:bCs/>
          <w:color w:val="000000"/>
          <w:sz w:val="24"/>
          <w:szCs w:val="24"/>
        </w:rPr>
        <w:t>representatives, with over</w:t>
      </w:r>
      <w:r w:rsidR="00C413B8">
        <w:rPr>
          <w:rFonts w:ascii="Times New Roman" w:hAnsi="Times New Roman" w:cs="Times New Roman"/>
          <w:bCs/>
          <w:color w:val="000000"/>
          <w:sz w:val="24"/>
          <w:szCs w:val="24"/>
        </w:rPr>
        <w:t xml:space="preserve"> </w:t>
      </w:r>
      <w:r w:rsidR="00BE73D5">
        <w:rPr>
          <w:rFonts w:ascii="Times New Roman" w:hAnsi="Times New Roman" w:cs="Times New Roman"/>
          <w:bCs/>
          <w:color w:val="000000"/>
          <w:sz w:val="24"/>
          <w:szCs w:val="24"/>
        </w:rPr>
        <w:t xml:space="preserve">1,100 total attendees to receive training on the THIRA/SPR assessment methodology and collection tool. </w:t>
      </w:r>
    </w:p>
    <w:p w:rsidRPr="003E7D18" w:rsidR="006A46DB" w:rsidP="006A46DB" w:rsidRDefault="006A46DB" w14:paraId="32206141" w14:textId="7FFFFFA3">
      <w:pPr>
        <w:pStyle w:val="ListParagraph"/>
        <w:numPr>
          <w:ilvl w:val="0"/>
          <w:numId w:val="5"/>
        </w:numPr>
        <w:spacing w:after="0" w:line="240" w:lineRule="auto"/>
        <w:rPr>
          <w:rFonts w:ascii="Times New Roman" w:hAnsi="Times New Roman" w:cs="Times New Roman"/>
          <w:bCs/>
          <w:color w:val="000000"/>
          <w:sz w:val="24"/>
          <w:szCs w:val="24"/>
        </w:rPr>
      </w:pPr>
      <w:r w:rsidRPr="003C7BA5">
        <w:rPr>
          <w:rFonts w:ascii="Times New Roman" w:hAnsi="Times New Roman" w:cs="Times New Roman"/>
          <w:bCs/>
          <w:color w:val="000000"/>
          <w:sz w:val="24"/>
          <w:szCs w:val="24"/>
        </w:rPr>
        <w:t>In 20</w:t>
      </w:r>
      <w:r>
        <w:rPr>
          <w:rFonts w:ascii="Times New Roman" w:hAnsi="Times New Roman" w:cs="Times New Roman"/>
          <w:bCs/>
          <w:color w:val="000000"/>
          <w:sz w:val="24"/>
          <w:szCs w:val="24"/>
        </w:rPr>
        <w:t>21</w:t>
      </w:r>
      <w:r w:rsidRPr="003C7BA5">
        <w:rPr>
          <w:rFonts w:ascii="Times New Roman" w:hAnsi="Times New Roman" w:cs="Times New Roman"/>
          <w:bCs/>
          <w:color w:val="000000"/>
          <w:sz w:val="24"/>
          <w:szCs w:val="24"/>
        </w:rPr>
        <w:t xml:space="preserve">, FEMA consulted with over 150 </w:t>
      </w:r>
      <w:r w:rsidR="009A1BE4">
        <w:rPr>
          <w:rFonts w:ascii="Times New Roman" w:hAnsi="Times New Roman" w:cs="Times New Roman"/>
          <w:bCs/>
          <w:color w:val="000000"/>
          <w:sz w:val="24"/>
          <w:szCs w:val="24"/>
        </w:rPr>
        <w:t>s</w:t>
      </w:r>
      <w:r w:rsidRPr="003C7BA5">
        <w:rPr>
          <w:rFonts w:ascii="Times New Roman" w:hAnsi="Times New Roman" w:cs="Times New Roman"/>
          <w:bCs/>
          <w:color w:val="000000"/>
          <w:sz w:val="24"/>
          <w:szCs w:val="24"/>
        </w:rPr>
        <w:t xml:space="preserve">tate, </w:t>
      </w:r>
      <w:r w:rsidR="009A1BE4">
        <w:rPr>
          <w:rFonts w:ascii="Times New Roman" w:hAnsi="Times New Roman" w:cs="Times New Roman"/>
          <w:bCs/>
          <w:color w:val="000000"/>
          <w:sz w:val="24"/>
          <w:szCs w:val="24"/>
        </w:rPr>
        <w:t>t</w:t>
      </w:r>
      <w:r w:rsidRPr="003C7BA5">
        <w:rPr>
          <w:rFonts w:ascii="Times New Roman" w:hAnsi="Times New Roman" w:cs="Times New Roman"/>
          <w:bCs/>
          <w:color w:val="000000"/>
          <w:sz w:val="24"/>
          <w:szCs w:val="24"/>
        </w:rPr>
        <w:t xml:space="preserve">erritorial, </w:t>
      </w:r>
      <w:r w:rsidR="009A1BE4">
        <w:rPr>
          <w:rFonts w:ascii="Times New Roman" w:hAnsi="Times New Roman" w:cs="Times New Roman"/>
          <w:bCs/>
          <w:color w:val="000000"/>
          <w:sz w:val="24"/>
          <w:szCs w:val="24"/>
        </w:rPr>
        <w:t>u</w:t>
      </w:r>
      <w:r w:rsidRPr="003C7BA5">
        <w:rPr>
          <w:rFonts w:ascii="Times New Roman" w:hAnsi="Times New Roman" w:cs="Times New Roman"/>
          <w:bCs/>
          <w:color w:val="000000"/>
          <w:sz w:val="24"/>
          <w:szCs w:val="24"/>
        </w:rPr>
        <w:t xml:space="preserve">rban </w:t>
      </w:r>
      <w:r w:rsidR="009A1BE4">
        <w:rPr>
          <w:rFonts w:ascii="Times New Roman" w:hAnsi="Times New Roman" w:cs="Times New Roman"/>
          <w:bCs/>
          <w:color w:val="000000"/>
          <w:sz w:val="24"/>
          <w:szCs w:val="24"/>
        </w:rPr>
        <w:t>a</w:t>
      </w:r>
      <w:r w:rsidRPr="003C7BA5">
        <w:rPr>
          <w:rFonts w:ascii="Times New Roman" w:hAnsi="Times New Roman" w:cs="Times New Roman"/>
          <w:bCs/>
          <w:color w:val="000000"/>
          <w:sz w:val="24"/>
          <w:szCs w:val="24"/>
        </w:rPr>
        <w:t xml:space="preserve">rea, and </w:t>
      </w:r>
      <w:r w:rsidR="009A1BE4">
        <w:rPr>
          <w:rFonts w:ascii="Times New Roman" w:hAnsi="Times New Roman" w:cs="Times New Roman"/>
          <w:bCs/>
          <w:color w:val="000000"/>
          <w:sz w:val="24"/>
          <w:szCs w:val="24"/>
        </w:rPr>
        <w:t>t</w:t>
      </w:r>
      <w:r w:rsidRPr="003C7BA5">
        <w:rPr>
          <w:rFonts w:ascii="Times New Roman" w:hAnsi="Times New Roman" w:cs="Times New Roman"/>
          <w:bCs/>
          <w:color w:val="000000"/>
          <w:sz w:val="24"/>
          <w:szCs w:val="24"/>
        </w:rPr>
        <w:t xml:space="preserve">ribal representatives from over 70 jurisdictions during its technical assistance workshops. </w:t>
      </w:r>
      <w:r w:rsidR="009A1BE4">
        <w:rPr>
          <w:rFonts w:ascii="Times New Roman" w:hAnsi="Times New Roman" w:cs="Times New Roman"/>
          <w:bCs/>
          <w:color w:val="000000"/>
          <w:sz w:val="24"/>
          <w:szCs w:val="24"/>
        </w:rPr>
        <w:t xml:space="preserve"> </w:t>
      </w:r>
      <w:r w:rsidRPr="003C7BA5">
        <w:rPr>
          <w:rFonts w:ascii="Times New Roman" w:hAnsi="Times New Roman" w:cs="Times New Roman"/>
          <w:bCs/>
          <w:color w:val="000000"/>
          <w:sz w:val="24"/>
          <w:szCs w:val="24"/>
        </w:rPr>
        <w:t xml:space="preserve">Representatives were presented with multiple options for </w:t>
      </w:r>
      <w:r w:rsidR="00F4582B">
        <w:rPr>
          <w:rFonts w:ascii="Times New Roman" w:hAnsi="Times New Roman" w:cs="Times New Roman"/>
          <w:bCs/>
          <w:color w:val="000000"/>
          <w:sz w:val="24"/>
          <w:szCs w:val="24"/>
        </w:rPr>
        <w:t>reviewing</w:t>
      </w:r>
      <w:r w:rsidRPr="003C7BA5">
        <w:rPr>
          <w:rFonts w:ascii="Times New Roman" w:hAnsi="Times New Roman" w:cs="Times New Roman"/>
          <w:bCs/>
          <w:color w:val="000000"/>
          <w:sz w:val="24"/>
          <w:szCs w:val="24"/>
        </w:rPr>
        <w:t xml:space="preserve"> the </w:t>
      </w:r>
      <w:r w:rsidR="00CC11D5">
        <w:rPr>
          <w:rFonts w:ascii="Times New Roman" w:hAnsi="Times New Roman" w:cs="Times New Roman"/>
          <w:bCs/>
          <w:color w:val="000000"/>
          <w:sz w:val="24"/>
          <w:szCs w:val="24"/>
        </w:rPr>
        <w:t>current assessment</w:t>
      </w:r>
      <w:r w:rsidRPr="003C7BA5">
        <w:rPr>
          <w:rFonts w:ascii="Times New Roman" w:hAnsi="Times New Roman" w:cs="Times New Roman"/>
          <w:bCs/>
          <w:color w:val="000000"/>
          <w:sz w:val="24"/>
          <w:szCs w:val="24"/>
        </w:rPr>
        <w:t xml:space="preserve"> and were given the opportunity to recommend any</w:t>
      </w:r>
      <w:r w:rsidR="00E93001">
        <w:rPr>
          <w:rFonts w:ascii="Times New Roman" w:hAnsi="Times New Roman" w:cs="Times New Roman"/>
          <w:bCs/>
          <w:color w:val="000000"/>
          <w:sz w:val="24"/>
          <w:szCs w:val="24"/>
        </w:rPr>
        <w:t xml:space="preserve"> updates</w:t>
      </w:r>
      <w:r w:rsidR="00CC11D5">
        <w:rPr>
          <w:rFonts w:ascii="Times New Roman" w:hAnsi="Times New Roman" w:cs="Times New Roman"/>
          <w:bCs/>
          <w:color w:val="000000"/>
          <w:sz w:val="24"/>
          <w:szCs w:val="24"/>
        </w:rPr>
        <w:t xml:space="preserve"> that</w:t>
      </w:r>
      <w:r w:rsidRPr="003C7BA5">
        <w:rPr>
          <w:rFonts w:ascii="Times New Roman" w:hAnsi="Times New Roman" w:cs="Times New Roman"/>
          <w:bCs/>
          <w:color w:val="000000"/>
          <w:sz w:val="24"/>
          <w:szCs w:val="24"/>
        </w:rPr>
        <w:t xml:space="preserve"> would improve the process. </w:t>
      </w:r>
      <w:r w:rsidR="009A1BE4">
        <w:rPr>
          <w:rFonts w:ascii="Times New Roman" w:hAnsi="Times New Roman" w:cs="Times New Roman"/>
          <w:bCs/>
          <w:color w:val="000000"/>
          <w:sz w:val="24"/>
          <w:szCs w:val="24"/>
        </w:rPr>
        <w:t xml:space="preserve"> </w:t>
      </w:r>
      <w:r w:rsidRPr="003C7BA5">
        <w:rPr>
          <w:rFonts w:ascii="Times New Roman" w:hAnsi="Times New Roman" w:cs="Times New Roman"/>
          <w:bCs/>
          <w:color w:val="000000"/>
          <w:sz w:val="24"/>
          <w:szCs w:val="24"/>
        </w:rPr>
        <w:t xml:space="preserve">After this primary engagement, approximately </w:t>
      </w:r>
      <w:r w:rsidR="00293F37">
        <w:rPr>
          <w:rFonts w:ascii="Times New Roman" w:hAnsi="Times New Roman" w:cs="Times New Roman"/>
          <w:bCs/>
          <w:color w:val="000000"/>
          <w:sz w:val="24"/>
          <w:szCs w:val="24"/>
        </w:rPr>
        <w:t>43</w:t>
      </w:r>
      <w:r w:rsidRPr="003C7BA5">
        <w:rPr>
          <w:rFonts w:ascii="Times New Roman" w:hAnsi="Times New Roman" w:cs="Times New Roman"/>
          <w:bCs/>
          <w:color w:val="000000"/>
          <w:sz w:val="24"/>
          <w:szCs w:val="24"/>
        </w:rPr>
        <w:t xml:space="preserve"> of those jurisdictions opted to continue to participate in the development of the improved methodology</w:t>
      </w:r>
      <w:r w:rsidR="00010418">
        <w:rPr>
          <w:rFonts w:ascii="Times New Roman" w:hAnsi="Times New Roman" w:cs="Times New Roman"/>
          <w:bCs/>
          <w:color w:val="000000"/>
          <w:sz w:val="24"/>
          <w:szCs w:val="24"/>
        </w:rPr>
        <w:t xml:space="preserve"> and provide feedback through after-action calls, surveys and listening-sessions</w:t>
      </w:r>
      <w:r w:rsidRPr="003C7BA5">
        <w:rPr>
          <w:rFonts w:ascii="Times New Roman" w:hAnsi="Times New Roman" w:cs="Times New Roman"/>
          <w:bCs/>
          <w:color w:val="000000"/>
          <w:sz w:val="24"/>
          <w:szCs w:val="24"/>
        </w:rPr>
        <w:t xml:space="preserve">. </w:t>
      </w:r>
    </w:p>
    <w:p w:rsidRPr="006625E7" w:rsidR="006A46DB" w:rsidP="00A863D2" w:rsidRDefault="006A46DB" w14:paraId="39055ACB" w14:textId="7E7AF697">
      <w:pPr>
        <w:ind w:left="720"/>
        <w:rPr>
          <w:rFonts w:ascii="Times New Roman" w:hAnsi="Times New Roman" w:cs="Times New Roman"/>
          <w:sz w:val="24"/>
          <w:szCs w:val="24"/>
        </w:rPr>
      </w:pPr>
    </w:p>
    <w:p w:rsidRPr="006625E7" w:rsidR="00562915" w:rsidP="00562915" w:rsidRDefault="00562915" w14:paraId="0679C68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4C6656" w:rsidP="004C6656" w:rsidRDefault="004C6656" w14:paraId="16C50F7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There is no offer of monetary or material value for this information collection.</w:t>
      </w:r>
    </w:p>
    <w:p w:rsidRPr="006625E7" w:rsidR="002B2B7C" w:rsidP="00562915" w:rsidRDefault="002B2B7C" w14:paraId="08C2633E" w14:textId="77777777">
      <w:pPr>
        <w:rPr>
          <w:rFonts w:ascii="Times New Roman" w:hAnsi="Times New Roman" w:cs="Times New Roman"/>
          <w:sz w:val="24"/>
          <w:szCs w:val="24"/>
        </w:rPr>
      </w:pPr>
    </w:p>
    <w:p w:rsidR="00562915" w:rsidP="00562915" w:rsidRDefault="00562915" w14:paraId="24660376" w14:textId="0BFBB32D">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4770F3" w:rsidP="004770F3" w:rsidRDefault="006A46DB" w14:paraId="3623399F" w14:textId="02BDF5A9">
      <w:pPr>
        <w:rPr>
          <w:rFonts w:ascii="Times New Roman" w:hAnsi="Times New Roman" w:cs="Times New Roman"/>
          <w:color w:val="000000" w:themeColor="text1"/>
          <w:sz w:val="24"/>
          <w:szCs w:val="24"/>
        </w:rPr>
      </w:pPr>
      <w:r w:rsidRPr="00117907">
        <w:rPr>
          <w:rFonts w:ascii="Times New Roman" w:hAnsi="Times New Roman" w:cs="Times New Roman"/>
          <w:color w:val="000000" w:themeColor="text1"/>
          <w:sz w:val="24"/>
          <w:szCs w:val="24"/>
        </w:rPr>
        <w:t xml:space="preserve">A Privacy Threshold Analysis (PTA) </w:t>
      </w:r>
      <w:r w:rsidR="004770F3">
        <w:rPr>
          <w:rFonts w:ascii="Times New Roman" w:hAnsi="Times New Roman" w:cs="Times New Roman"/>
          <w:color w:val="000000" w:themeColor="text1"/>
          <w:sz w:val="24"/>
          <w:szCs w:val="24"/>
        </w:rPr>
        <w:t>was completed by FEMA and adjudicated by the DHS Privacy Office on April 7, 2021, and is still valid (expires April 7, 2024).</w:t>
      </w:r>
    </w:p>
    <w:p w:rsidRPr="00117907" w:rsidR="00562915" w:rsidP="00117907" w:rsidRDefault="004770F3" w14:paraId="789F99B5" w14:textId="5CF582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THIRA/SPR Unified Reporting Tool and After Action Conference Calls collect </w:t>
      </w:r>
      <w:r w:rsidRPr="00117907" w:rsidR="00562915">
        <w:rPr>
          <w:rFonts w:ascii="Times New Roman" w:hAnsi="Times New Roman" w:cs="Times New Roman"/>
          <w:color w:val="000000" w:themeColor="text1"/>
          <w:sz w:val="24"/>
          <w:szCs w:val="24"/>
        </w:rPr>
        <w:fldChar w:fldCharType="begin"/>
      </w:r>
      <w:r w:rsidRPr="00117907" w:rsidR="00562915">
        <w:rPr>
          <w:rFonts w:ascii="Times New Roman" w:hAnsi="Times New Roman" w:cs="Times New Roman"/>
          <w:color w:val="000000" w:themeColor="text1"/>
          <w:sz w:val="24"/>
          <w:szCs w:val="24"/>
        </w:rPr>
        <w:instrText>ADVANCE \R 0.95</w:instrText>
      </w:r>
      <w:r w:rsidRPr="00117907" w:rsidR="00562915">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personally </w:t>
      </w:r>
      <w:r w:rsidR="003E6AB7">
        <w:rPr>
          <w:rFonts w:ascii="Times New Roman" w:hAnsi="Times New Roman" w:cs="Times New Roman"/>
          <w:color w:val="000000" w:themeColor="text1"/>
          <w:sz w:val="24"/>
          <w:szCs w:val="24"/>
        </w:rPr>
        <w:t>identifiable</w:t>
      </w:r>
      <w:r>
        <w:rPr>
          <w:rFonts w:ascii="Times New Roman" w:hAnsi="Times New Roman" w:cs="Times New Roman"/>
          <w:color w:val="000000" w:themeColor="text1"/>
          <w:sz w:val="24"/>
          <w:szCs w:val="24"/>
        </w:rPr>
        <w:t xml:space="preserve"> information (PII) and require Privacy Impact Assessment (PIA) coverage, which is provided by </w:t>
      </w:r>
      <w:r w:rsidR="003E6AB7">
        <w:rPr>
          <w:rFonts w:ascii="Times New Roman" w:hAnsi="Times New Roman" w:cs="Times New Roman"/>
          <w:color w:val="000000" w:themeColor="text1"/>
          <w:sz w:val="24"/>
          <w:szCs w:val="24"/>
        </w:rPr>
        <w:t>DHS/ALL/PIA-006, Department of Homeland Security General Contact Lists</w:t>
      </w:r>
      <w:r w:rsidRPr="002E1269" w:rsidR="002E1269">
        <w:rPr>
          <w:rFonts w:ascii="Times New Roman" w:hAnsi="Times New Roman" w:cs="Times New Roman"/>
          <w:color w:val="000000" w:themeColor="text1"/>
          <w:sz w:val="24"/>
          <w:szCs w:val="24"/>
        </w:rPr>
        <w:t xml:space="preserve"> </w:t>
      </w:r>
      <w:r w:rsidR="002E1269">
        <w:rPr>
          <w:rFonts w:ascii="Times New Roman" w:hAnsi="Times New Roman" w:cs="Times New Roman"/>
          <w:color w:val="000000" w:themeColor="text1"/>
          <w:sz w:val="24"/>
          <w:szCs w:val="24"/>
        </w:rPr>
        <w:t xml:space="preserve">and </w:t>
      </w:r>
      <w:r w:rsidR="002E1269">
        <w:rPr>
          <w:rFonts w:ascii="Times New Roman" w:hAnsi="Times New Roman" w:cs="Times New Roman"/>
          <w:color w:val="000000" w:themeColor="text1"/>
          <w:sz w:val="24"/>
          <w:szCs w:val="24"/>
        </w:rPr>
        <w:t>DHS/ALL/PIA-015, Web Portals</w:t>
      </w:r>
      <w:r w:rsidR="003E6AB7">
        <w:rPr>
          <w:rFonts w:ascii="Times New Roman" w:hAnsi="Times New Roman" w:cs="Times New Roman"/>
          <w:color w:val="000000" w:themeColor="text1"/>
          <w:sz w:val="24"/>
          <w:szCs w:val="24"/>
        </w:rPr>
        <w:t>.  System of Record Notice (SORN) coverage is also provided by DHS/ALL-004 General Information Technology Access Account Records System (GITAARS).</w:t>
      </w:r>
    </w:p>
    <w:p w:rsidRPr="00117907" w:rsidR="004C6656" w:rsidP="004C6656" w:rsidRDefault="004C6656" w14:paraId="6786F134" w14:textId="77777777">
      <w:pPr>
        <w:tabs>
          <w:tab w:val="left" w:pos="-720"/>
        </w:tabs>
        <w:suppressAutoHyphens/>
        <w:spacing w:before="120" w:after="0" w:line="240" w:lineRule="auto"/>
        <w:jc w:val="both"/>
        <w:rPr>
          <w:rFonts w:ascii="Times New Roman" w:hAnsi="Times New Roman" w:cs="Times New Roman"/>
          <w:sz w:val="24"/>
          <w:szCs w:val="24"/>
        </w:rPr>
      </w:pPr>
      <w:r w:rsidRPr="00117907">
        <w:rPr>
          <w:rFonts w:ascii="Times New Roman" w:hAnsi="Times New Roman" w:cs="Times New Roman"/>
          <w:sz w:val="24"/>
          <w:szCs w:val="24"/>
        </w:rPr>
        <w:t>Respondents will be assured that all sensitive information will be protected to the greatest extent allowed by law.</w:t>
      </w:r>
    </w:p>
    <w:p w:rsidRPr="00C93633" w:rsidR="002B2B7C" w:rsidP="00562915" w:rsidRDefault="002B2B7C" w14:paraId="1DD8BEC6" w14:textId="77777777">
      <w:pPr>
        <w:tabs>
          <w:tab w:val="left" w:pos="360"/>
        </w:tabs>
        <w:rPr>
          <w:rFonts w:ascii="Times New Roman" w:hAnsi="Times New Roman" w:cs="Times New Roman"/>
          <w:sz w:val="24"/>
          <w:szCs w:val="24"/>
        </w:rPr>
      </w:pPr>
    </w:p>
    <w:p w:rsidRPr="006625E7" w:rsidR="00562915" w:rsidP="00562915" w:rsidRDefault="00562915" w14:paraId="1F1B7BE3"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C6656" w14:paraId="7C6C71A7" w14:textId="3C34FF5E">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12845" w:rsidR="00562915" w:rsidP="00562915" w:rsidRDefault="00562915" w14:paraId="67510ABA"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w:t>
      </w:r>
      <w:r w:rsidRPr="00612845">
        <w:rPr>
          <w:rFonts w:ascii="Times New Roman" w:hAnsi="Times New Roman" w:cs="Times New Roman"/>
          <w:b/>
          <w:bCs/>
          <w:color w:val="000000" w:themeColor="text1"/>
          <w:sz w:val="24"/>
          <w:szCs w:val="24"/>
        </w:rPr>
        <w:t>the hour burden of the collection of information.  The statement should:</w:t>
      </w:r>
      <w:r w:rsidRPr="00612845">
        <w:rPr>
          <w:rFonts w:ascii="Times New Roman" w:hAnsi="Times New Roman" w:cs="Times New Roman"/>
          <w:b/>
          <w:bCs/>
          <w:color w:val="000000" w:themeColor="text1"/>
          <w:sz w:val="24"/>
          <w:szCs w:val="24"/>
        </w:rPr>
        <w:fldChar w:fldCharType="begin"/>
      </w:r>
      <w:r w:rsidRPr="00612845">
        <w:rPr>
          <w:rFonts w:ascii="Times New Roman" w:hAnsi="Times New Roman" w:cs="Times New Roman"/>
          <w:b/>
          <w:bCs/>
          <w:color w:val="000000" w:themeColor="text1"/>
          <w:sz w:val="24"/>
          <w:szCs w:val="24"/>
        </w:rPr>
        <w:instrText>ADVANCE \R 0.95</w:instrText>
      </w:r>
      <w:r w:rsidRPr="00612845">
        <w:rPr>
          <w:rFonts w:ascii="Times New Roman" w:hAnsi="Times New Roman" w:cs="Times New Roman"/>
          <w:b/>
          <w:bCs/>
          <w:color w:val="000000" w:themeColor="text1"/>
          <w:sz w:val="24"/>
          <w:szCs w:val="24"/>
        </w:rPr>
        <w:fldChar w:fldCharType="end"/>
      </w:r>
      <w:r w:rsidRPr="00612845">
        <w:rPr>
          <w:rFonts w:ascii="Times New Roman" w:hAnsi="Times New Roman" w:cs="Times New Roman"/>
          <w:b/>
          <w:bCs/>
          <w:color w:val="000000" w:themeColor="text1"/>
          <w:sz w:val="24"/>
          <w:szCs w:val="24"/>
        </w:rPr>
        <w:t xml:space="preserve">                                             </w:t>
      </w:r>
    </w:p>
    <w:p w:rsidR="004C6656" w:rsidP="00562915" w:rsidRDefault="00562915" w14:paraId="5914C9EE" w14:textId="0D938C00">
      <w:pPr>
        <w:rPr>
          <w:rFonts w:ascii="Times New Roman" w:hAnsi="Times New Roman" w:cs="Times New Roman"/>
          <w:b/>
          <w:bCs/>
          <w:sz w:val="24"/>
          <w:szCs w:val="24"/>
        </w:rPr>
      </w:pPr>
      <w:r w:rsidRPr="00612845">
        <w:rPr>
          <w:rFonts w:ascii="Times New Roman" w:hAnsi="Times New Roman" w:cs="Times New Roman"/>
          <w:b/>
          <w:bCs/>
          <w:color w:val="000000" w:themeColor="text1"/>
          <w:sz w:val="24"/>
          <w:szCs w:val="24"/>
        </w:rPr>
        <w:fldChar w:fldCharType="begin"/>
      </w:r>
      <w:r w:rsidRPr="00612845">
        <w:rPr>
          <w:rFonts w:ascii="Times New Roman" w:hAnsi="Times New Roman" w:cs="Times New Roman"/>
          <w:b/>
          <w:bCs/>
          <w:color w:val="000000" w:themeColor="text1"/>
          <w:sz w:val="24"/>
          <w:szCs w:val="24"/>
        </w:rPr>
        <w:instrText>ADVANCE \R 0.95</w:instrText>
      </w:r>
      <w:r w:rsidRPr="00612845">
        <w:rPr>
          <w:rFonts w:ascii="Times New Roman" w:hAnsi="Times New Roman" w:cs="Times New Roman"/>
          <w:b/>
          <w:bCs/>
          <w:color w:val="000000" w:themeColor="text1"/>
          <w:sz w:val="24"/>
          <w:szCs w:val="24"/>
        </w:rPr>
        <w:fldChar w:fldCharType="end"/>
      </w:r>
      <w:r w:rsidRPr="00612845">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12845">
        <w:rPr>
          <w:rFonts w:ascii="Times New Roman" w:hAnsi="Times New Roman" w:cs="Times New Roman"/>
          <w:b/>
          <w:bCs/>
          <w:color w:val="000000" w:themeColor="text1"/>
          <w:sz w:val="24"/>
          <w:szCs w:val="24"/>
        </w:rPr>
        <w:tab/>
        <w:t xml:space="preserve">directed to do so, agencies should not conduct special surveys to obtain information on which to base hour burden </w:t>
      </w:r>
      <w:r w:rsidRPr="006625E7">
        <w:rPr>
          <w:rFonts w:ascii="Times New Roman" w:hAnsi="Times New Roman" w:cs="Times New Roman"/>
          <w:b/>
          <w:bCs/>
          <w:sz w:val="24"/>
          <w:szCs w:val="24"/>
        </w:rPr>
        <w:t>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C6656" w:rsidP="004C6656" w:rsidRDefault="004C6656" w14:paraId="5E631765" w14:textId="118F4BF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determine the annual burden, FEMA used the approved </w:t>
      </w:r>
      <w:r w:rsidR="00EE42FF">
        <w:rPr>
          <w:rFonts w:ascii="Times New Roman" w:hAnsi="Times New Roman" w:cs="Times New Roman"/>
          <w:bCs/>
          <w:sz w:val="24"/>
          <w:szCs w:val="24"/>
        </w:rPr>
        <w:t xml:space="preserve">2021 </w:t>
      </w:r>
      <w:r>
        <w:rPr>
          <w:rFonts w:ascii="Times New Roman" w:hAnsi="Times New Roman" w:cs="Times New Roman"/>
          <w:bCs/>
          <w:sz w:val="24"/>
          <w:szCs w:val="24"/>
        </w:rPr>
        <w:t>burden estimates as the baseline and used jurisdictional estimations of the change in level of effort between the current and prior year’s assessment to update the burden estimates.  FEMA calculated burden hours separately for jurisdictions completing both the THIRA/SPR and those only completing the THIRA</w:t>
      </w:r>
      <w:r w:rsidR="00A95F64">
        <w:rPr>
          <w:rFonts w:ascii="Times New Roman" w:hAnsi="Times New Roman" w:cs="Times New Roman"/>
          <w:bCs/>
          <w:sz w:val="24"/>
          <w:szCs w:val="24"/>
        </w:rPr>
        <w:t>, and those completing the SPR</w:t>
      </w:r>
      <w:r>
        <w:rPr>
          <w:rFonts w:ascii="Times New Roman" w:hAnsi="Times New Roman" w:cs="Times New Roman"/>
          <w:bCs/>
          <w:sz w:val="24"/>
          <w:szCs w:val="24"/>
        </w:rPr>
        <w:t>.  FEMA summed the burden associated with all jurisdictions completing the THIRA/SPR and those just completing the THIRA</w:t>
      </w:r>
      <w:r w:rsidR="00A95F64">
        <w:rPr>
          <w:rFonts w:ascii="Times New Roman" w:hAnsi="Times New Roman" w:cs="Times New Roman"/>
          <w:bCs/>
          <w:sz w:val="24"/>
          <w:szCs w:val="24"/>
        </w:rPr>
        <w:t>, or</w:t>
      </w:r>
      <w:r w:rsidR="00B243C5">
        <w:rPr>
          <w:rFonts w:ascii="Times New Roman" w:hAnsi="Times New Roman" w:cs="Times New Roman"/>
          <w:bCs/>
          <w:sz w:val="24"/>
          <w:szCs w:val="24"/>
        </w:rPr>
        <w:t xml:space="preserve"> those completing the SPR</w:t>
      </w:r>
      <w:r>
        <w:rPr>
          <w:rFonts w:ascii="Times New Roman" w:hAnsi="Times New Roman" w:cs="Times New Roman"/>
          <w:bCs/>
          <w:sz w:val="24"/>
          <w:szCs w:val="24"/>
        </w:rPr>
        <w:t xml:space="preserve"> to calculate the total burden. </w:t>
      </w:r>
    </w:p>
    <w:p w:rsidR="004C6656" w:rsidP="004C6656" w:rsidRDefault="004C6656" w14:paraId="1A85597B" w14:textId="77777777">
      <w:pPr>
        <w:spacing w:after="0" w:line="240" w:lineRule="auto"/>
        <w:rPr>
          <w:rFonts w:ascii="Times New Roman" w:hAnsi="Times New Roman" w:cs="Times New Roman"/>
          <w:bCs/>
          <w:sz w:val="24"/>
          <w:szCs w:val="24"/>
        </w:rPr>
      </w:pPr>
    </w:p>
    <w:p w:rsidR="004C6656" w:rsidP="004C6656" w:rsidRDefault="004C6656" w14:paraId="08C68AB8" w14:textId="2D87E68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requires 56 </w:t>
      </w:r>
      <w:r w:rsidRPr="177693F4" w:rsidR="00D0002E">
        <w:rPr>
          <w:rFonts w:ascii="Times New Roman" w:hAnsi="Times New Roman" w:cs="Times New Roman"/>
          <w:sz w:val="24"/>
          <w:szCs w:val="24"/>
        </w:rPr>
        <w:t>States</w:t>
      </w:r>
      <w:r>
        <w:rPr>
          <w:rFonts w:ascii="Times New Roman" w:hAnsi="Times New Roman" w:cs="Times New Roman"/>
          <w:bCs/>
          <w:sz w:val="24"/>
          <w:szCs w:val="24"/>
        </w:rPr>
        <w:t xml:space="preserve"> and territories and 33 urban areas to complete the THIRA/SPR, and </w:t>
      </w:r>
      <w:r w:rsidR="00713DC1">
        <w:rPr>
          <w:rFonts w:ascii="Times New Roman" w:hAnsi="Times New Roman" w:cs="Times New Roman"/>
          <w:bCs/>
          <w:sz w:val="24"/>
          <w:szCs w:val="24"/>
        </w:rPr>
        <w:t>39</w:t>
      </w:r>
      <w:r>
        <w:rPr>
          <w:rFonts w:ascii="Times New Roman" w:hAnsi="Times New Roman" w:cs="Times New Roman"/>
          <w:bCs/>
          <w:sz w:val="24"/>
          <w:szCs w:val="24"/>
        </w:rPr>
        <w:t xml:space="preserve"> tribal nations to complete only the THIRA/SPR for a select number of core </w:t>
      </w:r>
      <w:r>
        <w:rPr>
          <w:rFonts w:ascii="Times New Roman" w:hAnsi="Times New Roman" w:cs="Times New Roman"/>
          <w:bCs/>
          <w:sz w:val="24"/>
          <w:szCs w:val="24"/>
        </w:rPr>
        <w:lastRenderedPageBreak/>
        <w:t>capabilities.  FEMA based the number of urban areas and tribal nations on the number of jurisdictions receiving 20</w:t>
      </w:r>
      <w:r w:rsidR="00713DC1">
        <w:rPr>
          <w:rFonts w:ascii="Times New Roman" w:hAnsi="Times New Roman" w:cs="Times New Roman"/>
          <w:bCs/>
          <w:sz w:val="24"/>
          <w:szCs w:val="24"/>
        </w:rPr>
        <w:t>20</w:t>
      </w:r>
      <w:r>
        <w:rPr>
          <w:rFonts w:ascii="Times New Roman" w:hAnsi="Times New Roman" w:cs="Times New Roman"/>
          <w:bCs/>
          <w:sz w:val="24"/>
          <w:szCs w:val="24"/>
        </w:rPr>
        <w:t xml:space="preserve"> Urban Areas Security Initiative (UASI) and Tribal Homeland Security Grant Program (THSGP) grants</w:t>
      </w:r>
    </w:p>
    <w:p w:rsidR="004C6656" w:rsidP="004C6656" w:rsidRDefault="004C6656" w14:paraId="43C46FD0" w14:textId="77777777">
      <w:pPr>
        <w:spacing w:after="0" w:line="240" w:lineRule="auto"/>
        <w:rPr>
          <w:rFonts w:ascii="Times New Roman" w:hAnsi="Times New Roman" w:cs="Times New Roman"/>
          <w:bCs/>
          <w:sz w:val="24"/>
          <w:szCs w:val="24"/>
        </w:rPr>
      </w:pPr>
    </w:p>
    <w:p w:rsidR="004C6656" w:rsidP="004C6656" w:rsidRDefault="004C6656" w14:paraId="62025687" w14:textId="68EB32C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determine the burden of the THIRA/SPR assessment, FEMA </w:t>
      </w:r>
      <w:r w:rsidR="005E74E1">
        <w:rPr>
          <w:rFonts w:ascii="Times New Roman" w:hAnsi="Times New Roman" w:cs="Times New Roman"/>
          <w:bCs/>
          <w:sz w:val="24"/>
          <w:szCs w:val="24"/>
        </w:rPr>
        <w:t xml:space="preserve">reviewed the average burden estimate taken from the </w:t>
      </w:r>
      <w:r w:rsidR="007032C7">
        <w:rPr>
          <w:rFonts w:ascii="Times New Roman" w:hAnsi="Times New Roman" w:cs="Times New Roman"/>
          <w:bCs/>
          <w:sz w:val="24"/>
          <w:szCs w:val="24"/>
        </w:rPr>
        <w:t xml:space="preserve">estimated hours provided in the THIRA post-assessment survey from all required jurisdictions. </w:t>
      </w:r>
      <w:r w:rsidR="009A1BE4">
        <w:rPr>
          <w:rFonts w:ascii="Times New Roman" w:hAnsi="Times New Roman" w:cs="Times New Roman"/>
          <w:bCs/>
          <w:sz w:val="24"/>
          <w:szCs w:val="24"/>
        </w:rPr>
        <w:t xml:space="preserve"> </w:t>
      </w:r>
      <w:r w:rsidR="007914FB">
        <w:rPr>
          <w:rFonts w:ascii="Times New Roman" w:hAnsi="Times New Roman" w:cs="Times New Roman"/>
          <w:bCs/>
          <w:sz w:val="24"/>
          <w:szCs w:val="24"/>
        </w:rPr>
        <w:t>T</w:t>
      </w:r>
      <w:r>
        <w:rPr>
          <w:rFonts w:ascii="Times New Roman" w:hAnsi="Times New Roman" w:cs="Times New Roman"/>
          <w:bCs/>
          <w:sz w:val="24"/>
          <w:szCs w:val="24"/>
        </w:rPr>
        <w:t xml:space="preserve">he average burden for completing the THIRA/SPR is an annual burden </w:t>
      </w:r>
      <w:r w:rsidR="007914FB">
        <w:rPr>
          <w:rFonts w:ascii="Times New Roman" w:hAnsi="Times New Roman" w:cs="Times New Roman"/>
          <w:bCs/>
          <w:sz w:val="24"/>
          <w:szCs w:val="24"/>
        </w:rPr>
        <w:t xml:space="preserve">of </w:t>
      </w:r>
      <w:r w:rsidR="008B2E64">
        <w:rPr>
          <w:rFonts w:ascii="Times New Roman" w:hAnsi="Times New Roman" w:cs="Times New Roman"/>
          <w:bCs/>
          <w:sz w:val="24"/>
          <w:szCs w:val="24"/>
        </w:rPr>
        <w:t>869 hours</w:t>
      </w:r>
      <w:r>
        <w:rPr>
          <w:rFonts w:ascii="Times New Roman" w:hAnsi="Times New Roman" w:cs="Times New Roman"/>
          <w:bCs/>
          <w:sz w:val="24"/>
          <w:szCs w:val="24"/>
        </w:rPr>
        <w:t xml:space="preserve"> for a single jurisdiction</w:t>
      </w:r>
      <w:r w:rsidR="00D273E0">
        <w:rPr>
          <w:rFonts w:ascii="Times New Roman" w:hAnsi="Times New Roman" w:cs="Times New Roman"/>
          <w:bCs/>
          <w:sz w:val="24"/>
          <w:szCs w:val="24"/>
        </w:rPr>
        <w:t xml:space="preserve">. </w:t>
      </w:r>
      <w:r w:rsidR="009A1BE4">
        <w:rPr>
          <w:rFonts w:ascii="Times New Roman" w:hAnsi="Times New Roman" w:cs="Times New Roman"/>
          <w:bCs/>
          <w:sz w:val="24"/>
          <w:szCs w:val="24"/>
        </w:rPr>
        <w:t xml:space="preserve"> </w:t>
      </w:r>
      <w:r w:rsidR="00D273E0">
        <w:rPr>
          <w:rFonts w:ascii="Times New Roman" w:hAnsi="Times New Roman" w:cs="Times New Roman"/>
          <w:bCs/>
          <w:sz w:val="24"/>
          <w:szCs w:val="24"/>
        </w:rPr>
        <w:t xml:space="preserve">There was no change in </w:t>
      </w:r>
      <w:r w:rsidR="002B2276">
        <w:rPr>
          <w:rFonts w:ascii="Times New Roman" w:hAnsi="Times New Roman" w:cs="Times New Roman"/>
          <w:bCs/>
          <w:sz w:val="24"/>
          <w:szCs w:val="24"/>
        </w:rPr>
        <w:t>the assessment methodology</w:t>
      </w:r>
      <w:r w:rsidR="00D273E0">
        <w:rPr>
          <w:rFonts w:ascii="Times New Roman" w:hAnsi="Times New Roman" w:cs="Times New Roman"/>
          <w:bCs/>
          <w:sz w:val="24"/>
          <w:szCs w:val="24"/>
        </w:rPr>
        <w:t xml:space="preserve"> from the 2018 approved assessment</w:t>
      </w:r>
      <w:r w:rsidR="002B2276">
        <w:rPr>
          <w:rFonts w:ascii="Times New Roman" w:hAnsi="Times New Roman" w:cs="Times New Roman"/>
          <w:bCs/>
          <w:sz w:val="24"/>
          <w:szCs w:val="24"/>
        </w:rPr>
        <w:t>, therefore changes to burden hours are the result to the addition of more communities participating in the THIRA/SPR process</w:t>
      </w:r>
      <w:r w:rsidR="00D273E0">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4C6656" w:rsidP="004C6656" w:rsidRDefault="004C6656" w14:paraId="0EBE5C54" w14:textId="77777777">
      <w:pPr>
        <w:spacing w:after="0" w:line="240" w:lineRule="auto"/>
        <w:rPr>
          <w:rFonts w:ascii="Times New Roman" w:hAnsi="Times New Roman" w:cs="Times New Roman"/>
          <w:bCs/>
          <w:sz w:val="24"/>
          <w:szCs w:val="24"/>
        </w:rPr>
      </w:pPr>
    </w:p>
    <w:p w:rsidRPr="00C35599" w:rsidR="004C6656" w:rsidP="00117907" w:rsidRDefault="004C6656" w14:paraId="22635630" w14:textId="2D5C453B">
      <w:pPr>
        <w:pStyle w:val="ListParagraph"/>
        <w:numPr>
          <w:ilvl w:val="0"/>
          <w:numId w:val="6"/>
        </w:numPr>
        <w:spacing w:after="0" w:line="240" w:lineRule="auto"/>
        <w:rPr>
          <w:rFonts w:ascii="Times New Roman" w:hAnsi="Times New Roman" w:cs="Times New Roman"/>
          <w:bCs/>
          <w:sz w:val="24"/>
          <w:szCs w:val="24"/>
        </w:rPr>
      </w:pPr>
      <w:r w:rsidRPr="00C35599">
        <w:rPr>
          <w:rFonts w:ascii="Times New Roman" w:hAnsi="Times New Roman" w:cs="Times New Roman"/>
          <w:bCs/>
          <w:sz w:val="24"/>
          <w:szCs w:val="24"/>
        </w:rPr>
        <w:t>The loaded wage rate was updated to $</w:t>
      </w:r>
      <w:r w:rsidR="00345082">
        <w:rPr>
          <w:rFonts w:ascii="Times New Roman" w:hAnsi="Times New Roman" w:cs="Times New Roman"/>
          <w:bCs/>
          <w:sz w:val="24"/>
          <w:szCs w:val="24"/>
        </w:rPr>
        <w:t>55.36</w:t>
      </w:r>
    </w:p>
    <w:p w:rsidR="004C6656" w:rsidP="004C6656" w:rsidRDefault="004C6656" w14:paraId="57EE27B5" w14:textId="7BE64C3B">
      <w:pPr>
        <w:spacing w:after="0" w:line="240" w:lineRule="auto"/>
        <w:rPr>
          <w:rFonts w:ascii="Times New Roman" w:hAnsi="Times New Roman" w:cs="Times New Roman"/>
          <w:bCs/>
          <w:sz w:val="24"/>
          <w:szCs w:val="24"/>
        </w:rPr>
      </w:pPr>
      <w:r>
        <w:rPr>
          <w:rFonts w:ascii="Times New Roman" w:hAnsi="Times New Roman" w:cs="Times New Roman"/>
          <w:bCs/>
          <w:sz w:val="24"/>
          <w:szCs w:val="24"/>
        </w:rPr>
        <w:t>Accordingly, annual hour burdens for the THIRA</w:t>
      </w:r>
      <w:r w:rsidR="00C93633">
        <w:rPr>
          <w:rFonts w:ascii="Times New Roman" w:hAnsi="Times New Roman" w:cs="Times New Roman"/>
          <w:bCs/>
          <w:sz w:val="24"/>
          <w:szCs w:val="24"/>
        </w:rPr>
        <w:t>/</w:t>
      </w:r>
      <w:r>
        <w:rPr>
          <w:rFonts w:ascii="Times New Roman" w:hAnsi="Times New Roman" w:cs="Times New Roman"/>
          <w:bCs/>
          <w:sz w:val="24"/>
          <w:szCs w:val="24"/>
        </w:rPr>
        <w:t>SPR</w:t>
      </w:r>
      <w:r w:rsidR="00C93633">
        <w:rPr>
          <w:rFonts w:ascii="Times New Roman" w:hAnsi="Times New Roman" w:cs="Times New Roman"/>
          <w:bCs/>
          <w:sz w:val="24"/>
          <w:szCs w:val="24"/>
        </w:rPr>
        <w:t xml:space="preserve"> Unified Reporting Tool</w:t>
      </w:r>
      <w:r>
        <w:rPr>
          <w:rFonts w:ascii="Times New Roman" w:hAnsi="Times New Roman" w:cs="Times New Roman"/>
          <w:bCs/>
          <w:sz w:val="24"/>
          <w:szCs w:val="24"/>
        </w:rPr>
        <w:t>, and THIRA/SPR After Action Conference Calls script portions of the collection are as follows:</w:t>
      </w:r>
    </w:p>
    <w:p w:rsidR="001C2CA5" w:rsidP="004C6656" w:rsidRDefault="001C2CA5" w14:paraId="4D076746" w14:textId="77777777">
      <w:pPr>
        <w:spacing w:after="0" w:line="240" w:lineRule="auto"/>
        <w:rPr>
          <w:rFonts w:ascii="Times New Roman" w:hAnsi="Times New Roman" w:cs="Times New Roman"/>
          <w:bCs/>
          <w:sz w:val="24"/>
          <w:szCs w:val="24"/>
        </w:rPr>
      </w:pPr>
    </w:p>
    <w:p w:rsidRPr="003E7D18" w:rsidR="004C6656" w:rsidP="004C6656" w:rsidRDefault="004C6656" w14:paraId="66763467" w14:textId="60A1F49C">
      <w:pPr>
        <w:pStyle w:val="ListParagraph"/>
        <w:numPr>
          <w:ilvl w:val="0"/>
          <w:numId w:val="7"/>
        </w:numPr>
        <w:spacing w:after="0" w:line="240" w:lineRule="auto"/>
        <w:rPr>
          <w:rFonts w:ascii="Times New Roman" w:hAnsi="Times New Roman" w:cs="Times New Roman"/>
          <w:b/>
          <w:bCs/>
          <w:sz w:val="24"/>
          <w:szCs w:val="24"/>
        </w:rPr>
      </w:pPr>
      <w:bookmarkStart w:name="_Hlk500334930" w:id="0"/>
      <w:r w:rsidRPr="003E7D18">
        <w:rPr>
          <w:rFonts w:ascii="Times New Roman" w:hAnsi="Times New Roman" w:cs="Times New Roman"/>
          <w:b/>
          <w:bCs/>
          <w:sz w:val="24"/>
          <w:szCs w:val="24"/>
        </w:rPr>
        <w:t>THIRA/SPR</w:t>
      </w:r>
      <w:r w:rsidRPr="00401820">
        <w:rPr>
          <w:rFonts w:ascii="Times New Roman" w:hAnsi="Times New Roman" w:cs="Times New Roman"/>
          <w:bCs/>
          <w:sz w:val="24"/>
          <w:szCs w:val="24"/>
        </w:rPr>
        <w:t xml:space="preserve">: 56 </w:t>
      </w:r>
      <w:r w:rsidR="001634BF">
        <w:rPr>
          <w:rFonts w:ascii="Times New Roman" w:hAnsi="Times New Roman" w:cs="Times New Roman"/>
          <w:bCs/>
          <w:sz w:val="24"/>
          <w:szCs w:val="24"/>
        </w:rPr>
        <w:t>States</w:t>
      </w:r>
      <w:r w:rsidRPr="00401820">
        <w:rPr>
          <w:rFonts w:ascii="Times New Roman" w:hAnsi="Times New Roman" w:cs="Times New Roman"/>
          <w:bCs/>
          <w:sz w:val="24"/>
          <w:szCs w:val="24"/>
        </w:rPr>
        <w:t xml:space="preserve"> and territories and 33 urban areas complete the THIRA/SPR annually, for a total of 89 jurisdictions total. </w:t>
      </w:r>
      <w:r w:rsidR="009A1BE4">
        <w:rPr>
          <w:rFonts w:ascii="Times New Roman" w:hAnsi="Times New Roman" w:cs="Times New Roman"/>
          <w:bCs/>
          <w:sz w:val="24"/>
          <w:szCs w:val="24"/>
        </w:rPr>
        <w:t xml:space="preserve"> </w:t>
      </w:r>
      <w:r w:rsidRPr="00401820">
        <w:rPr>
          <w:rFonts w:ascii="Times New Roman" w:hAnsi="Times New Roman" w:cs="Times New Roman"/>
          <w:bCs/>
          <w:sz w:val="24"/>
          <w:szCs w:val="24"/>
        </w:rPr>
        <w:t xml:space="preserve">Based on estimates from jurisdictions, FEMA estimates the average burden per THIRA/SPR to be </w:t>
      </w:r>
      <w:r w:rsidR="00B26132">
        <w:rPr>
          <w:rFonts w:ascii="Times New Roman" w:hAnsi="Times New Roman" w:cs="Times New Roman"/>
          <w:bCs/>
          <w:sz w:val="24"/>
          <w:szCs w:val="24"/>
        </w:rPr>
        <w:t>869</w:t>
      </w:r>
      <w:r w:rsidRPr="00401820">
        <w:rPr>
          <w:rFonts w:ascii="Times New Roman" w:hAnsi="Times New Roman" w:cs="Times New Roman"/>
          <w:bCs/>
          <w:sz w:val="24"/>
          <w:szCs w:val="24"/>
        </w:rPr>
        <w:t xml:space="preserve"> hours (201</w:t>
      </w:r>
      <w:r w:rsidR="00B26132">
        <w:rPr>
          <w:rFonts w:ascii="Times New Roman" w:hAnsi="Times New Roman" w:cs="Times New Roman"/>
          <w:bCs/>
          <w:sz w:val="24"/>
          <w:szCs w:val="24"/>
        </w:rPr>
        <w:t>8</w:t>
      </w:r>
      <w:r w:rsidRPr="00401820">
        <w:rPr>
          <w:rFonts w:ascii="Times New Roman" w:hAnsi="Times New Roman" w:cs="Times New Roman"/>
          <w:bCs/>
          <w:sz w:val="24"/>
          <w:szCs w:val="24"/>
        </w:rPr>
        <w:t xml:space="preserve"> baseline </w:t>
      </w:r>
      <w:r w:rsidR="00B26132">
        <w:rPr>
          <w:rFonts w:ascii="Times New Roman" w:hAnsi="Times New Roman" w:cs="Times New Roman"/>
          <w:bCs/>
          <w:sz w:val="24"/>
          <w:szCs w:val="24"/>
        </w:rPr>
        <w:t>kept since no changes in requirements have been executed</w:t>
      </w:r>
      <w:r w:rsidRPr="00401820">
        <w:rPr>
          <w:rFonts w:ascii="Times New Roman" w:hAnsi="Times New Roman" w:cs="Times New Roman"/>
          <w:bCs/>
          <w:sz w:val="24"/>
          <w:szCs w:val="24"/>
        </w:rPr>
        <w:t xml:space="preserve">) (rounded to the nearest hour). </w:t>
      </w:r>
      <w:r>
        <w:rPr>
          <w:rFonts w:ascii="Times New Roman" w:hAnsi="Times New Roman" w:cs="Times New Roman"/>
          <w:bCs/>
          <w:sz w:val="24"/>
          <w:szCs w:val="24"/>
        </w:rPr>
        <w:t xml:space="preserve">FEMA estimates that </w:t>
      </w:r>
      <w:r w:rsidR="00B5642B">
        <w:rPr>
          <w:rFonts w:ascii="Times New Roman" w:hAnsi="Times New Roman" w:cs="Times New Roman"/>
          <w:bCs/>
          <w:sz w:val="24"/>
          <w:szCs w:val="24"/>
        </w:rPr>
        <w:t>3</w:t>
      </w:r>
      <w:r w:rsidR="001E54E3">
        <w:rPr>
          <w:rFonts w:ascii="Times New Roman" w:hAnsi="Times New Roman" w:cs="Times New Roman"/>
          <w:bCs/>
          <w:sz w:val="24"/>
          <w:szCs w:val="24"/>
        </w:rPr>
        <w:t>9</w:t>
      </w:r>
      <w:r>
        <w:rPr>
          <w:rFonts w:ascii="Times New Roman" w:hAnsi="Times New Roman" w:cs="Times New Roman"/>
          <w:bCs/>
          <w:sz w:val="24"/>
          <w:szCs w:val="24"/>
        </w:rPr>
        <w:t xml:space="preserve"> tribal jurisdictions will complete the THIRA/SPR annually, but for </w:t>
      </w:r>
      <w:r w:rsidR="00745778">
        <w:rPr>
          <w:rFonts w:ascii="Times New Roman" w:hAnsi="Times New Roman" w:cs="Times New Roman"/>
          <w:bCs/>
          <w:sz w:val="24"/>
          <w:szCs w:val="24"/>
        </w:rPr>
        <w:t>8</w:t>
      </w:r>
      <w:r>
        <w:rPr>
          <w:rFonts w:ascii="Times New Roman" w:hAnsi="Times New Roman" w:cs="Times New Roman"/>
          <w:bCs/>
          <w:sz w:val="24"/>
          <w:szCs w:val="24"/>
        </w:rPr>
        <w:t xml:space="preserve"> of the 32 core capabilities</w:t>
      </w:r>
      <w:r w:rsidR="00745778">
        <w:rPr>
          <w:rFonts w:ascii="Times New Roman" w:hAnsi="Times New Roman" w:cs="Times New Roman"/>
          <w:bCs/>
          <w:sz w:val="24"/>
          <w:szCs w:val="24"/>
        </w:rPr>
        <w:t>, equaling 12 targets</w:t>
      </w:r>
      <w:r>
        <w:rPr>
          <w:rFonts w:ascii="Times New Roman" w:hAnsi="Times New Roman" w:cs="Times New Roman"/>
          <w:bCs/>
          <w:sz w:val="24"/>
          <w:szCs w:val="24"/>
        </w:rPr>
        <w:t xml:space="preserve">. </w:t>
      </w:r>
      <w:r w:rsidR="009A1BE4">
        <w:rPr>
          <w:rFonts w:ascii="Times New Roman" w:hAnsi="Times New Roman" w:cs="Times New Roman"/>
          <w:bCs/>
          <w:sz w:val="24"/>
          <w:szCs w:val="24"/>
        </w:rPr>
        <w:t xml:space="preserve"> </w:t>
      </w:r>
      <w:r w:rsidRPr="00401820">
        <w:rPr>
          <w:rFonts w:ascii="Times New Roman" w:hAnsi="Times New Roman" w:cs="Times New Roman"/>
          <w:bCs/>
          <w:sz w:val="24"/>
          <w:szCs w:val="24"/>
        </w:rPr>
        <w:t>The total annual THIRA/SPR hours burden</w:t>
      </w:r>
      <w:r>
        <w:rPr>
          <w:rFonts w:ascii="Times New Roman" w:hAnsi="Times New Roman" w:cs="Times New Roman"/>
          <w:bCs/>
          <w:sz w:val="24"/>
          <w:szCs w:val="24"/>
        </w:rPr>
        <w:t xml:space="preserve"> for </w:t>
      </w:r>
      <w:r w:rsidR="001634BF">
        <w:rPr>
          <w:rFonts w:ascii="Times New Roman" w:hAnsi="Times New Roman" w:cs="Times New Roman"/>
          <w:bCs/>
          <w:sz w:val="24"/>
          <w:szCs w:val="24"/>
        </w:rPr>
        <w:t>States</w:t>
      </w:r>
      <w:r>
        <w:rPr>
          <w:rFonts w:ascii="Times New Roman" w:hAnsi="Times New Roman" w:cs="Times New Roman"/>
          <w:bCs/>
          <w:sz w:val="24"/>
          <w:szCs w:val="24"/>
        </w:rPr>
        <w:t>, territories, and urban areas</w:t>
      </w:r>
      <w:r w:rsidRPr="00401820">
        <w:rPr>
          <w:rFonts w:ascii="Times New Roman" w:hAnsi="Times New Roman" w:cs="Times New Roman"/>
          <w:bCs/>
          <w:sz w:val="24"/>
          <w:szCs w:val="24"/>
        </w:rPr>
        <w:t xml:space="preserve"> is therefore </w:t>
      </w:r>
      <w:r>
        <w:rPr>
          <w:rFonts w:ascii="Times New Roman" w:hAnsi="Times New Roman" w:cs="Times New Roman"/>
          <w:bCs/>
          <w:sz w:val="24"/>
          <w:szCs w:val="24"/>
        </w:rPr>
        <w:t xml:space="preserve">869 hours multiplied by 89 jurisdictions, for 77,341 hours. </w:t>
      </w:r>
      <w:r w:rsidR="009A1BE4">
        <w:rPr>
          <w:rFonts w:ascii="Times New Roman" w:hAnsi="Times New Roman" w:cs="Times New Roman"/>
          <w:bCs/>
          <w:sz w:val="24"/>
          <w:szCs w:val="24"/>
        </w:rPr>
        <w:t xml:space="preserve"> </w:t>
      </w:r>
      <w:r>
        <w:rPr>
          <w:rFonts w:ascii="Times New Roman" w:hAnsi="Times New Roman" w:cs="Times New Roman"/>
          <w:bCs/>
          <w:sz w:val="24"/>
          <w:szCs w:val="24"/>
        </w:rPr>
        <w:t>FEMA estimates the average burden per THIRA/SPR to be 2</w:t>
      </w:r>
      <w:r w:rsidR="001E0348">
        <w:rPr>
          <w:rFonts w:ascii="Times New Roman" w:hAnsi="Times New Roman" w:cs="Times New Roman"/>
          <w:bCs/>
          <w:sz w:val="24"/>
          <w:szCs w:val="24"/>
        </w:rPr>
        <w:t>90</w:t>
      </w:r>
      <w:r>
        <w:rPr>
          <w:rFonts w:ascii="Times New Roman" w:hAnsi="Times New Roman" w:cs="Times New Roman"/>
          <w:bCs/>
          <w:sz w:val="24"/>
          <w:szCs w:val="24"/>
        </w:rPr>
        <w:t xml:space="preserve"> hours for tribes (rounded to the nearest hour). </w:t>
      </w:r>
      <w:r w:rsidR="009A1BE4">
        <w:rPr>
          <w:rFonts w:ascii="Times New Roman" w:hAnsi="Times New Roman" w:cs="Times New Roman"/>
          <w:bCs/>
          <w:sz w:val="24"/>
          <w:szCs w:val="24"/>
        </w:rPr>
        <w:t xml:space="preserve"> </w:t>
      </w:r>
      <w:r>
        <w:rPr>
          <w:rFonts w:ascii="Times New Roman" w:hAnsi="Times New Roman" w:cs="Times New Roman"/>
          <w:bCs/>
          <w:sz w:val="24"/>
          <w:szCs w:val="24"/>
        </w:rPr>
        <w:t xml:space="preserve">The total annual THIRA/SPR hours burden for tribes is therefore 290 hours multiplied by </w:t>
      </w:r>
      <w:r w:rsidR="00DF52CC">
        <w:rPr>
          <w:rFonts w:ascii="Times New Roman" w:hAnsi="Times New Roman" w:cs="Times New Roman"/>
          <w:bCs/>
          <w:sz w:val="24"/>
          <w:szCs w:val="24"/>
        </w:rPr>
        <w:t>3</w:t>
      </w:r>
      <w:r w:rsidR="00D51FC6">
        <w:rPr>
          <w:rFonts w:ascii="Times New Roman" w:hAnsi="Times New Roman" w:cs="Times New Roman"/>
          <w:bCs/>
          <w:sz w:val="24"/>
          <w:szCs w:val="24"/>
        </w:rPr>
        <w:t>9</w:t>
      </w:r>
      <w:r>
        <w:rPr>
          <w:rFonts w:ascii="Times New Roman" w:hAnsi="Times New Roman" w:cs="Times New Roman"/>
          <w:bCs/>
          <w:sz w:val="24"/>
          <w:szCs w:val="24"/>
        </w:rPr>
        <w:t xml:space="preserve"> jurisdictions, for </w:t>
      </w:r>
      <w:r w:rsidR="00067269">
        <w:rPr>
          <w:rFonts w:ascii="Times New Roman" w:hAnsi="Times New Roman" w:cs="Times New Roman"/>
          <w:bCs/>
          <w:sz w:val="24"/>
          <w:szCs w:val="24"/>
        </w:rPr>
        <w:t>11</w:t>
      </w:r>
      <w:r w:rsidR="00FA2733">
        <w:rPr>
          <w:rFonts w:ascii="Times New Roman" w:hAnsi="Times New Roman" w:cs="Times New Roman"/>
          <w:bCs/>
          <w:sz w:val="24"/>
          <w:szCs w:val="24"/>
        </w:rPr>
        <w:t>,</w:t>
      </w:r>
      <w:r w:rsidR="00067269">
        <w:rPr>
          <w:rFonts w:ascii="Times New Roman" w:hAnsi="Times New Roman" w:cs="Times New Roman"/>
          <w:bCs/>
          <w:sz w:val="24"/>
          <w:szCs w:val="24"/>
        </w:rPr>
        <w:t>310</w:t>
      </w:r>
      <w:r>
        <w:rPr>
          <w:rFonts w:ascii="Times New Roman" w:hAnsi="Times New Roman" w:cs="Times New Roman"/>
          <w:bCs/>
          <w:sz w:val="24"/>
          <w:szCs w:val="24"/>
        </w:rPr>
        <w:t xml:space="preserve"> hours. </w:t>
      </w:r>
      <w:r w:rsidR="00755D32">
        <w:rPr>
          <w:rFonts w:ascii="Times New Roman" w:hAnsi="Times New Roman" w:cs="Times New Roman"/>
          <w:bCs/>
          <w:sz w:val="24"/>
          <w:szCs w:val="24"/>
        </w:rPr>
        <w:t xml:space="preserve"> </w:t>
      </w:r>
      <w:r>
        <w:rPr>
          <w:rFonts w:ascii="Times New Roman" w:hAnsi="Times New Roman" w:cs="Times New Roman"/>
          <w:bCs/>
          <w:sz w:val="24"/>
          <w:szCs w:val="24"/>
        </w:rPr>
        <w:t xml:space="preserve">This brings the grand total across all jurisdiction types to </w:t>
      </w:r>
      <w:r w:rsidR="00FA2733">
        <w:rPr>
          <w:rFonts w:ascii="Times New Roman" w:hAnsi="Times New Roman" w:cs="Times New Roman"/>
          <w:bCs/>
          <w:sz w:val="24"/>
          <w:szCs w:val="24"/>
        </w:rPr>
        <w:t>8</w:t>
      </w:r>
      <w:r w:rsidR="00BD3468">
        <w:rPr>
          <w:rFonts w:ascii="Times New Roman" w:hAnsi="Times New Roman" w:cs="Times New Roman"/>
          <w:bCs/>
          <w:sz w:val="24"/>
          <w:szCs w:val="24"/>
        </w:rPr>
        <w:t>8</w:t>
      </w:r>
      <w:r w:rsidR="00FA2733">
        <w:rPr>
          <w:rFonts w:ascii="Times New Roman" w:hAnsi="Times New Roman" w:cs="Times New Roman"/>
          <w:bCs/>
          <w:sz w:val="24"/>
          <w:szCs w:val="24"/>
        </w:rPr>
        <w:t>,</w:t>
      </w:r>
      <w:r w:rsidR="00BD3468">
        <w:rPr>
          <w:rFonts w:ascii="Times New Roman" w:hAnsi="Times New Roman" w:cs="Times New Roman"/>
          <w:bCs/>
          <w:sz w:val="24"/>
          <w:szCs w:val="24"/>
        </w:rPr>
        <w:t>651</w:t>
      </w:r>
      <w:r w:rsidR="00FA2733">
        <w:rPr>
          <w:rFonts w:ascii="Times New Roman" w:hAnsi="Times New Roman" w:cs="Times New Roman"/>
          <w:bCs/>
          <w:sz w:val="24"/>
          <w:szCs w:val="24"/>
        </w:rPr>
        <w:t xml:space="preserve"> </w:t>
      </w:r>
      <w:r>
        <w:rPr>
          <w:rFonts w:ascii="Times New Roman" w:hAnsi="Times New Roman" w:cs="Times New Roman"/>
          <w:bCs/>
          <w:sz w:val="24"/>
          <w:szCs w:val="24"/>
        </w:rPr>
        <w:t xml:space="preserve">hours. </w:t>
      </w:r>
    </w:p>
    <w:p w:rsidRPr="003E7D18" w:rsidR="004C6656" w:rsidP="004C6656" w:rsidRDefault="004C6656" w14:paraId="5FC5319A" w14:textId="3514A3C3">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t>This estimate includes the time it takes the respondents to gather and provide the information, work with stakeholders within their jurisdiction to gather and verify information, fill in the form, and attend technical assistance sessions</w:t>
      </w:r>
      <w:r w:rsidR="0077483A">
        <w:rPr>
          <w:rFonts w:ascii="Times New Roman" w:hAnsi="Times New Roman" w:cs="Times New Roman"/>
          <w:bCs/>
          <w:sz w:val="24"/>
          <w:szCs w:val="24"/>
        </w:rPr>
        <w:t>.</w:t>
      </w:r>
    </w:p>
    <w:p w:rsidR="00C2380D" w:rsidP="004C6656" w:rsidRDefault="004C6656" w14:paraId="3BE29A08" w14:textId="5759D4EC">
      <w:pPr>
        <w:pStyle w:val="ListParagraph"/>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FEMA requests that respondents participate in an after</w:t>
      </w:r>
      <w:r w:rsidR="00B06091">
        <w:rPr>
          <w:rFonts w:ascii="Times New Roman" w:hAnsi="Times New Roman" w:cs="Times New Roman"/>
          <w:bCs/>
          <w:sz w:val="24"/>
          <w:szCs w:val="24"/>
        </w:rPr>
        <w:t>-</w:t>
      </w:r>
      <w:r>
        <w:rPr>
          <w:rFonts w:ascii="Times New Roman" w:hAnsi="Times New Roman" w:cs="Times New Roman"/>
          <w:bCs/>
          <w:sz w:val="24"/>
          <w:szCs w:val="24"/>
        </w:rPr>
        <w:t xml:space="preserve">action conference </w:t>
      </w:r>
      <w:r w:rsidR="007A30F7">
        <w:rPr>
          <w:rFonts w:ascii="Times New Roman" w:hAnsi="Times New Roman" w:cs="Times New Roman"/>
          <w:bCs/>
          <w:sz w:val="24"/>
          <w:szCs w:val="24"/>
        </w:rPr>
        <w:t>call</w:t>
      </w:r>
      <w:r>
        <w:rPr>
          <w:rFonts w:ascii="Times New Roman" w:hAnsi="Times New Roman" w:cs="Times New Roman"/>
          <w:bCs/>
          <w:sz w:val="24"/>
          <w:szCs w:val="24"/>
        </w:rPr>
        <w:t xml:space="preserve">.  This call adds one </w:t>
      </w:r>
      <w:r w:rsidR="00755D32">
        <w:rPr>
          <w:rFonts w:ascii="Times New Roman" w:hAnsi="Times New Roman" w:cs="Times New Roman"/>
          <w:bCs/>
          <w:sz w:val="24"/>
          <w:szCs w:val="24"/>
        </w:rPr>
        <w:t xml:space="preserve">(1) </w:t>
      </w:r>
      <w:r>
        <w:rPr>
          <w:rFonts w:ascii="Times New Roman" w:hAnsi="Times New Roman" w:cs="Times New Roman"/>
          <w:bCs/>
          <w:sz w:val="24"/>
          <w:szCs w:val="24"/>
        </w:rPr>
        <w:t xml:space="preserve">hour per participant to the estimate 56 participants from </w:t>
      </w:r>
      <w:r w:rsidR="001634BF">
        <w:rPr>
          <w:rFonts w:ascii="Times New Roman" w:hAnsi="Times New Roman" w:cs="Times New Roman"/>
          <w:bCs/>
          <w:sz w:val="24"/>
          <w:szCs w:val="24"/>
        </w:rPr>
        <w:t>States</w:t>
      </w:r>
      <w:r>
        <w:rPr>
          <w:rFonts w:ascii="Times New Roman" w:hAnsi="Times New Roman" w:cs="Times New Roman"/>
          <w:bCs/>
          <w:sz w:val="24"/>
          <w:szCs w:val="24"/>
        </w:rPr>
        <w:t xml:space="preserve"> and territories at </w:t>
      </w:r>
      <w:r w:rsidR="00755D32">
        <w:rPr>
          <w:rFonts w:ascii="Times New Roman" w:hAnsi="Times New Roman" w:cs="Times New Roman"/>
          <w:bCs/>
          <w:sz w:val="24"/>
          <w:szCs w:val="24"/>
        </w:rPr>
        <w:t>one (</w:t>
      </w:r>
      <w:r>
        <w:rPr>
          <w:rFonts w:ascii="Times New Roman" w:hAnsi="Times New Roman" w:cs="Times New Roman"/>
          <w:bCs/>
          <w:sz w:val="24"/>
          <w:szCs w:val="24"/>
        </w:rPr>
        <w:t>1</w:t>
      </w:r>
      <w:r w:rsidR="00755D32">
        <w:rPr>
          <w:rFonts w:ascii="Times New Roman" w:hAnsi="Times New Roman" w:cs="Times New Roman"/>
          <w:bCs/>
          <w:sz w:val="24"/>
          <w:szCs w:val="24"/>
        </w:rPr>
        <w:t>)</w:t>
      </w:r>
      <w:r>
        <w:rPr>
          <w:rFonts w:ascii="Times New Roman" w:hAnsi="Times New Roman" w:cs="Times New Roman"/>
          <w:bCs/>
          <w:sz w:val="24"/>
          <w:szCs w:val="24"/>
        </w:rPr>
        <w:t xml:space="preserve"> hour each for a total of 56 hours.  FEMA also requests that the respondents from urban areas and tribal governments participate in an </w:t>
      </w:r>
      <w:r w:rsidR="007A30F7">
        <w:rPr>
          <w:rFonts w:ascii="Times New Roman" w:hAnsi="Times New Roman" w:cs="Times New Roman"/>
          <w:bCs/>
          <w:sz w:val="24"/>
          <w:szCs w:val="24"/>
        </w:rPr>
        <w:t>after-action</w:t>
      </w:r>
    </w:p>
    <w:p w:rsidRPr="003E7D18" w:rsidR="004C6656" w:rsidP="004C6656" w:rsidRDefault="006D0654" w14:paraId="2B0CC726" w14:textId="7F8F7D6F">
      <w:pPr>
        <w:pStyle w:val="ListParagraph"/>
        <w:numPr>
          <w:ilvl w:val="0"/>
          <w:numId w:val="7"/>
        </w:numPr>
        <w:spacing w:after="0" w:line="240" w:lineRule="auto"/>
        <w:rPr>
          <w:rFonts w:ascii="Times New Roman" w:hAnsi="Times New Roman" w:cs="Times New Roman"/>
          <w:bCs/>
          <w:sz w:val="24"/>
          <w:szCs w:val="24"/>
        </w:rPr>
      </w:pPr>
      <w:r>
        <w:rPr>
          <w:rFonts w:ascii="Times New Roman" w:hAnsi="Times New Roman" w:cs="Times New Roman"/>
          <w:bCs/>
          <w:sz w:val="24"/>
          <w:szCs w:val="24"/>
        </w:rPr>
        <w:t>After</w:t>
      </w:r>
      <w:r w:rsidR="00C93633">
        <w:rPr>
          <w:rFonts w:ascii="Times New Roman" w:hAnsi="Times New Roman" w:cs="Times New Roman"/>
          <w:bCs/>
          <w:sz w:val="24"/>
          <w:szCs w:val="24"/>
        </w:rPr>
        <w:t xml:space="preserve"> </w:t>
      </w:r>
      <w:r>
        <w:rPr>
          <w:rFonts w:ascii="Times New Roman" w:hAnsi="Times New Roman" w:cs="Times New Roman"/>
          <w:bCs/>
          <w:sz w:val="24"/>
          <w:szCs w:val="24"/>
        </w:rPr>
        <w:t xml:space="preserve">Action </w:t>
      </w:r>
      <w:r w:rsidR="00755D32">
        <w:rPr>
          <w:rFonts w:ascii="Times New Roman" w:hAnsi="Times New Roman" w:cs="Times New Roman"/>
          <w:bCs/>
          <w:sz w:val="24"/>
          <w:szCs w:val="24"/>
        </w:rPr>
        <w:t>C</w:t>
      </w:r>
      <w:r w:rsidR="004C6656">
        <w:rPr>
          <w:rFonts w:ascii="Times New Roman" w:hAnsi="Times New Roman" w:cs="Times New Roman"/>
          <w:bCs/>
          <w:sz w:val="24"/>
          <w:szCs w:val="24"/>
        </w:rPr>
        <w:t xml:space="preserve">onference </w:t>
      </w:r>
      <w:r>
        <w:rPr>
          <w:rFonts w:ascii="Times New Roman" w:hAnsi="Times New Roman" w:cs="Times New Roman"/>
          <w:bCs/>
          <w:sz w:val="24"/>
          <w:szCs w:val="24"/>
        </w:rPr>
        <w:t>C</w:t>
      </w:r>
      <w:r w:rsidR="004C6656">
        <w:rPr>
          <w:rFonts w:ascii="Times New Roman" w:hAnsi="Times New Roman" w:cs="Times New Roman"/>
          <w:bCs/>
          <w:sz w:val="24"/>
          <w:szCs w:val="24"/>
        </w:rPr>
        <w:t>all</w:t>
      </w:r>
      <w:r w:rsidR="00C93633">
        <w:rPr>
          <w:rFonts w:ascii="Times New Roman" w:hAnsi="Times New Roman" w:cs="Times New Roman"/>
          <w:bCs/>
          <w:sz w:val="24"/>
          <w:szCs w:val="24"/>
        </w:rPr>
        <w:t>s</w:t>
      </w:r>
      <w:r w:rsidR="004C6656">
        <w:rPr>
          <w:rFonts w:ascii="Times New Roman" w:hAnsi="Times New Roman" w:cs="Times New Roman"/>
          <w:bCs/>
          <w:sz w:val="24"/>
          <w:szCs w:val="24"/>
        </w:rPr>
        <w:t>.  This call adds one hour per participant to the estimated 1</w:t>
      </w:r>
      <w:r w:rsidR="0077483A">
        <w:rPr>
          <w:rFonts w:ascii="Times New Roman" w:hAnsi="Times New Roman" w:cs="Times New Roman"/>
          <w:bCs/>
          <w:sz w:val="24"/>
          <w:szCs w:val="24"/>
        </w:rPr>
        <w:t>28</w:t>
      </w:r>
      <w:r w:rsidR="004C6656">
        <w:rPr>
          <w:rFonts w:ascii="Times New Roman" w:hAnsi="Times New Roman" w:cs="Times New Roman"/>
          <w:bCs/>
          <w:sz w:val="24"/>
          <w:szCs w:val="24"/>
        </w:rPr>
        <w:t xml:space="preserve"> participants at </w:t>
      </w:r>
      <w:r>
        <w:rPr>
          <w:rFonts w:ascii="Times New Roman" w:hAnsi="Times New Roman" w:cs="Times New Roman"/>
          <w:bCs/>
          <w:sz w:val="24"/>
          <w:szCs w:val="24"/>
        </w:rPr>
        <w:t>one (</w:t>
      </w:r>
      <w:r w:rsidR="004C6656">
        <w:rPr>
          <w:rFonts w:ascii="Times New Roman" w:hAnsi="Times New Roman" w:cs="Times New Roman"/>
          <w:bCs/>
          <w:sz w:val="24"/>
          <w:szCs w:val="24"/>
        </w:rPr>
        <w:t>1</w:t>
      </w:r>
      <w:r>
        <w:rPr>
          <w:rFonts w:ascii="Times New Roman" w:hAnsi="Times New Roman" w:cs="Times New Roman"/>
          <w:bCs/>
          <w:sz w:val="24"/>
          <w:szCs w:val="24"/>
        </w:rPr>
        <w:t>)</w:t>
      </w:r>
      <w:r w:rsidR="004C6656">
        <w:rPr>
          <w:rFonts w:ascii="Times New Roman" w:hAnsi="Times New Roman" w:cs="Times New Roman"/>
          <w:bCs/>
          <w:sz w:val="24"/>
          <w:szCs w:val="24"/>
        </w:rPr>
        <w:t xml:space="preserve"> hour each for a total of 1</w:t>
      </w:r>
      <w:r w:rsidR="0077483A">
        <w:rPr>
          <w:rFonts w:ascii="Times New Roman" w:hAnsi="Times New Roman" w:cs="Times New Roman"/>
          <w:bCs/>
          <w:sz w:val="24"/>
          <w:szCs w:val="24"/>
        </w:rPr>
        <w:t>28</w:t>
      </w:r>
      <w:r w:rsidR="004C6656">
        <w:rPr>
          <w:rFonts w:ascii="Times New Roman" w:hAnsi="Times New Roman" w:cs="Times New Roman"/>
          <w:bCs/>
          <w:sz w:val="24"/>
          <w:szCs w:val="24"/>
        </w:rPr>
        <w:t xml:space="preserve"> hours. </w:t>
      </w:r>
    </w:p>
    <w:bookmarkEnd w:id="0"/>
    <w:p w:rsidR="004C6656" w:rsidP="00562915" w:rsidRDefault="004C6656" w14:paraId="706E9BFC" w14:textId="77777777">
      <w:pPr>
        <w:rPr>
          <w:rFonts w:ascii="Times New Roman" w:hAnsi="Times New Roman" w:cs="Times New Roman"/>
          <w:b/>
          <w:bCs/>
          <w:sz w:val="24"/>
          <w:szCs w:val="24"/>
        </w:rPr>
      </w:pPr>
    </w:p>
    <w:p w:rsidR="00562915" w:rsidP="00562915" w:rsidRDefault="00562915" w14:paraId="70FE332C" w14:textId="7499104A">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6625E7" w:rsidR="004C6656" w:rsidP="00562915" w:rsidRDefault="004C6656" w14:paraId="2F12D6C1" w14:textId="2C4A3402">
      <w:pPr>
        <w:rPr>
          <w:rFonts w:ascii="Times New Roman" w:hAnsi="Times New Roman" w:cs="Times New Roman"/>
          <w:b/>
          <w:bCs/>
          <w:sz w:val="24"/>
          <w:szCs w:val="24"/>
        </w:rPr>
      </w:pPr>
      <w:r>
        <w:rPr>
          <w:rFonts w:ascii="Times New Roman" w:hAnsi="Times New Roman" w:cs="Times New Roman"/>
          <w:bCs/>
          <w:sz w:val="24"/>
          <w:szCs w:val="24"/>
        </w:rPr>
        <w:lastRenderedPageBreak/>
        <w:t xml:space="preserve">The THIRA </w:t>
      </w:r>
      <w:r w:rsidR="004449BB">
        <w:rPr>
          <w:rFonts w:ascii="Times New Roman" w:hAnsi="Times New Roman" w:cs="Times New Roman"/>
          <w:bCs/>
          <w:sz w:val="24"/>
          <w:szCs w:val="24"/>
        </w:rPr>
        <w:t xml:space="preserve">(formerly </w:t>
      </w:r>
      <w:r>
        <w:rPr>
          <w:rFonts w:ascii="Times New Roman" w:hAnsi="Times New Roman" w:cs="Times New Roman"/>
          <w:bCs/>
          <w:sz w:val="24"/>
          <w:szCs w:val="24"/>
        </w:rPr>
        <w:t>FEMA Form No. 008-0-19</w:t>
      </w:r>
      <w:r w:rsidR="004449BB">
        <w:rPr>
          <w:rFonts w:ascii="Times New Roman" w:hAnsi="Times New Roman" w:cs="Times New Roman"/>
          <w:bCs/>
          <w:sz w:val="24"/>
          <w:szCs w:val="24"/>
        </w:rPr>
        <w:t>)</w:t>
      </w:r>
      <w:r>
        <w:rPr>
          <w:rFonts w:ascii="Times New Roman" w:hAnsi="Times New Roman" w:cs="Times New Roman"/>
          <w:bCs/>
          <w:sz w:val="24"/>
          <w:szCs w:val="24"/>
        </w:rPr>
        <w:t xml:space="preserve"> and SPR</w:t>
      </w:r>
      <w:r w:rsidR="001E4B3C">
        <w:rPr>
          <w:rFonts w:ascii="Times New Roman" w:hAnsi="Times New Roman" w:cs="Times New Roman"/>
          <w:bCs/>
          <w:sz w:val="24"/>
          <w:szCs w:val="24"/>
        </w:rPr>
        <w:t xml:space="preserve"> and Post Assessment</w:t>
      </w:r>
      <w:r>
        <w:rPr>
          <w:rFonts w:ascii="Times New Roman" w:hAnsi="Times New Roman" w:cs="Times New Roman"/>
          <w:bCs/>
          <w:sz w:val="24"/>
          <w:szCs w:val="24"/>
        </w:rPr>
        <w:t xml:space="preserve">, </w:t>
      </w:r>
      <w:r w:rsidR="004449BB">
        <w:rPr>
          <w:rFonts w:ascii="Times New Roman" w:hAnsi="Times New Roman" w:cs="Times New Roman"/>
          <w:bCs/>
          <w:sz w:val="24"/>
          <w:szCs w:val="24"/>
        </w:rPr>
        <w:t xml:space="preserve">(formerly </w:t>
      </w:r>
      <w:r>
        <w:rPr>
          <w:rFonts w:ascii="Times New Roman" w:hAnsi="Times New Roman" w:cs="Times New Roman"/>
          <w:bCs/>
          <w:sz w:val="24"/>
          <w:szCs w:val="24"/>
        </w:rPr>
        <w:t>FEMA Form No. 008-0-20</w:t>
      </w:r>
      <w:r w:rsidR="004449BB">
        <w:rPr>
          <w:rFonts w:ascii="Times New Roman" w:hAnsi="Times New Roman" w:cs="Times New Roman"/>
          <w:bCs/>
          <w:sz w:val="24"/>
          <w:szCs w:val="24"/>
        </w:rPr>
        <w:t>)</w:t>
      </w:r>
      <w:r w:rsidR="001E4B3C">
        <w:rPr>
          <w:rFonts w:ascii="Times New Roman" w:hAnsi="Times New Roman" w:cs="Times New Roman"/>
          <w:bCs/>
          <w:sz w:val="24"/>
          <w:szCs w:val="24"/>
        </w:rPr>
        <w:t xml:space="preserve"> </w:t>
      </w:r>
      <w:r>
        <w:rPr>
          <w:rFonts w:ascii="Times New Roman" w:hAnsi="Times New Roman" w:cs="Times New Roman"/>
          <w:bCs/>
          <w:sz w:val="24"/>
          <w:szCs w:val="24"/>
        </w:rPr>
        <w:t xml:space="preserve">are separate forms but respondents complete them simultaneously for the 56 </w:t>
      </w:r>
      <w:r w:rsidR="001634BF">
        <w:rPr>
          <w:rFonts w:ascii="Times New Roman" w:hAnsi="Times New Roman" w:cs="Times New Roman"/>
          <w:bCs/>
          <w:sz w:val="24"/>
          <w:szCs w:val="24"/>
        </w:rPr>
        <w:t>States</w:t>
      </w:r>
      <w:r>
        <w:rPr>
          <w:rFonts w:ascii="Times New Roman" w:hAnsi="Times New Roman" w:cs="Times New Roman"/>
          <w:bCs/>
          <w:sz w:val="24"/>
          <w:szCs w:val="24"/>
        </w:rPr>
        <w:t xml:space="preserve"> and territories, all Urban Areas receiving UASI funding, and all tribal governments receiving THSGP funding.  </w:t>
      </w:r>
      <w:r w:rsidR="004449BB">
        <w:rPr>
          <w:rFonts w:ascii="Times New Roman" w:hAnsi="Times New Roman" w:cs="Times New Roman"/>
          <w:bCs/>
          <w:sz w:val="24"/>
          <w:szCs w:val="24"/>
        </w:rPr>
        <w:t>FEMA is merging those two forms into a single THIRA/SPR Unified Reporting Tool access</w:t>
      </w:r>
      <w:r w:rsidR="009054F5">
        <w:rPr>
          <w:rFonts w:ascii="Times New Roman" w:hAnsi="Times New Roman" w:cs="Times New Roman"/>
          <w:bCs/>
          <w:sz w:val="24"/>
          <w:szCs w:val="24"/>
        </w:rPr>
        <w:t>ed</w:t>
      </w:r>
      <w:r w:rsidR="004449BB">
        <w:rPr>
          <w:rFonts w:ascii="Times New Roman" w:hAnsi="Times New Roman" w:cs="Times New Roman"/>
          <w:bCs/>
          <w:sz w:val="24"/>
          <w:szCs w:val="24"/>
        </w:rPr>
        <w:t xml:space="preserve"> through the online portal for administrative purposes.  </w:t>
      </w:r>
      <w:r>
        <w:rPr>
          <w:rFonts w:ascii="Times New Roman" w:hAnsi="Times New Roman" w:cs="Times New Roman"/>
          <w:bCs/>
          <w:sz w:val="24"/>
          <w:szCs w:val="24"/>
        </w:rPr>
        <w:t xml:space="preserve">FEMA </w:t>
      </w:r>
      <w:r w:rsidRPr="00870863">
        <w:rPr>
          <w:rFonts w:ascii="Times New Roman" w:hAnsi="Times New Roman" w:cs="Times New Roman"/>
          <w:bCs/>
          <w:sz w:val="24"/>
          <w:szCs w:val="24"/>
        </w:rPr>
        <w:t>describes the hour burden in the charts below.</w:t>
      </w:r>
      <w:r>
        <w:rPr>
          <w:rFonts w:ascii="Times New Roman" w:hAnsi="Times New Roman" w:cs="Times New Roman"/>
          <w:bCs/>
          <w:sz w:val="24"/>
          <w:szCs w:val="24"/>
        </w:rPr>
        <w:t xml:space="preserve">  Additionally, FEMA uses </w:t>
      </w:r>
      <w:r w:rsidR="004449BB">
        <w:rPr>
          <w:rFonts w:ascii="Times New Roman" w:hAnsi="Times New Roman" w:cs="Times New Roman"/>
          <w:bCs/>
          <w:sz w:val="24"/>
          <w:szCs w:val="24"/>
        </w:rPr>
        <w:t xml:space="preserve">FEMA Form 008-FY-21-107 (formerly </w:t>
      </w:r>
      <w:r>
        <w:rPr>
          <w:rFonts w:ascii="Times New Roman" w:hAnsi="Times New Roman" w:cs="Times New Roman"/>
          <w:bCs/>
          <w:sz w:val="24"/>
          <w:szCs w:val="24"/>
        </w:rPr>
        <w:t>FEMA Form No 008-0-23</w:t>
      </w:r>
      <w:r w:rsidR="004449BB">
        <w:rPr>
          <w:rFonts w:ascii="Times New Roman" w:hAnsi="Times New Roman" w:cs="Times New Roman"/>
          <w:bCs/>
          <w:sz w:val="24"/>
          <w:szCs w:val="24"/>
        </w:rPr>
        <w:t>)</w:t>
      </w:r>
      <w:r>
        <w:rPr>
          <w:rFonts w:ascii="Times New Roman" w:hAnsi="Times New Roman" w:cs="Times New Roman"/>
          <w:bCs/>
          <w:sz w:val="24"/>
          <w:szCs w:val="24"/>
        </w:rPr>
        <w:t xml:space="preserve"> as a script to ask questions about the collection during after-action calls with respondents.  Participation in the calls and answering the questions are voluntary, but the total estimate includes time spent participating.</w:t>
      </w:r>
    </w:p>
    <w:p w:rsidR="005D1DD4" w:rsidP="00562915" w:rsidRDefault="00562915" w14:paraId="62FE081B" w14:textId="28F2627D">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65204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9054F5" w:rsidRDefault="009054F5" w14:paraId="42DB88A1" w14:textId="7B155224">
      <w:pPr>
        <w:rPr>
          <w:rFonts w:ascii="Times New Roman" w:hAnsi="Times New Roman" w:cs="Times New Roman"/>
          <w:b/>
          <w:bCs/>
          <w:sz w:val="24"/>
          <w:szCs w:val="24"/>
        </w:rPr>
      </w:pPr>
      <w:r>
        <w:rPr>
          <w:rFonts w:ascii="Times New Roman" w:hAnsi="Times New Roman" w:cs="Times New Roman"/>
          <w:b/>
          <w:bCs/>
          <w:sz w:val="24"/>
          <w:szCs w:val="24"/>
        </w:rPr>
        <w:br w:type="page"/>
      </w:r>
    </w:p>
    <w:p w:rsidR="009054F5" w:rsidP="00562915" w:rsidRDefault="009054F5" w14:paraId="7BFD1E1E" w14:textId="77777777">
      <w:pPr>
        <w:rPr>
          <w:rFonts w:ascii="Times New Roman" w:hAnsi="Times New Roman" w:cs="Times New Roman"/>
          <w:b/>
          <w:bCs/>
          <w:sz w:val="24"/>
          <w:szCs w:val="24"/>
        </w:rPr>
      </w:pPr>
    </w:p>
    <w:tbl>
      <w:tblPr>
        <w:tblW w:w="9820" w:type="dxa"/>
        <w:tblInd w:w="-52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48"/>
        <w:gridCol w:w="973"/>
        <w:gridCol w:w="1141"/>
        <w:gridCol w:w="1008"/>
        <w:gridCol w:w="1123"/>
        <w:gridCol w:w="1028"/>
        <w:gridCol w:w="960"/>
        <w:gridCol w:w="782"/>
        <w:gridCol w:w="1440"/>
        <w:gridCol w:w="17"/>
      </w:tblGrid>
      <w:tr w:rsidRPr="00562915" w:rsidR="004C6656" w:rsidTr="00B15B44" w14:paraId="461ABD59" w14:textId="77777777">
        <w:trPr>
          <w:trHeight w:val="315"/>
        </w:trPr>
        <w:tc>
          <w:tcPr>
            <w:tcW w:w="9820" w:type="dxa"/>
            <w:gridSpan w:val="10"/>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9C51F2" w:rsidR="004C6656" w:rsidP="00251D1A" w:rsidRDefault="004C6656" w14:paraId="7CC5AA14" w14:textId="77777777">
            <w:pPr>
              <w:spacing w:after="0" w:line="240" w:lineRule="auto"/>
              <w:jc w:val="center"/>
              <w:rPr>
                <w:rFonts w:ascii="Times New Roman" w:hAnsi="Times New Roman" w:eastAsia="Times New Roman" w:cs="Times New Roman"/>
                <w:color w:val="000000"/>
                <w:sz w:val="18"/>
                <w:szCs w:val="18"/>
              </w:rPr>
            </w:pPr>
            <w:r w:rsidRPr="009C51F2">
              <w:rPr>
                <w:rFonts w:ascii="Times New Roman" w:hAnsi="Times New Roman" w:eastAsia="Times New Roman" w:cs="Times New Roman"/>
                <w:color w:val="000000"/>
                <w:sz w:val="18"/>
                <w:szCs w:val="18"/>
              </w:rPr>
              <w:t>Estimated Annualized Burden Hours and Costs</w:t>
            </w:r>
          </w:p>
        </w:tc>
      </w:tr>
      <w:tr w:rsidRPr="00562915" w:rsidR="00B95DC7" w:rsidTr="00B15B44" w14:paraId="2CBFD79C" w14:textId="77777777">
        <w:trPr>
          <w:gridAfter w:val="1"/>
          <w:wAfter w:w="17" w:type="dxa"/>
          <w:trHeight w:val="1215"/>
        </w:trPr>
        <w:tc>
          <w:tcPr>
            <w:tcW w:w="1348"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0ADED162"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Type of Respondent</w:t>
            </w:r>
          </w:p>
        </w:tc>
        <w:tc>
          <w:tcPr>
            <w:tcW w:w="973"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21134C1C"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Form Name / Form Number</w:t>
            </w:r>
          </w:p>
        </w:tc>
        <w:tc>
          <w:tcPr>
            <w:tcW w:w="1141"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7C5B87CA"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No. of Respon-dents</w:t>
            </w:r>
          </w:p>
        </w:tc>
        <w:tc>
          <w:tcPr>
            <w:tcW w:w="1008"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5E75445F"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No. of Respon-ses per Respon-dent</w:t>
            </w:r>
          </w:p>
        </w:tc>
        <w:tc>
          <w:tcPr>
            <w:tcW w:w="1123"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53CCD13E"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Total No. of Responses</w:t>
            </w:r>
          </w:p>
        </w:tc>
        <w:tc>
          <w:tcPr>
            <w:tcW w:w="1028"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73842477"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Avg. Burden per Response (in hours)</w:t>
            </w:r>
          </w:p>
        </w:tc>
        <w:tc>
          <w:tcPr>
            <w:tcW w:w="960"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2F77ED7B"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Total Annual Burden (in hours)</w:t>
            </w:r>
          </w:p>
        </w:tc>
        <w:tc>
          <w:tcPr>
            <w:tcW w:w="782"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26DE5217"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Avg. Hourly Wage Rate</w:t>
            </w:r>
          </w:p>
        </w:tc>
        <w:tc>
          <w:tcPr>
            <w:tcW w:w="1440" w:type="dxa"/>
            <w:tcBorders>
              <w:top w:val="nil"/>
              <w:left w:val="nil"/>
              <w:bottom w:val="single" w:color="auto" w:sz="8" w:space="0"/>
              <w:right w:val="single" w:color="auto" w:sz="8" w:space="0"/>
            </w:tcBorders>
            <w:shd w:val="clear" w:color="auto" w:fill="95B3D7" w:themeFill="accent1" w:themeFillTint="99"/>
            <w:vAlign w:val="center"/>
            <w:hideMark/>
          </w:tcPr>
          <w:p w:rsidRPr="009C51F2" w:rsidR="004C6656" w:rsidP="00251D1A" w:rsidRDefault="004C6656" w14:paraId="39FFFDFE"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Total Annual Respondent Cost</w:t>
            </w:r>
          </w:p>
        </w:tc>
      </w:tr>
      <w:tr w:rsidRPr="00562915" w:rsidR="004C6656" w:rsidTr="00B15B44" w14:paraId="1442AC4D" w14:textId="77777777">
        <w:trPr>
          <w:gridAfter w:val="1"/>
          <w:wAfter w:w="17" w:type="dxa"/>
          <w:trHeight w:val="315"/>
        </w:trPr>
        <w:tc>
          <w:tcPr>
            <w:tcW w:w="1348" w:type="dxa"/>
            <w:tcBorders>
              <w:top w:val="nil"/>
              <w:left w:val="single" w:color="auto" w:sz="8" w:space="0"/>
              <w:bottom w:val="single" w:color="auto" w:sz="8" w:space="0"/>
              <w:right w:val="single" w:color="auto" w:sz="8" w:space="0"/>
            </w:tcBorders>
            <w:shd w:val="clear" w:color="auto" w:fill="auto"/>
            <w:vAlign w:val="center"/>
            <w:hideMark/>
          </w:tcPr>
          <w:p w:rsidRPr="009C51F2" w:rsidR="004C6656" w:rsidP="00251D1A" w:rsidRDefault="004C6656" w14:paraId="56BF4972" w14:textId="77777777">
            <w:pPr>
              <w:rPr>
                <w:rFonts w:ascii="Times New Roman" w:hAnsi="Times New Roman" w:cs="Times New Roman"/>
                <w:color w:val="000000"/>
                <w:sz w:val="18"/>
                <w:szCs w:val="18"/>
              </w:rPr>
            </w:pPr>
            <w:r w:rsidRPr="009C51F2">
              <w:rPr>
                <w:rFonts w:ascii="Times New Roman" w:hAnsi="Times New Roman" w:cs="Times New Roman"/>
                <w:color w:val="000000"/>
                <w:sz w:val="18"/>
                <w:szCs w:val="18"/>
              </w:rPr>
              <w:t>Tribal Government</w:t>
            </w:r>
          </w:p>
        </w:tc>
        <w:tc>
          <w:tcPr>
            <w:tcW w:w="973"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4C6656" w14:paraId="03718916" w14:textId="608749D5">
            <w:pPr>
              <w:rPr>
                <w:rFonts w:ascii="Times New Roman" w:hAnsi="Times New Roman" w:cs="Times New Roman"/>
                <w:color w:val="000000"/>
                <w:sz w:val="18"/>
                <w:szCs w:val="18"/>
              </w:rPr>
            </w:pPr>
            <w:r w:rsidRPr="009C51F2">
              <w:rPr>
                <w:rFonts w:ascii="Times New Roman" w:hAnsi="Times New Roman" w:cs="Times New Roman"/>
                <w:color w:val="000000"/>
                <w:sz w:val="18"/>
                <w:szCs w:val="18"/>
              </w:rPr>
              <w:t>THIRA/</w:t>
            </w:r>
            <w:r w:rsidR="004449BB">
              <w:rPr>
                <w:rFonts w:ascii="Times New Roman" w:hAnsi="Times New Roman" w:cs="Times New Roman"/>
                <w:color w:val="000000"/>
                <w:sz w:val="18"/>
                <w:szCs w:val="18"/>
              </w:rPr>
              <w:t xml:space="preserve">SPR Unified Reporting Tool / </w:t>
            </w:r>
            <w:r w:rsidRPr="009C51F2">
              <w:rPr>
                <w:rFonts w:ascii="Times New Roman" w:hAnsi="Times New Roman" w:cs="Times New Roman"/>
                <w:color w:val="000000"/>
                <w:sz w:val="18"/>
                <w:szCs w:val="18"/>
              </w:rPr>
              <w:t xml:space="preserve">FEMA Form </w:t>
            </w:r>
            <w:r w:rsidR="004449BB">
              <w:rPr>
                <w:rFonts w:ascii="Times New Roman" w:hAnsi="Times New Roman" w:cs="Times New Roman"/>
                <w:color w:val="000000"/>
                <w:sz w:val="18"/>
                <w:szCs w:val="18"/>
              </w:rPr>
              <w:t>FF-008-FY-21-106</w:t>
            </w:r>
          </w:p>
        </w:tc>
        <w:tc>
          <w:tcPr>
            <w:tcW w:w="1141"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E46072" w14:paraId="35A4CF55" w14:textId="5A82F928">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3</w:t>
            </w:r>
            <w:r w:rsidRPr="009C51F2" w:rsidR="00A070EE">
              <w:rPr>
                <w:rFonts w:ascii="Times New Roman" w:hAnsi="Times New Roman" w:cs="Times New Roman"/>
                <w:color w:val="000000"/>
                <w:sz w:val="18"/>
                <w:szCs w:val="18"/>
              </w:rPr>
              <w:t>9</w:t>
            </w:r>
          </w:p>
        </w:tc>
        <w:tc>
          <w:tcPr>
            <w:tcW w:w="1008"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4C6656" w14:paraId="0EB2CE84" w14:textId="77777777">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p>
        </w:tc>
        <w:tc>
          <w:tcPr>
            <w:tcW w:w="1123"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E46072" w14:paraId="7CA9613C" w14:textId="460A2E8E">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3</w:t>
            </w:r>
            <w:r w:rsidRPr="009C51F2" w:rsidR="006B0D62">
              <w:rPr>
                <w:rFonts w:ascii="Times New Roman" w:hAnsi="Times New Roman" w:cs="Times New Roman"/>
                <w:color w:val="000000"/>
                <w:sz w:val="18"/>
                <w:szCs w:val="18"/>
              </w:rPr>
              <w:t>9</w:t>
            </w:r>
          </w:p>
        </w:tc>
        <w:tc>
          <w:tcPr>
            <w:tcW w:w="1028"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4C6656" w14:paraId="09043F59" w14:textId="7EC65A3D">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290*</w:t>
            </w:r>
          </w:p>
        </w:tc>
        <w:tc>
          <w:tcPr>
            <w:tcW w:w="960"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6B0D62" w14:paraId="02FEF940" w14:textId="5C03FAC4">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r w:rsidRPr="009C51F2" w:rsidR="0077483A">
              <w:rPr>
                <w:rFonts w:ascii="Times New Roman" w:hAnsi="Times New Roman" w:cs="Times New Roman"/>
                <w:color w:val="000000"/>
                <w:sz w:val="18"/>
                <w:szCs w:val="18"/>
              </w:rPr>
              <w:t>1</w:t>
            </w:r>
            <w:r w:rsidRPr="009C51F2">
              <w:rPr>
                <w:rFonts w:ascii="Times New Roman" w:hAnsi="Times New Roman" w:cs="Times New Roman"/>
                <w:color w:val="000000"/>
                <w:sz w:val="18"/>
                <w:szCs w:val="18"/>
              </w:rPr>
              <w:t>,</w:t>
            </w:r>
            <w:r w:rsidRPr="009C51F2" w:rsidR="0077483A">
              <w:rPr>
                <w:rFonts w:ascii="Times New Roman" w:hAnsi="Times New Roman" w:cs="Times New Roman"/>
                <w:color w:val="000000"/>
                <w:sz w:val="18"/>
                <w:szCs w:val="18"/>
              </w:rPr>
              <w:t>310</w:t>
            </w:r>
          </w:p>
        </w:tc>
        <w:tc>
          <w:tcPr>
            <w:tcW w:w="782" w:type="dxa"/>
            <w:tcBorders>
              <w:top w:val="nil"/>
              <w:left w:val="nil"/>
              <w:bottom w:val="single" w:color="auto" w:sz="8" w:space="0"/>
              <w:right w:val="single" w:color="auto" w:sz="8" w:space="0"/>
            </w:tcBorders>
            <w:shd w:val="clear" w:color="auto" w:fill="auto"/>
            <w:vAlign w:val="center"/>
            <w:hideMark/>
          </w:tcPr>
          <w:p w:rsidRPr="009C51F2" w:rsidR="004C6656" w:rsidP="00251D1A" w:rsidRDefault="00DA2B2B" w14:paraId="0AACBD68" w14:textId="633898FD">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w:t>
            </w:r>
            <w:r w:rsidR="00831464">
              <w:rPr>
                <w:rFonts w:ascii="Times New Roman" w:hAnsi="Times New Roman" w:cs="Times New Roman"/>
                <w:color w:val="000000"/>
                <w:sz w:val="18"/>
                <w:szCs w:val="18"/>
              </w:rPr>
              <w:t>55.36</w:t>
            </w:r>
          </w:p>
        </w:tc>
        <w:tc>
          <w:tcPr>
            <w:tcW w:w="1440" w:type="dxa"/>
            <w:tcBorders>
              <w:top w:val="nil"/>
              <w:left w:val="nil"/>
              <w:bottom w:val="single" w:color="auto" w:sz="8" w:space="0"/>
              <w:right w:val="single" w:color="auto" w:sz="8" w:space="0"/>
            </w:tcBorders>
            <w:shd w:val="clear" w:color="auto" w:fill="auto"/>
            <w:vAlign w:val="center"/>
            <w:hideMark/>
          </w:tcPr>
          <w:p w:rsidRPr="009C51F2" w:rsidR="004C6656" w:rsidP="00B15B44" w:rsidRDefault="00FD5817" w14:paraId="1FEAF842" w14:textId="39FE1356">
            <w:pPr>
              <w:jc w:val="right"/>
              <w:rPr>
                <w:rFonts w:ascii="Times New Roman" w:hAnsi="Times New Roman" w:cs="Times New Roman"/>
                <w:color w:val="000000"/>
                <w:sz w:val="18"/>
                <w:szCs w:val="18"/>
              </w:rPr>
            </w:pPr>
            <w:r w:rsidRPr="009C51F2">
              <w:rPr>
                <w:rFonts w:ascii="Times New Roman" w:hAnsi="Times New Roman" w:cs="Times New Roman"/>
                <w:color w:val="000000"/>
                <w:sz w:val="18"/>
                <w:szCs w:val="18"/>
              </w:rPr>
              <w:t>$</w:t>
            </w:r>
            <w:r w:rsidR="00A13FDE">
              <w:rPr>
                <w:rFonts w:ascii="Times New Roman" w:hAnsi="Times New Roman" w:cs="Times New Roman"/>
                <w:color w:val="000000"/>
                <w:sz w:val="18"/>
                <w:szCs w:val="18"/>
              </w:rPr>
              <w:t>626,122</w:t>
            </w:r>
          </w:p>
        </w:tc>
      </w:tr>
      <w:tr w:rsidRPr="00562915" w:rsidR="004C6656" w:rsidTr="00B15B44" w14:paraId="067ECBA5" w14:textId="77777777">
        <w:trPr>
          <w:gridAfter w:val="1"/>
          <w:wAfter w:w="17" w:type="dxa"/>
          <w:trHeight w:val="315"/>
        </w:trPr>
        <w:tc>
          <w:tcPr>
            <w:tcW w:w="1348" w:type="dxa"/>
            <w:tcBorders>
              <w:top w:val="nil"/>
              <w:left w:val="single" w:color="auto" w:sz="8" w:space="0"/>
              <w:bottom w:val="single" w:color="auto" w:sz="8" w:space="0"/>
              <w:right w:val="single" w:color="auto" w:sz="8" w:space="0"/>
            </w:tcBorders>
            <w:shd w:val="clear" w:color="auto" w:fill="auto"/>
            <w:vAlign w:val="center"/>
          </w:tcPr>
          <w:p w:rsidRPr="009C51F2" w:rsidR="004C6656" w:rsidP="00251D1A" w:rsidRDefault="004C6656" w14:paraId="5CD8B045" w14:textId="77777777">
            <w:pPr>
              <w:rPr>
                <w:rFonts w:ascii="Times New Roman" w:hAnsi="Times New Roman" w:cs="Times New Roman"/>
                <w:color w:val="000000"/>
                <w:sz w:val="18"/>
                <w:szCs w:val="18"/>
              </w:rPr>
            </w:pPr>
            <w:r w:rsidRPr="009C51F2">
              <w:rPr>
                <w:rFonts w:ascii="Times New Roman" w:hAnsi="Times New Roman" w:cs="Times New Roman"/>
                <w:color w:val="000000"/>
                <w:sz w:val="18"/>
                <w:szCs w:val="18"/>
              </w:rPr>
              <w:t>Urban Areas</w:t>
            </w:r>
          </w:p>
        </w:tc>
        <w:tc>
          <w:tcPr>
            <w:tcW w:w="973"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7FEF224A" w14:textId="33D0DF00">
            <w:pPr>
              <w:rPr>
                <w:rFonts w:ascii="Times New Roman" w:hAnsi="Times New Roman" w:cs="Times New Roman"/>
                <w:color w:val="000000"/>
                <w:sz w:val="18"/>
                <w:szCs w:val="18"/>
              </w:rPr>
            </w:pPr>
            <w:r w:rsidRPr="009C51F2">
              <w:rPr>
                <w:rFonts w:ascii="Times New Roman" w:hAnsi="Times New Roman" w:cs="Times New Roman"/>
                <w:color w:val="000000"/>
                <w:sz w:val="18"/>
                <w:szCs w:val="18"/>
              </w:rPr>
              <w:t>THIRA</w:t>
            </w:r>
            <w:r w:rsidR="004449BB">
              <w:rPr>
                <w:rFonts w:ascii="Times New Roman" w:hAnsi="Times New Roman" w:cs="Times New Roman"/>
                <w:color w:val="000000"/>
                <w:sz w:val="18"/>
                <w:szCs w:val="18"/>
              </w:rPr>
              <w:t>/</w:t>
            </w:r>
            <w:r w:rsidRPr="009C51F2">
              <w:rPr>
                <w:rFonts w:ascii="Times New Roman" w:hAnsi="Times New Roman" w:cs="Times New Roman"/>
                <w:color w:val="000000"/>
                <w:sz w:val="18"/>
                <w:szCs w:val="18"/>
              </w:rPr>
              <w:t xml:space="preserve">SPR </w:t>
            </w:r>
            <w:r w:rsidR="004449BB">
              <w:rPr>
                <w:rFonts w:ascii="Times New Roman" w:hAnsi="Times New Roman" w:cs="Times New Roman"/>
                <w:color w:val="000000"/>
                <w:sz w:val="18"/>
                <w:szCs w:val="18"/>
              </w:rPr>
              <w:t>Unified Reporting Tool</w:t>
            </w:r>
            <w:r w:rsidRPr="009C51F2">
              <w:rPr>
                <w:rFonts w:ascii="Times New Roman" w:hAnsi="Times New Roman" w:cs="Times New Roman"/>
                <w:color w:val="000000"/>
                <w:sz w:val="18"/>
                <w:szCs w:val="18"/>
              </w:rPr>
              <w:t xml:space="preserve"> / FEMA Form </w:t>
            </w:r>
            <w:r w:rsidR="004449BB">
              <w:rPr>
                <w:rFonts w:ascii="Times New Roman" w:hAnsi="Times New Roman" w:cs="Times New Roman"/>
                <w:color w:val="000000"/>
                <w:sz w:val="18"/>
                <w:szCs w:val="18"/>
              </w:rPr>
              <w:t>FF-008-FY-21-106</w:t>
            </w:r>
          </w:p>
        </w:tc>
        <w:tc>
          <w:tcPr>
            <w:tcW w:w="1141" w:type="dxa"/>
            <w:tcBorders>
              <w:top w:val="nil"/>
              <w:left w:val="nil"/>
              <w:bottom w:val="single" w:color="auto" w:sz="8" w:space="0"/>
              <w:right w:val="single" w:color="auto" w:sz="8" w:space="0"/>
            </w:tcBorders>
            <w:shd w:val="clear" w:color="auto" w:fill="auto"/>
            <w:vAlign w:val="center"/>
          </w:tcPr>
          <w:p w:rsidRPr="009C51F2" w:rsidR="004C6656" w:rsidP="00251D1A" w:rsidRDefault="004449BB" w14:paraId="14036387" w14:textId="6F07C708">
            <w:pPr>
              <w:jc w:val="center"/>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1008"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610DE238" w14:textId="77777777">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p>
        </w:tc>
        <w:tc>
          <w:tcPr>
            <w:tcW w:w="1123" w:type="dxa"/>
            <w:tcBorders>
              <w:top w:val="nil"/>
              <w:left w:val="nil"/>
              <w:bottom w:val="single" w:color="auto" w:sz="8" w:space="0"/>
              <w:right w:val="single" w:color="auto" w:sz="8" w:space="0"/>
            </w:tcBorders>
            <w:shd w:val="clear" w:color="auto" w:fill="auto"/>
            <w:vAlign w:val="center"/>
          </w:tcPr>
          <w:p w:rsidRPr="009C51F2" w:rsidR="004C6656" w:rsidP="00251D1A" w:rsidRDefault="004449BB" w14:paraId="6CAC76AD" w14:textId="186B7B6A">
            <w:pPr>
              <w:jc w:val="center"/>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1028"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2F51C01D" w14:textId="3274C53C">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869</w:t>
            </w:r>
          </w:p>
        </w:tc>
        <w:tc>
          <w:tcPr>
            <w:tcW w:w="960" w:type="dxa"/>
            <w:tcBorders>
              <w:top w:val="nil"/>
              <w:left w:val="nil"/>
              <w:bottom w:val="single" w:color="auto" w:sz="8" w:space="0"/>
              <w:right w:val="single" w:color="auto" w:sz="8" w:space="0"/>
            </w:tcBorders>
            <w:shd w:val="clear" w:color="auto" w:fill="auto"/>
            <w:vAlign w:val="center"/>
          </w:tcPr>
          <w:p w:rsidRPr="009C51F2" w:rsidR="004C6656" w:rsidP="00251D1A" w:rsidRDefault="004449BB" w14:paraId="6E43D659" w14:textId="6E6A4E92">
            <w:pPr>
              <w:jc w:val="center"/>
              <w:rPr>
                <w:rFonts w:ascii="Times New Roman" w:hAnsi="Times New Roman" w:cs="Times New Roman"/>
                <w:color w:val="000000"/>
                <w:sz w:val="18"/>
                <w:szCs w:val="18"/>
              </w:rPr>
            </w:pPr>
            <w:r>
              <w:rPr>
                <w:rFonts w:ascii="Times New Roman" w:hAnsi="Times New Roman" w:cs="Times New Roman"/>
                <w:color w:val="000000"/>
                <w:sz w:val="18"/>
                <w:szCs w:val="18"/>
              </w:rPr>
              <w:t>77,341</w:t>
            </w:r>
          </w:p>
        </w:tc>
        <w:tc>
          <w:tcPr>
            <w:tcW w:w="782"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3B830EEA" w14:textId="0D521E72">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w:t>
            </w:r>
            <w:r w:rsidR="00831464">
              <w:rPr>
                <w:rFonts w:ascii="Times New Roman" w:hAnsi="Times New Roman" w:cs="Times New Roman"/>
                <w:color w:val="000000"/>
                <w:sz w:val="18"/>
                <w:szCs w:val="18"/>
              </w:rPr>
              <w:t>55.36</w:t>
            </w:r>
          </w:p>
        </w:tc>
        <w:tc>
          <w:tcPr>
            <w:tcW w:w="1440" w:type="dxa"/>
            <w:tcBorders>
              <w:top w:val="nil"/>
              <w:left w:val="nil"/>
              <w:bottom w:val="single" w:color="auto" w:sz="8" w:space="0"/>
              <w:right w:val="single" w:color="auto" w:sz="8" w:space="0"/>
            </w:tcBorders>
            <w:shd w:val="clear" w:color="auto" w:fill="auto"/>
            <w:vAlign w:val="center"/>
          </w:tcPr>
          <w:p w:rsidRPr="009C51F2" w:rsidR="004C6656" w:rsidP="00B15B44" w:rsidRDefault="004C6656" w14:paraId="2DE00724" w14:textId="2266AA8C">
            <w:pPr>
              <w:jc w:val="right"/>
              <w:rPr>
                <w:rFonts w:ascii="Times New Roman" w:hAnsi="Times New Roman" w:cs="Times New Roman"/>
                <w:color w:val="000000"/>
                <w:sz w:val="18"/>
                <w:szCs w:val="18"/>
              </w:rPr>
            </w:pPr>
            <w:r w:rsidRPr="009C51F2">
              <w:rPr>
                <w:rFonts w:ascii="Times New Roman" w:hAnsi="Times New Roman" w:cs="Times New Roman"/>
                <w:color w:val="000000"/>
                <w:sz w:val="18"/>
                <w:szCs w:val="18"/>
              </w:rPr>
              <w:t>$</w:t>
            </w:r>
            <w:r w:rsidR="00A13FDE">
              <w:rPr>
                <w:rFonts w:ascii="Times New Roman" w:hAnsi="Times New Roman" w:cs="Times New Roman"/>
                <w:color w:val="000000"/>
                <w:sz w:val="18"/>
                <w:szCs w:val="18"/>
              </w:rPr>
              <w:t>4,281,598</w:t>
            </w:r>
          </w:p>
        </w:tc>
      </w:tr>
      <w:tr w:rsidRPr="00562915" w:rsidR="004C6656" w:rsidTr="00B15B44" w14:paraId="152A9FF2" w14:textId="77777777">
        <w:trPr>
          <w:gridAfter w:val="1"/>
          <w:wAfter w:w="17" w:type="dxa"/>
          <w:trHeight w:val="315"/>
        </w:trPr>
        <w:tc>
          <w:tcPr>
            <w:tcW w:w="1348" w:type="dxa"/>
            <w:tcBorders>
              <w:top w:val="nil"/>
              <w:left w:val="single" w:color="auto" w:sz="8" w:space="0"/>
              <w:bottom w:val="single" w:color="auto" w:sz="8" w:space="0"/>
              <w:right w:val="single" w:color="auto" w:sz="8" w:space="0"/>
            </w:tcBorders>
            <w:shd w:val="clear" w:color="auto" w:fill="auto"/>
            <w:vAlign w:val="center"/>
          </w:tcPr>
          <w:p w:rsidRPr="009C51F2" w:rsidR="004C6656" w:rsidP="00251D1A" w:rsidRDefault="004C6656" w14:paraId="4B79D19D" w14:textId="77777777">
            <w:pPr>
              <w:rPr>
                <w:rFonts w:ascii="Times New Roman" w:hAnsi="Times New Roman" w:cs="Times New Roman"/>
                <w:color w:val="000000"/>
                <w:sz w:val="18"/>
                <w:szCs w:val="18"/>
              </w:rPr>
            </w:pPr>
            <w:r w:rsidRPr="009C51F2">
              <w:rPr>
                <w:rFonts w:ascii="Times New Roman" w:hAnsi="Times New Roman" w:cs="Times New Roman"/>
                <w:color w:val="000000"/>
                <w:sz w:val="18"/>
                <w:szCs w:val="18"/>
              </w:rPr>
              <w:t>State, Local and Tribal Government</w:t>
            </w:r>
          </w:p>
        </w:tc>
        <w:tc>
          <w:tcPr>
            <w:tcW w:w="973"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1B6B481B" w14:textId="5556A7FC">
            <w:pPr>
              <w:rPr>
                <w:rFonts w:ascii="Times New Roman" w:hAnsi="Times New Roman" w:cs="Times New Roman"/>
                <w:color w:val="000000"/>
                <w:sz w:val="18"/>
                <w:szCs w:val="18"/>
              </w:rPr>
            </w:pPr>
            <w:r w:rsidRPr="009C51F2">
              <w:rPr>
                <w:rFonts w:ascii="Times New Roman" w:hAnsi="Times New Roman" w:cs="Times New Roman"/>
                <w:color w:val="000000"/>
                <w:sz w:val="18"/>
                <w:szCs w:val="18"/>
              </w:rPr>
              <w:t>THIRA/SPR After Action Conference Call</w:t>
            </w:r>
            <w:r w:rsidR="003F1B8B">
              <w:rPr>
                <w:rFonts w:ascii="Times New Roman" w:hAnsi="Times New Roman" w:cs="Times New Roman"/>
                <w:color w:val="000000"/>
                <w:sz w:val="18"/>
                <w:szCs w:val="18"/>
              </w:rPr>
              <w:t>s</w:t>
            </w:r>
            <w:r w:rsidRPr="009C51F2">
              <w:rPr>
                <w:rFonts w:ascii="Times New Roman" w:hAnsi="Times New Roman" w:cs="Times New Roman"/>
                <w:color w:val="000000"/>
                <w:sz w:val="18"/>
                <w:szCs w:val="18"/>
              </w:rPr>
              <w:t xml:space="preserve"> / FEMA Form </w:t>
            </w:r>
            <w:r w:rsidR="003F1B8B">
              <w:rPr>
                <w:rFonts w:ascii="Times New Roman" w:hAnsi="Times New Roman" w:cs="Times New Roman"/>
                <w:color w:val="000000"/>
                <w:sz w:val="18"/>
                <w:szCs w:val="18"/>
              </w:rPr>
              <w:t>FF-008-FY-21-107</w:t>
            </w:r>
          </w:p>
        </w:tc>
        <w:tc>
          <w:tcPr>
            <w:tcW w:w="1141"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7DBA0600" w14:textId="6DB0F938">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r w:rsidRPr="009C51F2" w:rsidR="001862C7">
              <w:rPr>
                <w:rFonts w:ascii="Times New Roman" w:hAnsi="Times New Roman" w:cs="Times New Roman"/>
                <w:color w:val="000000"/>
                <w:sz w:val="18"/>
                <w:szCs w:val="18"/>
              </w:rPr>
              <w:t>28</w:t>
            </w:r>
            <w:r w:rsidRPr="009C51F2">
              <w:rPr>
                <w:rFonts w:ascii="Times New Roman" w:hAnsi="Times New Roman" w:cs="Times New Roman"/>
                <w:color w:val="000000"/>
                <w:sz w:val="18"/>
                <w:szCs w:val="18"/>
              </w:rPr>
              <w:t xml:space="preserve"> (same as the participants above, no additional participants)</w:t>
            </w:r>
          </w:p>
        </w:tc>
        <w:tc>
          <w:tcPr>
            <w:tcW w:w="1008"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6485382A" w14:textId="77777777">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p>
        </w:tc>
        <w:tc>
          <w:tcPr>
            <w:tcW w:w="1123"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65C8A15C" w14:textId="7C4FBA31">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r w:rsidRPr="009C51F2" w:rsidR="00D23F14">
              <w:rPr>
                <w:rFonts w:ascii="Times New Roman" w:hAnsi="Times New Roman" w:cs="Times New Roman"/>
                <w:color w:val="000000"/>
                <w:sz w:val="18"/>
                <w:szCs w:val="18"/>
              </w:rPr>
              <w:t>28</w:t>
            </w:r>
            <w:r w:rsidRPr="009C51F2">
              <w:rPr>
                <w:rFonts w:ascii="Times New Roman" w:hAnsi="Times New Roman" w:cs="Times New Roman"/>
                <w:color w:val="000000"/>
                <w:sz w:val="18"/>
                <w:szCs w:val="18"/>
              </w:rPr>
              <w:t xml:space="preserve"> (</w:t>
            </w:r>
            <w:r w:rsidRPr="00216440" w:rsidR="00216440">
              <w:rPr>
                <w:rFonts w:ascii="Times New Roman" w:hAnsi="Times New Roman" w:cs="Times New Roman"/>
                <w:color w:val="000000"/>
                <w:sz w:val="18"/>
                <w:szCs w:val="18"/>
              </w:rPr>
              <w:t>same as the participants above, no additional participants</w:t>
            </w:r>
            <w:r w:rsidRPr="009C51F2">
              <w:rPr>
                <w:rFonts w:ascii="Times New Roman" w:hAnsi="Times New Roman" w:cs="Times New Roman"/>
                <w:color w:val="000000"/>
                <w:sz w:val="18"/>
                <w:szCs w:val="18"/>
              </w:rPr>
              <w:t>)</w:t>
            </w:r>
          </w:p>
        </w:tc>
        <w:tc>
          <w:tcPr>
            <w:tcW w:w="1028" w:type="dxa"/>
            <w:tcBorders>
              <w:top w:val="nil"/>
              <w:left w:val="nil"/>
              <w:bottom w:val="single" w:color="auto" w:sz="8" w:space="0"/>
              <w:right w:val="single" w:color="auto" w:sz="8" w:space="0"/>
            </w:tcBorders>
            <w:shd w:val="clear" w:color="auto" w:fill="auto"/>
            <w:vAlign w:val="center"/>
          </w:tcPr>
          <w:p w:rsidRPr="009C51F2" w:rsidR="004C6656" w:rsidP="00251D1A" w:rsidRDefault="004C6656" w14:paraId="5CE33B29" w14:textId="19A6E390">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w:t>
            </w:r>
          </w:p>
        </w:tc>
        <w:tc>
          <w:tcPr>
            <w:tcW w:w="960" w:type="dxa"/>
            <w:tcBorders>
              <w:top w:val="nil"/>
              <w:left w:val="nil"/>
              <w:bottom w:val="single" w:color="auto" w:sz="8" w:space="0"/>
              <w:right w:val="single" w:color="auto" w:sz="8" w:space="0"/>
            </w:tcBorders>
            <w:shd w:val="clear" w:color="auto" w:fill="auto"/>
            <w:vAlign w:val="center"/>
          </w:tcPr>
          <w:p w:rsidRPr="009C51F2" w:rsidR="004C6656" w:rsidP="00251D1A" w:rsidRDefault="0072350B" w14:paraId="14616D96" w14:textId="2B8518AF">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128</w:t>
            </w:r>
          </w:p>
        </w:tc>
        <w:tc>
          <w:tcPr>
            <w:tcW w:w="782" w:type="dxa"/>
            <w:tcBorders>
              <w:top w:val="nil"/>
              <w:left w:val="nil"/>
              <w:bottom w:val="single" w:color="auto" w:sz="8" w:space="0"/>
              <w:right w:val="single" w:color="auto" w:sz="8" w:space="0"/>
            </w:tcBorders>
            <w:shd w:val="clear" w:color="auto" w:fill="auto"/>
            <w:vAlign w:val="center"/>
          </w:tcPr>
          <w:p w:rsidRPr="009C51F2" w:rsidR="004C6656" w:rsidP="00251D1A" w:rsidRDefault="00DA2B2B" w14:paraId="78B5D739" w14:textId="57A97A00">
            <w:pPr>
              <w:jc w:val="center"/>
              <w:rPr>
                <w:rFonts w:ascii="Times New Roman" w:hAnsi="Times New Roman" w:cs="Times New Roman"/>
                <w:color w:val="000000"/>
                <w:sz w:val="18"/>
                <w:szCs w:val="18"/>
              </w:rPr>
            </w:pPr>
            <w:r w:rsidRPr="009C51F2">
              <w:rPr>
                <w:rFonts w:ascii="Times New Roman" w:hAnsi="Times New Roman" w:cs="Times New Roman"/>
                <w:color w:val="000000"/>
                <w:sz w:val="18"/>
                <w:szCs w:val="18"/>
              </w:rPr>
              <w:t>$</w:t>
            </w:r>
            <w:r w:rsidR="00831464">
              <w:rPr>
                <w:rFonts w:ascii="Times New Roman" w:hAnsi="Times New Roman" w:cs="Times New Roman"/>
                <w:color w:val="000000"/>
                <w:sz w:val="18"/>
                <w:szCs w:val="18"/>
              </w:rPr>
              <w:t>55.36</w:t>
            </w:r>
          </w:p>
        </w:tc>
        <w:tc>
          <w:tcPr>
            <w:tcW w:w="1440" w:type="dxa"/>
            <w:tcBorders>
              <w:top w:val="nil"/>
              <w:left w:val="nil"/>
              <w:bottom w:val="single" w:color="auto" w:sz="8" w:space="0"/>
              <w:right w:val="single" w:color="auto" w:sz="8" w:space="0"/>
            </w:tcBorders>
            <w:shd w:val="clear" w:color="auto" w:fill="auto"/>
            <w:vAlign w:val="center"/>
          </w:tcPr>
          <w:p w:rsidRPr="009C51F2" w:rsidR="004C6656" w:rsidP="00B15B44" w:rsidRDefault="0077483A" w14:paraId="730EADB3" w14:textId="1FB3D38E">
            <w:pPr>
              <w:jc w:val="right"/>
              <w:rPr>
                <w:rFonts w:ascii="Times New Roman" w:hAnsi="Times New Roman" w:cs="Times New Roman"/>
                <w:color w:val="000000"/>
                <w:sz w:val="18"/>
                <w:szCs w:val="18"/>
              </w:rPr>
            </w:pPr>
            <w:bookmarkStart w:name="_Hlk77260330" w:id="1"/>
            <w:r w:rsidRPr="009C51F2">
              <w:rPr>
                <w:rFonts w:ascii="Times New Roman" w:hAnsi="Times New Roman" w:cs="Times New Roman"/>
                <w:color w:val="000000"/>
                <w:sz w:val="18"/>
                <w:szCs w:val="18"/>
              </w:rPr>
              <w:t>$</w:t>
            </w:r>
            <w:bookmarkEnd w:id="1"/>
            <w:r w:rsidR="00A13FDE">
              <w:rPr>
                <w:rFonts w:ascii="Times New Roman" w:hAnsi="Times New Roman" w:cs="Times New Roman"/>
                <w:color w:val="000000"/>
                <w:sz w:val="18"/>
                <w:szCs w:val="18"/>
              </w:rPr>
              <w:t>7,086</w:t>
            </w:r>
          </w:p>
        </w:tc>
      </w:tr>
      <w:tr w:rsidRPr="00562915" w:rsidR="004C6656" w:rsidTr="00B15B44" w14:paraId="01FFC7F1" w14:textId="77777777">
        <w:trPr>
          <w:gridAfter w:val="1"/>
          <w:wAfter w:w="17" w:type="dxa"/>
          <w:trHeight w:val="295"/>
        </w:trPr>
        <w:tc>
          <w:tcPr>
            <w:tcW w:w="1348" w:type="dxa"/>
            <w:tcBorders>
              <w:top w:val="nil"/>
              <w:left w:val="single" w:color="auto" w:sz="8" w:space="0"/>
              <w:bottom w:val="single" w:color="auto" w:sz="4" w:space="0"/>
              <w:right w:val="single" w:color="auto" w:sz="8" w:space="0"/>
            </w:tcBorders>
            <w:shd w:val="clear" w:color="auto" w:fill="auto"/>
            <w:vAlign w:val="center"/>
            <w:hideMark/>
          </w:tcPr>
          <w:p w:rsidRPr="009C51F2" w:rsidR="004C6656" w:rsidP="00251D1A" w:rsidRDefault="004C6656" w14:paraId="1F46BA64" w14:textId="77777777">
            <w:pPr>
              <w:spacing w:after="0" w:line="240" w:lineRule="auto"/>
              <w:jc w:val="center"/>
              <w:rPr>
                <w:rFonts w:ascii="Times New Roman" w:hAnsi="Times New Roman" w:eastAsia="Times New Roman" w:cs="Times New Roman"/>
                <w:b/>
                <w:bCs/>
                <w:color w:val="000000"/>
                <w:sz w:val="18"/>
                <w:szCs w:val="18"/>
              </w:rPr>
            </w:pPr>
            <w:r w:rsidRPr="009C51F2">
              <w:rPr>
                <w:rFonts w:ascii="Times New Roman" w:hAnsi="Times New Roman" w:eastAsia="Times New Roman" w:cs="Times New Roman"/>
                <w:b/>
                <w:bCs/>
                <w:color w:val="000000"/>
                <w:sz w:val="18"/>
                <w:szCs w:val="18"/>
              </w:rPr>
              <w:t>Total</w:t>
            </w:r>
          </w:p>
        </w:tc>
        <w:tc>
          <w:tcPr>
            <w:tcW w:w="973" w:type="dxa"/>
            <w:tcBorders>
              <w:top w:val="nil"/>
              <w:left w:val="nil"/>
              <w:bottom w:val="single" w:color="auto" w:sz="4" w:space="0"/>
              <w:right w:val="single" w:color="auto" w:sz="8" w:space="0"/>
            </w:tcBorders>
            <w:shd w:val="clear" w:color="auto" w:fill="000000" w:themeFill="text1"/>
            <w:vAlign w:val="center"/>
            <w:hideMark/>
          </w:tcPr>
          <w:p w:rsidRPr="00562915" w:rsidR="004C6656" w:rsidP="00251D1A" w:rsidRDefault="004C6656" w14:paraId="77695FFF" w14:textId="77777777">
            <w:pPr>
              <w:spacing w:after="0" w:line="240" w:lineRule="auto"/>
              <w:jc w:val="center"/>
              <w:rPr>
                <w:rFonts w:ascii="Arial" w:hAnsi="Arial" w:eastAsia="Times New Roman" w:cs="Arial"/>
                <w:color w:val="000000"/>
                <w:sz w:val="18"/>
                <w:szCs w:val="18"/>
              </w:rPr>
            </w:pPr>
            <w:r w:rsidRPr="00562915">
              <w:rPr>
                <w:rFonts w:ascii="Arial" w:hAnsi="Arial" w:eastAsia="Times New Roman" w:cs="Arial"/>
                <w:color w:val="000000"/>
                <w:sz w:val="18"/>
                <w:szCs w:val="18"/>
              </w:rPr>
              <w:t> </w:t>
            </w:r>
          </w:p>
        </w:tc>
        <w:tc>
          <w:tcPr>
            <w:tcW w:w="1141" w:type="dxa"/>
            <w:tcBorders>
              <w:top w:val="nil"/>
              <w:left w:val="nil"/>
              <w:bottom w:val="single" w:color="auto" w:sz="4" w:space="0"/>
              <w:right w:val="single" w:color="auto" w:sz="8" w:space="0"/>
            </w:tcBorders>
            <w:shd w:val="clear" w:color="auto" w:fill="auto"/>
            <w:vAlign w:val="center"/>
            <w:hideMark/>
          </w:tcPr>
          <w:p w:rsidRPr="009C51F2" w:rsidR="004C6656" w:rsidP="00251D1A" w:rsidRDefault="00F50183" w14:paraId="2094B964" w14:textId="0BCBFA78">
            <w:pPr>
              <w:jc w:val="center"/>
              <w:rPr>
                <w:rFonts w:ascii="Times New Roman" w:hAnsi="Times New Roman" w:cs="Times New Roman"/>
                <w:b/>
                <w:bCs/>
                <w:color w:val="000000"/>
                <w:sz w:val="18"/>
                <w:szCs w:val="18"/>
              </w:rPr>
            </w:pPr>
            <w:r w:rsidRPr="009C51F2">
              <w:rPr>
                <w:rFonts w:ascii="Times New Roman" w:hAnsi="Times New Roman" w:cs="Times New Roman"/>
                <w:b/>
                <w:bCs/>
                <w:color w:val="000000"/>
                <w:sz w:val="18"/>
                <w:szCs w:val="18"/>
              </w:rPr>
              <w:t>128</w:t>
            </w:r>
          </w:p>
        </w:tc>
        <w:tc>
          <w:tcPr>
            <w:tcW w:w="1008" w:type="dxa"/>
            <w:tcBorders>
              <w:top w:val="nil"/>
              <w:left w:val="nil"/>
              <w:bottom w:val="single" w:color="auto" w:sz="4" w:space="0"/>
              <w:right w:val="single" w:color="auto" w:sz="8" w:space="0"/>
            </w:tcBorders>
            <w:shd w:val="clear" w:color="000000" w:fill="000000"/>
            <w:vAlign w:val="center"/>
            <w:hideMark/>
          </w:tcPr>
          <w:p w:rsidRPr="009C51F2" w:rsidR="004C6656" w:rsidP="00251D1A" w:rsidRDefault="004C6656" w14:paraId="0498FFA2" w14:textId="77777777">
            <w:pPr>
              <w:rPr>
                <w:rFonts w:ascii="Times New Roman" w:hAnsi="Times New Roman" w:eastAsia="Times New Roman" w:cs="Times New Roman"/>
                <w:sz w:val="18"/>
                <w:szCs w:val="18"/>
              </w:rPr>
            </w:pPr>
          </w:p>
        </w:tc>
        <w:tc>
          <w:tcPr>
            <w:tcW w:w="1123" w:type="dxa"/>
            <w:tcBorders>
              <w:top w:val="nil"/>
              <w:left w:val="nil"/>
              <w:bottom w:val="single" w:color="auto" w:sz="4" w:space="0"/>
              <w:right w:val="single" w:color="auto" w:sz="8" w:space="0"/>
            </w:tcBorders>
            <w:shd w:val="clear" w:color="000000" w:fill="FFFFFF"/>
            <w:vAlign w:val="center"/>
            <w:hideMark/>
          </w:tcPr>
          <w:p w:rsidRPr="009C51F2" w:rsidR="004C6656" w:rsidP="00251D1A" w:rsidRDefault="004C6656" w14:paraId="7C939635" w14:textId="2B54974A">
            <w:pPr>
              <w:jc w:val="center"/>
              <w:rPr>
                <w:rFonts w:ascii="Times New Roman" w:hAnsi="Times New Roman" w:cs="Times New Roman"/>
                <w:b/>
                <w:color w:val="000000"/>
                <w:sz w:val="18"/>
                <w:szCs w:val="18"/>
              </w:rPr>
            </w:pPr>
            <w:r w:rsidRPr="009C51F2">
              <w:rPr>
                <w:rFonts w:ascii="Times New Roman" w:hAnsi="Times New Roman" w:cs="Times New Roman"/>
                <w:b/>
                <w:color w:val="000000"/>
                <w:sz w:val="18"/>
                <w:szCs w:val="18"/>
              </w:rPr>
              <w:t>1</w:t>
            </w:r>
            <w:r w:rsidRPr="009C51F2" w:rsidR="00F50183">
              <w:rPr>
                <w:rFonts w:ascii="Times New Roman" w:hAnsi="Times New Roman" w:cs="Times New Roman"/>
                <w:b/>
                <w:color w:val="000000"/>
                <w:sz w:val="18"/>
                <w:szCs w:val="18"/>
              </w:rPr>
              <w:t>28</w:t>
            </w:r>
          </w:p>
        </w:tc>
        <w:tc>
          <w:tcPr>
            <w:tcW w:w="1028" w:type="dxa"/>
            <w:tcBorders>
              <w:top w:val="nil"/>
              <w:left w:val="nil"/>
              <w:bottom w:val="single" w:color="auto" w:sz="4" w:space="0"/>
              <w:right w:val="single" w:color="auto" w:sz="8" w:space="0"/>
            </w:tcBorders>
            <w:shd w:val="clear" w:color="000000" w:fill="000000"/>
            <w:vAlign w:val="center"/>
            <w:hideMark/>
          </w:tcPr>
          <w:p w:rsidRPr="009C51F2" w:rsidR="004C6656" w:rsidP="00251D1A" w:rsidRDefault="004C6656" w14:paraId="44F65D79" w14:textId="77777777">
            <w:pPr>
              <w:rPr>
                <w:rFonts w:ascii="Times New Roman" w:hAnsi="Times New Roman" w:eastAsia="Times New Roman" w:cs="Times New Roman"/>
                <w:sz w:val="18"/>
                <w:szCs w:val="18"/>
              </w:rPr>
            </w:pPr>
          </w:p>
        </w:tc>
        <w:tc>
          <w:tcPr>
            <w:tcW w:w="960" w:type="dxa"/>
            <w:tcBorders>
              <w:top w:val="nil"/>
              <w:left w:val="nil"/>
              <w:bottom w:val="single" w:color="auto" w:sz="4" w:space="0"/>
              <w:right w:val="single" w:color="auto" w:sz="8" w:space="0"/>
            </w:tcBorders>
            <w:shd w:val="clear" w:color="auto" w:fill="auto"/>
            <w:vAlign w:val="center"/>
            <w:hideMark/>
          </w:tcPr>
          <w:p w:rsidRPr="009C51F2" w:rsidR="004C6656" w:rsidP="00251D1A" w:rsidRDefault="004C6656" w14:paraId="3A6CCC4A" w14:textId="1D73D297">
            <w:pPr>
              <w:jc w:val="center"/>
              <w:rPr>
                <w:rFonts w:ascii="Times New Roman" w:hAnsi="Times New Roman" w:cs="Times New Roman"/>
                <w:b/>
                <w:bCs/>
                <w:color w:val="000000"/>
                <w:sz w:val="18"/>
                <w:szCs w:val="18"/>
              </w:rPr>
            </w:pPr>
            <w:r w:rsidRPr="009C51F2">
              <w:rPr>
                <w:rFonts w:ascii="Times New Roman" w:hAnsi="Times New Roman" w:cs="Times New Roman"/>
                <w:b/>
                <w:bCs/>
                <w:color w:val="000000"/>
                <w:sz w:val="18"/>
                <w:szCs w:val="18"/>
              </w:rPr>
              <w:t>8</w:t>
            </w:r>
            <w:r w:rsidRPr="009C51F2" w:rsidR="0077483A">
              <w:rPr>
                <w:rFonts w:ascii="Times New Roman" w:hAnsi="Times New Roman" w:cs="Times New Roman"/>
                <w:b/>
                <w:bCs/>
                <w:color w:val="000000"/>
                <w:sz w:val="18"/>
                <w:szCs w:val="18"/>
              </w:rPr>
              <w:t>8</w:t>
            </w:r>
            <w:r w:rsidRPr="009C51F2">
              <w:rPr>
                <w:rFonts w:ascii="Times New Roman" w:hAnsi="Times New Roman" w:cs="Times New Roman"/>
                <w:b/>
                <w:bCs/>
                <w:color w:val="000000"/>
                <w:sz w:val="18"/>
                <w:szCs w:val="18"/>
              </w:rPr>
              <w:t>,</w:t>
            </w:r>
            <w:r w:rsidRPr="009C51F2" w:rsidR="0077483A">
              <w:rPr>
                <w:rFonts w:ascii="Times New Roman" w:hAnsi="Times New Roman" w:cs="Times New Roman"/>
                <w:b/>
                <w:bCs/>
                <w:color w:val="000000"/>
                <w:sz w:val="18"/>
                <w:szCs w:val="18"/>
              </w:rPr>
              <w:t>779</w:t>
            </w:r>
          </w:p>
        </w:tc>
        <w:tc>
          <w:tcPr>
            <w:tcW w:w="782" w:type="dxa"/>
            <w:tcBorders>
              <w:top w:val="nil"/>
              <w:left w:val="nil"/>
              <w:bottom w:val="single" w:color="auto" w:sz="4" w:space="0"/>
              <w:right w:val="single" w:color="auto" w:sz="8" w:space="0"/>
            </w:tcBorders>
            <w:shd w:val="clear" w:color="000000" w:fill="000000"/>
            <w:vAlign w:val="center"/>
            <w:hideMark/>
          </w:tcPr>
          <w:p w:rsidRPr="009C51F2" w:rsidR="004C6656" w:rsidP="00251D1A" w:rsidRDefault="004C6656" w14:paraId="7AE60AD8" w14:textId="77777777">
            <w:pPr>
              <w:rPr>
                <w:rFonts w:ascii="Times New Roman" w:hAnsi="Times New Roman" w:eastAsia="Times New Roman" w:cs="Times New Roman"/>
                <w:sz w:val="18"/>
                <w:szCs w:val="18"/>
              </w:rPr>
            </w:pPr>
          </w:p>
        </w:tc>
        <w:tc>
          <w:tcPr>
            <w:tcW w:w="1440" w:type="dxa"/>
            <w:tcBorders>
              <w:top w:val="nil"/>
              <w:left w:val="nil"/>
              <w:bottom w:val="single" w:color="auto" w:sz="4" w:space="0"/>
              <w:right w:val="single" w:color="auto" w:sz="8" w:space="0"/>
            </w:tcBorders>
            <w:shd w:val="clear" w:color="auto" w:fill="auto"/>
            <w:vAlign w:val="center"/>
            <w:hideMark/>
          </w:tcPr>
          <w:p w:rsidRPr="009C51F2" w:rsidR="004C6656" w:rsidP="00B15B44" w:rsidRDefault="004C6656" w14:paraId="663B0A1C" w14:textId="1869F16A">
            <w:pPr>
              <w:jc w:val="right"/>
              <w:rPr>
                <w:rFonts w:ascii="Times New Roman" w:hAnsi="Times New Roman" w:cs="Times New Roman"/>
                <w:b/>
                <w:bCs/>
                <w:color w:val="000000"/>
                <w:sz w:val="18"/>
                <w:szCs w:val="18"/>
              </w:rPr>
            </w:pPr>
            <w:r w:rsidRPr="009C51F2">
              <w:rPr>
                <w:rFonts w:ascii="Times New Roman" w:hAnsi="Times New Roman" w:cs="Times New Roman"/>
                <w:b/>
                <w:bCs/>
                <w:color w:val="000000"/>
                <w:sz w:val="18"/>
                <w:szCs w:val="18"/>
              </w:rPr>
              <w:t>$</w:t>
            </w:r>
            <w:r w:rsidR="00A13FDE">
              <w:rPr>
                <w:rFonts w:ascii="Times New Roman" w:hAnsi="Times New Roman" w:cs="Times New Roman"/>
                <w:b/>
                <w:bCs/>
                <w:color w:val="000000"/>
                <w:sz w:val="18"/>
                <w:szCs w:val="18"/>
              </w:rPr>
              <w:t>4,914,805</w:t>
            </w:r>
          </w:p>
        </w:tc>
      </w:tr>
      <w:tr w:rsidRPr="00562915" w:rsidR="00755D32" w:rsidTr="00B15B44" w14:paraId="351160E3" w14:textId="77777777">
        <w:trPr>
          <w:trHeight w:val="295"/>
        </w:trPr>
        <w:tc>
          <w:tcPr>
            <w:tcW w:w="9820" w:type="dxa"/>
            <w:gridSpan w:val="10"/>
            <w:tcBorders>
              <w:top w:val="single" w:color="auto" w:sz="4" w:space="0"/>
              <w:left w:val="single" w:color="auto" w:sz="8" w:space="0"/>
              <w:bottom w:val="single" w:color="auto" w:sz="8" w:space="0"/>
              <w:right w:val="single" w:color="auto" w:sz="8" w:space="0"/>
            </w:tcBorders>
            <w:shd w:val="clear" w:color="auto" w:fill="auto"/>
            <w:vAlign w:val="center"/>
          </w:tcPr>
          <w:p w:rsidRPr="009C51F2" w:rsidR="00755D32" w:rsidP="00117907" w:rsidRDefault="00755D32" w14:paraId="6F94A881" w14:textId="70BA6701">
            <w:pPr>
              <w:tabs>
                <w:tab w:val="left" w:pos="-720"/>
              </w:tabs>
              <w:suppressAutoHyphens/>
              <w:spacing w:after="0" w:line="240" w:lineRule="auto"/>
              <w:rPr>
                <w:rFonts w:ascii="Times New Roman" w:hAnsi="Times New Roman" w:cs="Times New Roman"/>
                <w:b/>
                <w:bCs/>
                <w:color w:val="000000"/>
                <w:sz w:val="18"/>
                <w:szCs w:val="18"/>
              </w:rPr>
            </w:pPr>
            <w:r w:rsidRPr="00117907">
              <w:rPr>
                <w:rFonts w:ascii="Times New Roman" w:hAnsi="Times New Roman" w:cs="Times New Roman"/>
                <w:sz w:val="20"/>
                <w:szCs w:val="20"/>
              </w:rPr>
              <w:t>* Tribal governments are only required to complete one-third of the form so the burden for tribal governments is 290 hours (for both forms together for the portion they are required to complete) while the burden for all other respondents is 869 hours.</w:t>
            </w:r>
          </w:p>
        </w:tc>
      </w:tr>
    </w:tbl>
    <w:p w:rsidRPr="009B69D3" w:rsidR="00562915" w:rsidP="009C51F2" w:rsidRDefault="00562915" w14:paraId="347CF31C" w14:textId="180F0D1E">
      <w:pPr>
        <w:tabs>
          <w:tab w:val="left" w:pos="-720"/>
        </w:tabs>
        <w:suppressAutoHyphens/>
        <w:spacing w:after="0" w:line="240" w:lineRule="auto"/>
        <w:ind w:left="720"/>
        <w:rPr>
          <w:sz w:val="16"/>
          <w:szCs w:val="16"/>
        </w:rPr>
      </w:pPr>
    </w:p>
    <w:p w:rsidR="009054F5" w:rsidRDefault="009054F5" w14:paraId="388742FA" w14:textId="38796C98">
      <w:r>
        <w:br w:type="page"/>
      </w:r>
    </w:p>
    <w:p w:rsidRPr="00B80C21" w:rsidR="00B80C21" w:rsidP="009C51F2" w:rsidRDefault="00B80C21" w14:paraId="5C3584F6" w14:textId="7C1D3E23">
      <w:pPr>
        <w:tabs>
          <w:tab w:val="left" w:pos="-720"/>
        </w:tabs>
        <w:suppressAutoHyphens/>
        <w:rPr>
          <w:rFonts w:ascii="Times New Roman" w:hAnsi="Times New Roman"/>
          <w:sz w:val="24"/>
          <w:szCs w:val="24"/>
        </w:rPr>
      </w:pPr>
      <w:r w:rsidRPr="00AD6EF4">
        <w:rPr>
          <w:rFonts w:ascii="Times New Roman" w:hAnsi="Times New Roman"/>
          <w:b/>
          <w:sz w:val="24"/>
          <w:szCs w:val="24"/>
        </w:rPr>
        <w:lastRenderedPageBreak/>
        <w:t>Instruction for Wage-rate category multiplier:  Take each non-loaded “Avg. Hourly Wage Rate” from the BLS website table and multiply that number by 1.4</w:t>
      </w:r>
      <w:r>
        <w:rPr>
          <w:rFonts w:ascii="Times New Roman" w:hAnsi="Times New Roman"/>
          <w:b/>
          <w:sz w:val="24"/>
          <w:szCs w:val="24"/>
        </w:rPr>
        <w:t>5</w:t>
      </w:r>
      <w:r w:rsidRPr="00AD6EF4">
        <w:rPr>
          <w:rFonts w:ascii="Times New Roman" w:hAnsi="Times New Roman"/>
          <w:b/>
          <w:sz w:val="24"/>
          <w:szCs w:val="24"/>
        </w:rPr>
        <w:t>.</w:t>
      </w:r>
      <w:r w:rsidRPr="00015220">
        <w:rPr>
          <w:rStyle w:val="FootnoteReference"/>
          <w:rFonts w:ascii="Times New Roman" w:hAnsi="Times New Roman"/>
          <w:b/>
          <w:sz w:val="24"/>
          <w:szCs w:val="24"/>
        </w:rPr>
        <w:t xml:space="preserve"> </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xml:space="preserve">  For example, a non-loaded BLS table wage rate of $42.51 would be multiplied by 1.4</w:t>
      </w:r>
      <w:r>
        <w:rPr>
          <w:rFonts w:ascii="Times New Roman" w:hAnsi="Times New Roman"/>
          <w:b/>
          <w:sz w:val="24"/>
          <w:szCs w:val="24"/>
        </w:rPr>
        <w:t>5</w:t>
      </w:r>
      <w:r w:rsidRPr="00AD6EF4">
        <w:rPr>
          <w:rFonts w:ascii="Times New Roman" w:hAnsi="Times New Roman"/>
          <w:b/>
          <w:sz w:val="24"/>
          <w:szCs w:val="24"/>
        </w:rPr>
        <w:t>, and the entry for the “Avg. Hourly Wage Rate” would be $6</w:t>
      </w:r>
      <w:r>
        <w:rPr>
          <w:rFonts w:ascii="Times New Roman" w:hAnsi="Times New Roman"/>
          <w:b/>
          <w:sz w:val="24"/>
          <w:szCs w:val="24"/>
        </w:rPr>
        <w:t>1.64</w:t>
      </w:r>
      <w:r w:rsidRPr="00AD6EF4">
        <w:rPr>
          <w:rFonts w:ascii="Times New Roman" w:hAnsi="Times New Roman"/>
          <w:b/>
          <w:sz w:val="24"/>
          <w:szCs w:val="24"/>
        </w:rPr>
        <w:t>.</w:t>
      </w:r>
    </w:p>
    <w:p w:rsidRPr="00755D32" w:rsidR="00B80C21" w:rsidP="004C6656" w:rsidRDefault="00B80C21" w14:paraId="45EB9234" w14:textId="77777777">
      <w:pPr>
        <w:tabs>
          <w:tab w:val="left" w:pos="-720"/>
        </w:tabs>
        <w:suppressAutoHyphens/>
        <w:spacing w:after="0" w:line="240" w:lineRule="auto"/>
        <w:rPr>
          <w:rFonts w:ascii="Times New Roman" w:hAnsi="Times New Roman" w:cs="Times New Roman"/>
          <w:sz w:val="24"/>
          <w:szCs w:val="24"/>
        </w:rPr>
      </w:pPr>
    </w:p>
    <w:p w:rsidRPr="007850BC" w:rsidR="00B80C21" w:rsidP="042B5486" w:rsidRDefault="79888FF0" w14:paraId="111BD1F6" w14:textId="20982CED">
      <w:pPr>
        <w:suppressAutoHyphens/>
        <w:rPr>
          <w:rFonts w:ascii="Times New Roman" w:hAnsi="Times New Roman" w:cs="Times New Roman"/>
          <w:sz w:val="24"/>
          <w:szCs w:val="24"/>
        </w:rPr>
      </w:pPr>
      <w:r w:rsidRPr="00117907">
        <w:rPr>
          <w:rFonts w:ascii="Times New Roman" w:hAnsi="Times New Roman" w:cs="Times New Roman"/>
          <w:sz w:val="24"/>
          <w:szCs w:val="24"/>
        </w:rPr>
        <w:t>According to the U.S. Department of Labor, Bureau of Labor Statistics</w:t>
      </w:r>
      <w:r w:rsidRPr="00117907" w:rsidR="00B80C21">
        <w:rPr>
          <w:rStyle w:val="FootnoteReference"/>
          <w:rFonts w:ascii="Times New Roman" w:hAnsi="Times New Roman" w:cs="Times New Roman"/>
          <w:sz w:val="24"/>
          <w:szCs w:val="24"/>
        </w:rPr>
        <w:footnoteReference w:id="3"/>
      </w:r>
      <w:r w:rsidRPr="00117907">
        <w:rPr>
          <w:rFonts w:ascii="Times New Roman" w:hAnsi="Times New Roman" w:cs="Times New Roman"/>
          <w:sz w:val="24"/>
          <w:szCs w:val="24"/>
        </w:rPr>
        <w:t xml:space="preserve">, the May 2020 Occupational Employment and Wage Estimates wage rate for </w:t>
      </w:r>
      <w:r w:rsidRPr="007850BC">
        <w:rPr>
          <w:rFonts w:ascii="Times New Roman" w:hAnsi="Times New Roman" w:cs="Times New Roman"/>
          <w:sz w:val="24"/>
          <w:szCs w:val="24"/>
        </w:rPr>
        <w:t xml:space="preserve">Urban and Regional Planners </w:t>
      </w:r>
      <w:r w:rsidRPr="007850BC">
        <w:rPr>
          <w:rFonts w:ascii="Times New Roman" w:hAnsi="Times New Roman" w:cs="Times New Roman"/>
          <w:sz w:val="24"/>
          <w:szCs w:val="24"/>
          <w:shd w:val="clear" w:color="auto" w:fill="FFFFFF"/>
        </w:rPr>
        <w:t xml:space="preserve">19-3051 </w:t>
      </w:r>
      <w:r w:rsidRPr="007850BC">
        <w:rPr>
          <w:rFonts w:ascii="Times New Roman" w:hAnsi="Times New Roman" w:cs="Times New Roman"/>
          <w:sz w:val="24"/>
          <w:szCs w:val="24"/>
        </w:rPr>
        <w:t xml:space="preserve">is </w:t>
      </w:r>
      <w:r w:rsidRPr="007850BC" w:rsidR="546D9A3B">
        <w:rPr>
          <w:rFonts w:ascii="Times New Roman" w:hAnsi="Times New Roman" w:cs="Times New Roman"/>
          <w:sz w:val="24"/>
          <w:szCs w:val="24"/>
        </w:rPr>
        <w:t>$</w:t>
      </w:r>
      <w:r w:rsidRPr="007850BC" w:rsidR="684BCCB0">
        <w:rPr>
          <w:rFonts w:ascii="Times New Roman" w:hAnsi="Times New Roman" w:cs="Times New Roman"/>
          <w:sz w:val="24"/>
          <w:szCs w:val="24"/>
        </w:rPr>
        <w:t>38.18</w:t>
      </w:r>
      <w:r w:rsidRPr="007850BC">
        <w:rPr>
          <w:rFonts w:ascii="Times New Roman" w:hAnsi="Times New Roman" w:cs="Times New Roman"/>
          <w:sz w:val="24"/>
          <w:szCs w:val="24"/>
        </w:rPr>
        <w:t>.  Including the wage rate multiplier of 1.45, the fully-loaded wage rate is $</w:t>
      </w:r>
      <w:r w:rsidRPr="007850BC" w:rsidR="005D52C3">
        <w:rPr>
          <w:rFonts w:ascii="Times New Roman" w:hAnsi="Times New Roman" w:cs="Times New Roman"/>
          <w:sz w:val="24"/>
          <w:szCs w:val="24"/>
        </w:rPr>
        <w:t>55.36</w:t>
      </w:r>
      <w:r w:rsidRPr="007850BC">
        <w:rPr>
          <w:rFonts w:ascii="Times New Roman" w:hAnsi="Times New Roman" w:cs="Times New Roman"/>
          <w:sz w:val="24"/>
          <w:szCs w:val="24"/>
        </w:rPr>
        <w:t xml:space="preserve"> per hour.  Therefore, the annual burden hour cost is estimated to be </w:t>
      </w:r>
      <w:r w:rsidRPr="007850BC" w:rsidR="546D9A3B">
        <w:rPr>
          <w:rFonts w:ascii="Times New Roman" w:hAnsi="Times New Roman" w:cs="Times New Roman"/>
          <w:sz w:val="24"/>
          <w:szCs w:val="24"/>
        </w:rPr>
        <w:t>$4,</w:t>
      </w:r>
      <w:r w:rsidRPr="007850BC" w:rsidR="00492F47">
        <w:rPr>
          <w:rFonts w:ascii="Times New Roman" w:hAnsi="Times New Roman" w:cs="Times New Roman"/>
          <w:sz w:val="24"/>
          <w:szCs w:val="24"/>
        </w:rPr>
        <w:t>914</w:t>
      </w:r>
      <w:r w:rsidRPr="007850BC" w:rsidR="546D9A3B">
        <w:rPr>
          <w:rFonts w:ascii="Times New Roman" w:hAnsi="Times New Roman" w:cs="Times New Roman"/>
          <w:sz w:val="24"/>
          <w:szCs w:val="24"/>
        </w:rPr>
        <w:t>,</w:t>
      </w:r>
      <w:r w:rsidRPr="007850BC" w:rsidR="00492F47">
        <w:rPr>
          <w:rFonts w:ascii="Times New Roman" w:hAnsi="Times New Roman" w:cs="Times New Roman"/>
          <w:sz w:val="24"/>
          <w:szCs w:val="24"/>
        </w:rPr>
        <w:t xml:space="preserve">805 </w:t>
      </w:r>
      <w:r w:rsidRPr="007850BC">
        <w:rPr>
          <w:rFonts w:ascii="Times New Roman" w:hAnsi="Times New Roman" w:cs="Times New Roman"/>
          <w:sz w:val="24"/>
          <w:szCs w:val="24"/>
        </w:rPr>
        <w:t>annually ($</w:t>
      </w:r>
      <w:r w:rsidRPr="007850BC" w:rsidR="00D16695">
        <w:rPr>
          <w:rFonts w:ascii="Times New Roman" w:hAnsi="Times New Roman" w:cs="Times New Roman"/>
          <w:sz w:val="24"/>
          <w:szCs w:val="24"/>
        </w:rPr>
        <w:t>55.36</w:t>
      </w:r>
      <w:r w:rsidRPr="007850BC">
        <w:rPr>
          <w:rFonts w:ascii="Times New Roman" w:hAnsi="Times New Roman" w:cs="Times New Roman"/>
          <w:sz w:val="24"/>
          <w:szCs w:val="24"/>
        </w:rPr>
        <w:t xml:space="preserve"> x </w:t>
      </w:r>
      <w:r w:rsidRPr="007850BC" w:rsidR="140274DD">
        <w:rPr>
          <w:rFonts w:ascii="Times New Roman" w:hAnsi="Times New Roman" w:cs="Times New Roman"/>
          <w:sz w:val="24"/>
          <w:szCs w:val="24"/>
        </w:rPr>
        <w:t>88,779</w:t>
      </w:r>
      <w:r w:rsidRPr="007850BC">
        <w:rPr>
          <w:rFonts w:ascii="Times New Roman" w:hAnsi="Times New Roman" w:cs="Times New Roman"/>
          <w:sz w:val="24"/>
          <w:szCs w:val="24"/>
        </w:rPr>
        <w:t xml:space="preserve"> hours = $</w:t>
      </w:r>
      <w:r w:rsidRPr="007850BC" w:rsidR="140274DD">
        <w:rPr>
          <w:rFonts w:ascii="Times New Roman" w:hAnsi="Times New Roman" w:cs="Times New Roman"/>
          <w:sz w:val="24"/>
          <w:szCs w:val="24"/>
        </w:rPr>
        <w:t>4,</w:t>
      </w:r>
      <w:r w:rsidRPr="007850BC" w:rsidR="009241B4">
        <w:rPr>
          <w:rFonts w:ascii="Times New Roman" w:hAnsi="Times New Roman" w:cs="Times New Roman"/>
          <w:sz w:val="24"/>
          <w:szCs w:val="24"/>
        </w:rPr>
        <w:t>914</w:t>
      </w:r>
      <w:r w:rsidRPr="007850BC" w:rsidR="140274DD">
        <w:rPr>
          <w:rFonts w:ascii="Times New Roman" w:hAnsi="Times New Roman" w:cs="Times New Roman"/>
          <w:sz w:val="24"/>
          <w:szCs w:val="24"/>
        </w:rPr>
        <w:t>,</w:t>
      </w:r>
      <w:r w:rsidRPr="007850BC" w:rsidR="009241B4">
        <w:rPr>
          <w:rFonts w:ascii="Times New Roman" w:hAnsi="Times New Roman" w:cs="Times New Roman"/>
          <w:sz w:val="24"/>
          <w:szCs w:val="24"/>
        </w:rPr>
        <w:t>8</w:t>
      </w:r>
      <w:r w:rsidRPr="007850BC" w:rsidR="00F00E8C">
        <w:rPr>
          <w:rFonts w:ascii="Times New Roman" w:hAnsi="Times New Roman" w:cs="Times New Roman"/>
          <w:sz w:val="24"/>
          <w:szCs w:val="24"/>
        </w:rPr>
        <w:t>05</w:t>
      </w:r>
      <w:r w:rsidRPr="007850BC">
        <w:rPr>
          <w:rFonts w:ascii="Times New Roman" w:hAnsi="Times New Roman" w:cs="Times New Roman"/>
          <w:sz w:val="24"/>
          <w:szCs w:val="24"/>
        </w:rPr>
        <w:t>).</w:t>
      </w:r>
    </w:p>
    <w:p w:rsidRPr="00755D32" w:rsidR="00562915" w:rsidP="00562915" w:rsidRDefault="00562915" w14:paraId="6FBE6CA0" w14:textId="1C6197F9">
      <w:pPr>
        <w:tabs>
          <w:tab w:val="left" w:pos="-720"/>
        </w:tabs>
        <w:suppressAutoHyphens/>
        <w:rPr>
          <w:rFonts w:ascii="Times New Roman" w:hAnsi="Times New Roman" w:cs="Times New Roman"/>
          <w:sz w:val="24"/>
          <w:szCs w:val="24"/>
        </w:rPr>
      </w:pPr>
    </w:p>
    <w:p w:rsidRPr="006625E7" w:rsidR="00562915" w:rsidP="00562915" w:rsidRDefault="00562915" w14:paraId="775A2744"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12845" w:rsidR="00562915" w:rsidP="00562915" w:rsidRDefault="00562915" w14:paraId="58A14055"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t xml:space="preserve">The cost estimates should be split </w:t>
      </w:r>
      <w:r w:rsidRPr="00612845">
        <w:rPr>
          <w:rFonts w:ascii="Times New Roman" w:hAnsi="Times New Roman" w:cs="Times New Roman"/>
          <w:b/>
          <w:bCs/>
          <w:color w:val="000000" w:themeColor="text1"/>
          <w:sz w:val="24"/>
          <w:szCs w:val="24"/>
        </w:rPr>
        <w:t>into two components:</w:t>
      </w:r>
    </w:p>
    <w:p w:rsidRPr="00612845" w:rsidR="00562915" w:rsidP="00562915" w:rsidRDefault="00562915" w14:paraId="3D2DD49F" w14:textId="77777777">
      <w:pPr>
        <w:rPr>
          <w:rFonts w:ascii="Times New Roman" w:hAnsi="Times New Roman" w:cs="Times New Roman"/>
          <w:b/>
          <w:bCs/>
          <w:color w:val="000000" w:themeColor="text1"/>
          <w:sz w:val="24"/>
          <w:szCs w:val="24"/>
        </w:rPr>
      </w:pPr>
      <w:r w:rsidRPr="00612845">
        <w:rPr>
          <w:rFonts w:ascii="Times New Roman" w:hAnsi="Times New Roman" w:cs="Times New Roman"/>
          <w:b/>
          <w:bCs/>
          <w:color w:val="000000" w:themeColor="text1"/>
          <w:sz w:val="24"/>
          <w:szCs w:val="24"/>
        </w:rPr>
        <w:tab/>
        <w:t xml:space="preserve">a.  Operation and Maintenance and purchase of services component.  These </w:t>
      </w:r>
      <w:r w:rsidRPr="00612845">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12845" w:rsidR="00562915" w:rsidP="00562915" w:rsidRDefault="00562915" w14:paraId="2242A624" w14:textId="01278CD6">
      <w:pPr>
        <w:rPr>
          <w:rFonts w:ascii="Times New Roman" w:hAnsi="Times New Roman" w:cs="Times New Roman"/>
          <w:b/>
          <w:bCs/>
          <w:color w:val="000000" w:themeColor="text1"/>
          <w:sz w:val="24"/>
          <w:szCs w:val="24"/>
        </w:rPr>
      </w:pPr>
      <w:r w:rsidRPr="00612845">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612845" w:rsidR="00BB543D">
        <w:rPr>
          <w:rFonts w:ascii="Times New Roman" w:hAnsi="Times New Roman" w:cs="Times New Roman"/>
          <w:b/>
          <w:bCs/>
          <w:color w:val="000000" w:themeColor="text1"/>
          <w:sz w:val="24"/>
          <w:szCs w:val="24"/>
        </w:rPr>
        <w:t xml:space="preserve"> </w:t>
      </w:r>
      <w:r w:rsidRPr="00612845">
        <w:rPr>
          <w:rFonts w:ascii="Times New Roman" w:hAnsi="Times New Roman" w:cs="Times New Roman"/>
          <w:b/>
          <w:bCs/>
          <w:color w:val="000000" w:themeColor="text1"/>
          <w:sz w:val="24"/>
          <w:szCs w:val="24"/>
        </w:rPr>
        <w:t xml:space="preserve">software, monitoring sampling, drilling and testing equipment, and record storage facilities.  </w:t>
      </w:r>
    </w:p>
    <w:p w:rsidR="004C6656" w:rsidP="004C6656" w:rsidRDefault="004C6656" w14:paraId="2E6FCDF9" w14:textId="77777777">
      <w:pPr>
        <w:spacing w:after="0" w:line="240" w:lineRule="auto"/>
        <w:rPr>
          <w:rFonts w:ascii="Times New Roman" w:hAnsi="Times New Roman" w:cs="Times New Roman"/>
          <w:bCs/>
          <w:sz w:val="24"/>
          <w:szCs w:val="24"/>
        </w:rPr>
      </w:pPr>
      <w:r w:rsidRPr="00612845">
        <w:rPr>
          <w:rFonts w:ascii="Times New Roman" w:hAnsi="Times New Roman" w:cs="Times New Roman"/>
          <w:bCs/>
          <w:color w:val="000000" w:themeColor="text1"/>
          <w:sz w:val="24"/>
          <w:szCs w:val="24"/>
        </w:rPr>
        <w:t xml:space="preserve">There are no capital and start-up costs associated with this information </w:t>
      </w:r>
      <w:r>
        <w:rPr>
          <w:rFonts w:ascii="Times New Roman" w:hAnsi="Times New Roman" w:cs="Times New Roman"/>
          <w:bCs/>
          <w:sz w:val="24"/>
          <w:szCs w:val="24"/>
        </w:rPr>
        <w:t xml:space="preserve">collection.  To determine operation and maintenance costs, FEMA calculated for the THIRA/SPR and information collection for all jurisdiction types.  FEMA summed the costs associated </w:t>
      </w:r>
      <w:r>
        <w:rPr>
          <w:rFonts w:ascii="Times New Roman" w:hAnsi="Times New Roman" w:cs="Times New Roman"/>
          <w:bCs/>
          <w:sz w:val="24"/>
          <w:szCs w:val="24"/>
        </w:rPr>
        <w:lastRenderedPageBreak/>
        <w:t>with the THIRA and SPR to calculate the total costs.  Participation in after action calls is included with each estimate.</w:t>
      </w:r>
    </w:p>
    <w:p w:rsidR="004C6656" w:rsidP="004C6656" w:rsidRDefault="004C6656" w14:paraId="123DA70C" w14:textId="77777777">
      <w:pPr>
        <w:spacing w:after="0" w:line="240" w:lineRule="auto"/>
        <w:rPr>
          <w:rFonts w:ascii="Times New Roman" w:hAnsi="Times New Roman" w:cs="Times New Roman"/>
          <w:bCs/>
          <w:sz w:val="24"/>
          <w:szCs w:val="24"/>
        </w:rPr>
      </w:pPr>
    </w:p>
    <w:tbl>
      <w:tblPr>
        <w:tblStyle w:val="TableGrid"/>
        <w:tblW w:w="10526" w:type="dxa"/>
        <w:tblInd w:w="-545" w:type="dxa"/>
        <w:tblLook w:val="04A0" w:firstRow="1" w:lastRow="0" w:firstColumn="1" w:lastColumn="0" w:noHBand="0" w:noVBand="1"/>
      </w:tblPr>
      <w:tblGrid>
        <w:gridCol w:w="2043"/>
        <w:gridCol w:w="1230"/>
        <w:gridCol w:w="1892"/>
        <w:gridCol w:w="2322"/>
        <w:gridCol w:w="1873"/>
        <w:gridCol w:w="1166"/>
      </w:tblGrid>
      <w:tr w:rsidRPr="00C36DE8" w:rsidR="00C36DE8" w:rsidTr="00F577D7" w14:paraId="73334741" w14:textId="77777777">
        <w:trPr>
          <w:trHeight w:val="288"/>
        </w:trPr>
        <w:tc>
          <w:tcPr>
            <w:tcW w:w="10526" w:type="dxa"/>
            <w:gridSpan w:val="6"/>
            <w:noWrap/>
            <w:vAlign w:val="center"/>
            <w:hideMark/>
          </w:tcPr>
          <w:p w:rsidRPr="00B15B44" w:rsidR="00C36DE8" w:rsidP="00F577D7" w:rsidRDefault="00C36DE8" w14:paraId="655E7173" w14:textId="77777777">
            <w:pPr>
              <w:jc w:val="center"/>
              <w:rPr>
                <w:rFonts w:ascii="Times New Roman" w:hAnsi="Times New Roman" w:cs="Times New Roman"/>
                <w:b/>
                <w:bCs/>
                <w:sz w:val="20"/>
                <w:szCs w:val="20"/>
              </w:rPr>
            </w:pPr>
            <w:r w:rsidRPr="00B15B44">
              <w:rPr>
                <w:rFonts w:ascii="Times New Roman" w:hAnsi="Times New Roman" w:cs="Times New Roman"/>
                <w:b/>
                <w:bCs/>
                <w:sz w:val="20"/>
                <w:szCs w:val="20"/>
              </w:rPr>
              <w:t>Annual Cost Burden to Respondents or Record Keepers</w:t>
            </w:r>
          </w:p>
        </w:tc>
      </w:tr>
      <w:tr w:rsidRPr="00C36DE8" w:rsidR="00C36DE8" w:rsidTr="00B15B44" w14:paraId="5B2858AB" w14:textId="77777777">
        <w:trPr>
          <w:trHeight w:val="1152"/>
        </w:trPr>
        <w:tc>
          <w:tcPr>
            <w:tcW w:w="2043" w:type="dxa"/>
            <w:shd w:val="clear" w:color="auto" w:fill="95B3D7" w:themeFill="accent1" w:themeFillTint="99"/>
            <w:hideMark/>
          </w:tcPr>
          <w:p w:rsidRPr="00B15B44" w:rsidR="00C36DE8" w:rsidP="00C36DE8" w:rsidRDefault="00C36DE8" w14:paraId="114179D5" w14:textId="7EE94C69">
            <w:pPr>
              <w:rPr>
                <w:rFonts w:ascii="Times New Roman" w:hAnsi="Times New Roman" w:cs="Times New Roman"/>
                <w:sz w:val="20"/>
                <w:szCs w:val="20"/>
              </w:rPr>
            </w:pPr>
            <w:r w:rsidRPr="00B15B44">
              <w:rPr>
                <w:rFonts w:ascii="Times New Roman" w:hAnsi="Times New Roman" w:cs="Times New Roman"/>
                <w:sz w:val="20"/>
                <w:szCs w:val="20"/>
              </w:rPr>
              <w:t xml:space="preserve">Data Collection </w:t>
            </w:r>
            <w:r w:rsidRPr="00B15B44" w:rsidR="004F44A2">
              <w:rPr>
                <w:rFonts w:ascii="Times New Roman" w:hAnsi="Times New Roman" w:cs="Times New Roman"/>
                <w:sz w:val="20"/>
                <w:szCs w:val="20"/>
              </w:rPr>
              <w:t>Activity</w:t>
            </w:r>
            <w:r w:rsidRPr="00B15B44">
              <w:rPr>
                <w:rFonts w:ascii="Times New Roman" w:hAnsi="Times New Roman" w:cs="Times New Roman"/>
                <w:sz w:val="20"/>
                <w:szCs w:val="20"/>
              </w:rPr>
              <w:t>/Instrument</w:t>
            </w:r>
          </w:p>
        </w:tc>
        <w:tc>
          <w:tcPr>
            <w:tcW w:w="1230" w:type="dxa"/>
            <w:shd w:val="clear" w:color="auto" w:fill="95B3D7" w:themeFill="accent1" w:themeFillTint="99"/>
            <w:hideMark/>
          </w:tcPr>
          <w:p w:rsidRPr="00B15B44" w:rsidR="00C36DE8" w:rsidP="00C36DE8" w:rsidRDefault="00C36DE8" w14:paraId="17EBA58A" w14:textId="77777777">
            <w:pPr>
              <w:rPr>
                <w:rFonts w:ascii="Times New Roman" w:hAnsi="Times New Roman" w:cs="Times New Roman"/>
                <w:sz w:val="20"/>
                <w:szCs w:val="20"/>
              </w:rPr>
            </w:pPr>
            <w:r w:rsidRPr="00B15B44">
              <w:rPr>
                <w:rFonts w:ascii="Times New Roman" w:hAnsi="Times New Roman" w:cs="Times New Roman"/>
                <w:sz w:val="20"/>
                <w:szCs w:val="20"/>
              </w:rPr>
              <w:t>Number of Responses</w:t>
            </w:r>
          </w:p>
        </w:tc>
        <w:tc>
          <w:tcPr>
            <w:tcW w:w="1892" w:type="dxa"/>
            <w:shd w:val="clear" w:color="auto" w:fill="95B3D7" w:themeFill="accent1" w:themeFillTint="99"/>
            <w:hideMark/>
          </w:tcPr>
          <w:p w:rsidRPr="00B15B44" w:rsidR="00C36DE8" w:rsidP="00C36DE8" w:rsidRDefault="00C36DE8" w14:paraId="463A6BB6" w14:textId="77777777">
            <w:pPr>
              <w:rPr>
                <w:rFonts w:ascii="Times New Roman" w:hAnsi="Times New Roman" w:cs="Times New Roman"/>
                <w:sz w:val="20"/>
                <w:szCs w:val="20"/>
              </w:rPr>
            </w:pPr>
            <w:r w:rsidRPr="00B15B44">
              <w:rPr>
                <w:rFonts w:ascii="Times New Roman" w:hAnsi="Times New Roman" w:cs="Times New Roman"/>
                <w:sz w:val="20"/>
                <w:szCs w:val="20"/>
              </w:rPr>
              <w:t>*Annual Capital Start-Up Cost (investment in overhead equipment, and other one-time expenditures)</w:t>
            </w:r>
          </w:p>
        </w:tc>
        <w:tc>
          <w:tcPr>
            <w:tcW w:w="2322" w:type="dxa"/>
            <w:shd w:val="clear" w:color="auto" w:fill="95B3D7" w:themeFill="accent1" w:themeFillTint="99"/>
            <w:hideMark/>
          </w:tcPr>
          <w:p w:rsidRPr="00B15B44" w:rsidR="00C36DE8" w:rsidP="00C36DE8" w:rsidRDefault="00C36DE8" w14:paraId="4A42F105" w14:textId="77777777">
            <w:pPr>
              <w:rPr>
                <w:rFonts w:ascii="Times New Roman" w:hAnsi="Times New Roman" w:cs="Times New Roman"/>
                <w:sz w:val="20"/>
                <w:szCs w:val="20"/>
              </w:rPr>
            </w:pPr>
            <w:r w:rsidRPr="00B15B44">
              <w:rPr>
                <w:rFonts w:ascii="Times New Roman" w:hAnsi="Times New Roman" w:cs="Times New Roman"/>
                <w:sz w:val="20"/>
                <w:szCs w:val="20"/>
              </w:rPr>
              <w:t>*Annual Operations and Maintenance Cost (such as recordkeeping, technical/professional services, etc.)</w:t>
            </w:r>
          </w:p>
        </w:tc>
        <w:tc>
          <w:tcPr>
            <w:tcW w:w="1873" w:type="dxa"/>
            <w:shd w:val="clear" w:color="auto" w:fill="95B3D7" w:themeFill="accent1" w:themeFillTint="99"/>
            <w:hideMark/>
          </w:tcPr>
          <w:p w:rsidRPr="00B15B44" w:rsidR="00C36DE8" w:rsidP="00C36DE8" w:rsidRDefault="00C36DE8" w14:paraId="052526BC" w14:textId="55A02647">
            <w:pPr>
              <w:rPr>
                <w:rFonts w:ascii="Times New Roman" w:hAnsi="Times New Roman" w:cs="Times New Roman"/>
                <w:sz w:val="20"/>
                <w:szCs w:val="20"/>
              </w:rPr>
            </w:pPr>
            <w:r w:rsidRPr="00B15B44">
              <w:rPr>
                <w:rFonts w:ascii="Times New Roman" w:hAnsi="Times New Roman" w:cs="Times New Roman"/>
                <w:sz w:val="20"/>
                <w:szCs w:val="20"/>
              </w:rPr>
              <w:t xml:space="preserve">Annual Non-Labor Cost (expenditures on training, travel, and other </w:t>
            </w:r>
            <w:r w:rsidRPr="00B15B44" w:rsidR="00F577D7">
              <w:rPr>
                <w:rFonts w:ascii="Times New Roman" w:hAnsi="Times New Roman" w:cs="Times New Roman"/>
                <w:sz w:val="20"/>
                <w:szCs w:val="20"/>
              </w:rPr>
              <w:t>resources</w:t>
            </w:r>
            <w:r w:rsidRPr="00B15B44">
              <w:rPr>
                <w:rFonts w:ascii="Times New Roman" w:hAnsi="Times New Roman" w:cs="Times New Roman"/>
                <w:sz w:val="20"/>
                <w:szCs w:val="20"/>
              </w:rPr>
              <w:t>)</w:t>
            </w:r>
          </w:p>
        </w:tc>
        <w:tc>
          <w:tcPr>
            <w:tcW w:w="1166" w:type="dxa"/>
            <w:shd w:val="clear" w:color="auto" w:fill="95B3D7" w:themeFill="accent1" w:themeFillTint="99"/>
            <w:noWrap/>
            <w:hideMark/>
          </w:tcPr>
          <w:p w:rsidRPr="00B15B44" w:rsidR="00C36DE8" w:rsidP="00C36DE8" w:rsidRDefault="00C36DE8" w14:paraId="7D4BAC92" w14:textId="77777777">
            <w:pPr>
              <w:rPr>
                <w:rFonts w:ascii="Times New Roman" w:hAnsi="Times New Roman" w:cs="Times New Roman"/>
                <w:b/>
                <w:bCs/>
                <w:sz w:val="20"/>
                <w:szCs w:val="20"/>
              </w:rPr>
            </w:pPr>
            <w:r w:rsidRPr="00B15B44">
              <w:rPr>
                <w:rFonts w:ascii="Times New Roman" w:hAnsi="Times New Roman" w:cs="Times New Roman"/>
                <w:b/>
                <w:bCs/>
                <w:sz w:val="20"/>
                <w:szCs w:val="20"/>
              </w:rPr>
              <w:t>Total</w:t>
            </w:r>
          </w:p>
        </w:tc>
      </w:tr>
      <w:tr w:rsidRPr="00C36DE8" w:rsidR="00C36DE8" w:rsidTr="004F44A2" w14:paraId="6973417D" w14:textId="77777777">
        <w:trPr>
          <w:trHeight w:val="864"/>
        </w:trPr>
        <w:tc>
          <w:tcPr>
            <w:tcW w:w="2043" w:type="dxa"/>
            <w:hideMark/>
          </w:tcPr>
          <w:p w:rsidRPr="00B15B44" w:rsidR="00C36DE8" w:rsidP="00C36DE8" w:rsidRDefault="00C36DE8" w14:paraId="35DE8D3C" w14:textId="77777777">
            <w:pPr>
              <w:rPr>
                <w:rFonts w:ascii="Times New Roman" w:hAnsi="Times New Roman" w:cs="Times New Roman"/>
                <w:sz w:val="20"/>
                <w:szCs w:val="20"/>
              </w:rPr>
            </w:pPr>
            <w:r w:rsidRPr="00B15B44">
              <w:rPr>
                <w:rFonts w:ascii="Times New Roman" w:hAnsi="Times New Roman" w:cs="Times New Roman"/>
                <w:sz w:val="20"/>
                <w:szCs w:val="20"/>
              </w:rPr>
              <w:t>THIRA/SPR (states, territories, urban areas</w:t>
            </w:r>
          </w:p>
        </w:tc>
        <w:tc>
          <w:tcPr>
            <w:tcW w:w="1230" w:type="dxa"/>
            <w:noWrap/>
            <w:hideMark/>
          </w:tcPr>
          <w:p w:rsidRPr="00B15B44" w:rsidR="00C36DE8" w:rsidP="004311AE" w:rsidRDefault="00C36DE8" w14:paraId="35DD0CF7" w14:textId="77777777">
            <w:pPr>
              <w:jc w:val="center"/>
              <w:rPr>
                <w:rFonts w:ascii="Times New Roman" w:hAnsi="Times New Roman" w:cs="Times New Roman"/>
                <w:sz w:val="20"/>
                <w:szCs w:val="20"/>
              </w:rPr>
            </w:pPr>
            <w:r w:rsidRPr="00B15B44">
              <w:rPr>
                <w:rFonts w:ascii="Times New Roman" w:hAnsi="Times New Roman" w:cs="Times New Roman"/>
                <w:sz w:val="20"/>
                <w:szCs w:val="20"/>
              </w:rPr>
              <w:t>89</w:t>
            </w:r>
          </w:p>
        </w:tc>
        <w:tc>
          <w:tcPr>
            <w:tcW w:w="1892" w:type="dxa"/>
            <w:noWrap/>
            <w:hideMark/>
          </w:tcPr>
          <w:p w:rsidRPr="00B15B44" w:rsidR="00C36DE8" w:rsidP="004311AE" w:rsidRDefault="00C36DE8" w14:paraId="7C473538" w14:textId="77777777">
            <w:pPr>
              <w:jc w:val="center"/>
              <w:rPr>
                <w:rFonts w:ascii="Times New Roman" w:hAnsi="Times New Roman" w:cs="Times New Roman"/>
                <w:sz w:val="20"/>
                <w:szCs w:val="20"/>
              </w:rPr>
            </w:pPr>
            <w:r w:rsidRPr="00B15B44">
              <w:rPr>
                <w:rFonts w:ascii="Times New Roman" w:hAnsi="Times New Roman" w:cs="Times New Roman"/>
                <w:sz w:val="20"/>
                <w:szCs w:val="20"/>
              </w:rPr>
              <w:t>0</w:t>
            </w:r>
          </w:p>
        </w:tc>
        <w:tc>
          <w:tcPr>
            <w:tcW w:w="2322" w:type="dxa"/>
            <w:noWrap/>
            <w:hideMark/>
          </w:tcPr>
          <w:p w:rsidRPr="00B15B44" w:rsidR="00C36DE8" w:rsidP="004311AE" w:rsidRDefault="00C36DE8" w14:paraId="52D1AF36" w14:textId="77777777">
            <w:pPr>
              <w:jc w:val="right"/>
              <w:rPr>
                <w:rFonts w:ascii="Times New Roman" w:hAnsi="Times New Roman" w:cs="Times New Roman"/>
                <w:sz w:val="20"/>
                <w:szCs w:val="20"/>
              </w:rPr>
            </w:pPr>
            <w:r w:rsidRPr="00B15B44">
              <w:rPr>
                <w:rFonts w:ascii="Times New Roman" w:hAnsi="Times New Roman" w:cs="Times New Roman"/>
                <w:sz w:val="20"/>
                <w:szCs w:val="20"/>
              </w:rPr>
              <w:t>138,049</w:t>
            </w:r>
          </w:p>
        </w:tc>
        <w:tc>
          <w:tcPr>
            <w:tcW w:w="1873" w:type="dxa"/>
            <w:noWrap/>
            <w:hideMark/>
          </w:tcPr>
          <w:p w:rsidRPr="00B15B44" w:rsidR="00C36DE8" w:rsidP="004311AE" w:rsidRDefault="00C36DE8" w14:paraId="513B8CD9" w14:textId="77777777">
            <w:pPr>
              <w:jc w:val="right"/>
              <w:rPr>
                <w:rFonts w:ascii="Times New Roman" w:hAnsi="Times New Roman" w:cs="Times New Roman"/>
                <w:sz w:val="20"/>
                <w:szCs w:val="20"/>
              </w:rPr>
            </w:pPr>
            <w:r w:rsidRPr="00B15B44">
              <w:rPr>
                <w:rFonts w:ascii="Times New Roman" w:hAnsi="Times New Roman" w:cs="Times New Roman"/>
                <w:sz w:val="20"/>
                <w:szCs w:val="20"/>
              </w:rPr>
              <w:t>23,008</w:t>
            </w:r>
          </w:p>
        </w:tc>
        <w:tc>
          <w:tcPr>
            <w:tcW w:w="1166" w:type="dxa"/>
            <w:noWrap/>
            <w:hideMark/>
          </w:tcPr>
          <w:p w:rsidRPr="00B15B44" w:rsidR="00C36DE8" w:rsidP="006763C6" w:rsidRDefault="00C36DE8" w14:paraId="74973FB0" w14:textId="77777777">
            <w:pPr>
              <w:jc w:val="right"/>
              <w:rPr>
                <w:rFonts w:ascii="Times New Roman" w:hAnsi="Times New Roman" w:cs="Times New Roman"/>
                <w:b/>
                <w:bCs/>
                <w:sz w:val="20"/>
                <w:szCs w:val="20"/>
              </w:rPr>
            </w:pPr>
            <w:r w:rsidRPr="00B15B44">
              <w:rPr>
                <w:rFonts w:ascii="Times New Roman" w:hAnsi="Times New Roman" w:cs="Times New Roman"/>
                <w:b/>
                <w:bCs/>
                <w:sz w:val="20"/>
                <w:szCs w:val="20"/>
              </w:rPr>
              <w:t>161,057</w:t>
            </w:r>
          </w:p>
        </w:tc>
      </w:tr>
      <w:tr w:rsidRPr="00C36DE8" w:rsidR="00C36DE8" w:rsidTr="004F44A2" w14:paraId="6FD8AF34" w14:textId="77777777">
        <w:trPr>
          <w:trHeight w:val="288"/>
        </w:trPr>
        <w:tc>
          <w:tcPr>
            <w:tcW w:w="2043" w:type="dxa"/>
            <w:hideMark/>
          </w:tcPr>
          <w:p w:rsidRPr="00B15B44" w:rsidR="00C36DE8" w:rsidP="00C36DE8" w:rsidRDefault="00C36DE8" w14:paraId="05A450AD" w14:textId="77777777">
            <w:pPr>
              <w:rPr>
                <w:rFonts w:ascii="Times New Roman" w:hAnsi="Times New Roman" w:cs="Times New Roman"/>
                <w:sz w:val="20"/>
                <w:szCs w:val="20"/>
              </w:rPr>
            </w:pPr>
            <w:r w:rsidRPr="00B15B44">
              <w:rPr>
                <w:rFonts w:ascii="Times New Roman" w:hAnsi="Times New Roman" w:cs="Times New Roman"/>
                <w:sz w:val="20"/>
                <w:szCs w:val="20"/>
              </w:rPr>
              <w:t>THIRA/SPR (tribes)</w:t>
            </w:r>
          </w:p>
        </w:tc>
        <w:tc>
          <w:tcPr>
            <w:tcW w:w="1230" w:type="dxa"/>
            <w:noWrap/>
            <w:hideMark/>
          </w:tcPr>
          <w:p w:rsidRPr="00B15B44" w:rsidR="00C36DE8" w:rsidP="004311AE" w:rsidRDefault="00C36DE8" w14:paraId="0BB79E6B" w14:textId="77777777">
            <w:pPr>
              <w:jc w:val="center"/>
              <w:rPr>
                <w:rFonts w:ascii="Times New Roman" w:hAnsi="Times New Roman" w:cs="Times New Roman"/>
                <w:sz w:val="20"/>
                <w:szCs w:val="20"/>
              </w:rPr>
            </w:pPr>
            <w:r w:rsidRPr="00B15B44">
              <w:rPr>
                <w:rFonts w:ascii="Times New Roman" w:hAnsi="Times New Roman" w:cs="Times New Roman"/>
                <w:sz w:val="20"/>
                <w:szCs w:val="20"/>
              </w:rPr>
              <w:t>39</w:t>
            </w:r>
          </w:p>
        </w:tc>
        <w:tc>
          <w:tcPr>
            <w:tcW w:w="1892" w:type="dxa"/>
            <w:noWrap/>
            <w:hideMark/>
          </w:tcPr>
          <w:p w:rsidRPr="00B15B44" w:rsidR="00C36DE8" w:rsidP="004311AE" w:rsidRDefault="00C36DE8" w14:paraId="1E4530BC" w14:textId="77777777">
            <w:pPr>
              <w:jc w:val="center"/>
              <w:rPr>
                <w:rFonts w:ascii="Times New Roman" w:hAnsi="Times New Roman" w:cs="Times New Roman"/>
                <w:sz w:val="20"/>
                <w:szCs w:val="20"/>
              </w:rPr>
            </w:pPr>
            <w:r w:rsidRPr="00B15B44">
              <w:rPr>
                <w:rFonts w:ascii="Times New Roman" w:hAnsi="Times New Roman" w:cs="Times New Roman"/>
                <w:sz w:val="20"/>
                <w:szCs w:val="20"/>
              </w:rPr>
              <w:t>0</w:t>
            </w:r>
          </w:p>
        </w:tc>
        <w:tc>
          <w:tcPr>
            <w:tcW w:w="2322" w:type="dxa"/>
            <w:noWrap/>
            <w:hideMark/>
          </w:tcPr>
          <w:p w:rsidRPr="00B15B44" w:rsidR="00C36DE8" w:rsidP="004311AE" w:rsidRDefault="00C36DE8" w14:paraId="5F6B692C" w14:textId="77777777">
            <w:pPr>
              <w:jc w:val="right"/>
              <w:rPr>
                <w:rFonts w:ascii="Times New Roman" w:hAnsi="Times New Roman" w:cs="Times New Roman"/>
                <w:sz w:val="20"/>
                <w:szCs w:val="20"/>
              </w:rPr>
            </w:pPr>
            <w:r w:rsidRPr="00B15B44">
              <w:rPr>
                <w:rFonts w:ascii="Times New Roman" w:hAnsi="Times New Roman" w:cs="Times New Roman"/>
                <w:sz w:val="20"/>
                <w:szCs w:val="20"/>
              </w:rPr>
              <w:t>46,068</w:t>
            </w:r>
          </w:p>
        </w:tc>
        <w:tc>
          <w:tcPr>
            <w:tcW w:w="1873" w:type="dxa"/>
            <w:noWrap/>
            <w:hideMark/>
          </w:tcPr>
          <w:p w:rsidRPr="00B15B44" w:rsidR="00C36DE8" w:rsidP="004311AE" w:rsidRDefault="00C36DE8" w14:paraId="36AEA4C3" w14:textId="77777777">
            <w:pPr>
              <w:jc w:val="right"/>
              <w:rPr>
                <w:rFonts w:ascii="Times New Roman" w:hAnsi="Times New Roman" w:cs="Times New Roman"/>
                <w:sz w:val="20"/>
                <w:szCs w:val="20"/>
              </w:rPr>
            </w:pPr>
            <w:r w:rsidRPr="00B15B44">
              <w:rPr>
                <w:rFonts w:ascii="Times New Roman" w:hAnsi="Times New Roman" w:cs="Times New Roman"/>
                <w:sz w:val="20"/>
                <w:szCs w:val="20"/>
              </w:rPr>
              <w:t>7,678</w:t>
            </w:r>
          </w:p>
        </w:tc>
        <w:tc>
          <w:tcPr>
            <w:tcW w:w="1166" w:type="dxa"/>
            <w:noWrap/>
            <w:hideMark/>
          </w:tcPr>
          <w:p w:rsidRPr="00B15B44" w:rsidR="00C36DE8" w:rsidP="006763C6" w:rsidRDefault="00C36DE8" w14:paraId="64F39645" w14:textId="77777777">
            <w:pPr>
              <w:jc w:val="right"/>
              <w:rPr>
                <w:rFonts w:ascii="Times New Roman" w:hAnsi="Times New Roman" w:cs="Times New Roman"/>
                <w:b/>
                <w:bCs/>
                <w:sz w:val="20"/>
                <w:szCs w:val="20"/>
              </w:rPr>
            </w:pPr>
            <w:r w:rsidRPr="00B15B44">
              <w:rPr>
                <w:rFonts w:ascii="Times New Roman" w:hAnsi="Times New Roman" w:cs="Times New Roman"/>
                <w:b/>
                <w:bCs/>
                <w:sz w:val="20"/>
                <w:szCs w:val="20"/>
              </w:rPr>
              <w:t>53,746</w:t>
            </w:r>
          </w:p>
        </w:tc>
      </w:tr>
      <w:tr w:rsidRPr="00C36DE8" w:rsidR="00805613" w:rsidTr="004F44A2" w14:paraId="69063B18" w14:textId="77777777">
        <w:trPr>
          <w:trHeight w:val="288"/>
        </w:trPr>
        <w:tc>
          <w:tcPr>
            <w:tcW w:w="2043" w:type="dxa"/>
          </w:tcPr>
          <w:p w:rsidRPr="00B15B44" w:rsidR="00805613" w:rsidP="00C36DE8" w:rsidRDefault="00805613" w14:paraId="6A3791B1" w14:textId="28E70FA7">
            <w:pPr>
              <w:rPr>
                <w:rFonts w:ascii="Times New Roman" w:hAnsi="Times New Roman" w:cs="Times New Roman"/>
                <w:b/>
                <w:bCs/>
                <w:sz w:val="20"/>
                <w:szCs w:val="20"/>
              </w:rPr>
            </w:pPr>
            <w:r w:rsidRPr="00B15B44">
              <w:rPr>
                <w:rFonts w:ascii="Times New Roman" w:hAnsi="Times New Roman" w:cs="Times New Roman"/>
                <w:b/>
                <w:bCs/>
                <w:sz w:val="20"/>
                <w:szCs w:val="20"/>
              </w:rPr>
              <w:t>Total</w:t>
            </w:r>
          </w:p>
        </w:tc>
        <w:tc>
          <w:tcPr>
            <w:tcW w:w="1230" w:type="dxa"/>
            <w:noWrap/>
          </w:tcPr>
          <w:p w:rsidRPr="00B15B44" w:rsidR="00805613" w:rsidP="006763C6" w:rsidRDefault="006763C6" w14:paraId="70DD26C3" w14:textId="1D3C6DAC">
            <w:pPr>
              <w:jc w:val="center"/>
              <w:rPr>
                <w:rFonts w:ascii="Times New Roman" w:hAnsi="Times New Roman" w:cs="Times New Roman"/>
                <w:sz w:val="20"/>
                <w:szCs w:val="20"/>
              </w:rPr>
            </w:pPr>
            <w:r w:rsidRPr="00B15B44">
              <w:rPr>
                <w:rFonts w:ascii="Times New Roman" w:hAnsi="Times New Roman" w:cs="Times New Roman"/>
                <w:sz w:val="20"/>
                <w:szCs w:val="20"/>
              </w:rPr>
              <w:t>128</w:t>
            </w:r>
          </w:p>
        </w:tc>
        <w:tc>
          <w:tcPr>
            <w:tcW w:w="1892" w:type="dxa"/>
            <w:noWrap/>
          </w:tcPr>
          <w:p w:rsidRPr="00B15B44" w:rsidR="00805613" w:rsidP="00C36DE8" w:rsidRDefault="00805613" w14:paraId="6F250385" w14:textId="77777777">
            <w:pPr>
              <w:rPr>
                <w:rFonts w:ascii="Times New Roman" w:hAnsi="Times New Roman" w:cs="Times New Roman"/>
                <w:sz w:val="20"/>
                <w:szCs w:val="20"/>
              </w:rPr>
            </w:pPr>
          </w:p>
        </w:tc>
        <w:tc>
          <w:tcPr>
            <w:tcW w:w="2322" w:type="dxa"/>
            <w:noWrap/>
          </w:tcPr>
          <w:p w:rsidRPr="00B15B44" w:rsidR="00805613" w:rsidP="006763C6" w:rsidRDefault="006763C6" w14:paraId="7A04E8BE" w14:textId="4D31AB51">
            <w:pPr>
              <w:jc w:val="right"/>
              <w:rPr>
                <w:rFonts w:ascii="Times New Roman" w:hAnsi="Times New Roman" w:cs="Times New Roman"/>
                <w:sz w:val="20"/>
                <w:szCs w:val="20"/>
              </w:rPr>
            </w:pPr>
            <w:r w:rsidRPr="00B15B44">
              <w:rPr>
                <w:rFonts w:ascii="Times New Roman" w:hAnsi="Times New Roman" w:cs="Times New Roman"/>
                <w:sz w:val="20"/>
                <w:szCs w:val="20"/>
              </w:rPr>
              <w:t>$184,117</w:t>
            </w:r>
          </w:p>
        </w:tc>
        <w:tc>
          <w:tcPr>
            <w:tcW w:w="1873" w:type="dxa"/>
            <w:noWrap/>
          </w:tcPr>
          <w:p w:rsidRPr="00B15B44" w:rsidR="00805613" w:rsidP="006763C6" w:rsidRDefault="006763C6" w14:paraId="2961C2BA" w14:textId="22A8F076">
            <w:pPr>
              <w:jc w:val="right"/>
              <w:rPr>
                <w:rFonts w:ascii="Times New Roman" w:hAnsi="Times New Roman" w:cs="Times New Roman"/>
                <w:sz w:val="20"/>
                <w:szCs w:val="20"/>
              </w:rPr>
            </w:pPr>
            <w:r w:rsidRPr="00B15B44">
              <w:rPr>
                <w:rFonts w:ascii="Times New Roman" w:hAnsi="Times New Roman" w:cs="Times New Roman"/>
                <w:sz w:val="20"/>
                <w:szCs w:val="20"/>
              </w:rPr>
              <w:t>$30,686</w:t>
            </w:r>
          </w:p>
        </w:tc>
        <w:tc>
          <w:tcPr>
            <w:tcW w:w="1166" w:type="dxa"/>
            <w:noWrap/>
          </w:tcPr>
          <w:p w:rsidRPr="00B15B44" w:rsidR="00805613" w:rsidP="006763C6" w:rsidRDefault="006763C6" w14:paraId="26781D3C" w14:textId="79E6F2DF">
            <w:pPr>
              <w:jc w:val="right"/>
              <w:rPr>
                <w:rFonts w:ascii="Times New Roman" w:hAnsi="Times New Roman" w:cs="Times New Roman"/>
                <w:b/>
                <w:bCs/>
                <w:sz w:val="20"/>
                <w:szCs w:val="20"/>
              </w:rPr>
            </w:pPr>
            <w:r w:rsidRPr="00B15B44">
              <w:rPr>
                <w:rFonts w:ascii="Times New Roman" w:hAnsi="Times New Roman" w:cs="Times New Roman"/>
                <w:b/>
                <w:bCs/>
                <w:sz w:val="20"/>
                <w:szCs w:val="20"/>
              </w:rPr>
              <w:t>$214,803</w:t>
            </w:r>
          </w:p>
        </w:tc>
      </w:tr>
    </w:tbl>
    <w:p w:rsidR="00EB76BE" w:rsidP="004C6656" w:rsidRDefault="00EB76BE" w14:paraId="058AF59B" w14:textId="3DE4210D">
      <w:pPr>
        <w:spacing w:after="0" w:line="240" w:lineRule="auto"/>
        <w:rPr>
          <w:rFonts w:ascii="Times New Roman" w:hAnsi="Times New Roman" w:cs="Times New Roman"/>
          <w:sz w:val="24"/>
          <w:szCs w:val="24"/>
        </w:rPr>
      </w:pPr>
    </w:p>
    <w:p w:rsidRPr="00EE3612" w:rsidR="004C6656" w:rsidP="004C6656" w:rsidRDefault="004C6656" w14:paraId="242A590F" w14:textId="26C9FC48">
      <w:pPr>
        <w:spacing w:after="0" w:line="240" w:lineRule="auto"/>
        <w:rPr>
          <w:rFonts w:ascii="Times New Roman" w:hAnsi="Times New Roman" w:cs="Times New Roman"/>
          <w:bCs/>
          <w:sz w:val="16"/>
          <w:szCs w:val="16"/>
        </w:rPr>
      </w:pPr>
      <w:r w:rsidRPr="00EE3612">
        <w:rPr>
          <w:rFonts w:ascii="Times New Roman" w:hAnsi="Times New Roman" w:cs="Times New Roman"/>
          <w:bCs/>
          <w:sz w:val="16"/>
          <w:szCs w:val="16"/>
        </w:rPr>
        <w:t xml:space="preserve">Note: The chart calculates the individual costs for each </w:t>
      </w:r>
      <w:r>
        <w:rPr>
          <w:rFonts w:ascii="Times New Roman" w:hAnsi="Times New Roman" w:cs="Times New Roman"/>
          <w:bCs/>
          <w:sz w:val="16"/>
          <w:szCs w:val="16"/>
        </w:rPr>
        <w:t>respondent</w:t>
      </w:r>
      <w:r w:rsidRPr="00EE3612">
        <w:rPr>
          <w:rFonts w:ascii="Times New Roman" w:hAnsi="Times New Roman" w:cs="Times New Roman"/>
          <w:bCs/>
          <w:sz w:val="16"/>
          <w:szCs w:val="16"/>
        </w:rPr>
        <w:t xml:space="preserve">.  The total nationwide cost to respondents and record keepers (including operations/maintenance and non-labor costs) is </w:t>
      </w:r>
      <w:r w:rsidRPr="00EE3612">
        <w:rPr>
          <w:rFonts w:ascii="Times New Roman" w:hAnsi="Times New Roman" w:cs="Times New Roman"/>
          <w:b/>
          <w:bCs/>
          <w:sz w:val="16"/>
          <w:szCs w:val="16"/>
        </w:rPr>
        <w:t>$</w:t>
      </w:r>
      <w:r w:rsidR="00CD4BFB">
        <w:rPr>
          <w:rFonts w:ascii="Times New Roman" w:hAnsi="Times New Roman" w:cs="Times New Roman"/>
          <w:b/>
          <w:bCs/>
          <w:sz w:val="16"/>
          <w:szCs w:val="16"/>
        </w:rPr>
        <w:t>1</w:t>
      </w:r>
      <w:r w:rsidR="002F75EC">
        <w:rPr>
          <w:rFonts w:ascii="Times New Roman" w:hAnsi="Times New Roman" w:cs="Times New Roman"/>
          <w:b/>
          <w:bCs/>
          <w:sz w:val="16"/>
          <w:szCs w:val="16"/>
        </w:rPr>
        <w:t>8</w:t>
      </w:r>
      <w:r w:rsidR="00CD4BFB">
        <w:rPr>
          <w:rFonts w:ascii="Times New Roman" w:hAnsi="Times New Roman" w:cs="Times New Roman"/>
          <w:b/>
          <w:bCs/>
          <w:sz w:val="16"/>
          <w:szCs w:val="16"/>
        </w:rPr>
        <w:t>,</w:t>
      </w:r>
      <w:r w:rsidR="002F75EC">
        <w:rPr>
          <w:rFonts w:ascii="Times New Roman" w:hAnsi="Times New Roman" w:cs="Times New Roman"/>
          <w:b/>
          <w:bCs/>
          <w:sz w:val="16"/>
          <w:szCs w:val="16"/>
        </w:rPr>
        <w:t>615</w:t>
      </w:r>
      <w:r w:rsidR="00CD4BFB">
        <w:rPr>
          <w:rFonts w:ascii="Times New Roman" w:hAnsi="Times New Roman" w:cs="Times New Roman"/>
          <w:b/>
          <w:bCs/>
          <w:sz w:val="16"/>
          <w:szCs w:val="16"/>
        </w:rPr>
        <w:t>,</w:t>
      </w:r>
      <w:r w:rsidR="002F75EC">
        <w:rPr>
          <w:rFonts w:ascii="Times New Roman" w:hAnsi="Times New Roman" w:cs="Times New Roman"/>
          <w:b/>
          <w:bCs/>
          <w:sz w:val="16"/>
          <w:szCs w:val="16"/>
        </w:rPr>
        <w:t>685</w:t>
      </w:r>
      <w:r w:rsidRPr="00EE3612">
        <w:rPr>
          <w:rFonts w:ascii="Times New Roman" w:hAnsi="Times New Roman" w:cs="Times New Roman"/>
          <w:b/>
          <w:bCs/>
          <w:sz w:val="16"/>
          <w:szCs w:val="16"/>
        </w:rPr>
        <w:t xml:space="preserve"> + </w:t>
      </w:r>
      <w:r w:rsidRPr="00A1396B">
        <w:rPr>
          <w:rFonts w:ascii="Times New Roman" w:hAnsi="Times New Roman" w:cs="Times New Roman"/>
          <w:b/>
          <w:bCs/>
          <w:sz w:val="16"/>
          <w:szCs w:val="16"/>
        </w:rPr>
        <w:t>$</w:t>
      </w:r>
      <w:r w:rsidR="00EA0CA5">
        <w:rPr>
          <w:rFonts w:ascii="Times New Roman" w:hAnsi="Times New Roman" w:cs="Times New Roman"/>
          <w:b/>
          <w:bCs/>
          <w:sz w:val="16"/>
          <w:szCs w:val="16"/>
        </w:rPr>
        <w:t>2,</w:t>
      </w:r>
      <w:r w:rsidR="002F75EC">
        <w:rPr>
          <w:rFonts w:ascii="Times New Roman" w:hAnsi="Times New Roman" w:cs="Times New Roman"/>
          <w:b/>
          <w:bCs/>
          <w:sz w:val="16"/>
          <w:szCs w:val="16"/>
        </w:rPr>
        <w:t>722</w:t>
      </w:r>
      <w:r w:rsidR="00EA0CA5">
        <w:rPr>
          <w:rFonts w:ascii="Times New Roman" w:hAnsi="Times New Roman" w:cs="Times New Roman"/>
          <w:b/>
          <w:bCs/>
          <w:sz w:val="16"/>
          <w:szCs w:val="16"/>
        </w:rPr>
        <w:t>,</w:t>
      </w:r>
      <w:r w:rsidR="002F75EC">
        <w:rPr>
          <w:rFonts w:ascii="Times New Roman" w:hAnsi="Times New Roman" w:cs="Times New Roman"/>
          <w:b/>
          <w:bCs/>
          <w:sz w:val="16"/>
          <w:szCs w:val="16"/>
        </w:rPr>
        <w:t>200</w:t>
      </w:r>
      <w:r w:rsidRPr="00EE3612">
        <w:rPr>
          <w:rFonts w:ascii="Times New Roman" w:hAnsi="Times New Roman" w:cs="Times New Roman"/>
          <w:bCs/>
          <w:sz w:val="16"/>
          <w:szCs w:val="16"/>
        </w:rPr>
        <w:t xml:space="preserve">, which equals </w:t>
      </w:r>
      <w:r w:rsidRPr="003E7D18">
        <w:rPr>
          <w:rFonts w:ascii="Times New Roman" w:hAnsi="Times New Roman" w:cs="Times New Roman"/>
          <w:b/>
          <w:bCs/>
          <w:sz w:val="16"/>
          <w:szCs w:val="16"/>
        </w:rPr>
        <w:t>$</w:t>
      </w:r>
      <w:r w:rsidR="002F75EC">
        <w:rPr>
          <w:rFonts w:ascii="Times New Roman" w:hAnsi="Times New Roman" w:cs="Times New Roman"/>
          <w:b/>
          <w:bCs/>
          <w:sz w:val="16"/>
          <w:szCs w:val="16"/>
        </w:rPr>
        <w:t>2</w:t>
      </w:r>
      <w:r w:rsidR="00EA0CA5">
        <w:rPr>
          <w:rFonts w:ascii="Times New Roman" w:hAnsi="Times New Roman" w:cs="Times New Roman"/>
          <w:b/>
          <w:bCs/>
          <w:sz w:val="16"/>
          <w:szCs w:val="16"/>
        </w:rPr>
        <w:t>1,</w:t>
      </w:r>
      <w:r w:rsidR="002F75EC">
        <w:rPr>
          <w:rFonts w:ascii="Times New Roman" w:hAnsi="Times New Roman" w:cs="Times New Roman"/>
          <w:b/>
          <w:bCs/>
          <w:sz w:val="16"/>
          <w:szCs w:val="16"/>
        </w:rPr>
        <w:t>337</w:t>
      </w:r>
      <w:r w:rsidR="00EA0CA5">
        <w:rPr>
          <w:rFonts w:ascii="Times New Roman" w:hAnsi="Times New Roman" w:cs="Times New Roman"/>
          <w:b/>
          <w:bCs/>
          <w:sz w:val="16"/>
          <w:szCs w:val="16"/>
        </w:rPr>
        <w:t>,</w:t>
      </w:r>
      <w:r w:rsidR="002F75EC">
        <w:rPr>
          <w:rFonts w:ascii="Times New Roman" w:hAnsi="Times New Roman" w:cs="Times New Roman"/>
          <w:b/>
          <w:bCs/>
          <w:sz w:val="16"/>
          <w:szCs w:val="16"/>
        </w:rPr>
        <w:t>885</w:t>
      </w:r>
      <w:r w:rsidRPr="00EE3612">
        <w:rPr>
          <w:rFonts w:ascii="Times New Roman" w:hAnsi="Times New Roman" w:cs="Times New Roman"/>
          <w:bCs/>
          <w:sz w:val="16"/>
          <w:szCs w:val="16"/>
        </w:rPr>
        <w:t>. See explanation below.</w:t>
      </w:r>
    </w:p>
    <w:p w:rsidRPr="00612845" w:rsidR="004C6656" w:rsidP="00562915" w:rsidRDefault="004C6656" w14:paraId="6552A423" w14:textId="3F20DB26">
      <w:pPr>
        <w:rPr>
          <w:rFonts w:ascii="Times New Roman" w:hAnsi="Times New Roman" w:cs="Times New Roman"/>
          <w:b/>
          <w:bCs/>
          <w:color w:val="000000" w:themeColor="text1"/>
          <w:sz w:val="24"/>
          <w:szCs w:val="24"/>
        </w:rPr>
      </w:pPr>
    </w:p>
    <w:p w:rsidRPr="00612845" w:rsidR="004C6656" w:rsidP="004C6656" w:rsidRDefault="004C6656" w14:paraId="395704D6" w14:textId="77777777">
      <w:pPr>
        <w:spacing w:after="0" w:line="240" w:lineRule="auto"/>
        <w:rPr>
          <w:rFonts w:ascii="Times New Roman" w:hAnsi="Times New Roman" w:eastAsia="Times New Roman" w:cs="Times New Roman"/>
          <w:b/>
          <w:bCs/>
          <w:i/>
          <w:color w:val="000000" w:themeColor="text1"/>
          <w:sz w:val="24"/>
          <w:szCs w:val="24"/>
        </w:rPr>
      </w:pPr>
      <w:r w:rsidRPr="00612845">
        <w:rPr>
          <w:rFonts w:ascii="Times New Roman" w:hAnsi="Times New Roman" w:eastAsia="Times New Roman" w:cs="Times New Roman"/>
          <w:b/>
          <w:bCs/>
          <w:i/>
          <w:color w:val="000000" w:themeColor="text1"/>
          <w:sz w:val="24"/>
          <w:szCs w:val="24"/>
        </w:rPr>
        <w:t>Explain:</w:t>
      </w:r>
    </w:p>
    <w:p w:rsidRPr="00612845" w:rsidR="004C6656" w:rsidP="004C6656" w:rsidRDefault="004C6656" w14:paraId="5A616247" w14:textId="77777777">
      <w:pPr>
        <w:spacing w:after="0" w:line="240" w:lineRule="auto"/>
        <w:rPr>
          <w:rFonts w:ascii="Times New Roman" w:hAnsi="Times New Roman" w:cs="Times New Roman"/>
          <w:bCs/>
          <w:color w:val="000000" w:themeColor="text1"/>
          <w:sz w:val="24"/>
          <w:szCs w:val="24"/>
        </w:rPr>
      </w:pPr>
    </w:p>
    <w:p w:rsidR="004C6656" w:rsidP="004C6656" w:rsidRDefault="004C6656" w14:paraId="65042425" w14:textId="2EF8BC0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calculate the average maintenance costs per response to the THIRA/SPR, FEMA used the estimated burden hours and loaded wage rate to determine the </w:t>
      </w:r>
      <w:r w:rsidR="00B25FA5">
        <w:rPr>
          <w:rFonts w:ascii="Times New Roman" w:hAnsi="Times New Roman" w:cs="Times New Roman"/>
          <w:bCs/>
          <w:sz w:val="24"/>
          <w:szCs w:val="24"/>
        </w:rPr>
        <w:t>personnel costs and</w:t>
      </w:r>
      <w:r>
        <w:rPr>
          <w:rFonts w:ascii="Times New Roman" w:hAnsi="Times New Roman" w:cs="Times New Roman"/>
          <w:bCs/>
          <w:sz w:val="24"/>
          <w:szCs w:val="24"/>
        </w:rPr>
        <w:t xml:space="preserve"> used estimates of how total costs break out between personnel, contracting, and non-labor to determine these other costs. </w:t>
      </w:r>
      <w:r w:rsidR="00C440B2">
        <w:rPr>
          <w:rFonts w:ascii="Times New Roman" w:hAnsi="Times New Roman" w:cs="Times New Roman"/>
          <w:bCs/>
          <w:sz w:val="24"/>
          <w:szCs w:val="24"/>
        </w:rPr>
        <w:t xml:space="preserve"> </w:t>
      </w:r>
      <w:r>
        <w:rPr>
          <w:rFonts w:ascii="Times New Roman" w:hAnsi="Times New Roman" w:cs="Times New Roman"/>
          <w:bCs/>
          <w:sz w:val="24"/>
          <w:szCs w:val="24"/>
        </w:rPr>
        <w:t xml:space="preserve">FEMA estimated the breakout </w:t>
      </w:r>
      <w:r w:rsidR="00B65AEC">
        <w:rPr>
          <w:rFonts w:ascii="Times New Roman" w:hAnsi="Times New Roman" w:cs="Times New Roman"/>
          <w:bCs/>
          <w:sz w:val="24"/>
          <w:szCs w:val="24"/>
        </w:rPr>
        <w:t xml:space="preserve">using the approved 2018 approach which is a cost breakout of </w:t>
      </w:r>
      <w:r>
        <w:rPr>
          <w:rFonts w:ascii="Times New Roman" w:hAnsi="Times New Roman" w:cs="Times New Roman"/>
          <w:bCs/>
          <w:sz w:val="24"/>
          <w:szCs w:val="24"/>
        </w:rPr>
        <w:t>23 percent personnel, 66 percent contracting, and 11 percent non-labor.</w:t>
      </w:r>
    </w:p>
    <w:p w:rsidR="004C6656" w:rsidP="004C6656" w:rsidRDefault="004C6656" w14:paraId="6AEB7DEC" w14:textId="77777777">
      <w:pPr>
        <w:spacing w:after="0" w:line="240" w:lineRule="auto"/>
        <w:rPr>
          <w:rFonts w:ascii="Times New Roman" w:hAnsi="Times New Roman" w:cs="Times New Roman"/>
          <w:bCs/>
          <w:sz w:val="24"/>
          <w:szCs w:val="24"/>
        </w:rPr>
      </w:pPr>
    </w:p>
    <w:p w:rsidR="004C6656" w:rsidP="004C6656" w:rsidRDefault="004C6656" w14:paraId="674AC8CF" w14:textId="5145C06A">
      <w:pPr>
        <w:spacing w:after="0" w:line="240" w:lineRule="auto"/>
        <w:rPr>
          <w:rFonts w:ascii="Times New Roman" w:hAnsi="Times New Roman" w:cs="Times New Roman"/>
          <w:bCs/>
          <w:sz w:val="24"/>
          <w:szCs w:val="24"/>
        </w:rPr>
      </w:pPr>
      <w:r>
        <w:rPr>
          <w:rFonts w:ascii="Times New Roman" w:hAnsi="Times New Roman" w:cs="Times New Roman"/>
          <w:bCs/>
          <w:sz w:val="24"/>
          <w:szCs w:val="24"/>
        </w:rPr>
        <w:t>Multiplying the 869 average burden hours per response by the loaded wage rate of $</w:t>
      </w:r>
      <w:r w:rsidR="00831464">
        <w:rPr>
          <w:rFonts w:ascii="Times New Roman" w:hAnsi="Times New Roman" w:cs="Times New Roman"/>
          <w:bCs/>
          <w:sz w:val="24"/>
          <w:szCs w:val="24"/>
        </w:rPr>
        <w:t>55.36</w:t>
      </w:r>
      <w:r>
        <w:rPr>
          <w:rFonts w:ascii="Times New Roman" w:hAnsi="Times New Roman" w:cs="Times New Roman"/>
          <w:bCs/>
          <w:sz w:val="24"/>
          <w:szCs w:val="24"/>
        </w:rPr>
        <w:t xml:space="preserve"> yields a total personnel cost of $</w:t>
      </w:r>
      <w:r w:rsidR="00831464">
        <w:rPr>
          <w:rFonts w:ascii="Times New Roman" w:hAnsi="Times New Roman" w:cs="Times New Roman"/>
          <w:bCs/>
          <w:sz w:val="24"/>
          <w:szCs w:val="24"/>
        </w:rPr>
        <w:t>48,10</w:t>
      </w:r>
      <w:r w:rsidR="00F95359">
        <w:rPr>
          <w:rFonts w:ascii="Times New Roman" w:hAnsi="Times New Roman" w:cs="Times New Roman"/>
          <w:bCs/>
          <w:sz w:val="24"/>
          <w:szCs w:val="24"/>
        </w:rPr>
        <w:t>8</w:t>
      </w:r>
      <w:r>
        <w:rPr>
          <w:rFonts w:ascii="Times New Roman" w:hAnsi="Times New Roman" w:cs="Times New Roman"/>
          <w:bCs/>
          <w:sz w:val="24"/>
          <w:szCs w:val="24"/>
        </w:rPr>
        <w:t xml:space="preserve">. </w:t>
      </w:r>
      <w:r w:rsidR="00C440B2">
        <w:rPr>
          <w:rFonts w:ascii="Times New Roman" w:hAnsi="Times New Roman" w:cs="Times New Roman"/>
          <w:bCs/>
          <w:sz w:val="24"/>
          <w:szCs w:val="24"/>
        </w:rPr>
        <w:t xml:space="preserve"> </w:t>
      </w:r>
      <w:r>
        <w:rPr>
          <w:rFonts w:ascii="Times New Roman" w:hAnsi="Times New Roman" w:cs="Times New Roman"/>
          <w:bCs/>
          <w:sz w:val="24"/>
          <w:szCs w:val="24"/>
        </w:rPr>
        <w:t>Using the cost breakouts stated above, dividing $</w:t>
      </w:r>
      <w:r w:rsidR="00831464">
        <w:rPr>
          <w:rFonts w:ascii="Times New Roman" w:hAnsi="Times New Roman" w:cs="Times New Roman"/>
          <w:bCs/>
          <w:sz w:val="24"/>
          <w:szCs w:val="24"/>
        </w:rPr>
        <w:t>48,108</w:t>
      </w:r>
      <w:r w:rsidR="00B91D02">
        <w:rPr>
          <w:rFonts w:ascii="Times New Roman" w:hAnsi="Times New Roman" w:cs="Times New Roman"/>
          <w:bCs/>
          <w:sz w:val="24"/>
          <w:szCs w:val="24"/>
        </w:rPr>
        <w:t xml:space="preserve"> </w:t>
      </w:r>
      <w:r>
        <w:rPr>
          <w:rFonts w:ascii="Times New Roman" w:hAnsi="Times New Roman" w:cs="Times New Roman"/>
          <w:bCs/>
          <w:sz w:val="24"/>
          <w:szCs w:val="24"/>
        </w:rPr>
        <w:t xml:space="preserve">by 0.23 yields </w:t>
      </w:r>
      <w:bookmarkStart w:name="_Hlk77259251" w:id="2"/>
      <w:r>
        <w:rPr>
          <w:rFonts w:ascii="Times New Roman" w:hAnsi="Times New Roman" w:cs="Times New Roman"/>
          <w:bCs/>
          <w:sz w:val="24"/>
          <w:szCs w:val="24"/>
        </w:rPr>
        <w:t>$</w:t>
      </w:r>
      <w:bookmarkEnd w:id="2"/>
      <w:r w:rsidR="00831464">
        <w:rPr>
          <w:rFonts w:ascii="Times New Roman" w:hAnsi="Times New Roman" w:cs="Times New Roman"/>
          <w:bCs/>
          <w:sz w:val="24"/>
          <w:szCs w:val="24"/>
        </w:rPr>
        <w:t>209,165</w:t>
      </w:r>
      <w:r w:rsidR="00B54056">
        <w:rPr>
          <w:rFonts w:ascii="Times New Roman" w:hAnsi="Times New Roman" w:cs="Times New Roman"/>
          <w:bCs/>
          <w:sz w:val="24"/>
          <w:szCs w:val="24"/>
        </w:rPr>
        <w:t>,</w:t>
      </w:r>
      <w:r>
        <w:rPr>
          <w:rFonts w:ascii="Times New Roman" w:hAnsi="Times New Roman" w:cs="Times New Roman"/>
          <w:bCs/>
          <w:sz w:val="24"/>
          <w:szCs w:val="24"/>
        </w:rPr>
        <w:t xml:space="preserve"> representing the average THIRA/SPR development cost per response. </w:t>
      </w:r>
      <w:r w:rsidR="00C440B2">
        <w:rPr>
          <w:rFonts w:ascii="Times New Roman" w:hAnsi="Times New Roman" w:cs="Times New Roman"/>
          <w:bCs/>
          <w:sz w:val="24"/>
          <w:szCs w:val="24"/>
        </w:rPr>
        <w:t xml:space="preserve"> </w:t>
      </w:r>
      <w:r>
        <w:rPr>
          <w:rFonts w:ascii="Times New Roman" w:hAnsi="Times New Roman" w:cs="Times New Roman"/>
          <w:bCs/>
          <w:sz w:val="24"/>
          <w:szCs w:val="24"/>
        </w:rPr>
        <w:t>Accordingly, contracting costs ($</w:t>
      </w:r>
      <w:r w:rsidR="00B54056">
        <w:rPr>
          <w:rFonts w:ascii="Times New Roman" w:hAnsi="Times New Roman" w:cs="Times New Roman"/>
          <w:bCs/>
          <w:sz w:val="24"/>
          <w:szCs w:val="24"/>
        </w:rPr>
        <w:t>138,04</w:t>
      </w:r>
      <w:r w:rsidR="00F95359">
        <w:rPr>
          <w:rFonts w:ascii="Times New Roman" w:hAnsi="Times New Roman" w:cs="Times New Roman"/>
          <w:bCs/>
          <w:sz w:val="24"/>
          <w:szCs w:val="24"/>
        </w:rPr>
        <w:t>9</w:t>
      </w:r>
      <w:r>
        <w:rPr>
          <w:rFonts w:ascii="Times New Roman" w:hAnsi="Times New Roman" w:cs="Times New Roman"/>
          <w:bCs/>
          <w:sz w:val="24"/>
          <w:szCs w:val="24"/>
        </w:rPr>
        <w:t>) represent the Annual Operations and Maintenance costs and non-labor ($</w:t>
      </w:r>
      <w:r w:rsidR="003C742F">
        <w:rPr>
          <w:rFonts w:ascii="Times New Roman" w:hAnsi="Times New Roman" w:cs="Times New Roman"/>
          <w:bCs/>
          <w:sz w:val="24"/>
          <w:szCs w:val="24"/>
        </w:rPr>
        <w:t>23,008</w:t>
      </w:r>
      <w:r>
        <w:rPr>
          <w:rFonts w:ascii="Times New Roman" w:hAnsi="Times New Roman" w:cs="Times New Roman"/>
          <w:bCs/>
          <w:sz w:val="24"/>
          <w:szCs w:val="24"/>
        </w:rPr>
        <w:t>) costs represent the Annual Non-Labor costs, totaling $</w:t>
      </w:r>
      <w:r w:rsidR="003C742F">
        <w:rPr>
          <w:rFonts w:ascii="Times New Roman" w:hAnsi="Times New Roman" w:cs="Times New Roman"/>
          <w:bCs/>
          <w:sz w:val="24"/>
          <w:szCs w:val="24"/>
        </w:rPr>
        <w:t>161,05</w:t>
      </w:r>
      <w:r w:rsidR="00F95359">
        <w:rPr>
          <w:rFonts w:ascii="Times New Roman" w:hAnsi="Times New Roman" w:cs="Times New Roman"/>
          <w:bCs/>
          <w:sz w:val="24"/>
          <w:szCs w:val="24"/>
        </w:rPr>
        <w:t>7</w:t>
      </w:r>
      <w:r w:rsidR="00EA0CA5">
        <w:rPr>
          <w:rFonts w:ascii="Times New Roman" w:hAnsi="Times New Roman" w:cs="Times New Roman"/>
          <w:bCs/>
          <w:sz w:val="24"/>
          <w:szCs w:val="24"/>
        </w:rPr>
        <w:t xml:space="preserve"> </w:t>
      </w:r>
      <w:r>
        <w:rPr>
          <w:rFonts w:ascii="Times New Roman" w:hAnsi="Times New Roman" w:cs="Times New Roman"/>
          <w:bCs/>
          <w:sz w:val="24"/>
          <w:szCs w:val="24"/>
        </w:rPr>
        <w:t xml:space="preserve">(rounded). </w:t>
      </w:r>
      <w:r w:rsidR="00C440B2">
        <w:rPr>
          <w:rFonts w:ascii="Times New Roman" w:hAnsi="Times New Roman" w:cs="Times New Roman"/>
          <w:bCs/>
          <w:sz w:val="24"/>
          <w:szCs w:val="24"/>
        </w:rPr>
        <w:t xml:space="preserve"> </w:t>
      </w:r>
      <w:r>
        <w:rPr>
          <w:rFonts w:ascii="Times New Roman" w:hAnsi="Times New Roman" w:cs="Times New Roman"/>
          <w:bCs/>
          <w:sz w:val="24"/>
          <w:szCs w:val="24"/>
        </w:rPr>
        <w:t xml:space="preserve">Multiplying </w:t>
      </w:r>
      <w:r w:rsidR="00312F5B">
        <w:rPr>
          <w:rFonts w:ascii="Times New Roman" w:hAnsi="Times New Roman" w:cs="Times New Roman"/>
          <w:bCs/>
          <w:sz w:val="24"/>
          <w:szCs w:val="24"/>
        </w:rPr>
        <w:t xml:space="preserve">average development costs </w:t>
      </w:r>
      <w:r>
        <w:rPr>
          <w:rFonts w:ascii="Times New Roman" w:hAnsi="Times New Roman" w:cs="Times New Roman"/>
          <w:bCs/>
          <w:sz w:val="24"/>
          <w:szCs w:val="24"/>
        </w:rPr>
        <w:t xml:space="preserve">by 89 THIRA/SPR respondents gives a total annual maintenance cost of </w:t>
      </w:r>
      <w:r w:rsidRPr="003E7D18">
        <w:rPr>
          <w:rFonts w:ascii="Times New Roman" w:hAnsi="Times New Roman" w:cs="Times New Roman"/>
          <w:b/>
          <w:bCs/>
          <w:sz w:val="24"/>
          <w:szCs w:val="24"/>
        </w:rPr>
        <w:t>$</w:t>
      </w:r>
      <w:r w:rsidR="003C742F">
        <w:rPr>
          <w:rFonts w:ascii="Times New Roman" w:hAnsi="Times New Roman" w:cs="Times New Roman"/>
          <w:b/>
          <w:bCs/>
          <w:sz w:val="24"/>
          <w:szCs w:val="24"/>
        </w:rPr>
        <w:t>1</w:t>
      </w:r>
      <w:r w:rsidR="00312F5B">
        <w:rPr>
          <w:rFonts w:ascii="Times New Roman" w:hAnsi="Times New Roman" w:cs="Times New Roman"/>
          <w:b/>
          <w:bCs/>
          <w:sz w:val="24"/>
          <w:szCs w:val="24"/>
        </w:rPr>
        <w:t>8,615</w:t>
      </w:r>
      <w:r w:rsidR="003C742F">
        <w:rPr>
          <w:rFonts w:ascii="Times New Roman" w:hAnsi="Times New Roman" w:cs="Times New Roman"/>
          <w:b/>
          <w:bCs/>
          <w:sz w:val="24"/>
          <w:szCs w:val="24"/>
        </w:rPr>
        <w:t>,</w:t>
      </w:r>
      <w:r w:rsidR="00312F5B">
        <w:rPr>
          <w:rFonts w:ascii="Times New Roman" w:hAnsi="Times New Roman" w:cs="Times New Roman"/>
          <w:b/>
          <w:bCs/>
          <w:sz w:val="24"/>
          <w:szCs w:val="24"/>
        </w:rPr>
        <w:t>685</w:t>
      </w:r>
      <w:r w:rsidR="003C742F">
        <w:rPr>
          <w:rFonts w:ascii="Times New Roman" w:hAnsi="Times New Roman" w:cs="Times New Roman"/>
          <w:b/>
          <w:bCs/>
          <w:sz w:val="24"/>
          <w:szCs w:val="24"/>
        </w:rPr>
        <w:t>.</w:t>
      </w:r>
    </w:p>
    <w:p w:rsidR="004C6656" w:rsidP="004C6656" w:rsidRDefault="004C6656" w14:paraId="3B0693A0" w14:textId="77777777">
      <w:pPr>
        <w:spacing w:after="0" w:line="240" w:lineRule="auto"/>
        <w:rPr>
          <w:rFonts w:ascii="Times New Roman" w:hAnsi="Times New Roman" w:cs="Times New Roman"/>
          <w:bCs/>
          <w:sz w:val="24"/>
          <w:szCs w:val="24"/>
        </w:rPr>
      </w:pPr>
    </w:p>
    <w:p w:rsidRPr="00612845" w:rsidR="004C6656" w:rsidP="004C6656" w:rsidRDefault="004C6656" w14:paraId="065A4695" w14:textId="3BA7BED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sz w:val="24"/>
          <w:szCs w:val="24"/>
        </w:rPr>
        <w:t>FEMA followed the same procedure to calculate the average maintenance costs per response to the THIRA/SPR data collection for tribes. Multiplying 290 average burden hours per response by the loaded wage rate of $</w:t>
      </w:r>
      <w:r w:rsidR="00831464">
        <w:rPr>
          <w:rFonts w:ascii="Times New Roman" w:hAnsi="Times New Roman" w:cs="Times New Roman"/>
          <w:bCs/>
          <w:sz w:val="24"/>
          <w:szCs w:val="24"/>
        </w:rPr>
        <w:t>55.36</w:t>
      </w:r>
      <w:r>
        <w:rPr>
          <w:rFonts w:ascii="Times New Roman" w:hAnsi="Times New Roman" w:cs="Times New Roman"/>
          <w:bCs/>
          <w:sz w:val="24"/>
          <w:szCs w:val="24"/>
        </w:rPr>
        <w:t xml:space="preserve"> yields a total personnel cost of $</w:t>
      </w:r>
      <w:r w:rsidR="00016E8C">
        <w:rPr>
          <w:rFonts w:ascii="Times New Roman" w:hAnsi="Times New Roman" w:cs="Times New Roman"/>
          <w:bCs/>
          <w:sz w:val="24"/>
          <w:szCs w:val="24"/>
        </w:rPr>
        <w:t>16,054</w:t>
      </w:r>
      <w:r>
        <w:rPr>
          <w:rFonts w:ascii="Times New Roman" w:hAnsi="Times New Roman" w:cs="Times New Roman"/>
          <w:bCs/>
          <w:sz w:val="24"/>
          <w:szCs w:val="24"/>
        </w:rPr>
        <w:t>. Using the cost breakouts stated above, dividing $</w:t>
      </w:r>
      <w:r w:rsidR="00016E8C">
        <w:rPr>
          <w:rFonts w:ascii="Times New Roman" w:hAnsi="Times New Roman" w:cs="Times New Roman"/>
          <w:bCs/>
          <w:sz w:val="24"/>
          <w:szCs w:val="24"/>
        </w:rPr>
        <w:t>16,054</w:t>
      </w:r>
      <w:r>
        <w:rPr>
          <w:rFonts w:ascii="Times New Roman" w:hAnsi="Times New Roman" w:cs="Times New Roman"/>
          <w:bCs/>
          <w:sz w:val="24"/>
          <w:szCs w:val="24"/>
        </w:rPr>
        <w:t xml:space="preserve"> by 0.23 yields $</w:t>
      </w:r>
      <w:r w:rsidR="00016E8C">
        <w:rPr>
          <w:rFonts w:ascii="Times New Roman" w:hAnsi="Times New Roman" w:cs="Times New Roman"/>
          <w:bCs/>
          <w:sz w:val="24"/>
          <w:szCs w:val="24"/>
        </w:rPr>
        <w:t>69,80</w:t>
      </w:r>
      <w:r w:rsidR="009A2AB0">
        <w:rPr>
          <w:rFonts w:ascii="Times New Roman" w:hAnsi="Times New Roman" w:cs="Times New Roman"/>
          <w:bCs/>
          <w:sz w:val="24"/>
          <w:szCs w:val="24"/>
        </w:rPr>
        <w:t>0</w:t>
      </w:r>
      <w:r>
        <w:rPr>
          <w:rFonts w:ascii="Times New Roman" w:hAnsi="Times New Roman" w:cs="Times New Roman"/>
          <w:bCs/>
          <w:sz w:val="24"/>
          <w:szCs w:val="24"/>
        </w:rPr>
        <w:t>, representing the average THIRA development cost per response. Accordingly, contracting costs ($</w:t>
      </w:r>
      <w:r w:rsidR="00016E8C">
        <w:rPr>
          <w:rFonts w:ascii="Times New Roman" w:hAnsi="Times New Roman" w:cs="Times New Roman"/>
          <w:bCs/>
          <w:sz w:val="24"/>
          <w:szCs w:val="24"/>
        </w:rPr>
        <w:t>46,06</w:t>
      </w:r>
      <w:r w:rsidR="009A2AB0">
        <w:rPr>
          <w:rFonts w:ascii="Times New Roman" w:hAnsi="Times New Roman" w:cs="Times New Roman"/>
          <w:bCs/>
          <w:sz w:val="24"/>
          <w:szCs w:val="24"/>
        </w:rPr>
        <w:t>8</w:t>
      </w:r>
      <w:r>
        <w:rPr>
          <w:rFonts w:ascii="Times New Roman" w:hAnsi="Times New Roman" w:cs="Times New Roman"/>
          <w:bCs/>
          <w:sz w:val="24"/>
          <w:szCs w:val="24"/>
        </w:rPr>
        <w:t>) represent the Annual Operations and Maintenance costs, and non-labor ($</w:t>
      </w:r>
      <w:r w:rsidR="000F189C">
        <w:rPr>
          <w:rFonts w:ascii="Times New Roman" w:hAnsi="Times New Roman" w:cs="Times New Roman"/>
          <w:bCs/>
          <w:sz w:val="24"/>
          <w:szCs w:val="24"/>
        </w:rPr>
        <w:t>7,678</w:t>
      </w:r>
      <w:r>
        <w:rPr>
          <w:rFonts w:ascii="Times New Roman" w:hAnsi="Times New Roman" w:cs="Times New Roman"/>
          <w:bCs/>
          <w:sz w:val="24"/>
          <w:szCs w:val="24"/>
        </w:rPr>
        <w:t>) represent the Annual Non-Labor costs, totaling $</w:t>
      </w:r>
      <w:r w:rsidR="000F189C">
        <w:rPr>
          <w:rFonts w:ascii="Times New Roman" w:hAnsi="Times New Roman" w:cs="Times New Roman"/>
          <w:bCs/>
          <w:sz w:val="24"/>
          <w:szCs w:val="24"/>
        </w:rPr>
        <w:t>53,74</w:t>
      </w:r>
      <w:r w:rsidR="009A2AB0">
        <w:rPr>
          <w:rFonts w:ascii="Times New Roman" w:hAnsi="Times New Roman" w:cs="Times New Roman"/>
          <w:bCs/>
          <w:sz w:val="24"/>
          <w:szCs w:val="24"/>
        </w:rPr>
        <w:t>6</w:t>
      </w:r>
      <w:r>
        <w:rPr>
          <w:rFonts w:ascii="Times New Roman" w:hAnsi="Times New Roman" w:cs="Times New Roman"/>
          <w:bCs/>
          <w:sz w:val="24"/>
          <w:szCs w:val="24"/>
        </w:rPr>
        <w:t xml:space="preserve"> (rounded). Multiplying </w:t>
      </w:r>
      <w:r w:rsidR="002F75EC">
        <w:rPr>
          <w:rFonts w:ascii="Times New Roman" w:hAnsi="Times New Roman" w:cs="Times New Roman"/>
          <w:bCs/>
          <w:sz w:val="24"/>
          <w:szCs w:val="24"/>
        </w:rPr>
        <w:t>average development costs</w:t>
      </w:r>
      <w:r w:rsidDel="002F75EC" w:rsidR="002F75EC">
        <w:rPr>
          <w:rFonts w:ascii="Times New Roman" w:hAnsi="Times New Roman" w:cs="Times New Roman"/>
          <w:bCs/>
          <w:sz w:val="24"/>
          <w:szCs w:val="24"/>
        </w:rPr>
        <w:t xml:space="preserve"> </w:t>
      </w:r>
      <w:r>
        <w:rPr>
          <w:rFonts w:ascii="Times New Roman" w:hAnsi="Times New Roman" w:cs="Times New Roman"/>
          <w:bCs/>
          <w:sz w:val="24"/>
          <w:szCs w:val="24"/>
        </w:rPr>
        <w:t xml:space="preserve">by </w:t>
      </w:r>
      <w:r w:rsidR="0098732E">
        <w:rPr>
          <w:rFonts w:ascii="Times New Roman" w:hAnsi="Times New Roman" w:cs="Times New Roman"/>
          <w:bCs/>
          <w:sz w:val="24"/>
          <w:szCs w:val="24"/>
        </w:rPr>
        <w:t>39</w:t>
      </w:r>
      <w:r>
        <w:rPr>
          <w:rFonts w:ascii="Times New Roman" w:hAnsi="Times New Roman" w:cs="Times New Roman"/>
          <w:bCs/>
          <w:sz w:val="24"/>
          <w:szCs w:val="24"/>
        </w:rPr>
        <w:t xml:space="preserve"> respondents gives a </w:t>
      </w:r>
      <w:r w:rsidRPr="00612845">
        <w:rPr>
          <w:rFonts w:ascii="Times New Roman" w:hAnsi="Times New Roman" w:cs="Times New Roman"/>
          <w:bCs/>
          <w:color w:val="000000" w:themeColor="text1"/>
          <w:sz w:val="24"/>
          <w:szCs w:val="24"/>
        </w:rPr>
        <w:t>total annual maintenance cost of</w:t>
      </w:r>
      <w:r w:rsidR="002F75EC">
        <w:rPr>
          <w:rFonts w:ascii="Times New Roman" w:hAnsi="Times New Roman" w:cs="Times New Roman"/>
          <w:bCs/>
          <w:color w:val="000000" w:themeColor="text1"/>
          <w:sz w:val="24"/>
          <w:szCs w:val="24"/>
        </w:rPr>
        <w:t xml:space="preserve"> </w:t>
      </w:r>
      <w:r w:rsidRPr="00612845" w:rsidR="00450FBA">
        <w:rPr>
          <w:rFonts w:ascii="Times New Roman" w:hAnsi="Times New Roman" w:cs="Times New Roman"/>
          <w:b/>
          <w:color w:val="000000" w:themeColor="text1"/>
          <w:sz w:val="24"/>
          <w:szCs w:val="24"/>
        </w:rPr>
        <w:t>$</w:t>
      </w:r>
      <w:r w:rsidR="00EA0CA5">
        <w:rPr>
          <w:rFonts w:ascii="Times New Roman" w:hAnsi="Times New Roman" w:cs="Times New Roman"/>
          <w:b/>
          <w:color w:val="000000" w:themeColor="text1"/>
          <w:sz w:val="24"/>
          <w:szCs w:val="24"/>
        </w:rPr>
        <w:t>2,</w:t>
      </w:r>
      <w:r w:rsidR="00357E8D">
        <w:rPr>
          <w:rFonts w:ascii="Times New Roman" w:hAnsi="Times New Roman" w:cs="Times New Roman"/>
          <w:b/>
          <w:color w:val="000000" w:themeColor="text1"/>
          <w:sz w:val="24"/>
          <w:szCs w:val="24"/>
        </w:rPr>
        <w:t>722</w:t>
      </w:r>
      <w:r w:rsidR="00EA0CA5">
        <w:rPr>
          <w:rFonts w:ascii="Times New Roman" w:hAnsi="Times New Roman" w:cs="Times New Roman"/>
          <w:b/>
          <w:color w:val="000000" w:themeColor="text1"/>
          <w:sz w:val="24"/>
          <w:szCs w:val="24"/>
        </w:rPr>
        <w:t>,</w:t>
      </w:r>
      <w:r w:rsidR="00357E8D">
        <w:rPr>
          <w:rFonts w:ascii="Times New Roman" w:hAnsi="Times New Roman" w:cs="Times New Roman"/>
          <w:b/>
          <w:color w:val="000000" w:themeColor="text1"/>
          <w:sz w:val="24"/>
          <w:szCs w:val="24"/>
        </w:rPr>
        <w:t>20</w:t>
      </w:r>
      <w:r w:rsidR="009A2AB0">
        <w:rPr>
          <w:rFonts w:ascii="Times New Roman" w:hAnsi="Times New Roman" w:cs="Times New Roman"/>
          <w:b/>
          <w:color w:val="000000" w:themeColor="text1"/>
          <w:sz w:val="24"/>
          <w:szCs w:val="24"/>
        </w:rPr>
        <w:t>0</w:t>
      </w:r>
      <w:r w:rsidRPr="00612845">
        <w:rPr>
          <w:rFonts w:ascii="Times New Roman" w:hAnsi="Times New Roman" w:cs="Times New Roman"/>
          <w:bCs/>
          <w:color w:val="000000" w:themeColor="text1"/>
          <w:sz w:val="24"/>
          <w:szCs w:val="24"/>
        </w:rPr>
        <w:t xml:space="preserve"> (rounded).</w:t>
      </w:r>
    </w:p>
    <w:p w:rsidRPr="00612845" w:rsidR="004C6656" w:rsidP="004C6656" w:rsidRDefault="004C6656" w14:paraId="5052735B" w14:textId="77777777">
      <w:pPr>
        <w:spacing w:after="0" w:line="240" w:lineRule="auto"/>
        <w:rPr>
          <w:rFonts w:ascii="Times New Roman" w:hAnsi="Times New Roman" w:cs="Times New Roman"/>
          <w:bCs/>
          <w:color w:val="000000" w:themeColor="text1"/>
          <w:sz w:val="24"/>
          <w:szCs w:val="24"/>
        </w:rPr>
      </w:pPr>
    </w:p>
    <w:p w:rsidRPr="00612845" w:rsidR="004C6656" w:rsidP="00E638A6" w:rsidRDefault="004C6656" w14:paraId="6A84067C" w14:textId="0789DA43">
      <w:pPr>
        <w:spacing w:after="0" w:line="240" w:lineRule="auto"/>
        <w:rPr>
          <w:rFonts w:ascii="Times New Roman" w:hAnsi="Times New Roman" w:cs="Times New Roman"/>
          <w:b/>
          <w:bCs/>
          <w:color w:val="000000" w:themeColor="text1"/>
          <w:sz w:val="24"/>
          <w:szCs w:val="24"/>
        </w:rPr>
      </w:pPr>
      <w:r w:rsidRPr="00612845">
        <w:rPr>
          <w:rFonts w:ascii="Times New Roman" w:hAnsi="Times New Roman" w:cs="Times New Roman"/>
          <w:bCs/>
          <w:color w:val="000000" w:themeColor="text1"/>
          <w:sz w:val="24"/>
          <w:szCs w:val="24"/>
        </w:rPr>
        <w:t xml:space="preserve">The total cost to respondents and record keepers (including operations/maintenance and non-labor costs) is </w:t>
      </w:r>
      <w:r w:rsidRPr="00612845">
        <w:rPr>
          <w:rFonts w:ascii="Times New Roman" w:hAnsi="Times New Roman" w:cs="Times New Roman"/>
          <w:b/>
          <w:bCs/>
          <w:color w:val="000000" w:themeColor="text1"/>
          <w:sz w:val="24"/>
          <w:szCs w:val="24"/>
        </w:rPr>
        <w:t>$</w:t>
      </w:r>
      <w:r w:rsidR="003C742F">
        <w:rPr>
          <w:rFonts w:ascii="Times New Roman" w:hAnsi="Times New Roman" w:cs="Times New Roman"/>
          <w:b/>
          <w:bCs/>
          <w:color w:val="000000" w:themeColor="text1"/>
          <w:sz w:val="24"/>
          <w:szCs w:val="24"/>
        </w:rPr>
        <w:t>1</w:t>
      </w:r>
      <w:r w:rsidR="00312F5B">
        <w:rPr>
          <w:rFonts w:ascii="Times New Roman" w:hAnsi="Times New Roman" w:cs="Times New Roman"/>
          <w:b/>
          <w:bCs/>
          <w:color w:val="000000" w:themeColor="text1"/>
          <w:sz w:val="24"/>
          <w:szCs w:val="24"/>
        </w:rPr>
        <w:t>8</w:t>
      </w:r>
      <w:r w:rsidR="003C742F">
        <w:rPr>
          <w:rFonts w:ascii="Times New Roman" w:hAnsi="Times New Roman" w:cs="Times New Roman"/>
          <w:b/>
          <w:bCs/>
          <w:color w:val="000000" w:themeColor="text1"/>
          <w:sz w:val="24"/>
          <w:szCs w:val="24"/>
        </w:rPr>
        <w:t>,</w:t>
      </w:r>
      <w:r w:rsidR="00312F5B">
        <w:rPr>
          <w:rFonts w:ascii="Times New Roman" w:hAnsi="Times New Roman" w:cs="Times New Roman"/>
          <w:b/>
          <w:bCs/>
          <w:color w:val="000000" w:themeColor="text1"/>
          <w:sz w:val="24"/>
          <w:szCs w:val="24"/>
        </w:rPr>
        <w:t>615</w:t>
      </w:r>
      <w:r w:rsidR="003C742F">
        <w:rPr>
          <w:rFonts w:ascii="Times New Roman" w:hAnsi="Times New Roman" w:cs="Times New Roman"/>
          <w:b/>
          <w:bCs/>
          <w:color w:val="000000" w:themeColor="text1"/>
          <w:sz w:val="24"/>
          <w:szCs w:val="24"/>
        </w:rPr>
        <w:t>,</w:t>
      </w:r>
      <w:r w:rsidR="00312F5B">
        <w:rPr>
          <w:rFonts w:ascii="Times New Roman" w:hAnsi="Times New Roman" w:cs="Times New Roman"/>
          <w:b/>
          <w:bCs/>
          <w:color w:val="000000" w:themeColor="text1"/>
          <w:sz w:val="24"/>
          <w:szCs w:val="24"/>
        </w:rPr>
        <w:t>685</w:t>
      </w:r>
      <w:r w:rsidRPr="00612845">
        <w:rPr>
          <w:rFonts w:ascii="Times New Roman" w:hAnsi="Times New Roman" w:cs="Times New Roman"/>
          <w:b/>
          <w:bCs/>
          <w:color w:val="000000" w:themeColor="text1"/>
          <w:sz w:val="24"/>
          <w:szCs w:val="24"/>
        </w:rPr>
        <w:t xml:space="preserve"> + $</w:t>
      </w:r>
      <w:r w:rsidR="00EA0CA5">
        <w:rPr>
          <w:rFonts w:ascii="Times New Roman" w:hAnsi="Times New Roman" w:cs="Times New Roman"/>
          <w:b/>
          <w:bCs/>
          <w:color w:val="000000" w:themeColor="text1"/>
          <w:sz w:val="24"/>
          <w:szCs w:val="24"/>
        </w:rPr>
        <w:t>2,</w:t>
      </w:r>
      <w:r w:rsidR="00312F5B">
        <w:rPr>
          <w:rFonts w:ascii="Times New Roman" w:hAnsi="Times New Roman" w:cs="Times New Roman"/>
          <w:b/>
          <w:bCs/>
          <w:color w:val="000000" w:themeColor="text1"/>
          <w:sz w:val="24"/>
          <w:szCs w:val="24"/>
        </w:rPr>
        <w:t>722</w:t>
      </w:r>
      <w:r w:rsidR="00EA0CA5">
        <w:rPr>
          <w:rFonts w:ascii="Times New Roman" w:hAnsi="Times New Roman" w:cs="Times New Roman"/>
          <w:b/>
          <w:bCs/>
          <w:color w:val="000000" w:themeColor="text1"/>
          <w:sz w:val="24"/>
          <w:szCs w:val="24"/>
        </w:rPr>
        <w:t>,</w:t>
      </w:r>
      <w:r w:rsidR="00312F5B">
        <w:rPr>
          <w:rFonts w:ascii="Times New Roman" w:hAnsi="Times New Roman" w:cs="Times New Roman"/>
          <w:b/>
          <w:bCs/>
          <w:color w:val="000000" w:themeColor="text1"/>
          <w:sz w:val="24"/>
          <w:szCs w:val="24"/>
        </w:rPr>
        <w:t>200</w:t>
      </w:r>
      <w:r w:rsidRPr="00612845">
        <w:rPr>
          <w:rFonts w:ascii="Times New Roman" w:hAnsi="Times New Roman" w:cs="Times New Roman"/>
          <w:bCs/>
          <w:color w:val="000000" w:themeColor="text1"/>
          <w:sz w:val="24"/>
          <w:szCs w:val="24"/>
        </w:rPr>
        <w:t xml:space="preserve">, which equals </w:t>
      </w:r>
      <w:r w:rsidRPr="00612845">
        <w:rPr>
          <w:rFonts w:ascii="Times New Roman" w:hAnsi="Times New Roman" w:cs="Times New Roman"/>
          <w:b/>
          <w:bCs/>
          <w:color w:val="000000" w:themeColor="text1"/>
          <w:sz w:val="24"/>
          <w:szCs w:val="24"/>
        </w:rPr>
        <w:t>$</w:t>
      </w:r>
      <w:r w:rsidR="00312F5B">
        <w:rPr>
          <w:rFonts w:ascii="Times New Roman" w:hAnsi="Times New Roman" w:cs="Times New Roman"/>
          <w:b/>
          <w:bCs/>
          <w:color w:val="000000" w:themeColor="text1"/>
          <w:sz w:val="24"/>
          <w:szCs w:val="24"/>
        </w:rPr>
        <w:t>2</w:t>
      </w:r>
      <w:r w:rsidR="00EA0CA5">
        <w:rPr>
          <w:rFonts w:ascii="Times New Roman" w:hAnsi="Times New Roman" w:cs="Times New Roman"/>
          <w:b/>
          <w:bCs/>
          <w:color w:val="000000" w:themeColor="text1"/>
          <w:sz w:val="24"/>
          <w:szCs w:val="24"/>
        </w:rPr>
        <w:t>1,</w:t>
      </w:r>
      <w:r w:rsidR="00312F5B">
        <w:rPr>
          <w:rFonts w:ascii="Times New Roman" w:hAnsi="Times New Roman" w:cs="Times New Roman"/>
          <w:b/>
          <w:bCs/>
          <w:color w:val="000000" w:themeColor="text1"/>
          <w:sz w:val="24"/>
          <w:szCs w:val="24"/>
        </w:rPr>
        <w:t>337</w:t>
      </w:r>
      <w:r w:rsidR="00EA0CA5">
        <w:rPr>
          <w:rFonts w:ascii="Times New Roman" w:hAnsi="Times New Roman" w:cs="Times New Roman"/>
          <w:b/>
          <w:bCs/>
          <w:color w:val="000000" w:themeColor="text1"/>
          <w:sz w:val="24"/>
          <w:szCs w:val="24"/>
        </w:rPr>
        <w:t>,</w:t>
      </w:r>
      <w:r w:rsidR="00312F5B">
        <w:rPr>
          <w:rFonts w:ascii="Times New Roman" w:hAnsi="Times New Roman" w:cs="Times New Roman"/>
          <w:b/>
          <w:bCs/>
          <w:color w:val="000000" w:themeColor="text1"/>
          <w:sz w:val="24"/>
          <w:szCs w:val="24"/>
        </w:rPr>
        <w:t>885</w:t>
      </w:r>
      <w:r w:rsidR="00EA0CA5">
        <w:rPr>
          <w:rFonts w:ascii="Times New Roman" w:hAnsi="Times New Roman" w:cs="Times New Roman"/>
          <w:b/>
          <w:bCs/>
          <w:color w:val="000000" w:themeColor="text1"/>
          <w:sz w:val="24"/>
          <w:szCs w:val="24"/>
        </w:rPr>
        <w:t>.</w:t>
      </w:r>
    </w:p>
    <w:p w:rsidRPr="00612845" w:rsidR="00562915" w:rsidP="00562915" w:rsidRDefault="00562915" w14:paraId="71EC6667" w14:textId="5B58DAC5">
      <w:pPr>
        <w:rPr>
          <w:rFonts w:ascii="Times New Roman" w:hAnsi="Times New Roman" w:cs="Times New Roman"/>
          <w:color w:val="000000" w:themeColor="text1"/>
          <w:sz w:val="24"/>
          <w:szCs w:val="24"/>
        </w:rPr>
      </w:pPr>
    </w:p>
    <w:p w:rsidRPr="009B69D3" w:rsidR="00562915" w:rsidRDefault="00562915" w14:paraId="3D8D1496" w14:textId="3E96099D">
      <w:pPr>
        <w:rPr>
          <w:sz w:val="16"/>
          <w:szCs w:val="16"/>
        </w:rPr>
      </w:pPr>
      <w:r w:rsidRPr="00612845">
        <w:rPr>
          <w:b/>
          <w:bCs/>
          <w:color w:val="000000" w:themeColor="text1"/>
        </w:rPr>
        <w:t xml:space="preserve"> </w:t>
      </w:r>
      <w:r w:rsidRPr="00612845">
        <w:rPr>
          <w:rFonts w:ascii="Times New Roman" w:hAnsi="Times New Roman" w:cs="Times New Roman"/>
          <w:b/>
          <w:bCs/>
          <w:color w:val="000000" w:themeColor="text1"/>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w:t>
      </w:r>
      <w:r w:rsidRPr="006625E7">
        <w:rPr>
          <w:rFonts w:ascii="Times New Roman" w:hAnsi="Times New Roman" w:cs="Times New Roman"/>
          <w:b/>
          <w:bCs/>
          <w:sz w:val="24"/>
          <w:szCs w:val="24"/>
        </w:rPr>
        <w:t>single table.</w:t>
      </w:r>
      <w:r w:rsidDel="002A4DAD" w:rsidR="002A4DAD">
        <w:rPr>
          <w:rFonts w:ascii="Times New Roman" w:hAnsi="Times New Roman" w:cs="Times New Roman"/>
          <w:b/>
          <w:bCs/>
          <w:sz w:val="24"/>
          <w:szCs w:val="24"/>
        </w:rPr>
        <w:t xml:space="preserve"> </w:t>
      </w:r>
    </w:p>
    <w:p w:rsidRPr="002171D1" w:rsidR="00D14AE9" w:rsidP="00D14AE9" w:rsidRDefault="00562915" w14:paraId="1902BB9D" w14:textId="0B9BA9C3">
      <w:pPr>
        <w:spacing w:after="0" w:line="240" w:lineRule="auto"/>
        <w:rPr>
          <w:rFonts w:ascii="Times New Roman" w:hAnsi="Times New Roman" w:cs="Times New Roman"/>
          <w:b/>
          <w:i/>
          <w:sz w:val="24"/>
          <w:szCs w:val="24"/>
        </w:rPr>
      </w:pPr>
      <w:r>
        <w:fldChar w:fldCharType="begin"/>
      </w:r>
      <w:r>
        <w:instrText>ADVANCE \R 0.95</w:instrText>
      </w:r>
      <w:r>
        <w:fldChar w:fldCharType="end"/>
      </w:r>
      <w:r>
        <w:fldChar w:fldCharType="begin"/>
      </w:r>
      <w:r>
        <w:instrText>ADVANCE \R 0.95</w:instrText>
      </w:r>
      <w:r>
        <w:fldChar w:fldCharType="end"/>
      </w:r>
      <w:r w:rsidRPr="002171D1" w:rsidR="00D14AE9">
        <w:rPr>
          <w:rFonts w:ascii="Times New Roman" w:hAnsi="Times New Roman" w:cs="Times New Roman"/>
          <w:b/>
          <w:i/>
          <w:sz w:val="24"/>
          <w:szCs w:val="24"/>
        </w:rPr>
        <w:t>Explain:</w:t>
      </w:r>
    </w:p>
    <w:p w:rsidR="00D14AE9" w:rsidP="00D14AE9" w:rsidRDefault="00D14AE9" w14:paraId="18E43FEB" w14:textId="77777777">
      <w:pPr>
        <w:spacing w:after="0" w:line="240" w:lineRule="auto"/>
        <w:rPr>
          <w:rFonts w:ascii="Times New Roman" w:hAnsi="Times New Roman" w:cs="Times New Roman"/>
          <w:i/>
          <w:sz w:val="24"/>
          <w:szCs w:val="24"/>
        </w:rPr>
      </w:pPr>
    </w:p>
    <w:p w:rsidRPr="00774064" w:rsidR="00D14AE9" w:rsidP="00D14AE9" w:rsidRDefault="00D14AE9" w14:paraId="0774D199" w14:textId="1CFB9ADD">
      <w:pPr>
        <w:spacing w:after="0" w:line="240" w:lineRule="auto"/>
        <w:rPr>
          <w:rFonts w:ascii="Times New Roman" w:hAnsi="Times New Roman" w:cs="Times New Roman"/>
          <w:sz w:val="24"/>
          <w:szCs w:val="24"/>
        </w:rPr>
      </w:pPr>
      <w:r w:rsidRPr="00774064">
        <w:rPr>
          <w:rFonts w:ascii="Times New Roman" w:hAnsi="Times New Roman" w:cs="Times New Roman"/>
          <w:sz w:val="24"/>
          <w:szCs w:val="24"/>
        </w:rPr>
        <w:t>FEMA</w:t>
      </w:r>
      <w:r>
        <w:rPr>
          <w:rFonts w:ascii="Times New Roman" w:hAnsi="Times New Roman" w:cs="Times New Roman"/>
          <w:sz w:val="24"/>
          <w:szCs w:val="24"/>
        </w:rPr>
        <w:t xml:space="preserve">’s National Preparedness Directorate holds </w:t>
      </w:r>
      <w:r w:rsidR="001E0348">
        <w:rPr>
          <w:rFonts w:ascii="Times New Roman" w:hAnsi="Times New Roman" w:cs="Times New Roman"/>
          <w:sz w:val="24"/>
          <w:szCs w:val="24"/>
        </w:rPr>
        <w:t xml:space="preserve">two </w:t>
      </w:r>
      <w:r>
        <w:rPr>
          <w:rFonts w:ascii="Times New Roman" w:hAnsi="Times New Roman" w:cs="Times New Roman"/>
          <w:sz w:val="24"/>
          <w:szCs w:val="24"/>
        </w:rPr>
        <w:t>contract</w:t>
      </w:r>
      <w:r w:rsidR="001E0348">
        <w:rPr>
          <w:rFonts w:ascii="Times New Roman" w:hAnsi="Times New Roman" w:cs="Times New Roman"/>
          <w:sz w:val="24"/>
          <w:szCs w:val="24"/>
        </w:rPr>
        <w:t>s</w:t>
      </w:r>
      <w:r>
        <w:rPr>
          <w:rFonts w:ascii="Times New Roman" w:hAnsi="Times New Roman" w:cs="Times New Roman"/>
          <w:sz w:val="24"/>
          <w:szCs w:val="24"/>
        </w:rPr>
        <w:t xml:space="preserve"> supporting the THIRA/SPR (among other tasks).  </w:t>
      </w:r>
      <w:r w:rsidRPr="00774064">
        <w:rPr>
          <w:rFonts w:ascii="Times New Roman" w:hAnsi="Times New Roman" w:cs="Times New Roman"/>
          <w:sz w:val="24"/>
          <w:szCs w:val="24"/>
        </w:rPr>
        <w:t>Th</w:t>
      </w:r>
      <w:r>
        <w:rPr>
          <w:rFonts w:ascii="Times New Roman" w:hAnsi="Times New Roman" w:cs="Times New Roman"/>
          <w:sz w:val="24"/>
          <w:szCs w:val="24"/>
        </w:rPr>
        <w:t>ese</w:t>
      </w:r>
      <w:r w:rsidRPr="00774064">
        <w:rPr>
          <w:rFonts w:ascii="Times New Roman" w:hAnsi="Times New Roman" w:cs="Times New Roman"/>
          <w:sz w:val="24"/>
          <w:szCs w:val="24"/>
        </w:rPr>
        <w:t xml:space="preserve"> contract</w:t>
      </w:r>
      <w:r>
        <w:rPr>
          <w:rFonts w:ascii="Times New Roman" w:hAnsi="Times New Roman" w:cs="Times New Roman"/>
          <w:sz w:val="24"/>
          <w:szCs w:val="24"/>
        </w:rPr>
        <w:t>s</w:t>
      </w:r>
      <w:r w:rsidRPr="00774064">
        <w:rPr>
          <w:rFonts w:ascii="Times New Roman" w:hAnsi="Times New Roman" w:cs="Times New Roman"/>
          <w:sz w:val="24"/>
          <w:szCs w:val="24"/>
        </w:rPr>
        <w:t xml:space="preserve"> support the development of the Unified Reporting Tool and user guide, development of technical assistance materials, analysis of THIRA and SPR results, help desk support, and the development of outreach materials.</w:t>
      </w:r>
    </w:p>
    <w:p w:rsidR="00D14AE9" w:rsidP="00D14AE9" w:rsidRDefault="00D14AE9" w14:paraId="2799890A" w14:textId="77777777">
      <w:pPr>
        <w:spacing w:after="0" w:line="240" w:lineRule="auto"/>
      </w:pPr>
    </w:p>
    <w:p w:rsidR="00D14AE9" w:rsidP="00D14AE9" w:rsidRDefault="00D14AE9" w14:paraId="482B0FC9" w14:textId="536F7D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employs </w:t>
      </w:r>
      <w:r w:rsidR="00963208">
        <w:rPr>
          <w:rFonts w:ascii="Times New Roman" w:hAnsi="Times New Roman" w:cs="Times New Roman"/>
          <w:sz w:val="24"/>
          <w:szCs w:val="24"/>
        </w:rPr>
        <w:t xml:space="preserve">three </w:t>
      </w:r>
      <w:r>
        <w:rPr>
          <w:rFonts w:ascii="Times New Roman" w:hAnsi="Times New Roman" w:cs="Times New Roman"/>
          <w:sz w:val="24"/>
          <w:szCs w:val="24"/>
        </w:rPr>
        <w:t xml:space="preserve">full-time </w:t>
      </w:r>
      <w:r w:rsidR="00EB05F0">
        <w:rPr>
          <w:rFonts w:ascii="Times New Roman" w:hAnsi="Times New Roman" w:cs="Times New Roman"/>
          <w:sz w:val="24"/>
          <w:szCs w:val="24"/>
        </w:rPr>
        <w:t>F</w:t>
      </w:r>
      <w:r>
        <w:rPr>
          <w:rFonts w:ascii="Times New Roman" w:hAnsi="Times New Roman" w:cs="Times New Roman"/>
          <w:sz w:val="24"/>
          <w:szCs w:val="24"/>
        </w:rPr>
        <w:t>ederal employees</w:t>
      </w:r>
      <w:r w:rsidR="00EB05F0">
        <w:rPr>
          <w:rFonts w:ascii="Times New Roman" w:hAnsi="Times New Roman" w:cs="Times New Roman"/>
          <w:sz w:val="24"/>
          <w:szCs w:val="24"/>
        </w:rPr>
        <w:t>- one (1)</w:t>
      </w:r>
      <w:r>
        <w:rPr>
          <w:rFonts w:ascii="Times New Roman" w:hAnsi="Times New Roman" w:cs="Times New Roman"/>
          <w:sz w:val="24"/>
          <w:szCs w:val="24"/>
        </w:rPr>
        <w:t xml:space="preserve"> GS-14, Step </w:t>
      </w:r>
      <w:r w:rsidR="00963208">
        <w:rPr>
          <w:rFonts w:ascii="Times New Roman" w:hAnsi="Times New Roman" w:cs="Times New Roman"/>
          <w:sz w:val="24"/>
          <w:szCs w:val="24"/>
        </w:rPr>
        <w:t>2</w:t>
      </w:r>
      <w:r>
        <w:rPr>
          <w:rFonts w:ascii="Times New Roman" w:hAnsi="Times New Roman" w:cs="Times New Roman"/>
          <w:sz w:val="24"/>
          <w:szCs w:val="24"/>
        </w:rPr>
        <w:t>,</w:t>
      </w:r>
      <w:r w:rsidR="00EB05F0">
        <w:rPr>
          <w:rFonts w:ascii="Times New Roman" w:hAnsi="Times New Roman" w:cs="Times New Roman"/>
          <w:sz w:val="24"/>
          <w:szCs w:val="24"/>
        </w:rPr>
        <w:t xml:space="preserve"> one</w:t>
      </w:r>
      <w:r>
        <w:rPr>
          <w:rFonts w:ascii="Times New Roman" w:hAnsi="Times New Roman" w:cs="Times New Roman"/>
          <w:sz w:val="24"/>
          <w:szCs w:val="24"/>
        </w:rPr>
        <w:t xml:space="preserve"> </w:t>
      </w:r>
      <w:r w:rsidR="00EB05F0">
        <w:rPr>
          <w:rFonts w:ascii="Times New Roman" w:hAnsi="Times New Roman" w:cs="Times New Roman"/>
          <w:sz w:val="24"/>
          <w:szCs w:val="24"/>
        </w:rPr>
        <w:t>(</w:t>
      </w:r>
      <w:r w:rsidR="00361B4B">
        <w:rPr>
          <w:rFonts w:ascii="Times New Roman" w:hAnsi="Times New Roman" w:cs="Times New Roman"/>
          <w:sz w:val="24"/>
          <w:szCs w:val="24"/>
        </w:rPr>
        <w:t>1</w:t>
      </w:r>
      <w:r w:rsidR="00EB05F0">
        <w:rPr>
          <w:rFonts w:ascii="Times New Roman" w:hAnsi="Times New Roman" w:cs="Times New Roman"/>
          <w:sz w:val="24"/>
          <w:szCs w:val="24"/>
        </w:rPr>
        <w:t>)</w:t>
      </w:r>
      <w:r w:rsidR="00361B4B">
        <w:rPr>
          <w:rFonts w:ascii="Times New Roman" w:hAnsi="Times New Roman" w:cs="Times New Roman"/>
          <w:sz w:val="24"/>
          <w:szCs w:val="24"/>
        </w:rPr>
        <w:t xml:space="preserve"> </w:t>
      </w:r>
      <w:r>
        <w:rPr>
          <w:rFonts w:ascii="Times New Roman" w:hAnsi="Times New Roman" w:cs="Times New Roman"/>
          <w:sz w:val="24"/>
          <w:szCs w:val="24"/>
        </w:rPr>
        <w:t xml:space="preserve">GS-12, step </w:t>
      </w:r>
      <w:r w:rsidR="00D34E15">
        <w:rPr>
          <w:rFonts w:ascii="Times New Roman" w:hAnsi="Times New Roman" w:cs="Times New Roman"/>
          <w:sz w:val="24"/>
          <w:szCs w:val="24"/>
        </w:rPr>
        <w:t>4</w:t>
      </w:r>
      <w:r w:rsidR="00361B4B">
        <w:rPr>
          <w:rFonts w:ascii="Times New Roman" w:hAnsi="Times New Roman" w:cs="Times New Roman"/>
          <w:sz w:val="24"/>
          <w:szCs w:val="24"/>
        </w:rPr>
        <w:t xml:space="preserve">, </w:t>
      </w:r>
      <w:r w:rsidR="007D1F24">
        <w:rPr>
          <w:rFonts w:ascii="Times New Roman" w:hAnsi="Times New Roman" w:cs="Times New Roman"/>
          <w:sz w:val="24"/>
          <w:szCs w:val="24"/>
        </w:rPr>
        <w:t xml:space="preserve">and </w:t>
      </w:r>
      <w:r w:rsidR="00EB05F0">
        <w:rPr>
          <w:rFonts w:ascii="Times New Roman" w:hAnsi="Times New Roman" w:cs="Times New Roman"/>
          <w:sz w:val="24"/>
          <w:szCs w:val="24"/>
        </w:rPr>
        <w:t>one (</w:t>
      </w:r>
      <w:r w:rsidR="00361B4B">
        <w:rPr>
          <w:rFonts w:ascii="Times New Roman" w:hAnsi="Times New Roman" w:cs="Times New Roman"/>
          <w:sz w:val="24"/>
          <w:szCs w:val="24"/>
        </w:rPr>
        <w:t>1</w:t>
      </w:r>
      <w:r w:rsidR="00EB05F0">
        <w:rPr>
          <w:rFonts w:ascii="Times New Roman" w:hAnsi="Times New Roman" w:cs="Times New Roman"/>
          <w:sz w:val="24"/>
          <w:szCs w:val="24"/>
        </w:rPr>
        <w:t>)</w:t>
      </w:r>
      <w:r w:rsidR="00361B4B">
        <w:rPr>
          <w:rFonts w:ascii="Times New Roman" w:hAnsi="Times New Roman" w:cs="Times New Roman"/>
          <w:sz w:val="24"/>
          <w:szCs w:val="24"/>
        </w:rPr>
        <w:t xml:space="preserve"> GS-12, step </w:t>
      </w:r>
      <w:r w:rsidR="00D34E15">
        <w:rPr>
          <w:rFonts w:ascii="Times New Roman" w:hAnsi="Times New Roman" w:cs="Times New Roman"/>
          <w:sz w:val="24"/>
          <w:szCs w:val="24"/>
        </w:rPr>
        <w:t>1</w:t>
      </w:r>
      <w:r w:rsidR="007D1F24">
        <w:rPr>
          <w:rFonts w:ascii="Times New Roman" w:hAnsi="Times New Roman" w:cs="Times New Roman"/>
          <w:sz w:val="24"/>
          <w:szCs w:val="24"/>
        </w:rPr>
        <w:t xml:space="preserve"> level</w:t>
      </w:r>
      <w:r>
        <w:rPr>
          <w:rFonts w:ascii="Times New Roman" w:hAnsi="Times New Roman" w:cs="Times New Roman"/>
          <w:sz w:val="24"/>
          <w:szCs w:val="24"/>
        </w:rPr>
        <w:t xml:space="preserve">.  </w:t>
      </w:r>
      <w:r w:rsidR="007D1F24">
        <w:rPr>
          <w:rFonts w:ascii="Times New Roman" w:hAnsi="Times New Roman" w:cs="Times New Roman"/>
          <w:sz w:val="24"/>
          <w:szCs w:val="24"/>
        </w:rPr>
        <w:t>Additionally,</w:t>
      </w:r>
      <w:r>
        <w:rPr>
          <w:rFonts w:ascii="Times New Roman" w:hAnsi="Times New Roman" w:cs="Times New Roman"/>
          <w:sz w:val="24"/>
          <w:szCs w:val="24"/>
        </w:rPr>
        <w:t xml:space="preserve"> FEMA employs </w:t>
      </w:r>
      <w:r w:rsidR="00EB05F0">
        <w:rPr>
          <w:rFonts w:ascii="Times New Roman" w:hAnsi="Times New Roman" w:cs="Times New Roman"/>
          <w:sz w:val="24"/>
          <w:szCs w:val="24"/>
        </w:rPr>
        <w:t xml:space="preserve">three (3) </w:t>
      </w:r>
      <w:r>
        <w:rPr>
          <w:rFonts w:ascii="Times New Roman" w:hAnsi="Times New Roman" w:cs="Times New Roman"/>
          <w:sz w:val="24"/>
          <w:szCs w:val="24"/>
        </w:rPr>
        <w:t>part-time</w:t>
      </w:r>
      <w:r w:rsidR="00EB05F0">
        <w:rPr>
          <w:rFonts w:ascii="Times New Roman" w:hAnsi="Times New Roman" w:cs="Times New Roman"/>
          <w:sz w:val="24"/>
          <w:szCs w:val="24"/>
        </w:rPr>
        <w:t xml:space="preserve"> Federal employees</w:t>
      </w:r>
      <w:r>
        <w:rPr>
          <w:rFonts w:ascii="Times New Roman" w:hAnsi="Times New Roman" w:cs="Times New Roman"/>
          <w:sz w:val="24"/>
          <w:szCs w:val="24"/>
        </w:rPr>
        <w:t xml:space="preserve"> </w:t>
      </w:r>
      <w:r w:rsidR="00EB05F0">
        <w:rPr>
          <w:rFonts w:ascii="Times New Roman" w:hAnsi="Times New Roman" w:cs="Times New Roman"/>
          <w:sz w:val="24"/>
          <w:szCs w:val="24"/>
        </w:rPr>
        <w:t>-</w:t>
      </w:r>
      <w:r>
        <w:rPr>
          <w:rFonts w:ascii="Times New Roman" w:hAnsi="Times New Roman" w:cs="Times New Roman"/>
          <w:sz w:val="24"/>
          <w:szCs w:val="24"/>
        </w:rPr>
        <w:t xml:space="preserve"> </w:t>
      </w:r>
      <w:r w:rsidR="00EB05F0">
        <w:rPr>
          <w:rFonts w:ascii="Times New Roman" w:hAnsi="Times New Roman" w:cs="Times New Roman"/>
          <w:sz w:val="24"/>
          <w:szCs w:val="24"/>
        </w:rPr>
        <w:t xml:space="preserve">one (1) </w:t>
      </w:r>
      <w:r>
        <w:rPr>
          <w:rFonts w:ascii="Times New Roman" w:hAnsi="Times New Roman" w:cs="Times New Roman"/>
          <w:sz w:val="24"/>
          <w:szCs w:val="24"/>
        </w:rPr>
        <w:t>GS-</w:t>
      </w:r>
      <w:r w:rsidR="007D1F24">
        <w:rPr>
          <w:rFonts w:ascii="Times New Roman" w:hAnsi="Times New Roman" w:cs="Times New Roman"/>
          <w:sz w:val="24"/>
          <w:szCs w:val="24"/>
        </w:rPr>
        <w:t>11</w:t>
      </w:r>
      <w:r>
        <w:rPr>
          <w:rFonts w:ascii="Times New Roman" w:hAnsi="Times New Roman" w:cs="Times New Roman"/>
          <w:sz w:val="24"/>
          <w:szCs w:val="24"/>
        </w:rPr>
        <w:t xml:space="preserve">, Step </w:t>
      </w:r>
      <w:r w:rsidR="00D34E15">
        <w:rPr>
          <w:rFonts w:ascii="Times New Roman" w:hAnsi="Times New Roman" w:cs="Times New Roman"/>
          <w:sz w:val="24"/>
          <w:szCs w:val="24"/>
        </w:rPr>
        <w:t>3</w:t>
      </w:r>
      <w:r w:rsidR="0045414E">
        <w:rPr>
          <w:rFonts w:ascii="Times New Roman" w:hAnsi="Times New Roman" w:cs="Times New Roman"/>
          <w:sz w:val="24"/>
          <w:szCs w:val="24"/>
        </w:rPr>
        <w:t xml:space="preserve">, </w:t>
      </w:r>
      <w:r w:rsidR="00EB05F0">
        <w:rPr>
          <w:rFonts w:ascii="Times New Roman" w:hAnsi="Times New Roman" w:cs="Times New Roman"/>
          <w:sz w:val="24"/>
          <w:szCs w:val="24"/>
        </w:rPr>
        <w:t>one (</w:t>
      </w:r>
      <w:r w:rsidR="0045414E">
        <w:rPr>
          <w:rFonts w:ascii="Times New Roman" w:hAnsi="Times New Roman" w:cs="Times New Roman"/>
          <w:sz w:val="24"/>
          <w:szCs w:val="24"/>
        </w:rPr>
        <w:t>1</w:t>
      </w:r>
      <w:r w:rsidR="00EB05F0">
        <w:rPr>
          <w:rFonts w:ascii="Times New Roman" w:hAnsi="Times New Roman" w:cs="Times New Roman"/>
          <w:sz w:val="24"/>
          <w:szCs w:val="24"/>
        </w:rPr>
        <w:t>)</w:t>
      </w:r>
      <w:r w:rsidR="0045414E">
        <w:rPr>
          <w:rFonts w:ascii="Times New Roman" w:hAnsi="Times New Roman" w:cs="Times New Roman"/>
          <w:sz w:val="24"/>
          <w:szCs w:val="24"/>
        </w:rPr>
        <w:t xml:space="preserve"> GS-13, step </w:t>
      </w:r>
      <w:r w:rsidR="00D34E15">
        <w:rPr>
          <w:rFonts w:ascii="Times New Roman" w:hAnsi="Times New Roman" w:cs="Times New Roman"/>
          <w:sz w:val="24"/>
          <w:szCs w:val="24"/>
        </w:rPr>
        <w:t>3</w:t>
      </w:r>
      <w:r w:rsidR="0045414E">
        <w:rPr>
          <w:rFonts w:ascii="Times New Roman" w:hAnsi="Times New Roman" w:cs="Times New Roman"/>
          <w:sz w:val="24"/>
          <w:szCs w:val="24"/>
        </w:rPr>
        <w:t xml:space="preserve">, and </w:t>
      </w:r>
      <w:r w:rsidR="00EB05F0">
        <w:rPr>
          <w:rFonts w:ascii="Times New Roman" w:hAnsi="Times New Roman" w:cs="Times New Roman"/>
          <w:sz w:val="24"/>
          <w:szCs w:val="24"/>
        </w:rPr>
        <w:t>one (</w:t>
      </w:r>
      <w:r w:rsidR="001E2C9F">
        <w:rPr>
          <w:rFonts w:ascii="Times New Roman" w:hAnsi="Times New Roman" w:cs="Times New Roman"/>
          <w:sz w:val="24"/>
          <w:szCs w:val="24"/>
        </w:rPr>
        <w:t>1</w:t>
      </w:r>
      <w:r w:rsidR="00EB05F0">
        <w:rPr>
          <w:rFonts w:ascii="Times New Roman" w:hAnsi="Times New Roman" w:cs="Times New Roman"/>
          <w:sz w:val="24"/>
          <w:szCs w:val="24"/>
        </w:rPr>
        <w:t>)</w:t>
      </w:r>
      <w:r w:rsidR="0045414E">
        <w:rPr>
          <w:rFonts w:ascii="Times New Roman" w:hAnsi="Times New Roman" w:cs="Times New Roman"/>
          <w:sz w:val="24"/>
          <w:szCs w:val="24"/>
        </w:rPr>
        <w:t xml:space="preserve"> GS-12, step </w:t>
      </w:r>
      <w:r w:rsidR="00D34E15">
        <w:rPr>
          <w:rFonts w:ascii="Times New Roman" w:hAnsi="Times New Roman" w:cs="Times New Roman"/>
          <w:sz w:val="24"/>
          <w:szCs w:val="24"/>
        </w:rPr>
        <w:t>1</w:t>
      </w:r>
      <w:r>
        <w:rPr>
          <w:rFonts w:ascii="Times New Roman" w:hAnsi="Times New Roman" w:cs="Times New Roman"/>
          <w:sz w:val="24"/>
          <w:szCs w:val="24"/>
        </w:rPr>
        <w:t>.  Employees manage the THIRA/SPR-related work, including the development of the tools, data collection and analysis, providing technical assistance, conducting stakeholder engagement, and revising policy/doctrine.  FEMA uses contractors to assist with the development and deployment of the collection instrument that FEMA uses to collect the information.  FEMA also uses contractors to analyze the data collected by the system and to develop summary reports.  FEMA provides most training via webinar but requires some travel to train respondents on the information collection and to provide ad hoc technical assistance.</w:t>
      </w:r>
    </w:p>
    <w:p w:rsidR="009054F5" w:rsidRDefault="009054F5" w14:paraId="0C171FF2" w14:textId="3DE4210D">
      <w:pPr>
        <w:rPr>
          <w:rFonts w:ascii="Times New Roman" w:hAnsi="Times New Roman" w:cs="Times New Roman"/>
          <w:sz w:val="24"/>
          <w:szCs w:val="24"/>
        </w:rPr>
      </w:pPr>
      <w:r>
        <w:rPr>
          <w:rFonts w:ascii="Times New Roman" w:hAnsi="Times New Roman" w:cs="Times New Roman"/>
          <w:sz w:val="24"/>
          <w:szCs w:val="24"/>
        </w:rPr>
        <w:br w:type="page"/>
      </w:r>
    </w:p>
    <w:p w:rsidR="00EB05F0" w:rsidRDefault="00EB05F0" w14:paraId="0F38DAD5" w14:textId="3DE4210D">
      <w:pPr>
        <w:rPr>
          <w:rFonts w:ascii="Times New Roman" w:hAnsi="Times New Roman" w:cs="Times New Roman"/>
          <w:sz w:val="24"/>
          <w:szCs w:val="24"/>
        </w:rPr>
      </w:pPr>
    </w:p>
    <w:tbl>
      <w:tblPr>
        <w:tblStyle w:val="TableGrid2"/>
        <w:tblW w:w="9970" w:type="dxa"/>
        <w:tblLook w:val="04A0" w:firstRow="1" w:lastRow="0" w:firstColumn="1" w:lastColumn="0" w:noHBand="0" w:noVBand="1"/>
      </w:tblPr>
      <w:tblGrid>
        <w:gridCol w:w="7555"/>
        <w:gridCol w:w="2415"/>
      </w:tblGrid>
      <w:tr w:rsidRPr="009C51F2" w:rsidR="009C51F2" w:rsidTr="1B2A21EF" w14:paraId="056DE9D3" w14:textId="77777777">
        <w:tc>
          <w:tcPr>
            <w:tcW w:w="9970" w:type="dxa"/>
            <w:gridSpan w:val="2"/>
          </w:tcPr>
          <w:p w:rsidRPr="009C51F2" w:rsidR="009C51F2" w:rsidP="009C51F2" w:rsidRDefault="009C51F2" w14:paraId="76BE8129" w14:textId="77777777">
            <w:pPr>
              <w:jc w:val="center"/>
              <w:rPr>
                <w:rFonts w:ascii="Times New Roman" w:hAnsi="Times New Roman" w:eastAsia="Calibri" w:cs="Times New Roman"/>
                <w:b/>
                <w:sz w:val="20"/>
                <w:szCs w:val="20"/>
              </w:rPr>
            </w:pPr>
            <w:bookmarkStart w:name="_Hlk51849777" w:id="3"/>
            <w:r w:rsidRPr="009C51F2">
              <w:rPr>
                <w:rFonts w:ascii="Times New Roman" w:hAnsi="Times New Roman" w:eastAsia="Calibri" w:cs="Times New Roman"/>
                <w:b/>
                <w:sz w:val="20"/>
                <w:szCs w:val="20"/>
              </w:rPr>
              <w:t>Annual Cost to the Federal Government</w:t>
            </w:r>
          </w:p>
        </w:tc>
      </w:tr>
      <w:tr w:rsidRPr="009C51F2" w:rsidR="009C51F2" w:rsidTr="00903FE4" w14:paraId="0B42B649" w14:textId="77777777">
        <w:tc>
          <w:tcPr>
            <w:tcW w:w="7555" w:type="dxa"/>
            <w:shd w:val="clear" w:color="auto" w:fill="8EAADB"/>
          </w:tcPr>
          <w:p w:rsidRPr="009C51F2" w:rsidR="009C51F2" w:rsidP="009C51F2" w:rsidRDefault="009C51F2" w14:paraId="64AFF4BA" w14:textId="77777777">
            <w:pPr>
              <w:jc w:val="center"/>
              <w:rPr>
                <w:rFonts w:ascii="Times New Roman" w:hAnsi="Times New Roman" w:eastAsia="Calibri" w:cs="Times New Roman"/>
                <w:sz w:val="20"/>
                <w:szCs w:val="20"/>
              </w:rPr>
            </w:pPr>
            <w:r w:rsidRPr="009C51F2">
              <w:rPr>
                <w:rFonts w:ascii="Times New Roman" w:hAnsi="Times New Roman" w:eastAsia="Calibri" w:cs="Times New Roman"/>
                <w:sz w:val="20"/>
                <w:szCs w:val="20"/>
              </w:rPr>
              <w:t>Item</w:t>
            </w:r>
          </w:p>
        </w:tc>
        <w:tc>
          <w:tcPr>
            <w:tcW w:w="2415" w:type="dxa"/>
            <w:shd w:val="clear" w:color="auto" w:fill="8EAADB"/>
          </w:tcPr>
          <w:p w:rsidRPr="009C51F2" w:rsidR="009C51F2" w:rsidP="009C51F2" w:rsidRDefault="009C51F2" w14:paraId="4D4C82CC" w14:textId="77777777">
            <w:pPr>
              <w:jc w:val="center"/>
              <w:rPr>
                <w:rFonts w:ascii="Times New Roman" w:hAnsi="Times New Roman" w:eastAsia="Calibri" w:cs="Times New Roman"/>
                <w:sz w:val="20"/>
                <w:szCs w:val="20"/>
              </w:rPr>
            </w:pPr>
            <w:r w:rsidRPr="009C51F2">
              <w:rPr>
                <w:rFonts w:ascii="Times New Roman" w:hAnsi="Times New Roman" w:eastAsia="Calibri" w:cs="Times New Roman"/>
                <w:sz w:val="20"/>
                <w:szCs w:val="20"/>
              </w:rPr>
              <w:t>Cost ($)</w:t>
            </w:r>
          </w:p>
        </w:tc>
      </w:tr>
      <w:tr w:rsidRPr="009C51F2" w:rsidR="009C51F2" w:rsidTr="00903FE4" w14:paraId="1A659D8D" w14:textId="77777777">
        <w:tc>
          <w:tcPr>
            <w:tcW w:w="7555" w:type="dxa"/>
          </w:tcPr>
          <w:p w:rsidRPr="009C51F2" w:rsidR="009C51F2" w:rsidP="009C51F2" w:rsidRDefault="009C51F2" w14:paraId="1957D0C2" w14:textId="4F2268FA">
            <w:pPr>
              <w:rPr>
                <w:rFonts w:ascii="Times New Roman" w:hAnsi="Times New Roman" w:eastAsia="Calibri" w:cs="Times New Roman"/>
                <w:sz w:val="20"/>
                <w:szCs w:val="20"/>
              </w:rPr>
            </w:pPr>
            <w:r w:rsidRPr="00546738">
              <w:rPr>
                <w:rFonts w:ascii="Times New Roman" w:hAnsi="Times New Roman" w:cs="Times New Roman"/>
                <w:sz w:val="20"/>
                <w:szCs w:val="20"/>
              </w:rPr>
              <w:t xml:space="preserve">Contract Costs [Contract costs supporting THIRA/SPR includes system </w:t>
            </w:r>
            <w:r w:rsidRPr="00546738" w:rsidR="00546738">
              <w:rPr>
                <w:rFonts w:ascii="Times New Roman" w:hAnsi="Times New Roman" w:cs="Times New Roman"/>
                <w:sz w:val="20"/>
                <w:szCs w:val="20"/>
              </w:rPr>
              <w:t>maintenance</w:t>
            </w:r>
            <w:r w:rsidRPr="00546738">
              <w:rPr>
                <w:rFonts w:ascii="Times New Roman" w:hAnsi="Times New Roman" w:cs="Times New Roman"/>
                <w:sz w:val="20"/>
                <w:szCs w:val="20"/>
              </w:rPr>
              <w:t xml:space="preserve"> support, data analysis support, and technical assistance delivery support)</w:t>
            </w:r>
          </w:p>
        </w:tc>
        <w:tc>
          <w:tcPr>
            <w:tcW w:w="2415" w:type="dxa"/>
          </w:tcPr>
          <w:p w:rsidRPr="009C51F2" w:rsidR="009C51F2" w:rsidP="009C51F2" w:rsidRDefault="009C51F2" w14:paraId="58F06BD5" w14:textId="0CD30A7E">
            <w:pPr>
              <w:jc w:val="right"/>
              <w:rPr>
                <w:rFonts w:ascii="Times New Roman" w:hAnsi="Times New Roman" w:eastAsia="Calibri" w:cs="Times New Roman"/>
                <w:sz w:val="20"/>
                <w:szCs w:val="20"/>
              </w:rPr>
            </w:pPr>
            <w:r w:rsidRPr="00546738">
              <w:rPr>
                <w:rFonts w:ascii="Times New Roman" w:hAnsi="Times New Roman" w:cs="Times New Roman"/>
                <w:sz w:val="20"/>
                <w:szCs w:val="20"/>
              </w:rPr>
              <w:t xml:space="preserve"> $</w:t>
            </w:r>
            <w:bookmarkStart w:name="OLE_LINK1" w:id="4"/>
            <w:r w:rsidRPr="00546738">
              <w:rPr>
                <w:rFonts w:ascii="Times New Roman" w:hAnsi="Times New Roman" w:cs="Times New Roman"/>
                <w:sz w:val="20"/>
                <w:szCs w:val="20"/>
              </w:rPr>
              <w:t xml:space="preserve">1,026,277 </w:t>
            </w:r>
            <w:bookmarkEnd w:id="4"/>
          </w:p>
        </w:tc>
      </w:tr>
      <w:tr w:rsidRPr="009C51F2" w:rsidR="009C51F2" w:rsidTr="00903FE4" w14:paraId="17154EA7" w14:textId="77777777">
        <w:tc>
          <w:tcPr>
            <w:tcW w:w="7555" w:type="dxa"/>
          </w:tcPr>
          <w:p w:rsidRPr="00117907" w:rsidR="009C51F2" w:rsidP="00876915" w:rsidRDefault="009C51F2" w14:paraId="4759F587" w14:textId="585932CC">
            <w:pPr>
              <w:rPr>
                <w:rFonts w:ascii="Times New Roman" w:hAnsi="Times New Roman" w:cs="Times New Roman"/>
                <w:sz w:val="20"/>
                <w:szCs w:val="20"/>
              </w:rPr>
            </w:pPr>
            <w:r w:rsidRPr="00546738">
              <w:rPr>
                <w:rFonts w:ascii="Times New Roman" w:hAnsi="Times New Roman" w:cs="Times New Roman"/>
                <w:sz w:val="20"/>
                <w:szCs w:val="20"/>
              </w:rPr>
              <w:t>Staff Salaries</w:t>
            </w:r>
            <w:r w:rsidRPr="00546738" w:rsidR="00546738">
              <w:rPr>
                <w:rFonts w:ascii="Times New Roman" w:hAnsi="Times New Roman" w:cs="Times New Roman"/>
                <w:sz w:val="20"/>
                <w:szCs w:val="20"/>
                <w:vertAlign w:val="superscript"/>
              </w:rPr>
              <w:t>1</w:t>
            </w:r>
            <w:r w:rsidRPr="00546738">
              <w:rPr>
                <w:rFonts w:ascii="Times New Roman" w:hAnsi="Times New Roman" w:cs="Times New Roman"/>
                <w:sz w:val="20"/>
                <w:szCs w:val="20"/>
              </w:rPr>
              <w:t>: 1 GS 14, step 5</w:t>
            </w:r>
            <w:r w:rsidR="008C28EC">
              <w:rPr>
                <w:rFonts w:ascii="Times New Roman" w:hAnsi="Times New Roman" w:cs="Times New Roman"/>
                <w:sz w:val="20"/>
                <w:szCs w:val="20"/>
              </w:rPr>
              <w:t xml:space="preserve"> and</w:t>
            </w:r>
            <w:r w:rsidRPr="00546738" w:rsidR="008C28EC">
              <w:rPr>
                <w:rFonts w:ascii="Times New Roman" w:hAnsi="Times New Roman" w:cs="Times New Roman"/>
                <w:sz w:val="20"/>
                <w:szCs w:val="20"/>
              </w:rPr>
              <w:t xml:space="preserve"> </w:t>
            </w:r>
            <w:r w:rsidR="008C28EC">
              <w:rPr>
                <w:rFonts w:ascii="Times New Roman" w:hAnsi="Times New Roman" w:cs="Times New Roman"/>
                <w:sz w:val="20"/>
                <w:szCs w:val="20"/>
              </w:rPr>
              <w:t>2</w:t>
            </w:r>
            <w:r w:rsidRPr="00546738" w:rsidR="008C28EC">
              <w:rPr>
                <w:rFonts w:ascii="Times New Roman" w:hAnsi="Times New Roman" w:cs="Times New Roman"/>
                <w:sz w:val="20"/>
                <w:szCs w:val="20"/>
              </w:rPr>
              <w:t xml:space="preserve"> </w:t>
            </w:r>
            <w:r w:rsidRPr="00546738">
              <w:rPr>
                <w:rFonts w:ascii="Times New Roman" w:hAnsi="Times New Roman" w:cs="Times New Roman"/>
                <w:sz w:val="20"/>
                <w:szCs w:val="20"/>
              </w:rPr>
              <w:t>GS 12 step 5 employees spending 100 % of time annually as well as, 1 GS 13 step 5</w:t>
            </w:r>
            <w:r w:rsidR="008C28EC">
              <w:rPr>
                <w:rFonts w:ascii="Times New Roman" w:hAnsi="Times New Roman" w:cs="Times New Roman"/>
                <w:sz w:val="20"/>
                <w:szCs w:val="20"/>
              </w:rPr>
              <w:t>,</w:t>
            </w:r>
            <w:r w:rsidRPr="00546738">
              <w:rPr>
                <w:rFonts w:ascii="Times New Roman" w:hAnsi="Times New Roman" w:cs="Times New Roman"/>
                <w:sz w:val="20"/>
                <w:szCs w:val="20"/>
              </w:rPr>
              <w:t xml:space="preserve"> 1 GS 12 step 5</w:t>
            </w:r>
            <w:r w:rsidR="008C28EC">
              <w:rPr>
                <w:rFonts w:ascii="Times New Roman" w:hAnsi="Times New Roman" w:cs="Times New Roman"/>
                <w:sz w:val="20"/>
                <w:szCs w:val="20"/>
              </w:rPr>
              <w:t>, and</w:t>
            </w:r>
            <w:r w:rsidRPr="00546738">
              <w:rPr>
                <w:rFonts w:ascii="Times New Roman" w:hAnsi="Times New Roman" w:cs="Times New Roman"/>
                <w:sz w:val="20"/>
                <w:szCs w:val="20"/>
              </w:rPr>
              <w:t xml:space="preserve"> </w:t>
            </w:r>
            <w:r w:rsidRPr="00546738" w:rsidR="008C28EC">
              <w:rPr>
                <w:rFonts w:ascii="Times New Roman" w:hAnsi="Times New Roman" w:cs="Times New Roman"/>
                <w:sz w:val="20"/>
                <w:szCs w:val="20"/>
              </w:rPr>
              <w:t>1 GS 11 step 5</w:t>
            </w:r>
            <w:r w:rsidR="008C28EC">
              <w:rPr>
                <w:rFonts w:ascii="Times New Roman" w:hAnsi="Times New Roman" w:cs="Times New Roman"/>
                <w:sz w:val="20"/>
                <w:szCs w:val="20"/>
              </w:rPr>
              <w:t xml:space="preserve"> </w:t>
            </w:r>
            <w:r w:rsidRPr="00546738">
              <w:rPr>
                <w:rFonts w:ascii="Times New Roman" w:hAnsi="Times New Roman" w:cs="Times New Roman"/>
                <w:sz w:val="20"/>
                <w:szCs w:val="20"/>
              </w:rPr>
              <w:t>spending approximately 50% of their time supporting the THIRA/SP</w:t>
            </w:r>
            <w:r w:rsidR="00D06240">
              <w:rPr>
                <w:rFonts w:ascii="Times New Roman" w:hAnsi="Times New Roman" w:cs="Times New Roman"/>
                <w:sz w:val="20"/>
                <w:szCs w:val="20"/>
              </w:rPr>
              <w:t xml:space="preserve">R </w:t>
            </w:r>
            <w:r w:rsidR="00876915">
              <w:rPr>
                <w:rFonts w:ascii="Times New Roman" w:hAnsi="Times New Roman" w:cs="Times New Roman"/>
                <w:sz w:val="20"/>
                <w:szCs w:val="20"/>
              </w:rPr>
              <w:t xml:space="preserve">($138,866 </w:t>
            </w:r>
            <w:r w:rsidRPr="00546738">
              <w:rPr>
                <w:rFonts w:ascii="Times New Roman" w:hAnsi="Times New Roman" w:cs="Times New Roman"/>
                <w:sz w:val="20"/>
                <w:szCs w:val="20"/>
              </w:rPr>
              <w:t>+</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00876915">
              <w:rPr>
                <w:rFonts w:ascii="Times New Roman" w:hAnsi="Times New Roman" w:cs="Times New Roman"/>
                <w:sz w:val="20"/>
                <w:szCs w:val="20"/>
              </w:rPr>
              <w:t>98,827</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00876915">
              <w:rPr>
                <w:rFonts w:ascii="Times New Roman" w:hAnsi="Times New Roman" w:cs="Times New Roman"/>
                <w:sz w:val="20"/>
                <w:szCs w:val="20"/>
              </w:rPr>
              <w:t>98,827)</w:t>
            </w:r>
            <w:r w:rsidRPr="00546738" w:rsidR="00546738">
              <w:rPr>
                <w:rFonts w:ascii="Times New Roman" w:hAnsi="Times New Roman" w:cs="Times New Roman"/>
                <w:sz w:val="20"/>
                <w:szCs w:val="20"/>
              </w:rPr>
              <w:t xml:space="preserve"> x </w:t>
            </w:r>
            <w:r w:rsidRPr="00546738">
              <w:rPr>
                <w:rFonts w:ascii="Times New Roman" w:hAnsi="Times New Roman" w:cs="Times New Roman"/>
                <w:sz w:val="20"/>
                <w:szCs w:val="20"/>
              </w:rPr>
              <w:t>1.4</w:t>
            </w:r>
            <w:r w:rsidRPr="00546738" w:rsidR="00546738">
              <w:rPr>
                <w:rFonts w:ascii="Times New Roman" w:hAnsi="Times New Roman" w:cs="Times New Roman"/>
                <w:sz w:val="20"/>
                <w:szCs w:val="20"/>
              </w:rPr>
              <w:t>5</w:t>
            </w:r>
            <w:r w:rsidRPr="00546738" w:rsidR="00546738">
              <w:rPr>
                <w:rFonts w:ascii="Times New Roman" w:hAnsi="Times New Roman" w:cs="Times New Roman"/>
                <w:sz w:val="20"/>
                <w:szCs w:val="20"/>
                <w:vertAlign w:val="superscript"/>
              </w:rPr>
              <w:t>2</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00876915">
              <w:rPr>
                <w:rFonts w:ascii="Times New Roman" w:hAnsi="Times New Roman" w:cs="Times New Roman"/>
                <w:sz w:val="20"/>
                <w:szCs w:val="20"/>
              </w:rPr>
              <w:t>487,954)</w:t>
            </w:r>
            <w:r w:rsidRPr="00546738">
              <w:rPr>
                <w:rFonts w:ascii="Times New Roman" w:hAnsi="Times New Roman" w:cs="Times New Roman"/>
                <w:sz w:val="20"/>
                <w:szCs w:val="20"/>
              </w:rPr>
              <w:t xml:space="preserve"> +</w:t>
            </w:r>
            <w:r w:rsidR="00622236">
              <w:rPr>
                <w:rFonts w:ascii="Times New Roman" w:hAnsi="Times New Roman" w:cs="Times New Roman"/>
                <w:sz w:val="20"/>
                <w:szCs w:val="20"/>
              </w:rPr>
              <w:t xml:space="preserve"> (((</w:t>
            </w:r>
            <w:r w:rsidRPr="00546738">
              <w:rPr>
                <w:rFonts w:ascii="Times New Roman" w:hAnsi="Times New Roman" w:cs="Times New Roman"/>
                <w:sz w:val="20"/>
                <w:szCs w:val="20"/>
              </w:rPr>
              <w:t>$</w:t>
            </w:r>
            <w:r w:rsidR="008C28EC">
              <w:rPr>
                <w:rFonts w:ascii="Times New Roman" w:hAnsi="Times New Roman" w:cs="Times New Roman"/>
                <w:sz w:val="20"/>
                <w:szCs w:val="20"/>
              </w:rPr>
              <w:t>117,516</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Pr="00546738" w:rsidR="00546738">
              <w:rPr>
                <w:rFonts w:ascii="Times New Roman" w:hAnsi="Times New Roman" w:cs="Times New Roman"/>
                <w:sz w:val="20"/>
                <w:szCs w:val="20"/>
              </w:rPr>
              <w:t xml:space="preserve"> </w:t>
            </w:r>
            <w:r w:rsidR="00622236">
              <w:rPr>
                <w:rFonts w:ascii="Times New Roman" w:hAnsi="Times New Roman" w:cs="Times New Roman"/>
                <w:sz w:val="20"/>
                <w:szCs w:val="20"/>
              </w:rPr>
              <w:t>$</w:t>
            </w:r>
            <w:r w:rsidR="008C28EC">
              <w:rPr>
                <w:rFonts w:ascii="Times New Roman" w:hAnsi="Times New Roman" w:cs="Times New Roman"/>
                <w:sz w:val="20"/>
                <w:szCs w:val="20"/>
              </w:rPr>
              <w:t>98,827</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Pr="00546738" w:rsidR="00546738">
              <w:rPr>
                <w:rFonts w:ascii="Times New Roman" w:hAnsi="Times New Roman" w:cs="Times New Roman"/>
                <w:sz w:val="20"/>
                <w:szCs w:val="20"/>
              </w:rPr>
              <w:t xml:space="preserve"> </w:t>
            </w:r>
            <w:r w:rsidRPr="00546738">
              <w:rPr>
                <w:rFonts w:ascii="Times New Roman" w:hAnsi="Times New Roman" w:cs="Times New Roman"/>
                <w:sz w:val="20"/>
                <w:szCs w:val="20"/>
              </w:rPr>
              <w:t>$</w:t>
            </w:r>
            <w:r w:rsidR="008C28EC">
              <w:rPr>
                <w:rFonts w:ascii="Times New Roman" w:hAnsi="Times New Roman" w:cs="Times New Roman"/>
                <w:sz w:val="20"/>
                <w:szCs w:val="20"/>
              </w:rPr>
              <w:t>82,453</w:t>
            </w:r>
            <w:r w:rsidR="00622236">
              <w:rPr>
                <w:rFonts w:ascii="Times New Roman" w:hAnsi="Times New Roman" w:cs="Times New Roman"/>
                <w:sz w:val="20"/>
                <w:szCs w:val="20"/>
              </w:rPr>
              <w:t>)</w:t>
            </w:r>
            <w:r w:rsidRPr="00546738">
              <w:rPr>
                <w:rFonts w:ascii="Times New Roman" w:hAnsi="Times New Roman" w:cs="Times New Roman"/>
                <w:sz w:val="20"/>
                <w:szCs w:val="20"/>
              </w:rPr>
              <w:t xml:space="preserve"> </w:t>
            </w:r>
            <w:r w:rsidRPr="00546738" w:rsidR="00546738">
              <w:rPr>
                <w:rFonts w:ascii="Times New Roman" w:hAnsi="Times New Roman" w:cs="Times New Roman"/>
                <w:sz w:val="20"/>
                <w:szCs w:val="20"/>
              </w:rPr>
              <w:t>x 0.5</w:t>
            </w:r>
            <w:r w:rsidR="00622236">
              <w:rPr>
                <w:rFonts w:ascii="Times New Roman" w:hAnsi="Times New Roman" w:cs="Times New Roman"/>
                <w:sz w:val="20"/>
                <w:szCs w:val="20"/>
              </w:rPr>
              <w:t>)</w:t>
            </w:r>
            <w:r w:rsidRPr="00546738" w:rsidR="00546738">
              <w:rPr>
                <w:rFonts w:ascii="Times New Roman" w:hAnsi="Times New Roman" w:cs="Times New Roman"/>
                <w:sz w:val="20"/>
                <w:szCs w:val="20"/>
              </w:rPr>
              <w:t xml:space="preserve"> x</w:t>
            </w:r>
            <w:r w:rsidRPr="00546738">
              <w:rPr>
                <w:rFonts w:ascii="Times New Roman" w:hAnsi="Times New Roman" w:cs="Times New Roman"/>
                <w:sz w:val="20"/>
                <w:szCs w:val="20"/>
              </w:rPr>
              <w:t xml:space="preserve"> 1.4</w:t>
            </w:r>
            <w:r w:rsidRPr="00546738" w:rsidR="00546738">
              <w:rPr>
                <w:rFonts w:ascii="Times New Roman" w:hAnsi="Times New Roman" w:cs="Times New Roman"/>
                <w:sz w:val="20"/>
                <w:szCs w:val="20"/>
              </w:rPr>
              <w:t>5</w:t>
            </w:r>
            <w:r w:rsidR="00622236">
              <w:rPr>
                <w:rFonts w:ascii="Times New Roman" w:hAnsi="Times New Roman" w:cs="Times New Roman"/>
                <w:sz w:val="20"/>
                <w:szCs w:val="20"/>
              </w:rPr>
              <w:t xml:space="preserve"> </w:t>
            </w:r>
            <w:r w:rsidRPr="00546738">
              <w:rPr>
                <w:rFonts w:ascii="Times New Roman" w:hAnsi="Times New Roman" w:cs="Times New Roman"/>
                <w:sz w:val="20"/>
                <w:szCs w:val="20"/>
              </w:rPr>
              <w:t>=$</w:t>
            </w:r>
            <w:r w:rsidR="00622236">
              <w:rPr>
                <w:rFonts w:ascii="Times New Roman" w:hAnsi="Times New Roman" w:cs="Times New Roman"/>
                <w:sz w:val="20"/>
                <w:szCs w:val="20"/>
              </w:rPr>
              <w:t>216,627.10)</w:t>
            </w:r>
          </w:p>
        </w:tc>
        <w:tc>
          <w:tcPr>
            <w:tcW w:w="2415" w:type="dxa"/>
          </w:tcPr>
          <w:p w:rsidRPr="009C51F2" w:rsidR="009C51F2" w:rsidP="009C51F2" w:rsidRDefault="009C51F2" w14:paraId="612D0492" w14:textId="1D12BF62">
            <w:pPr>
              <w:jc w:val="right"/>
              <w:rPr>
                <w:rFonts w:ascii="Times New Roman" w:hAnsi="Times New Roman" w:eastAsia="Calibri" w:cs="Times New Roman"/>
                <w:sz w:val="20"/>
                <w:szCs w:val="20"/>
              </w:rPr>
            </w:pPr>
            <w:r w:rsidRPr="00546738">
              <w:rPr>
                <w:rFonts w:ascii="Times New Roman" w:hAnsi="Times New Roman" w:cs="Times New Roman"/>
                <w:sz w:val="20"/>
                <w:szCs w:val="20"/>
              </w:rPr>
              <w:t>$</w:t>
            </w:r>
            <w:r w:rsidR="00622236">
              <w:rPr>
                <w:rFonts w:ascii="Times New Roman" w:hAnsi="Times New Roman" w:cs="Times New Roman"/>
                <w:sz w:val="20"/>
                <w:szCs w:val="20"/>
              </w:rPr>
              <w:t>704,581</w:t>
            </w:r>
            <w:r w:rsidRPr="00546738">
              <w:rPr>
                <w:rFonts w:ascii="Times New Roman" w:hAnsi="Times New Roman" w:cs="Times New Roman"/>
                <w:sz w:val="20"/>
                <w:szCs w:val="20"/>
              </w:rPr>
              <w:t xml:space="preserve"> </w:t>
            </w:r>
          </w:p>
        </w:tc>
      </w:tr>
      <w:tr w:rsidRPr="009C51F2" w:rsidR="009C51F2" w:rsidTr="00903FE4" w14:paraId="7C0EC3F7" w14:textId="77777777">
        <w:tc>
          <w:tcPr>
            <w:tcW w:w="7555" w:type="dxa"/>
          </w:tcPr>
          <w:p w:rsidRPr="009C51F2" w:rsidR="009C51F2" w:rsidP="009C51F2" w:rsidRDefault="009C51F2" w14:paraId="27770894" w14:textId="77777777">
            <w:pPr>
              <w:rPr>
                <w:rFonts w:ascii="Times New Roman" w:hAnsi="Times New Roman" w:eastAsia="Calibri" w:cs="Times New Roman"/>
                <w:sz w:val="20"/>
                <w:szCs w:val="20"/>
              </w:rPr>
            </w:pPr>
            <w:r w:rsidRPr="009C51F2">
              <w:rPr>
                <w:rFonts w:ascii="Times New Roman" w:hAnsi="Times New Roman" w:eastAsia="Calibri" w:cs="Times New Roman"/>
                <w:sz w:val="20"/>
                <w:szCs w:val="20"/>
              </w:rPr>
              <w:t>Facilities [cost for renting, overhead, etc. for data collection activity]</w:t>
            </w:r>
          </w:p>
        </w:tc>
        <w:tc>
          <w:tcPr>
            <w:tcW w:w="2415" w:type="dxa"/>
            <w:vAlign w:val="center"/>
          </w:tcPr>
          <w:p w:rsidRPr="009C51F2" w:rsidR="009C51F2" w:rsidP="009C51F2" w:rsidRDefault="009C51F2" w14:paraId="1C90DA2D" w14:textId="77777777">
            <w:pPr>
              <w:jc w:val="right"/>
              <w:rPr>
                <w:rFonts w:ascii="Times New Roman" w:hAnsi="Times New Roman" w:eastAsia="Calibri" w:cs="Times New Roman"/>
                <w:sz w:val="20"/>
                <w:szCs w:val="20"/>
              </w:rPr>
            </w:pPr>
            <w:r w:rsidRPr="009C51F2">
              <w:rPr>
                <w:rFonts w:ascii="Times New Roman" w:hAnsi="Times New Roman" w:eastAsia="Calibri" w:cs="Times New Roman"/>
                <w:sz w:val="20"/>
                <w:szCs w:val="20"/>
              </w:rPr>
              <w:t>$0</w:t>
            </w:r>
          </w:p>
        </w:tc>
      </w:tr>
      <w:tr w:rsidRPr="009C51F2" w:rsidR="009C51F2" w:rsidTr="00903FE4" w14:paraId="24418D95" w14:textId="77777777">
        <w:tc>
          <w:tcPr>
            <w:tcW w:w="7555" w:type="dxa"/>
          </w:tcPr>
          <w:p w:rsidRPr="009C51F2" w:rsidR="009C51F2" w:rsidP="009C51F2" w:rsidRDefault="009C51F2" w14:paraId="5D80CFD8" w14:textId="77777777">
            <w:pPr>
              <w:rPr>
                <w:rFonts w:ascii="Times New Roman" w:hAnsi="Times New Roman" w:eastAsia="Calibri" w:cs="Times New Roman"/>
                <w:sz w:val="20"/>
                <w:szCs w:val="20"/>
              </w:rPr>
            </w:pPr>
            <w:r w:rsidRPr="009C51F2">
              <w:rPr>
                <w:rFonts w:ascii="Times New Roman" w:hAnsi="Times New Roman" w:eastAsia="Calibri" w:cs="Times New Roman"/>
                <w:sz w:val="20"/>
                <w:szCs w:val="20"/>
              </w:rPr>
              <w:t>Computer Hardware and Software [cost of equipment annual lifecycle]</w:t>
            </w:r>
          </w:p>
        </w:tc>
        <w:tc>
          <w:tcPr>
            <w:tcW w:w="2415" w:type="dxa"/>
            <w:vAlign w:val="center"/>
          </w:tcPr>
          <w:p w:rsidRPr="009C51F2" w:rsidR="009C51F2" w:rsidP="009C51F2" w:rsidRDefault="009C51F2" w14:paraId="31B267B6" w14:textId="77777777">
            <w:pPr>
              <w:jc w:val="right"/>
              <w:rPr>
                <w:rFonts w:ascii="Times New Roman" w:hAnsi="Times New Roman" w:eastAsia="Calibri" w:cs="Times New Roman"/>
                <w:sz w:val="20"/>
                <w:szCs w:val="20"/>
              </w:rPr>
            </w:pPr>
            <w:r w:rsidRPr="009C51F2">
              <w:rPr>
                <w:rFonts w:ascii="Times New Roman" w:hAnsi="Times New Roman" w:eastAsia="Calibri" w:cs="Times New Roman"/>
                <w:sz w:val="20"/>
                <w:szCs w:val="20"/>
              </w:rPr>
              <w:t>$0</w:t>
            </w:r>
          </w:p>
        </w:tc>
      </w:tr>
      <w:tr w:rsidRPr="009C51F2" w:rsidR="009C51F2" w:rsidTr="00903FE4" w14:paraId="3762517C" w14:textId="77777777">
        <w:tc>
          <w:tcPr>
            <w:tcW w:w="7555" w:type="dxa"/>
          </w:tcPr>
          <w:p w:rsidRPr="009C51F2" w:rsidR="009C51F2" w:rsidP="009C51F2" w:rsidRDefault="009C51F2" w14:paraId="01E14627" w14:textId="77777777">
            <w:pPr>
              <w:rPr>
                <w:rFonts w:ascii="Times New Roman" w:hAnsi="Times New Roman" w:eastAsia="Calibri" w:cs="Times New Roman"/>
                <w:sz w:val="20"/>
                <w:szCs w:val="20"/>
              </w:rPr>
            </w:pPr>
            <w:r w:rsidRPr="009C51F2">
              <w:rPr>
                <w:rFonts w:ascii="Times New Roman" w:hAnsi="Times New Roman" w:eastAsia="Calibri" w:cs="Times New Roman"/>
                <w:sz w:val="20"/>
                <w:szCs w:val="20"/>
              </w:rPr>
              <w:t>Equipment Maintenance [cost of annual maintenance/service agreements for equipment]</w:t>
            </w:r>
          </w:p>
        </w:tc>
        <w:tc>
          <w:tcPr>
            <w:tcW w:w="2415" w:type="dxa"/>
            <w:vAlign w:val="center"/>
          </w:tcPr>
          <w:p w:rsidRPr="009C51F2" w:rsidR="009C51F2" w:rsidP="009C51F2" w:rsidRDefault="009C51F2" w14:paraId="3A4D0269" w14:textId="7F0A8C35">
            <w:pPr>
              <w:jc w:val="right"/>
              <w:rPr>
                <w:rFonts w:ascii="Times New Roman" w:hAnsi="Times New Roman" w:eastAsia="Calibri" w:cs="Times New Roman"/>
                <w:sz w:val="20"/>
                <w:szCs w:val="20"/>
              </w:rPr>
            </w:pPr>
            <w:r w:rsidRPr="009C51F2">
              <w:rPr>
                <w:rFonts w:ascii="Times New Roman" w:hAnsi="Times New Roman" w:eastAsia="Calibri" w:cs="Times New Roman"/>
                <w:sz w:val="20"/>
                <w:szCs w:val="20"/>
              </w:rPr>
              <w:t>$</w:t>
            </w:r>
            <w:r w:rsidR="00546738">
              <w:rPr>
                <w:rFonts w:ascii="Times New Roman" w:hAnsi="Times New Roman" w:eastAsia="Calibri" w:cs="Times New Roman"/>
                <w:sz w:val="20"/>
                <w:szCs w:val="20"/>
              </w:rPr>
              <w:t>431,703</w:t>
            </w:r>
          </w:p>
        </w:tc>
      </w:tr>
      <w:tr w:rsidRPr="009C51F2" w:rsidR="009C51F2" w:rsidTr="00903FE4" w14:paraId="76B0EC02" w14:textId="77777777">
        <w:tc>
          <w:tcPr>
            <w:tcW w:w="7555" w:type="dxa"/>
          </w:tcPr>
          <w:p w:rsidRPr="009C51F2" w:rsidR="009C51F2" w:rsidP="009C51F2" w:rsidRDefault="009C51F2" w14:paraId="51DCDCA2" w14:textId="77777777">
            <w:pPr>
              <w:rPr>
                <w:rFonts w:ascii="Times New Roman" w:hAnsi="Times New Roman" w:eastAsia="Calibri" w:cs="Times New Roman"/>
                <w:sz w:val="20"/>
                <w:szCs w:val="20"/>
              </w:rPr>
            </w:pPr>
            <w:r w:rsidRPr="009C51F2">
              <w:rPr>
                <w:rFonts w:ascii="Times New Roman" w:hAnsi="Times New Roman" w:eastAsia="Calibri" w:cs="Times New Roman"/>
                <w:sz w:val="20"/>
                <w:szCs w:val="20"/>
              </w:rPr>
              <w:t>Travel</w:t>
            </w:r>
          </w:p>
        </w:tc>
        <w:tc>
          <w:tcPr>
            <w:tcW w:w="2415" w:type="dxa"/>
            <w:vAlign w:val="center"/>
          </w:tcPr>
          <w:p w:rsidRPr="009C51F2" w:rsidR="009C51F2" w:rsidP="009C51F2" w:rsidRDefault="009C51F2" w14:paraId="210923D8" w14:textId="43D86A03">
            <w:pPr>
              <w:jc w:val="right"/>
              <w:rPr>
                <w:rFonts w:ascii="Times New Roman" w:hAnsi="Times New Roman" w:eastAsia="Calibri" w:cs="Times New Roman"/>
                <w:sz w:val="20"/>
                <w:szCs w:val="20"/>
              </w:rPr>
            </w:pPr>
            <w:r w:rsidRPr="009C51F2">
              <w:rPr>
                <w:rFonts w:ascii="Times New Roman" w:hAnsi="Times New Roman" w:eastAsia="Calibri" w:cs="Times New Roman"/>
                <w:sz w:val="20"/>
                <w:szCs w:val="20"/>
              </w:rPr>
              <w:t>$</w:t>
            </w:r>
            <w:r w:rsidR="00546738">
              <w:rPr>
                <w:rFonts w:ascii="Times New Roman" w:hAnsi="Times New Roman" w:eastAsia="Calibri" w:cs="Times New Roman"/>
                <w:sz w:val="20"/>
                <w:szCs w:val="20"/>
              </w:rPr>
              <w:t>150,000</w:t>
            </w:r>
          </w:p>
        </w:tc>
      </w:tr>
      <w:tr w:rsidRPr="009C51F2" w:rsidR="009C51F2" w:rsidTr="00903FE4" w14:paraId="439C970A" w14:textId="77777777">
        <w:tc>
          <w:tcPr>
            <w:tcW w:w="7555" w:type="dxa"/>
          </w:tcPr>
          <w:p w:rsidRPr="009C51F2" w:rsidR="009C51F2" w:rsidP="009C51F2" w:rsidRDefault="009C51F2" w14:paraId="7C5B010F" w14:textId="77777777">
            <w:pPr>
              <w:rPr>
                <w:rFonts w:ascii="Times New Roman" w:hAnsi="Times New Roman" w:eastAsia="Calibri" w:cs="Times New Roman"/>
                <w:b/>
                <w:sz w:val="20"/>
                <w:szCs w:val="20"/>
              </w:rPr>
            </w:pPr>
            <w:r w:rsidRPr="009C51F2">
              <w:rPr>
                <w:rFonts w:ascii="Times New Roman" w:hAnsi="Times New Roman" w:eastAsia="Calibri" w:cs="Times New Roman"/>
                <w:b/>
                <w:sz w:val="20"/>
                <w:szCs w:val="20"/>
              </w:rPr>
              <w:t>Total</w:t>
            </w:r>
          </w:p>
        </w:tc>
        <w:tc>
          <w:tcPr>
            <w:tcW w:w="2415" w:type="dxa"/>
            <w:vAlign w:val="center"/>
          </w:tcPr>
          <w:p w:rsidRPr="009C51F2" w:rsidR="009C51F2" w:rsidP="009C51F2" w:rsidRDefault="009C51F2" w14:paraId="4A4491DD" w14:textId="33624CFE">
            <w:pPr>
              <w:jc w:val="right"/>
              <w:rPr>
                <w:rFonts w:ascii="Times New Roman" w:hAnsi="Times New Roman" w:eastAsia="Calibri" w:cs="Times New Roman"/>
                <w:sz w:val="20"/>
                <w:szCs w:val="20"/>
              </w:rPr>
            </w:pPr>
            <w:bookmarkStart w:name="_Hlk77242906" w:id="5"/>
            <w:r w:rsidRPr="009C51F2">
              <w:rPr>
                <w:rFonts w:ascii="Times New Roman" w:hAnsi="Times New Roman" w:eastAsia="Calibri" w:cs="Times New Roman"/>
                <w:sz w:val="20"/>
                <w:szCs w:val="20"/>
              </w:rPr>
              <w:t>$</w:t>
            </w:r>
            <w:r w:rsidR="00623A7A">
              <w:rPr>
                <w:rFonts w:ascii="Times New Roman" w:hAnsi="Times New Roman" w:eastAsia="Calibri" w:cs="Times New Roman"/>
                <w:sz w:val="20"/>
                <w:szCs w:val="20"/>
              </w:rPr>
              <w:t>2,312,561</w:t>
            </w:r>
            <w:bookmarkEnd w:id="5"/>
          </w:p>
        </w:tc>
      </w:tr>
      <w:tr w:rsidRPr="009C51F2" w:rsidR="009C51F2" w:rsidTr="1B2A21EF" w14:paraId="36928F1B" w14:textId="77777777">
        <w:tc>
          <w:tcPr>
            <w:tcW w:w="9970" w:type="dxa"/>
            <w:gridSpan w:val="2"/>
          </w:tcPr>
          <w:p w:rsidRPr="009C51F2" w:rsidR="009C51F2" w:rsidP="009C51F2" w:rsidRDefault="009C51F2" w14:paraId="695B269C" w14:textId="46683D98">
            <w:pPr>
              <w:rPr>
                <w:rFonts w:ascii="Times New Roman" w:hAnsi="Times New Roman" w:eastAsia="Calibri" w:cs="Times New Roman"/>
                <w:sz w:val="20"/>
                <w:szCs w:val="20"/>
              </w:rPr>
            </w:pPr>
            <w:r w:rsidRPr="009C51F2">
              <w:rPr>
                <w:rFonts w:ascii="Times New Roman" w:hAnsi="Times New Roman" w:eastAsia="Calibri" w:cs="Times New Roman"/>
                <w:sz w:val="20"/>
                <w:szCs w:val="20"/>
                <w:vertAlign w:val="superscript"/>
              </w:rPr>
              <w:t>1</w:t>
            </w:r>
            <w:r w:rsidRPr="009C51F2">
              <w:rPr>
                <w:rFonts w:ascii="Times New Roman" w:hAnsi="Times New Roman" w:eastAsia="Calibri" w:cs="Times New Roman"/>
                <w:sz w:val="20"/>
                <w:szCs w:val="20"/>
              </w:rPr>
              <w:t xml:space="preserve"> Office of Personnel Management 202</w:t>
            </w:r>
            <w:r w:rsidR="00546738">
              <w:rPr>
                <w:rFonts w:ascii="Times New Roman" w:hAnsi="Times New Roman" w:eastAsia="Calibri" w:cs="Times New Roman"/>
                <w:sz w:val="20"/>
                <w:szCs w:val="20"/>
              </w:rPr>
              <w:t>1</w:t>
            </w:r>
            <w:r w:rsidRPr="009C51F2">
              <w:rPr>
                <w:rFonts w:ascii="Times New Roman" w:hAnsi="Times New Roman" w:eastAsia="Calibri" w:cs="Times New Roman"/>
                <w:sz w:val="20"/>
                <w:szCs w:val="20"/>
              </w:rPr>
              <w:t xml:space="preserve"> Pay and Leave Tables for the Washington-Baltimore-Arlington, DC-MD-VA-WV-PA locality. Available online at </w:t>
            </w:r>
            <w:hyperlink w:history="1" r:id="rId13">
              <w:r w:rsidRPr="009C51F2" w:rsidR="00546738">
                <w:rPr>
                  <w:rStyle w:val="Hyperlink"/>
                  <w:rFonts w:ascii="Times New Roman" w:hAnsi="Times New Roman" w:eastAsia="Calibri" w:cs="Times New Roman"/>
                  <w:sz w:val="20"/>
                  <w:szCs w:val="20"/>
                </w:rPr>
                <w:t>https://www.opm.gov/policy-data-oversight/pay-leave/salaries-wages/salary-tables/2</w:t>
              </w:r>
              <w:r w:rsidRPr="00837222" w:rsidR="00546738">
                <w:rPr>
                  <w:rStyle w:val="Hyperlink"/>
                  <w:rFonts w:ascii="Times New Roman" w:hAnsi="Times New Roman" w:eastAsia="Calibri" w:cs="Times New Roman"/>
                  <w:sz w:val="20"/>
                  <w:szCs w:val="20"/>
                </w:rPr>
                <w:t>1</w:t>
              </w:r>
              <w:r w:rsidRPr="009C51F2" w:rsidR="00546738">
                <w:rPr>
                  <w:rStyle w:val="Hyperlink"/>
                  <w:rFonts w:ascii="Times New Roman" w:hAnsi="Times New Roman" w:eastAsia="Calibri" w:cs="Times New Roman"/>
                  <w:sz w:val="20"/>
                  <w:szCs w:val="20"/>
                </w:rPr>
                <w:t>Tables/html/DCB.aspx</w:t>
              </w:r>
            </w:hyperlink>
            <w:r w:rsidRPr="009C51F2">
              <w:rPr>
                <w:rFonts w:ascii="Times New Roman" w:hAnsi="Times New Roman" w:eastAsia="Calibri" w:cs="Times New Roman"/>
                <w:sz w:val="20"/>
                <w:szCs w:val="20"/>
              </w:rPr>
              <w:t xml:space="preserve">. Accessed </w:t>
            </w:r>
            <w:r w:rsidRPr="00D06240" w:rsidR="00C27C49">
              <w:rPr>
                <w:rFonts w:ascii="Times New Roman" w:hAnsi="Times New Roman" w:eastAsia="Calibri" w:cs="Times New Roman"/>
                <w:sz w:val="20"/>
                <w:szCs w:val="20"/>
              </w:rPr>
              <w:t>November 23</w:t>
            </w:r>
            <w:r w:rsidRPr="009C51F2">
              <w:rPr>
                <w:rFonts w:ascii="Times New Roman" w:hAnsi="Times New Roman" w:eastAsia="Calibri" w:cs="Times New Roman"/>
                <w:sz w:val="20"/>
                <w:szCs w:val="20"/>
              </w:rPr>
              <w:t xml:space="preserve">, </w:t>
            </w:r>
            <w:r w:rsidRPr="009C51F2" w:rsidR="008C28EC">
              <w:rPr>
                <w:rFonts w:ascii="Times New Roman" w:hAnsi="Times New Roman" w:eastAsia="Calibri" w:cs="Times New Roman"/>
                <w:sz w:val="20"/>
                <w:szCs w:val="20"/>
              </w:rPr>
              <w:t>202</w:t>
            </w:r>
            <w:r w:rsidR="008C28EC">
              <w:rPr>
                <w:rFonts w:ascii="Times New Roman" w:hAnsi="Times New Roman" w:eastAsia="Calibri" w:cs="Times New Roman"/>
                <w:sz w:val="20"/>
                <w:szCs w:val="20"/>
              </w:rPr>
              <w:t>1</w:t>
            </w:r>
            <w:r w:rsidRPr="009C51F2">
              <w:rPr>
                <w:rFonts w:ascii="Times New Roman" w:hAnsi="Times New Roman" w:eastAsia="Calibri" w:cs="Times New Roman"/>
                <w:sz w:val="20"/>
                <w:szCs w:val="20"/>
              </w:rPr>
              <w:t>.</w:t>
            </w:r>
          </w:p>
          <w:p w:rsidRPr="009C51F2" w:rsidR="009C51F2" w:rsidP="009C51F2" w:rsidRDefault="009C51F2" w14:paraId="68E50F8D" w14:textId="77777777">
            <w:pPr>
              <w:rPr>
                <w:rFonts w:ascii="Times New Roman" w:hAnsi="Times New Roman" w:eastAsia="Calibri" w:cs="Times New Roman"/>
                <w:sz w:val="20"/>
                <w:szCs w:val="20"/>
              </w:rPr>
            </w:pPr>
            <w:r w:rsidRPr="009C51F2">
              <w:rPr>
                <w:rFonts w:ascii="Times New Roman" w:hAnsi="Times New Roman" w:eastAsia="Calibri" w:cs="Times New Roman"/>
                <w:sz w:val="20"/>
                <w:szCs w:val="20"/>
                <w:vertAlign w:val="superscript"/>
              </w:rPr>
              <w:t>2</w:t>
            </w:r>
            <w:r w:rsidRPr="009C51F2">
              <w:rPr>
                <w:rFonts w:ascii="Times New Roman" w:hAnsi="Times New Roman" w:eastAsia="Calibri" w:cs="Times New Roman"/>
                <w:sz w:val="20"/>
                <w:szCs w:val="20"/>
              </w:rPr>
              <w:t xml:space="preserve"> Wage rate includes a 1.45 multiplier to reflect the fully-loaded wage rate.</w:t>
            </w:r>
          </w:p>
        </w:tc>
      </w:tr>
      <w:bookmarkEnd w:id="3"/>
    </w:tbl>
    <w:p w:rsidR="009C51F2" w:rsidP="00D14AE9" w:rsidRDefault="009C51F2" w14:paraId="6FB9D598" w14:textId="77777777">
      <w:pPr>
        <w:spacing w:after="0" w:line="240" w:lineRule="auto"/>
        <w:rPr>
          <w:rFonts w:ascii="Times New Roman" w:hAnsi="Times New Roman" w:cs="Times New Roman"/>
          <w:sz w:val="24"/>
          <w:szCs w:val="24"/>
        </w:rPr>
      </w:pPr>
    </w:p>
    <w:p w:rsidRPr="006625E7" w:rsidR="00562915" w:rsidP="00562915" w:rsidRDefault="00562915" w14:paraId="685B8BF7" w14:textId="778E468A">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B157BE4" w14:textId="29FA6AD0">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Pr="00106954" w:rsidR="00612845">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223EA8A8"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58D8EBCD" w14:textId="3A466670">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54EA7" w:rsidP="00254EA7" w:rsidRDefault="00254EA7" w14:paraId="2D37B73A" w14:textId="73D73238">
      <w:pPr>
        <w:pStyle w:val="NormalWeb"/>
        <w:spacing w:before="0" w:beforeAutospacing="0" w:after="0" w:afterAutospacing="0"/>
      </w:pPr>
      <w:r>
        <w:t>The changes to the reported hour burden and cost burden associated with the information collection are due to changes in the number of respondents to the THIRA/SPR</w:t>
      </w:r>
      <w:r w:rsidR="00FD2349">
        <w:t xml:space="preserve">. </w:t>
      </w:r>
      <w:r w:rsidR="00C440B2">
        <w:t xml:space="preserve"> </w:t>
      </w:r>
      <w:r w:rsidR="00871BEA">
        <w:t>Tribal respondents increase</w:t>
      </w:r>
      <w:r w:rsidR="001136E0">
        <w:t>d</w:t>
      </w:r>
      <w:r w:rsidR="00871BEA">
        <w:t xml:space="preserve"> from 24 to 39 total tribes. </w:t>
      </w:r>
      <w:r w:rsidR="00C440B2">
        <w:t xml:space="preserve"> </w:t>
      </w:r>
      <w:r w:rsidR="00871BEA">
        <w:t>S</w:t>
      </w:r>
      <w:r>
        <w:t xml:space="preserve">tates, territories, and urban areas complete THIRA/SPR in its entirety while tribes complete the THIRA/SPR but only for some of the core capabilities (hence completing the entire THIRA/SPR corresponds with a burden increase while completing it only for a subset of capabilities corresponds with a burden decrease). </w:t>
      </w:r>
      <w:r w:rsidR="00C440B2">
        <w:t xml:space="preserve"> </w:t>
      </w:r>
      <w:r>
        <w:t xml:space="preserve">Further, as explained in 12a, FEMA used </w:t>
      </w:r>
      <w:r w:rsidR="00871BEA">
        <w:t xml:space="preserve">approved burden hours as there was no change in hours estimations from previously approved assessment. </w:t>
      </w:r>
      <w:r w:rsidR="00C440B2">
        <w:t xml:space="preserve"> </w:t>
      </w:r>
      <w:r>
        <w:t xml:space="preserve">This </w:t>
      </w:r>
      <w:r>
        <w:lastRenderedPageBreak/>
        <w:t xml:space="preserve">yielded an average increase in burden hours per jurisdiction of 10.83 percent. </w:t>
      </w:r>
      <w:r w:rsidR="00C440B2">
        <w:t xml:space="preserve"> </w:t>
      </w:r>
      <w:r>
        <w:t xml:space="preserve">This increased burden hour estimate was used to generate the updated cost burdens, aided by cost breakouts outlined in question 13. </w:t>
      </w:r>
      <w:r w:rsidR="00C440B2">
        <w:t xml:space="preserve"> </w:t>
      </w:r>
      <w:r>
        <w:t xml:space="preserve">Finally, the total number of jurisdictions required to complete a THIRA/SPR </w:t>
      </w:r>
      <w:r w:rsidR="00FC0470">
        <w:t xml:space="preserve">increased </w:t>
      </w:r>
      <w:r>
        <w:t>(from</w:t>
      </w:r>
      <w:r w:rsidR="00FC0470">
        <w:t xml:space="preserve"> 113 to </w:t>
      </w:r>
      <w:r w:rsidR="006D0654">
        <w:t>128)</w:t>
      </w:r>
      <w:r>
        <w:t>, resulting in a</w:t>
      </w:r>
      <w:r w:rsidR="00D90929">
        <w:t>n</w:t>
      </w:r>
      <w:r>
        <w:t xml:space="preserve"> </w:t>
      </w:r>
      <w:r w:rsidR="00871BEA">
        <w:t xml:space="preserve">increase </w:t>
      </w:r>
      <w:r>
        <w:t>in burden.</w:t>
      </w:r>
    </w:p>
    <w:p w:rsidR="00254EA7" w:rsidP="00562915" w:rsidRDefault="00254EA7" w14:paraId="39D4A12B" w14:textId="21AE8375">
      <w:pPr>
        <w:pStyle w:val="NormalWeb"/>
        <w:rPr>
          <w:i/>
          <w:sz w:val="20"/>
          <w:szCs w:val="20"/>
        </w:rPr>
      </w:pPr>
    </w:p>
    <w:p w:rsidRPr="00254EA7" w:rsidR="00254EA7" w:rsidP="00254EA7" w:rsidRDefault="00254EA7" w14:paraId="5EA010EB" w14:textId="3EF5F5BF">
      <w:pPr>
        <w:pStyle w:val="NormalWeb"/>
        <w:spacing w:before="0" w:beforeAutospacing="0" w:after="0" w:afterAutospacing="0"/>
      </w:pPr>
      <w:r>
        <w:t xml:space="preserve">Accordingly, this yields a total hourly burden of 869 hours for each of the 56 </w:t>
      </w:r>
      <w:r w:rsidR="001634BF">
        <w:t>States</w:t>
      </w:r>
      <w:r>
        <w:t xml:space="preserve"> and territories that complete THIRA/SPR, along with the 33 urban areas that are now required to complete a THIRA/SPR, for a total of 77,341 hours.  The respondent burden for tribes completing the THIRA/SPR is 290 hours for each of the </w:t>
      </w:r>
      <w:r w:rsidR="009A7BF2">
        <w:t>39</w:t>
      </w:r>
      <w:r>
        <w:t xml:space="preserve"> tribal jurisdictions, for a total burden of </w:t>
      </w:r>
      <w:r w:rsidRPr="00C64FF4" w:rsidR="009A7BF2">
        <w:t>11,310</w:t>
      </w:r>
      <w:r w:rsidRPr="00C64FF4">
        <w:t xml:space="preserve"> hours.</w:t>
      </w:r>
      <w:r>
        <w:t xml:space="preserve">  Additionally, all 1</w:t>
      </w:r>
      <w:r w:rsidR="009960AE">
        <w:t>28</w:t>
      </w:r>
      <w:r>
        <w:t xml:space="preserve"> respondents are asked to participate in after action calls lasting one hour for a total of 1</w:t>
      </w:r>
      <w:r w:rsidR="009960AE">
        <w:t xml:space="preserve">28 </w:t>
      </w:r>
      <w:r>
        <w:t>hours.  Combined, the total respondent hours for THIRA/SPR, THIRA only, and participation in after action calls are 8</w:t>
      </w:r>
      <w:r w:rsidR="00C64FF4">
        <w:t>8</w:t>
      </w:r>
      <w:r>
        <w:t>,</w:t>
      </w:r>
      <w:r w:rsidR="00C64FF4">
        <w:t>764</w:t>
      </w:r>
      <w:r>
        <w:t xml:space="preserve"> hours. </w:t>
      </w:r>
      <w:r w:rsidR="00C440B2">
        <w:t xml:space="preserve"> </w:t>
      </w:r>
      <w:r>
        <w:t xml:space="preserve">This is an increase of </w:t>
      </w:r>
      <w:r w:rsidR="00C64FF4">
        <w:t>4</w:t>
      </w:r>
      <w:r>
        <w:t>,</w:t>
      </w:r>
      <w:r w:rsidR="00C64FF4">
        <w:t>350</w:t>
      </w:r>
      <w:r>
        <w:t xml:space="preserve"> over the previous </w:t>
      </w:r>
      <w:r w:rsidR="00C64FF4">
        <w:t>84</w:t>
      </w:r>
      <w:r>
        <w:t>,</w:t>
      </w:r>
      <w:r w:rsidR="00C64FF4">
        <w:t>414</w:t>
      </w:r>
      <w:r>
        <w:t xml:space="preserve"> hours currently on the OMB inventory. </w:t>
      </w:r>
      <w:r w:rsidR="00C440B2">
        <w:t xml:space="preserve"> </w:t>
      </w:r>
      <w:r>
        <w:t xml:space="preserve">This increase accounts for </w:t>
      </w:r>
      <w:r w:rsidR="00C64FF4">
        <w:t>15 additional Tribal Nations</w:t>
      </w:r>
      <w:r>
        <w:t xml:space="preserve"> now completing the entire THIRA/SPR (not only THIRA)</w:t>
      </w:r>
      <w:r w:rsidR="00C64FF4">
        <w:t>.</w:t>
      </w:r>
    </w:p>
    <w:p w:rsidR="005557BD" w:rsidP="00254EA7" w:rsidRDefault="005557BD" w14:paraId="554D5D26" w14:textId="57B01B7D">
      <w:pPr>
        <w:pStyle w:val="NormalWeb"/>
        <w:spacing w:before="0" w:beforeAutospacing="0" w:after="0" w:afterAutospacing="0"/>
        <w:rPr>
          <w:i/>
          <w:sz w:val="20"/>
          <w:szCs w:val="20"/>
        </w:rPr>
      </w:pPr>
      <w:bookmarkStart w:name="_MON_1464600856" w:id="6"/>
      <w:bookmarkStart w:name="_MON_1493119315" w:id="7"/>
      <w:bookmarkEnd w:id="6"/>
      <w:bookmarkEnd w:id="7"/>
    </w:p>
    <w:tbl>
      <w:tblPr>
        <w:tblW w:w="6880" w:type="dxa"/>
        <w:tblLook w:val="04A0" w:firstRow="1" w:lastRow="0" w:firstColumn="1" w:lastColumn="0" w:noHBand="0" w:noVBand="1"/>
      </w:tblPr>
      <w:tblGrid>
        <w:gridCol w:w="1952"/>
        <w:gridCol w:w="2600"/>
        <w:gridCol w:w="1480"/>
        <w:gridCol w:w="1206"/>
      </w:tblGrid>
      <w:tr w:rsidRPr="005557BD" w:rsidR="005557BD" w:rsidTr="005557BD" w14:paraId="2CB166B1" w14:textId="77777777">
        <w:trPr>
          <w:trHeight w:val="288"/>
        </w:trPr>
        <w:tc>
          <w:tcPr>
            <w:tcW w:w="68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B05" w:rsidR="005557BD" w:rsidP="005557BD" w:rsidRDefault="005557BD" w14:paraId="13FB59D1" w14:textId="77777777">
            <w:pPr>
              <w:spacing w:after="0" w:line="240" w:lineRule="auto"/>
              <w:jc w:val="center"/>
              <w:rPr>
                <w:rFonts w:ascii="Times New Roman" w:hAnsi="Times New Roman" w:eastAsia="Times New Roman" w:cs="Times New Roman"/>
                <w:b/>
                <w:bCs/>
                <w:color w:val="000000"/>
              </w:rPr>
            </w:pPr>
            <w:r w:rsidRPr="00500B05">
              <w:rPr>
                <w:rFonts w:ascii="Times New Roman" w:hAnsi="Times New Roman" w:eastAsia="Times New Roman" w:cs="Times New Roman"/>
                <w:b/>
                <w:bCs/>
                <w:color w:val="000000"/>
              </w:rPr>
              <w:t>Itemized Changes in Annual Cost Burden</w:t>
            </w:r>
          </w:p>
        </w:tc>
      </w:tr>
      <w:tr w:rsidRPr="005557BD" w:rsidR="005557BD" w:rsidTr="00D06240" w14:paraId="76752703" w14:textId="77777777">
        <w:trPr>
          <w:trHeight w:val="864"/>
        </w:trPr>
        <w:tc>
          <w:tcPr>
            <w:tcW w:w="1740" w:type="dxa"/>
            <w:tcBorders>
              <w:top w:val="nil"/>
              <w:left w:val="single" w:color="auto" w:sz="4" w:space="0"/>
              <w:bottom w:val="single" w:color="auto" w:sz="4" w:space="0"/>
              <w:right w:val="single" w:color="auto" w:sz="4" w:space="0"/>
            </w:tcBorders>
            <w:shd w:val="clear" w:color="auto" w:fill="95B3D7" w:themeFill="accent1" w:themeFillTint="99"/>
            <w:vAlign w:val="center"/>
            <w:hideMark/>
          </w:tcPr>
          <w:p w:rsidRPr="00500B05" w:rsidR="005557BD" w:rsidP="005557BD" w:rsidRDefault="005557BD" w14:paraId="2CBD5DE2" w14:textId="6956901C">
            <w:pPr>
              <w:spacing w:after="0" w:line="240" w:lineRule="auto"/>
              <w:jc w:val="center"/>
              <w:rPr>
                <w:rFonts w:ascii="Times New Roman" w:hAnsi="Times New Roman" w:eastAsia="Times New Roman" w:cs="Times New Roman"/>
                <w:color w:val="000000"/>
              </w:rPr>
            </w:pPr>
            <w:r w:rsidRPr="00500B05">
              <w:rPr>
                <w:rFonts w:ascii="Times New Roman" w:hAnsi="Times New Roman" w:eastAsia="Times New Roman" w:cs="Times New Roman"/>
                <w:color w:val="000000"/>
              </w:rPr>
              <w:t xml:space="preserve">Data Collection </w:t>
            </w:r>
            <w:r w:rsidRPr="00500B05" w:rsidR="00500B05">
              <w:rPr>
                <w:rFonts w:ascii="Times New Roman" w:hAnsi="Times New Roman" w:eastAsia="Times New Roman" w:cs="Times New Roman"/>
                <w:color w:val="000000"/>
              </w:rPr>
              <w:t>Activity</w:t>
            </w:r>
            <w:r w:rsidRPr="00500B05">
              <w:rPr>
                <w:rFonts w:ascii="Times New Roman" w:hAnsi="Times New Roman" w:eastAsia="Times New Roman" w:cs="Times New Roman"/>
                <w:color w:val="000000"/>
              </w:rPr>
              <w:t>/Instrument</w:t>
            </w:r>
          </w:p>
        </w:tc>
        <w:tc>
          <w:tcPr>
            <w:tcW w:w="2600" w:type="dxa"/>
            <w:tcBorders>
              <w:top w:val="nil"/>
              <w:left w:val="nil"/>
              <w:bottom w:val="single" w:color="auto" w:sz="4" w:space="0"/>
              <w:right w:val="single" w:color="auto" w:sz="4" w:space="0"/>
            </w:tcBorders>
            <w:shd w:val="clear" w:color="auto" w:fill="95B3D7" w:themeFill="accent1" w:themeFillTint="99"/>
            <w:vAlign w:val="center"/>
            <w:hideMark/>
          </w:tcPr>
          <w:p w:rsidRPr="00500B05" w:rsidR="005557BD" w:rsidP="005557BD" w:rsidRDefault="005557BD" w14:paraId="77C768D0" w14:textId="77777777">
            <w:pPr>
              <w:spacing w:after="0" w:line="240" w:lineRule="auto"/>
              <w:jc w:val="center"/>
              <w:rPr>
                <w:rFonts w:ascii="Times New Roman" w:hAnsi="Times New Roman" w:eastAsia="Times New Roman" w:cs="Times New Roman"/>
                <w:color w:val="000000"/>
              </w:rPr>
            </w:pPr>
            <w:r w:rsidRPr="00500B05">
              <w:rPr>
                <w:rFonts w:ascii="Times New Roman" w:hAnsi="Times New Roman" w:eastAsia="Times New Roman" w:cs="Times New Roman"/>
                <w:color w:val="000000"/>
              </w:rPr>
              <w:t>Program Change (hours currently on OMB Inventory)</w:t>
            </w:r>
          </w:p>
        </w:tc>
        <w:tc>
          <w:tcPr>
            <w:tcW w:w="1480" w:type="dxa"/>
            <w:tcBorders>
              <w:top w:val="nil"/>
              <w:left w:val="nil"/>
              <w:bottom w:val="single" w:color="auto" w:sz="4" w:space="0"/>
              <w:right w:val="single" w:color="auto" w:sz="4" w:space="0"/>
            </w:tcBorders>
            <w:shd w:val="clear" w:color="auto" w:fill="95B3D7" w:themeFill="accent1" w:themeFillTint="99"/>
            <w:vAlign w:val="center"/>
            <w:hideMark/>
          </w:tcPr>
          <w:p w:rsidRPr="00500B05" w:rsidR="005557BD" w:rsidP="005557BD" w:rsidRDefault="005557BD" w14:paraId="380CD8DE" w14:textId="77777777">
            <w:pPr>
              <w:spacing w:after="0" w:line="240" w:lineRule="auto"/>
              <w:jc w:val="center"/>
              <w:rPr>
                <w:rFonts w:ascii="Times New Roman" w:hAnsi="Times New Roman" w:eastAsia="Times New Roman" w:cs="Times New Roman"/>
                <w:color w:val="000000"/>
              </w:rPr>
            </w:pPr>
            <w:r w:rsidRPr="00500B05">
              <w:rPr>
                <w:rFonts w:ascii="Times New Roman" w:hAnsi="Times New Roman" w:eastAsia="Times New Roman" w:cs="Times New Roman"/>
                <w:color w:val="000000"/>
              </w:rPr>
              <w:t>Program Change (New)</w:t>
            </w:r>
          </w:p>
        </w:tc>
        <w:tc>
          <w:tcPr>
            <w:tcW w:w="1060" w:type="dxa"/>
            <w:tcBorders>
              <w:top w:val="nil"/>
              <w:left w:val="nil"/>
              <w:bottom w:val="single" w:color="auto" w:sz="4" w:space="0"/>
              <w:right w:val="single" w:color="auto" w:sz="4" w:space="0"/>
            </w:tcBorders>
            <w:shd w:val="clear" w:color="auto" w:fill="95B3D7" w:themeFill="accent1" w:themeFillTint="99"/>
            <w:vAlign w:val="center"/>
            <w:hideMark/>
          </w:tcPr>
          <w:p w:rsidRPr="00500B05" w:rsidR="005557BD" w:rsidP="005557BD" w:rsidRDefault="005557BD" w14:paraId="5FE8864D" w14:textId="77777777">
            <w:pPr>
              <w:spacing w:after="0" w:line="240" w:lineRule="auto"/>
              <w:jc w:val="center"/>
              <w:rPr>
                <w:rFonts w:ascii="Times New Roman" w:hAnsi="Times New Roman" w:eastAsia="Times New Roman" w:cs="Times New Roman"/>
                <w:color w:val="000000"/>
              </w:rPr>
            </w:pPr>
            <w:r w:rsidRPr="00500B05">
              <w:rPr>
                <w:rFonts w:ascii="Times New Roman" w:hAnsi="Times New Roman" w:eastAsia="Times New Roman" w:cs="Times New Roman"/>
                <w:color w:val="000000"/>
              </w:rPr>
              <w:t>Difference</w:t>
            </w:r>
          </w:p>
        </w:tc>
      </w:tr>
      <w:tr w:rsidRPr="005557BD" w:rsidR="005557BD" w:rsidTr="005557BD" w14:paraId="788A794A" w14:textId="77777777">
        <w:trPr>
          <w:trHeight w:val="864"/>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500B05" w:rsidR="005557BD" w:rsidP="005557BD" w:rsidRDefault="005557BD" w14:paraId="0766A5A4" w14:textId="77777777">
            <w:pPr>
              <w:spacing w:after="0" w:line="240" w:lineRule="auto"/>
              <w:rPr>
                <w:rFonts w:ascii="Times New Roman" w:hAnsi="Times New Roman" w:eastAsia="Times New Roman" w:cs="Times New Roman"/>
                <w:color w:val="000000"/>
              </w:rPr>
            </w:pPr>
            <w:r w:rsidRPr="00500B05">
              <w:rPr>
                <w:rFonts w:ascii="Times New Roman" w:hAnsi="Times New Roman" w:eastAsia="Times New Roman" w:cs="Times New Roman"/>
                <w:color w:val="000000"/>
              </w:rPr>
              <w:t>THIRA/SPR (states, territories, urban areas</w:t>
            </w:r>
          </w:p>
        </w:tc>
        <w:tc>
          <w:tcPr>
            <w:tcW w:w="260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07ED2853"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 xml:space="preserve">$13,277,634 </w:t>
            </w:r>
          </w:p>
        </w:tc>
        <w:tc>
          <w:tcPr>
            <w:tcW w:w="148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30309DEB"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 xml:space="preserve">$18,615,685 </w:t>
            </w:r>
          </w:p>
        </w:tc>
        <w:tc>
          <w:tcPr>
            <w:tcW w:w="106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542708D3"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$5,338,051</w:t>
            </w:r>
          </w:p>
        </w:tc>
      </w:tr>
      <w:tr w:rsidRPr="005557BD" w:rsidR="005557BD" w:rsidTr="005557BD" w14:paraId="35C30DC8" w14:textId="77777777">
        <w:trPr>
          <w:trHeight w:val="288"/>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500B05" w:rsidR="005557BD" w:rsidP="005557BD" w:rsidRDefault="005557BD" w14:paraId="735C08A3" w14:textId="77777777">
            <w:pPr>
              <w:spacing w:after="0" w:line="240" w:lineRule="auto"/>
              <w:rPr>
                <w:rFonts w:ascii="Times New Roman" w:hAnsi="Times New Roman" w:eastAsia="Times New Roman" w:cs="Times New Roman"/>
                <w:color w:val="000000"/>
              </w:rPr>
            </w:pPr>
            <w:r w:rsidRPr="00500B05">
              <w:rPr>
                <w:rFonts w:ascii="Times New Roman" w:hAnsi="Times New Roman" w:eastAsia="Times New Roman" w:cs="Times New Roman"/>
                <w:color w:val="000000"/>
              </w:rPr>
              <w:t>THIRA/SPR (tribes)</w:t>
            </w:r>
          </w:p>
        </w:tc>
        <w:tc>
          <w:tcPr>
            <w:tcW w:w="260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2CC43FB0"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 xml:space="preserve">$1,194,864 </w:t>
            </w:r>
          </w:p>
        </w:tc>
        <w:tc>
          <w:tcPr>
            <w:tcW w:w="148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7FCC211E"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 xml:space="preserve">$2,722,200 </w:t>
            </w:r>
          </w:p>
        </w:tc>
        <w:tc>
          <w:tcPr>
            <w:tcW w:w="106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551F8877" w14:textId="77777777">
            <w:pPr>
              <w:spacing w:after="0" w:line="240" w:lineRule="auto"/>
              <w:jc w:val="right"/>
              <w:rPr>
                <w:rFonts w:ascii="Times New Roman" w:hAnsi="Times New Roman" w:eastAsia="Times New Roman" w:cs="Times New Roman"/>
                <w:color w:val="000000"/>
              </w:rPr>
            </w:pPr>
            <w:r w:rsidRPr="00500B05">
              <w:rPr>
                <w:rFonts w:ascii="Times New Roman" w:hAnsi="Times New Roman" w:eastAsia="Times New Roman" w:cs="Times New Roman"/>
                <w:color w:val="000000"/>
              </w:rPr>
              <w:t>$1,527,336</w:t>
            </w:r>
          </w:p>
        </w:tc>
      </w:tr>
      <w:tr w:rsidRPr="005557BD" w:rsidR="005557BD" w:rsidTr="005557BD" w14:paraId="169D2046" w14:textId="77777777">
        <w:trPr>
          <w:trHeight w:val="288"/>
        </w:trPr>
        <w:tc>
          <w:tcPr>
            <w:tcW w:w="1740" w:type="dxa"/>
            <w:tcBorders>
              <w:top w:val="nil"/>
              <w:left w:val="single" w:color="auto" w:sz="4" w:space="0"/>
              <w:bottom w:val="single" w:color="auto" w:sz="4" w:space="0"/>
              <w:right w:val="single" w:color="auto" w:sz="4" w:space="0"/>
            </w:tcBorders>
            <w:shd w:val="clear" w:color="auto" w:fill="auto"/>
            <w:noWrap/>
            <w:vAlign w:val="bottom"/>
            <w:hideMark/>
          </w:tcPr>
          <w:p w:rsidRPr="00500B05" w:rsidR="005557BD" w:rsidP="005557BD" w:rsidRDefault="005557BD" w14:paraId="16F46F40" w14:textId="77777777">
            <w:pPr>
              <w:spacing w:after="0" w:line="240" w:lineRule="auto"/>
              <w:rPr>
                <w:rFonts w:ascii="Times New Roman" w:hAnsi="Times New Roman" w:eastAsia="Times New Roman" w:cs="Times New Roman"/>
                <w:b/>
                <w:bCs/>
                <w:color w:val="000000"/>
              </w:rPr>
            </w:pPr>
            <w:r w:rsidRPr="00500B05">
              <w:rPr>
                <w:rFonts w:ascii="Times New Roman" w:hAnsi="Times New Roman" w:eastAsia="Times New Roman" w:cs="Times New Roman"/>
                <w:b/>
                <w:bCs/>
                <w:color w:val="000000"/>
              </w:rPr>
              <w:t>TOTAL</w:t>
            </w:r>
          </w:p>
        </w:tc>
        <w:tc>
          <w:tcPr>
            <w:tcW w:w="260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3A5CA991" w14:textId="77777777">
            <w:pPr>
              <w:spacing w:after="0" w:line="240" w:lineRule="auto"/>
              <w:jc w:val="right"/>
              <w:rPr>
                <w:rFonts w:ascii="Times New Roman" w:hAnsi="Times New Roman" w:eastAsia="Times New Roman" w:cs="Times New Roman"/>
                <w:b/>
                <w:bCs/>
                <w:color w:val="000000"/>
              </w:rPr>
            </w:pPr>
            <w:r w:rsidRPr="00500B05">
              <w:rPr>
                <w:rFonts w:ascii="Times New Roman" w:hAnsi="Times New Roman" w:eastAsia="Times New Roman" w:cs="Times New Roman"/>
                <w:b/>
                <w:bCs/>
                <w:color w:val="000000"/>
              </w:rPr>
              <w:t>$14,472,498</w:t>
            </w:r>
          </w:p>
        </w:tc>
        <w:tc>
          <w:tcPr>
            <w:tcW w:w="148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0FE1E5D0" w14:textId="77777777">
            <w:pPr>
              <w:spacing w:after="0" w:line="240" w:lineRule="auto"/>
              <w:jc w:val="right"/>
              <w:rPr>
                <w:rFonts w:ascii="Times New Roman" w:hAnsi="Times New Roman" w:eastAsia="Times New Roman" w:cs="Times New Roman"/>
                <w:b/>
                <w:bCs/>
                <w:color w:val="000000"/>
              </w:rPr>
            </w:pPr>
            <w:r w:rsidRPr="00500B05">
              <w:rPr>
                <w:rFonts w:ascii="Times New Roman" w:hAnsi="Times New Roman" w:eastAsia="Times New Roman" w:cs="Times New Roman"/>
                <w:b/>
                <w:bCs/>
                <w:color w:val="000000"/>
              </w:rPr>
              <w:t>$21,337,885</w:t>
            </w:r>
          </w:p>
        </w:tc>
        <w:tc>
          <w:tcPr>
            <w:tcW w:w="1060" w:type="dxa"/>
            <w:tcBorders>
              <w:top w:val="nil"/>
              <w:left w:val="nil"/>
              <w:bottom w:val="single" w:color="auto" w:sz="4" w:space="0"/>
              <w:right w:val="single" w:color="auto" w:sz="4" w:space="0"/>
            </w:tcBorders>
            <w:shd w:val="clear" w:color="auto" w:fill="auto"/>
            <w:noWrap/>
            <w:vAlign w:val="center"/>
            <w:hideMark/>
          </w:tcPr>
          <w:p w:rsidRPr="00500B05" w:rsidR="005557BD" w:rsidP="00500B05" w:rsidRDefault="005557BD" w14:paraId="683A10A3" w14:textId="77777777">
            <w:pPr>
              <w:spacing w:after="0" w:line="240" w:lineRule="auto"/>
              <w:jc w:val="right"/>
              <w:rPr>
                <w:rFonts w:ascii="Times New Roman" w:hAnsi="Times New Roman" w:eastAsia="Times New Roman" w:cs="Times New Roman"/>
                <w:b/>
                <w:bCs/>
                <w:color w:val="000000"/>
              </w:rPr>
            </w:pPr>
            <w:r w:rsidRPr="00500B05">
              <w:rPr>
                <w:rFonts w:ascii="Times New Roman" w:hAnsi="Times New Roman" w:eastAsia="Times New Roman" w:cs="Times New Roman"/>
                <w:b/>
                <w:bCs/>
                <w:color w:val="000000"/>
              </w:rPr>
              <w:t>$6,865,387</w:t>
            </w:r>
          </w:p>
        </w:tc>
      </w:tr>
    </w:tbl>
    <w:p w:rsidR="00246604" w:rsidP="00254EA7" w:rsidRDefault="00246604" w14:paraId="3F53B64F" w14:textId="69B163C5">
      <w:pPr>
        <w:pStyle w:val="NormalWeb"/>
        <w:spacing w:before="0" w:beforeAutospacing="0" w:after="0" w:afterAutospacing="0"/>
        <w:rPr>
          <w:i/>
          <w:sz w:val="20"/>
          <w:szCs w:val="20"/>
        </w:rPr>
      </w:pPr>
    </w:p>
    <w:p w:rsidR="00817BB1" w:rsidP="00254EA7" w:rsidRDefault="00817BB1" w14:paraId="6C40C5A9" w14:textId="3DE4210D">
      <w:pPr>
        <w:pStyle w:val="NormalWeb"/>
        <w:spacing w:before="0" w:beforeAutospacing="0" w:after="0" w:afterAutospacing="0"/>
        <w:rPr>
          <w:i/>
          <w:sz w:val="20"/>
          <w:szCs w:val="20"/>
        </w:rPr>
      </w:pPr>
    </w:p>
    <w:p w:rsidR="00254EA7" w:rsidP="00254EA7" w:rsidRDefault="00254EA7" w14:paraId="090B9E13" w14:textId="272C5EE2">
      <w:pPr>
        <w:pStyle w:val="NormalWeb"/>
        <w:spacing w:before="0" w:beforeAutospacing="0" w:after="0" w:afterAutospacing="0"/>
        <w:rPr>
          <w:i/>
          <w:sz w:val="20"/>
          <w:szCs w:val="20"/>
        </w:rPr>
      </w:pPr>
    </w:p>
    <w:p w:rsidR="00254EA7" w:rsidP="00254EA7" w:rsidRDefault="00254EA7" w14:paraId="1DBBE245" w14:textId="77777777">
      <w:pPr>
        <w:pStyle w:val="NormalWeb"/>
        <w:spacing w:before="0" w:beforeAutospacing="0" w:after="0" w:afterAutospacing="0"/>
        <w:rPr>
          <w:i/>
          <w:sz w:val="20"/>
          <w:szCs w:val="20"/>
        </w:rPr>
      </w:pPr>
    </w:p>
    <w:p w:rsidRPr="006625E7" w:rsidR="00254EA7" w:rsidP="00254EA7" w:rsidRDefault="00254EA7" w14:paraId="4BE440B7" w14:textId="77777777">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254EA7" w:rsidP="00254EA7" w:rsidRDefault="00254EA7" w14:paraId="0E93898B" w14:textId="6A5F6F94">
      <w:pPr>
        <w:pStyle w:val="NormalWeb"/>
        <w:spacing w:before="0" w:beforeAutospacing="0" w:after="0" w:afterAutospacing="0"/>
        <w:rPr>
          <w:bCs/>
        </w:rPr>
      </w:pPr>
      <w:r>
        <w:t>To calculate the total cost for a single jurisdiction to complete the THIRA/SPR, FEMA first determined the average personnel cost (869 average burden hours multiplied by $</w:t>
      </w:r>
      <w:r w:rsidR="00831464">
        <w:t>55.36</w:t>
      </w:r>
      <w:r>
        <w:t xml:space="preserve"> loaded wage rate) of $</w:t>
      </w:r>
      <w:r w:rsidR="00F376EF">
        <w:t>48,108</w:t>
      </w:r>
      <w:r>
        <w:t xml:space="preserve">. </w:t>
      </w:r>
      <w:r w:rsidR="00C440B2">
        <w:t xml:space="preserve"> </w:t>
      </w:r>
      <w:r>
        <w:t xml:space="preserve">Using the cost breakouts explained above, FEMA calculated the total cost burden for each jurisdiction (89 jurisdictions) completing a THIRA/SPR as </w:t>
      </w:r>
      <w:r w:rsidRPr="00B91D02" w:rsidR="00B91D02">
        <w:t>$</w:t>
      </w:r>
      <w:r w:rsidR="00831464">
        <w:t>209,16</w:t>
      </w:r>
      <w:r w:rsidR="00F376EF">
        <w:t>5</w:t>
      </w:r>
      <w:r>
        <w:t xml:space="preserve">. </w:t>
      </w:r>
      <w:r w:rsidR="00C440B2">
        <w:t xml:space="preserve"> </w:t>
      </w:r>
      <w:r>
        <w:t xml:space="preserve">This is an </w:t>
      </w:r>
      <w:r w:rsidR="00B91D02">
        <w:t>increase</w:t>
      </w:r>
      <w:r>
        <w:t xml:space="preserve"> of $</w:t>
      </w:r>
      <w:r w:rsidR="00CD4BFB">
        <w:t>1</w:t>
      </w:r>
      <w:r w:rsidR="00891922">
        <w:t>73</w:t>
      </w:r>
      <w:r>
        <w:t xml:space="preserve"> per respondent</w:t>
      </w:r>
      <w:r w:rsidR="00B91D02">
        <w:t xml:space="preserve"> ($</w:t>
      </w:r>
      <w:r w:rsidR="006072E1">
        <w:t>15</w:t>
      </w:r>
      <w:r w:rsidR="004C596B">
        <w:t>,41</w:t>
      </w:r>
      <w:r w:rsidR="00F376EF">
        <w:t>6</w:t>
      </w:r>
      <w:r w:rsidR="00B91D02">
        <w:t xml:space="preserve"> increase total)</w:t>
      </w:r>
      <w:r>
        <w:t xml:space="preserve"> completing the THIRA/SPR from the $</w:t>
      </w:r>
      <w:r w:rsidR="0097341B">
        <w:t>193,749</w:t>
      </w:r>
      <w:r>
        <w:t xml:space="preserve"> per respondent currently on the OMB inventory. </w:t>
      </w:r>
      <w:r w:rsidR="00372473">
        <w:t xml:space="preserve"> </w:t>
      </w:r>
      <w:r>
        <w:t xml:space="preserve">The total costs for all </w:t>
      </w:r>
      <w:r w:rsidR="00CD4BFB">
        <w:t>S</w:t>
      </w:r>
      <w:r>
        <w:t xml:space="preserve">tates, territories, and urban areas completing the THIRA/SPR is therefore </w:t>
      </w:r>
      <w:r w:rsidRPr="00AE5DE9" w:rsidR="00AE5DE9">
        <w:t>$</w:t>
      </w:r>
      <w:r w:rsidR="00CD4BFB">
        <w:t>1</w:t>
      </w:r>
      <w:r w:rsidR="00891922">
        <w:t>8</w:t>
      </w:r>
      <w:r w:rsidR="00CD4BFB">
        <w:t>,</w:t>
      </w:r>
      <w:r w:rsidR="00891922">
        <w:t>615</w:t>
      </w:r>
      <w:r w:rsidR="00CD4BFB">
        <w:t>,</w:t>
      </w:r>
      <w:r w:rsidR="00891922">
        <w:t>685</w:t>
      </w:r>
      <w:r w:rsidRPr="00AE5DE9" w:rsidR="00AE5DE9">
        <w:t>.</w:t>
      </w:r>
      <w:r>
        <w:t xml:space="preserve">  Following the same process, the cost burden for tribes completing the THIRA/SPR for a subset of the core capabilities is</w:t>
      </w:r>
      <w:r w:rsidR="00FB3EDC">
        <w:t xml:space="preserve"> $</w:t>
      </w:r>
      <w:r w:rsidR="00685920">
        <w:t>69,800</w:t>
      </w:r>
      <w:r>
        <w:rPr>
          <w:bCs/>
        </w:rPr>
        <w:t xml:space="preserve">. </w:t>
      </w:r>
      <w:r w:rsidR="00372473">
        <w:rPr>
          <w:bCs/>
        </w:rPr>
        <w:t xml:space="preserve"> </w:t>
      </w:r>
      <w:r>
        <w:rPr>
          <w:bCs/>
        </w:rPr>
        <w:t>This is a</w:t>
      </w:r>
      <w:r w:rsidR="00FE682C">
        <w:rPr>
          <w:bCs/>
        </w:rPr>
        <w:t xml:space="preserve"> </w:t>
      </w:r>
      <w:r w:rsidR="00F627AE">
        <w:rPr>
          <w:bCs/>
        </w:rPr>
        <w:t xml:space="preserve">decrease </w:t>
      </w:r>
      <w:r>
        <w:rPr>
          <w:bCs/>
        </w:rPr>
        <w:t>of $</w:t>
      </w:r>
      <w:r w:rsidR="00F627AE">
        <w:rPr>
          <w:bCs/>
        </w:rPr>
        <w:t>904</w:t>
      </w:r>
      <w:r w:rsidR="00FE682C">
        <w:rPr>
          <w:bCs/>
        </w:rPr>
        <w:t xml:space="preserve"> </w:t>
      </w:r>
      <w:r w:rsidR="008460A7">
        <w:rPr>
          <w:bCs/>
        </w:rPr>
        <w:t>per tribal respondent ($</w:t>
      </w:r>
      <w:r w:rsidR="00685920">
        <w:rPr>
          <w:bCs/>
        </w:rPr>
        <w:t>5,143</w:t>
      </w:r>
      <w:r w:rsidR="008460A7">
        <w:rPr>
          <w:bCs/>
        </w:rPr>
        <w:t xml:space="preserve"> overall increase) </w:t>
      </w:r>
      <w:r>
        <w:rPr>
          <w:bCs/>
        </w:rPr>
        <w:t xml:space="preserve">completing only the THIRA </w:t>
      </w:r>
      <w:r w:rsidR="008460A7">
        <w:rPr>
          <w:bCs/>
        </w:rPr>
        <w:t xml:space="preserve">from the $64,657 per respondent currently </w:t>
      </w:r>
      <w:r>
        <w:rPr>
          <w:bCs/>
        </w:rPr>
        <w:t xml:space="preserve">on the OMB inventory. </w:t>
      </w:r>
      <w:r w:rsidR="00372473">
        <w:rPr>
          <w:bCs/>
        </w:rPr>
        <w:t xml:space="preserve"> </w:t>
      </w:r>
      <w:r>
        <w:rPr>
          <w:bCs/>
        </w:rPr>
        <w:t xml:space="preserve">The total cost of all </w:t>
      </w:r>
      <w:r w:rsidR="00666EF4">
        <w:rPr>
          <w:bCs/>
        </w:rPr>
        <w:t>39</w:t>
      </w:r>
      <w:r>
        <w:rPr>
          <w:bCs/>
        </w:rPr>
        <w:t xml:space="preserve"> tribes completing the THIRA/SPR for the subset of core capabilities is </w:t>
      </w:r>
      <w:r w:rsidRPr="00FE682C" w:rsidR="00FE682C">
        <w:rPr>
          <w:bCs/>
        </w:rPr>
        <w:lastRenderedPageBreak/>
        <w:t>$</w:t>
      </w:r>
      <w:r w:rsidR="00EA0CA5">
        <w:rPr>
          <w:bCs/>
        </w:rPr>
        <w:t>2,</w:t>
      </w:r>
      <w:r w:rsidR="009F2A10">
        <w:rPr>
          <w:bCs/>
        </w:rPr>
        <w:t>722</w:t>
      </w:r>
      <w:r w:rsidR="00EA0CA5">
        <w:rPr>
          <w:bCs/>
        </w:rPr>
        <w:t>,</w:t>
      </w:r>
      <w:r w:rsidR="009F2A10">
        <w:rPr>
          <w:bCs/>
        </w:rPr>
        <w:t>200</w:t>
      </w:r>
      <w:r w:rsidR="00FE682C">
        <w:rPr>
          <w:bCs/>
        </w:rPr>
        <w:t>.</w:t>
      </w:r>
      <w:r w:rsidR="00372473">
        <w:rPr>
          <w:bCs/>
        </w:rPr>
        <w:t xml:space="preserve">  </w:t>
      </w:r>
      <w:r>
        <w:rPr>
          <w:bCs/>
        </w:rPr>
        <w:t>The cost of jurisdictions participating in the after</w:t>
      </w:r>
      <w:r w:rsidR="00372473">
        <w:rPr>
          <w:bCs/>
        </w:rPr>
        <w:t>-</w:t>
      </w:r>
      <w:r>
        <w:rPr>
          <w:bCs/>
        </w:rPr>
        <w:t xml:space="preserve">action </w:t>
      </w:r>
      <w:r w:rsidR="00372473">
        <w:rPr>
          <w:bCs/>
        </w:rPr>
        <w:t xml:space="preserve">conference </w:t>
      </w:r>
      <w:r>
        <w:rPr>
          <w:bCs/>
        </w:rPr>
        <w:t>calls is</w:t>
      </w:r>
      <w:r w:rsidR="00E74EDC">
        <w:rPr>
          <w:bCs/>
        </w:rPr>
        <w:t xml:space="preserve"> </w:t>
      </w:r>
      <w:r w:rsidRPr="00054AF5" w:rsidR="00054AF5">
        <w:rPr>
          <w:bCs/>
        </w:rPr>
        <w:t>$</w:t>
      </w:r>
      <w:r w:rsidR="009F2A10">
        <w:rPr>
          <w:bCs/>
        </w:rPr>
        <w:t>7,086</w:t>
      </w:r>
      <w:r w:rsidR="00E74EDC">
        <w:rPr>
          <w:bCs/>
        </w:rPr>
        <w:t xml:space="preserve">, which is a </w:t>
      </w:r>
      <w:r w:rsidR="005C7255">
        <w:rPr>
          <w:bCs/>
        </w:rPr>
        <w:t>$</w:t>
      </w:r>
      <w:r w:rsidR="009F2A10">
        <w:rPr>
          <w:bCs/>
        </w:rPr>
        <w:t>1,291</w:t>
      </w:r>
      <w:r w:rsidR="005C7255">
        <w:rPr>
          <w:bCs/>
        </w:rPr>
        <w:t xml:space="preserve"> increase from the</w:t>
      </w:r>
      <w:r>
        <w:rPr>
          <w:bCs/>
        </w:rPr>
        <w:t xml:space="preserve"> $</w:t>
      </w:r>
      <w:r w:rsidR="005F461C">
        <w:rPr>
          <w:bCs/>
        </w:rPr>
        <w:t>5,795</w:t>
      </w:r>
      <w:r w:rsidR="005C7255">
        <w:rPr>
          <w:bCs/>
        </w:rPr>
        <w:t xml:space="preserve"> </w:t>
      </w:r>
      <w:r w:rsidR="0012521D">
        <w:rPr>
          <w:bCs/>
        </w:rPr>
        <w:t xml:space="preserve">listed in the OMB inventory due to the overall increase of </w:t>
      </w:r>
      <w:r w:rsidR="004F44A2">
        <w:rPr>
          <w:bCs/>
        </w:rPr>
        <w:t xml:space="preserve">three (3) </w:t>
      </w:r>
      <w:r w:rsidR="0012521D">
        <w:rPr>
          <w:bCs/>
        </w:rPr>
        <w:t>participating jurisdictions</w:t>
      </w:r>
      <w:r w:rsidR="004F44A2">
        <w:rPr>
          <w:bCs/>
        </w:rPr>
        <w:t xml:space="preserve"> (This call adds one hour per participant to the estimated 128 participants at one (1) hour each for a total of 128 hours)</w:t>
      </w:r>
      <w:r>
        <w:rPr>
          <w:bCs/>
        </w:rPr>
        <w:t xml:space="preserve">. </w:t>
      </w:r>
      <w:r w:rsidR="00372473">
        <w:rPr>
          <w:bCs/>
        </w:rPr>
        <w:t xml:space="preserve"> </w:t>
      </w:r>
      <w:r w:rsidR="003D6E3A">
        <w:rPr>
          <w:bCs/>
        </w:rPr>
        <w:t>The additional participating jurisdictions result in a $</w:t>
      </w:r>
      <w:r w:rsidR="005F461C">
        <w:rPr>
          <w:bCs/>
        </w:rPr>
        <w:t>6,865,387</w:t>
      </w:r>
      <w:r w:rsidR="00054AF5">
        <w:rPr>
          <w:bCs/>
        </w:rPr>
        <w:t xml:space="preserve"> </w:t>
      </w:r>
      <w:r w:rsidR="003D6E3A">
        <w:rPr>
          <w:bCs/>
        </w:rPr>
        <w:t>increase overall.</w:t>
      </w:r>
    </w:p>
    <w:p w:rsidRPr="006625E7" w:rsidR="00562915" w:rsidP="00562915" w:rsidRDefault="00562915" w14:paraId="54531F0F"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13DB7312"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4DA2D3D"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210663B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0D2D16B1"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15CC2D4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117907" w:rsidR="00562915" w:rsidP="00562915" w:rsidRDefault="00562915" w14:paraId="54F23112" w14:textId="312E82F0">
      <w:pPr>
        <w:rPr>
          <w:rFonts w:ascii="Times New Roman" w:hAnsi="Times New Roman" w:cs="Times New Roman"/>
          <w:color w:val="000000" w:themeColor="text1"/>
          <w:sz w:val="24"/>
          <w:szCs w:val="24"/>
        </w:rPr>
      </w:pPr>
      <w:r w:rsidRPr="00117907">
        <w:rPr>
          <w:rFonts w:ascii="Times New Roman" w:hAnsi="Times New Roman" w:cs="Times New Roman"/>
          <w:color w:val="000000" w:themeColor="text1"/>
          <w:sz w:val="24"/>
          <w:szCs w:val="24"/>
        </w:rPr>
        <w:fldChar w:fldCharType="begin"/>
      </w:r>
      <w:r w:rsidRPr="00117907">
        <w:rPr>
          <w:rFonts w:ascii="Times New Roman" w:hAnsi="Times New Roman" w:cs="Times New Roman"/>
          <w:color w:val="000000" w:themeColor="text1"/>
          <w:sz w:val="24"/>
          <w:szCs w:val="24"/>
        </w:rPr>
        <w:instrText>ADVANCE \R 0.95</w:instrText>
      </w:r>
      <w:r w:rsidRPr="00117907">
        <w:rPr>
          <w:rFonts w:ascii="Times New Roman" w:hAnsi="Times New Roman" w:cs="Times New Roman"/>
          <w:color w:val="000000" w:themeColor="text1"/>
          <w:sz w:val="24"/>
          <w:szCs w:val="24"/>
        </w:rPr>
        <w:fldChar w:fldCharType="end"/>
      </w:r>
      <w:r w:rsidRPr="00117907">
        <w:rPr>
          <w:rFonts w:ascii="Times New Roman" w:hAnsi="Times New Roman" w:cs="Times New Roman"/>
          <w:color w:val="000000" w:themeColor="text1"/>
          <w:sz w:val="24"/>
          <w:szCs w:val="24"/>
        </w:rPr>
        <w:t>This collection does not seek exception to “Certification for Paperwork Reduction Act Submissions”.  This collection does not use efficient statistical survey methodology or use of information technology.</w:t>
      </w:r>
      <w:r w:rsidR="00372473">
        <w:rPr>
          <w:rFonts w:ascii="Times New Roman" w:hAnsi="Times New Roman" w:cs="Times New Roman"/>
          <w:color w:val="000000" w:themeColor="text1"/>
          <w:sz w:val="24"/>
          <w:szCs w:val="24"/>
        </w:rPr>
        <w:t xml:space="preserve">  </w:t>
      </w:r>
      <w:r w:rsidRPr="00117907">
        <w:rPr>
          <w:rFonts w:ascii="Times New Roman" w:hAnsi="Times New Roman" w:cs="Times New Roman"/>
          <w:color w:val="000000" w:themeColor="text1"/>
          <w:sz w:val="24"/>
          <w:szCs w:val="24"/>
        </w:rPr>
        <w:t xml:space="preserve">Statistical Survey methodology "is not applicable" </w:t>
      </w:r>
      <w:r w:rsidR="00372473">
        <w:rPr>
          <w:rFonts w:ascii="Times New Roman" w:hAnsi="Times New Roman" w:cs="Times New Roman"/>
          <w:color w:val="000000" w:themeColor="text1"/>
          <w:sz w:val="24"/>
          <w:szCs w:val="24"/>
        </w:rPr>
        <w:t xml:space="preserve">FEMA’s response to </w:t>
      </w:r>
      <w:r w:rsidRPr="00117907">
        <w:rPr>
          <w:rFonts w:ascii="Times New Roman" w:hAnsi="Times New Roman" w:cs="Times New Roman"/>
          <w:color w:val="000000" w:themeColor="text1"/>
          <w:sz w:val="24"/>
          <w:szCs w:val="24"/>
        </w:rPr>
        <w:t xml:space="preserve">Question #3 </w:t>
      </w:r>
      <w:r w:rsidR="00372473">
        <w:rPr>
          <w:rFonts w:ascii="Times New Roman" w:hAnsi="Times New Roman" w:cs="Times New Roman"/>
          <w:color w:val="000000" w:themeColor="text1"/>
          <w:sz w:val="24"/>
          <w:szCs w:val="24"/>
        </w:rPr>
        <w:t>above</w:t>
      </w:r>
      <w:r w:rsidRPr="00117907">
        <w:rPr>
          <w:rFonts w:ascii="Times New Roman" w:hAnsi="Times New Roman" w:cs="Times New Roman"/>
          <w:color w:val="000000" w:themeColor="text1"/>
          <w:sz w:val="24"/>
          <w:szCs w:val="24"/>
        </w:rPr>
        <w:t xml:space="preserve"> justifies the non-use of information technology.</w:t>
      </w:r>
    </w:p>
    <w:sectPr w:rsidRPr="00117907" w:rsidR="00562915">
      <w:headerReference w:type="default" r:id="rId14"/>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C6B5C" w14:textId="77777777" w:rsidR="001E6C40" w:rsidRDefault="001E6C40">
      <w:pPr>
        <w:spacing w:after="0" w:line="240" w:lineRule="auto"/>
      </w:pPr>
      <w:r>
        <w:separator/>
      </w:r>
    </w:p>
  </w:endnote>
  <w:endnote w:type="continuationSeparator" w:id="0">
    <w:p w14:paraId="334FC66C" w14:textId="77777777" w:rsidR="001E6C40" w:rsidRDefault="001E6C40">
      <w:pPr>
        <w:spacing w:after="0" w:line="240" w:lineRule="auto"/>
      </w:pPr>
      <w:r>
        <w:continuationSeparator/>
      </w:r>
    </w:p>
  </w:endnote>
  <w:endnote w:type="continuationNotice" w:id="1">
    <w:p w14:paraId="2CBF85B4" w14:textId="77777777" w:rsidR="001E6C40" w:rsidRDefault="001E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FD41" w14:textId="77777777" w:rsidR="008460A7" w:rsidRDefault="008460A7" w:rsidP="00251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319608" w14:textId="77777777" w:rsidR="008460A7" w:rsidRDefault="00846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2C78" w14:textId="77777777" w:rsidR="008460A7" w:rsidRDefault="008460A7" w:rsidP="00251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F59844" w14:textId="77777777" w:rsidR="008460A7" w:rsidRDefault="008460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0607B" w14:textId="77777777" w:rsidR="001E6C40" w:rsidRDefault="001E6C40">
      <w:pPr>
        <w:spacing w:after="0" w:line="240" w:lineRule="auto"/>
      </w:pPr>
      <w:r>
        <w:separator/>
      </w:r>
    </w:p>
  </w:footnote>
  <w:footnote w:type="continuationSeparator" w:id="0">
    <w:p w14:paraId="457DB4B4" w14:textId="77777777" w:rsidR="001E6C40" w:rsidRDefault="001E6C40">
      <w:pPr>
        <w:spacing w:after="0" w:line="240" w:lineRule="auto"/>
      </w:pPr>
      <w:r>
        <w:continuationSeparator/>
      </w:r>
    </w:p>
  </w:footnote>
  <w:footnote w:type="continuationNotice" w:id="1">
    <w:p w14:paraId="0DEE07A8" w14:textId="77777777" w:rsidR="001E6C40" w:rsidRDefault="001E6C40">
      <w:pPr>
        <w:spacing w:after="0" w:line="240" w:lineRule="auto"/>
      </w:pPr>
    </w:p>
  </w:footnote>
  <w:footnote w:id="2">
    <w:p w14:paraId="2784A3C3" w14:textId="0B36C829" w:rsidR="008460A7" w:rsidRDefault="008460A7" w:rsidP="00B80C21">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w:t>
      </w:r>
      <w:r w:rsidR="00202A5C">
        <w:rPr>
          <w:rFonts w:ascii="Times New Roman" w:hAnsi="Times New Roman" w:cs="Times New Roman"/>
        </w:rPr>
        <w:t xml:space="preserve">June </w:t>
      </w:r>
      <w:r>
        <w:rPr>
          <w:rFonts w:ascii="Times New Roman" w:hAnsi="Times New Roman" w:cs="Times New Roman"/>
        </w:rPr>
        <w:t>2021.”  Available at</w:t>
      </w:r>
      <w:r w:rsidR="00B25FA5">
        <w:rPr>
          <w:rFonts w:ascii="Times New Roman" w:hAnsi="Times New Roman" w:cs="Times New Roman"/>
        </w:rPr>
        <w:t xml:space="preserve"> </w:t>
      </w:r>
      <w:hyperlink r:id="rId1" w:history="1">
        <w:r w:rsidR="00B25FA5" w:rsidRPr="00B25FA5">
          <w:rPr>
            <w:rStyle w:val="Hyperlink"/>
            <w:rFonts w:ascii="Times New Roman" w:hAnsi="Times New Roman" w:cs="Times New Roman"/>
          </w:rPr>
          <w:t>https://www.bls.gov/news.release/archives/ecec_09162021.pdf</w:t>
        </w:r>
      </w:hyperlink>
      <w:r>
        <w:rPr>
          <w:rFonts w:ascii="Times New Roman" w:hAnsi="Times New Roman" w:cs="Times New Roman"/>
        </w:rPr>
        <w:t xml:space="preserve">. Accessed </w:t>
      </w:r>
      <w:r w:rsidR="00202A5C">
        <w:rPr>
          <w:rFonts w:ascii="Times New Roman" w:hAnsi="Times New Roman" w:cs="Times New Roman"/>
        </w:rPr>
        <w:t>November 23</w:t>
      </w:r>
      <w:r>
        <w:rPr>
          <w:rFonts w:ascii="Times New Roman" w:hAnsi="Times New Roman" w:cs="Times New Roman"/>
        </w:rPr>
        <w:t>, 2021.  The wage multiplier is calculated by dividing total compensation for all workers of $</w:t>
      </w:r>
      <w:r w:rsidR="00F31368">
        <w:rPr>
          <w:rFonts w:ascii="Times New Roman" w:hAnsi="Times New Roman" w:cs="Times New Roman"/>
        </w:rPr>
        <w:t>38.91</w:t>
      </w:r>
      <w:r>
        <w:rPr>
          <w:rFonts w:ascii="Times New Roman" w:hAnsi="Times New Roman" w:cs="Times New Roman"/>
        </w:rPr>
        <w:t xml:space="preserve"> by wages and salaries for all workers of $26.</w:t>
      </w:r>
      <w:r w:rsidR="00F31368">
        <w:rPr>
          <w:rFonts w:ascii="Times New Roman" w:hAnsi="Times New Roman" w:cs="Times New Roman"/>
        </w:rPr>
        <w:t xml:space="preserve">85 </w:t>
      </w:r>
      <w:r>
        <w:rPr>
          <w:rFonts w:ascii="Times New Roman" w:hAnsi="Times New Roman" w:cs="Times New Roman"/>
        </w:rPr>
        <w:t xml:space="preserve">per hour yielding a benefits multiplier of </w:t>
      </w:r>
      <w:r w:rsidRPr="00F577D7">
        <w:rPr>
          <w:rFonts w:ascii="Times New Roman" w:hAnsi="Times New Roman" w:cs="Times New Roman"/>
        </w:rPr>
        <w:t>approximately 1.45</w:t>
      </w:r>
      <w:r w:rsidR="00A7285F">
        <w:rPr>
          <w:rFonts w:ascii="Times New Roman" w:hAnsi="Times New Roman" w:cs="Times New Roman"/>
        </w:rPr>
        <w:t>.</w:t>
      </w:r>
    </w:p>
  </w:footnote>
  <w:footnote w:id="3">
    <w:p w14:paraId="73527A52" w14:textId="40B52B09" w:rsidR="008460A7" w:rsidRPr="002F0868" w:rsidRDefault="008460A7" w:rsidP="00B80C2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r w:rsidR="007B6098" w:rsidRPr="007B6098">
        <w:t xml:space="preserve"> </w:t>
      </w:r>
      <w:hyperlink r:id="rId2" w:anchor="19-0000" w:history="1">
        <w:r w:rsidR="00397A06" w:rsidRPr="006E4A44">
          <w:rPr>
            <w:rStyle w:val="Hyperlink"/>
            <w:rFonts w:ascii="Times New Roman" w:hAnsi="Times New Roman" w:cs="Times New Roman"/>
          </w:rPr>
          <w:t>https://www.bls.gov/oes/2020/may/oes_nat.htm#19-0000</w:t>
        </w:r>
      </w:hyperlink>
      <w:r w:rsidR="00A7285F" w:rsidRPr="0CE79C66">
        <w:rPr>
          <w:rFonts w:ascii="Times New Roman" w:hAnsi="Times New Roman" w:cs="Times New Roman"/>
        </w:rPr>
        <w:t>.</w:t>
      </w:r>
      <w:r w:rsidR="00397A06">
        <w:rPr>
          <w:rFonts w:ascii="Times New Roman" w:hAnsi="Times New Roman" w:cs="Times New Roman"/>
        </w:rPr>
        <w:t xml:space="preserve"> </w:t>
      </w:r>
      <w:r w:rsidR="00397A06" w:rsidRPr="00397A06">
        <w:rPr>
          <w:rFonts w:ascii="Times New Roman" w:hAnsi="Times New Roman" w:cs="Times New Roman"/>
        </w:rPr>
        <w:t xml:space="preserve">Accessed November </w:t>
      </w:r>
      <w:r w:rsidR="00D8607F">
        <w:rPr>
          <w:rFonts w:ascii="Times New Roman" w:hAnsi="Times New Roman" w:cs="Times New Roman"/>
        </w:rPr>
        <w:t>23</w:t>
      </w:r>
      <w:r w:rsidR="00397A06" w:rsidRPr="00397A06">
        <w:rPr>
          <w:rFonts w:ascii="Times New Roman" w:hAnsi="Times New Roman" w:cs="Times New Roman"/>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40F334C7" w14:paraId="687A342E" w14:textId="77777777" w:rsidTr="003975AE">
      <w:tc>
        <w:tcPr>
          <w:tcW w:w="2880" w:type="dxa"/>
        </w:tcPr>
        <w:p w14:paraId="14791553" w14:textId="3844D389" w:rsidR="40F334C7" w:rsidRDefault="40F334C7" w:rsidP="003975AE">
          <w:pPr>
            <w:pStyle w:val="Header"/>
            <w:ind w:left="-115"/>
          </w:pPr>
        </w:p>
      </w:tc>
      <w:tc>
        <w:tcPr>
          <w:tcW w:w="2880" w:type="dxa"/>
        </w:tcPr>
        <w:p w14:paraId="076566C5" w14:textId="1A54CE81" w:rsidR="40F334C7" w:rsidRDefault="40F334C7" w:rsidP="003975AE">
          <w:pPr>
            <w:pStyle w:val="Header"/>
            <w:jc w:val="center"/>
          </w:pPr>
        </w:p>
      </w:tc>
      <w:tc>
        <w:tcPr>
          <w:tcW w:w="2880" w:type="dxa"/>
        </w:tcPr>
        <w:p w14:paraId="36FF107E" w14:textId="6097438C" w:rsidR="40F334C7" w:rsidRDefault="40F334C7" w:rsidP="003975AE">
          <w:pPr>
            <w:pStyle w:val="Header"/>
            <w:ind w:right="-115"/>
            <w:jc w:val="right"/>
          </w:pPr>
        </w:p>
      </w:tc>
    </w:tr>
  </w:tbl>
  <w:p w14:paraId="4B21AE64" w14:textId="0CD692BC" w:rsidR="40F334C7" w:rsidRDefault="40F334C7" w:rsidP="0039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494"/>
    <w:multiLevelType w:val="hybridMultilevel"/>
    <w:tmpl w:val="872E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02CB5"/>
    <w:multiLevelType w:val="hybridMultilevel"/>
    <w:tmpl w:val="B82C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DBC7A5F"/>
    <w:multiLevelType w:val="hybridMultilevel"/>
    <w:tmpl w:val="DB52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F674E"/>
    <w:multiLevelType w:val="hybridMultilevel"/>
    <w:tmpl w:val="D0E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D4331"/>
    <w:multiLevelType w:val="hybridMultilevel"/>
    <w:tmpl w:val="DD4A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A7EB2"/>
    <w:multiLevelType w:val="hybridMultilevel"/>
    <w:tmpl w:val="9292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E723B"/>
    <w:multiLevelType w:val="hybridMultilevel"/>
    <w:tmpl w:val="4192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22DF3"/>
    <w:multiLevelType w:val="hybridMultilevel"/>
    <w:tmpl w:val="02FE3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22322"/>
    <w:multiLevelType w:val="hybridMultilevel"/>
    <w:tmpl w:val="1046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AA5CD5"/>
    <w:multiLevelType w:val="hybridMultilevel"/>
    <w:tmpl w:val="43824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3"/>
  </w:num>
  <w:num w:numId="4">
    <w:abstractNumId w:val="2"/>
  </w:num>
  <w:num w:numId="5">
    <w:abstractNumId w:val="4"/>
  </w:num>
  <w:num w:numId="6">
    <w:abstractNumId w:val="12"/>
  </w:num>
  <w:num w:numId="7">
    <w:abstractNumId w:val="9"/>
  </w:num>
  <w:num w:numId="8">
    <w:abstractNumId w:val="0"/>
  </w:num>
  <w:num w:numId="9">
    <w:abstractNumId w:val="7"/>
  </w:num>
  <w:num w:numId="10">
    <w:abstractNumId w:val="8"/>
  </w:num>
  <w:num w:numId="11">
    <w:abstractNumId w:val="5"/>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4A9F"/>
    <w:rsid w:val="00005138"/>
    <w:rsid w:val="000056EE"/>
    <w:rsid w:val="00010418"/>
    <w:rsid w:val="00014ED5"/>
    <w:rsid w:val="00016E8C"/>
    <w:rsid w:val="00017DBA"/>
    <w:rsid w:val="00021DDA"/>
    <w:rsid w:val="00021F26"/>
    <w:rsid w:val="00022103"/>
    <w:rsid w:val="00026962"/>
    <w:rsid w:val="000325CA"/>
    <w:rsid w:val="00034C47"/>
    <w:rsid w:val="00035B47"/>
    <w:rsid w:val="00035FB9"/>
    <w:rsid w:val="00040C42"/>
    <w:rsid w:val="00041049"/>
    <w:rsid w:val="000418C6"/>
    <w:rsid w:val="00046652"/>
    <w:rsid w:val="000526F3"/>
    <w:rsid w:val="00052A2D"/>
    <w:rsid w:val="000536E7"/>
    <w:rsid w:val="00053D6D"/>
    <w:rsid w:val="00054AF5"/>
    <w:rsid w:val="00054E74"/>
    <w:rsid w:val="00061943"/>
    <w:rsid w:val="00062189"/>
    <w:rsid w:val="00067269"/>
    <w:rsid w:val="00071B22"/>
    <w:rsid w:val="00072D14"/>
    <w:rsid w:val="00077641"/>
    <w:rsid w:val="00083AF0"/>
    <w:rsid w:val="00086C19"/>
    <w:rsid w:val="000938C8"/>
    <w:rsid w:val="000A36B7"/>
    <w:rsid w:val="000A6764"/>
    <w:rsid w:val="000C02C2"/>
    <w:rsid w:val="000C107E"/>
    <w:rsid w:val="000C2430"/>
    <w:rsid w:val="000D63CB"/>
    <w:rsid w:val="000E2546"/>
    <w:rsid w:val="000E63BB"/>
    <w:rsid w:val="000F189C"/>
    <w:rsid w:val="000F36B1"/>
    <w:rsid w:val="00102914"/>
    <w:rsid w:val="00106954"/>
    <w:rsid w:val="001069E6"/>
    <w:rsid w:val="001122A0"/>
    <w:rsid w:val="001136E0"/>
    <w:rsid w:val="00113872"/>
    <w:rsid w:val="00114312"/>
    <w:rsid w:val="00117907"/>
    <w:rsid w:val="001242EE"/>
    <w:rsid w:val="0012521D"/>
    <w:rsid w:val="00125456"/>
    <w:rsid w:val="0013385A"/>
    <w:rsid w:val="00140C53"/>
    <w:rsid w:val="00147E71"/>
    <w:rsid w:val="00150FB0"/>
    <w:rsid w:val="0015649C"/>
    <w:rsid w:val="001634BF"/>
    <w:rsid w:val="001667DC"/>
    <w:rsid w:val="00176C12"/>
    <w:rsid w:val="00181249"/>
    <w:rsid w:val="001816B9"/>
    <w:rsid w:val="001862C7"/>
    <w:rsid w:val="001870DC"/>
    <w:rsid w:val="00190D35"/>
    <w:rsid w:val="00191051"/>
    <w:rsid w:val="0019214C"/>
    <w:rsid w:val="001A1120"/>
    <w:rsid w:val="001A3D17"/>
    <w:rsid w:val="001A54D5"/>
    <w:rsid w:val="001A6E02"/>
    <w:rsid w:val="001B31CA"/>
    <w:rsid w:val="001B40BD"/>
    <w:rsid w:val="001C2CA5"/>
    <w:rsid w:val="001C4C64"/>
    <w:rsid w:val="001C726A"/>
    <w:rsid w:val="001E0348"/>
    <w:rsid w:val="001E2C9F"/>
    <w:rsid w:val="001E2FCF"/>
    <w:rsid w:val="001E4B3C"/>
    <w:rsid w:val="001E54E3"/>
    <w:rsid w:val="001E649C"/>
    <w:rsid w:val="001E6C40"/>
    <w:rsid w:val="001E7335"/>
    <w:rsid w:val="001F4D25"/>
    <w:rsid w:val="00200A38"/>
    <w:rsid w:val="00202A5C"/>
    <w:rsid w:val="002122EE"/>
    <w:rsid w:val="00213ECB"/>
    <w:rsid w:val="00216440"/>
    <w:rsid w:val="00233BAD"/>
    <w:rsid w:val="00234ECE"/>
    <w:rsid w:val="00235D56"/>
    <w:rsid w:val="00236649"/>
    <w:rsid w:val="00240FC2"/>
    <w:rsid w:val="002453A5"/>
    <w:rsid w:val="00246604"/>
    <w:rsid w:val="002467AE"/>
    <w:rsid w:val="00247E30"/>
    <w:rsid w:val="00250126"/>
    <w:rsid w:val="00250B24"/>
    <w:rsid w:val="00251D1A"/>
    <w:rsid w:val="00254EA7"/>
    <w:rsid w:val="00265C27"/>
    <w:rsid w:val="0027258B"/>
    <w:rsid w:val="00276462"/>
    <w:rsid w:val="002769DE"/>
    <w:rsid w:val="0028460E"/>
    <w:rsid w:val="00284E19"/>
    <w:rsid w:val="00284EDE"/>
    <w:rsid w:val="00286E49"/>
    <w:rsid w:val="00286F6C"/>
    <w:rsid w:val="00287F51"/>
    <w:rsid w:val="002908E5"/>
    <w:rsid w:val="002918B4"/>
    <w:rsid w:val="00293F37"/>
    <w:rsid w:val="002975DF"/>
    <w:rsid w:val="002A20BF"/>
    <w:rsid w:val="002A25DE"/>
    <w:rsid w:val="002A2B2D"/>
    <w:rsid w:val="002A3A8A"/>
    <w:rsid w:val="002A4DAD"/>
    <w:rsid w:val="002B2204"/>
    <w:rsid w:val="002B2276"/>
    <w:rsid w:val="002B27E9"/>
    <w:rsid w:val="002B2B7C"/>
    <w:rsid w:val="002B4CD8"/>
    <w:rsid w:val="002C36C6"/>
    <w:rsid w:val="002C6353"/>
    <w:rsid w:val="002C6FE1"/>
    <w:rsid w:val="002C7FCB"/>
    <w:rsid w:val="002D642B"/>
    <w:rsid w:val="002D758C"/>
    <w:rsid w:val="002E1269"/>
    <w:rsid w:val="002E666B"/>
    <w:rsid w:val="002F4E8D"/>
    <w:rsid w:val="002F75EC"/>
    <w:rsid w:val="003012D8"/>
    <w:rsid w:val="0030145D"/>
    <w:rsid w:val="0031059A"/>
    <w:rsid w:val="003117B1"/>
    <w:rsid w:val="00312F5B"/>
    <w:rsid w:val="003130D3"/>
    <w:rsid w:val="00317BA7"/>
    <w:rsid w:val="00317CAD"/>
    <w:rsid w:val="003218EA"/>
    <w:rsid w:val="003252D7"/>
    <w:rsid w:val="00325AEA"/>
    <w:rsid w:val="00336E60"/>
    <w:rsid w:val="003403AC"/>
    <w:rsid w:val="00343FBB"/>
    <w:rsid w:val="00344CD0"/>
    <w:rsid w:val="00345082"/>
    <w:rsid w:val="00345E47"/>
    <w:rsid w:val="00352390"/>
    <w:rsid w:val="003554B4"/>
    <w:rsid w:val="00357E8D"/>
    <w:rsid w:val="00361B4B"/>
    <w:rsid w:val="0036537B"/>
    <w:rsid w:val="00370F8E"/>
    <w:rsid w:val="00372473"/>
    <w:rsid w:val="00372A10"/>
    <w:rsid w:val="003827C5"/>
    <w:rsid w:val="00392058"/>
    <w:rsid w:val="00395D3E"/>
    <w:rsid w:val="003975AE"/>
    <w:rsid w:val="00397A06"/>
    <w:rsid w:val="003A0E7F"/>
    <w:rsid w:val="003A3E5F"/>
    <w:rsid w:val="003B0076"/>
    <w:rsid w:val="003B7F61"/>
    <w:rsid w:val="003C19AB"/>
    <w:rsid w:val="003C3F58"/>
    <w:rsid w:val="003C742F"/>
    <w:rsid w:val="003D1BD1"/>
    <w:rsid w:val="003D33EF"/>
    <w:rsid w:val="003D6125"/>
    <w:rsid w:val="003D6E3A"/>
    <w:rsid w:val="003E0559"/>
    <w:rsid w:val="003E4834"/>
    <w:rsid w:val="003E6AB7"/>
    <w:rsid w:val="003F1B8B"/>
    <w:rsid w:val="003F44FA"/>
    <w:rsid w:val="003F49F1"/>
    <w:rsid w:val="003F4F3B"/>
    <w:rsid w:val="004061A1"/>
    <w:rsid w:val="004160C4"/>
    <w:rsid w:val="00416F88"/>
    <w:rsid w:val="00422C13"/>
    <w:rsid w:val="00423179"/>
    <w:rsid w:val="004311AE"/>
    <w:rsid w:val="00433796"/>
    <w:rsid w:val="004348D5"/>
    <w:rsid w:val="004431BE"/>
    <w:rsid w:val="00444820"/>
    <w:rsid w:val="004449BB"/>
    <w:rsid w:val="00450FBA"/>
    <w:rsid w:val="0045414E"/>
    <w:rsid w:val="00455ECE"/>
    <w:rsid w:val="00462497"/>
    <w:rsid w:val="004633C4"/>
    <w:rsid w:val="00465D90"/>
    <w:rsid w:val="00473979"/>
    <w:rsid w:val="004770F3"/>
    <w:rsid w:val="00480C1F"/>
    <w:rsid w:val="00485961"/>
    <w:rsid w:val="00492F47"/>
    <w:rsid w:val="004A6247"/>
    <w:rsid w:val="004B241A"/>
    <w:rsid w:val="004B2EBC"/>
    <w:rsid w:val="004B4BB5"/>
    <w:rsid w:val="004B79CC"/>
    <w:rsid w:val="004C596B"/>
    <w:rsid w:val="004C6656"/>
    <w:rsid w:val="004D11AC"/>
    <w:rsid w:val="004D23D0"/>
    <w:rsid w:val="004D7A2E"/>
    <w:rsid w:val="004E05ED"/>
    <w:rsid w:val="004F153A"/>
    <w:rsid w:val="004F18DF"/>
    <w:rsid w:val="004F2F7A"/>
    <w:rsid w:val="004F3DC0"/>
    <w:rsid w:val="004F44A2"/>
    <w:rsid w:val="00500B05"/>
    <w:rsid w:val="00504580"/>
    <w:rsid w:val="00505985"/>
    <w:rsid w:val="005106DD"/>
    <w:rsid w:val="005136C6"/>
    <w:rsid w:val="00525273"/>
    <w:rsid w:val="005261C4"/>
    <w:rsid w:val="00530A90"/>
    <w:rsid w:val="005325ED"/>
    <w:rsid w:val="00532ADA"/>
    <w:rsid w:val="0053387D"/>
    <w:rsid w:val="00546738"/>
    <w:rsid w:val="00550141"/>
    <w:rsid w:val="00552E82"/>
    <w:rsid w:val="005557BD"/>
    <w:rsid w:val="0055775E"/>
    <w:rsid w:val="00562915"/>
    <w:rsid w:val="00566388"/>
    <w:rsid w:val="005728E1"/>
    <w:rsid w:val="0058048A"/>
    <w:rsid w:val="00583876"/>
    <w:rsid w:val="00584B90"/>
    <w:rsid w:val="00584DD7"/>
    <w:rsid w:val="005A3DFB"/>
    <w:rsid w:val="005A4EF7"/>
    <w:rsid w:val="005A6723"/>
    <w:rsid w:val="005A71FA"/>
    <w:rsid w:val="005B1FEF"/>
    <w:rsid w:val="005B3202"/>
    <w:rsid w:val="005B768B"/>
    <w:rsid w:val="005C07BE"/>
    <w:rsid w:val="005C4A84"/>
    <w:rsid w:val="005C7255"/>
    <w:rsid w:val="005D08E4"/>
    <w:rsid w:val="005D19C4"/>
    <w:rsid w:val="005D1DD4"/>
    <w:rsid w:val="005D52C3"/>
    <w:rsid w:val="005D6A49"/>
    <w:rsid w:val="005D72AF"/>
    <w:rsid w:val="005E0FB2"/>
    <w:rsid w:val="005E369A"/>
    <w:rsid w:val="005E36BE"/>
    <w:rsid w:val="005E6793"/>
    <w:rsid w:val="005E74E1"/>
    <w:rsid w:val="005F32E3"/>
    <w:rsid w:val="005F461C"/>
    <w:rsid w:val="006072E1"/>
    <w:rsid w:val="00610783"/>
    <w:rsid w:val="00612845"/>
    <w:rsid w:val="00612A0A"/>
    <w:rsid w:val="0061405C"/>
    <w:rsid w:val="00617017"/>
    <w:rsid w:val="00621C86"/>
    <w:rsid w:val="00622236"/>
    <w:rsid w:val="00622D8D"/>
    <w:rsid w:val="00622DDC"/>
    <w:rsid w:val="0062331F"/>
    <w:rsid w:val="00623A7A"/>
    <w:rsid w:val="00627343"/>
    <w:rsid w:val="00640F1C"/>
    <w:rsid w:val="00652040"/>
    <w:rsid w:val="00653A2D"/>
    <w:rsid w:val="00654EC7"/>
    <w:rsid w:val="00656513"/>
    <w:rsid w:val="006625E7"/>
    <w:rsid w:val="00666EF4"/>
    <w:rsid w:val="006720F3"/>
    <w:rsid w:val="006743D1"/>
    <w:rsid w:val="006763C6"/>
    <w:rsid w:val="00684D53"/>
    <w:rsid w:val="00685920"/>
    <w:rsid w:val="00687F5F"/>
    <w:rsid w:val="00691E89"/>
    <w:rsid w:val="006A0BA3"/>
    <w:rsid w:val="006A46DB"/>
    <w:rsid w:val="006A46FA"/>
    <w:rsid w:val="006A6DA7"/>
    <w:rsid w:val="006B0D62"/>
    <w:rsid w:val="006B4D96"/>
    <w:rsid w:val="006B539C"/>
    <w:rsid w:val="006C0870"/>
    <w:rsid w:val="006C0F5C"/>
    <w:rsid w:val="006C2CFE"/>
    <w:rsid w:val="006C6081"/>
    <w:rsid w:val="006D0654"/>
    <w:rsid w:val="006D07F9"/>
    <w:rsid w:val="006D0E4C"/>
    <w:rsid w:val="006D4705"/>
    <w:rsid w:val="006D7E1E"/>
    <w:rsid w:val="006E0E5F"/>
    <w:rsid w:val="006E42B3"/>
    <w:rsid w:val="006E4D73"/>
    <w:rsid w:val="006E6C11"/>
    <w:rsid w:val="006E6C8F"/>
    <w:rsid w:val="006E6F93"/>
    <w:rsid w:val="006E7641"/>
    <w:rsid w:val="006F1BEC"/>
    <w:rsid w:val="006F7153"/>
    <w:rsid w:val="007032C7"/>
    <w:rsid w:val="007103B8"/>
    <w:rsid w:val="00713DC1"/>
    <w:rsid w:val="00716C03"/>
    <w:rsid w:val="00717019"/>
    <w:rsid w:val="00722CCC"/>
    <w:rsid w:val="0072350B"/>
    <w:rsid w:val="00724DE0"/>
    <w:rsid w:val="00725DA5"/>
    <w:rsid w:val="00731344"/>
    <w:rsid w:val="007367C7"/>
    <w:rsid w:val="00740183"/>
    <w:rsid w:val="00741756"/>
    <w:rsid w:val="00742B07"/>
    <w:rsid w:val="007443D0"/>
    <w:rsid w:val="00744671"/>
    <w:rsid w:val="00745778"/>
    <w:rsid w:val="00753736"/>
    <w:rsid w:val="00753F73"/>
    <w:rsid w:val="00755D32"/>
    <w:rsid w:val="00757122"/>
    <w:rsid w:val="00762B5C"/>
    <w:rsid w:val="00763CF1"/>
    <w:rsid w:val="0077483A"/>
    <w:rsid w:val="0077578D"/>
    <w:rsid w:val="007850BC"/>
    <w:rsid w:val="00786C8B"/>
    <w:rsid w:val="007914FB"/>
    <w:rsid w:val="007A2BA6"/>
    <w:rsid w:val="007A30F7"/>
    <w:rsid w:val="007A3B6C"/>
    <w:rsid w:val="007B07C1"/>
    <w:rsid w:val="007B1DF8"/>
    <w:rsid w:val="007B5775"/>
    <w:rsid w:val="007B6098"/>
    <w:rsid w:val="007B70AF"/>
    <w:rsid w:val="007C2352"/>
    <w:rsid w:val="007D1614"/>
    <w:rsid w:val="007D1F24"/>
    <w:rsid w:val="007D7721"/>
    <w:rsid w:val="007E08B6"/>
    <w:rsid w:val="007F4D2D"/>
    <w:rsid w:val="00805613"/>
    <w:rsid w:val="008129E4"/>
    <w:rsid w:val="00817B70"/>
    <w:rsid w:val="00817BB1"/>
    <w:rsid w:val="00820764"/>
    <w:rsid w:val="00824427"/>
    <w:rsid w:val="008258D7"/>
    <w:rsid w:val="00827EAB"/>
    <w:rsid w:val="00831464"/>
    <w:rsid w:val="008337C9"/>
    <w:rsid w:val="00843396"/>
    <w:rsid w:val="00845B9C"/>
    <w:rsid w:val="008460A7"/>
    <w:rsid w:val="00851404"/>
    <w:rsid w:val="008525C8"/>
    <w:rsid w:val="0085620B"/>
    <w:rsid w:val="00860EC4"/>
    <w:rsid w:val="0086259A"/>
    <w:rsid w:val="008719BF"/>
    <w:rsid w:val="00871BEA"/>
    <w:rsid w:val="00873224"/>
    <w:rsid w:val="0087333C"/>
    <w:rsid w:val="00876915"/>
    <w:rsid w:val="008850D2"/>
    <w:rsid w:val="00885280"/>
    <w:rsid w:val="008853C1"/>
    <w:rsid w:val="00890612"/>
    <w:rsid w:val="00891922"/>
    <w:rsid w:val="00891EC5"/>
    <w:rsid w:val="00892C7E"/>
    <w:rsid w:val="00893469"/>
    <w:rsid w:val="00897AC5"/>
    <w:rsid w:val="008A1139"/>
    <w:rsid w:val="008A2767"/>
    <w:rsid w:val="008A4326"/>
    <w:rsid w:val="008A778D"/>
    <w:rsid w:val="008A7832"/>
    <w:rsid w:val="008B2171"/>
    <w:rsid w:val="008B2E64"/>
    <w:rsid w:val="008C28EC"/>
    <w:rsid w:val="008C3643"/>
    <w:rsid w:val="008D5118"/>
    <w:rsid w:val="008D7F0C"/>
    <w:rsid w:val="008E2EC7"/>
    <w:rsid w:val="008F4D2C"/>
    <w:rsid w:val="00903FE4"/>
    <w:rsid w:val="00905324"/>
    <w:rsid w:val="009054F5"/>
    <w:rsid w:val="00907853"/>
    <w:rsid w:val="00912F77"/>
    <w:rsid w:val="009201AB"/>
    <w:rsid w:val="0092315F"/>
    <w:rsid w:val="009241B4"/>
    <w:rsid w:val="00924AE7"/>
    <w:rsid w:val="00924D6F"/>
    <w:rsid w:val="00927EF1"/>
    <w:rsid w:val="009334FE"/>
    <w:rsid w:val="00934C5B"/>
    <w:rsid w:val="00936AFF"/>
    <w:rsid w:val="009401B1"/>
    <w:rsid w:val="00942AD5"/>
    <w:rsid w:val="00945571"/>
    <w:rsid w:val="009527BF"/>
    <w:rsid w:val="00963208"/>
    <w:rsid w:val="009642A6"/>
    <w:rsid w:val="00971CEC"/>
    <w:rsid w:val="0097341B"/>
    <w:rsid w:val="00974DC0"/>
    <w:rsid w:val="009760D8"/>
    <w:rsid w:val="0098732E"/>
    <w:rsid w:val="00990F55"/>
    <w:rsid w:val="0099579B"/>
    <w:rsid w:val="009958A5"/>
    <w:rsid w:val="009960AE"/>
    <w:rsid w:val="00997436"/>
    <w:rsid w:val="00997717"/>
    <w:rsid w:val="009A1610"/>
    <w:rsid w:val="009A1BE4"/>
    <w:rsid w:val="009A2AB0"/>
    <w:rsid w:val="009A3742"/>
    <w:rsid w:val="009A3A56"/>
    <w:rsid w:val="009A7BF2"/>
    <w:rsid w:val="009B035E"/>
    <w:rsid w:val="009B0985"/>
    <w:rsid w:val="009B3D1E"/>
    <w:rsid w:val="009B66F2"/>
    <w:rsid w:val="009B710C"/>
    <w:rsid w:val="009C3DDA"/>
    <w:rsid w:val="009C4502"/>
    <w:rsid w:val="009C4706"/>
    <w:rsid w:val="009C51F2"/>
    <w:rsid w:val="009D5B9E"/>
    <w:rsid w:val="009D7CF9"/>
    <w:rsid w:val="009E1075"/>
    <w:rsid w:val="009E5843"/>
    <w:rsid w:val="009F2621"/>
    <w:rsid w:val="009F2A10"/>
    <w:rsid w:val="009F7E7F"/>
    <w:rsid w:val="00A032B6"/>
    <w:rsid w:val="00A03EA2"/>
    <w:rsid w:val="00A05DA8"/>
    <w:rsid w:val="00A05E03"/>
    <w:rsid w:val="00A070EE"/>
    <w:rsid w:val="00A11517"/>
    <w:rsid w:val="00A13FDE"/>
    <w:rsid w:val="00A20C07"/>
    <w:rsid w:val="00A22BE5"/>
    <w:rsid w:val="00A24599"/>
    <w:rsid w:val="00A324A0"/>
    <w:rsid w:val="00A3313F"/>
    <w:rsid w:val="00A43FA7"/>
    <w:rsid w:val="00A4560D"/>
    <w:rsid w:val="00A514EE"/>
    <w:rsid w:val="00A7285F"/>
    <w:rsid w:val="00A7575F"/>
    <w:rsid w:val="00A80368"/>
    <w:rsid w:val="00A863D2"/>
    <w:rsid w:val="00A92A50"/>
    <w:rsid w:val="00A95F64"/>
    <w:rsid w:val="00A96368"/>
    <w:rsid w:val="00AA2BE7"/>
    <w:rsid w:val="00AB14DA"/>
    <w:rsid w:val="00AB1B3D"/>
    <w:rsid w:val="00AB4917"/>
    <w:rsid w:val="00AC3B57"/>
    <w:rsid w:val="00AD19FF"/>
    <w:rsid w:val="00AD2919"/>
    <w:rsid w:val="00AD389E"/>
    <w:rsid w:val="00AD3EAA"/>
    <w:rsid w:val="00AD6F09"/>
    <w:rsid w:val="00AE2A4B"/>
    <w:rsid w:val="00AE5DE9"/>
    <w:rsid w:val="00AF341E"/>
    <w:rsid w:val="00AF489D"/>
    <w:rsid w:val="00B02535"/>
    <w:rsid w:val="00B06091"/>
    <w:rsid w:val="00B12FD1"/>
    <w:rsid w:val="00B13314"/>
    <w:rsid w:val="00B15B44"/>
    <w:rsid w:val="00B168B7"/>
    <w:rsid w:val="00B243C5"/>
    <w:rsid w:val="00B25FA5"/>
    <w:rsid w:val="00B26132"/>
    <w:rsid w:val="00B26F2D"/>
    <w:rsid w:val="00B3199F"/>
    <w:rsid w:val="00B5004A"/>
    <w:rsid w:val="00B5107C"/>
    <w:rsid w:val="00B520BC"/>
    <w:rsid w:val="00B528BA"/>
    <w:rsid w:val="00B538A3"/>
    <w:rsid w:val="00B54056"/>
    <w:rsid w:val="00B5642B"/>
    <w:rsid w:val="00B57829"/>
    <w:rsid w:val="00B60FD1"/>
    <w:rsid w:val="00B629CE"/>
    <w:rsid w:val="00B636FB"/>
    <w:rsid w:val="00B63F15"/>
    <w:rsid w:val="00B65AEC"/>
    <w:rsid w:val="00B72120"/>
    <w:rsid w:val="00B80C21"/>
    <w:rsid w:val="00B91709"/>
    <w:rsid w:val="00B91D02"/>
    <w:rsid w:val="00B92B09"/>
    <w:rsid w:val="00B95DC7"/>
    <w:rsid w:val="00BA28F1"/>
    <w:rsid w:val="00BA38F7"/>
    <w:rsid w:val="00BA3DE0"/>
    <w:rsid w:val="00BA6355"/>
    <w:rsid w:val="00BA71C2"/>
    <w:rsid w:val="00BB04A0"/>
    <w:rsid w:val="00BB543D"/>
    <w:rsid w:val="00BB6FE2"/>
    <w:rsid w:val="00BC37B1"/>
    <w:rsid w:val="00BC42F9"/>
    <w:rsid w:val="00BC4902"/>
    <w:rsid w:val="00BC6313"/>
    <w:rsid w:val="00BC7736"/>
    <w:rsid w:val="00BD3468"/>
    <w:rsid w:val="00BD566A"/>
    <w:rsid w:val="00BE42FA"/>
    <w:rsid w:val="00BE73D5"/>
    <w:rsid w:val="00BE7CB4"/>
    <w:rsid w:val="00BF44FF"/>
    <w:rsid w:val="00BF72D1"/>
    <w:rsid w:val="00C131C1"/>
    <w:rsid w:val="00C1600D"/>
    <w:rsid w:val="00C16EAE"/>
    <w:rsid w:val="00C2380D"/>
    <w:rsid w:val="00C27C49"/>
    <w:rsid w:val="00C35599"/>
    <w:rsid w:val="00C36DE8"/>
    <w:rsid w:val="00C37B1B"/>
    <w:rsid w:val="00C413B8"/>
    <w:rsid w:val="00C42273"/>
    <w:rsid w:val="00C42C02"/>
    <w:rsid w:val="00C440B2"/>
    <w:rsid w:val="00C4558E"/>
    <w:rsid w:val="00C56B20"/>
    <w:rsid w:val="00C64FF4"/>
    <w:rsid w:val="00C651D5"/>
    <w:rsid w:val="00C7144C"/>
    <w:rsid w:val="00C80D6D"/>
    <w:rsid w:val="00C84085"/>
    <w:rsid w:val="00C85347"/>
    <w:rsid w:val="00C856F4"/>
    <w:rsid w:val="00C93633"/>
    <w:rsid w:val="00CA0D94"/>
    <w:rsid w:val="00CA75AC"/>
    <w:rsid w:val="00CB40D3"/>
    <w:rsid w:val="00CC11D5"/>
    <w:rsid w:val="00CC5092"/>
    <w:rsid w:val="00CD4BFB"/>
    <w:rsid w:val="00CD5015"/>
    <w:rsid w:val="00CD756E"/>
    <w:rsid w:val="00D0002E"/>
    <w:rsid w:val="00D010B0"/>
    <w:rsid w:val="00D06240"/>
    <w:rsid w:val="00D14AE9"/>
    <w:rsid w:val="00D16695"/>
    <w:rsid w:val="00D173AA"/>
    <w:rsid w:val="00D21B43"/>
    <w:rsid w:val="00D22DF9"/>
    <w:rsid w:val="00D22E21"/>
    <w:rsid w:val="00D23F14"/>
    <w:rsid w:val="00D273E0"/>
    <w:rsid w:val="00D32CB4"/>
    <w:rsid w:val="00D33D94"/>
    <w:rsid w:val="00D34E15"/>
    <w:rsid w:val="00D447F6"/>
    <w:rsid w:val="00D51FC6"/>
    <w:rsid w:val="00D64221"/>
    <w:rsid w:val="00D65C1F"/>
    <w:rsid w:val="00D67D24"/>
    <w:rsid w:val="00D7135A"/>
    <w:rsid w:val="00D804BE"/>
    <w:rsid w:val="00D85922"/>
    <w:rsid w:val="00D8607F"/>
    <w:rsid w:val="00D90929"/>
    <w:rsid w:val="00D92793"/>
    <w:rsid w:val="00D93CAE"/>
    <w:rsid w:val="00D9667D"/>
    <w:rsid w:val="00DA04DA"/>
    <w:rsid w:val="00DA2B2B"/>
    <w:rsid w:val="00DB6D6F"/>
    <w:rsid w:val="00DC1FDF"/>
    <w:rsid w:val="00DC2DD2"/>
    <w:rsid w:val="00DD070A"/>
    <w:rsid w:val="00DE1600"/>
    <w:rsid w:val="00DE2F1B"/>
    <w:rsid w:val="00DE4710"/>
    <w:rsid w:val="00DE759A"/>
    <w:rsid w:val="00DF4889"/>
    <w:rsid w:val="00DF52CC"/>
    <w:rsid w:val="00E008C4"/>
    <w:rsid w:val="00E0588C"/>
    <w:rsid w:val="00E12448"/>
    <w:rsid w:val="00E14F96"/>
    <w:rsid w:val="00E20A2E"/>
    <w:rsid w:val="00E21074"/>
    <w:rsid w:val="00E23F5E"/>
    <w:rsid w:val="00E25570"/>
    <w:rsid w:val="00E274FA"/>
    <w:rsid w:val="00E3309A"/>
    <w:rsid w:val="00E3666E"/>
    <w:rsid w:val="00E46072"/>
    <w:rsid w:val="00E500A7"/>
    <w:rsid w:val="00E52472"/>
    <w:rsid w:val="00E60D4B"/>
    <w:rsid w:val="00E62C70"/>
    <w:rsid w:val="00E638A6"/>
    <w:rsid w:val="00E7237D"/>
    <w:rsid w:val="00E74EDC"/>
    <w:rsid w:val="00E755E1"/>
    <w:rsid w:val="00E87443"/>
    <w:rsid w:val="00E9205D"/>
    <w:rsid w:val="00E93001"/>
    <w:rsid w:val="00E936F4"/>
    <w:rsid w:val="00E97D62"/>
    <w:rsid w:val="00EA0CA5"/>
    <w:rsid w:val="00EB05F0"/>
    <w:rsid w:val="00EB76BE"/>
    <w:rsid w:val="00EC2AD7"/>
    <w:rsid w:val="00EE0E3E"/>
    <w:rsid w:val="00EE1619"/>
    <w:rsid w:val="00EE380D"/>
    <w:rsid w:val="00EE42FF"/>
    <w:rsid w:val="00EF60DF"/>
    <w:rsid w:val="00F00E8C"/>
    <w:rsid w:val="00F07B3E"/>
    <w:rsid w:val="00F22FA9"/>
    <w:rsid w:val="00F2431A"/>
    <w:rsid w:val="00F30278"/>
    <w:rsid w:val="00F31368"/>
    <w:rsid w:val="00F3365C"/>
    <w:rsid w:val="00F376EF"/>
    <w:rsid w:val="00F4582B"/>
    <w:rsid w:val="00F50183"/>
    <w:rsid w:val="00F5283D"/>
    <w:rsid w:val="00F5602D"/>
    <w:rsid w:val="00F577D7"/>
    <w:rsid w:val="00F627AE"/>
    <w:rsid w:val="00F64D57"/>
    <w:rsid w:val="00F71F77"/>
    <w:rsid w:val="00F77428"/>
    <w:rsid w:val="00F812D5"/>
    <w:rsid w:val="00F910CA"/>
    <w:rsid w:val="00F917A2"/>
    <w:rsid w:val="00F9368A"/>
    <w:rsid w:val="00F941FD"/>
    <w:rsid w:val="00F95359"/>
    <w:rsid w:val="00FA02A9"/>
    <w:rsid w:val="00FA0934"/>
    <w:rsid w:val="00FA1CAD"/>
    <w:rsid w:val="00FA2733"/>
    <w:rsid w:val="00FA612F"/>
    <w:rsid w:val="00FB0606"/>
    <w:rsid w:val="00FB36E6"/>
    <w:rsid w:val="00FB3EDC"/>
    <w:rsid w:val="00FB58E4"/>
    <w:rsid w:val="00FC0470"/>
    <w:rsid w:val="00FC4023"/>
    <w:rsid w:val="00FD2349"/>
    <w:rsid w:val="00FD3E05"/>
    <w:rsid w:val="00FD3FD0"/>
    <w:rsid w:val="00FD5817"/>
    <w:rsid w:val="00FE1D61"/>
    <w:rsid w:val="00FE67C2"/>
    <w:rsid w:val="00FE682C"/>
    <w:rsid w:val="00FF5080"/>
    <w:rsid w:val="042B5486"/>
    <w:rsid w:val="07213604"/>
    <w:rsid w:val="0A782A71"/>
    <w:rsid w:val="140274DD"/>
    <w:rsid w:val="177693F4"/>
    <w:rsid w:val="1982BF80"/>
    <w:rsid w:val="1B2A21EF"/>
    <w:rsid w:val="1D9F31A3"/>
    <w:rsid w:val="24F0AC2A"/>
    <w:rsid w:val="2D245FA9"/>
    <w:rsid w:val="2E83576A"/>
    <w:rsid w:val="32D3DFAC"/>
    <w:rsid w:val="34B63AF5"/>
    <w:rsid w:val="3BFDE839"/>
    <w:rsid w:val="3DBD55CA"/>
    <w:rsid w:val="3E6436B5"/>
    <w:rsid w:val="40F334C7"/>
    <w:rsid w:val="411F5A9A"/>
    <w:rsid w:val="53C3337F"/>
    <w:rsid w:val="546D9A3B"/>
    <w:rsid w:val="582E7BF0"/>
    <w:rsid w:val="5BD6C250"/>
    <w:rsid w:val="684BCCB0"/>
    <w:rsid w:val="700DE7F3"/>
    <w:rsid w:val="79888FF0"/>
    <w:rsid w:val="7B41E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0936"/>
  <w15:docId w15:val="{1BD6C263-4B6A-4DA9-9692-73BF17A7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4C6656"/>
    <w:pPr>
      <w:spacing w:after="0" w:line="240" w:lineRule="auto"/>
    </w:pPr>
    <w:rPr>
      <w:sz w:val="20"/>
      <w:szCs w:val="20"/>
    </w:rPr>
  </w:style>
  <w:style w:type="character" w:customStyle="1" w:styleId="FootnoteTextChar">
    <w:name w:val="Footnote Text Char"/>
    <w:basedOn w:val="DefaultParagraphFont"/>
    <w:link w:val="FootnoteText"/>
    <w:uiPriority w:val="99"/>
    <w:rsid w:val="004C6656"/>
    <w:rPr>
      <w:sz w:val="20"/>
      <w:szCs w:val="20"/>
    </w:rPr>
  </w:style>
  <w:style w:type="character" w:styleId="FootnoteReference">
    <w:name w:val="footnote reference"/>
    <w:basedOn w:val="DefaultParagraphFont"/>
    <w:uiPriority w:val="99"/>
    <w:semiHidden/>
    <w:unhideWhenUsed/>
    <w:rsid w:val="004C6656"/>
    <w:rPr>
      <w:vertAlign w:val="superscript"/>
    </w:rPr>
  </w:style>
  <w:style w:type="character" w:styleId="CommentReference">
    <w:name w:val="annotation reference"/>
    <w:basedOn w:val="DefaultParagraphFont"/>
    <w:uiPriority w:val="99"/>
    <w:semiHidden/>
    <w:unhideWhenUsed/>
    <w:rsid w:val="00BC37B1"/>
    <w:rPr>
      <w:sz w:val="16"/>
      <w:szCs w:val="16"/>
    </w:rPr>
  </w:style>
  <w:style w:type="paragraph" w:styleId="CommentText">
    <w:name w:val="annotation text"/>
    <w:basedOn w:val="Normal"/>
    <w:link w:val="CommentTextChar"/>
    <w:uiPriority w:val="99"/>
    <w:unhideWhenUsed/>
    <w:rsid w:val="00BC37B1"/>
    <w:pPr>
      <w:spacing w:line="240" w:lineRule="auto"/>
    </w:pPr>
    <w:rPr>
      <w:sz w:val="20"/>
      <w:szCs w:val="20"/>
    </w:rPr>
  </w:style>
  <w:style w:type="character" w:customStyle="1" w:styleId="CommentTextChar">
    <w:name w:val="Comment Text Char"/>
    <w:basedOn w:val="DefaultParagraphFont"/>
    <w:link w:val="CommentText"/>
    <w:uiPriority w:val="99"/>
    <w:rsid w:val="00BC37B1"/>
    <w:rPr>
      <w:sz w:val="20"/>
      <w:szCs w:val="20"/>
    </w:rPr>
  </w:style>
  <w:style w:type="paragraph" w:styleId="CommentSubject">
    <w:name w:val="annotation subject"/>
    <w:basedOn w:val="CommentText"/>
    <w:next w:val="CommentText"/>
    <w:link w:val="CommentSubjectChar"/>
    <w:uiPriority w:val="99"/>
    <w:semiHidden/>
    <w:unhideWhenUsed/>
    <w:rsid w:val="00BC37B1"/>
    <w:rPr>
      <w:b/>
      <w:bCs/>
    </w:rPr>
  </w:style>
  <w:style w:type="character" w:customStyle="1" w:styleId="CommentSubjectChar">
    <w:name w:val="Comment Subject Char"/>
    <w:basedOn w:val="CommentTextChar"/>
    <w:link w:val="CommentSubject"/>
    <w:uiPriority w:val="99"/>
    <w:semiHidden/>
    <w:rsid w:val="00BC37B1"/>
    <w:rPr>
      <w:b/>
      <w:bCs/>
      <w:sz w:val="20"/>
      <w:szCs w:val="20"/>
    </w:rPr>
  </w:style>
  <w:style w:type="character" w:styleId="UnresolvedMention">
    <w:name w:val="Unresolved Mention"/>
    <w:basedOn w:val="DefaultParagraphFont"/>
    <w:uiPriority w:val="99"/>
    <w:unhideWhenUsed/>
    <w:rsid w:val="00D22E21"/>
    <w:rPr>
      <w:color w:val="605E5C"/>
      <w:shd w:val="clear" w:color="auto" w:fill="E1DFDD"/>
    </w:rPr>
  </w:style>
  <w:style w:type="paragraph" w:styleId="Header">
    <w:name w:val="header"/>
    <w:basedOn w:val="Normal"/>
    <w:link w:val="HeaderChar"/>
    <w:uiPriority w:val="99"/>
    <w:unhideWhenUsed/>
    <w:rsid w:val="00C65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D5"/>
  </w:style>
  <w:style w:type="paragraph" w:styleId="Revision">
    <w:name w:val="Revision"/>
    <w:hidden/>
    <w:uiPriority w:val="99"/>
    <w:semiHidden/>
    <w:rsid w:val="00C651D5"/>
    <w:pPr>
      <w:spacing w:after="0" w:line="240" w:lineRule="auto"/>
    </w:pPr>
  </w:style>
  <w:style w:type="character" w:styleId="FollowedHyperlink">
    <w:name w:val="FollowedHyperlink"/>
    <w:basedOn w:val="DefaultParagraphFont"/>
    <w:uiPriority w:val="99"/>
    <w:semiHidden/>
    <w:unhideWhenUsed/>
    <w:rsid w:val="00AD389E"/>
    <w:rPr>
      <w:color w:val="800080" w:themeColor="followedHyperlink"/>
      <w:u w:val="single"/>
    </w:rPr>
  </w:style>
  <w:style w:type="character" w:styleId="Mention">
    <w:name w:val="Mention"/>
    <w:basedOn w:val="DefaultParagraphFont"/>
    <w:uiPriority w:val="99"/>
    <w:unhideWhenUsed/>
    <w:rsid w:val="005D72AF"/>
    <w:rPr>
      <w:color w:val="2B579A"/>
      <w:shd w:val="clear" w:color="auto" w:fill="E1DFDD"/>
    </w:rPr>
  </w:style>
  <w:style w:type="table" w:customStyle="1" w:styleId="TableGrid2">
    <w:name w:val="Table Grid2"/>
    <w:basedOn w:val="TableNormal"/>
    <w:next w:val="TableGrid"/>
    <w:uiPriority w:val="39"/>
    <w:rsid w:val="009C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C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71997992">
      <w:bodyDiv w:val="1"/>
      <w:marLeft w:val="0"/>
      <w:marRight w:val="0"/>
      <w:marTop w:val="0"/>
      <w:marBottom w:val="0"/>
      <w:divBdr>
        <w:top w:val="none" w:sz="0" w:space="0" w:color="auto"/>
        <w:left w:val="none" w:sz="0" w:space="0" w:color="auto"/>
        <w:bottom w:val="none" w:sz="0" w:space="0" w:color="auto"/>
        <w:right w:val="none" w:sz="0" w:space="0" w:color="auto"/>
      </w:divBdr>
    </w:div>
    <w:div w:id="611976986">
      <w:bodyDiv w:val="1"/>
      <w:marLeft w:val="0"/>
      <w:marRight w:val="0"/>
      <w:marTop w:val="0"/>
      <w:marBottom w:val="0"/>
      <w:divBdr>
        <w:top w:val="none" w:sz="0" w:space="0" w:color="auto"/>
        <w:left w:val="none" w:sz="0" w:space="0" w:color="auto"/>
        <w:bottom w:val="none" w:sz="0" w:space="0" w:color="auto"/>
        <w:right w:val="none" w:sz="0" w:space="0" w:color="auto"/>
      </w:divBdr>
    </w:div>
    <w:div w:id="716659121">
      <w:bodyDiv w:val="1"/>
      <w:marLeft w:val="0"/>
      <w:marRight w:val="0"/>
      <w:marTop w:val="0"/>
      <w:marBottom w:val="0"/>
      <w:divBdr>
        <w:top w:val="none" w:sz="0" w:space="0" w:color="auto"/>
        <w:left w:val="none" w:sz="0" w:space="0" w:color="auto"/>
        <w:bottom w:val="none" w:sz="0" w:space="0" w:color="auto"/>
        <w:right w:val="none" w:sz="0" w:space="0" w:color="auto"/>
      </w:divBdr>
    </w:div>
    <w:div w:id="817260053">
      <w:bodyDiv w:val="1"/>
      <w:marLeft w:val="0"/>
      <w:marRight w:val="0"/>
      <w:marTop w:val="0"/>
      <w:marBottom w:val="0"/>
      <w:divBdr>
        <w:top w:val="none" w:sz="0" w:space="0" w:color="auto"/>
        <w:left w:val="none" w:sz="0" w:space="0" w:color="auto"/>
        <w:bottom w:val="none" w:sz="0" w:space="0" w:color="auto"/>
        <w:right w:val="none" w:sz="0" w:space="0" w:color="auto"/>
      </w:divBdr>
    </w:div>
    <w:div w:id="86783871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99890864">
      <w:bodyDiv w:val="1"/>
      <w:marLeft w:val="0"/>
      <w:marRight w:val="0"/>
      <w:marTop w:val="0"/>
      <w:marBottom w:val="0"/>
      <w:divBdr>
        <w:top w:val="none" w:sz="0" w:space="0" w:color="auto"/>
        <w:left w:val="none" w:sz="0" w:space="0" w:color="auto"/>
        <w:bottom w:val="none" w:sz="0" w:space="0" w:color="auto"/>
        <w:right w:val="none" w:sz="0" w:space="0" w:color="auto"/>
      </w:divBdr>
    </w:div>
    <w:div w:id="1603486312">
      <w:bodyDiv w:val="1"/>
      <w:marLeft w:val="0"/>
      <w:marRight w:val="0"/>
      <w:marTop w:val="0"/>
      <w:marBottom w:val="0"/>
      <w:divBdr>
        <w:top w:val="none" w:sz="0" w:space="0" w:color="auto"/>
        <w:left w:val="none" w:sz="0" w:space="0" w:color="auto"/>
        <w:bottom w:val="none" w:sz="0" w:space="0" w:color="auto"/>
        <w:right w:val="none" w:sz="0" w:space="0" w:color="auto"/>
      </w:divBdr>
    </w:div>
    <w:div w:id="2009359448">
      <w:bodyDiv w:val="1"/>
      <w:marLeft w:val="0"/>
      <w:marRight w:val="0"/>
      <w:marTop w:val="0"/>
      <w:marBottom w:val="0"/>
      <w:divBdr>
        <w:top w:val="none" w:sz="0" w:space="0" w:color="auto"/>
        <w:left w:val="none" w:sz="0" w:space="0" w:color="auto"/>
        <w:bottom w:val="none" w:sz="0" w:space="0" w:color="auto"/>
        <w:right w:val="none" w:sz="0" w:space="0" w:color="auto"/>
      </w:divBdr>
    </w:div>
    <w:div w:id="2109301614">
      <w:bodyDiv w:val="1"/>
      <w:marLeft w:val="0"/>
      <w:marRight w:val="0"/>
      <w:marTop w:val="0"/>
      <w:marBottom w:val="0"/>
      <w:divBdr>
        <w:top w:val="none" w:sz="0" w:space="0" w:color="auto"/>
        <w:left w:val="none" w:sz="0" w:space="0" w:color="auto"/>
        <w:bottom w:val="none" w:sz="0" w:space="0" w:color="auto"/>
        <w:right w:val="none" w:sz="0" w:space="0" w:color="auto"/>
      </w:divBdr>
    </w:div>
    <w:div w:id="21316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1Tables/html/DCB.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ptoolkit.fema.gov/urt-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ptoolkit.fema.gov/urt-inf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9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E25D9C3707494AA790AF80ECE546C6" ma:contentTypeVersion="4" ma:contentTypeDescription="Create a new document." ma:contentTypeScope="" ma:versionID="7e427074875c86ae507431a9b06ed9f6">
  <xsd:schema xmlns:xsd="http://www.w3.org/2001/XMLSchema" xmlns:xs="http://www.w3.org/2001/XMLSchema" xmlns:p="http://schemas.microsoft.com/office/2006/metadata/properties" xmlns:ns2="90869b23-1823-4e1e-9f12-d3921246c627" xmlns:ns3="4be7660f-0360-4f58-baa3-3f679b845dba" targetNamespace="http://schemas.microsoft.com/office/2006/metadata/properties" ma:root="true" ma:fieldsID="2fde6eb9d7f382b1681cfa8fb96670b3" ns2:_="" ns3:_="">
    <xsd:import namespace="90869b23-1823-4e1e-9f12-d3921246c627"/>
    <xsd:import namespace="4be7660f-0360-4f58-baa3-3f679b845d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9b23-1823-4e1e-9f12-d3921246c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7660f-0360-4f58-baa3-3f679b845d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6A9C6-DAFC-40B0-895F-D1219CE928E2}">
  <ds:schemaRef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4be7660f-0360-4f58-baa3-3f679b845dba"/>
    <ds:schemaRef ds:uri="90869b23-1823-4e1e-9f12-d3921246c627"/>
  </ds:schemaRefs>
</ds:datastoreItem>
</file>

<file path=customXml/itemProps2.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customXml/itemProps3.xml><?xml version="1.0" encoding="utf-8"?>
<ds:datastoreItem xmlns:ds="http://schemas.openxmlformats.org/officeDocument/2006/customXml" ds:itemID="{3E129BFF-2935-4810-9179-3F235A2F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9b23-1823-4e1e-9f12-d3921246c627"/>
    <ds:schemaRef ds:uri="4be7660f-0360-4f58-baa3-3f679b845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9C715-6D27-43E2-AAA2-30E1F58F4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6705</Words>
  <Characters>38220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4</cp:revision>
  <dcterms:created xsi:type="dcterms:W3CDTF">2021-12-06T19:47:00Z</dcterms:created>
  <dcterms:modified xsi:type="dcterms:W3CDTF">2021-12-06T20:02:00Z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0x010100E1E25D9C3707494AA790AF80ECE546C6</vt:lpwstr>
  </property>
</Properties>
</file>