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47DDD" w14:textId="2C6EFC65" w:rsidR="00714DC1" w:rsidRDefault="00714DC1" w:rsidP="00FC60F4">
      <w:pPr>
        <w:tabs>
          <w:tab w:val="left" w:pos="1440"/>
        </w:tabs>
        <w:spacing w:after="120"/>
      </w:pPr>
      <w:r>
        <w:rPr>
          <w:noProof/>
        </w:rPr>
        <w:drawing>
          <wp:inline distT="0" distB="0" distL="0" distR="0" wp14:anchorId="4E3C7286" wp14:editId="0002664F">
            <wp:extent cx="6524625" cy="666750"/>
            <wp:effectExtent l="0" t="0" r="9525" b="0"/>
            <wp:docPr id="1" name="Picture 1" descr="memo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2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4625" cy="666750"/>
                    </a:xfrm>
                    <a:prstGeom prst="rect">
                      <a:avLst/>
                    </a:prstGeom>
                    <a:noFill/>
                    <a:ln>
                      <a:noFill/>
                    </a:ln>
                  </pic:spPr>
                </pic:pic>
              </a:graphicData>
            </a:graphic>
          </wp:inline>
        </w:drawing>
      </w:r>
      <w:r>
        <w:t xml:space="preserve">DATE: </w:t>
      </w:r>
      <w:r>
        <w:tab/>
      </w:r>
      <w:r w:rsidR="00C935FD" w:rsidRPr="00886DCA">
        <w:t xml:space="preserve">December </w:t>
      </w:r>
      <w:r w:rsidR="00886DCA" w:rsidRPr="00886DCA">
        <w:t>8</w:t>
      </w:r>
      <w:r w:rsidR="0081123B" w:rsidRPr="00886DCA">
        <w:t>, 2021</w:t>
      </w:r>
    </w:p>
    <w:p w14:paraId="376D4FF7" w14:textId="77777777" w:rsidR="00714DC1" w:rsidRDefault="00714DC1" w:rsidP="00714DC1">
      <w:pPr>
        <w:tabs>
          <w:tab w:val="left" w:pos="1440"/>
        </w:tabs>
        <w:spacing w:after="120"/>
        <w:ind w:left="1440" w:hanging="1440"/>
      </w:pPr>
      <w:r>
        <w:t>TO:</w:t>
      </w:r>
      <w:r>
        <w:tab/>
        <w:t>Robert Sivinski, OMB</w:t>
      </w:r>
    </w:p>
    <w:p w14:paraId="77A197E9" w14:textId="07D0FA69" w:rsidR="00714DC1" w:rsidRDefault="00714DC1" w:rsidP="00714DC1">
      <w:pPr>
        <w:tabs>
          <w:tab w:val="left" w:pos="1440"/>
        </w:tabs>
        <w:spacing w:after="120"/>
        <w:ind w:left="1440" w:hanging="1440"/>
      </w:pPr>
      <w:r>
        <w:t>THROUGH:</w:t>
      </w:r>
      <w:r>
        <w:tab/>
      </w:r>
      <w:r w:rsidR="00A257AB">
        <w:t xml:space="preserve">Carrie </w:t>
      </w:r>
      <w:r w:rsidR="00843875">
        <w:t>Clarady</w:t>
      </w:r>
      <w:r>
        <w:t>, NCES</w:t>
      </w:r>
    </w:p>
    <w:p w14:paraId="0D4DB60A" w14:textId="190CBA2C" w:rsidR="00714DC1" w:rsidRDefault="00714DC1" w:rsidP="00714DC1">
      <w:pPr>
        <w:tabs>
          <w:tab w:val="left" w:pos="1440"/>
        </w:tabs>
        <w:spacing w:after="120"/>
        <w:ind w:left="1440" w:hanging="1440"/>
      </w:pPr>
      <w:r>
        <w:t>FROM:</w:t>
      </w:r>
      <w:r>
        <w:tab/>
        <w:t xml:space="preserve">Tracy Hunt-White and </w:t>
      </w:r>
      <w:r w:rsidR="0081123B">
        <w:t>David Richards</w:t>
      </w:r>
      <w:r>
        <w:t>, NCES</w:t>
      </w:r>
    </w:p>
    <w:p w14:paraId="794D62CA" w14:textId="20E4438F" w:rsidR="00397F20" w:rsidRPr="00397F20" w:rsidRDefault="00714DC1" w:rsidP="00397F20">
      <w:pPr>
        <w:tabs>
          <w:tab w:val="left" w:pos="1440"/>
        </w:tabs>
        <w:ind w:left="1440" w:hanging="1440"/>
      </w:pPr>
      <w:r>
        <w:t xml:space="preserve">Re: </w:t>
      </w:r>
      <w:r>
        <w:tab/>
      </w:r>
      <w:r w:rsidR="0081123B">
        <w:t>2020/22</w:t>
      </w:r>
      <w:r w:rsidR="00397F20" w:rsidRPr="00397F20">
        <w:t xml:space="preserve"> </w:t>
      </w:r>
      <w:r w:rsidR="0081123B">
        <w:t>Beginning Postsecondary Students</w:t>
      </w:r>
      <w:r w:rsidR="00397F20" w:rsidRPr="00397F20">
        <w:t xml:space="preserve"> (</w:t>
      </w:r>
      <w:r w:rsidR="0081123B">
        <w:t>BPS</w:t>
      </w:r>
      <w:r w:rsidR="00397F20" w:rsidRPr="00397F20">
        <w:t>:</w:t>
      </w:r>
      <w:r w:rsidR="0081123B">
        <w:t>20/22</w:t>
      </w:r>
      <w:r w:rsidR="00397F20" w:rsidRPr="00397F20">
        <w:t>) Full-Scale</w:t>
      </w:r>
      <w:r w:rsidR="00FC60F4">
        <w:t xml:space="preserve"> (</w:t>
      </w:r>
      <w:r w:rsidR="00397F20" w:rsidRPr="00397F20">
        <w:t xml:space="preserve">OMB # </w:t>
      </w:r>
      <w:r w:rsidR="005346A2">
        <w:t>1850-0631 v.</w:t>
      </w:r>
      <w:r w:rsidR="004B19FE">
        <w:t>19</w:t>
      </w:r>
      <w:r w:rsidR="00FC60F4">
        <w:t>)</w:t>
      </w:r>
    </w:p>
    <w:p w14:paraId="28D3D253" w14:textId="77777777" w:rsidR="003F0691" w:rsidRDefault="003F0691" w:rsidP="003F0691">
      <w:pPr>
        <w:pStyle w:val="Bodytextnoindent"/>
        <w:spacing w:before="0"/>
      </w:pPr>
    </w:p>
    <w:p w14:paraId="61388634" w14:textId="40D192B0" w:rsidR="00180A31" w:rsidRDefault="003F0691" w:rsidP="003F0691">
      <w:pPr>
        <w:pStyle w:val="BodyText"/>
        <w:rPr>
          <w:rFonts w:ascii="Times New Roman" w:hAnsi="Times New Roman"/>
        </w:rPr>
      </w:pPr>
      <w:r w:rsidRPr="00262ADD">
        <w:rPr>
          <w:rFonts w:ascii="Times New Roman" w:hAnsi="Times New Roman"/>
        </w:rPr>
        <w:t xml:space="preserve">The </w:t>
      </w:r>
      <w:r w:rsidR="0081123B">
        <w:rPr>
          <w:rFonts w:ascii="Times New Roman" w:hAnsi="Times New Roman"/>
        </w:rPr>
        <w:t>2020/22</w:t>
      </w:r>
      <w:r w:rsidRPr="00262ADD">
        <w:rPr>
          <w:rFonts w:ascii="Times New Roman" w:hAnsi="Times New Roman"/>
        </w:rPr>
        <w:t xml:space="preserve"> </w:t>
      </w:r>
      <w:r w:rsidR="0081123B">
        <w:rPr>
          <w:rFonts w:ascii="Times New Roman" w:hAnsi="Times New Roman"/>
        </w:rPr>
        <w:t>Beginning Postsecondary Students</w:t>
      </w:r>
      <w:r w:rsidRPr="00262ADD">
        <w:rPr>
          <w:rFonts w:ascii="Times New Roman" w:hAnsi="Times New Roman"/>
        </w:rPr>
        <w:t xml:space="preserve"> Longitudinal Study (</w:t>
      </w:r>
      <w:r w:rsidR="0081123B">
        <w:rPr>
          <w:rFonts w:ascii="Times New Roman" w:hAnsi="Times New Roman"/>
        </w:rPr>
        <w:t>BPS:20/22</w:t>
      </w:r>
      <w:r w:rsidRPr="00262ADD">
        <w:rPr>
          <w:rFonts w:ascii="Times New Roman" w:hAnsi="Times New Roman"/>
        </w:rPr>
        <w:t>)</w:t>
      </w:r>
      <w:r w:rsidR="0030596F">
        <w:rPr>
          <w:rFonts w:ascii="Times New Roman" w:hAnsi="Times New Roman"/>
        </w:rPr>
        <w:t>,</w:t>
      </w:r>
      <w:r w:rsidRPr="00262ADD">
        <w:rPr>
          <w:rFonts w:ascii="Times New Roman" w:hAnsi="Times New Roman"/>
        </w:rPr>
        <w:t xml:space="preserve"> conducted by the National Center for Education Statistics (NCES), is designed to follow a cohort of students who </w:t>
      </w:r>
      <w:r w:rsidR="0081123B">
        <w:rPr>
          <w:rFonts w:ascii="Times New Roman" w:hAnsi="Times New Roman"/>
        </w:rPr>
        <w:t>enroll in postsecondary education for the first time during the same academic year, irrespective of the date of high school completion</w:t>
      </w:r>
      <w:r w:rsidRPr="00262ADD">
        <w:rPr>
          <w:rFonts w:ascii="Times New Roman" w:hAnsi="Times New Roman"/>
        </w:rPr>
        <w:t xml:space="preserve">. The request to conduct the </w:t>
      </w:r>
      <w:r w:rsidR="0081123B">
        <w:rPr>
          <w:rFonts w:ascii="Times New Roman" w:hAnsi="Times New Roman"/>
        </w:rPr>
        <w:t>BPS:20/22</w:t>
      </w:r>
      <w:r w:rsidRPr="00262ADD">
        <w:rPr>
          <w:rFonts w:ascii="Times New Roman" w:hAnsi="Times New Roman"/>
        </w:rPr>
        <w:t xml:space="preserve"> field test was </w:t>
      </w:r>
      <w:r w:rsidR="0030596F">
        <w:rPr>
          <w:rFonts w:ascii="Times New Roman" w:hAnsi="Times New Roman"/>
        </w:rPr>
        <w:t xml:space="preserve">last </w:t>
      </w:r>
      <w:r w:rsidRPr="00262ADD">
        <w:rPr>
          <w:rFonts w:ascii="Times New Roman" w:hAnsi="Times New Roman"/>
        </w:rPr>
        <w:t>approved in</w:t>
      </w:r>
      <w:r w:rsidR="005346A2">
        <w:rPr>
          <w:rFonts w:ascii="Times New Roman" w:hAnsi="Times New Roman"/>
        </w:rPr>
        <w:t xml:space="preserve"> December 2020</w:t>
      </w:r>
      <w:r w:rsidRPr="00A257AB">
        <w:rPr>
          <w:rFonts w:ascii="Times New Roman" w:hAnsi="Times New Roman"/>
          <w:highlight w:val="yellow"/>
        </w:rPr>
        <w:t xml:space="preserve"> </w:t>
      </w:r>
      <w:r w:rsidRPr="005346A2">
        <w:rPr>
          <w:rFonts w:ascii="Times New Roman" w:hAnsi="Times New Roman"/>
        </w:rPr>
        <w:t xml:space="preserve">(OMB# </w:t>
      </w:r>
      <w:r w:rsidR="005346A2" w:rsidRPr="005346A2">
        <w:rPr>
          <w:rFonts w:ascii="Times New Roman" w:hAnsi="Times New Roman"/>
        </w:rPr>
        <w:t>1850-0631 v.18</w:t>
      </w:r>
      <w:r w:rsidRPr="005346A2">
        <w:rPr>
          <w:rFonts w:ascii="Times New Roman" w:hAnsi="Times New Roman"/>
        </w:rPr>
        <w:t>)</w:t>
      </w:r>
      <w:r w:rsidR="00D15676" w:rsidRPr="005346A2">
        <w:rPr>
          <w:rFonts w:ascii="Times New Roman" w:hAnsi="Times New Roman"/>
        </w:rPr>
        <w:t>,</w:t>
      </w:r>
      <w:r w:rsidR="00D15676">
        <w:rPr>
          <w:rFonts w:ascii="Times New Roman" w:hAnsi="Times New Roman"/>
        </w:rPr>
        <w:t xml:space="preserve"> and we are now </w:t>
      </w:r>
      <w:r w:rsidR="0030596F">
        <w:rPr>
          <w:rFonts w:ascii="Times New Roman" w:hAnsi="Times New Roman"/>
        </w:rPr>
        <w:t>request</w:t>
      </w:r>
      <w:r w:rsidR="00D15676">
        <w:rPr>
          <w:rFonts w:ascii="Times New Roman" w:hAnsi="Times New Roman"/>
        </w:rPr>
        <w:t>ing</w:t>
      </w:r>
      <w:r w:rsidR="0030596F">
        <w:rPr>
          <w:rFonts w:ascii="Times New Roman" w:hAnsi="Times New Roman"/>
        </w:rPr>
        <w:t xml:space="preserve"> to conduct the</w:t>
      </w:r>
      <w:r w:rsidRPr="00262ADD">
        <w:rPr>
          <w:rFonts w:ascii="Times New Roman" w:hAnsi="Times New Roman"/>
        </w:rPr>
        <w:t xml:space="preserve"> full-scale data collection. Th</w:t>
      </w:r>
      <w:r w:rsidR="00712880">
        <w:rPr>
          <w:rFonts w:ascii="Times New Roman" w:hAnsi="Times New Roman"/>
        </w:rPr>
        <w:t xml:space="preserve">e </w:t>
      </w:r>
      <w:r w:rsidR="0081123B">
        <w:rPr>
          <w:rFonts w:ascii="Times New Roman" w:hAnsi="Times New Roman"/>
        </w:rPr>
        <w:t>BPS:20/22</w:t>
      </w:r>
      <w:r w:rsidRPr="00262ADD">
        <w:rPr>
          <w:rFonts w:ascii="Times New Roman" w:hAnsi="Times New Roman"/>
        </w:rPr>
        <w:t xml:space="preserve"> full-scale materials and procedures </w:t>
      </w:r>
      <w:r w:rsidR="00F848A2">
        <w:rPr>
          <w:rFonts w:ascii="Times New Roman" w:hAnsi="Times New Roman"/>
        </w:rPr>
        <w:t xml:space="preserve">included in this submission </w:t>
      </w:r>
      <w:r w:rsidR="00712880">
        <w:rPr>
          <w:rFonts w:ascii="Times New Roman" w:hAnsi="Times New Roman"/>
        </w:rPr>
        <w:t>are</w:t>
      </w:r>
      <w:r w:rsidRPr="00262ADD">
        <w:rPr>
          <w:rFonts w:ascii="Times New Roman" w:hAnsi="Times New Roman"/>
        </w:rPr>
        <w:t xml:space="preserve"> based on </w:t>
      </w:r>
      <w:r w:rsidR="00D15676">
        <w:rPr>
          <w:rFonts w:ascii="Times New Roman" w:hAnsi="Times New Roman"/>
        </w:rPr>
        <w:t>those</w:t>
      </w:r>
      <w:r w:rsidR="00712880">
        <w:rPr>
          <w:rFonts w:ascii="Times New Roman" w:hAnsi="Times New Roman"/>
        </w:rPr>
        <w:t xml:space="preserve"> approved for </w:t>
      </w:r>
      <w:r w:rsidRPr="00262ADD">
        <w:rPr>
          <w:rFonts w:ascii="Times New Roman" w:hAnsi="Times New Roman"/>
        </w:rPr>
        <w:t>the field test</w:t>
      </w:r>
      <w:r w:rsidR="00712880">
        <w:rPr>
          <w:rFonts w:ascii="Times New Roman" w:hAnsi="Times New Roman"/>
        </w:rPr>
        <w:t xml:space="preserve">, with </w:t>
      </w:r>
      <w:proofErr w:type="gramStart"/>
      <w:r w:rsidR="00712880">
        <w:rPr>
          <w:rFonts w:ascii="Times New Roman" w:hAnsi="Times New Roman"/>
        </w:rPr>
        <w:t>a number of</w:t>
      </w:r>
      <w:proofErr w:type="gramEnd"/>
      <w:r w:rsidR="00712880">
        <w:rPr>
          <w:rFonts w:ascii="Times New Roman" w:hAnsi="Times New Roman"/>
        </w:rPr>
        <w:t xml:space="preserve"> clarifications and revisions </w:t>
      </w:r>
      <w:r w:rsidR="00053DDC" w:rsidRPr="00262ADD">
        <w:rPr>
          <w:rFonts w:ascii="Times New Roman" w:hAnsi="Times New Roman"/>
        </w:rPr>
        <w:t xml:space="preserve">based on our </w:t>
      </w:r>
      <w:r w:rsidR="00820A40">
        <w:rPr>
          <w:rFonts w:ascii="Times New Roman" w:hAnsi="Times New Roman"/>
        </w:rPr>
        <w:t xml:space="preserve">experiences </w:t>
      </w:r>
      <w:r w:rsidR="00712880">
        <w:rPr>
          <w:rFonts w:ascii="Times New Roman" w:hAnsi="Times New Roman"/>
        </w:rPr>
        <w:t>and</w:t>
      </w:r>
      <w:r w:rsidR="00246B61" w:rsidRPr="00262ADD">
        <w:rPr>
          <w:rFonts w:ascii="Times New Roman" w:hAnsi="Times New Roman"/>
        </w:rPr>
        <w:t xml:space="preserve"> </w:t>
      </w:r>
      <w:r w:rsidR="00712880">
        <w:rPr>
          <w:rFonts w:ascii="Times New Roman" w:hAnsi="Times New Roman"/>
        </w:rPr>
        <w:t>e</w:t>
      </w:r>
      <w:r w:rsidR="00712880" w:rsidRPr="00262ADD">
        <w:rPr>
          <w:rFonts w:ascii="Times New Roman" w:hAnsi="Times New Roman"/>
        </w:rPr>
        <w:t xml:space="preserve">xperiment </w:t>
      </w:r>
      <w:r w:rsidR="005B1398">
        <w:rPr>
          <w:rFonts w:ascii="Times New Roman" w:hAnsi="Times New Roman"/>
        </w:rPr>
        <w:t xml:space="preserve">results </w:t>
      </w:r>
      <w:r w:rsidR="00712880">
        <w:rPr>
          <w:rFonts w:ascii="Times New Roman" w:hAnsi="Times New Roman"/>
        </w:rPr>
        <w:t>from</w:t>
      </w:r>
      <w:r w:rsidR="00246B61" w:rsidRPr="00262ADD">
        <w:rPr>
          <w:rFonts w:ascii="Times New Roman" w:hAnsi="Times New Roman"/>
        </w:rPr>
        <w:t xml:space="preserve"> the field test</w:t>
      </w:r>
      <w:r w:rsidR="00F861DC">
        <w:rPr>
          <w:rFonts w:ascii="Times New Roman" w:hAnsi="Times New Roman"/>
        </w:rPr>
        <w:t xml:space="preserve"> </w:t>
      </w:r>
      <w:r w:rsidR="00053DDC" w:rsidRPr="00262ADD">
        <w:rPr>
          <w:rFonts w:ascii="Times New Roman" w:hAnsi="Times New Roman"/>
        </w:rPr>
        <w:t>and Technical Review Panel feedback.</w:t>
      </w:r>
      <w:r w:rsidRPr="00262ADD">
        <w:rPr>
          <w:rFonts w:ascii="Times New Roman" w:hAnsi="Times New Roman"/>
        </w:rPr>
        <w:t xml:space="preserve"> </w:t>
      </w:r>
      <w:r w:rsidR="00712880">
        <w:rPr>
          <w:rFonts w:ascii="Times New Roman" w:hAnsi="Times New Roman"/>
        </w:rPr>
        <w:t>T</w:t>
      </w:r>
      <w:r w:rsidRPr="00262ADD">
        <w:rPr>
          <w:rFonts w:ascii="Times New Roman" w:hAnsi="Times New Roman"/>
        </w:rPr>
        <w:t>his memo summarize</w:t>
      </w:r>
      <w:r w:rsidR="00712880">
        <w:rPr>
          <w:rFonts w:ascii="Times New Roman" w:hAnsi="Times New Roman"/>
        </w:rPr>
        <w:t>s</w:t>
      </w:r>
      <w:r w:rsidRPr="00262ADD">
        <w:rPr>
          <w:rFonts w:ascii="Times New Roman" w:hAnsi="Times New Roman"/>
        </w:rPr>
        <w:t xml:space="preserve"> the </w:t>
      </w:r>
      <w:r w:rsidR="00712880">
        <w:rPr>
          <w:rFonts w:ascii="Times New Roman" w:hAnsi="Times New Roman"/>
        </w:rPr>
        <w:t>revisions</w:t>
      </w:r>
      <w:r w:rsidRPr="00262ADD">
        <w:rPr>
          <w:rFonts w:ascii="Times New Roman" w:hAnsi="Times New Roman"/>
        </w:rPr>
        <w:t xml:space="preserve"> </w:t>
      </w:r>
      <w:r w:rsidR="00712880">
        <w:rPr>
          <w:rFonts w:ascii="Times New Roman" w:hAnsi="Times New Roman"/>
        </w:rPr>
        <w:t xml:space="preserve">we </w:t>
      </w:r>
      <w:r w:rsidRPr="00262ADD">
        <w:rPr>
          <w:rFonts w:ascii="Times New Roman" w:hAnsi="Times New Roman"/>
        </w:rPr>
        <w:t xml:space="preserve">made to </w:t>
      </w:r>
      <w:r w:rsidR="00712880">
        <w:rPr>
          <w:rFonts w:ascii="Times New Roman" w:hAnsi="Times New Roman"/>
        </w:rPr>
        <w:t xml:space="preserve">the original approved package to reflect the finalized </w:t>
      </w:r>
      <w:r w:rsidRPr="00262ADD">
        <w:rPr>
          <w:rFonts w:ascii="Times New Roman" w:hAnsi="Times New Roman"/>
        </w:rPr>
        <w:t>full-scale plans</w:t>
      </w:r>
      <w:r w:rsidR="00180A31">
        <w:rPr>
          <w:rFonts w:ascii="Times New Roman" w:hAnsi="Times New Roman"/>
        </w:rPr>
        <w:t>.</w:t>
      </w:r>
    </w:p>
    <w:p w14:paraId="508160BE" w14:textId="77777777" w:rsidR="003F0691" w:rsidRDefault="003F0691" w:rsidP="003F0691">
      <w:pPr>
        <w:pStyle w:val="BodyText"/>
        <w:rPr>
          <w:rFonts w:ascii="Times New Roman" w:hAnsi="Times New Roman"/>
        </w:rPr>
      </w:pPr>
      <w:r w:rsidRPr="00262ADD">
        <w:rPr>
          <w:rFonts w:ascii="Times New Roman" w:hAnsi="Times New Roman"/>
        </w:rPr>
        <w:t xml:space="preserve">For each </w:t>
      </w:r>
      <w:r w:rsidR="00D15676">
        <w:rPr>
          <w:rFonts w:ascii="Times New Roman" w:hAnsi="Times New Roman"/>
        </w:rPr>
        <w:t xml:space="preserve">revised </w:t>
      </w:r>
      <w:r w:rsidRPr="00262ADD">
        <w:rPr>
          <w:rFonts w:ascii="Times New Roman" w:hAnsi="Times New Roman"/>
        </w:rPr>
        <w:t xml:space="preserve">section of the package, we note </w:t>
      </w:r>
      <w:r w:rsidR="00180A31">
        <w:rPr>
          <w:rFonts w:ascii="Times New Roman" w:hAnsi="Times New Roman"/>
        </w:rPr>
        <w:t xml:space="preserve">in this memo </w:t>
      </w:r>
      <w:r w:rsidRPr="00262ADD">
        <w:rPr>
          <w:rFonts w:ascii="Times New Roman" w:hAnsi="Times New Roman"/>
        </w:rPr>
        <w:t>the substantive differences and provide the rationale for the changes.</w:t>
      </w:r>
      <w:r w:rsidR="008F0530">
        <w:rPr>
          <w:rFonts w:ascii="Times New Roman" w:hAnsi="Times New Roman"/>
        </w:rPr>
        <w:t xml:space="preserve"> Note that additions</w:t>
      </w:r>
      <w:r w:rsidR="00D15676">
        <w:rPr>
          <w:rFonts w:ascii="Times New Roman" w:hAnsi="Times New Roman"/>
        </w:rPr>
        <w:t>/</w:t>
      </w:r>
      <w:r w:rsidR="00F42337">
        <w:rPr>
          <w:rFonts w:ascii="Times New Roman" w:hAnsi="Times New Roman"/>
        </w:rPr>
        <w:t>revisions</w:t>
      </w:r>
      <w:r w:rsidR="008F0530">
        <w:rPr>
          <w:rFonts w:ascii="Times New Roman" w:hAnsi="Times New Roman"/>
        </w:rPr>
        <w:t xml:space="preserve"> are </w:t>
      </w:r>
      <w:r w:rsidR="00D15676">
        <w:rPr>
          <w:rFonts w:ascii="Times New Roman" w:hAnsi="Times New Roman"/>
        </w:rPr>
        <w:t xml:space="preserve">marked </w:t>
      </w:r>
      <w:r w:rsidR="008F0530">
        <w:rPr>
          <w:rFonts w:ascii="Times New Roman" w:hAnsi="Times New Roman"/>
        </w:rPr>
        <w:t xml:space="preserve">in </w:t>
      </w:r>
      <w:r w:rsidR="00180A31">
        <w:rPr>
          <w:rFonts w:ascii="Times New Roman" w:hAnsi="Times New Roman"/>
        </w:rPr>
        <w:t xml:space="preserve">a </w:t>
      </w:r>
      <w:r w:rsidR="008F0530">
        <w:rPr>
          <w:rFonts w:ascii="Times New Roman" w:hAnsi="Times New Roman"/>
        </w:rPr>
        <w:t xml:space="preserve">green font </w:t>
      </w:r>
      <w:r w:rsidR="00D15676">
        <w:rPr>
          <w:rFonts w:ascii="Times New Roman" w:hAnsi="Times New Roman"/>
        </w:rPr>
        <w:t>and</w:t>
      </w:r>
      <w:r w:rsidR="008F0530">
        <w:rPr>
          <w:rFonts w:ascii="Times New Roman" w:hAnsi="Times New Roman"/>
        </w:rPr>
        <w:t xml:space="preserve"> deletions in red.</w:t>
      </w:r>
    </w:p>
    <w:p w14:paraId="0E69296D" w14:textId="77777777" w:rsidR="001E765D" w:rsidRPr="00124F39" w:rsidRDefault="00262ADD" w:rsidP="008F0530">
      <w:pPr>
        <w:pStyle w:val="Title"/>
        <w:spacing w:after="120"/>
        <w:rPr>
          <w:rFonts w:ascii="Times New Roman" w:hAnsi="Times New Roman" w:cs="Times New Roman"/>
          <w:b/>
          <w:sz w:val="28"/>
          <w:szCs w:val="28"/>
          <w:u w:val="single"/>
        </w:rPr>
      </w:pPr>
      <w:r w:rsidRPr="00124F39">
        <w:rPr>
          <w:rFonts w:ascii="Times New Roman" w:hAnsi="Times New Roman" w:cs="Times New Roman"/>
          <w:b/>
          <w:sz w:val="28"/>
          <w:szCs w:val="28"/>
          <w:u w:val="single"/>
        </w:rPr>
        <w:t xml:space="preserve">Supporting Statement </w:t>
      </w:r>
      <w:proofErr w:type="gramStart"/>
      <w:r w:rsidRPr="00124F39">
        <w:rPr>
          <w:rFonts w:ascii="Times New Roman" w:hAnsi="Times New Roman" w:cs="Times New Roman"/>
          <w:b/>
          <w:sz w:val="28"/>
          <w:szCs w:val="28"/>
          <w:u w:val="single"/>
        </w:rPr>
        <w:t>Part</w:t>
      </w:r>
      <w:proofErr w:type="gramEnd"/>
      <w:r w:rsidRPr="00124F39">
        <w:rPr>
          <w:rFonts w:ascii="Times New Roman" w:hAnsi="Times New Roman" w:cs="Times New Roman"/>
          <w:b/>
          <w:sz w:val="28"/>
          <w:szCs w:val="28"/>
          <w:u w:val="single"/>
        </w:rPr>
        <w:t xml:space="preserve"> A</w:t>
      </w:r>
    </w:p>
    <w:p w14:paraId="573BA231" w14:textId="3F033269" w:rsidR="00A335A6" w:rsidRDefault="00047E1B" w:rsidP="008F0530">
      <w:pPr>
        <w:spacing w:after="120"/>
      </w:pPr>
      <w:r>
        <w:t>Changes in Part A include</w:t>
      </w:r>
      <w:r w:rsidR="004E356C">
        <w:t xml:space="preserve"> </w:t>
      </w:r>
      <w:r w:rsidR="001C0AEA">
        <w:t>the removal of reference to field test plans and the inclusion of updated plans for the full-scale study.</w:t>
      </w:r>
      <w:r w:rsidR="00712880">
        <w:t xml:space="preserve"> </w:t>
      </w:r>
      <w:r w:rsidR="001C0AEA">
        <w:t xml:space="preserve">Also, </w:t>
      </w:r>
      <w:r w:rsidR="004E356C">
        <w:t>editorial revisions</w:t>
      </w:r>
      <w:r w:rsidR="001C0AEA">
        <w:t xml:space="preserve"> were made to improve clarity</w:t>
      </w:r>
      <w:r w:rsidR="00A335A6">
        <w:t>.</w:t>
      </w:r>
    </w:p>
    <w:p w14:paraId="04592807" w14:textId="7B0F55B9" w:rsidR="00A335A6" w:rsidRDefault="00A335A6" w:rsidP="008F0530">
      <w:pPr>
        <w:spacing w:after="120"/>
        <w:rPr>
          <w:b/>
        </w:rPr>
      </w:pPr>
      <w:r>
        <w:rPr>
          <w:b/>
        </w:rPr>
        <w:t>Preface</w:t>
      </w:r>
    </w:p>
    <w:p w14:paraId="768F6871" w14:textId="78C85CF0" w:rsidR="002730F3" w:rsidRDefault="002730F3" w:rsidP="008F0530">
      <w:pPr>
        <w:spacing w:after="120"/>
      </w:pPr>
      <w:r w:rsidRPr="00852AD3">
        <w:t xml:space="preserve">This section </w:t>
      </w:r>
      <w:r>
        <w:t>has been revised</w:t>
      </w:r>
      <w:r w:rsidR="00A335A6">
        <w:t xml:space="preserve"> remove reference to field test plans and includes editorial revisions to improve clarity. </w:t>
      </w:r>
    </w:p>
    <w:p w14:paraId="142072EA" w14:textId="3BE53D2C" w:rsidR="00A335A6" w:rsidRPr="00A335A6" w:rsidRDefault="00A335A6" w:rsidP="008F0530">
      <w:pPr>
        <w:spacing w:after="120"/>
        <w:rPr>
          <w:b/>
        </w:rPr>
      </w:pPr>
      <w:r>
        <w:rPr>
          <w:b/>
        </w:rPr>
        <w:t>Section 1. Collection Circumstances</w:t>
      </w:r>
    </w:p>
    <w:p w14:paraId="76A69F7F" w14:textId="6E368C07" w:rsidR="008F0530" w:rsidRDefault="00A335A6" w:rsidP="008F0530">
      <w:pPr>
        <w:spacing w:after="120"/>
      </w:pPr>
      <w:r>
        <w:t>This section was revised to remove references to the field test sampling and includes new text about the full-scale BPS:20/22 cohort.</w:t>
      </w:r>
      <w:r w:rsidR="001E7594">
        <w:t xml:space="preserve"> Below</w:t>
      </w:r>
      <w:r w:rsidR="008F0530">
        <w:t xml:space="preserve"> is the new text on </w:t>
      </w:r>
      <w:r w:rsidR="00E15ED2">
        <w:t>the full-scale cohort in this section</w:t>
      </w:r>
      <w:r w:rsidR="008F0530">
        <w:t>:</w:t>
      </w:r>
    </w:p>
    <w:p w14:paraId="059C78A9" w14:textId="77777777" w:rsidR="00E15ED2" w:rsidRPr="009D3DFC" w:rsidRDefault="00E15ED2" w:rsidP="00E15ED2">
      <w:pPr>
        <w:spacing w:after="120"/>
        <w:ind w:left="720"/>
        <w:rPr>
          <w:color w:val="00B050"/>
        </w:rPr>
      </w:pPr>
      <w:r w:rsidRPr="009D3DFC">
        <w:rPr>
          <w:color w:val="00B050"/>
        </w:rPr>
        <w:t xml:space="preserve">BPS:20/22 will be a </w:t>
      </w:r>
      <w:proofErr w:type="gramStart"/>
      <w:r w:rsidRPr="009D3DFC">
        <w:rPr>
          <w:color w:val="00B050"/>
        </w:rPr>
        <w:t>nationally-representative</w:t>
      </w:r>
      <w:proofErr w:type="gramEnd"/>
      <w:r w:rsidRPr="009D3DFC">
        <w:rPr>
          <w:color w:val="00B050"/>
        </w:rPr>
        <w:t xml:space="preserve"> sample of approximately 37,000 students who were first-time beginning students (FTBs) during the 2019-20 academic year. The BPS:20/22 field test included approximately 3,700 students who first began in the 2018-19 academic year. These students are asked to complete a survey and administrative data are also collected for them. Administrative data matching will be conducted with sources including the National Student Loan Data System (NSLDS), which contains federal loan and grant files; the Central Processing System (CPS), which houses and processes data contained in the Free Application for Federal Student Aid (FAFSA) forms; the National Student Clearinghouse (NSC) which provides enrollment and degree verification; vendors of national undergraduate, graduate, and professional student admission tests; and possible other administrative data sources such as the Veterans Benefits Administration (VBA). These data will be obtained through file matching and downloading. In addition, this request includes conducting panel maintenance activities for the BPS:20/25 field test sample. BPS:20/25 is anticipated but has not yet been authorized. </w:t>
      </w:r>
    </w:p>
    <w:p w14:paraId="4610C695" w14:textId="77777777" w:rsidR="001E7594" w:rsidRDefault="001E7594" w:rsidP="00852AD3">
      <w:pPr>
        <w:spacing w:after="120"/>
        <w:rPr>
          <w:b/>
        </w:rPr>
      </w:pPr>
    </w:p>
    <w:p w14:paraId="50F7D422" w14:textId="77777777" w:rsidR="001E7594" w:rsidRDefault="001E7594" w:rsidP="00852AD3">
      <w:pPr>
        <w:spacing w:after="120"/>
        <w:rPr>
          <w:b/>
        </w:rPr>
      </w:pPr>
    </w:p>
    <w:p w14:paraId="76DDBD95" w14:textId="0C9F2915" w:rsidR="00852AD3" w:rsidRDefault="00E15ED2" w:rsidP="00852AD3">
      <w:pPr>
        <w:spacing w:after="120"/>
        <w:rPr>
          <w:b/>
        </w:rPr>
      </w:pPr>
      <w:r>
        <w:rPr>
          <w:b/>
        </w:rPr>
        <w:lastRenderedPageBreak/>
        <w:t>Section 2. Information Purpose</w:t>
      </w:r>
    </w:p>
    <w:p w14:paraId="33BEF397" w14:textId="36CAAB32" w:rsidR="00852AD3" w:rsidRDefault="00E15ED2" w:rsidP="00852AD3">
      <w:pPr>
        <w:spacing w:after="120"/>
      </w:pPr>
      <w:r>
        <w:t>This</w:t>
      </w:r>
      <w:r w:rsidR="00852AD3" w:rsidRPr="00852AD3">
        <w:t xml:space="preserve"> section </w:t>
      </w:r>
      <w:r w:rsidR="00852AD3">
        <w:t xml:space="preserve">has been revised </w:t>
      </w:r>
      <w:r w:rsidR="00852AD3" w:rsidRPr="00852AD3">
        <w:t xml:space="preserve">to </w:t>
      </w:r>
      <w:r>
        <w:t xml:space="preserve">include reference to Spanish reference materials and to mention the survey representativeness. Minor editorial revisions were made to improve clarity. </w:t>
      </w:r>
    </w:p>
    <w:p w14:paraId="3F93C870" w14:textId="2188F69D" w:rsidR="006133A1" w:rsidRDefault="00704383" w:rsidP="006133A1">
      <w:pPr>
        <w:spacing w:after="120"/>
        <w:rPr>
          <w:b/>
        </w:rPr>
      </w:pPr>
      <w:r>
        <w:rPr>
          <w:b/>
        </w:rPr>
        <w:t>Section 3. Collection Techniques</w:t>
      </w:r>
    </w:p>
    <w:p w14:paraId="237D4FB3" w14:textId="263ABF53" w:rsidR="006133A1" w:rsidRPr="006133A1" w:rsidRDefault="00704383" w:rsidP="006133A1">
      <w:pPr>
        <w:spacing w:after="120"/>
      </w:pPr>
      <w:r>
        <w:t xml:space="preserve">Minor editorial revisions were made to this section to improve clarity. </w:t>
      </w:r>
    </w:p>
    <w:p w14:paraId="206B25AE" w14:textId="3A4A121A" w:rsidR="00704383" w:rsidRDefault="00704383" w:rsidP="00537E78">
      <w:pPr>
        <w:spacing w:after="120"/>
      </w:pPr>
      <w:r>
        <w:rPr>
          <w:b/>
        </w:rPr>
        <w:t xml:space="preserve">Section 6. </w:t>
      </w:r>
      <w:r w:rsidR="009D3DFC" w:rsidRPr="009D3DFC">
        <w:rPr>
          <w:b/>
        </w:rPr>
        <w:t>Consequences Not Conducted/Conducted Less</w:t>
      </w:r>
    </w:p>
    <w:p w14:paraId="2AF8BB5D" w14:textId="34509042" w:rsidR="00704383" w:rsidRDefault="00704383" w:rsidP="00704383">
      <w:pPr>
        <w:spacing w:after="120"/>
      </w:pPr>
      <w:r>
        <w:t xml:space="preserve">The following language referencing the oversample of certificate seekers was removed: </w:t>
      </w:r>
    </w:p>
    <w:p w14:paraId="4162AE7F" w14:textId="28FBA731" w:rsidR="00704383" w:rsidRPr="00704383" w:rsidRDefault="00704383" w:rsidP="00704383">
      <w:pPr>
        <w:spacing w:after="120"/>
        <w:ind w:left="720"/>
        <w:rPr>
          <w:color w:val="FF0000"/>
        </w:rPr>
      </w:pPr>
      <w:r w:rsidRPr="00704383">
        <w:rPr>
          <w:color w:val="FF0000"/>
        </w:rPr>
        <w:t>The new oversample of certificate seekers that will be available for the full</w:t>
      </w:r>
      <w:r>
        <w:rPr>
          <w:color w:val="FF0000"/>
        </w:rPr>
        <w:t>-</w:t>
      </w:r>
      <w:r w:rsidRPr="00704383">
        <w:rPr>
          <w:color w:val="FF0000"/>
        </w:rPr>
        <w:t xml:space="preserve">scale study, combined with the longitudinal nature of BPS, allows for analysis of how the value of these credentials shifts in response to market forces. </w:t>
      </w:r>
    </w:p>
    <w:p w14:paraId="1654C470" w14:textId="2B262B32" w:rsidR="00D72803" w:rsidRDefault="00D72803" w:rsidP="00D72803">
      <w:pPr>
        <w:spacing w:after="120"/>
      </w:pPr>
      <w:r>
        <w:rPr>
          <w:b/>
        </w:rPr>
        <w:t>Section 8. Outside Agency Consultation/Federal Register Notice</w:t>
      </w:r>
    </w:p>
    <w:p w14:paraId="0344BBF7" w14:textId="6C7EEBFD" w:rsidR="00D72803" w:rsidRDefault="00D72803" w:rsidP="00537E78">
      <w:pPr>
        <w:spacing w:after="120"/>
      </w:pPr>
      <w:r>
        <w:t xml:space="preserve">Introduction language referencing what is included in this section was added for clarity. Minor editorial revisions were made in this section to improve clarity. </w:t>
      </w:r>
    </w:p>
    <w:p w14:paraId="0ED46825" w14:textId="77777777" w:rsidR="00D72803" w:rsidRDefault="00D72803" w:rsidP="00537E78">
      <w:pPr>
        <w:spacing w:after="120"/>
      </w:pPr>
      <w:r>
        <w:t xml:space="preserve">Here is the new introduction text in this section: </w:t>
      </w:r>
    </w:p>
    <w:p w14:paraId="69931FED" w14:textId="77777777" w:rsidR="00D72803" w:rsidRPr="00D72803" w:rsidRDefault="00D72803" w:rsidP="00D72803">
      <w:pPr>
        <w:spacing w:after="120"/>
        <w:ind w:left="720"/>
        <w:rPr>
          <w:color w:val="00B050"/>
        </w:rPr>
      </w:pPr>
      <w:r w:rsidRPr="00D72803">
        <w:rPr>
          <w:color w:val="00B050"/>
        </w:rPr>
        <w:t xml:space="preserve">Included in this section is a copy and details identifying the date and page number of </w:t>
      </w:r>
      <w:proofErr w:type="gramStart"/>
      <w:r w:rsidRPr="00D72803">
        <w:rPr>
          <w:color w:val="00B050"/>
        </w:rPr>
        <w:t>publication</w:t>
      </w:r>
      <w:proofErr w:type="gramEnd"/>
      <w:r w:rsidRPr="00D72803">
        <w:rPr>
          <w:color w:val="00B050"/>
        </w:rPr>
        <w:t xml:space="preserve"> in the Federal Register of the agency’s notice, required by 5 CFR 1320.8(d). </w:t>
      </w:r>
    </w:p>
    <w:p w14:paraId="07712F1C" w14:textId="2F8D5664" w:rsidR="00D72803" w:rsidRDefault="00D72803" w:rsidP="00D72803">
      <w:pPr>
        <w:spacing w:after="120"/>
      </w:pPr>
      <w:r>
        <w:rPr>
          <w:b/>
        </w:rPr>
        <w:t>Section 9. Respondent Gift/Payment</w:t>
      </w:r>
    </w:p>
    <w:p w14:paraId="29ED4654" w14:textId="1BA03787" w:rsidR="00712880" w:rsidRDefault="00704383" w:rsidP="00537E78">
      <w:pPr>
        <w:spacing w:after="120"/>
      </w:pPr>
      <w:r>
        <w:t>This</w:t>
      </w:r>
      <w:r w:rsidR="00537E78" w:rsidRPr="006133A1">
        <w:t xml:space="preserve"> section has been revised to</w:t>
      </w:r>
      <w:r w:rsidR="00537E78">
        <w:t xml:space="preserve"> reflect the final incentive plans for full-scale data collection</w:t>
      </w:r>
      <w:r w:rsidR="00180A31">
        <w:t xml:space="preserve"> and </w:t>
      </w:r>
      <w:r w:rsidR="00537E78">
        <w:t>includes a description of planned processes for matching</w:t>
      </w:r>
      <w:r w:rsidR="00537E78" w:rsidRPr="00537E78">
        <w:t xml:space="preserve"> to a federal database maintained by the U.S. Department of the Treasury’s Office of Foreign Assets Controls (OFAC)</w:t>
      </w:r>
      <w:r w:rsidR="00537E78">
        <w:t xml:space="preserve"> that will be used to identify sample members who cannot be offered an incentive</w:t>
      </w:r>
      <w:r w:rsidR="00537E78" w:rsidRPr="00537E78">
        <w:t>.</w:t>
      </w:r>
    </w:p>
    <w:p w14:paraId="0EAFC63B" w14:textId="147F2B02" w:rsidR="00537E78" w:rsidRDefault="00147412" w:rsidP="00537E78">
      <w:pPr>
        <w:spacing w:after="120"/>
      </w:pPr>
      <w:r>
        <w:t>The full-scale incentive plan is pasted below for reference</w:t>
      </w:r>
      <w:r w:rsidR="008F0530">
        <w:t>:</w:t>
      </w:r>
    </w:p>
    <w:p w14:paraId="6DA19935" w14:textId="7B22EFFA" w:rsidR="00791428" w:rsidRPr="00811D1F" w:rsidRDefault="00791428" w:rsidP="00791428">
      <w:pPr>
        <w:spacing w:after="120"/>
        <w:ind w:left="720"/>
        <w:rPr>
          <w:color w:val="00B050"/>
        </w:rPr>
      </w:pPr>
      <w:r w:rsidRPr="00811D1F">
        <w:rPr>
          <w:color w:val="00B050"/>
        </w:rPr>
        <w:t xml:space="preserve">The monetary incentives for this respondent class are valued at $30-$67 and include the following: BPS:20/22 full-scale data collection will involve two distinct data collection groups (i.e., default and aggressive group) and four main data collection phases (i.e., early completion, production phases 1 and 2, and nonresponse conversion). This general setup builds upon the designs implemented in other longitudinal studies where it has contributed to maximizing response rates and minimizing the potential for nonresponse bias (e.g., BPS:12/14, BPS:12/17, B&amp;B:16/17, B&amp;B:08/18, and the BPS:20/22 field test). </w:t>
      </w:r>
    </w:p>
    <w:p w14:paraId="065D478E" w14:textId="004E8782" w:rsidR="00791428" w:rsidRPr="00811D1F" w:rsidRDefault="00791428" w:rsidP="00791428">
      <w:pPr>
        <w:spacing w:after="120"/>
        <w:ind w:left="720"/>
        <w:rPr>
          <w:color w:val="00B050"/>
        </w:rPr>
      </w:pPr>
      <w:r w:rsidRPr="00811D1F">
        <w:rPr>
          <w:color w:val="00B050"/>
        </w:rPr>
        <w:t xml:space="preserve">In BPS:20/22 we plan to implement differential treatments based on prior round response status, an approach that was successfully implemented in the B&amp;B:16/17 field test, where NPSAS:16 field test nonrespondents who received the aggressive protocol was about 12% higher than the group that received the default protocol (37% response rate for the aggressive protocol versus 25% response rate </w:t>
      </w:r>
      <w:proofErr w:type="gramStart"/>
      <w:r w:rsidRPr="00811D1F">
        <w:rPr>
          <w:color w:val="00B050"/>
        </w:rPr>
        <w:t>t(</w:t>
      </w:r>
      <w:proofErr w:type="gramEnd"/>
      <w:r w:rsidRPr="00811D1F">
        <w:rPr>
          <w:color w:val="00B050"/>
        </w:rPr>
        <w:t xml:space="preserve">2,097) = 3.52, p &lt;.001). </w:t>
      </w:r>
    </w:p>
    <w:p w14:paraId="5FB13D5F" w14:textId="22D28BA8" w:rsidR="00791428" w:rsidRPr="00811D1F" w:rsidRDefault="00791428" w:rsidP="00791428">
      <w:pPr>
        <w:spacing w:after="120"/>
        <w:ind w:left="720"/>
        <w:rPr>
          <w:color w:val="00B050"/>
        </w:rPr>
      </w:pPr>
      <w:r w:rsidRPr="00811D1F">
        <w:rPr>
          <w:color w:val="00B050"/>
        </w:rPr>
        <w:t xml:space="preserve">For the BPS:20/22 full-scale design, we will distinguish the following data collection groups and design protocols: </w:t>
      </w:r>
    </w:p>
    <w:p w14:paraId="02446F9F" w14:textId="112D95B4" w:rsidR="00791428" w:rsidRPr="00811D1F" w:rsidRDefault="00791428" w:rsidP="00791428">
      <w:pPr>
        <w:pStyle w:val="ListParagraph"/>
        <w:numPr>
          <w:ilvl w:val="0"/>
          <w:numId w:val="23"/>
        </w:numPr>
        <w:spacing w:after="120"/>
        <w:rPr>
          <w:color w:val="00B050"/>
        </w:rPr>
      </w:pPr>
      <w:r w:rsidRPr="00811D1F">
        <w:rPr>
          <w:color w:val="00B050"/>
        </w:rPr>
        <w:t xml:space="preserve">Default Protocol: NPSAS:20 survey respondents. </w:t>
      </w:r>
    </w:p>
    <w:p w14:paraId="27282EA3" w14:textId="3CA11ECC" w:rsidR="00805C71" w:rsidRPr="00811D1F" w:rsidRDefault="00791428" w:rsidP="00805C71">
      <w:pPr>
        <w:pStyle w:val="ListParagraph"/>
        <w:numPr>
          <w:ilvl w:val="0"/>
          <w:numId w:val="23"/>
        </w:numPr>
        <w:spacing w:after="120"/>
        <w:rPr>
          <w:color w:val="00B050"/>
        </w:rPr>
      </w:pPr>
      <w:r w:rsidRPr="00811D1F">
        <w:rPr>
          <w:color w:val="00B050"/>
        </w:rPr>
        <w:t>Aggressive Protocol: NPSAS:20 survey nonrespondents</w:t>
      </w:r>
      <w:r w:rsidR="00805C71" w:rsidRPr="00811D1F">
        <w:rPr>
          <w:color w:val="00B050"/>
        </w:rPr>
        <w:t>,</w:t>
      </w:r>
      <w:r w:rsidRPr="00811D1F">
        <w:rPr>
          <w:color w:val="00B050"/>
        </w:rPr>
        <w:t xml:space="preserve"> including sample members who failed to respond to NPSAS:20 and those who are NPSAS:20 administrative-only sample members (who were never invited to complete the NPSAS:20 student survey), who are</w:t>
      </w:r>
      <w:r w:rsidR="00805C71" w:rsidRPr="00811D1F">
        <w:rPr>
          <w:color w:val="00B050"/>
        </w:rPr>
        <w:t xml:space="preserve"> potential academic year 2019-20 FTBs based on administrative data.</w:t>
      </w:r>
    </w:p>
    <w:p w14:paraId="0C274EA8" w14:textId="24BA7923" w:rsidR="00805C71" w:rsidRPr="00811D1F" w:rsidRDefault="00805C71" w:rsidP="00805C71">
      <w:pPr>
        <w:spacing w:after="120"/>
        <w:ind w:left="720"/>
        <w:rPr>
          <w:color w:val="00B050"/>
        </w:rPr>
      </w:pPr>
      <w:r w:rsidRPr="00811D1F">
        <w:rPr>
          <w:color w:val="00B050"/>
        </w:rPr>
        <w:t xml:space="preserve">The baseline incentive for the default protocol will be $30 along with the possibility of a $10 boost incentive applied later in data collection. </w:t>
      </w:r>
    </w:p>
    <w:p w14:paraId="20C60444" w14:textId="76B3413B" w:rsidR="00805C71" w:rsidRPr="00811D1F" w:rsidRDefault="00805C71" w:rsidP="00805C71">
      <w:pPr>
        <w:spacing w:after="120"/>
        <w:ind w:left="720"/>
        <w:rPr>
          <w:color w:val="00B050"/>
        </w:rPr>
      </w:pPr>
      <w:r w:rsidRPr="00811D1F">
        <w:rPr>
          <w:color w:val="00B050"/>
        </w:rPr>
        <w:lastRenderedPageBreak/>
        <w:t xml:space="preserve">The baseline incentive for the aggressive protocol will be $45. The baseline incentive will be paid in addition to a $2 prepaid incentive, and a $20 boost incentive applied later in data collection. The maximum possible total incentive is $40 for the default data collection protocol and $67 for this aggressive data collection protocol. </w:t>
      </w:r>
    </w:p>
    <w:p w14:paraId="55DA76BC" w14:textId="5F1AECA6" w:rsidR="00805C71" w:rsidRPr="00811D1F" w:rsidRDefault="00805C71" w:rsidP="00805C71">
      <w:pPr>
        <w:spacing w:after="120"/>
        <w:ind w:left="720"/>
        <w:rPr>
          <w:color w:val="00B050"/>
        </w:rPr>
      </w:pPr>
      <w:r w:rsidRPr="00811D1F">
        <w:rPr>
          <w:color w:val="00B050"/>
        </w:rPr>
        <w:t>Aggressive protocol prepaid incentives:</w:t>
      </w:r>
    </w:p>
    <w:p w14:paraId="1AFAC6F8" w14:textId="5FB6F0DE" w:rsidR="00811D1F" w:rsidRPr="00811D1F" w:rsidRDefault="00811D1F" w:rsidP="00811D1F">
      <w:pPr>
        <w:spacing w:after="120"/>
        <w:ind w:left="720"/>
        <w:rPr>
          <w:color w:val="00B050"/>
        </w:rPr>
      </w:pPr>
      <w:r w:rsidRPr="00811D1F">
        <w:rPr>
          <w:color w:val="00B050"/>
        </w:rPr>
        <w:t xml:space="preserve">$2 prepaid incentive - cash prepaid incentives have been shown to significantly increase response rates in both interviewer-administered as well as self-administered surveys and hence reduce the potential for nonresponse bias (e.g., Church 1993; Cantor et al. 2008; </w:t>
      </w:r>
      <w:proofErr w:type="spellStart"/>
      <w:r w:rsidRPr="00811D1F">
        <w:rPr>
          <w:color w:val="00B050"/>
        </w:rPr>
        <w:t>Goeritz</w:t>
      </w:r>
      <w:proofErr w:type="spellEnd"/>
      <w:r w:rsidRPr="00811D1F">
        <w:rPr>
          <w:color w:val="00B050"/>
        </w:rPr>
        <w:t xml:space="preserve"> 2006; Medway and Tourangeau 2015; Messer and </w:t>
      </w:r>
      <w:proofErr w:type="spellStart"/>
      <w:r w:rsidRPr="00811D1F">
        <w:rPr>
          <w:color w:val="00B050"/>
        </w:rPr>
        <w:t>Dillman</w:t>
      </w:r>
      <w:proofErr w:type="spellEnd"/>
      <w:r w:rsidRPr="00811D1F">
        <w:rPr>
          <w:color w:val="00B050"/>
        </w:rPr>
        <w:t xml:space="preserve"> 2011; Parsons and </w:t>
      </w:r>
      <w:proofErr w:type="spellStart"/>
      <w:r w:rsidRPr="00811D1F">
        <w:rPr>
          <w:color w:val="00B050"/>
        </w:rPr>
        <w:t>Manierre</w:t>
      </w:r>
      <w:proofErr w:type="spellEnd"/>
      <w:r w:rsidRPr="00811D1F">
        <w:rPr>
          <w:color w:val="00B050"/>
        </w:rPr>
        <w:t xml:space="preserve"> 2014; Singer 2002). During the early completion phase in the B&amp;B:16/17 field test, prepaid incentives ($10 via check or PayPal) in combination with telephone prompting also significantly increased response rates by 4.4 percentage points in the aggressive protocol implemented for prior round nonrespondents. Further, in a B&amp;B:16/20 calibration experiment, the overall response rate for sample members who were given a prepaid incentive in cash </w:t>
      </w:r>
      <w:r w:rsidR="00855DE6">
        <w:rPr>
          <w:color w:val="00B050"/>
        </w:rPr>
        <w:t>was</w:t>
      </w:r>
      <w:r w:rsidRPr="00811D1F">
        <w:rPr>
          <w:color w:val="00B050"/>
        </w:rPr>
        <w:t xml:space="preserve"> not statistically significantly different from those who were prepaid using PayPal, indicating that both prepayment methods can achieve similar response rates (Kirchner et al. 2021). Given these positive findings combined with general recommendations in the literature (e.g., Singer and Ye 2013; </w:t>
      </w:r>
      <w:proofErr w:type="spellStart"/>
      <w:r w:rsidRPr="00811D1F">
        <w:rPr>
          <w:color w:val="00B050"/>
        </w:rPr>
        <w:t>DeBell</w:t>
      </w:r>
      <w:proofErr w:type="spellEnd"/>
      <w:r w:rsidRPr="00811D1F">
        <w:rPr>
          <w:color w:val="00B050"/>
        </w:rPr>
        <w:t xml:space="preserve"> et al. 2019), BPS:20/22 will send all prior round nonrespondents in the aggressive protocol a $2 prepaid "visible" cash incentive and notify them of this prepaid incentive in the data collection announcement letter. Where necessary due to low address quality, a $2 prepaid PayPal incentive announced on a separate index card will be sent in lieu of a cash incentive.</w:t>
      </w:r>
    </w:p>
    <w:p w14:paraId="71D93DEC" w14:textId="0C09789C" w:rsidR="00811D1F" w:rsidRPr="00811D1F" w:rsidRDefault="00811D1F" w:rsidP="00811D1F">
      <w:pPr>
        <w:spacing w:after="120"/>
        <w:ind w:left="720"/>
        <w:rPr>
          <w:color w:val="00B050"/>
        </w:rPr>
      </w:pPr>
      <w:r w:rsidRPr="00811D1F">
        <w:rPr>
          <w:color w:val="00B050"/>
        </w:rPr>
        <w:t xml:space="preserve">$10 and $20 post-paid boost incentive for nonresponse conversion - incentive boosts are successful nonresponse conversion strategies, increasing response rates across various modes of data collection (e.g., Singer and Ye, 2013; Dykema et al., 2015; Stevenson et al., 2016; Lynn, 2017) especially among sample members who have implicitly or explicitly refused to complete the survey (e.g., Groves and </w:t>
      </w:r>
      <w:proofErr w:type="spellStart"/>
      <w:r w:rsidRPr="00811D1F">
        <w:rPr>
          <w:color w:val="00B050"/>
        </w:rPr>
        <w:t>Heeringa</w:t>
      </w:r>
      <w:proofErr w:type="spellEnd"/>
      <w:r w:rsidRPr="00811D1F">
        <w:rPr>
          <w:color w:val="00B050"/>
        </w:rPr>
        <w:t xml:space="preserve"> 2006). Incentive boosts are especially common in large federal surveys during their nonresponse follow-up phase (e.g., The Center for Disease Control and Prevention's National Survey of Family Growth) and have been implemented successfully in other postsecondary education surveys (e.g., HSLS:09 Second Follow-up; BPS:12/17; NPSAS:20). For BPS:20/22, a $20 post-paid incentive boost is planned for all remaining nonrespondents in the aggressive protocol, and $10 for all remaining nonrespondents in the default protocol. This incentive boost will be offered during Production Phase 2 for both protocols. This boost incentive will be offered in addition to the baseline incentive, so the total incentive for completing the survey can include the combined totals of the baseline and boost amounts.</w:t>
      </w:r>
    </w:p>
    <w:p w14:paraId="362975C7" w14:textId="77777777" w:rsidR="00811D1F" w:rsidRPr="00811D1F" w:rsidRDefault="00811D1F" w:rsidP="00811D1F">
      <w:pPr>
        <w:spacing w:after="120"/>
        <w:ind w:left="720"/>
        <w:rPr>
          <w:color w:val="00B050"/>
        </w:rPr>
      </w:pPr>
      <w:r w:rsidRPr="00811D1F">
        <w:rPr>
          <w:color w:val="00B050"/>
        </w:rPr>
        <w:t xml:space="preserve">Prior to the start of data collection, BPS:20/22 sample members will be matched to a federal database maintained by the U.S. Department of the Treasury's Office of Foreign Assets Controls (OFAC). OFAC administers and enforces economic and trade sanctions based on U.S. foreign policy and national security goals. As part of its enforcement efforts, OFAC publishes a list of individuals and companies called the “Specially Designated Nationals List” or SDN. Their assets are </w:t>
      </w:r>
      <w:proofErr w:type="gramStart"/>
      <w:r w:rsidRPr="00811D1F">
        <w:rPr>
          <w:color w:val="00B050"/>
        </w:rPr>
        <w:t>blocked</w:t>
      </w:r>
      <w:proofErr w:type="gramEnd"/>
      <w:r w:rsidRPr="00811D1F">
        <w:rPr>
          <w:color w:val="00B050"/>
        </w:rPr>
        <w:t xml:space="preserve"> and U.S. entities are prohibited from conducting trade or financial transactions with those on the list (https://www.treasury.gov/resource-center/sanctions/Pages/default.aspx). </w:t>
      </w:r>
      <w:proofErr w:type="gramStart"/>
      <w:r w:rsidRPr="00811D1F">
        <w:rPr>
          <w:color w:val="00B050"/>
        </w:rPr>
        <w:t>In order to</w:t>
      </w:r>
      <w:proofErr w:type="gramEnd"/>
      <w:r w:rsidRPr="00811D1F">
        <w:rPr>
          <w:color w:val="00B050"/>
        </w:rPr>
        <w:t xml:space="preserve"> determine if there are any BPS:20/22 sample members to whom NCES cannot offer an incentive, the sample members will be matched to the SDN using the </w:t>
      </w:r>
      <w:proofErr w:type="spellStart"/>
      <w:r w:rsidRPr="00811D1F">
        <w:rPr>
          <w:color w:val="00B050"/>
        </w:rPr>
        <w:t>Jaro</w:t>
      </w:r>
      <w:proofErr w:type="spellEnd"/>
      <w:r w:rsidRPr="00811D1F">
        <w:rPr>
          <w:color w:val="00B050"/>
        </w:rPr>
        <w:t>-Winkler and Soundex algorithms recommended by OFAC. To avoid over-matching, BPS:20/22 staff will review the cases based on full name, date of birth, and address. The small number of individuals who cannot be confirmed as not matching the SDN list will receive a survey request without an incentive offer.</w:t>
      </w:r>
    </w:p>
    <w:p w14:paraId="6F98349F" w14:textId="77777777" w:rsidR="00811D1F" w:rsidRPr="00811D1F" w:rsidRDefault="00811D1F" w:rsidP="00811D1F">
      <w:pPr>
        <w:spacing w:after="120"/>
        <w:ind w:left="720"/>
        <w:rPr>
          <w:color w:val="00B050"/>
        </w:rPr>
      </w:pPr>
      <w:r w:rsidRPr="00811D1F">
        <w:rPr>
          <w:color w:val="00B050"/>
        </w:rPr>
        <w:t xml:space="preserve">The justification for the </w:t>
      </w:r>
      <w:proofErr w:type="gramStart"/>
      <w:r w:rsidRPr="00811D1F">
        <w:rPr>
          <w:color w:val="00B050"/>
        </w:rPr>
        <w:t>aforementioned incentives</w:t>
      </w:r>
      <w:proofErr w:type="gramEnd"/>
      <w:r w:rsidRPr="00811D1F">
        <w:rPr>
          <w:color w:val="00B050"/>
        </w:rPr>
        <w:t xml:space="preserve"> is as follows: The use of incentives for completion of the student survey can provide significant advantages to the government in terms of increased response rates and higher quality data with minimal nonresponse bias. In addition, the use of incentives may also result in decreased data collection costs due to improved efficiency.</w:t>
      </w:r>
    </w:p>
    <w:p w14:paraId="7C43C147" w14:textId="77777777" w:rsidR="00811D1F" w:rsidRPr="00811D1F" w:rsidRDefault="00811D1F" w:rsidP="00811D1F">
      <w:pPr>
        <w:spacing w:after="120"/>
        <w:ind w:left="720"/>
        <w:rPr>
          <w:color w:val="00B050"/>
        </w:rPr>
      </w:pPr>
      <w:r w:rsidRPr="00811D1F">
        <w:rPr>
          <w:color w:val="00B050"/>
        </w:rPr>
        <w:lastRenderedPageBreak/>
        <w:t>The use of incentives for completion of the student survey can provide significant advantages to the government in terms of increased response rates and higher quality data with minimal nonresponse bias. In addition, the use of incentives may also result in decreased data collection costs due to improved efficiency.</w:t>
      </w:r>
    </w:p>
    <w:p w14:paraId="48468576" w14:textId="257BB18A" w:rsidR="00BC0D93" w:rsidRDefault="00B41338" w:rsidP="00811D1F">
      <w:pPr>
        <w:spacing w:after="120"/>
        <w:rPr>
          <w:b/>
        </w:rPr>
      </w:pPr>
      <w:r>
        <w:rPr>
          <w:b/>
        </w:rPr>
        <w:t>Section 10</w:t>
      </w:r>
      <w:r w:rsidR="00375162">
        <w:rPr>
          <w:b/>
        </w:rPr>
        <w:t xml:space="preserve"> -</w:t>
      </w:r>
      <w:r w:rsidR="00BC0D93">
        <w:rPr>
          <w:b/>
        </w:rPr>
        <w:t xml:space="preserve"> </w:t>
      </w:r>
      <w:r w:rsidR="00BC0D93" w:rsidRPr="00BC0D93">
        <w:rPr>
          <w:b/>
        </w:rPr>
        <w:t>Assurance of Confidentiality</w:t>
      </w:r>
      <w:r w:rsidR="00BC0D93">
        <w:rPr>
          <w:b/>
        </w:rPr>
        <w:t xml:space="preserve"> </w:t>
      </w:r>
    </w:p>
    <w:p w14:paraId="2BE5BA90" w14:textId="478B1477" w:rsidR="00B41338" w:rsidRDefault="00B41338" w:rsidP="00F3091E">
      <w:pPr>
        <w:spacing w:after="120"/>
      </w:pPr>
      <w:r>
        <w:t xml:space="preserve">Revisions to the informed consent language that is part of the student survey are included in this section. Minor editorial revisions were made to this section improve clarity. </w:t>
      </w:r>
    </w:p>
    <w:p w14:paraId="3876541D" w14:textId="0E4AA56A" w:rsidR="00B41338" w:rsidRDefault="00B41338" w:rsidP="00F3091E">
      <w:pPr>
        <w:spacing w:after="120"/>
      </w:pPr>
      <w:r>
        <w:t xml:space="preserve">Here is the new informed consent language: </w:t>
      </w:r>
    </w:p>
    <w:p w14:paraId="54D43DF3" w14:textId="1D9742A2" w:rsidR="00B41338" w:rsidRPr="00B41338" w:rsidRDefault="00B41338" w:rsidP="00B41338">
      <w:pPr>
        <w:spacing w:after="120"/>
        <w:ind w:left="720"/>
        <w:rPr>
          <w:color w:val="00B050"/>
        </w:rPr>
      </w:pPr>
      <w:r w:rsidRPr="00B41338">
        <w:rPr>
          <w:color w:val="00B050"/>
        </w:rPr>
        <w:t xml:space="preserve">Recently, we sent you material about the U.S. Department of Education's Beginning Postsecondary Students Longitudinal Study (BPS). </w:t>
      </w:r>
      <w:r w:rsidR="000228B0" w:rsidRPr="000228B0">
        <w:rPr>
          <w:color w:val="00B050"/>
        </w:rPr>
        <w:t>As part of the study, the survey i</w:t>
      </w:r>
      <w:r w:rsidR="000228B0">
        <w:rPr>
          <w:color w:val="00B050"/>
        </w:rPr>
        <w:t xml:space="preserve">s being </w:t>
      </w:r>
      <w:r w:rsidRPr="00B41338">
        <w:rPr>
          <w:color w:val="00B050"/>
        </w:rPr>
        <w:t>conducted to better understand the education and employment experiences of students who began their postsecondary education during the 2019-2020 academic year.</w:t>
      </w:r>
    </w:p>
    <w:p w14:paraId="1D7F09C2" w14:textId="242D665D" w:rsidR="00B41338" w:rsidRPr="00B41338" w:rsidRDefault="00B41338" w:rsidP="00B41338">
      <w:pPr>
        <w:spacing w:after="120"/>
        <w:ind w:left="720"/>
        <w:rPr>
          <w:color w:val="00B050"/>
        </w:rPr>
      </w:pPr>
      <w:r w:rsidRPr="00B41338">
        <w:rPr>
          <w:color w:val="00B050"/>
        </w:rPr>
        <w:t xml:space="preserve">[{If </w:t>
      </w:r>
      <w:r w:rsidR="00375162">
        <w:rPr>
          <w:color w:val="00B050"/>
        </w:rPr>
        <w:t>the respondent is not on the OFAC no-pay list and is a base-year survey nonrespondent</w:t>
      </w:r>
      <w:r w:rsidRPr="00B41338">
        <w:rPr>
          <w:color w:val="00B050"/>
        </w:rPr>
        <w:t xml:space="preserve">} You should have already received a $2 prepaid incentive. If you have not received the $2, please contact our Help Desk toll-free at 1-800-247-6056 for assistance.] [{If </w:t>
      </w:r>
      <w:r w:rsidR="00375162">
        <w:rPr>
          <w:color w:val="00B050"/>
        </w:rPr>
        <w:t>the respondent is on the OFAC no-pay list</w:t>
      </w:r>
      <w:r w:rsidRPr="00B41338">
        <w:rPr>
          <w:color w:val="00B050"/>
        </w:rPr>
        <w:t xml:space="preserve">} The survey takes about [{if </w:t>
      </w:r>
      <w:r w:rsidR="00375162">
        <w:rPr>
          <w:color w:val="00B050"/>
        </w:rPr>
        <w:t>full survey</w:t>
      </w:r>
      <w:r w:rsidRPr="00B41338">
        <w:rPr>
          <w:color w:val="00B050"/>
        </w:rPr>
        <w:t xml:space="preserve">} 30 </w:t>
      </w:r>
      <w:r w:rsidR="00375162">
        <w:rPr>
          <w:color w:val="00B050"/>
        </w:rPr>
        <w:t xml:space="preserve">minutes to complete </w:t>
      </w:r>
      <w:r w:rsidRPr="00B41338">
        <w:rPr>
          <w:color w:val="00B050"/>
        </w:rPr>
        <w:t>{</w:t>
      </w:r>
      <w:r w:rsidR="00375162">
        <w:rPr>
          <w:color w:val="00B050"/>
        </w:rPr>
        <w:t>if abbreviated survey</w:t>
      </w:r>
      <w:r w:rsidRPr="00B41338">
        <w:rPr>
          <w:color w:val="00B050"/>
        </w:rPr>
        <w:t>} 15 minutes to complete</w:t>
      </w:r>
      <w:r w:rsidR="00375162">
        <w:rPr>
          <w:color w:val="00B050"/>
        </w:rPr>
        <w:t>]</w:t>
      </w:r>
      <w:r w:rsidRPr="00B41338">
        <w:rPr>
          <w:color w:val="00B050"/>
        </w:rPr>
        <w:t xml:space="preserve">. {else} The survey takes about [{if </w:t>
      </w:r>
      <w:r w:rsidR="00375162">
        <w:rPr>
          <w:color w:val="00B050"/>
        </w:rPr>
        <w:t>full survey</w:t>
      </w:r>
      <w:r w:rsidRPr="00B41338">
        <w:rPr>
          <w:color w:val="00B050"/>
        </w:rPr>
        <w:t xml:space="preserve">30 </w:t>
      </w:r>
      <w:proofErr w:type="gramStart"/>
      <w:r w:rsidR="00375162">
        <w:rPr>
          <w:color w:val="00B050"/>
        </w:rPr>
        <w:t>minutes</w:t>
      </w:r>
      <w:r w:rsidRPr="00B41338">
        <w:rPr>
          <w:color w:val="00B050"/>
        </w:rPr>
        <w:t>{</w:t>
      </w:r>
      <w:proofErr w:type="gramEnd"/>
      <w:r w:rsidR="00375162">
        <w:rPr>
          <w:color w:val="00B050"/>
        </w:rPr>
        <w:t>if abbreviated survey</w:t>
      </w:r>
      <w:r w:rsidRPr="00B41338">
        <w:rPr>
          <w:color w:val="00B050"/>
        </w:rPr>
        <w:t>} 15 minutes</w:t>
      </w:r>
      <w:r w:rsidR="00375162">
        <w:rPr>
          <w:color w:val="00B050"/>
        </w:rPr>
        <w:t>]</w:t>
      </w:r>
      <w:r w:rsidRPr="00B41338">
        <w:rPr>
          <w:color w:val="00B050"/>
        </w:rPr>
        <w:t xml:space="preserve"> and, as a token of our appreciation, you will receive [{if </w:t>
      </w:r>
      <w:r w:rsidR="00375162">
        <w:rPr>
          <w:color w:val="00B050"/>
        </w:rPr>
        <w:t>respondent is not on the OFAC no-pay list and is a base-year nonrespondent</w:t>
      </w:r>
      <w:r w:rsidRPr="00B41338">
        <w:rPr>
          <w:color w:val="00B050"/>
        </w:rPr>
        <w:t>} an additional] $[INC_AMOUNT] for participating.]</w:t>
      </w:r>
    </w:p>
    <w:p w14:paraId="2DA62088" w14:textId="77777777" w:rsidR="00B41338" w:rsidRPr="00B41338" w:rsidRDefault="00B41338" w:rsidP="00B41338">
      <w:pPr>
        <w:spacing w:after="120"/>
        <w:ind w:left="720"/>
        <w:rPr>
          <w:color w:val="00B050"/>
        </w:rPr>
      </w:pPr>
      <w:r w:rsidRPr="00B41338">
        <w:rPr>
          <w:color w:val="00B050"/>
        </w:rPr>
        <w:t xml:space="preserve">In addition to your survey responses, we collect other enrollment-related data from your institution and sources such as student loan databases and admissions testing agencies. Your responses, combined with any student record information, may be used for statistical </w:t>
      </w:r>
      <w:proofErr w:type="gramStart"/>
      <w:r w:rsidRPr="00B41338">
        <w:rPr>
          <w:color w:val="00B050"/>
        </w:rPr>
        <w:t>purposes</w:t>
      </w:r>
      <w:proofErr w:type="gramEnd"/>
      <w:r w:rsidRPr="00B41338">
        <w:rPr>
          <w:color w:val="00B050"/>
        </w:rPr>
        <w:t xml:space="preserve"> and will not be disclosed, or used, in personally identifiable forms for any other purpose, except as required by law (20 U.S.C. §9573 and 6 U.S.C. §151).</w:t>
      </w:r>
    </w:p>
    <w:p w14:paraId="1FF04CC4" w14:textId="669F1AC7" w:rsidR="00B41338" w:rsidRPr="00B41338" w:rsidRDefault="00B41338" w:rsidP="00B41338">
      <w:pPr>
        <w:spacing w:after="120"/>
        <w:ind w:left="720"/>
        <w:rPr>
          <w:color w:val="00B050"/>
        </w:rPr>
      </w:pPr>
      <w:r w:rsidRPr="00B41338">
        <w:rPr>
          <w:color w:val="00B050"/>
        </w:rPr>
        <w:t>Sometimes there are opportunities for researchers to use data from previous studies or to share data with each other if they are conducting similar research. For these reasons, we may use or share your deidentified data with other researchers. If we do so, we will not contact you to ask for your additional informed consent.</w:t>
      </w:r>
    </w:p>
    <w:p w14:paraId="69028DF3" w14:textId="4EA147BB" w:rsidR="00B41338" w:rsidRPr="00B41338" w:rsidRDefault="00B41338" w:rsidP="00B41338">
      <w:pPr>
        <w:spacing w:after="120"/>
        <w:ind w:left="720"/>
        <w:rPr>
          <w:color w:val="00B050"/>
        </w:rPr>
      </w:pPr>
      <w:r w:rsidRPr="00B41338">
        <w:rPr>
          <w:color w:val="00B050"/>
        </w:rPr>
        <w:t xml:space="preserve">Your participation is voluntary and will not affect any aid or other benefits that you may receive. You may decline to answer any question or stop the survey at any time. The risks of participating in this study are small and relate to data security. We have the following precautions in place - your responses are stored within an enhanced security network, only authorized project staff have access to data, and all staff have participated in privacy training, signed confidentiality agreements, and undergone rigorous background checks. All personally identifiable information will be kept in secure and protected data </w:t>
      </w:r>
      <w:proofErr w:type="gramStart"/>
      <w:r w:rsidRPr="00B41338">
        <w:rPr>
          <w:color w:val="00B050"/>
        </w:rPr>
        <w:t>files, and</w:t>
      </w:r>
      <w:proofErr w:type="gramEnd"/>
      <w:r w:rsidRPr="00B41338">
        <w:rPr>
          <w:color w:val="00B050"/>
        </w:rPr>
        <w:t xml:space="preserve"> will be separate from the responses </w:t>
      </w:r>
      <w:r w:rsidR="000228B0">
        <w:rPr>
          <w:color w:val="00B050"/>
        </w:rPr>
        <w:t>you</w:t>
      </w:r>
      <w:r w:rsidRPr="00B41338">
        <w:rPr>
          <w:color w:val="00B050"/>
        </w:rPr>
        <w:t xml:space="preserve"> provide in this survey.</w:t>
      </w:r>
    </w:p>
    <w:p w14:paraId="76CF0009" w14:textId="4114BF72" w:rsidR="000228B0" w:rsidRPr="000228B0" w:rsidRDefault="000228B0" w:rsidP="000228B0">
      <w:pPr>
        <w:spacing w:after="120"/>
        <w:ind w:left="720"/>
        <w:rPr>
          <w:color w:val="00B050"/>
        </w:rPr>
      </w:pPr>
      <w:r w:rsidRPr="000228B0">
        <w:rPr>
          <w:color w:val="00B050"/>
        </w:rPr>
        <w:t xml:space="preserve">If you </w:t>
      </w:r>
      <w:proofErr w:type="gramStart"/>
      <w:r w:rsidRPr="000228B0">
        <w:rPr>
          <w:color w:val="00B050"/>
        </w:rPr>
        <w:t>are located in</w:t>
      </w:r>
      <w:proofErr w:type="gramEnd"/>
      <w:r w:rsidRPr="000228B0">
        <w:rPr>
          <w:color w:val="00B050"/>
        </w:rPr>
        <w:t xml:space="preserve"> the European Union (EU) or the United Kingdom (UK), you have rights under the EU’s General Data Protection Regulation and the UK Data Protection Act. By providing consent, you agree and understand that your personal information will be transferred to a data center located in the United States.</w:t>
      </w:r>
    </w:p>
    <w:p w14:paraId="5CC65E19" w14:textId="54015480" w:rsidR="000228B0" w:rsidRDefault="000228B0" w:rsidP="000228B0">
      <w:pPr>
        <w:spacing w:after="120"/>
        <w:ind w:left="720"/>
        <w:rPr>
          <w:color w:val="00B050"/>
        </w:rPr>
      </w:pPr>
      <w:r w:rsidRPr="000228B0">
        <w:rPr>
          <w:color w:val="00B050"/>
        </w:rPr>
        <w:t>If you wish to exercise any of your data subjects’ rights or have additional questions regarding the use and protection of your information, or have any questions about the study, you should contact the study director, Michael Bryan, at 800-844-8959. For questions about your rights as a participant, please contact RTI’s Office of Research Protection toll-free at 866-214-2043.</w:t>
      </w:r>
    </w:p>
    <w:p w14:paraId="697496BC" w14:textId="20BBB974" w:rsidR="00B41338" w:rsidRPr="00B41338" w:rsidRDefault="00B41338" w:rsidP="000228B0">
      <w:pPr>
        <w:spacing w:after="120"/>
        <w:ind w:left="720"/>
        <w:rPr>
          <w:color w:val="00B050"/>
        </w:rPr>
      </w:pPr>
      <w:r w:rsidRPr="00B41338">
        <w:rPr>
          <w:color w:val="00B050"/>
        </w:rPr>
        <w:t>To review the letter that we mailed, click here (PDF letter).</w:t>
      </w:r>
    </w:p>
    <w:p w14:paraId="5986CDA0" w14:textId="419A9BED" w:rsidR="00B41338" w:rsidRPr="00B41338" w:rsidRDefault="00B41338" w:rsidP="00B41338">
      <w:pPr>
        <w:spacing w:after="120"/>
        <w:ind w:left="720"/>
        <w:rPr>
          <w:color w:val="00B050"/>
        </w:rPr>
      </w:pPr>
      <w:r w:rsidRPr="00B41338">
        <w:rPr>
          <w:color w:val="00B050"/>
        </w:rPr>
        <w:t>To review the study brochure, click here (PDF brochure).</w:t>
      </w:r>
    </w:p>
    <w:p w14:paraId="34591748" w14:textId="6DD28DE6" w:rsidR="00B41338" w:rsidRPr="00B41338" w:rsidRDefault="00B41338" w:rsidP="00B41338">
      <w:pPr>
        <w:spacing w:after="120"/>
        <w:ind w:left="720"/>
        <w:rPr>
          <w:color w:val="00B050"/>
        </w:rPr>
      </w:pPr>
      <w:r w:rsidRPr="00B41338">
        <w:rPr>
          <w:color w:val="00B050"/>
        </w:rPr>
        <w:lastRenderedPageBreak/>
        <w:t>Do you want to begin the survey now?</w:t>
      </w:r>
    </w:p>
    <w:p w14:paraId="58DEE3B8" w14:textId="77777777" w:rsidR="00B41338" w:rsidRPr="00B41338" w:rsidRDefault="00B41338" w:rsidP="00B41338">
      <w:pPr>
        <w:spacing w:after="120"/>
        <w:ind w:left="720"/>
        <w:rPr>
          <w:color w:val="00B050"/>
        </w:rPr>
      </w:pPr>
      <w:r w:rsidRPr="00B41338">
        <w:rPr>
          <w:color w:val="00B050"/>
        </w:rPr>
        <w:t>Help text:</w:t>
      </w:r>
    </w:p>
    <w:p w14:paraId="537203E0" w14:textId="77777777" w:rsidR="00B41338" w:rsidRPr="00B41338" w:rsidRDefault="00B41338" w:rsidP="00B41338">
      <w:pPr>
        <w:pStyle w:val="ListParagraph"/>
        <w:numPr>
          <w:ilvl w:val="0"/>
          <w:numId w:val="24"/>
        </w:numPr>
        <w:spacing w:after="120"/>
        <w:ind w:left="1440"/>
        <w:rPr>
          <w:color w:val="00B050"/>
        </w:rPr>
      </w:pPr>
      <w:r w:rsidRPr="00B41338">
        <w:rPr>
          <w:color w:val="00B050"/>
        </w:rPr>
        <w:t>You are one of approximately 37,000 students who will be taking part in this study.</w:t>
      </w:r>
    </w:p>
    <w:p w14:paraId="1C21C2B1" w14:textId="77777777" w:rsidR="00B41338" w:rsidRPr="00B41338" w:rsidRDefault="00B41338" w:rsidP="00B41338">
      <w:pPr>
        <w:pStyle w:val="ListParagraph"/>
        <w:numPr>
          <w:ilvl w:val="0"/>
          <w:numId w:val="24"/>
        </w:numPr>
        <w:spacing w:after="120"/>
        <w:ind w:left="1440"/>
        <w:rPr>
          <w:color w:val="00B050"/>
        </w:rPr>
      </w:pPr>
      <w:r w:rsidRPr="00B41338">
        <w:rPr>
          <w:color w:val="00B050"/>
        </w:rPr>
        <w:t xml:space="preserve">The risk of participating in this study is small and relates to data security. However, we have put strict security procedures in place to protect your information. Procedures include: </w:t>
      </w:r>
    </w:p>
    <w:p w14:paraId="354B9D82" w14:textId="77777777" w:rsidR="00B41338" w:rsidRPr="00B41338" w:rsidRDefault="00B41338" w:rsidP="00B41338">
      <w:pPr>
        <w:pStyle w:val="ListParagraph"/>
        <w:numPr>
          <w:ilvl w:val="0"/>
          <w:numId w:val="25"/>
        </w:numPr>
        <w:spacing w:after="120"/>
        <w:ind w:left="1800"/>
        <w:rPr>
          <w:color w:val="00B050"/>
        </w:rPr>
      </w:pPr>
      <w:r w:rsidRPr="00B41338">
        <w:rPr>
          <w:color w:val="00B050"/>
        </w:rPr>
        <w:t xml:space="preserve">Responses are collected and stored on RTI's network which complies with all applicable security and privacy regulations including strong encryption during internet transmission (Secure Sockets Layer (SSL) protocol). </w:t>
      </w:r>
    </w:p>
    <w:p w14:paraId="7BDD249D" w14:textId="77777777" w:rsidR="00B41338" w:rsidRPr="00B41338" w:rsidRDefault="00B41338" w:rsidP="00B41338">
      <w:pPr>
        <w:pStyle w:val="ListParagraph"/>
        <w:numPr>
          <w:ilvl w:val="0"/>
          <w:numId w:val="25"/>
        </w:numPr>
        <w:spacing w:after="120"/>
        <w:ind w:left="1800"/>
        <w:rPr>
          <w:color w:val="00B050"/>
        </w:rPr>
      </w:pPr>
      <w:r w:rsidRPr="00B41338">
        <w:rPr>
          <w:color w:val="00B050"/>
        </w:rPr>
        <w:t xml:space="preserve">All data entry modules are password protected and require the user to log in before accessing confidential data. </w:t>
      </w:r>
    </w:p>
    <w:p w14:paraId="60B88A6E" w14:textId="3B7E6B0A" w:rsidR="00B41338" w:rsidRPr="00B41338" w:rsidRDefault="00B41338" w:rsidP="00B41338">
      <w:pPr>
        <w:pStyle w:val="ListParagraph"/>
        <w:numPr>
          <w:ilvl w:val="0"/>
          <w:numId w:val="25"/>
        </w:numPr>
        <w:spacing w:after="120"/>
        <w:ind w:left="1800"/>
        <w:rPr>
          <w:color w:val="00B050"/>
        </w:rPr>
      </w:pPr>
      <w:r w:rsidRPr="00B41338">
        <w:rPr>
          <w:color w:val="00B050"/>
        </w:rPr>
        <w:t>Project staff are subject to large fines and/or imprisonment if they knowingly publish or communicate any individually identifiable information.</w:t>
      </w:r>
    </w:p>
    <w:p w14:paraId="7716C498" w14:textId="6522189E" w:rsidR="00BC0D93" w:rsidRPr="00BC0D93" w:rsidRDefault="006A2F9A" w:rsidP="00F3091E">
      <w:pPr>
        <w:spacing w:after="120"/>
        <w:rPr>
          <w:b/>
        </w:rPr>
      </w:pPr>
      <w:r>
        <w:rPr>
          <w:b/>
        </w:rPr>
        <w:t>Section 11</w:t>
      </w:r>
      <w:r w:rsidR="00375162">
        <w:rPr>
          <w:b/>
        </w:rPr>
        <w:t xml:space="preserve"> -Sensitive Questions</w:t>
      </w:r>
      <w:r w:rsidR="00F3091E">
        <w:rPr>
          <w:b/>
        </w:rPr>
        <w:t xml:space="preserve"> </w:t>
      </w:r>
    </w:p>
    <w:p w14:paraId="3F80EFA8" w14:textId="59FB600A" w:rsidR="001E765D" w:rsidRDefault="00F3091E" w:rsidP="00F3091E">
      <w:pPr>
        <w:spacing w:after="120"/>
      </w:pPr>
      <w:r w:rsidRPr="00852AD3">
        <w:t xml:space="preserve">This section </w:t>
      </w:r>
      <w:r>
        <w:t xml:space="preserve">has been updated </w:t>
      </w:r>
      <w:r w:rsidRPr="00852AD3">
        <w:t>to</w:t>
      </w:r>
      <w:r>
        <w:t xml:space="preserve"> include reference to </w:t>
      </w:r>
      <w:r w:rsidR="006A2F9A">
        <w:t xml:space="preserve">information collected about student basic needs, mental health during the coronavirus pandemic, and housing security. </w:t>
      </w:r>
      <w:r w:rsidR="00B50C17">
        <w:t>While these items were included in the field test, we add</w:t>
      </w:r>
      <w:r w:rsidR="00A80083">
        <w:t>ed</w:t>
      </w:r>
      <w:r w:rsidR="00B50C17">
        <w:t xml:space="preserve"> information under this section acknowledging the sensitivity of the items.</w:t>
      </w:r>
    </w:p>
    <w:p w14:paraId="5076E45C" w14:textId="71B6B730" w:rsidR="00B50C17" w:rsidRDefault="006A2F9A" w:rsidP="00F3091E">
      <w:pPr>
        <w:spacing w:after="120"/>
      </w:pPr>
      <w:r>
        <w:t xml:space="preserve">The following language </w:t>
      </w:r>
      <w:r w:rsidR="00B50C17">
        <w:t>was added:</w:t>
      </w:r>
    </w:p>
    <w:p w14:paraId="1A63EE67" w14:textId="31D623EB" w:rsidR="006A2F9A" w:rsidRPr="009D3DFC" w:rsidRDefault="006A2F9A" w:rsidP="006A2F9A">
      <w:pPr>
        <w:spacing w:after="120"/>
        <w:ind w:left="720"/>
        <w:rPr>
          <w:color w:val="00B050"/>
        </w:rPr>
      </w:pPr>
      <w:r w:rsidRPr="009D3DFC">
        <w:rPr>
          <w:color w:val="00B050"/>
        </w:rPr>
        <w:t>Homelessness is one indicator of housing security, which is a multidimensional construct. To capture more nuanced information on student housing security, BPS:20/22 will collect additional indicators of housing security such as housing affordability, stability, and safety. The addition of these indicators will allow researchers to understand the impact that housing security can have on student persistence and attainment and other outcomes of interest. The addition of the food security and housing security measures will allow us to use nationally representative data to better understand whether the basic needs of postsecondary students are being met.</w:t>
      </w:r>
    </w:p>
    <w:p w14:paraId="713531E0" w14:textId="77777777" w:rsidR="006A2F9A" w:rsidRPr="009D3DFC" w:rsidRDefault="006A2F9A" w:rsidP="006A2F9A">
      <w:pPr>
        <w:spacing w:after="120"/>
        <w:ind w:left="720"/>
        <w:rPr>
          <w:color w:val="00B050"/>
        </w:rPr>
      </w:pPr>
      <w:r w:rsidRPr="009D3DFC">
        <w:rPr>
          <w:color w:val="00B050"/>
        </w:rPr>
        <w:t>BPS:20/22 will also field items related to student experiences during the coronavirus pandemic. The pandemic caused disruptions to student's academic, social, and personal experiences. Given strong feedback from Technical Review Panel members, student mental health during this period is a key construct of interest. Data will be collected on how the coronavirus pandemic impacted students' levels of stress or anxiety, difficulty concentrating, loneliness or isolation, and feeling down, depressed, or hopeless. Several studies conducted by federal agencies, including the Census, have used similar measures to collect information on experiences during the coronavirus pandemic.</w:t>
      </w:r>
    </w:p>
    <w:p w14:paraId="78E228A7" w14:textId="41A5BF5B" w:rsidR="0072103D" w:rsidRDefault="0072103D" w:rsidP="006A2F9A">
      <w:pPr>
        <w:spacing w:after="120"/>
        <w:rPr>
          <w:b/>
        </w:rPr>
      </w:pPr>
      <w:r>
        <w:rPr>
          <w:b/>
        </w:rPr>
        <w:t>A.1</w:t>
      </w:r>
      <w:r w:rsidR="00B16505">
        <w:rPr>
          <w:b/>
        </w:rPr>
        <w:t>2</w:t>
      </w:r>
      <w:r w:rsidR="00A80083">
        <w:rPr>
          <w:b/>
        </w:rPr>
        <w:t>.</w:t>
      </w:r>
      <w:r>
        <w:rPr>
          <w:b/>
        </w:rPr>
        <w:t xml:space="preserve"> Estimates of Response Burden </w:t>
      </w:r>
    </w:p>
    <w:p w14:paraId="173E916C" w14:textId="14211787" w:rsidR="00712880" w:rsidRDefault="0072103D" w:rsidP="0072103D">
      <w:pPr>
        <w:spacing w:after="200" w:line="276" w:lineRule="auto"/>
      </w:pPr>
      <w:r w:rsidRPr="00852AD3">
        <w:t xml:space="preserve">This section </w:t>
      </w:r>
      <w:r>
        <w:t xml:space="preserve">has been revised </w:t>
      </w:r>
      <w:r w:rsidRPr="00852AD3">
        <w:t xml:space="preserve">to </w:t>
      </w:r>
      <w:r>
        <w:t xml:space="preserve">remove burden associated with data collection activities that were approved in the field test package. The full-scale burden estimates have been updated based on final data collection plans regarding </w:t>
      </w:r>
      <w:r w:rsidR="0045347B">
        <w:t>full-scale data collection and panel maintenance.</w:t>
      </w:r>
    </w:p>
    <w:p w14:paraId="565D8E5C" w14:textId="5558D539" w:rsidR="0072103D" w:rsidRDefault="0072103D" w:rsidP="0072103D">
      <w:pPr>
        <w:spacing w:after="200" w:line="276" w:lineRule="auto"/>
      </w:pPr>
      <w:r>
        <w:t>The full-scale burden estimate is pasted below for reference.</w:t>
      </w:r>
    </w:p>
    <w:p w14:paraId="12878F1A" w14:textId="06B883F1" w:rsidR="0045347B" w:rsidRPr="0045347B" w:rsidRDefault="0045347B" w:rsidP="0045347B">
      <w:pPr>
        <w:pStyle w:val="TableTitle"/>
        <w:ind w:left="0" w:firstLine="0"/>
        <w:rPr>
          <w:color w:val="00B050"/>
        </w:rPr>
      </w:pPr>
      <w:bookmarkStart w:id="0" w:name="_Toc12873147"/>
      <w:bookmarkStart w:id="1" w:name="_Hlk45608388"/>
      <w:r w:rsidRPr="0045347B">
        <w:rPr>
          <w:color w:val="00B050"/>
        </w:rPr>
        <w:t>Table 2. Average estimated maximum burden to student respondents for the BPS:20/22 full-scale data collection</w:t>
      </w:r>
      <w:bookmarkEnd w:id="0"/>
      <w:r w:rsidRPr="0045347B">
        <w:rPr>
          <w:color w:val="00B050"/>
        </w:rPr>
        <w:t xml:space="preserve"> and panel maintenance</w:t>
      </w:r>
    </w:p>
    <w:tbl>
      <w:tblPr>
        <w:tblStyle w:val="TableGrid"/>
        <w:tblW w:w="5144" w:type="pct"/>
        <w:tblInd w:w="-180" w:type="dxa"/>
        <w:tblLayout w:type="fixed"/>
        <w:tblLook w:val="01E0" w:firstRow="1" w:lastRow="1" w:firstColumn="1" w:lastColumn="1" w:noHBand="0" w:noVBand="0"/>
      </w:tblPr>
      <w:tblGrid>
        <w:gridCol w:w="2975"/>
        <w:gridCol w:w="965"/>
        <w:gridCol w:w="1112"/>
        <w:gridCol w:w="1112"/>
        <w:gridCol w:w="1415"/>
        <w:gridCol w:w="1213"/>
        <w:gridCol w:w="1113"/>
        <w:gridCol w:w="910"/>
      </w:tblGrid>
      <w:tr w:rsidR="0045347B" w:rsidRPr="0045347B" w14:paraId="57FA5D51" w14:textId="77777777" w:rsidTr="003205E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650" w:type="dxa"/>
            <w:hideMark/>
          </w:tcPr>
          <w:p w14:paraId="75898387" w14:textId="77777777" w:rsidR="0045347B" w:rsidRPr="0045347B" w:rsidRDefault="0045347B" w:rsidP="003205E2">
            <w:pPr>
              <w:pStyle w:val="Tabletext"/>
              <w:rPr>
                <w:b w:val="0"/>
                <w:color w:val="00B050"/>
                <w:szCs w:val="16"/>
              </w:rPr>
            </w:pPr>
            <w:bookmarkStart w:id="2" w:name="_Hlk12363685"/>
            <w:r w:rsidRPr="0045347B">
              <w:rPr>
                <w:color w:val="00B050"/>
                <w:szCs w:val="16"/>
              </w:rPr>
              <w:t>Data collection activity</w:t>
            </w:r>
          </w:p>
        </w:tc>
        <w:tc>
          <w:tcPr>
            <w:tcW w:w="859" w:type="dxa"/>
            <w:hideMark/>
          </w:tcPr>
          <w:p w14:paraId="3787BCE4" w14:textId="77777777" w:rsidR="0045347B" w:rsidRPr="0045347B" w:rsidRDefault="0045347B" w:rsidP="003205E2">
            <w:pPr>
              <w:pStyle w:val="Tablenumbers"/>
              <w:cnfStyle w:val="100000000000" w:firstRow="1" w:lastRow="0" w:firstColumn="0" w:lastColumn="0" w:oddVBand="0" w:evenVBand="0" w:oddHBand="0" w:evenHBand="0" w:firstRowFirstColumn="0" w:firstRowLastColumn="0" w:lastRowFirstColumn="0" w:lastRowLastColumn="0"/>
              <w:rPr>
                <w:b w:val="0"/>
                <w:color w:val="00B050"/>
                <w:szCs w:val="16"/>
              </w:rPr>
            </w:pPr>
            <w:r w:rsidRPr="0045347B">
              <w:rPr>
                <w:color w:val="00B050"/>
                <w:szCs w:val="16"/>
              </w:rPr>
              <w:t>Sample</w:t>
            </w:r>
          </w:p>
        </w:tc>
        <w:tc>
          <w:tcPr>
            <w:tcW w:w="990" w:type="dxa"/>
            <w:hideMark/>
          </w:tcPr>
          <w:p w14:paraId="6D665190" w14:textId="77777777" w:rsidR="0045347B" w:rsidRPr="0045347B" w:rsidRDefault="0045347B" w:rsidP="003205E2">
            <w:pPr>
              <w:pStyle w:val="Tablenumbers"/>
              <w:cnfStyle w:val="100000000000" w:firstRow="1" w:lastRow="0" w:firstColumn="0" w:lastColumn="0" w:oddVBand="0" w:evenVBand="0" w:oddHBand="0" w:evenHBand="0" w:firstRowFirstColumn="0" w:firstRowLastColumn="0" w:lastRowFirstColumn="0" w:lastRowLastColumn="0"/>
              <w:rPr>
                <w:b w:val="0"/>
                <w:color w:val="00B050"/>
                <w:szCs w:val="16"/>
              </w:rPr>
            </w:pPr>
            <w:r w:rsidRPr="0045347B">
              <w:rPr>
                <w:color w:val="00B050"/>
                <w:szCs w:val="16"/>
              </w:rPr>
              <w:t>Expected eligible</w:t>
            </w:r>
          </w:p>
        </w:tc>
        <w:tc>
          <w:tcPr>
            <w:tcW w:w="990" w:type="dxa"/>
          </w:tcPr>
          <w:p w14:paraId="0954003F" w14:textId="77777777" w:rsidR="0045347B" w:rsidRPr="0045347B" w:rsidRDefault="0045347B" w:rsidP="003205E2">
            <w:pPr>
              <w:pStyle w:val="Tablenumbers"/>
              <w:cnfStyle w:val="100000000000" w:firstRow="1" w:lastRow="0" w:firstColumn="0" w:lastColumn="0" w:oddVBand="0" w:evenVBand="0" w:oddHBand="0" w:evenHBand="0" w:firstRowFirstColumn="0" w:firstRowLastColumn="0" w:lastRowFirstColumn="0" w:lastRowLastColumn="0"/>
              <w:rPr>
                <w:b w:val="0"/>
                <w:color w:val="00B050"/>
                <w:szCs w:val="16"/>
              </w:rPr>
            </w:pPr>
            <w:r w:rsidRPr="0045347B">
              <w:rPr>
                <w:color w:val="00B050"/>
                <w:szCs w:val="16"/>
              </w:rPr>
              <w:t>Expected response rate (percent)</w:t>
            </w:r>
          </w:p>
        </w:tc>
        <w:tc>
          <w:tcPr>
            <w:tcW w:w="1260" w:type="dxa"/>
            <w:hideMark/>
          </w:tcPr>
          <w:p w14:paraId="769A18F8" w14:textId="77777777" w:rsidR="0045347B" w:rsidRPr="0045347B" w:rsidRDefault="0045347B" w:rsidP="003205E2">
            <w:pPr>
              <w:pStyle w:val="Tablenumbers"/>
              <w:cnfStyle w:val="100000000000" w:firstRow="1" w:lastRow="0" w:firstColumn="0" w:lastColumn="0" w:oddVBand="0" w:evenVBand="0" w:oddHBand="0" w:evenHBand="0" w:firstRowFirstColumn="0" w:firstRowLastColumn="0" w:lastRowFirstColumn="0" w:lastRowLastColumn="0"/>
              <w:rPr>
                <w:b w:val="0"/>
                <w:color w:val="00B050"/>
                <w:szCs w:val="16"/>
                <w:vertAlign w:val="superscript"/>
              </w:rPr>
            </w:pPr>
            <w:r w:rsidRPr="0045347B">
              <w:rPr>
                <w:color w:val="00B050"/>
                <w:szCs w:val="16"/>
              </w:rPr>
              <w:t>Expected number of respondents</w:t>
            </w:r>
          </w:p>
        </w:tc>
        <w:tc>
          <w:tcPr>
            <w:tcW w:w="1080" w:type="dxa"/>
            <w:hideMark/>
          </w:tcPr>
          <w:p w14:paraId="10BCE91E" w14:textId="77777777" w:rsidR="0045347B" w:rsidRPr="0045347B" w:rsidRDefault="0045347B" w:rsidP="003205E2">
            <w:pPr>
              <w:pStyle w:val="Tablenumbers"/>
              <w:cnfStyle w:val="100000000000" w:firstRow="1" w:lastRow="0" w:firstColumn="0" w:lastColumn="0" w:oddVBand="0" w:evenVBand="0" w:oddHBand="0" w:evenHBand="0" w:firstRowFirstColumn="0" w:firstRowLastColumn="0" w:lastRowFirstColumn="0" w:lastRowLastColumn="0"/>
              <w:rPr>
                <w:b w:val="0"/>
                <w:color w:val="00B050"/>
                <w:szCs w:val="16"/>
              </w:rPr>
            </w:pPr>
            <w:r w:rsidRPr="0045347B">
              <w:rPr>
                <w:color w:val="00B050"/>
                <w:szCs w:val="16"/>
              </w:rPr>
              <w:t>Expected number of responses</w:t>
            </w:r>
          </w:p>
        </w:tc>
        <w:tc>
          <w:tcPr>
            <w:tcW w:w="991" w:type="dxa"/>
            <w:hideMark/>
          </w:tcPr>
          <w:p w14:paraId="3A47E3AA" w14:textId="77777777" w:rsidR="0045347B" w:rsidRPr="0045347B" w:rsidRDefault="0045347B" w:rsidP="003205E2">
            <w:pPr>
              <w:pStyle w:val="Tablenumbers"/>
              <w:cnfStyle w:val="100000000000" w:firstRow="1" w:lastRow="0" w:firstColumn="0" w:lastColumn="0" w:oddVBand="0" w:evenVBand="0" w:oddHBand="0" w:evenHBand="0" w:firstRowFirstColumn="0" w:firstRowLastColumn="0" w:lastRowFirstColumn="0" w:lastRowLastColumn="0"/>
              <w:rPr>
                <w:b w:val="0"/>
                <w:color w:val="00B050"/>
                <w:szCs w:val="16"/>
              </w:rPr>
            </w:pPr>
            <w:r w:rsidRPr="0045347B">
              <w:rPr>
                <w:color w:val="00B050"/>
                <w:szCs w:val="16"/>
              </w:rPr>
              <w:t>Average time burden per response (mins)</w:t>
            </w:r>
          </w:p>
        </w:tc>
        <w:tc>
          <w:tcPr>
            <w:tcW w:w="810" w:type="dxa"/>
            <w:hideMark/>
          </w:tcPr>
          <w:p w14:paraId="72F5BA56" w14:textId="77777777" w:rsidR="0045347B" w:rsidRPr="0045347B" w:rsidRDefault="0045347B" w:rsidP="003205E2">
            <w:pPr>
              <w:pStyle w:val="Tablenumbers"/>
              <w:cnfStyle w:val="100000000000" w:firstRow="1" w:lastRow="0" w:firstColumn="0" w:lastColumn="0" w:oddVBand="0" w:evenVBand="0" w:oddHBand="0" w:evenHBand="0" w:firstRowFirstColumn="0" w:firstRowLastColumn="0" w:lastRowFirstColumn="0" w:lastRowLastColumn="0"/>
              <w:rPr>
                <w:b w:val="0"/>
                <w:color w:val="00B050"/>
                <w:szCs w:val="16"/>
              </w:rPr>
            </w:pPr>
            <w:r w:rsidRPr="0045347B">
              <w:rPr>
                <w:color w:val="00B050"/>
                <w:szCs w:val="16"/>
              </w:rPr>
              <w:t>Total time burden (hours)</w:t>
            </w:r>
          </w:p>
        </w:tc>
      </w:tr>
      <w:tr w:rsidR="0045347B" w:rsidRPr="0045347B" w14:paraId="17B65F69" w14:textId="77777777" w:rsidTr="003205E2">
        <w:tc>
          <w:tcPr>
            <w:cnfStyle w:val="001000000000" w:firstRow="0" w:lastRow="0" w:firstColumn="1" w:lastColumn="0" w:oddVBand="0" w:evenVBand="0" w:oddHBand="0" w:evenHBand="0" w:firstRowFirstColumn="0" w:firstRowLastColumn="0" w:lastRowFirstColumn="0" w:lastRowLastColumn="0"/>
            <w:tcW w:w="2650" w:type="dxa"/>
          </w:tcPr>
          <w:p w14:paraId="3ADAD1CE" w14:textId="624AF594" w:rsidR="0045347B" w:rsidRPr="0045347B" w:rsidRDefault="0045347B" w:rsidP="003205E2">
            <w:pPr>
              <w:pStyle w:val="2enspsubgroup1"/>
              <w:ind w:left="0" w:firstLine="0"/>
              <w:rPr>
                <w:b/>
                <w:bCs/>
                <w:color w:val="00B050"/>
                <w:szCs w:val="16"/>
              </w:rPr>
            </w:pPr>
            <w:r w:rsidRPr="0045347B">
              <w:rPr>
                <w:b/>
                <w:bCs/>
                <w:color w:val="00B050"/>
                <w:szCs w:val="16"/>
              </w:rPr>
              <w:t>BPS:20/22 full-scale</w:t>
            </w:r>
          </w:p>
        </w:tc>
        <w:tc>
          <w:tcPr>
            <w:tcW w:w="859" w:type="dxa"/>
          </w:tcPr>
          <w:p w14:paraId="77AF9C75"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b/>
                <w:bCs/>
                <w:color w:val="00B050"/>
                <w:szCs w:val="16"/>
              </w:rPr>
            </w:pPr>
          </w:p>
        </w:tc>
        <w:tc>
          <w:tcPr>
            <w:tcW w:w="990" w:type="dxa"/>
          </w:tcPr>
          <w:p w14:paraId="27121F6E"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b/>
                <w:bCs/>
                <w:color w:val="00B050"/>
                <w:szCs w:val="16"/>
              </w:rPr>
            </w:pPr>
          </w:p>
        </w:tc>
        <w:tc>
          <w:tcPr>
            <w:tcW w:w="990" w:type="dxa"/>
          </w:tcPr>
          <w:p w14:paraId="7D4C7A3A"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b/>
                <w:bCs/>
                <w:color w:val="00B050"/>
                <w:szCs w:val="16"/>
              </w:rPr>
            </w:pPr>
          </w:p>
        </w:tc>
        <w:tc>
          <w:tcPr>
            <w:tcW w:w="1260" w:type="dxa"/>
          </w:tcPr>
          <w:p w14:paraId="79F9F6E8"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b/>
                <w:bCs/>
                <w:color w:val="00B050"/>
                <w:szCs w:val="16"/>
              </w:rPr>
            </w:pPr>
          </w:p>
        </w:tc>
        <w:tc>
          <w:tcPr>
            <w:tcW w:w="1080" w:type="dxa"/>
          </w:tcPr>
          <w:p w14:paraId="05821B98"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b/>
                <w:bCs/>
                <w:color w:val="00B050"/>
                <w:szCs w:val="16"/>
              </w:rPr>
            </w:pPr>
          </w:p>
        </w:tc>
        <w:tc>
          <w:tcPr>
            <w:tcW w:w="991" w:type="dxa"/>
          </w:tcPr>
          <w:p w14:paraId="6B694CB0"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b/>
                <w:bCs/>
                <w:color w:val="00B050"/>
                <w:szCs w:val="16"/>
              </w:rPr>
            </w:pPr>
          </w:p>
        </w:tc>
        <w:tc>
          <w:tcPr>
            <w:tcW w:w="810" w:type="dxa"/>
          </w:tcPr>
          <w:p w14:paraId="41AFFE2A"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b/>
                <w:bCs/>
                <w:color w:val="00B050"/>
                <w:szCs w:val="16"/>
              </w:rPr>
            </w:pPr>
          </w:p>
        </w:tc>
      </w:tr>
      <w:tr w:rsidR="0045347B" w:rsidRPr="0045347B" w14:paraId="35A9DDB8" w14:textId="77777777" w:rsidTr="003205E2">
        <w:tc>
          <w:tcPr>
            <w:cnfStyle w:val="001000000000" w:firstRow="0" w:lastRow="0" w:firstColumn="1" w:lastColumn="0" w:oddVBand="0" w:evenVBand="0" w:oddHBand="0" w:evenHBand="0" w:firstRowFirstColumn="0" w:firstRowLastColumn="0" w:lastRowFirstColumn="0" w:lastRowLastColumn="0"/>
            <w:tcW w:w="2650" w:type="dxa"/>
          </w:tcPr>
          <w:p w14:paraId="4A7703EE" w14:textId="77777777" w:rsidR="0045347B" w:rsidRPr="0045347B" w:rsidRDefault="0045347B" w:rsidP="003205E2">
            <w:pPr>
              <w:pStyle w:val="2enspsubgroup1"/>
              <w:ind w:left="0" w:firstLine="0"/>
              <w:rPr>
                <w:color w:val="00B050"/>
                <w:szCs w:val="16"/>
              </w:rPr>
            </w:pPr>
            <w:r w:rsidRPr="0045347B">
              <w:rPr>
                <w:color w:val="00B050"/>
                <w:szCs w:val="16"/>
              </w:rPr>
              <w:t>Panel maintenance (address updates)</w:t>
            </w:r>
            <w:r w:rsidRPr="0045347B">
              <w:rPr>
                <w:color w:val="00B050"/>
                <w:szCs w:val="16"/>
                <w:vertAlign w:val="superscript"/>
              </w:rPr>
              <w:t>1</w:t>
            </w:r>
          </w:p>
        </w:tc>
        <w:tc>
          <w:tcPr>
            <w:tcW w:w="859" w:type="dxa"/>
          </w:tcPr>
          <w:p w14:paraId="52DE918F"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37,330</w:t>
            </w:r>
          </w:p>
        </w:tc>
        <w:tc>
          <w:tcPr>
            <w:tcW w:w="990" w:type="dxa"/>
          </w:tcPr>
          <w:p w14:paraId="3F82FB75"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NA</w:t>
            </w:r>
          </w:p>
        </w:tc>
        <w:tc>
          <w:tcPr>
            <w:tcW w:w="990" w:type="dxa"/>
          </w:tcPr>
          <w:p w14:paraId="1EF58F8C"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15</w:t>
            </w:r>
          </w:p>
        </w:tc>
        <w:tc>
          <w:tcPr>
            <w:tcW w:w="1260" w:type="dxa"/>
          </w:tcPr>
          <w:p w14:paraId="4D90B1BE"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5,600</w:t>
            </w:r>
            <w:r w:rsidRPr="0045347B">
              <w:rPr>
                <w:noProof/>
                <w:color w:val="00B050"/>
                <w:sz w:val="15"/>
                <w:szCs w:val="18"/>
                <w:vertAlign w:val="superscript"/>
              </w:rPr>
              <w:t>3</w:t>
            </w:r>
          </w:p>
        </w:tc>
        <w:tc>
          <w:tcPr>
            <w:tcW w:w="1080" w:type="dxa"/>
          </w:tcPr>
          <w:p w14:paraId="42FFB598"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5,600</w:t>
            </w:r>
          </w:p>
        </w:tc>
        <w:tc>
          <w:tcPr>
            <w:tcW w:w="991" w:type="dxa"/>
          </w:tcPr>
          <w:p w14:paraId="66E64D73"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3</w:t>
            </w:r>
          </w:p>
        </w:tc>
        <w:tc>
          <w:tcPr>
            <w:tcW w:w="810" w:type="dxa"/>
          </w:tcPr>
          <w:p w14:paraId="2C362EB0"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280</w:t>
            </w:r>
          </w:p>
        </w:tc>
      </w:tr>
      <w:tr w:rsidR="0045347B" w:rsidRPr="0045347B" w14:paraId="0599C103" w14:textId="77777777" w:rsidTr="003205E2">
        <w:tc>
          <w:tcPr>
            <w:cnfStyle w:val="001000000000" w:firstRow="0" w:lastRow="0" w:firstColumn="1" w:lastColumn="0" w:oddVBand="0" w:evenVBand="0" w:oddHBand="0" w:evenHBand="0" w:firstRowFirstColumn="0" w:firstRowLastColumn="0" w:lastRowFirstColumn="0" w:lastRowLastColumn="0"/>
            <w:tcW w:w="2650" w:type="dxa"/>
          </w:tcPr>
          <w:p w14:paraId="50ABB622" w14:textId="77777777" w:rsidR="0045347B" w:rsidRPr="0045347B" w:rsidRDefault="0045347B" w:rsidP="003205E2">
            <w:pPr>
              <w:pStyle w:val="2enspsubgroup1"/>
              <w:ind w:left="0" w:firstLine="0"/>
              <w:rPr>
                <w:color w:val="00B050"/>
                <w:szCs w:val="16"/>
              </w:rPr>
            </w:pPr>
          </w:p>
        </w:tc>
        <w:tc>
          <w:tcPr>
            <w:tcW w:w="859" w:type="dxa"/>
          </w:tcPr>
          <w:p w14:paraId="66770B78"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p>
        </w:tc>
        <w:tc>
          <w:tcPr>
            <w:tcW w:w="990" w:type="dxa"/>
          </w:tcPr>
          <w:p w14:paraId="7FFFE19E"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p>
        </w:tc>
        <w:tc>
          <w:tcPr>
            <w:tcW w:w="990" w:type="dxa"/>
          </w:tcPr>
          <w:p w14:paraId="167F613D"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p>
        </w:tc>
        <w:tc>
          <w:tcPr>
            <w:tcW w:w="1260" w:type="dxa"/>
          </w:tcPr>
          <w:p w14:paraId="2FC217EF"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p>
        </w:tc>
        <w:tc>
          <w:tcPr>
            <w:tcW w:w="1080" w:type="dxa"/>
          </w:tcPr>
          <w:p w14:paraId="441CFD32"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p>
        </w:tc>
        <w:tc>
          <w:tcPr>
            <w:tcW w:w="991" w:type="dxa"/>
          </w:tcPr>
          <w:p w14:paraId="272A4B0C"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p>
        </w:tc>
        <w:tc>
          <w:tcPr>
            <w:tcW w:w="810" w:type="dxa"/>
          </w:tcPr>
          <w:p w14:paraId="1C8DC3B5"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p>
        </w:tc>
      </w:tr>
      <w:bookmarkEnd w:id="2"/>
      <w:tr w:rsidR="0045347B" w:rsidRPr="0045347B" w14:paraId="33A6E019" w14:textId="77777777" w:rsidTr="003205E2">
        <w:tc>
          <w:tcPr>
            <w:cnfStyle w:val="001000000000" w:firstRow="0" w:lastRow="0" w:firstColumn="1" w:lastColumn="0" w:oddVBand="0" w:evenVBand="0" w:oddHBand="0" w:evenHBand="0" w:firstRowFirstColumn="0" w:firstRowLastColumn="0" w:lastRowFirstColumn="0" w:lastRowLastColumn="0"/>
            <w:tcW w:w="2650" w:type="dxa"/>
          </w:tcPr>
          <w:p w14:paraId="768E43CA" w14:textId="6318DAB3" w:rsidR="0045347B" w:rsidRPr="0045347B" w:rsidRDefault="0045347B" w:rsidP="003205E2">
            <w:pPr>
              <w:pStyle w:val="2enspsubgroup1"/>
              <w:ind w:left="0" w:firstLine="0"/>
              <w:rPr>
                <w:color w:val="00B050"/>
                <w:szCs w:val="16"/>
              </w:rPr>
            </w:pPr>
            <w:r w:rsidRPr="0045347B">
              <w:rPr>
                <w:color w:val="00B050"/>
                <w:szCs w:val="16"/>
              </w:rPr>
              <w:t>Student survey</w:t>
            </w:r>
          </w:p>
        </w:tc>
        <w:tc>
          <w:tcPr>
            <w:tcW w:w="859" w:type="dxa"/>
          </w:tcPr>
          <w:p w14:paraId="4ACB82F6"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37,330</w:t>
            </w:r>
          </w:p>
        </w:tc>
        <w:tc>
          <w:tcPr>
            <w:tcW w:w="990" w:type="dxa"/>
          </w:tcPr>
          <w:p w14:paraId="7C6BE477"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34,950</w:t>
            </w:r>
          </w:p>
        </w:tc>
        <w:tc>
          <w:tcPr>
            <w:tcW w:w="990" w:type="dxa"/>
          </w:tcPr>
          <w:p w14:paraId="5228A5E9"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72</w:t>
            </w:r>
          </w:p>
        </w:tc>
        <w:tc>
          <w:tcPr>
            <w:tcW w:w="1260" w:type="dxa"/>
          </w:tcPr>
          <w:p w14:paraId="7C71BF12"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25,030</w:t>
            </w:r>
          </w:p>
        </w:tc>
        <w:tc>
          <w:tcPr>
            <w:tcW w:w="1080" w:type="dxa"/>
          </w:tcPr>
          <w:p w14:paraId="32BC172B"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25,030</w:t>
            </w:r>
          </w:p>
        </w:tc>
        <w:tc>
          <w:tcPr>
            <w:tcW w:w="991" w:type="dxa"/>
          </w:tcPr>
          <w:p w14:paraId="74D18963"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30</w:t>
            </w:r>
          </w:p>
        </w:tc>
        <w:tc>
          <w:tcPr>
            <w:tcW w:w="810" w:type="dxa"/>
          </w:tcPr>
          <w:p w14:paraId="259080B8"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12,515</w:t>
            </w:r>
          </w:p>
        </w:tc>
      </w:tr>
      <w:tr w:rsidR="0045347B" w:rsidRPr="0045347B" w14:paraId="274CFE68" w14:textId="77777777" w:rsidTr="003205E2">
        <w:tc>
          <w:tcPr>
            <w:cnfStyle w:val="001000000000" w:firstRow="0" w:lastRow="0" w:firstColumn="1" w:lastColumn="0" w:oddVBand="0" w:evenVBand="0" w:oddHBand="0" w:evenHBand="0" w:firstRowFirstColumn="0" w:firstRowLastColumn="0" w:lastRowFirstColumn="0" w:lastRowLastColumn="0"/>
            <w:tcW w:w="2650" w:type="dxa"/>
          </w:tcPr>
          <w:p w14:paraId="23EFDCFA" w14:textId="77777777" w:rsidR="0045347B" w:rsidRPr="0045347B" w:rsidRDefault="0045347B" w:rsidP="003205E2">
            <w:pPr>
              <w:pStyle w:val="2enspsubgroup1"/>
              <w:ind w:left="0" w:firstLine="0"/>
              <w:rPr>
                <w:color w:val="00B050"/>
                <w:szCs w:val="16"/>
              </w:rPr>
            </w:pPr>
            <w:r w:rsidRPr="0045347B">
              <w:rPr>
                <w:color w:val="00B050"/>
                <w:szCs w:val="16"/>
              </w:rPr>
              <w:lastRenderedPageBreak/>
              <w:t xml:space="preserve">     NPSAS:20 Respondents</w:t>
            </w:r>
          </w:p>
        </w:tc>
        <w:tc>
          <w:tcPr>
            <w:tcW w:w="859" w:type="dxa"/>
          </w:tcPr>
          <w:p w14:paraId="43FD17A5" w14:textId="4B8AEE00"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26,470</w:t>
            </w:r>
          </w:p>
        </w:tc>
        <w:tc>
          <w:tcPr>
            <w:tcW w:w="990" w:type="dxa"/>
          </w:tcPr>
          <w:p w14:paraId="5F80F0F4" w14:textId="2BD96233"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26,470</w:t>
            </w:r>
          </w:p>
        </w:tc>
        <w:tc>
          <w:tcPr>
            <w:tcW w:w="990" w:type="dxa"/>
          </w:tcPr>
          <w:p w14:paraId="70A89C93" w14:textId="4D98FD18"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82</w:t>
            </w:r>
          </w:p>
        </w:tc>
        <w:tc>
          <w:tcPr>
            <w:tcW w:w="1260" w:type="dxa"/>
          </w:tcPr>
          <w:p w14:paraId="0F8BAEBD" w14:textId="01324EE6"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21,710</w:t>
            </w:r>
          </w:p>
        </w:tc>
        <w:tc>
          <w:tcPr>
            <w:tcW w:w="1080" w:type="dxa"/>
          </w:tcPr>
          <w:p w14:paraId="7CBB3B88" w14:textId="0209847B"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21,710</w:t>
            </w:r>
          </w:p>
        </w:tc>
        <w:tc>
          <w:tcPr>
            <w:tcW w:w="991" w:type="dxa"/>
          </w:tcPr>
          <w:p w14:paraId="35E7DD6C"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30</w:t>
            </w:r>
          </w:p>
        </w:tc>
        <w:tc>
          <w:tcPr>
            <w:tcW w:w="810" w:type="dxa"/>
          </w:tcPr>
          <w:p w14:paraId="1B264C62" w14:textId="422C1BA1"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10,855</w:t>
            </w:r>
          </w:p>
        </w:tc>
      </w:tr>
      <w:tr w:rsidR="0045347B" w:rsidRPr="0045347B" w14:paraId="0C4C9151" w14:textId="77777777" w:rsidTr="003205E2">
        <w:tc>
          <w:tcPr>
            <w:cnfStyle w:val="001000000000" w:firstRow="0" w:lastRow="0" w:firstColumn="1" w:lastColumn="0" w:oddVBand="0" w:evenVBand="0" w:oddHBand="0" w:evenHBand="0" w:firstRowFirstColumn="0" w:firstRowLastColumn="0" w:lastRowFirstColumn="0" w:lastRowLastColumn="0"/>
            <w:tcW w:w="2650" w:type="dxa"/>
          </w:tcPr>
          <w:p w14:paraId="4FC8951A" w14:textId="77777777" w:rsidR="0045347B" w:rsidRPr="0045347B" w:rsidRDefault="0045347B" w:rsidP="003205E2">
            <w:pPr>
              <w:pStyle w:val="2enspsubgroup1"/>
              <w:ind w:left="0" w:firstLine="0"/>
              <w:rPr>
                <w:color w:val="00B050"/>
                <w:szCs w:val="16"/>
              </w:rPr>
            </w:pPr>
            <w:r w:rsidRPr="0045347B">
              <w:rPr>
                <w:color w:val="00B050"/>
                <w:szCs w:val="16"/>
              </w:rPr>
              <w:t xml:space="preserve">     NPSAS:20 Nonrespondents</w:t>
            </w:r>
          </w:p>
        </w:tc>
        <w:tc>
          <w:tcPr>
            <w:tcW w:w="859" w:type="dxa"/>
          </w:tcPr>
          <w:p w14:paraId="5D0CDE8F" w14:textId="312CD6A0"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5,510</w:t>
            </w:r>
          </w:p>
        </w:tc>
        <w:tc>
          <w:tcPr>
            <w:tcW w:w="990" w:type="dxa"/>
          </w:tcPr>
          <w:p w14:paraId="51C3052A" w14:textId="20328F45"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4,300</w:t>
            </w:r>
          </w:p>
        </w:tc>
        <w:tc>
          <w:tcPr>
            <w:tcW w:w="990" w:type="dxa"/>
          </w:tcPr>
          <w:p w14:paraId="41AA07B5" w14:textId="4EAF070F"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22</w:t>
            </w:r>
          </w:p>
        </w:tc>
        <w:tc>
          <w:tcPr>
            <w:tcW w:w="1260" w:type="dxa"/>
          </w:tcPr>
          <w:p w14:paraId="32F6705D" w14:textId="2BAE9EBF"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950</w:t>
            </w:r>
          </w:p>
        </w:tc>
        <w:tc>
          <w:tcPr>
            <w:tcW w:w="1080" w:type="dxa"/>
          </w:tcPr>
          <w:p w14:paraId="33416FCF" w14:textId="650CC61F"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950</w:t>
            </w:r>
          </w:p>
        </w:tc>
        <w:tc>
          <w:tcPr>
            <w:tcW w:w="991" w:type="dxa"/>
          </w:tcPr>
          <w:p w14:paraId="706B31BC"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30</w:t>
            </w:r>
          </w:p>
        </w:tc>
        <w:tc>
          <w:tcPr>
            <w:tcW w:w="810" w:type="dxa"/>
          </w:tcPr>
          <w:p w14:paraId="5B5FFBD2" w14:textId="36199111"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475</w:t>
            </w:r>
          </w:p>
        </w:tc>
      </w:tr>
      <w:tr w:rsidR="0045347B" w:rsidRPr="0045347B" w14:paraId="607D31F3" w14:textId="77777777" w:rsidTr="003205E2">
        <w:tc>
          <w:tcPr>
            <w:cnfStyle w:val="001000000000" w:firstRow="0" w:lastRow="0" w:firstColumn="1" w:lastColumn="0" w:oddVBand="0" w:evenVBand="0" w:oddHBand="0" w:evenHBand="0" w:firstRowFirstColumn="0" w:firstRowLastColumn="0" w:lastRowFirstColumn="0" w:lastRowLastColumn="0"/>
            <w:tcW w:w="2650" w:type="dxa"/>
          </w:tcPr>
          <w:p w14:paraId="1432E473" w14:textId="0DDF120B" w:rsidR="0045347B" w:rsidRPr="0045347B" w:rsidRDefault="0045347B" w:rsidP="003205E2">
            <w:pPr>
              <w:pStyle w:val="2enspsubgroup1"/>
              <w:ind w:left="0" w:firstLine="0"/>
              <w:rPr>
                <w:color w:val="00B050"/>
                <w:szCs w:val="16"/>
              </w:rPr>
            </w:pPr>
            <w:r w:rsidRPr="0045347B">
              <w:rPr>
                <w:color w:val="00B050"/>
                <w:szCs w:val="16"/>
              </w:rPr>
              <w:t xml:space="preserve">     NPSAS:20 Administrative-only </w:t>
            </w:r>
          </w:p>
        </w:tc>
        <w:tc>
          <w:tcPr>
            <w:tcW w:w="859" w:type="dxa"/>
          </w:tcPr>
          <w:p w14:paraId="7F72BB9B" w14:textId="41C3F3CE"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5,350</w:t>
            </w:r>
          </w:p>
        </w:tc>
        <w:tc>
          <w:tcPr>
            <w:tcW w:w="990" w:type="dxa"/>
          </w:tcPr>
          <w:p w14:paraId="6F943379" w14:textId="156D0E70"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4,170</w:t>
            </w:r>
          </w:p>
        </w:tc>
        <w:tc>
          <w:tcPr>
            <w:tcW w:w="990" w:type="dxa"/>
          </w:tcPr>
          <w:p w14:paraId="2387A710" w14:textId="13CFA80C"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57</w:t>
            </w:r>
          </w:p>
        </w:tc>
        <w:tc>
          <w:tcPr>
            <w:tcW w:w="1260" w:type="dxa"/>
          </w:tcPr>
          <w:p w14:paraId="2620DF44" w14:textId="206E812B"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2,380</w:t>
            </w:r>
          </w:p>
        </w:tc>
        <w:tc>
          <w:tcPr>
            <w:tcW w:w="1080" w:type="dxa"/>
          </w:tcPr>
          <w:p w14:paraId="5621EDFF" w14:textId="4A5E19EC"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2,380</w:t>
            </w:r>
          </w:p>
        </w:tc>
        <w:tc>
          <w:tcPr>
            <w:tcW w:w="991" w:type="dxa"/>
          </w:tcPr>
          <w:p w14:paraId="6EB4359D"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30</w:t>
            </w:r>
          </w:p>
        </w:tc>
        <w:tc>
          <w:tcPr>
            <w:tcW w:w="810" w:type="dxa"/>
          </w:tcPr>
          <w:p w14:paraId="1279AA0B" w14:textId="171561A2"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1,190</w:t>
            </w:r>
          </w:p>
        </w:tc>
      </w:tr>
      <w:tr w:rsidR="0045347B" w:rsidRPr="0045347B" w14:paraId="530B3574" w14:textId="77777777" w:rsidTr="003205E2">
        <w:tc>
          <w:tcPr>
            <w:cnfStyle w:val="001000000000" w:firstRow="0" w:lastRow="0" w:firstColumn="1" w:lastColumn="0" w:oddVBand="0" w:evenVBand="0" w:oddHBand="0" w:evenHBand="0" w:firstRowFirstColumn="0" w:firstRowLastColumn="0" w:lastRowFirstColumn="0" w:lastRowLastColumn="0"/>
            <w:tcW w:w="2650" w:type="dxa"/>
          </w:tcPr>
          <w:p w14:paraId="3DF21BD5" w14:textId="77777777" w:rsidR="0045347B" w:rsidRPr="0045347B" w:rsidRDefault="0045347B" w:rsidP="003205E2">
            <w:pPr>
              <w:pStyle w:val="2enspsubgroup1"/>
              <w:ind w:left="0" w:firstLine="0"/>
              <w:rPr>
                <w:i/>
                <w:iCs/>
                <w:color w:val="00B050"/>
                <w:szCs w:val="16"/>
              </w:rPr>
            </w:pPr>
          </w:p>
        </w:tc>
        <w:tc>
          <w:tcPr>
            <w:tcW w:w="859" w:type="dxa"/>
          </w:tcPr>
          <w:p w14:paraId="0C228B15"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i/>
                <w:iCs/>
                <w:color w:val="00B050"/>
                <w:szCs w:val="16"/>
              </w:rPr>
            </w:pPr>
          </w:p>
        </w:tc>
        <w:tc>
          <w:tcPr>
            <w:tcW w:w="990" w:type="dxa"/>
          </w:tcPr>
          <w:p w14:paraId="243E49CC"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i/>
                <w:iCs/>
                <w:color w:val="00B050"/>
                <w:szCs w:val="16"/>
              </w:rPr>
            </w:pPr>
          </w:p>
        </w:tc>
        <w:tc>
          <w:tcPr>
            <w:tcW w:w="990" w:type="dxa"/>
          </w:tcPr>
          <w:p w14:paraId="04A1CE30"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i/>
                <w:iCs/>
                <w:color w:val="00B050"/>
                <w:szCs w:val="16"/>
              </w:rPr>
            </w:pPr>
          </w:p>
        </w:tc>
        <w:tc>
          <w:tcPr>
            <w:tcW w:w="1260" w:type="dxa"/>
          </w:tcPr>
          <w:p w14:paraId="4E6FA7F5"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i/>
                <w:iCs/>
                <w:color w:val="00B050"/>
                <w:szCs w:val="16"/>
              </w:rPr>
            </w:pPr>
          </w:p>
        </w:tc>
        <w:tc>
          <w:tcPr>
            <w:tcW w:w="1080" w:type="dxa"/>
          </w:tcPr>
          <w:p w14:paraId="2C8B3567"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i/>
                <w:iCs/>
                <w:color w:val="00B050"/>
                <w:szCs w:val="16"/>
              </w:rPr>
            </w:pPr>
          </w:p>
        </w:tc>
        <w:tc>
          <w:tcPr>
            <w:tcW w:w="991" w:type="dxa"/>
          </w:tcPr>
          <w:p w14:paraId="738C6A43"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i/>
                <w:iCs/>
                <w:color w:val="00B050"/>
                <w:szCs w:val="16"/>
              </w:rPr>
            </w:pPr>
          </w:p>
        </w:tc>
        <w:tc>
          <w:tcPr>
            <w:tcW w:w="810" w:type="dxa"/>
          </w:tcPr>
          <w:p w14:paraId="6CD56EDE"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i/>
                <w:iCs/>
                <w:color w:val="00B050"/>
                <w:szCs w:val="16"/>
              </w:rPr>
            </w:pPr>
          </w:p>
        </w:tc>
      </w:tr>
      <w:tr w:rsidR="0045347B" w:rsidRPr="0045347B" w14:paraId="567AB2D7" w14:textId="77777777" w:rsidTr="003205E2">
        <w:tc>
          <w:tcPr>
            <w:cnfStyle w:val="001000000000" w:firstRow="0" w:lastRow="0" w:firstColumn="1" w:lastColumn="0" w:oddVBand="0" w:evenVBand="0" w:oddHBand="0" w:evenHBand="0" w:firstRowFirstColumn="0" w:firstRowLastColumn="0" w:lastRowFirstColumn="0" w:lastRowLastColumn="0"/>
            <w:tcW w:w="2650" w:type="dxa"/>
          </w:tcPr>
          <w:p w14:paraId="4322D3B5" w14:textId="2A4F30BC" w:rsidR="0045347B" w:rsidRPr="0045347B" w:rsidRDefault="0045347B" w:rsidP="003205E2">
            <w:pPr>
              <w:pStyle w:val="2enspsubgroup1"/>
              <w:ind w:hanging="576"/>
              <w:rPr>
                <w:b/>
                <w:bCs/>
                <w:color w:val="00B050"/>
                <w:szCs w:val="16"/>
              </w:rPr>
            </w:pPr>
            <w:r w:rsidRPr="0045347B">
              <w:rPr>
                <w:b/>
                <w:bCs/>
                <w:color w:val="00B050"/>
                <w:szCs w:val="16"/>
              </w:rPr>
              <w:t>BPS:20/25 field test</w:t>
            </w:r>
          </w:p>
        </w:tc>
        <w:tc>
          <w:tcPr>
            <w:tcW w:w="859" w:type="dxa"/>
          </w:tcPr>
          <w:p w14:paraId="2A208FD0"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p>
        </w:tc>
        <w:tc>
          <w:tcPr>
            <w:tcW w:w="990" w:type="dxa"/>
          </w:tcPr>
          <w:p w14:paraId="3E39D5DC" w14:textId="77777777" w:rsidR="0045347B" w:rsidRPr="0045347B" w:rsidRDefault="0045347B" w:rsidP="003205E2">
            <w:pPr>
              <w:pStyle w:val="Tablenumbers"/>
              <w:jc w:val="center"/>
              <w:cnfStyle w:val="000000000000" w:firstRow="0" w:lastRow="0" w:firstColumn="0" w:lastColumn="0" w:oddVBand="0" w:evenVBand="0" w:oddHBand="0" w:evenHBand="0" w:firstRowFirstColumn="0" w:firstRowLastColumn="0" w:lastRowFirstColumn="0" w:lastRowLastColumn="0"/>
              <w:rPr>
                <w:color w:val="00B050"/>
                <w:szCs w:val="16"/>
              </w:rPr>
            </w:pPr>
          </w:p>
        </w:tc>
        <w:tc>
          <w:tcPr>
            <w:tcW w:w="990" w:type="dxa"/>
          </w:tcPr>
          <w:p w14:paraId="4BCE34B5"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p>
        </w:tc>
        <w:tc>
          <w:tcPr>
            <w:tcW w:w="1260" w:type="dxa"/>
          </w:tcPr>
          <w:p w14:paraId="40C8F126"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p>
        </w:tc>
        <w:tc>
          <w:tcPr>
            <w:tcW w:w="1080" w:type="dxa"/>
          </w:tcPr>
          <w:p w14:paraId="77D82022"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p>
        </w:tc>
        <w:tc>
          <w:tcPr>
            <w:tcW w:w="991" w:type="dxa"/>
          </w:tcPr>
          <w:p w14:paraId="3955B6AE"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p>
        </w:tc>
        <w:tc>
          <w:tcPr>
            <w:tcW w:w="810" w:type="dxa"/>
          </w:tcPr>
          <w:p w14:paraId="284E14A4"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p>
        </w:tc>
      </w:tr>
      <w:tr w:rsidR="0045347B" w:rsidRPr="0045347B" w14:paraId="5524FC24" w14:textId="77777777" w:rsidTr="003205E2">
        <w:tc>
          <w:tcPr>
            <w:cnfStyle w:val="001000000000" w:firstRow="0" w:lastRow="0" w:firstColumn="1" w:lastColumn="0" w:oddVBand="0" w:evenVBand="0" w:oddHBand="0" w:evenHBand="0" w:firstRowFirstColumn="0" w:firstRowLastColumn="0" w:lastRowFirstColumn="0" w:lastRowLastColumn="0"/>
            <w:tcW w:w="2650" w:type="dxa"/>
          </w:tcPr>
          <w:p w14:paraId="3C2BC516" w14:textId="77777777" w:rsidR="0045347B" w:rsidRPr="0045347B" w:rsidRDefault="0045347B" w:rsidP="003205E2">
            <w:pPr>
              <w:pStyle w:val="2enspsubgroup1"/>
              <w:ind w:left="0" w:firstLine="0"/>
              <w:rPr>
                <w:b/>
                <w:bCs/>
                <w:color w:val="00B050"/>
                <w:szCs w:val="16"/>
              </w:rPr>
            </w:pPr>
            <w:r w:rsidRPr="0045347B">
              <w:rPr>
                <w:color w:val="00B050"/>
                <w:szCs w:val="16"/>
              </w:rPr>
              <w:t>Panel maintenance (address updates)</w:t>
            </w:r>
            <w:r w:rsidRPr="0045347B">
              <w:rPr>
                <w:color w:val="00B050"/>
                <w:szCs w:val="16"/>
                <w:vertAlign w:val="superscript"/>
              </w:rPr>
              <w:t>2</w:t>
            </w:r>
          </w:p>
        </w:tc>
        <w:tc>
          <w:tcPr>
            <w:tcW w:w="859" w:type="dxa"/>
          </w:tcPr>
          <w:p w14:paraId="7634B4CE" w14:textId="3B0D6E92"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3,510</w:t>
            </w:r>
          </w:p>
        </w:tc>
        <w:tc>
          <w:tcPr>
            <w:tcW w:w="990" w:type="dxa"/>
          </w:tcPr>
          <w:p w14:paraId="5F093E8A"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NA</w:t>
            </w:r>
          </w:p>
        </w:tc>
        <w:tc>
          <w:tcPr>
            <w:tcW w:w="990" w:type="dxa"/>
          </w:tcPr>
          <w:p w14:paraId="00B13025"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15</w:t>
            </w:r>
          </w:p>
        </w:tc>
        <w:tc>
          <w:tcPr>
            <w:tcW w:w="1260" w:type="dxa"/>
          </w:tcPr>
          <w:p w14:paraId="2890A028" w14:textId="0D579B74"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530</w:t>
            </w:r>
          </w:p>
        </w:tc>
        <w:tc>
          <w:tcPr>
            <w:tcW w:w="1080" w:type="dxa"/>
          </w:tcPr>
          <w:p w14:paraId="4F5CF885" w14:textId="74F35E65"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530</w:t>
            </w:r>
          </w:p>
        </w:tc>
        <w:tc>
          <w:tcPr>
            <w:tcW w:w="991" w:type="dxa"/>
          </w:tcPr>
          <w:p w14:paraId="3CB6F16D"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3</w:t>
            </w:r>
          </w:p>
        </w:tc>
        <w:tc>
          <w:tcPr>
            <w:tcW w:w="810" w:type="dxa"/>
          </w:tcPr>
          <w:p w14:paraId="5158C25B" w14:textId="37793DCE"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27</w:t>
            </w:r>
          </w:p>
        </w:tc>
      </w:tr>
      <w:tr w:rsidR="0045347B" w:rsidRPr="0045347B" w14:paraId="003F5C43" w14:textId="77777777" w:rsidTr="003205E2">
        <w:tc>
          <w:tcPr>
            <w:cnfStyle w:val="001000000000" w:firstRow="0" w:lastRow="0" w:firstColumn="1" w:lastColumn="0" w:oddVBand="0" w:evenVBand="0" w:oddHBand="0" w:evenHBand="0" w:firstRowFirstColumn="0" w:firstRowLastColumn="0" w:lastRowFirstColumn="0" w:lastRowLastColumn="0"/>
            <w:tcW w:w="2650" w:type="dxa"/>
          </w:tcPr>
          <w:p w14:paraId="06E9DE2D" w14:textId="0A0881BB" w:rsidR="0045347B" w:rsidRPr="0045347B" w:rsidRDefault="0045347B" w:rsidP="003205E2">
            <w:pPr>
              <w:pStyle w:val="2enspsubgroup1"/>
              <w:ind w:hanging="501"/>
              <w:rPr>
                <w:color w:val="00B050"/>
                <w:szCs w:val="16"/>
              </w:rPr>
            </w:pPr>
          </w:p>
        </w:tc>
        <w:tc>
          <w:tcPr>
            <w:tcW w:w="859" w:type="dxa"/>
          </w:tcPr>
          <w:p w14:paraId="54FD29CE" w14:textId="03659BF5"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p>
        </w:tc>
        <w:tc>
          <w:tcPr>
            <w:tcW w:w="990" w:type="dxa"/>
          </w:tcPr>
          <w:p w14:paraId="0F39AC4A" w14:textId="6C1CC23E" w:rsidR="0045347B" w:rsidRPr="0045347B" w:rsidRDefault="0045347B" w:rsidP="003205E2">
            <w:pPr>
              <w:pStyle w:val="Tablenumbers"/>
              <w:jc w:val="center"/>
              <w:cnfStyle w:val="000000000000" w:firstRow="0" w:lastRow="0" w:firstColumn="0" w:lastColumn="0" w:oddVBand="0" w:evenVBand="0" w:oddHBand="0" w:evenHBand="0" w:firstRowFirstColumn="0" w:firstRowLastColumn="0" w:lastRowFirstColumn="0" w:lastRowLastColumn="0"/>
              <w:rPr>
                <w:color w:val="00B050"/>
                <w:szCs w:val="16"/>
              </w:rPr>
            </w:pPr>
          </w:p>
        </w:tc>
        <w:tc>
          <w:tcPr>
            <w:tcW w:w="990" w:type="dxa"/>
          </w:tcPr>
          <w:p w14:paraId="32934E4D" w14:textId="2654C63A"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p>
        </w:tc>
        <w:tc>
          <w:tcPr>
            <w:tcW w:w="1260" w:type="dxa"/>
          </w:tcPr>
          <w:p w14:paraId="582FBB62" w14:textId="1D4562BC"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p>
        </w:tc>
        <w:tc>
          <w:tcPr>
            <w:tcW w:w="1080" w:type="dxa"/>
          </w:tcPr>
          <w:p w14:paraId="3A348F85" w14:textId="09E97A9A"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p>
        </w:tc>
        <w:tc>
          <w:tcPr>
            <w:tcW w:w="991" w:type="dxa"/>
          </w:tcPr>
          <w:p w14:paraId="0D72B0E5" w14:textId="5D11112D"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p>
        </w:tc>
        <w:tc>
          <w:tcPr>
            <w:tcW w:w="810" w:type="dxa"/>
          </w:tcPr>
          <w:p w14:paraId="03F8F0ED" w14:textId="72CCE421"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p>
        </w:tc>
      </w:tr>
      <w:tr w:rsidR="0045347B" w:rsidRPr="0045347B" w14:paraId="0F32B408" w14:textId="77777777" w:rsidTr="003205E2">
        <w:tc>
          <w:tcPr>
            <w:cnfStyle w:val="001000000000" w:firstRow="0" w:lastRow="0" w:firstColumn="1" w:lastColumn="0" w:oddVBand="0" w:evenVBand="0" w:oddHBand="0" w:evenHBand="0" w:firstRowFirstColumn="0" w:firstRowLastColumn="0" w:lastRowFirstColumn="0" w:lastRowLastColumn="0"/>
            <w:tcW w:w="2650" w:type="dxa"/>
          </w:tcPr>
          <w:p w14:paraId="12B6C540" w14:textId="77777777" w:rsidR="0045347B" w:rsidRPr="0045347B" w:rsidRDefault="0045347B" w:rsidP="003205E2">
            <w:pPr>
              <w:pStyle w:val="2enspsubgroup1"/>
              <w:rPr>
                <w:color w:val="00B050"/>
                <w:szCs w:val="16"/>
              </w:rPr>
            </w:pPr>
            <w:r w:rsidRPr="0045347B">
              <w:rPr>
                <w:b/>
                <w:bCs/>
                <w:color w:val="00B050"/>
                <w:szCs w:val="16"/>
              </w:rPr>
              <w:t>Total</w:t>
            </w:r>
          </w:p>
        </w:tc>
        <w:tc>
          <w:tcPr>
            <w:tcW w:w="859" w:type="dxa"/>
          </w:tcPr>
          <w:p w14:paraId="08B9D8A8"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p>
        </w:tc>
        <w:tc>
          <w:tcPr>
            <w:tcW w:w="990" w:type="dxa"/>
          </w:tcPr>
          <w:p w14:paraId="5CB9658B" w14:textId="77777777" w:rsidR="0045347B" w:rsidRPr="0045347B" w:rsidRDefault="0045347B" w:rsidP="003205E2">
            <w:pPr>
              <w:pStyle w:val="Tablenumbers"/>
              <w:jc w:val="center"/>
              <w:cnfStyle w:val="000000000000" w:firstRow="0" w:lastRow="0" w:firstColumn="0" w:lastColumn="0" w:oddVBand="0" w:evenVBand="0" w:oddHBand="0" w:evenHBand="0" w:firstRowFirstColumn="0" w:firstRowLastColumn="0" w:lastRowFirstColumn="0" w:lastRowLastColumn="0"/>
              <w:rPr>
                <w:color w:val="00B050"/>
                <w:szCs w:val="16"/>
              </w:rPr>
            </w:pPr>
          </w:p>
        </w:tc>
        <w:tc>
          <w:tcPr>
            <w:tcW w:w="990" w:type="dxa"/>
          </w:tcPr>
          <w:p w14:paraId="4F796E65"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p>
        </w:tc>
        <w:tc>
          <w:tcPr>
            <w:tcW w:w="1260" w:type="dxa"/>
          </w:tcPr>
          <w:p w14:paraId="008CFDEC" w14:textId="1C98A47C"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25,560</w:t>
            </w:r>
          </w:p>
        </w:tc>
        <w:tc>
          <w:tcPr>
            <w:tcW w:w="1080" w:type="dxa"/>
          </w:tcPr>
          <w:p w14:paraId="3BF6096C" w14:textId="409EB021" w:rsidR="0045347B" w:rsidRPr="0045347B" w:rsidRDefault="004875F4"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Pr>
                <w:color w:val="00B050"/>
                <w:szCs w:val="16"/>
              </w:rPr>
              <w:t>25</w:t>
            </w:r>
            <w:r w:rsidR="0045347B" w:rsidRPr="0045347B">
              <w:rPr>
                <w:color w:val="00B050"/>
                <w:szCs w:val="16"/>
              </w:rPr>
              <w:t>,</w:t>
            </w:r>
            <w:r>
              <w:rPr>
                <w:color w:val="00B050"/>
                <w:szCs w:val="16"/>
              </w:rPr>
              <w:t>61</w:t>
            </w:r>
            <w:r w:rsidR="0045347B" w:rsidRPr="0045347B">
              <w:rPr>
                <w:color w:val="00B050"/>
                <w:szCs w:val="16"/>
              </w:rPr>
              <w:t>0</w:t>
            </w:r>
          </w:p>
        </w:tc>
        <w:tc>
          <w:tcPr>
            <w:tcW w:w="991" w:type="dxa"/>
          </w:tcPr>
          <w:p w14:paraId="68D44109" w14:textId="7777777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p>
        </w:tc>
        <w:tc>
          <w:tcPr>
            <w:tcW w:w="810" w:type="dxa"/>
          </w:tcPr>
          <w:p w14:paraId="31CFE28B" w14:textId="4A4A76B7" w:rsidR="0045347B" w:rsidRPr="0045347B" w:rsidRDefault="0045347B" w:rsidP="003205E2">
            <w:pPr>
              <w:pStyle w:val="Tablenumbers"/>
              <w:cnfStyle w:val="000000000000" w:firstRow="0" w:lastRow="0" w:firstColumn="0" w:lastColumn="0" w:oddVBand="0" w:evenVBand="0" w:oddHBand="0" w:evenHBand="0" w:firstRowFirstColumn="0" w:firstRowLastColumn="0" w:lastRowFirstColumn="0" w:lastRowLastColumn="0"/>
              <w:rPr>
                <w:color w:val="00B050"/>
                <w:szCs w:val="16"/>
              </w:rPr>
            </w:pPr>
            <w:r w:rsidRPr="0045347B">
              <w:rPr>
                <w:color w:val="00B050"/>
                <w:szCs w:val="16"/>
              </w:rPr>
              <w:t>12,</w:t>
            </w:r>
            <w:r w:rsidR="004875F4">
              <w:rPr>
                <w:color w:val="00B050"/>
                <w:szCs w:val="16"/>
              </w:rPr>
              <w:t>544</w:t>
            </w:r>
          </w:p>
        </w:tc>
      </w:tr>
    </w:tbl>
    <w:p w14:paraId="77C76E54" w14:textId="14CD8C0B" w:rsidR="0045347B" w:rsidRPr="0045347B" w:rsidRDefault="0045347B" w:rsidP="0045347B">
      <w:pPr>
        <w:rPr>
          <w:rFonts w:ascii="Calibri" w:hAnsi="Calibri" w:cs="Calibri"/>
          <w:color w:val="00B050"/>
          <w:sz w:val="16"/>
          <w:szCs w:val="16"/>
        </w:rPr>
      </w:pPr>
      <w:bookmarkStart w:id="3" w:name="_Toc251941754"/>
      <w:bookmarkStart w:id="4" w:name="_Toc251941845"/>
      <w:bookmarkStart w:id="5" w:name="_Toc251949052"/>
      <w:bookmarkEnd w:id="1"/>
      <w:bookmarkEnd w:id="3"/>
      <w:bookmarkEnd w:id="4"/>
      <w:bookmarkEnd w:id="5"/>
      <w:r w:rsidRPr="0045347B">
        <w:rPr>
          <w:rFonts w:ascii="Calibri" w:hAnsi="Calibri" w:cs="Calibri"/>
          <w:color w:val="00B050"/>
          <w:sz w:val="16"/>
          <w:szCs w:val="16"/>
          <w:vertAlign w:val="superscript"/>
        </w:rPr>
        <w:t>1</w:t>
      </w:r>
      <w:r w:rsidRPr="0045347B">
        <w:rPr>
          <w:rFonts w:ascii="Calibri" w:hAnsi="Calibri" w:cs="Calibri"/>
          <w:color w:val="00B050"/>
          <w:sz w:val="16"/>
          <w:szCs w:val="16"/>
        </w:rPr>
        <w:t xml:space="preserve"> Greyed out rows represent tasks for which burden is not currently being requested. In this case, project burden for the administration of full-scale panel maintenance was approved in the BPS:20/22 field test package, OMB # 1850-0631 v.18. </w:t>
      </w:r>
      <w:r w:rsidR="00B261DB" w:rsidRPr="00B261DB">
        <w:rPr>
          <w:rFonts w:ascii="Calibri" w:hAnsi="Calibri" w:cs="Calibri"/>
          <w:color w:val="00B050"/>
          <w:sz w:val="16"/>
          <w:szCs w:val="16"/>
        </w:rPr>
        <w:t>However, because in v. 18 we estimated 5,550 responses and 278 burden hours associated with this activity and have since revised that estimate slightly upward, a contribution of 50 responses and 2 burden hours from this activity line have been added to the total in this request.</w:t>
      </w:r>
    </w:p>
    <w:p w14:paraId="38E079E9" w14:textId="77777777" w:rsidR="0045347B" w:rsidRPr="0045347B" w:rsidRDefault="0045347B" w:rsidP="0045347B">
      <w:pPr>
        <w:rPr>
          <w:rFonts w:ascii="Calibri" w:hAnsi="Calibri" w:cs="Calibri"/>
          <w:color w:val="00B050"/>
          <w:sz w:val="16"/>
          <w:szCs w:val="16"/>
        </w:rPr>
      </w:pPr>
      <w:r w:rsidRPr="0045347B">
        <w:rPr>
          <w:rFonts w:ascii="Calibri" w:hAnsi="Calibri" w:cs="Calibri"/>
          <w:color w:val="00B050"/>
          <w:sz w:val="16"/>
          <w:szCs w:val="16"/>
          <w:vertAlign w:val="superscript"/>
        </w:rPr>
        <w:t>2</w:t>
      </w:r>
      <w:r w:rsidRPr="0045347B">
        <w:rPr>
          <w:rFonts w:ascii="Calibri" w:hAnsi="Calibri" w:cs="Calibri"/>
          <w:color w:val="00B050"/>
          <w:sz w:val="16"/>
          <w:szCs w:val="16"/>
        </w:rPr>
        <w:t xml:space="preserve"> BPS:20/25 is anticipated but not yet exercised.</w:t>
      </w:r>
    </w:p>
    <w:p w14:paraId="16B1C0FB" w14:textId="2DF157FC" w:rsidR="0045347B" w:rsidRPr="0045347B" w:rsidRDefault="0045347B" w:rsidP="0045347B">
      <w:pPr>
        <w:rPr>
          <w:rFonts w:ascii="Arial" w:hAnsi="Arial" w:cs="Arial"/>
          <w:noProof/>
          <w:color w:val="00B050"/>
          <w:sz w:val="15"/>
          <w:szCs w:val="18"/>
        </w:rPr>
      </w:pPr>
      <w:r w:rsidRPr="0045347B">
        <w:rPr>
          <w:rFonts w:ascii="Arial" w:hAnsi="Arial" w:cs="Arial"/>
          <w:noProof/>
          <w:color w:val="00B050"/>
          <w:sz w:val="15"/>
          <w:szCs w:val="18"/>
          <w:vertAlign w:val="superscript"/>
        </w:rPr>
        <w:t>3</w:t>
      </w:r>
      <w:r w:rsidRPr="0045347B">
        <w:rPr>
          <w:rFonts w:ascii="Arial" w:hAnsi="Arial" w:cs="Arial"/>
          <w:noProof/>
          <w:color w:val="00B050"/>
          <w:sz w:val="15"/>
          <w:szCs w:val="18"/>
        </w:rPr>
        <w:t xml:space="preserve"> The expected numbers of respondents (5,600) is not included in the total count because they</w:t>
      </w:r>
      <w:r w:rsidR="00315D51">
        <w:rPr>
          <w:rFonts w:ascii="Arial" w:hAnsi="Arial" w:cs="Arial"/>
          <w:noProof/>
          <w:color w:val="00B050"/>
          <w:sz w:val="15"/>
          <w:szCs w:val="18"/>
        </w:rPr>
        <w:t xml:space="preserve"> </w:t>
      </w:r>
      <w:r w:rsidRPr="0045347B">
        <w:rPr>
          <w:rFonts w:ascii="Arial" w:hAnsi="Arial" w:cs="Arial"/>
          <w:noProof/>
          <w:color w:val="00B050"/>
          <w:sz w:val="15"/>
          <w:szCs w:val="18"/>
        </w:rPr>
        <w:t xml:space="preserve">are acccounted for in the adjacent student survey respondent cells. These cases are included in the total expected number of responses. </w:t>
      </w:r>
    </w:p>
    <w:p w14:paraId="4BF8E11F" w14:textId="4ACCBE34" w:rsidR="0045347B" w:rsidRDefault="0045347B" w:rsidP="0072103D">
      <w:pPr>
        <w:spacing w:after="200" w:line="276" w:lineRule="auto"/>
      </w:pPr>
    </w:p>
    <w:p w14:paraId="35C97EDB" w14:textId="68F8815B" w:rsidR="0045347B" w:rsidRDefault="0045347B" w:rsidP="0045347B">
      <w:pPr>
        <w:spacing w:after="120"/>
        <w:rPr>
          <w:b/>
        </w:rPr>
      </w:pPr>
      <w:r>
        <w:rPr>
          <w:b/>
        </w:rPr>
        <w:t xml:space="preserve">A.14. </w:t>
      </w:r>
      <w:r w:rsidR="005575A1" w:rsidRPr="005575A1">
        <w:rPr>
          <w:b/>
        </w:rPr>
        <w:t>Annualized Cost to Federal Government</w:t>
      </w:r>
    </w:p>
    <w:p w14:paraId="2D35C9DB" w14:textId="068C934B" w:rsidR="005575A1" w:rsidRDefault="005575A1" w:rsidP="0045347B">
      <w:pPr>
        <w:spacing w:after="120"/>
      </w:pPr>
      <w:r>
        <w:t xml:space="preserve">Table 3 from the field test package was </w:t>
      </w:r>
      <w:r w:rsidR="00BD53EE">
        <w:t xml:space="preserve">moved to section A. 15, and here in section A.14 replaced </w:t>
      </w:r>
      <w:r>
        <w:t xml:space="preserve">with a cost breakdown of the full-scale study in text. </w:t>
      </w:r>
    </w:p>
    <w:p w14:paraId="2E4783B9" w14:textId="1A86620E" w:rsidR="005575A1" w:rsidRDefault="005575A1" w:rsidP="005575A1">
      <w:pPr>
        <w:spacing w:after="200" w:line="276" w:lineRule="auto"/>
      </w:pPr>
      <w:r>
        <w:t>The full-scale cost is pasted below for reference.</w:t>
      </w:r>
    </w:p>
    <w:p w14:paraId="21CDDB9C" w14:textId="77777777" w:rsidR="009D2B54" w:rsidRDefault="00BD53EE" w:rsidP="00BD53EE">
      <w:pPr>
        <w:pStyle w:val="NormalWeb"/>
        <w:rPr>
          <w:color w:val="00B050"/>
        </w:rPr>
      </w:pPr>
      <w:r w:rsidRPr="005346A2">
        <w:rPr>
          <w:color w:val="00B050"/>
        </w:rPr>
        <w:t>The total cost to the federal government for all activities included in this package is $4,680,807. This includes the</w:t>
      </w:r>
      <w:r w:rsidRPr="00BD53EE">
        <w:rPr>
          <w:color w:val="00B050"/>
        </w:rPr>
        <w:t xml:space="preserve"> total cost for the full-scale study, $4,667,607 </w:t>
      </w:r>
      <w:proofErr w:type="gramStart"/>
      <w:r w:rsidRPr="00BD53EE">
        <w:rPr>
          <w:color w:val="00B050"/>
        </w:rPr>
        <w:t>and also</w:t>
      </w:r>
      <w:proofErr w:type="gramEnd"/>
      <w:r w:rsidRPr="00BD53EE">
        <w:rPr>
          <w:color w:val="00B050"/>
        </w:rPr>
        <w:t xml:space="preserve"> the total cost for the field test panel maintenance, $13,200. </w:t>
      </w:r>
    </w:p>
    <w:p w14:paraId="130EBA79" w14:textId="224FBE2F" w:rsidR="009D2B54" w:rsidRPr="00BD53EE" w:rsidRDefault="009D2B54" w:rsidP="009D2B54">
      <w:pPr>
        <w:pStyle w:val="TableTitle"/>
        <w:rPr>
          <w:color w:val="00B050"/>
        </w:rPr>
      </w:pPr>
      <w:bookmarkStart w:id="6" w:name="_Toc2329715"/>
      <w:bookmarkStart w:id="7" w:name="_Toc12873148"/>
      <w:r w:rsidRPr="00BD53EE">
        <w:rPr>
          <w:color w:val="00B050"/>
        </w:rPr>
        <w:t xml:space="preserve">Table 3. Costs to NCES for the </w:t>
      </w:r>
      <w:bookmarkEnd w:id="6"/>
      <w:bookmarkEnd w:id="7"/>
      <w:r w:rsidRPr="00BD53EE">
        <w:rPr>
          <w:color w:val="00B050"/>
        </w:rPr>
        <w:t>2020/22 Beginning Postsecondary Students Full-scale Study</w:t>
      </w:r>
    </w:p>
    <w:tbl>
      <w:tblPr>
        <w:tblStyle w:val="TableGrid"/>
        <w:tblW w:w="4663" w:type="pct"/>
        <w:tblLook w:val="0620" w:firstRow="1" w:lastRow="0" w:firstColumn="0" w:lastColumn="0" w:noHBand="1" w:noVBand="1"/>
      </w:tblPr>
      <w:tblGrid>
        <w:gridCol w:w="4009"/>
        <w:gridCol w:w="5794"/>
      </w:tblGrid>
      <w:tr w:rsidR="009D2B54" w:rsidRPr="00BD53EE" w14:paraId="4C7082C8" w14:textId="77777777" w:rsidTr="00C024B4">
        <w:trPr>
          <w:cnfStyle w:val="100000000000" w:firstRow="1" w:lastRow="0" w:firstColumn="0" w:lastColumn="0" w:oddVBand="0" w:evenVBand="0" w:oddHBand="0" w:evenHBand="0" w:firstRowFirstColumn="0" w:firstRowLastColumn="0" w:lastRowFirstColumn="0" w:lastRowLastColumn="0"/>
        </w:trPr>
        <w:tc>
          <w:tcPr>
            <w:tcW w:w="3570" w:type="dxa"/>
          </w:tcPr>
          <w:p w14:paraId="3714749F" w14:textId="77777777" w:rsidR="009D2B54" w:rsidRPr="00BD53EE" w:rsidRDefault="009D2B54" w:rsidP="00C024B4">
            <w:pPr>
              <w:pStyle w:val="Tableheading"/>
              <w:spacing w:before="0" w:after="0"/>
              <w:jc w:val="left"/>
              <w:rPr>
                <w:b w:val="0"/>
                <w:color w:val="00B050"/>
                <w:szCs w:val="18"/>
              </w:rPr>
            </w:pPr>
            <w:r w:rsidRPr="00BD53EE">
              <w:rPr>
                <w:color w:val="00B050"/>
                <w:szCs w:val="18"/>
              </w:rPr>
              <w:t>BPS:20/22 study implementation</w:t>
            </w:r>
          </w:p>
        </w:tc>
        <w:tc>
          <w:tcPr>
            <w:tcW w:w="5160" w:type="dxa"/>
          </w:tcPr>
          <w:p w14:paraId="26CAC83D" w14:textId="77777777" w:rsidR="009D2B54" w:rsidRPr="00BD53EE" w:rsidRDefault="009D2B54" w:rsidP="00C024B4">
            <w:pPr>
              <w:pStyle w:val="Tablenumbers"/>
              <w:rPr>
                <w:b w:val="0"/>
                <w:color w:val="00B050"/>
                <w:sz w:val="18"/>
                <w:szCs w:val="18"/>
              </w:rPr>
            </w:pPr>
            <w:r w:rsidRPr="00BD53EE">
              <w:rPr>
                <w:color w:val="00B050"/>
                <w:sz w:val="18"/>
                <w:szCs w:val="18"/>
              </w:rPr>
              <w:t>Costs to NCES</w:t>
            </w:r>
          </w:p>
        </w:tc>
      </w:tr>
      <w:tr w:rsidR="009D2B54" w:rsidRPr="00BD53EE" w14:paraId="19F53A4D" w14:textId="77777777" w:rsidTr="00C024B4">
        <w:tc>
          <w:tcPr>
            <w:tcW w:w="3570" w:type="dxa"/>
          </w:tcPr>
          <w:p w14:paraId="13561C75" w14:textId="77777777" w:rsidR="009D2B54" w:rsidRPr="00BD53EE" w:rsidRDefault="009D2B54" w:rsidP="00C024B4">
            <w:pPr>
              <w:pStyle w:val="Tabletext"/>
              <w:spacing w:before="120"/>
              <w:rPr>
                <w:color w:val="00B050"/>
                <w:szCs w:val="18"/>
              </w:rPr>
            </w:pPr>
            <w:bookmarkStart w:id="8" w:name="_Hlk2257877"/>
            <w:r w:rsidRPr="00BD53EE">
              <w:rPr>
                <w:color w:val="00B050"/>
                <w:szCs w:val="18"/>
              </w:rPr>
              <w:t xml:space="preserve">   NCES Salaries and expenses</w:t>
            </w:r>
          </w:p>
        </w:tc>
        <w:tc>
          <w:tcPr>
            <w:tcW w:w="5160" w:type="dxa"/>
          </w:tcPr>
          <w:p w14:paraId="698E7A43" w14:textId="77777777" w:rsidR="009D2B54" w:rsidRPr="00BD53EE" w:rsidRDefault="009D2B54" w:rsidP="00C024B4">
            <w:pPr>
              <w:pStyle w:val="Tablenumbers"/>
              <w:rPr>
                <w:color w:val="00B050"/>
                <w:sz w:val="18"/>
                <w:szCs w:val="18"/>
              </w:rPr>
            </w:pPr>
            <w:r w:rsidRPr="00BD53EE">
              <w:rPr>
                <w:color w:val="00B050"/>
                <w:sz w:val="18"/>
                <w:szCs w:val="18"/>
              </w:rPr>
              <w:t xml:space="preserve">$378,813 </w:t>
            </w:r>
          </w:p>
        </w:tc>
      </w:tr>
      <w:tr w:rsidR="009D2B54" w:rsidRPr="00BD53EE" w14:paraId="6F9A75A6" w14:textId="77777777" w:rsidTr="00C024B4">
        <w:tc>
          <w:tcPr>
            <w:tcW w:w="3570" w:type="dxa"/>
          </w:tcPr>
          <w:p w14:paraId="6FCA6D44" w14:textId="77777777" w:rsidR="009D2B54" w:rsidRPr="00BD53EE" w:rsidRDefault="009D2B54" w:rsidP="00C024B4">
            <w:pPr>
              <w:pStyle w:val="Tabletext"/>
              <w:spacing w:before="120"/>
              <w:rPr>
                <w:color w:val="00B050"/>
                <w:szCs w:val="18"/>
              </w:rPr>
            </w:pPr>
            <w:r w:rsidRPr="00BD53EE">
              <w:rPr>
                <w:b/>
                <w:color w:val="00B050"/>
                <w:szCs w:val="18"/>
              </w:rPr>
              <w:t xml:space="preserve">   BPS:20/22 full-scale student survey</w:t>
            </w:r>
          </w:p>
        </w:tc>
        <w:tc>
          <w:tcPr>
            <w:tcW w:w="5160" w:type="dxa"/>
          </w:tcPr>
          <w:p w14:paraId="43CECCFA" w14:textId="77777777" w:rsidR="009D2B54" w:rsidRPr="00BD53EE" w:rsidRDefault="009D2B54" w:rsidP="00C024B4">
            <w:pPr>
              <w:pStyle w:val="Tablenumbers"/>
              <w:rPr>
                <w:color w:val="00B050"/>
                <w:sz w:val="18"/>
                <w:szCs w:val="18"/>
              </w:rPr>
            </w:pPr>
          </w:p>
        </w:tc>
      </w:tr>
      <w:tr w:rsidR="009D2B54" w:rsidRPr="00BD53EE" w14:paraId="302BBAFA" w14:textId="77777777" w:rsidTr="00C024B4">
        <w:tc>
          <w:tcPr>
            <w:tcW w:w="3570" w:type="dxa"/>
          </w:tcPr>
          <w:p w14:paraId="13A0518D" w14:textId="77777777" w:rsidR="009D2B54" w:rsidRPr="00BD53EE" w:rsidRDefault="009D2B54" w:rsidP="00C024B4">
            <w:pPr>
              <w:pStyle w:val="Tabletext"/>
              <w:rPr>
                <w:color w:val="00B050"/>
                <w:szCs w:val="18"/>
              </w:rPr>
            </w:pPr>
            <w:r w:rsidRPr="00BD53EE">
              <w:rPr>
                <w:color w:val="00B050"/>
                <w:szCs w:val="18"/>
              </w:rPr>
              <w:t xml:space="preserve">   Contract costs</w:t>
            </w:r>
          </w:p>
        </w:tc>
        <w:tc>
          <w:tcPr>
            <w:tcW w:w="5160" w:type="dxa"/>
            <w:shd w:val="clear" w:color="auto" w:fill="auto"/>
          </w:tcPr>
          <w:p w14:paraId="08654599" w14:textId="77777777" w:rsidR="009D2B54" w:rsidRPr="00BD53EE" w:rsidRDefault="009D2B54" w:rsidP="00C024B4">
            <w:pPr>
              <w:pStyle w:val="Tablenumbers"/>
              <w:rPr>
                <w:color w:val="00B050"/>
                <w:sz w:val="18"/>
                <w:szCs w:val="18"/>
              </w:rPr>
            </w:pPr>
            <w:r w:rsidRPr="00BD53EE">
              <w:rPr>
                <w:color w:val="00B050"/>
                <w:sz w:val="18"/>
                <w:szCs w:val="18"/>
              </w:rPr>
              <w:t>$4</w:t>
            </w:r>
            <w:r w:rsidRPr="00BD53EE">
              <w:rPr>
                <w:rFonts w:eastAsia="Calibri"/>
                <w:bCs/>
                <w:color w:val="00B050"/>
                <w:sz w:val="18"/>
                <w:szCs w:val="18"/>
              </w:rPr>
              <w:t>,288,794</w:t>
            </w:r>
          </w:p>
        </w:tc>
      </w:tr>
      <w:tr w:rsidR="009D2B54" w:rsidRPr="00BD53EE" w14:paraId="68F9B605" w14:textId="77777777" w:rsidTr="00C024B4">
        <w:tc>
          <w:tcPr>
            <w:tcW w:w="3570" w:type="dxa"/>
          </w:tcPr>
          <w:p w14:paraId="18B0CBBC" w14:textId="77777777" w:rsidR="009D2B54" w:rsidRPr="00BD53EE" w:rsidRDefault="009D2B54" w:rsidP="00C024B4">
            <w:pPr>
              <w:pStyle w:val="2enspsubgroup1"/>
              <w:rPr>
                <w:color w:val="00B050"/>
                <w:sz w:val="18"/>
                <w:szCs w:val="18"/>
              </w:rPr>
            </w:pPr>
            <w:r w:rsidRPr="00BD53EE">
              <w:rPr>
                <w:color w:val="00B050"/>
                <w:sz w:val="18"/>
                <w:szCs w:val="18"/>
              </w:rPr>
              <w:t xml:space="preserve">  Instrumentation and materials</w:t>
            </w:r>
          </w:p>
        </w:tc>
        <w:tc>
          <w:tcPr>
            <w:tcW w:w="5160" w:type="dxa"/>
          </w:tcPr>
          <w:p w14:paraId="5184A6A4" w14:textId="77777777" w:rsidR="009D2B54" w:rsidRPr="00BD53EE" w:rsidRDefault="009D2B54" w:rsidP="00C024B4">
            <w:pPr>
              <w:pStyle w:val="Tablenumbers"/>
              <w:rPr>
                <w:color w:val="00B050"/>
                <w:sz w:val="18"/>
                <w:szCs w:val="18"/>
              </w:rPr>
            </w:pPr>
            <w:r w:rsidRPr="00BD53EE">
              <w:rPr>
                <w:color w:val="00B050"/>
                <w:sz w:val="18"/>
                <w:szCs w:val="18"/>
              </w:rPr>
              <w:t>$349,553</w:t>
            </w:r>
          </w:p>
        </w:tc>
      </w:tr>
      <w:tr w:rsidR="009D2B54" w:rsidRPr="00BD53EE" w14:paraId="0D33EE18" w14:textId="77777777" w:rsidTr="00C024B4">
        <w:tc>
          <w:tcPr>
            <w:tcW w:w="3570" w:type="dxa"/>
          </w:tcPr>
          <w:p w14:paraId="4EC8D2DB" w14:textId="77777777" w:rsidR="009D2B54" w:rsidRPr="00BD53EE" w:rsidRDefault="009D2B54" w:rsidP="00C024B4">
            <w:pPr>
              <w:pStyle w:val="2enspsubgroup1"/>
              <w:rPr>
                <w:color w:val="00B050"/>
                <w:sz w:val="18"/>
                <w:szCs w:val="18"/>
              </w:rPr>
            </w:pPr>
            <w:r w:rsidRPr="00BD53EE">
              <w:rPr>
                <w:color w:val="00B050"/>
                <w:sz w:val="18"/>
                <w:szCs w:val="18"/>
              </w:rPr>
              <w:t xml:space="preserve">  Data collection</w:t>
            </w:r>
          </w:p>
        </w:tc>
        <w:tc>
          <w:tcPr>
            <w:tcW w:w="5160" w:type="dxa"/>
          </w:tcPr>
          <w:p w14:paraId="094DEAC3" w14:textId="77777777" w:rsidR="009D2B54" w:rsidRPr="00BD53EE" w:rsidRDefault="009D2B54" w:rsidP="00C024B4">
            <w:pPr>
              <w:pStyle w:val="Tablenumbers"/>
              <w:rPr>
                <w:color w:val="00B050"/>
                <w:sz w:val="18"/>
                <w:szCs w:val="18"/>
              </w:rPr>
            </w:pPr>
            <w:r w:rsidRPr="00BD53EE">
              <w:rPr>
                <w:color w:val="00B050"/>
                <w:sz w:val="18"/>
                <w:szCs w:val="18"/>
              </w:rPr>
              <w:t>$2,492,288</w:t>
            </w:r>
          </w:p>
        </w:tc>
      </w:tr>
      <w:tr w:rsidR="009D2B54" w:rsidRPr="00BD53EE" w14:paraId="593E3A93" w14:textId="77777777" w:rsidTr="00C024B4">
        <w:tc>
          <w:tcPr>
            <w:tcW w:w="3570" w:type="dxa"/>
          </w:tcPr>
          <w:p w14:paraId="1C41CB7D" w14:textId="77777777" w:rsidR="009D2B54" w:rsidRPr="00BD53EE" w:rsidRDefault="009D2B54" w:rsidP="00C024B4">
            <w:pPr>
              <w:pStyle w:val="2enspsubgroup1"/>
              <w:rPr>
                <w:color w:val="00B050"/>
                <w:sz w:val="18"/>
                <w:szCs w:val="18"/>
              </w:rPr>
            </w:pPr>
            <w:r w:rsidRPr="00BD53EE">
              <w:rPr>
                <w:color w:val="00B050"/>
                <w:sz w:val="18"/>
                <w:szCs w:val="18"/>
              </w:rPr>
              <w:t xml:space="preserve">  Systems and data processing</w:t>
            </w:r>
          </w:p>
        </w:tc>
        <w:tc>
          <w:tcPr>
            <w:tcW w:w="5160" w:type="dxa"/>
          </w:tcPr>
          <w:p w14:paraId="232839CD" w14:textId="77777777" w:rsidR="009D2B54" w:rsidRPr="00BD53EE" w:rsidRDefault="009D2B54" w:rsidP="00C024B4">
            <w:pPr>
              <w:pStyle w:val="Tablenumbers"/>
              <w:rPr>
                <w:color w:val="00B050"/>
                <w:sz w:val="18"/>
                <w:szCs w:val="18"/>
              </w:rPr>
            </w:pPr>
            <w:r w:rsidRPr="00BD53EE">
              <w:rPr>
                <w:color w:val="00B050"/>
                <w:sz w:val="18"/>
                <w:szCs w:val="18"/>
              </w:rPr>
              <w:t>$979,085</w:t>
            </w:r>
          </w:p>
        </w:tc>
      </w:tr>
      <w:tr w:rsidR="009D2B54" w:rsidRPr="00BD53EE" w14:paraId="125DDDB2" w14:textId="77777777" w:rsidTr="00C024B4">
        <w:tc>
          <w:tcPr>
            <w:tcW w:w="3570" w:type="dxa"/>
          </w:tcPr>
          <w:p w14:paraId="4359EFB8" w14:textId="77777777" w:rsidR="009D2B54" w:rsidRPr="00BD53EE" w:rsidRDefault="009D2B54" w:rsidP="00C024B4">
            <w:pPr>
              <w:pStyle w:val="2enspsubgroup1"/>
              <w:rPr>
                <w:color w:val="00B050"/>
                <w:sz w:val="18"/>
                <w:szCs w:val="18"/>
              </w:rPr>
            </w:pPr>
            <w:r w:rsidRPr="00BD53EE">
              <w:rPr>
                <w:color w:val="00B050"/>
                <w:sz w:val="18"/>
                <w:szCs w:val="18"/>
              </w:rPr>
              <w:t xml:space="preserve">  Planning and documentation</w:t>
            </w:r>
          </w:p>
        </w:tc>
        <w:tc>
          <w:tcPr>
            <w:tcW w:w="5160" w:type="dxa"/>
          </w:tcPr>
          <w:p w14:paraId="6C4E4945" w14:textId="77777777" w:rsidR="009D2B54" w:rsidRPr="00BD53EE" w:rsidRDefault="009D2B54" w:rsidP="00C024B4">
            <w:pPr>
              <w:pStyle w:val="Tablenumbers"/>
              <w:rPr>
                <w:color w:val="00B050"/>
                <w:sz w:val="18"/>
                <w:szCs w:val="18"/>
              </w:rPr>
            </w:pPr>
            <w:r w:rsidRPr="00BD53EE">
              <w:rPr>
                <w:color w:val="00B050"/>
                <w:sz w:val="18"/>
                <w:szCs w:val="18"/>
              </w:rPr>
              <w:t>$467,868</w:t>
            </w:r>
          </w:p>
        </w:tc>
      </w:tr>
      <w:tr w:rsidR="009D2B54" w:rsidRPr="00BD53EE" w14:paraId="6A2E3894" w14:textId="77777777" w:rsidTr="00C024B4">
        <w:tc>
          <w:tcPr>
            <w:tcW w:w="3570" w:type="dxa"/>
          </w:tcPr>
          <w:p w14:paraId="360EB26F" w14:textId="77777777" w:rsidR="009D2B54" w:rsidRPr="00BD53EE" w:rsidRDefault="009D2B54" w:rsidP="00C024B4">
            <w:pPr>
              <w:pStyle w:val="2enspsubgroup1"/>
              <w:rPr>
                <w:color w:val="00B050"/>
                <w:sz w:val="18"/>
                <w:szCs w:val="18"/>
              </w:rPr>
            </w:pPr>
          </w:p>
        </w:tc>
        <w:tc>
          <w:tcPr>
            <w:tcW w:w="5160" w:type="dxa"/>
          </w:tcPr>
          <w:p w14:paraId="6CE00BB6" w14:textId="77777777" w:rsidR="009D2B54" w:rsidRPr="00BD53EE" w:rsidRDefault="009D2B54" w:rsidP="00C024B4">
            <w:pPr>
              <w:pStyle w:val="Tablenumbers"/>
              <w:rPr>
                <w:color w:val="00B050"/>
                <w:sz w:val="18"/>
                <w:szCs w:val="18"/>
              </w:rPr>
            </w:pPr>
          </w:p>
        </w:tc>
      </w:tr>
      <w:tr w:rsidR="009D2B54" w:rsidRPr="00BD53EE" w14:paraId="476BCD9F" w14:textId="77777777" w:rsidTr="00C024B4">
        <w:tc>
          <w:tcPr>
            <w:tcW w:w="3570" w:type="dxa"/>
          </w:tcPr>
          <w:p w14:paraId="0A3D8286" w14:textId="77777777" w:rsidR="009D2B54" w:rsidRPr="00BD53EE" w:rsidRDefault="009D2B54" w:rsidP="00C024B4">
            <w:pPr>
              <w:pStyle w:val="2enspsubgroup1"/>
              <w:ind w:left="346"/>
              <w:rPr>
                <w:color w:val="00B050"/>
                <w:sz w:val="18"/>
                <w:szCs w:val="18"/>
              </w:rPr>
            </w:pPr>
            <w:r w:rsidRPr="00BD53EE">
              <w:rPr>
                <w:b/>
                <w:color w:val="00B050"/>
                <w:sz w:val="18"/>
                <w:szCs w:val="18"/>
              </w:rPr>
              <w:t xml:space="preserve">   BPS:20/25 field test panel maintenance (address updates)</w:t>
            </w:r>
            <w:r w:rsidRPr="00BD53EE">
              <w:rPr>
                <w:b/>
                <w:color w:val="00B050"/>
                <w:sz w:val="18"/>
                <w:szCs w:val="18"/>
                <w:vertAlign w:val="superscript"/>
              </w:rPr>
              <w:t>1</w:t>
            </w:r>
          </w:p>
        </w:tc>
        <w:tc>
          <w:tcPr>
            <w:tcW w:w="5160" w:type="dxa"/>
          </w:tcPr>
          <w:p w14:paraId="74C512B6" w14:textId="77777777" w:rsidR="009D2B54" w:rsidRPr="00BD53EE" w:rsidRDefault="009D2B54" w:rsidP="00C024B4">
            <w:pPr>
              <w:pStyle w:val="Tablenumbers"/>
              <w:rPr>
                <w:color w:val="00B050"/>
                <w:sz w:val="18"/>
                <w:szCs w:val="18"/>
              </w:rPr>
            </w:pPr>
            <w:r w:rsidRPr="00BD53EE">
              <w:rPr>
                <w:color w:val="00B050"/>
                <w:sz w:val="18"/>
                <w:szCs w:val="18"/>
              </w:rPr>
              <w:t>$13,200</w:t>
            </w:r>
          </w:p>
        </w:tc>
      </w:tr>
      <w:tr w:rsidR="009D2B54" w:rsidRPr="00BD53EE" w14:paraId="79297FCA" w14:textId="77777777" w:rsidTr="00C024B4">
        <w:tc>
          <w:tcPr>
            <w:tcW w:w="3570" w:type="dxa"/>
          </w:tcPr>
          <w:p w14:paraId="0DBC3032" w14:textId="77777777" w:rsidR="009D2B54" w:rsidRPr="00BD53EE" w:rsidRDefault="009D2B54" w:rsidP="00C024B4">
            <w:pPr>
              <w:pStyle w:val="2enspsubgroup1"/>
              <w:ind w:left="346"/>
              <w:rPr>
                <w:b/>
                <w:color w:val="00B050"/>
                <w:sz w:val="18"/>
                <w:szCs w:val="18"/>
              </w:rPr>
            </w:pPr>
          </w:p>
        </w:tc>
        <w:tc>
          <w:tcPr>
            <w:tcW w:w="5160" w:type="dxa"/>
          </w:tcPr>
          <w:p w14:paraId="0791A311" w14:textId="77777777" w:rsidR="009D2B54" w:rsidRPr="00BD53EE" w:rsidRDefault="009D2B54" w:rsidP="00C024B4">
            <w:pPr>
              <w:pStyle w:val="Tablenumbers"/>
              <w:rPr>
                <w:color w:val="00B050"/>
                <w:sz w:val="18"/>
                <w:szCs w:val="18"/>
              </w:rPr>
            </w:pPr>
          </w:p>
        </w:tc>
      </w:tr>
      <w:tr w:rsidR="009D2B54" w:rsidRPr="00BD53EE" w14:paraId="4AB23D99" w14:textId="77777777" w:rsidTr="00C024B4">
        <w:tc>
          <w:tcPr>
            <w:tcW w:w="3570" w:type="dxa"/>
          </w:tcPr>
          <w:p w14:paraId="48186690" w14:textId="77777777" w:rsidR="009D2B54" w:rsidRPr="00BD53EE" w:rsidRDefault="009D2B54" w:rsidP="00C024B4">
            <w:pPr>
              <w:pStyle w:val="2enspsubgroup1"/>
              <w:ind w:left="346"/>
              <w:rPr>
                <w:b/>
                <w:color w:val="00B050"/>
                <w:sz w:val="18"/>
                <w:szCs w:val="18"/>
              </w:rPr>
            </w:pPr>
          </w:p>
        </w:tc>
        <w:tc>
          <w:tcPr>
            <w:tcW w:w="5160" w:type="dxa"/>
          </w:tcPr>
          <w:p w14:paraId="6B2377A7" w14:textId="77777777" w:rsidR="009D2B54" w:rsidRPr="00BD53EE" w:rsidRDefault="009D2B54" w:rsidP="00C024B4">
            <w:pPr>
              <w:pStyle w:val="Tablenumbers"/>
              <w:rPr>
                <w:color w:val="00B050"/>
                <w:sz w:val="18"/>
                <w:szCs w:val="18"/>
              </w:rPr>
            </w:pPr>
          </w:p>
        </w:tc>
      </w:tr>
      <w:tr w:rsidR="009D2B54" w:rsidRPr="00BD53EE" w14:paraId="6E7AB52D" w14:textId="77777777" w:rsidTr="00C024B4">
        <w:tc>
          <w:tcPr>
            <w:tcW w:w="3570" w:type="dxa"/>
          </w:tcPr>
          <w:p w14:paraId="32F20135" w14:textId="77777777" w:rsidR="009D2B54" w:rsidRPr="00BD53EE" w:rsidRDefault="009D2B54" w:rsidP="00C024B4">
            <w:pPr>
              <w:pStyle w:val="5ensptotal"/>
              <w:ind w:left="0" w:firstLine="0"/>
              <w:rPr>
                <w:b/>
                <w:color w:val="00B050"/>
                <w:sz w:val="18"/>
                <w:szCs w:val="18"/>
              </w:rPr>
            </w:pPr>
            <w:r w:rsidRPr="00BD53EE">
              <w:rPr>
                <w:b/>
                <w:color w:val="00B050"/>
                <w:sz w:val="18"/>
                <w:szCs w:val="18"/>
              </w:rPr>
              <w:t>Total</w:t>
            </w:r>
          </w:p>
        </w:tc>
        <w:tc>
          <w:tcPr>
            <w:tcW w:w="5160" w:type="dxa"/>
          </w:tcPr>
          <w:p w14:paraId="092513F1" w14:textId="77777777" w:rsidR="009D2B54" w:rsidRPr="00BD53EE" w:rsidRDefault="009D2B54" w:rsidP="00C024B4">
            <w:pPr>
              <w:pStyle w:val="Tablenumbers"/>
              <w:rPr>
                <w:b/>
                <w:color w:val="00B050"/>
                <w:sz w:val="18"/>
                <w:szCs w:val="18"/>
              </w:rPr>
            </w:pPr>
            <w:r w:rsidRPr="00BD53EE">
              <w:rPr>
                <w:b/>
                <w:color w:val="00B050"/>
                <w:sz w:val="18"/>
                <w:szCs w:val="18"/>
              </w:rPr>
              <w:t>$4,680,807</w:t>
            </w:r>
          </w:p>
        </w:tc>
      </w:tr>
    </w:tbl>
    <w:bookmarkEnd w:id="8"/>
    <w:p w14:paraId="74857B20" w14:textId="77777777" w:rsidR="009D2B54" w:rsidRPr="00BD53EE" w:rsidRDefault="009D2B54" w:rsidP="009D2B54">
      <w:pPr>
        <w:pStyle w:val="Tablenotes"/>
        <w:rPr>
          <w:color w:val="00B050"/>
        </w:rPr>
      </w:pPr>
      <w:r w:rsidRPr="00BD53EE">
        <w:rPr>
          <w:color w:val="00B050"/>
          <w:vertAlign w:val="superscript"/>
        </w:rPr>
        <w:t xml:space="preserve">1 </w:t>
      </w:r>
      <w:r w:rsidRPr="00BD53EE">
        <w:rPr>
          <w:rFonts w:ascii="Calibri" w:hAnsi="Calibri" w:cs="Calibri"/>
          <w:color w:val="00B050"/>
          <w:szCs w:val="16"/>
        </w:rPr>
        <w:t>BPS:20/25 is anticipated but not yet exercised.</w:t>
      </w:r>
    </w:p>
    <w:p w14:paraId="07AC2050" w14:textId="7160455F" w:rsidR="00BD53EE" w:rsidRDefault="00BD53EE" w:rsidP="00BD53EE">
      <w:pPr>
        <w:spacing w:after="120"/>
        <w:rPr>
          <w:b/>
        </w:rPr>
      </w:pPr>
      <w:r>
        <w:rPr>
          <w:b/>
        </w:rPr>
        <w:t xml:space="preserve">A.15. </w:t>
      </w:r>
      <w:r w:rsidRPr="00BD53EE">
        <w:rPr>
          <w:b/>
        </w:rPr>
        <w:t>Reasons for Program Changes/Adjustments.</w:t>
      </w:r>
    </w:p>
    <w:p w14:paraId="2BA9A7A9" w14:textId="52E56669" w:rsidR="0045347B" w:rsidRDefault="00BD53EE" w:rsidP="00BD53EE">
      <w:pPr>
        <w:spacing w:after="120"/>
        <w:rPr>
          <w:color w:val="000000"/>
        </w:rPr>
      </w:pPr>
      <w:r>
        <w:rPr>
          <w:color w:val="000000"/>
        </w:rPr>
        <w:t xml:space="preserve">Table 3 from A.14 section of the field test package was moved to A.15 of the full-scale package, with revisions to reflect full-scale adjustments and costs associated with these adjustments. </w:t>
      </w:r>
    </w:p>
    <w:p w14:paraId="2196C9B7" w14:textId="14C37363" w:rsidR="00BD53EE" w:rsidRPr="00BD53EE" w:rsidRDefault="00BD53EE" w:rsidP="00BD53EE">
      <w:pPr>
        <w:spacing w:after="200" w:line="276" w:lineRule="auto"/>
      </w:pPr>
      <w:r>
        <w:t>The full-scale cost table pasted below for reference.</w:t>
      </w:r>
    </w:p>
    <w:p w14:paraId="16600602" w14:textId="6CCB9D51" w:rsidR="00BD53EE" w:rsidRPr="00BD53EE" w:rsidRDefault="00BD53EE" w:rsidP="00BD53EE">
      <w:pPr>
        <w:pStyle w:val="NormalWeb"/>
        <w:rPr>
          <w:color w:val="00B050"/>
        </w:rPr>
      </w:pPr>
      <w:r w:rsidRPr="00BD53EE">
        <w:rPr>
          <w:color w:val="00B050"/>
        </w:rPr>
        <w:t>The total estimated burden time is 12,54</w:t>
      </w:r>
      <w:r w:rsidR="009D2B54">
        <w:rPr>
          <w:color w:val="00B050"/>
        </w:rPr>
        <w:t>4</w:t>
      </w:r>
      <w:r w:rsidRPr="00BD53EE">
        <w:rPr>
          <w:color w:val="00B050"/>
        </w:rPr>
        <w:t xml:space="preserve"> hours.</w:t>
      </w:r>
    </w:p>
    <w:p w14:paraId="75B9B4F9" w14:textId="77777777" w:rsidR="009D2B54" w:rsidRDefault="009D2B54" w:rsidP="00BD53EE">
      <w:pPr>
        <w:spacing w:after="120"/>
        <w:rPr>
          <w:b/>
        </w:rPr>
      </w:pPr>
    </w:p>
    <w:p w14:paraId="16CB754F" w14:textId="683FE178" w:rsidR="00BD53EE" w:rsidRDefault="00BD53EE" w:rsidP="00BD53EE">
      <w:pPr>
        <w:spacing w:after="120"/>
        <w:rPr>
          <w:b/>
        </w:rPr>
      </w:pPr>
      <w:r>
        <w:rPr>
          <w:b/>
        </w:rPr>
        <w:lastRenderedPageBreak/>
        <w:t xml:space="preserve">A.16. </w:t>
      </w:r>
      <w:r w:rsidRPr="00BD53EE">
        <w:rPr>
          <w:b/>
        </w:rPr>
        <w:t>Tabulation and Publication</w:t>
      </w:r>
      <w:r>
        <w:rPr>
          <w:b/>
        </w:rPr>
        <w:t>.</w:t>
      </w:r>
    </w:p>
    <w:p w14:paraId="00BA2AE7" w14:textId="4596B032" w:rsidR="00BD53EE" w:rsidRDefault="00BD53EE" w:rsidP="00BD53EE">
      <w:pPr>
        <w:spacing w:after="120"/>
        <w:rPr>
          <w:color w:val="000000"/>
        </w:rPr>
      </w:pPr>
      <w:r>
        <w:rPr>
          <w:color w:val="000000"/>
        </w:rPr>
        <w:t>Table 4</w:t>
      </w:r>
      <w:r w:rsidR="006E6572">
        <w:rPr>
          <w:color w:val="000000"/>
        </w:rPr>
        <w:t xml:space="preserve"> </w:t>
      </w:r>
      <w:r>
        <w:rPr>
          <w:color w:val="000000"/>
        </w:rPr>
        <w:t>was updated to reflect</w:t>
      </w:r>
      <w:r w:rsidR="006E6572">
        <w:rPr>
          <w:color w:val="000000"/>
        </w:rPr>
        <w:t xml:space="preserve"> dates of full-scale operation. This section also removes reference to documentation regarding </w:t>
      </w:r>
      <w:proofErr w:type="spellStart"/>
      <w:r w:rsidR="006E6572">
        <w:rPr>
          <w:color w:val="000000"/>
        </w:rPr>
        <w:t>DataLab’s</w:t>
      </w:r>
      <w:proofErr w:type="spellEnd"/>
      <w:r w:rsidR="006E6572">
        <w:rPr>
          <w:color w:val="000000"/>
        </w:rPr>
        <w:t xml:space="preserve"> </w:t>
      </w:r>
      <w:proofErr w:type="spellStart"/>
      <w:r w:rsidR="006E6572">
        <w:rPr>
          <w:color w:val="000000"/>
        </w:rPr>
        <w:t>QuickStats</w:t>
      </w:r>
      <w:proofErr w:type="spellEnd"/>
      <w:r w:rsidR="006E6572">
        <w:rPr>
          <w:color w:val="000000"/>
        </w:rPr>
        <w:t>.</w:t>
      </w:r>
    </w:p>
    <w:p w14:paraId="70BD3BCA" w14:textId="0F7E76A8" w:rsidR="006E6572" w:rsidRPr="00BD53EE" w:rsidRDefault="006E6572" w:rsidP="006E6572">
      <w:pPr>
        <w:spacing w:after="200" w:line="276" w:lineRule="auto"/>
      </w:pPr>
      <w:r>
        <w:t>The full-scale operation schedule table is pasted below for reference.</w:t>
      </w:r>
    </w:p>
    <w:p w14:paraId="623D4798" w14:textId="77777777" w:rsidR="006E6572" w:rsidRPr="006E6572" w:rsidRDefault="006E6572" w:rsidP="006E6572">
      <w:pPr>
        <w:pStyle w:val="TableTitle"/>
        <w:rPr>
          <w:color w:val="00B050"/>
        </w:rPr>
      </w:pPr>
      <w:bookmarkStart w:id="9" w:name="_Toc12873149"/>
      <w:r w:rsidRPr="006E6572">
        <w:rPr>
          <w:color w:val="00B050"/>
        </w:rPr>
        <w:t>Table 4.</w:t>
      </w:r>
      <w:r w:rsidRPr="006E6572">
        <w:rPr>
          <w:rFonts w:ascii="Symbol" w:hAnsi="Symbol"/>
          <w:color w:val="00B050"/>
        </w:rPr>
        <w:t></w:t>
      </w:r>
      <w:r w:rsidRPr="006E6572">
        <w:rPr>
          <w:color w:val="00B050"/>
        </w:rPr>
        <w:t xml:space="preserve">Operational schedule for </w:t>
      </w:r>
      <w:bookmarkEnd w:id="9"/>
      <w:r w:rsidRPr="006E6572">
        <w:rPr>
          <w:color w:val="00B050"/>
        </w:rPr>
        <w:t>BPS:20/22 Full-scale Study</w:t>
      </w:r>
    </w:p>
    <w:tbl>
      <w:tblPr>
        <w:tblStyle w:val="TableGrid"/>
        <w:tblW w:w="5103" w:type="pct"/>
        <w:tblInd w:w="-108" w:type="dxa"/>
        <w:tblLook w:val="01E0" w:firstRow="1" w:lastRow="1" w:firstColumn="1" w:lastColumn="1" w:noHBand="0" w:noVBand="0"/>
      </w:tblPr>
      <w:tblGrid>
        <w:gridCol w:w="7337"/>
        <w:gridCol w:w="1569"/>
        <w:gridCol w:w="1823"/>
      </w:tblGrid>
      <w:tr w:rsidR="006E6572" w:rsidRPr="006E6572" w14:paraId="568C063C" w14:textId="77777777" w:rsidTr="003205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533" w:type="dxa"/>
          </w:tcPr>
          <w:p w14:paraId="63F08023" w14:textId="77777777" w:rsidR="006E6572" w:rsidRPr="006E6572" w:rsidRDefault="006E6572" w:rsidP="003205E2">
            <w:pPr>
              <w:pStyle w:val="Tabletext"/>
              <w:rPr>
                <w:b w:val="0"/>
                <w:color w:val="00B050"/>
                <w:szCs w:val="18"/>
              </w:rPr>
            </w:pPr>
          </w:p>
        </w:tc>
        <w:tc>
          <w:tcPr>
            <w:tcW w:w="1397" w:type="dxa"/>
          </w:tcPr>
          <w:p w14:paraId="1C70AA77" w14:textId="77777777" w:rsidR="006E6572" w:rsidRPr="006E6572" w:rsidRDefault="006E6572" w:rsidP="003205E2">
            <w:pPr>
              <w:pStyle w:val="Tablenumbers"/>
              <w:cnfStyle w:val="100000000000" w:firstRow="1" w:lastRow="0" w:firstColumn="0" w:lastColumn="0" w:oddVBand="0" w:evenVBand="0" w:oddHBand="0" w:evenHBand="0" w:firstRowFirstColumn="0" w:firstRowLastColumn="0" w:lastRowFirstColumn="0" w:lastRowLastColumn="0"/>
              <w:rPr>
                <w:b w:val="0"/>
                <w:color w:val="00B050"/>
                <w:sz w:val="18"/>
                <w:szCs w:val="18"/>
              </w:rPr>
            </w:pPr>
            <w:r w:rsidRPr="006E6572">
              <w:rPr>
                <w:color w:val="00B050"/>
                <w:sz w:val="18"/>
                <w:szCs w:val="18"/>
              </w:rPr>
              <w:t>Start date</w:t>
            </w:r>
          </w:p>
        </w:tc>
        <w:tc>
          <w:tcPr>
            <w:tcW w:w="1623" w:type="dxa"/>
          </w:tcPr>
          <w:p w14:paraId="2948525A" w14:textId="77777777" w:rsidR="006E6572" w:rsidRPr="006E6572" w:rsidRDefault="006E6572" w:rsidP="003205E2">
            <w:pPr>
              <w:pStyle w:val="Tablenumbers"/>
              <w:cnfStyle w:val="100000000000" w:firstRow="1" w:lastRow="0" w:firstColumn="0" w:lastColumn="0" w:oddVBand="0" w:evenVBand="0" w:oddHBand="0" w:evenHBand="0" w:firstRowFirstColumn="0" w:firstRowLastColumn="0" w:lastRowFirstColumn="0" w:lastRowLastColumn="0"/>
              <w:rPr>
                <w:b w:val="0"/>
                <w:color w:val="00B050"/>
                <w:sz w:val="18"/>
                <w:szCs w:val="18"/>
              </w:rPr>
            </w:pPr>
            <w:r w:rsidRPr="006E6572">
              <w:rPr>
                <w:color w:val="00B050"/>
                <w:sz w:val="18"/>
                <w:szCs w:val="18"/>
              </w:rPr>
              <w:t>End date</w:t>
            </w:r>
          </w:p>
        </w:tc>
      </w:tr>
      <w:tr w:rsidR="006E6572" w:rsidRPr="006E6572" w14:paraId="40EAB31A" w14:textId="77777777" w:rsidTr="003205E2">
        <w:tc>
          <w:tcPr>
            <w:cnfStyle w:val="001000000000" w:firstRow="0" w:lastRow="0" w:firstColumn="1" w:lastColumn="0" w:oddVBand="0" w:evenVBand="0" w:oddHBand="0" w:evenHBand="0" w:firstRowFirstColumn="0" w:firstRowLastColumn="0" w:lastRowFirstColumn="0" w:lastRowLastColumn="0"/>
            <w:tcW w:w="6533" w:type="dxa"/>
          </w:tcPr>
          <w:p w14:paraId="54D806D5" w14:textId="77777777" w:rsidR="006E6572" w:rsidRPr="006E6572" w:rsidRDefault="006E6572" w:rsidP="003205E2">
            <w:pPr>
              <w:pStyle w:val="Tabletext"/>
              <w:rPr>
                <w:color w:val="00B050"/>
                <w:szCs w:val="18"/>
              </w:rPr>
            </w:pPr>
            <w:r w:rsidRPr="006E6572">
              <w:rPr>
                <w:b/>
                <w:color w:val="00B050"/>
                <w:szCs w:val="18"/>
              </w:rPr>
              <w:t>BPS:20/22 activity</w:t>
            </w:r>
          </w:p>
        </w:tc>
        <w:tc>
          <w:tcPr>
            <w:tcW w:w="1397" w:type="dxa"/>
          </w:tcPr>
          <w:p w14:paraId="7E8B0DD0" w14:textId="77777777" w:rsidR="006E6572" w:rsidRPr="006E6572" w:rsidRDefault="006E6572" w:rsidP="003205E2">
            <w:pPr>
              <w:pStyle w:val="Tablenumbers"/>
              <w:cnfStyle w:val="000000000000" w:firstRow="0" w:lastRow="0" w:firstColumn="0" w:lastColumn="0" w:oddVBand="0" w:evenVBand="0" w:oddHBand="0" w:evenHBand="0" w:firstRowFirstColumn="0" w:firstRowLastColumn="0" w:lastRowFirstColumn="0" w:lastRowLastColumn="0"/>
              <w:rPr>
                <w:color w:val="00B050"/>
                <w:sz w:val="18"/>
                <w:szCs w:val="18"/>
              </w:rPr>
            </w:pPr>
          </w:p>
        </w:tc>
        <w:tc>
          <w:tcPr>
            <w:tcW w:w="1623" w:type="dxa"/>
          </w:tcPr>
          <w:p w14:paraId="379DEF1B" w14:textId="77777777" w:rsidR="006E6572" w:rsidRPr="006E6572" w:rsidRDefault="006E6572" w:rsidP="003205E2">
            <w:pPr>
              <w:pStyle w:val="Tablenumbers"/>
              <w:cnfStyle w:val="000000000000" w:firstRow="0" w:lastRow="0" w:firstColumn="0" w:lastColumn="0" w:oddVBand="0" w:evenVBand="0" w:oddHBand="0" w:evenHBand="0" w:firstRowFirstColumn="0" w:firstRowLastColumn="0" w:lastRowFirstColumn="0" w:lastRowLastColumn="0"/>
              <w:rPr>
                <w:color w:val="00B050"/>
                <w:sz w:val="18"/>
                <w:szCs w:val="18"/>
              </w:rPr>
            </w:pPr>
          </w:p>
        </w:tc>
      </w:tr>
      <w:tr w:rsidR="006E6572" w:rsidRPr="006E6572" w14:paraId="1D8196EB" w14:textId="77777777" w:rsidTr="003205E2">
        <w:tc>
          <w:tcPr>
            <w:cnfStyle w:val="001000000000" w:firstRow="0" w:lastRow="0" w:firstColumn="1" w:lastColumn="0" w:oddVBand="0" w:evenVBand="0" w:oddHBand="0" w:evenHBand="0" w:firstRowFirstColumn="0" w:firstRowLastColumn="0" w:lastRowFirstColumn="0" w:lastRowLastColumn="0"/>
            <w:tcW w:w="6533" w:type="dxa"/>
          </w:tcPr>
          <w:p w14:paraId="06E5D38D" w14:textId="6CABE395" w:rsidR="006E6572" w:rsidRPr="006E6572" w:rsidRDefault="006E6572" w:rsidP="003205E2">
            <w:pPr>
              <w:pStyle w:val="Tabletext"/>
              <w:rPr>
                <w:color w:val="00B050"/>
                <w:szCs w:val="18"/>
              </w:rPr>
            </w:pPr>
            <w:r w:rsidRPr="006E6572">
              <w:rPr>
                <w:color w:val="00B050"/>
                <w:szCs w:val="18"/>
              </w:rPr>
              <w:t>Full-scale study</w:t>
            </w:r>
          </w:p>
        </w:tc>
        <w:tc>
          <w:tcPr>
            <w:tcW w:w="1397" w:type="dxa"/>
          </w:tcPr>
          <w:p w14:paraId="39F1794D" w14:textId="77777777" w:rsidR="006E6572" w:rsidRPr="006E6572" w:rsidRDefault="006E6572" w:rsidP="003205E2">
            <w:pPr>
              <w:pStyle w:val="Tablenumbers"/>
              <w:cnfStyle w:val="000000000000" w:firstRow="0" w:lastRow="0" w:firstColumn="0" w:lastColumn="0" w:oddVBand="0" w:evenVBand="0" w:oddHBand="0" w:evenHBand="0" w:firstRowFirstColumn="0" w:firstRowLastColumn="0" w:lastRowFirstColumn="0" w:lastRowLastColumn="0"/>
              <w:rPr>
                <w:color w:val="00B050"/>
                <w:sz w:val="18"/>
                <w:szCs w:val="18"/>
              </w:rPr>
            </w:pPr>
          </w:p>
        </w:tc>
        <w:tc>
          <w:tcPr>
            <w:tcW w:w="1623" w:type="dxa"/>
          </w:tcPr>
          <w:p w14:paraId="7FC757D6" w14:textId="77777777" w:rsidR="006E6572" w:rsidRPr="006E6572" w:rsidRDefault="006E6572" w:rsidP="003205E2">
            <w:pPr>
              <w:pStyle w:val="Tablenumbers"/>
              <w:cnfStyle w:val="000000000000" w:firstRow="0" w:lastRow="0" w:firstColumn="0" w:lastColumn="0" w:oddVBand="0" w:evenVBand="0" w:oddHBand="0" w:evenHBand="0" w:firstRowFirstColumn="0" w:firstRowLastColumn="0" w:lastRowFirstColumn="0" w:lastRowLastColumn="0"/>
              <w:rPr>
                <w:color w:val="00B050"/>
                <w:sz w:val="18"/>
                <w:szCs w:val="18"/>
              </w:rPr>
            </w:pPr>
          </w:p>
        </w:tc>
      </w:tr>
      <w:tr w:rsidR="006E6572" w:rsidRPr="006E6572" w14:paraId="119CD7FD" w14:textId="77777777" w:rsidTr="003205E2">
        <w:tc>
          <w:tcPr>
            <w:cnfStyle w:val="001000000000" w:firstRow="0" w:lastRow="0" w:firstColumn="1" w:lastColumn="0" w:oddVBand="0" w:evenVBand="0" w:oddHBand="0" w:evenHBand="0" w:firstRowFirstColumn="0" w:firstRowLastColumn="0" w:lastRowFirstColumn="0" w:lastRowLastColumn="0"/>
            <w:tcW w:w="6533" w:type="dxa"/>
          </w:tcPr>
          <w:p w14:paraId="0F8777B0" w14:textId="77777777" w:rsidR="006E6572" w:rsidRPr="006E6572" w:rsidRDefault="006E6572" w:rsidP="003205E2">
            <w:pPr>
              <w:pStyle w:val="4enspsubgroup2"/>
              <w:keepNext/>
              <w:ind w:left="576" w:hanging="346"/>
              <w:rPr>
                <w:color w:val="00B050"/>
                <w:sz w:val="18"/>
                <w:szCs w:val="18"/>
              </w:rPr>
            </w:pPr>
            <w:r w:rsidRPr="006E6572">
              <w:rPr>
                <w:color w:val="00B050"/>
                <w:sz w:val="18"/>
                <w:szCs w:val="18"/>
              </w:rPr>
              <w:t>Select student sample</w:t>
            </w:r>
          </w:p>
        </w:tc>
        <w:tc>
          <w:tcPr>
            <w:tcW w:w="1397" w:type="dxa"/>
          </w:tcPr>
          <w:p w14:paraId="5B0744E5" w14:textId="481C39DB" w:rsidR="006E6572" w:rsidRPr="006E6572" w:rsidRDefault="006E6572" w:rsidP="003205E2">
            <w:pPr>
              <w:pStyle w:val="Tablenumbers"/>
              <w:cnfStyle w:val="000000000000" w:firstRow="0" w:lastRow="0" w:firstColumn="0" w:lastColumn="0" w:oddVBand="0" w:evenVBand="0" w:oddHBand="0" w:evenHBand="0" w:firstRowFirstColumn="0" w:firstRowLastColumn="0" w:lastRowFirstColumn="0" w:lastRowLastColumn="0"/>
              <w:rPr>
                <w:color w:val="00B050"/>
                <w:sz w:val="18"/>
                <w:szCs w:val="18"/>
              </w:rPr>
            </w:pPr>
            <w:r w:rsidRPr="006E6572">
              <w:rPr>
                <w:color w:val="00B050"/>
                <w:sz w:val="18"/>
                <w:szCs w:val="18"/>
              </w:rPr>
              <w:t>Sep. 27, 2021</w:t>
            </w:r>
          </w:p>
        </w:tc>
        <w:tc>
          <w:tcPr>
            <w:tcW w:w="1623" w:type="dxa"/>
          </w:tcPr>
          <w:p w14:paraId="40EAFA9B" w14:textId="3CCBE0CE" w:rsidR="006E6572" w:rsidRPr="006E6572" w:rsidRDefault="006E6572" w:rsidP="003205E2">
            <w:pPr>
              <w:pStyle w:val="Tablenumbers"/>
              <w:cnfStyle w:val="000000000000" w:firstRow="0" w:lastRow="0" w:firstColumn="0" w:lastColumn="0" w:oddVBand="0" w:evenVBand="0" w:oddHBand="0" w:evenHBand="0" w:firstRowFirstColumn="0" w:firstRowLastColumn="0" w:lastRowFirstColumn="0" w:lastRowLastColumn="0"/>
              <w:rPr>
                <w:color w:val="00B050"/>
                <w:sz w:val="18"/>
                <w:szCs w:val="18"/>
              </w:rPr>
            </w:pPr>
            <w:r w:rsidRPr="006E6572">
              <w:rPr>
                <w:color w:val="00B050"/>
                <w:sz w:val="18"/>
                <w:szCs w:val="18"/>
              </w:rPr>
              <w:t>Nov. 24, 2021</w:t>
            </w:r>
          </w:p>
        </w:tc>
      </w:tr>
      <w:tr w:rsidR="006E6572" w:rsidRPr="006E6572" w14:paraId="25067CFC" w14:textId="77777777" w:rsidTr="003205E2">
        <w:tc>
          <w:tcPr>
            <w:cnfStyle w:val="001000000000" w:firstRow="0" w:lastRow="0" w:firstColumn="1" w:lastColumn="0" w:oddVBand="0" w:evenVBand="0" w:oddHBand="0" w:evenHBand="0" w:firstRowFirstColumn="0" w:firstRowLastColumn="0" w:lastRowFirstColumn="0" w:lastRowLastColumn="0"/>
            <w:tcW w:w="6533" w:type="dxa"/>
          </w:tcPr>
          <w:p w14:paraId="4916C9EB" w14:textId="77777777" w:rsidR="006E6572" w:rsidRPr="006E6572" w:rsidRDefault="006E6572" w:rsidP="003205E2">
            <w:pPr>
              <w:pStyle w:val="4enspsubgroup2"/>
              <w:keepNext/>
              <w:ind w:left="576" w:hanging="346"/>
              <w:rPr>
                <w:color w:val="00B050"/>
                <w:sz w:val="18"/>
                <w:szCs w:val="18"/>
              </w:rPr>
            </w:pPr>
            <w:r w:rsidRPr="006E6572">
              <w:rPr>
                <w:color w:val="00B050"/>
                <w:sz w:val="18"/>
                <w:szCs w:val="18"/>
              </w:rPr>
              <w:t>Panel maintenance</w:t>
            </w:r>
          </w:p>
        </w:tc>
        <w:tc>
          <w:tcPr>
            <w:tcW w:w="1397" w:type="dxa"/>
          </w:tcPr>
          <w:p w14:paraId="0A4D2161" w14:textId="747C1A2C" w:rsidR="006E6572" w:rsidRPr="006E6572" w:rsidRDefault="006E6572" w:rsidP="003205E2">
            <w:pPr>
              <w:pStyle w:val="Tablenumbers"/>
              <w:cnfStyle w:val="000000000000" w:firstRow="0" w:lastRow="0" w:firstColumn="0" w:lastColumn="0" w:oddVBand="0" w:evenVBand="0" w:oddHBand="0" w:evenHBand="0" w:firstRowFirstColumn="0" w:firstRowLastColumn="0" w:lastRowFirstColumn="0" w:lastRowLastColumn="0"/>
              <w:rPr>
                <w:color w:val="00B050"/>
                <w:sz w:val="18"/>
                <w:szCs w:val="18"/>
              </w:rPr>
            </w:pPr>
            <w:r w:rsidRPr="006E6572">
              <w:rPr>
                <w:color w:val="00B050"/>
                <w:sz w:val="18"/>
                <w:szCs w:val="18"/>
              </w:rPr>
              <w:t>Oct. 19, 2021</w:t>
            </w:r>
          </w:p>
        </w:tc>
        <w:tc>
          <w:tcPr>
            <w:tcW w:w="1623" w:type="dxa"/>
          </w:tcPr>
          <w:p w14:paraId="4C063405" w14:textId="5804F3EF" w:rsidR="006E6572" w:rsidRPr="006E6572" w:rsidRDefault="006E6572" w:rsidP="003205E2">
            <w:pPr>
              <w:pStyle w:val="Tablenumbers"/>
              <w:cnfStyle w:val="000000000000" w:firstRow="0" w:lastRow="0" w:firstColumn="0" w:lastColumn="0" w:oddVBand="0" w:evenVBand="0" w:oddHBand="0" w:evenHBand="0" w:firstRowFirstColumn="0" w:firstRowLastColumn="0" w:lastRowFirstColumn="0" w:lastRowLastColumn="0"/>
              <w:rPr>
                <w:color w:val="00B050"/>
                <w:sz w:val="18"/>
                <w:szCs w:val="18"/>
              </w:rPr>
            </w:pPr>
            <w:r w:rsidRPr="006E6572">
              <w:rPr>
                <w:color w:val="00B050"/>
                <w:sz w:val="18"/>
                <w:szCs w:val="18"/>
              </w:rPr>
              <w:t>Feb. 28, 2022</w:t>
            </w:r>
          </w:p>
        </w:tc>
      </w:tr>
      <w:tr w:rsidR="006E6572" w:rsidRPr="006E6572" w14:paraId="0487EA89" w14:textId="77777777" w:rsidTr="003205E2">
        <w:tc>
          <w:tcPr>
            <w:cnfStyle w:val="001000000000" w:firstRow="0" w:lastRow="0" w:firstColumn="1" w:lastColumn="0" w:oddVBand="0" w:evenVBand="0" w:oddHBand="0" w:evenHBand="0" w:firstRowFirstColumn="0" w:firstRowLastColumn="0" w:lastRowFirstColumn="0" w:lastRowLastColumn="0"/>
            <w:tcW w:w="6533" w:type="dxa"/>
            <w:shd w:val="clear" w:color="auto" w:fill="auto"/>
          </w:tcPr>
          <w:p w14:paraId="04F588DF" w14:textId="77777777" w:rsidR="006E6572" w:rsidRPr="006E6572" w:rsidRDefault="006E6572" w:rsidP="003205E2">
            <w:pPr>
              <w:pStyle w:val="4enspsubgroup2"/>
              <w:keepNext/>
              <w:ind w:left="576" w:hanging="346"/>
              <w:rPr>
                <w:color w:val="00B050"/>
                <w:sz w:val="18"/>
                <w:szCs w:val="18"/>
              </w:rPr>
            </w:pPr>
            <w:r w:rsidRPr="006E6572">
              <w:rPr>
                <w:color w:val="00B050"/>
                <w:sz w:val="18"/>
                <w:szCs w:val="18"/>
              </w:rPr>
              <w:t>Self-administered web-based data collection</w:t>
            </w:r>
          </w:p>
        </w:tc>
        <w:tc>
          <w:tcPr>
            <w:tcW w:w="1397" w:type="dxa"/>
            <w:shd w:val="clear" w:color="auto" w:fill="auto"/>
          </w:tcPr>
          <w:p w14:paraId="5A9084C3" w14:textId="510EEBAB" w:rsidR="006E6572" w:rsidRPr="006E6572" w:rsidRDefault="006E6572" w:rsidP="003205E2">
            <w:pPr>
              <w:pStyle w:val="Tablenumbers"/>
              <w:cnfStyle w:val="000000000000" w:firstRow="0" w:lastRow="0" w:firstColumn="0" w:lastColumn="0" w:oddVBand="0" w:evenVBand="0" w:oddHBand="0" w:evenHBand="0" w:firstRowFirstColumn="0" w:firstRowLastColumn="0" w:lastRowFirstColumn="0" w:lastRowLastColumn="0"/>
              <w:rPr>
                <w:color w:val="00B050"/>
                <w:sz w:val="18"/>
                <w:szCs w:val="18"/>
              </w:rPr>
            </w:pPr>
            <w:r w:rsidRPr="006E6572">
              <w:rPr>
                <w:color w:val="00B050"/>
                <w:sz w:val="18"/>
                <w:szCs w:val="18"/>
              </w:rPr>
              <w:t>Mar. 1, 2022</w:t>
            </w:r>
          </w:p>
        </w:tc>
        <w:tc>
          <w:tcPr>
            <w:tcW w:w="1623" w:type="dxa"/>
            <w:shd w:val="clear" w:color="auto" w:fill="auto"/>
          </w:tcPr>
          <w:p w14:paraId="75421E0E" w14:textId="38BFB2F8" w:rsidR="006E6572" w:rsidRPr="006E6572" w:rsidRDefault="006E6572" w:rsidP="003205E2">
            <w:pPr>
              <w:pStyle w:val="Tablenumbers"/>
              <w:cnfStyle w:val="000000000000" w:firstRow="0" w:lastRow="0" w:firstColumn="0" w:lastColumn="0" w:oddVBand="0" w:evenVBand="0" w:oddHBand="0" w:evenHBand="0" w:firstRowFirstColumn="0" w:firstRowLastColumn="0" w:lastRowFirstColumn="0" w:lastRowLastColumn="0"/>
              <w:rPr>
                <w:color w:val="00B050"/>
                <w:sz w:val="18"/>
                <w:szCs w:val="18"/>
              </w:rPr>
            </w:pPr>
            <w:r w:rsidRPr="006E6572">
              <w:rPr>
                <w:color w:val="00B050"/>
                <w:sz w:val="18"/>
                <w:szCs w:val="18"/>
              </w:rPr>
              <w:t>Nov. 11, 2022</w:t>
            </w:r>
          </w:p>
        </w:tc>
      </w:tr>
      <w:tr w:rsidR="006E6572" w:rsidRPr="006E6572" w14:paraId="63E7D70C" w14:textId="77777777" w:rsidTr="003205E2">
        <w:tc>
          <w:tcPr>
            <w:cnfStyle w:val="001000000000" w:firstRow="0" w:lastRow="0" w:firstColumn="1" w:lastColumn="0" w:oddVBand="0" w:evenVBand="0" w:oddHBand="0" w:evenHBand="0" w:firstRowFirstColumn="0" w:firstRowLastColumn="0" w:lastRowFirstColumn="0" w:lastRowLastColumn="0"/>
            <w:tcW w:w="6533" w:type="dxa"/>
          </w:tcPr>
          <w:p w14:paraId="6D3D4F86" w14:textId="77777777" w:rsidR="006E6572" w:rsidRPr="006E6572" w:rsidRDefault="006E6572" w:rsidP="003205E2">
            <w:pPr>
              <w:pStyle w:val="4enspsubgroup2"/>
              <w:keepNext/>
              <w:ind w:left="576" w:hanging="346"/>
              <w:rPr>
                <w:color w:val="00B050"/>
                <w:sz w:val="18"/>
                <w:szCs w:val="18"/>
              </w:rPr>
            </w:pPr>
            <w:r w:rsidRPr="006E6572">
              <w:rPr>
                <w:color w:val="00B050"/>
                <w:sz w:val="18"/>
                <w:szCs w:val="18"/>
              </w:rPr>
              <w:t>Conduct telephone surveys of students</w:t>
            </w:r>
          </w:p>
        </w:tc>
        <w:tc>
          <w:tcPr>
            <w:tcW w:w="1397" w:type="dxa"/>
          </w:tcPr>
          <w:p w14:paraId="6420CC00" w14:textId="2D419EE0" w:rsidR="006E6572" w:rsidRPr="006E6572" w:rsidRDefault="006E6572" w:rsidP="003205E2">
            <w:pPr>
              <w:pStyle w:val="Tablenumbers"/>
              <w:cnfStyle w:val="000000000000" w:firstRow="0" w:lastRow="0" w:firstColumn="0" w:lastColumn="0" w:oddVBand="0" w:evenVBand="0" w:oddHBand="0" w:evenHBand="0" w:firstRowFirstColumn="0" w:firstRowLastColumn="0" w:lastRowFirstColumn="0" w:lastRowLastColumn="0"/>
              <w:rPr>
                <w:color w:val="00B050"/>
                <w:sz w:val="18"/>
                <w:szCs w:val="18"/>
              </w:rPr>
            </w:pPr>
            <w:r w:rsidRPr="006E6572">
              <w:rPr>
                <w:color w:val="00B050"/>
                <w:sz w:val="18"/>
                <w:szCs w:val="18"/>
              </w:rPr>
              <w:t>Mar. 1, 2022</w:t>
            </w:r>
          </w:p>
        </w:tc>
        <w:tc>
          <w:tcPr>
            <w:tcW w:w="1623" w:type="dxa"/>
          </w:tcPr>
          <w:p w14:paraId="593F13CF" w14:textId="69055EA6" w:rsidR="006E6572" w:rsidRPr="006E6572" w:rsidRDefault="006E6572" w:rsidP="003205E2">
            <w:pPr>
              <w:pStyle w:val="Tablenumbers"/>
              <w:cnfStyle w:val="000000000000" w:firstRow="0" w:lastRow="0" w:firstColumn="0" w:lastColumn="0" w:oddVBand="0" w:evenVBand="0" w:oddHBand="0" w:evenHBand="0" w:firstRowFirstColumn="0" w:firstRowLastColumn="0" w:lastRowFirstColumn="0" w:lastRowLastColumn="0"/>
              <w:rPr>
                <w:color w:val="00B050"/>
                <w:sz w:val="18"/>
                <w:szCs w:val="18"/>
              </w:rPr>
            </w:pPr>
            <w:r w:rsidRPr="006E6572">
              <w:rPr>
                <w:color w:val="00B050"/>
                <w:sz w:val="18"/>
                <w:szCs w:val="18"/>
              </w:rPr>
              <w:t>Nov. 11, 2022</w:t>
            </w:r>
          </w:p>
        </w:tc>
      </w:tr>
      <w:tr w:rsidR="006E6572" w:rsidRPr="006E6572" w14:paraId="0819FBA1" w14:textId="77777777" w:rsidTr="003205E2">
        <w:tc>
          <w:tcPr>
            <w:cnfStyle w:val="001000000000" w:firstRow="0" w:lastRow="0" w:firstColumn="1" w:lastColumn="0" w:oddVBand="0" w:evenVBand="0" w:oddHBand="0" w:evenHBand="0" w:firstRowFirstColumn="0" w:firstRowLastColumn="0" w:lastRowFirstColumn="0" w:lastRowLastColumn="0"/>
            <w:tcW w:w="6533" w:type="dxa"/>
          </w:tcPr>
          <w:p w14:paraId="5031C1F2" w14:textId="77777777" w:rsidR="006E6572" w:rsidRPr="006E6572" w:rsidRDefault="006E6572" w:rsidP="003205E2">
            <w:pPr>
              <w:pStyle w:val="2enspsubgroup1"/>
              <w:keepNext/>
              <w:rPr>
                <w:color w:val="00B050"/>
                <w:sz w:val="18"/>
                <w:szCs w:val="18"/>
              </w:rPr>
            </w:pPr>
            <w:r w:rsidRPr="006E6572">
              <w:rPr>
                <w:color w:val="00B050"/>
                <w:sz w:val="18"/>
                <w:szCs w:val="18"/>
              </w:rPr>
              <w:t>Process data, construct data files</w:t>
            </w:r>
          </w:p>
        </w:tc>
        <w:tc>
          <w:tcPr>
            <w:tcW w:w="1397" w:type="dxa"/>
          </w:tcPr>
          <w:p w14:paraId="1FEA51E9" w14:textId="226F6101" w:rsidR="006E6572" w:rsidRPr="006E6572" w:rsidRDefault="006E6572" w:rsidP="003205E2">
            <w:pPr>
              <w:pStyle w:val="Tablenumbers"/>
              <w:cnfStyle w:val="000000000000" w:firstRow="0" w:lastRow="0" w:firstColumn="0" w:lastColumn="0" w:oddVBand="0" w:evenVBand="0" w:oddHBand="0" w:evenHBand="0" w:firstRowFirstColumn="0" w:firstRowLastColumn="0" w:lastRowFirstColumn="0" w:lastRowLastColumn="0"/>
              <w:rPr>
                <w:color w:val="00B050"/>
                <w:sz w:val="18"/>
                <w:szCs w:val="18"/>
              </w:rPr>
            </w:pPr>
            <w:r w:rsidRPr="006E6572">
              <w:rPr>
                <w:color w:val="00B050"/>
                <w:sz w:val="18"/>
                <w:szCs w:val="18"/>
              </w:rPr>
              <w:t xml:space="preserve">Mar. 1, 2022 </w:t>
            </w:r>
          </w:p>
        </w:tc>
        <w:tc>
          <w:tcPr>
            <w:tcW w:w="1623" w:type="dxa"/>
          </w:tcPr>
          <w:p w14:paraId="7B5507D2" w14:textId="1265543D" w:rsidR="006E6572" w:rsidRPr="006E6572" w:rsidRDefault="006E6572" w:rsidP="003205E2">
            <w:pPr>
              <w:pStyle w:val="Tablenumbers"/>
              <w:cnfStyle w:val="000000000000" w:firstRow="0" w:lastRow="0" w:firstColumn="0" w:lastColumn="0" w:oddVBand="0" w:evenVBand="0" w:oddHBand="0" w:evenHBand="0" w:firstRowFirstColumn="0" w:firstRowLastColumn="0" w:lastRowFirstColumn="0" w:lastRowLastColumn="0"/>
              <w:rPr>
                <w:color w:val="00B050"/>
                <w:sz w:val="18"/>
                <w:szCs w:val="18"/>
              </w:rPr>
            </w:pPr>
            <w:r w:rsidRPr="006E6572">
              <w:rPr>
                <w:color w:val="00B050"/>
                <w:sz w:val="18"/>
                <w:szCs w:val="18"/>
              </w:rPr>
              <w:t>Dec. 2, 2022</w:t>
            </w:r>
          </w:p>
        </w:tc>
      </w:tr>
      <w:tr w:rsidR="006E6572" w:rsidRPr="006E6572" w14:paraId="0259253B" w14:textId="77777777" w:rsidTr="003205E2">
        <w:tc>
          <w:tcPr>
            <w:cnfStyle w:val="001000000000" w:firstRow="0" w:lastRow="0" w:firstColumn="1" w:lastColumn="0" w:oddVBand="0" w:evenVBand="0" w:oddHBand="0" w:evenHBand="0" w:firstRowFirstColumn="0" w:firstRowLastColumn="0" w:lastRowFirstColumn="0" w:lastRowLastColumn="0"/>
            <w:tcW w:w="6533" w:type="dxa"/>
          </w:tcPr>
          <w:p w14:paraId="67D6F82C" w14:textId="77777777" w:rsidR="006E6572" w:rsidRPr="006E6572" w:rsidRDefault="006E6572" w:rsidP="003205E2">
            <w:pPr>
              <w:pStyle w:val="2enspsubgroup1"/>
              <w:keepNext/>
              <w:rPr>
                <w:color w:val="00B050"/>
                <w:sz w:val="18"/>
                <w:szCs w:val="18"/>
              </w:rPr>
            </w:pPr>
            <w:r w:rsidRPr="006E6572">
              <w:rPr>
                <w:color w:val="00B050"/>
                <w:sz w:val="18"/>
                <w:szCs w:val="18"/>
              </w:rPr>
              <w:t>Prepare/update data collection reports</w:t>
            </w:r>
          </w:p>
        </w:tc>
        <w:tc>
          <w:tcPr>
            <w:tcW w:w="1397" w:type="dxa"/>
          </w:tcPr>
          <w:p w14:paraId="3CFBA207" w14:textId="545D678C" w:rsidR="006E6572" w:rsidRPr="006E6572" w:rsidRDefault="006E6572" w:rsidP="003205E2">
            <w:pPr>
              <w:pStyle w:val="Tablenumbers"/>
              <w:cnfStyle w:val="000000000000" w:firstRow="0" w:lastRow="0" w:firstColumn="0" w:lastColumn="0" w:oddVBand="0" w:evenVBand="0" w:oddHBand="0" w:evenHBand="0" w:firstRowFirstColumn="0" w:firstRowLastColumn="0" w:lastRowFirstColumn="0" w:lastRowLastColumn="0"/>
              <w:rPr>
                <w:color w:val="00B050"/>
                <w:sz w:val="18"/>
                <w:szCs w:val="18"/>
              </w:rPr>
            </w:pPr>
            <w:r w:rsidRPr="006E6572">
              <w:rPr>
                <w:color w:val="00B050"/>
                <w:sz w:val="18"/>
                <w:szCs w:val="18"/>
              </w:rPr>
              <w:t xml:space="preserve">Jan. 11, 2022 </w:t>
            </w:r>
          </w:p>
        </w:tc>
        <w:tc>
          <w:tcPr>
            <w:tcW w:w="1623" w:type="dxa"/>
          </w:tcPr>
          <w:p w14:paraId="1C83AB8E" w14:textId="0B219B79" w:rsidR="006E6572" w:rsidRPr="006E6572" w:rsidRDefault="006E6572" w:rsidP="003205E2">
            <w:pPr>
              <w:pStyle w:val="Tablenumbers"/>
              <w:cnfStyle w:val="000000000000" w:firstRow="0" w:lastRow="0" w:firstColumn="0" w:lastColumn="0" w:oddVBand="0" w:evenVBand="0" w:oddHBand="0" w:evenHBand="0" w:firstRowFirstColumn="0" w:firstRowLastColumn="0" w:lastRowFirstColumn="0" w:lastRowLastColumn="0"/>
              <w:rPr>
                <w:color w:val="00B050"/>
                <w:sz w:val="18"/>
                <w:szCs w:val="18"/>
              </w:rPr>
            </w:pPr>
            <w:r w:rsidRPr="006E6572">
              <w:rPr>
                <w:color w:val="00B050"/>
                <w:sz w:val="18"/>
                <w:szCs w:val="18"/>
              </w:rPr>
              <w:t>Dec. 15, 2022</w:t>
            </w:r>
          </w:p>
        </w:tc>
      </w:tr>
      <w:tr w:rsidR="006E6572" w:rsidRPr="006E6572" w14:paraId="0D9ED80B" w14:textId="77777777" w:rsidTr="003205E2">
        <w:tc>
          <w:tcPr>
            <w:cnfStyle w:val="001000000000" w:firstRow="0" w:lastRow="0" w:firstColumn="1" w:lastColumn="0" w:oddVBand="0" w:evenVBand="0" w:oddHBand="0" w:evenHBand="0" w:firstRowFirstColumn="0" w:firstRowLastColumn="0" w:lastRowFirstColumn="0" w:lastRowLastColumn="0"/>
            <w:tcW w:w="6533" w:type="dxa"/>
          </w:tcPr>
          <w:p w14:paraId="30F5F637" w14:textId="77777777" w:rsidR="006E6572" w:rsidRPr="006E6572" w:rsidRDefault="006E6572" w:rsidP="003205E2">
            <w:pPr>
              <w:pStyle w:val="2enspsubgroup1"/>
              <w:keepNext/>
              <w:ind w:hanging="576"/>
              <w:rPr>
                <w:b/>
                <w:color w:val="00B050"/>
                <w:sz w:val="18"/>
                <w:szCs w:val="18"/>
              </w:rPr>
            </w:pPr>
          </w:p>
        </w:tc>
        <w:tc>
          <w:tcPr>
            <w:tcW w:w="1397" w:type="dxa"/>
          </w:tcPr>
          <w:p w14:paraId="66F37525" w14:textId="77777777" w:rsidR="006E6572" w:rsidRPr="006E6572" w:rsidRDefault="006E6572" w:rsidP="003205E2">
            <w:pPr>
              <w:pStyle w:val="Tablenumbers"/>
              <w:cnfStyle w:val="000000000000" w:firstRow="0" w:lastRow="0" w:firstColumn="0" w:lastColumn="0" w:oddVBand="0" w:evenVBand="0" w:oddHBand="0" w:evenHBand="0" w:firstRowFirstColumn="0" w:firstRowLastColumn="0" w:lastRowFirstColumn="0" w:lastRowLastColumn="0"/>
              <w:rPr>
                <w:color w:val="00B050"/>
                <w:sz w:val="18"/>
                <w:szCs w:val="18"/>
              </w:rPr>
            </w:pPr>
          </w:p>
        </w:tc>
        <w:tc>
          <w:tcPr>
            <w:tcW w:w="1623" w:type="dxa"/>
          </w:tcPr>
          <w:p w14:paraId="24E20321" w14:textId="77777777" w:rsidR="006E6572" w:rsidRPr="006E6572" w:rsidRDefault="006E6572" w:rsidP="003205E2">
            <w:pPr>
              <w:pStyle w:val="Tablenumbers"/>
              <w:cnfStyle w:val="000000000000" w:firstRow="0" w:lastRow="0" w:firstColumn="0" w:lastColumn="0" w:oddVBand="0" w:evenVBand="0" w:oddHBand="0" w:evenHBand="0" w:firstRowFirstColumn="0" w:firstRowLastColumn="0" w:lastRowFirstColumn="0" w:lastRowLastColumn="0"/>
              <w:rPr>
                <w:color w:val="00B050"/>
                <w:sz w:val="18"/>
                <w:szCs w:val="18"/>
              </w:rPr>
            </w:pPr>
          </w:p>
        </w:tc>
      </w:tr>
      <w:tr w:rsidR="006E6572" w:rsidRPr="006E6572" w14:paraId="1655A4A5" w14:textId="77777777" w:rsidTr="003205E2">
        <w:tc>
          <w:tcPr>
            <w:cnfStyle w:val="001000000000" w:firstRow="0" w:lastRow="0" w:firstColumn="1" w:lastColumn="0" w:oddVBand="0" w:evenVBand="0" w:oddHBand="0" w:evenHBand="0" w:firstRowFirstColumn="0" w:firstRowLastColumn="0" w:lastRowFirstColumn="0" w:lastRowLastColumn="0"/>
            <w:tcW w:w="6533" w:type="dxa"/>
          </w:tcPr>
          <w:p w14:paraId="21D2C350" w14:textId="77777777" w:rsidR="006E6572" w:rsidRPr="006E6572" w:rsidRDefault="006E6572" w:rsidP="003205E2">
            <w:pPr>
              <w:pStyle w:val="2enspsubgroup1"/>
              <w:keepNext/>
              <w:ind w:hanging="576"/>
              <w:rPr>
                <w:color w:val="00B050"/>
                <w:sz w:val="18"/>
                <w:szCs w:val="18"/>
              </w:rPr>
            </w:pPr>
            <w:r w:rsidRPr="006E6572">
              <w:rPr>
                <w:b/>
                <w:color w:val="00B050"/>
                <w:sz w:val="18"/>
                <w:szCs w:val="18"/>
              </w:rPr>
              <w:t>BPS:20/25 activity</w:t>
            </w:r>
            <w:r w:rsidRPr="006E6572">
              <w:rPr>
                <w:b/>
                <w:color w:val="00B050"/>
                <w:sz w:val="18"/>
                <w:szCs w:val="18"/>
                <w:vertAlign w:val="superscript"/>
              </w:rPr>
              <w:t>1</w:t>
            </w:r>
          </w:p>
        </w:tc>
        <w:tc>
          <w:tcPr>
            <w:tcW w:w="1397" w:type="dxa"/>
          </w:tcPr>
          <w:p w14:paraId="2D9B9913" w14:textId="77777777" w:rsidR="006E6572" w:rsidRPr="006E6572" w:rsidRDefault="006E6572" w:rsidP="003205E2">
            <w:pPr>
              <w:pStyle w:val="Tablenumbers"/>
              <w:cnfStyle w:val="000000000000" w:firstRow="0" w:lastRow="0" w:firstColumn="0" w:lastColumn="0" w:oddVBand="0" w:evenVBand="0" w:oddHBand="0" w:evenHBand="0" w:firstRowFirstColumn="0" w:firstRowLastColumn="0" w:lastRowFirstColumn="0" w:lastRowLastColumn="0"/>
              <w:rPr>
                <w:color w:val="00B050"/>
                <w:sz w:val="18"/>
                <w:szCs w:val="18"/>
              </w:rPr>
            </w:pPr>
          </w:p>
        </w:tc>
        <w:tc>
          <w:tcPr>
            <w:tcW w:w="1623" w:type="dxa"/>
          </w:tcPr>
          <w:p w14:paraId="454C2C8B" w14:textId="77777777" w:rsidR="006E6572" w:rsidRPr="006E6572" w:rsidRDefault="006E6572" w:rsidP="003205E2">
            <w:pPr>
              <w:pStyle w:val="Tablenumbers"/>
              <w:cnfStyle w:val="000000000000" w:firstRow="0" w:lastRow="0" w:firstColumn="0" w:lastColumn="0" w:oddVBand="0" w:evenVBand="0" w:oddHBand="0" w:evenHBand="0" w:firstRowFirstColumn="0" w:firstRowLastColumn="0" w:lastRowFirstColumn="0" w:lastRowLastColumn="0"/>
              <w:rPr>
                <w:color w:val="00B050"/>
                <w:sz w:val="18"/>
                <w:szCs w:val="18"/>
              </w:rPr>
            </w:pPr>
          </w:p>
        </w:tc>
      </w:tr>
      <w:tr w:rsidR="006E6572" w:rsidRPr="006E6572" w14:paraId="61CFE8BC" w14:textId="77777777" w:rsidTr="003205E2">
        <w:tc>
          <w:tcPr>
            <w:cnfStyle w:val="001000000000" w:firstRow="0" w:lastRow="0" w:firstColumn="1" w:lastColumn="0" w:oddVBand="0" w:evenVBand="0" w:oddHBand="0" w:evenHBand="0" w:firstRowFirstColumn="0" w:firstRowLastColumn="0" w:lastRowFirstColumn="0" w:lastRowLastColumn="0"/>
            <w:tcW w:w="6533" w:type="dxa"/>
          </w:tcPr>
          <w:p w14:paraId="6E9A00BE" w14:textId="77777777" w:rsidR="006E6572" w:rsidRPr="006E6572" w:rsidRDefault="006E6572" w:rsidP="003205E2">
            <w:pPr>
              <w:pStyle w:val="2enspsubgroup1"/>
              <w:keepNext/>
              <w:ind w:hanging="576"/>
              <w:rPr>
                <w:color w:val="00B050"/>
                <w:sz w:val="18"/>
                <w:szCs w:val="18"/>
              </w:rPr>
            </w:pPr>
            <w:r w:rsidRPr="006E6572">
              <w:rPr>
                <w:color w:val="00B050"/>
                <w:sz w:val="18"/>
                <w:szCs w:val="18"/>
              </w:rPr>
              <w:t>Field test</w:t>
            </w:r>
          </w:p>
        </w:tc>
        <w:tc>
          <w:tcPr>
            <w:tcW w:w="1397" w:type="dxa"/>
          </w:tcPr>
          <w:p w14:paraId="251B58B5" w14:textId="77777777" w:rsidR="006E6572" w:rsidRPr="006E6572" w:rsidRDefault="006E6572" w:rsidP="003205E2">
            <w:pPr>
              <w:pStyle w:val="Tablenumbers"/>
              <w:cnfStyle w:val="000000000000" w:firstRow="0" w:lastRow="0" w:firstColumn="0" w:lastColumn="0" w:oddVBand="0" w:evenVBand="0" w:oddHBand="0" w:evenHBand="0" w:firstRowFirstColumn="0" w:firstRowLastColumn="0" w:lastRowFirstColumn="0" w:lastRowLastColumn="0"/>
              <w:rPr>
                <w:color w:val="00B050"/>
                <w:sz w:val="18"/>
                <w:szCs w:val="18"/>
              </w:rPr>
            </w:pPr>
          </w:p>
        </w:tc>
        <w:tc>
          <w:tcPr>
            <w:tcW w:w="1623" w:type="dxa"/>
          </w:tcPr>
          <w:p w14:paraId="2526EFF2" w14:textId="77777777" w:rsidR="006E6572" w:rsidRPr="006E6572" w:rsidRDefault="006E6572" w:rsidP="003205E2">
            <w:pPr>
              <w:pStyle w:val="Tablenumbers"/>
              <w:cnfStyle w:val="000000000000" w:firstRow="0" w:lastRow="0" w:firstColumn="0" w:lastColumn="0" w:oddVBand="0" w:evenVBand="0" w:oddHBand="0" w:evenHBand="0" w:firstRowFirstColumn="0" w:firstRowLastColumn="0" w:lastRowFirstColumn="0" w:lastRowLastColumn="0"/>
              <w:rPr>
                <w:color w:val="00B050"/>
                <w:sz w:val="18"/>
                <w:szCs w:val="18"/>
              </w:rPr>
            </w:pPr>
          </w:p>
        </w:tc>
      </w:tr>
      <w:tr w:rsidR="006E6572" w:rsidRPr="006E6572" w14:paraId="705B8D3D" w14:textId="77777777" w:rsidTr="003205E2">
        <w:tc>
          <w:tcPr>
            <w:cnfStyle w:val="001000000000" w:firstRow="0" w:lastRow="0" w:firstColumn="1" w:lastColumn="0" w:oddVBand="0" w:evenVBand="0" w:oddHBand="0" w:evenHBand="0" w:firstRowFirstColumn="0" w:firstRowLastColumn="0" w:lastRowFirstColumn="0" w:lastRowLastColumn="0"/>
            <w:tcW w:w="6533" w:type="dxa"/>
          </w:tcPr>
          <w:p w14:paraId="00205BA1" w14:textId="2A630D08" w:rsidR="006E6572" w:rsidRPr="006E6572" w:rsidRDefault="006E6572" w:rsidP="003205E2">
            <w:pPr>
              <w:pStyle w:val="2enspsubgroup1"/>
              <w:keepNext/>
              <w:ind w:hanging="396"/>
              <w:rPr>
                <w:color w:val="00B050"/>
                <w:sz w:val="18"/>
                <w:szCs w:val="18"/>
              </w:rPr>
            </w:pPr>
            <w:r w:rsidRPr="006E6572">
              <w:rPr>
                <w:color w:val="00B050"/>
                <w:sz w:val="18"/>
                <w:szCs w:val="18"/>
              </w:rPr>
              <w:t>Panel maintenance (address updates)</w:t>
            </w:r>
          </w:p>
        </w:tc>
        <w:tc>
          <w:tcPr>
            <w:tcW w:w="1397" w:type="dxa"/>
            <w:shd w:val="clear" w:color="auto" w:fill="auto"/>
          </w:tcPr>
          <w:p w14:paraId="7467CF1B" w14:textId="7C70A7CA" w:rsidR="006E6572" w:rsidRPr="006E6572" w:rsidRDefault="006E6572" w:rsidP="003205E2">
            <w:pPr>
              <w:pStyle w:val="Tablenumbers"/>
              <w:cnfStyle w:val="000000000000" w:firstRow="0" w:lastRow="0" w:firstColumn="0" w:lastColumn="0" w:oddVBand="0" w:evenVBand="0" w:oddHBand="0" w:evenHBand="0" w:firstRowFirstColumn="0" w:firstRowLastColumn="0" w:lastRowFirstColumn="0" w:lastRowLastColumn="0"/>
              <w:rPr>
                <w:color w:val="00B050"/>
                <w:sz w:val="18"/>
                <w:szCs w:val="18"/>
              </w:rPr>
            </w:pPr>
            <w:r w:rsidRPr="006E6572">
              <w:rPr>
                <w:color w:val="00B050"/>
                <w:sz w:val="18"/>
                <w:szCs w:val="18"/>
              </w:rPr>
              <w:t>Oct 19, 2022</w:t>
            </w:r>
          </w:p>
        </w:tc>
        <w:tc>
          <w:tcPr>
            <w:tcW w:w="1623" w:type="dxa"/>
            <w:shd w:val="clear" w:color="auto" w:fill="auto"/>
          </w:tcPr>
          <w:p w14:paraId="4D8131AD" w14:textId="7E2FFD01" w:rsidR="006E6572" w:rsidRPr="006E6572" w:rsidRDefault="006E6572" w:rsidP="003205E2">
            <w:pPr>
              <w:pStyle w:val="Tablenumbers"/>
              <w:cnfStyle w:val="000000000000" w:firstRow="0" w:lastRow="0" w:firstColumn="0" w:lastColumn="0" w:oddVBand="0" w:evenVBand="0" w:oddHBand="0" w:evenHBand="0" w:firstRowFirstColumn="0" w:firstRowLastColumn="0" w:lastRowFirstColumn="0" w:lastRowLastColumn="0"/>
              <w:rPr>
                <w:color w:val="00B050"/>
                <w:sz w:val="18"/>
                <w:szCs w:val="18"/>
              </w:rPr>
            </w:pPr>
            <w:r w:rsidRPr="006E6572">
              <w:rPr>
                <w:color w:val="00B050"/>
                <w:sz w:val="18"/>
                <w:szCs w:val="18"/>
              </w:rPr>
              <w:t>Feb. 28, 2023</w:t>
            </w:r>
          </w:p>
        </w:tc>
      </w:tr>
    </w:tbl>
    <w:p w14:paraId="034663BC" w14:textId="5727D4D2" w:rsidR="006E6572" w:rsidRPr="006E6572" w:rsidRDefault="006E6572" w:rsidP="006E6572">
      <w:pPr>
        <w:pStyle w:val="Tablenotes"/>
        <w:rPr>
          <w:color w:val="00B050"/>
        </w:rPr>
      </w:pPr>
      <w:r w:rsidRPr="006E6572">
        <w:rPr>
          <w:color w:val="00B050"/>
          <w:vertAlign w:val="superscript"/>
        </w:rPr>
        <w:t xml:space="preserve">1 </w:t>
      </w:r>
      <w:r w:rsidRPr="006E6572">
        <w:rPr>
          <w:rFonts w:ascii="Calibri" w:hAnsi="Calibri" w:cs="Calibri"/>
          <w:color w:val="00B050"/>
          <w:szCs w:val="16"/>
        </w:rPr>
        <w:t>BPS:20/25 is anticipated but not yet exercised.</w:t>
      </w:r>
    </w:p>
    <w:p w14:paraId="405AFCAC" w14:textId="77777777" w:rsidR="00010B36" w:rsidRPr="00124F39" w:rsidRDefault="00262ADD" w:rsidP="00A80083">
      <w:pPr>
        <w:pStyle w:val="Title"/>
        <w:spacing w:after="120"/>
        <w:rPr>
          <w:rFonts w:ascii="Times New Roman" w:hAnsi="Times New Roman" w:cs="Times New Roman"/>
          <w:b/>
          <w:sz w:val="28"/>
          <w:szCs w:val="28"/>
          <w:u w:val="single"/>
        </w:rPr>
      </w:pPr>
      <w:r w:rsidRPr="00124F39">
        <w:rPr>
          <w:rFonts w:ascii="Times New Roman" w:hAnsi="Times New Roman" w:cs="Times New Roman"/>
          <w:b/>
          <w:sz w:val="28"/>
          <w:szCs w:val="28"/>
          <w:u w:val="single"/>
        </w:rPr>
        <w:t>Supporting Statement Part B</w:t>
      </w:r>
    </w:p>
    <w:p w14:paraId="7F2659BB" w14:textId="77777777" w:rsidR="000228B0" w:rsidRPr="007D7903" w:rsidRDefault="000228B0" w:rsidP="000228B0">
      <w:pPr>
        <w:spacing w:after="120"/>
      </w:pPr>
      <w:bookmarkStart w:id="10" w:name="_Hlk507171036"/>
      <w:r w:rsidRPr="007D7903">
        <w:t xml:space="preserve">Changes in Part B include removing references to field test sample design and tests of procedures </w:t>
      </w:r>
      <w:r>
        <w:t xml:space="preserve">and methods </w:t>
      </w:r>
      <w:r w:rsidRPr="007D7903">
        <w:t xml:space="preserve">and </w:t>
      </w:r>
      <w:r>
        <w:t>adding a summary of f</w:t>
      </w:r>
      <w:r w:rsidRPr="007D7903">
        <w:t>ield test results</w:t>
      </w:r>
      <w:r>
        <w:t xml:space="preserve">. New content is added </w:t>
      </w:r>
      <w:r w:rsidRPr="007D7903">
        <w:t xml:space="preserve">pertaining to the full-scale response universe, sample design, and procedures and methods. </w:t>
      </w:r>
    </w:p>
    <w:p w14:paraId="7D4D6A1E" w14:textId="77777777" w:rsidR="000228B0" w:rsidRPr="007D7903" w:rsidRDefault="000228B0" w:rsidP="000228B0">
      <w:pPr>
        <w:spacing w:after="120"/>
        <w:rPr>
          <w:b/>
        </w:rPr>
      </w:pPr>
      <w:r w:rsidRPr="007D7903">
        <w:rPr>
          <w:b/>
        </w:rPr>
        <w:t>Preface</w:t>
      </w:r>
    </w:p>
    <w:p w14:paraId="1DED0599" w14:textId="77777777" w:rsidR="000228B0" w:rsidRPr="007D7903" w:rsidRDefault="000228B0" w:rsidP="000228B0">
      <w:pPr>
        <w:spacing w:after="120"/>
        <w:rPr>
          <w:bCs/>
        </w:rPr>
      </w:pPr>
      <w:r w:rsidRPr="007D7903">
        <w:rPr>
          <w:bCs/>
        </w:rPr>
        <w:t xml:space="preserve">The preface was updated to specify the clearance request is for full-scale clearance. </w:t>
      </w:r>
    </w:p>
    <w:p w14:paraId="28FC8C6F" w14:textId="77777777" w:rsidR="000228B0" w:rsidRPr="007D7903" w:rsidRDefault="000228B0" w:rsidP="000228B0">
      <w:pPr>
        <w:spacing w:after="120"/>
        <w:rPr>
          <w:b/>
        </w:rPr>
      </w:pPr>
      <w:r w:rsidRPr="007D7903">
        <w:rPr>
          <w:b/>
        </w:rPr>
        <w:t>B.1. Respondent Universe</w:t>
      </w:r>
      <w:r>
        <w:rPr>
          <w:b/>
        </w:rPr>
        <w:t xml:space="preserve">. </w:t>
      </w:r>
    </w:p>
    <w:p w14:paraId="7BA44D98" w14:textId="77777777" w:rsidR="000228B0" w:rsidRPr="007D7903" w:rsidRDefault="000228B0" w:rsidP="000228B0">
      <w:pPr>
        <w:rPr>
          <w:color w:val="008000"/>
          <w:kern w:val="16"/>
          <w:szCs w:val="20"/>
        </w:rPr>
      </w:pPr>
      <w:r w:rsidRPr="007D7903">
        <w:t xml:space="preserve">This section was updated to remove references to the field test respondent universe and sample and to specify the clearance request is for </w:t>
      </w:r>
      <w:r>
        <w:t xml:space="preserve">the </w:t>
      </w:r>
      <w:r w:rsidRPr="007D7903">
        <w:t>full-scale sample of students who were identified as confirmed or potential 2019-20 academic year first-time beginner students based on survey, institution, or other administrative data.</w:t>
      </w:r>
    </w:p>
    <w:p w14:paraId="6941C72A" w14:textId="77777777" w:rsidR="000228B0" w:rsidRPr="007D7903" w:rsidRDefault="000228B0" w:rsidP="000228B0">
      <w:pPr>
        <w:rPr>
          <w:color w:val="008000"/>
        </w:rPr>
      </w:pPr>
    </w:p>
    <w:p w14:paraId="1B827558" w14:textId="77777777" w:rsidR="000228B0" w:rsidRPr="007D7903" w:rsidRDefault="000228B0" w:rsidP="000228B0">
      <w:pPr>
        <w:spacing w:after="120"/>
        <w:rPr>
          <w:b/>
        </w:rPr>
      </w:pPr>
      <w:r w:rsidRPr="007D7903">
        <w:rPr>
          <w:b/>
        </w:rPr>
        <w:t xml:space="preserve">B.2. </w:t>
      </w:r>
      <w:r>
        <w:rPr>
          <w:b/>
        </w:rPr>
        <w:t>Collection Procedures.</w:t>
      </w:r>
      <w:r w:rsidRPr="007D7903">
        <w:rPr>
          <w:b/>
        </w:rPr>
        <w:t xml:space="preserve"> </w:t>
      </w:r>
    </w:p>
    <w:p w14:paraId="76DC77B3" w14:textId="77777777" w:rsidR="000228B0" w:rsidRDefault="000228B0" w:rsidP="000228B0">
      <w:r>
        <w:t>The title of this section was revised from “Statistical Methodology” to “Collection Procedures.”</w:t>
      </w:r>
    </w:p>
    <w:p w14:paraId="02E8F9DA" w14:textId="77777777" w:rsidR="000228B0" w:rsidRDefault="000228B0" w:rsidP="000228B0">
      <w:r>
        <w:t>T</w:t>
      </w:r>
      <w:r w:rsidRPr="007D7903">
        <w:t xml:space="preserve">ext pertaining to the field test sample was removed and replaced with information on the sample design of the </w:t>
      </w:r>
      <w:r>
        <w:t xml:space="preserve">BPS:20/22 </w:t>
      </w:r>
      <w:r w:rsidRPr="007D7903">
        <w:t xml:space="preserve">full-scale study, including information on the specific number of cases that will be fielded. </w:t>
      </w:r>
      <w:r>
        <w:t xml:space="preserve">Sampling for the NPSAS:20 study, from which the BPS:20/22 sample is drawn, is described, including the two-stage procedures of first selecting institutions into the sample and then sampling students from these institutions. Also described is the process for identifying first time beginner students. </w:t>
      </w:r>
      <w:r w:rsidRPr="007D7903">
        <w:t xml:space="preserve">Table 1 was </w:t>
      </w:r>
      <w:r>
        <w:t xml:space="preserve">changed from field test sampling quotas to instead show details on the BPS:20/22 full-scale sampling frame. </w:t>
      </w:r>
      <w:r w:rsidRPr="007D7903">
        <w:t xml:space="preserve">Table 2 was </w:t>
      </w:r>
      <w:r>
        <w:t>changed from a table of expected outcomes from field test groups</w:t>
      </w:r>
      <w:r w:rsidRPr="007D7903">
        <w:t xml:space="preserve"> to</w:t>
      </w:r>
      <w:r>
        <w:t xml:space="preserve"> show the BPS:20/22 full-scale sample counts by control and level of institution. A third table, Table 3, was added to display BPS:20/22 sample counts by state. A fourth table, Table 4, was added to show expected full-scale completion counts and rates.</w:t>
      </w:r>
    </w:p>
    <w:p w14:paraId="3EC5E25B" w14:textId="77777777" w:rsidR="000228B0" w:rsidRDefault="000228B0" w:rsidP="000228B0"/>
    <w:p w14:paraId="4889A5CF" w14:textId="77777777" w:rsidR="000228B0" w:rsidRDefault="000228B0" w:rsidP="000228B0">
      <w:r w:rsidRPr="007D7903">
        <w:t>Below are the updated Tables 1</w:t>
      </w:r>
      <w:r>
        <w:t xml:space="preserve"> and </w:t>
      </w:r>
      <w:r w:rsidRPr="007D7903">
        <w:t>2</w:t>
      </w:r>
      <w:r>
        <w:t xml:space="preserve"> and new Tables 3 and 4 for reference.</w:t>
      </w:r>
    </w:p>
    <w:p w14:paraId="63AAE47E" w14:textId="77777777" w:rsidR="000228B0" w:rsidRPr="00EA4500" w:rsidRDefault="000228B0" w:rsidP="000228B0">
      <w:pPr>
        <w:pStyle w:val="TableTitle"/>
        <w:ind w:hanging="904"/>
        <w:rPr>
          <w:rFonts w:ascii="Times New Roman" w:hAnsi="Times New Roman"/>
          <w:color w:val="00B050"/>
        </w:rPr>
      </w:pPr>
      <w:r w:rsidRPr="00EA4500">
        <w:rPr>
          <w:color w:val="00B050"/>
        </w:rPr>
        <w:lastRenderedPageBreak/>
        <w:t>Table 1. BPS:20/22 full-scale frame by NPSAS:20 sample and response status</w:t>
      </w:r>
    </w:p>
    <w:tbl>
      <w:tblPr>
        <w:tblW w:w="6735" w:type="dxa"/>
        <w:tblInd w:w="90" w:type="dxa"/>
        <w:tblLook w:val="04A0" w:firstRow="1" w:lastRow="0" w:firstColumn="1" w:lastColumn="0" w:noHBand="0" w:noVBand="1"/>
      </w:tblPr>
      <w:tblGrid>
        <w:gridCol w:w="3585"/>
        <w:gridCol w:w="3150"/>
      </w:tblGrid>
      <w:tr w:rsidR="000228B0" w:rsidRPr="00EA4500" w14:paraId="2FAAA327" w14:textId="77777777" w:rsidTr="003205E2">
        <w:trPr>
          <w:cantSplit/>
          <w:trHeight w:val="330"/>
        </w:trPr>
        <w:tc>
          <w:tcPr>
            <w:tcW w:w="3585" w:type="dxa"/>
            <w:tcBorders>
              <w:top w:val="single" w:sz="12" w:space="0" w:color="auto"/>
              <w:left w:val="nil"/>
              <w:bottom w:val="single" w:sz="8" w:space="0" w:color="auto"/>
              <w:right w:val="nil"/>
            </w:tcBorders>
            <w:vAlign w:val="center"/>
            <w:hideMark/>
          </w:tcPr>
          <w:p w14:paraId="2E0C9E00" w14:textId="77777777" w:rsidR="000228B0" w:rsidRPr="00EA4500" w:rsidRDefault="000228B0" w:rsidP="003205E2">
            <w:pPr>
              <w:spacing w:line="256" w:lineRule="auto"/>
              <w:rPr>
                <w:rFonts w:ascii="Arial" w:hAnsi="Arial" w:cs="Arial"/>
                <w:b/>
                <w:bCs/>
                <w:color w:val="00B050"/>
                <w:sz w:val="20"/>
                <w:szCs w:val="20"/>
              </w:rPr>
            </w:pPr>
            <w:r w:rsidRPr="00EA4500">
              <w:rPr>
                <w:rFonts w:ascii="Arial" w:hAnsi="Arial" w:cs="Arial"/>
                <w:b/>
                <w:bCs/>
                <w:color w:val="00B050"/>
                <w:sz w:val="20"/>
                <w:szCs w:val="20"/>
              </w:rPr>
              <w:t>NPSAS:20 full-scale status</w:t>
            </w:r>
          </w:p>
        </w:tc>
        <w:tc>
          <w:tcPr>
            <w:tcW w:w="3150" w:type="dxa"/>
            <w:tcBorders>
              <w:top w:val="single" w:sz="12" w:space="0" w:color="auto"/>
              <w:left w:val="nil"/>
              <w:bottom w:val="single" w:sz="8" w:space="0" w:color="auto"/>
              <w:right w:val="nil"/>
            </w:tcBorders>
            <w:vAlign w:val="center"/>
            <w:hideMark/>
          </w:tcPr>
          <w:p w14:paraId="351632E1" w14:textId="77777777" w:rsidR="000228B0" w:rsidRPr="00EA4500" w:rsidRDefault="000228B0" w:rsidP="003205E2">
            <w:pPr>
              <w:spacing w:line="256" w:lineRule="auto"/>
              <w:jc w:val="right"/>
              <w:rPr>
                <w:rFonts w:ascii="Arial" w:hAnsi="Arial" w:cs="Arial"/>
                <w:b/>
                <w:bCs/>
                <w:color w:val="00B050"/>
                <w:sz w:val="20"/>
                <w:szCs w:val="20"/>
              </w:rPr>
            </w:pPr>
            <w:r w:rsidRPr="00EA4500">
              <w:rPr>
                <w:rFonts w:ascii="Arial" w:hAnsi="Arial" w:cs="Arial"/>
                <w:b/>
                <w:bCs/>
                <w:color w:val="00B050"/>
                <w:sz w:val="20"/>
                <w:szCs w:val="20"/>
              </w:rPr>
              <w:t>Count</w:t>
            </w:r>
          </w:p>
        </w:tc>
      </w:tr>
      <w:tr w:rsidR="000228B0" w:rsidRPr="00EA4500" w14:paraId="7EDC6363" w14:textId="77777777" w:rsidTr="003205E2">
        <w:trPr>
          <w:cantSplit/>
          <w:trHeight w:val="300"/>
        </w:trPr>
        <w:tc>
          <w:tcPr>
            <w:tcW w:w="3585" w:type="dxa"/>
            <w:vAlign w:val="center"/>
            <w:hideMark/>
          </w:tcPr>
          <w:p w14:paraId="4041D899" w14:textId="77777777" w:rsidR="000228B0" w:rsidRPr="00EA4500" w:rsidRDefault="000228B0" w:rsidP="003205E2">
            <w:pPr>
              <w:spacing w:line="256" w:lineRule="auto"/>
              <w:rPr>
                <w:rFonts w:ascii="Arial" w:hAnsi="Arial" w:cs="Arial"/>
                <w:b/>
                <w:bCs/>
                <w:color w:val="00B050"/>
                <w:sz w:val="20"/>
                <w:szCs w:val="20"/>
              </w:rPr>
            </w:pPr>
            <w:r w:rsidRPr="00EA4500">
              <w:rPr>
                <w:rFonts w:ascii="Arial" w:hAnsi="Arial" w:cs="Arial"/>
                <w:b/>
                <w:bCs/>
                <w:color w:val="00B050"/>
                <w:sz w:val="20"/>
                <w:szCs w:val="20"/>
              </w:rPr>
              <w:t>Total study respondent FTBs</w:t>
            </w:r>
          </w:p>
        </w:tc>
        <w:tc>
          <w:tcPr>
            <w:tcW w:w="3150" w:type="dxa"/>
            <w:vAlign w:val="center"/>
            <w:hideMark/>
          </w:tcPr>
          <w:p w14:paraId="391F3FB9" w14:textId="77777777" w:rsidR="000228B0" w:rsidRPr="00EA4500" w:rsidRDefault="000228B0" w:rsidP="003205E2">
            <w:pPr>
              <w:spacing w:line="256" w:lineRule="auto"/>
              <w:jc w:val="right"/>
              <w:rPr>
                <w:rFonts w:ascii="Arial" w:hAnsi="Arial" w:cs="Arial"/>
                <w:b/>
                <w:bCs/>
                <w:color w:val="00B050"/>
                <w:sz w:val="20"/>
                <w:szCs w:val="20"/>
              </w:rPr>
            </w:pPr>
            <w:r w:rsidRPr="00EA4500">
              <w:rPr>
                <w:rFonts w:ascii="Arial" w:hAnsi="Arial" w:cs="Arial"/>
                <w:b/>
                <w:bCs/>
                <w:color w:val="00B050"/>
                <w:sz w:val="20"/>
                <w:szCs w:val="20"/>
              </w:rPr>
              <w:t>51,910</w:t>
            </w:r>
          </w:p>
        </w:tc>
      </w:tr>
      <w:tr w:rsidR="000228B0" w:rsidRPr="00EA4500" w14:paraId="3361C738" w14:textId="77777777" w:rsidTr="003205E2">
        <w:trPr>
          <w:trHeight w:val="300"/>
        </w:trPr>
        <w:tc>
          <w:tcPr>
            <w:tcW w:w="3585" w:type="dxa"/>
            <w:vAlign w:val="center"/>
            <w:hideMark/>
          </w:tcPr>
          <w:p w14:paraId="67DDBC3B" w14:textId="77777777" w:rsidR="000228B0" w:rsidRPr="00EA4500" w:rsidRDefault="000228B0" w:rsidP="003205E2">
            <w:pPr>
              <w:spacing w:line="256" w:lineRule="auto"/>
              <w:ind w:firstLineChars="200" w:firstLine="400"/>
              <w:rPr>
                <w:rFonts w:ascii="Arial" w:hAnsi="Arial" w:cs="Arial"/>
                <w:color w:val="00B050"/>
                <w:sz w:val="20"/>
                <w:szCs w:val="20"/>
              </w:rPr>
            </w:pPr>
            <w:r w:rsidRPr="00EA4500">
              <w:rPr>
                <w:rFonts w:ascii="Arial" w:hAnsi="Arial" w:cs="Arial"/>
                <w:color w:val="00B050"/>
                <w:sz w:val="20"/>
                <w:szCs w:val="20"/>
              </w:rPr>
              <w:t>Confirmed FTBs</w:t>
            </w:r>
          </w:p>
        </w:tc>
        <w:tc>
          <w:tcPr>
            <w:tcW w:w="3150" w:type="dxa"/>
            <w:vAlign w:val="center"/>
            <w:hideMark/>
          </w:tcPr>
          <w:p w14:paraId="408B1999" w14:textId="77777777" w:rsidR="000228B0" w:rsidRPr="00EA4500" w:rsidRDefault="000228B0" w:rsidP="003205E2">
            <w:pPr>
              <w:rPr>
                <w:rFonts w:ascii="Arial" w:hAnsi="Arial" w:cs="Arial"/>
                <w:color w:val="00B050"/>
                <w:sz w:val="20"/>
                <w:szCs w:val="20"/>
              </w:rPr>
            </w:pPr>
          </w:p>
        </w:tc>
      </w:tr>
      <w:tr w:rsidR="000228B0" w:rsidRPr="00EA4500" w14:paraId="62F24053" w14:textId="77777777" w:rsidTr="003205E2">
        <w:trPr>
          <w:cantSplit/>
          <w:trHeight w:val="300"/>
        </w:trPr>
        <w:tc>
          <w:tcPr>
            <w:tcW w:w="3585" w:type="dxa"/>
            <w:vAlign w:val="center"/>
            <w:hideMark/>
          </w:tcPr>
          <w:p w14:paraId="49247181" w14:textId="77777777" w:rsidR="000228B0" w:rsidRPr="00EA4500" w:rsidRDefault="000228B0" w:rsidP="003205E2">
            <w:pPr>
              <w:spacing w:line="256" w:lineRule="auto"/>
              <w:ind w:firstLineChars="400" w:firstLine="800"/>
              <w:rPr>
                <w:rFonts w:ascii="Arial" w:hAnsi="Arial" w:cs="Arial"/>
                <w:color w:val="00B050"/>
                <w:sz w:val="20"/>
                <w:szCs w:val="20"/>
              </w:rPr>
            </w:pPr>
            <w:r w:rsidRPr="00EA4500">
              <w:rPr>
                <w:rFonts w:ascii="Arial" w:hAnsi="Arial" w:cs="Arial"/>
                <w:color w:val="00B050"/>
                <w:sz w:val="20"/>
                <w:szCs w:val="20"/>
              </w:rPr>
              <w:t>Survey respondents</w:t>
            </w:r>
          </w:p>
        </w:tc>
        <w:tc>
          <w:tcPr>
            <w:tcW w:w="3150" w:type="dxa"/>
            <w:vAlign w:val="center"/>
            <w:hideMark/>
          </w:tcPr>
          <w:p w14:paraId="16234A9E"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26,470</w:t>
            </w:r>
          </w:p>
        </w:tc>
      </w:tr>
      <w:tr w:rsidR="000228B0" w:rsidRPr="00EA4500" w14:paraId="37A4E316" w14:textId="77777777" w:rsidTr="003205E2">
        <w:trPr>
          <w:trHeight w:val="300"/>
        </w:trPr>
        <w:tc>
          <w:tcPr>
            <w:tcW w:w="3585" w:type="dxa"/>
            <w:vAlign w:val="center"/>
            <w:hideMark/>
          </w:tcPr>
          <w:p w14:paraId="029AA173" w14:textId="77777777" w:rsidR="000228B0" w:rsidRPr="00EA4500" w:rsidRDefault="000228B0" w:rsidP="003205E2">
            <w:pPr>
              <w:spacing w:line="256" w:lineRule="auto"/>
              <w:ind w:left="420"/>
              <w:rPr>
                <w:rFonts w:ascii="Arial" w:hAnsi="Arial" w:cs="Arial"/>
                <w:color w:val="00B050"/>
                <w:sz w:val="20"/>
                <w:szCs w:val="20"/>
              </w:rPr>
            </w:pPr>
            <w:r w:rsidRPr="00EA4500">
              <w:rPr>
                <w:rFonts w:ascii="Arial" w:hAnsi="Arial" w:cs="Arial"/>
                <w:color w:val="00B050"/>
                <w:sz w:val="20"/>
                <w:szCs w:val="20"/>
              </w:rPr>
              <w:t>Potential FTBs who are administrative respondents</w:t>
            </w:r>
          </w:p>
        </w:tc>
        <w:tc>
          <w:tcPr>
            <w:tcW w:w="3150" w:type="dxa"/>
            <w:vAlign w:val="center"/>
            <w:hideMark/>
          </w:tcPr>
          <w:p w14:paraId="01305E78" w14:textId="77777777" w:rsidR="000228B0" w:rsidRPr="00EA4500" w:rsidRDefault="000228B0" w:rsidP="003205E2">
            <w:pPr>
              <w:rPr>
                <w:rFonts w:ascii="Arial" w:hAnsi="Arial" w:cs="Arial"/>
                <w:color w:val="00B050"/>
                <w:sz w:val="20"/>
                <w:szCs w:val="20"/>
              </w:rPr>
            </w:pPr>
          </w:p>
        </w:tc>
      </w:tr>
      <w:tr w:rsidR="000228B0" w:rsidRPr="00EA4500" w14:paraId="47444A7F" w14:textId="77777777" w:rsidTr="003205E2">
        <w:trPr>
          <w:trHeight w:val="300"/>
        </w:trPr>
        <w:tc>
          <w:tcPr>
            <w:tcW w:w="3585" w:type="dxa"/>
            <w:vAlign w:val="center"/>
            <w:hideMark/>
          </w:tcPr>
          <w:p w14:paraId="4BA88406" w14:textId="77777777" w:rsidR="000228B0" w:rsidRPr="00EA4500" w:rsidRDefault="000228B0" w:rsidP="003205E2">
            <w:pPr>
              <w:spacing w:line="256" w:lineRule="auto"/>
              <w:ind w:firstLineChars="400" w:firstLine="800"/>
              <w:rPr>
                <w:rFonts w:ascii="Arial" w:hAnsi="Arial" w:cs="Arial"/>
                <w:color w:val="00B050"/>
                <w:sz w:val="20"/>
                <w:szCs w:val="20"/>
              </w:rPr>
            </w:pPr>
            <w:r w:rsidRPr="00EA4500">
              <w:rPr>
                <w:rFonts w:ascii="Arial" w:hAnsi="Arial" w:cs="Arial"/>
                <w:color w:val="00B050"/>
                <w:sz w:val="20"/>
                <w:szCs w:val="20"/>
              </w:rPr>
              <w:t>Survey nonrespondents</w:t>
            </w:r>
          </w:p>
        </w:tc>
        <w:tc>
          <w:tcPr>
            <w:tcW w:w="3150" w:type="dxa"/>
            <w:vAlign w:val="center"/>
            <w:hideMark/>
          </w:tcPr>
          <w:p w14:paraId="1ADDBA64"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14,710</w:t>
            </w:r>
          </w:p>
        </w:tc>
      </w:tr>
      <w:tr w:rsidR="000228B0" w:rsidRPr="00EA4500" w14:paraId="7149CC24" w14:textId="77777777" w:rsidTr="003205E2">
        <w:trPr>
          <w:cantSplit/>
          <w:trHeight w:val="315"/>
        </w:trPr>
        <w:tc>
          <w:tcPr>
            <w:tcW w:w="3585" w:type="dxa"/>
            <w:tcBorders>
              <w:top w:val="nil"/>
              <w:left w:val="nil"/>
              <w:bottom w:val="single" w:sz="12" w:space="0" w:color="auto"/>
              <w:right w:val="nil"/>
            </w:tcBorders>
            <w:vAlign w:val="center"/>
            <w:hideMark/>
          </w:tcPr>
          <w:p w14:paraId="21EABE82" w14:textId="77777777" w:rsidR="000228B0" w:rsidRPr="00EA4500" w:rsidRDefault="000228B0" w:rsidP="003205E2">
            <w:pPr>
              <w:spacing w:line="256" w:lineRule="auto"/>
              <w:ind w:firstLineChars="400" w:firstLine="800"/>
              <w:rPr>
                <w:rFonts w:ascii="Arial" w:hAnsi="Arial" w:cs="Arial"/>
                <w:color w:val="00B050"/>
                <w:sz w:val="20"/>
                <w:szCs w:val="20"/>
              </w:rPr>
            </w:pPr>
            <w:r w:rsidRPr="00EA4500">
              <w:rPr>
                <w:rFonts w:ascii="Arial" w:hAnsi="Arial" w:cs="Arial"/>
                <w:color w:val="00B050"/>
                <w:sz w:val="20"/>
                <w:szCs w:val="20"/>
              </w:rPr>
              <w:t>Admin-only students</w:t>
            </w:r>
            <w:r w:rsidRPr="00EA4500">
              <w:rPr>
                <w:rFonts w:ascii="Arial" w:hAnsi="Arial" w:cs="Arial"/>
                <w:color w:val="00B050"/>
                <w:sz w:val="20"/>
                <w:szCs w:val="20"/>
                <w:vertAlign w:val="superscript"/>
              </w:rPr>
              <w:t>1</w:t>
            </w:r>
          </w:p>
        </w:tc>
        <w:tc>
          <w:tcPr>
            <w:tcW w:w="3150" w:type="dxa"/>
            <w:tcBorders>
              <w:top w:val="nil"/>
              <w:left w:val="nil"/>
              <w:bottom w:val="single" w:sz="12" w:space="0" w:color="auto"/>
              <w:right w:val="nil"/>
            </w:tcBorders>
            <w:vAlign w:val="center"/>
            <w:hideMark/>
          </w:tcPr>
          <w:p w14:paraId="459B48EF"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10,730</w:t>
            </w:r>
          </w:p>
        </w:tc>
      </w:tr>
      <w:tr w:rsidR="000228B0" w:rsidRPr="00EA4500" w14:paraId="378067BB" w14:textId="77777777" w:rsidTr="003205E2">
        <w:trPr>
          <w:trHeight w:val="315"/>
        </w:trPr>
        <w:tc>
          <w:tcPr>
            <w:tcW w:w="6735" w:type="dxa"/>
            <w:gridSpan w:val="2"/>
            <w:tcBorders>
              <w:top w:val="single" w:sz="12" w:space="0" w:color="auto"/>
              <w:left w:val="nil"/>
              <w:bottom w:val="nil"/>
              <w:right w:val="nil"/>
            </w:tcBorders>
            <w:noWrap/>
            <w:vAlign w:val="bottom"/>
            <w:hideMark/>
          </w:tcPr>
          <w:p w14:paraId="372980AF" w14:textId="77777777" w:rsidR="000228B0" w:rsidRPr="00EA4500" w:rsidRDefault="000228B0" w:rsidP="003205E2">
            <w:pPr>
              <w:spacing w:line="256" w:lineRule="auto"/>
              <w:ind w:left="60"/>
              <w:rPr>
                <w:rFonts w:ascii="Arial" w:hAnsi="Arial" w:cs="Arial"/>
                <w:color w:val="00B050"/>
                <w:sz w:val="16"/>
                <w:szCs w:val="16"/>
              </w:rPr>
            </w:pPr>
            <w:r w:rsidRPr="00EA4500">
              <w:rPr>
                <w:rFonts w:ascii="Arial" w:hAnsi="Arial" w:cs="Arial"/>
                <w:color w:val="00B050"/>
                <w:sz w:val="16"/>
                <w:szCs w:val="16"/>
              </w:rPr>
              <w:t>1- 370 admin-only students in institutions without NPSAS survey students are not included</w:t>
            </w:r>
          </w:p>
          <w:p w14:paraId="4E3A79F0" w14:textId="77777777" w:rsidR="000228B0" w:rsidRPr="00EA4500" w:rsidRDefault="000228B0" w:rsidP="003205E2">
            <w:pPr>
              <w:spacing w:line="256" w:lineRule="auto"/>
              <w:ind w:left="60"/>
              <w:rPr>
                <w:rFonts w:ascii="Arial" w:hAnsi="Arial" w:cs="Arial"/>
                <w:color w:val="00B050"/>
                <w:sz w:val="16"/>
                <w:szCs w:val="16"/>
              </w:rPr>
            </w:pPr>
            <w:r w:rsidRPr="00EA4500">
              <w:rPr>
                <w:rFonts w:ascii="Arial" w:hAnsi="Arial" w:cs="Arial"/>
                <w:color w:val="00B050"/>
                <w:sz w:val="16"/>
                <w:szCs w:val="16"/>
              </w:rPr>
              <w:t>NOTE: Detail may not sum to totals because of rounding.</w:t>
            </w:r>
          </w:p>
          <w:p w14:paraId="3464C727" w14:textId="77777777" w:rsidR="000228B0" w:rsidRPr="00EA4500" w:rsidRDefault="000228B0" w:rsidP="003205E2">
            <w:pPr>
              <w:pStyle w:val="Tablenotes"/>
              <w:ind w:left="60"/>
              <w:rPr>
                <w:color w:val="00B050"/>
                <w:szCs w:val="16"/>
              </w:rPr>
            </w:pPr>
            <w:r w:rsidRPr="00EA4500">
              <w:rPr>
                <w:color w:val="00B050"/>
                <w:szCs w:val="16"/>
              </w:rPr>
              <w:t>SOURCE</w:t>
            </w:r>
            <w:bookmarkStart w:id="11" w:name="_Hlk1642060"/>
            <w:r w:rsidRPr="00EA4500">
              <w:rPr>
                <w:color w:val="00B050"/>
                <w:szCs w:val="16"/>
              </w:rPr>
              <w:t>: U.S. Department of Education, National Center for Education Statistics, 2019–20 National Postsecondary Student Aid Study (NPSAS:20).</w:t>
            </w:r>
          </w:p>
          <w:bookmarkEnd w:id="11"/>
          <w:p w14:paraId="1938EA47" w14:textId="77777777" w:rsidR="000228B0" w:rsidRPr="00EA4500" w:rsidRDefault="000228B0" w:rsidP="003205E2">
            <w:pPr>
              <w:spacing w:line="256" w:lineRule="auto"/>
              <w:ind w:left="360"/>
              <w:rPr>
                <w:rFonts w:ascii="Arial" w:hAnsi="Arial" w:cs="Arial"/>
                <w:color w:val="00B050"/>
                <w:sz w:val="18"/>
                <w:szCs w:val="18"/>
              </w:rPr>
            </w:pPr>
          </w:p>
        </w:tc>
      </w:tr>
    </w:tbl>
    <w:p w14:paraId="541844C7" w14:textId="77777777" w:rsidR="000228B0" w:rsidRPr="00EA4500" w:rsidRDefault="000228B0" w:rsidP="000228B0">
      <w:pPr>
        <w:pStyle w:val="NormalWeb"/>
        <w:rPr>
          <w:rFonts w:ascii="Arial" w:eastAsia="MS Mincho" w:hAnsi="Arial" w:cs="Arial"/>
          <w:b/>
          <w:bCs/>
          <w:color w:val="00B050"/>
          <w:kern w:val="2"/>
          <w:sz w:val="20"/>
          <w:szCs w:val="20"/>
        </w:rPr>
      </w:pPr>
      <w:r w:rsidRPr="00EA4500">
        <w:rPr>
          <w:rFonts w:ascii="Arial" w:hAnsi="Arial" w:cs="Arial"/>
          <w:b/>
          <w:bCs/>
          <w:color w:val="00B050"/>
          <w:sz w:val="20"/>
          <w:szCs w:val="20"/>
        </w:rPr>
        <w:t>Table 2. BPS:20/22 sample by control and level of institution</w:t>
      </w:r>
    </w:p>
    <w:tbl>
      <w:tblPr>
        <w:tblW w:w="9360" w:type="dxa"/>
        <w:tblInd w:w="90" w:type="dxa"/>
        <w:tblLook w:val="04A0" w:firstRow="1" w:lastRow="0" w:firstColumn="1" w:lastColumn="0" w:noHBand="0" w:noVBand="1"/>
      </w:tblPr>
      <w:tblGrid>
        <w:gridCol w:w="3082"/>
        <w:gridCol w:w="1266"/>
        <w:gridCol w:w="1762"/>
        <w:gridCol w:w="1772"/>
        <w:gridCol w:w="1478"/>
      </w:tblGrid>
      <w:tr w:rsidR="000228B0" w:rsidRPr="00EA4500" w14:paraId="47BBB6D4" w14:textId="77777777" w:rsidTr="003205E2">
        <w:trPr>
          <w:trHeight w:val="315"/>
        </w:trPr>
        <w:tc>
          <w:tcPr>
            <w:tcW w:w="3082" w:type="dxa"/>
            <w:tcBorders>
              <w:top w:val="single" w:sz="12" w:space="0" w:color="auto"/>
              <w:left w:val="nil"/>
              <w:bottom w:val="nil"/>
              <w:right w:val="nil"/>
            </w:tcBorders>
            <w:noWrap/>
            <w:vAlign w:val="center"/>
            <w:hideMark/>
          </w:tcPr>
          <w:p w14:paraId="421369F3" w14:textId="77777777" w:rsidR="000228B0" w:rsidRPr="00EA4500" w:rsidRDefault="000228B0" w:rsidP="003205E2">
            <w:pPr>
              <w:spacing w:line="256" w:lineRule="auto"/>
              <w:rPr>
                <w:rFonts w:ascii="Arial" w:hAnsi="Arial" w:cs="Arial"/>
                <w:color w:val="00B050"/>
                <w:sz w:val="20"/>
                <w:szCs w:val="20"/>
              </w:rPr>
            </w:pPr>
            <w:r w:rsidRPr="00EA4500">
              <w:rPr>
                <w:rFonts w:ascii="Arial" w:hAnsi="Arial" w:cs="Arial"/>
                <w:color w:val="00B050"/>
                <w:sz w:val="20"/>
                <w:szCs w:val="20"/>
              </w:rPr>
              <w:tab/>
              <w:t> </w:t>
            </w:r>
          </w:p>
        </w:tc>
        <w:tc>
          <w:tcPr>
            <w:tcW w:w="1266" w:type="dxa"/>
            <w:tcBorders>
              <w:top w:val="single" w:sz="12" w:space="0" w:color="auto"/>
              <w:left w:val="nil"/>
              <w:bottom w:val="nil"/>
              <w:right w:val="nil"/>
            </w:tcBorders>
            <w:vAlign w:val="center"/>
            <w:hideMark/>
          </w:tcPr>
          <w:p w14:paraId="7DD45914" w14:textId="77777777" w:rsidR="000228B0" w:rsidRPr="00EA4500" w:rsidRDefault="000228B0" w:rsidP="003205E2">
            <w:pPr>
              <w:spacing w:line="256" w:lineRule="auto"/>
              <w:rPr>
                <w:rFonts w:ascii="Arial" w:hAnsi="Arial" w:cs="Arial"/>
                <w:color w:val="00B050"/>
                <w:sz w:val="20"/>
                <w:szCs w:val="20"/>
              </w:rPr>
            </w:pPr>
            <w:r w:rsidRPr="00EA4500">
              <w:rPr>
                <w:rFonts w:ascii="Arial" w:hAnsi="Arial" w:cs="Arial"/>
                <w:color w:val="00B050"/>
                <w:sz w:val="20"/>
                <w:szCs w:val="20"/>
              </w:rPr>
              <w:t> </w:t>
            </w:r>
          </w:p>
        </w:tc>
        <w:tc>
          <w:tcPr>
            <w:tcW w:w="5012" w:type="dxa"/>
            <w:gridSpan w:val="3"/>
            <w:tcBorders>
              <w:top w:val="single" w:sz="12" w:space="0" w:color="auto"/>
              <w:left w:val="nil"/>
              <w:bottom w:val="nil"/>
              <w:right w:val="nil"/>
            </w:tcBorders>
            <w:noWrap/>
            <w:vAlign w:val="bottom"/>
            <w:hideMark/>
          </w:tcPr>
          <w:p w14:paraId="566A513F" w14:textId="77777777" w:rsidR="000228B0" w:rsidRPr="00EA4500" w:rsidRDefault="000228B0" w:rsidP="003205E2">
            <w:pPr>
              <w:spacing w:line="256" w:lineRule="auto"/>
              <w:jc w:val="center"/>
              <w:rPr>
                <w:rFonts w:ascii="Arial" w:hAnsi="Arial" w:cs="Arial"/>
                <w:color w:val="00B050"/>
                <w:sz w:val="20"/>
                <w:szCs w:val="20"/>
              </w:rPr>
            </w:pPr>
            <w:r w:rsidRPr="00EA4500">
              <w:rPr>
                <w:rFonts w:ascii="Arial" w:hAnsi="Arial" w:cs="Arial"/>
                <w:color w:val="00B050"/>
                <w:sz w:val="20"/>
                <w:szCs w:val="20"/>
              </w:rPr>
              <w:t>Confirmed and potential FTB administrative student respondents from NPSAS:20 Administrative Sample</w:t>
            </w:r>
          </w:p>
        </w:tc>
      </w:tr>
      <w:tr w:rsidR="000228B0" w:rsidRPr="00EA4500" w14:paraId="1918178F" w14:textId="77777777" w:rsidTr="003205E2">
        <w:trPr>
          <w:trHeight w:val="735"/>
        </w:trPr>
        <w:tc>
          <w:tcPr>
            <w:tcW w:w="3082" w:type="dxa"/>
            <w:tcBorders>
              <w:top w:val="nil"/>
              <w:left w:val="nil"/>
              <w:bottom w:val="single" w:sz="8" w:space="0" w:color="auto"/>
              <w:right w:val="nil"/>
            </w:tcBorders>
            <w:noWrap/>
            <w:vAlign w:val="bottom"/>
            <w:hideMark/>
          </w:tcPr>
          <w:p w14:paraId="0761ADCC" w14:textId="77777777" w:rsidR="000228B0" w:rsidRPr="00EA4500" w:rsidRDefault="000228B0" w:rsidP="003205E2">
            <w:pPr>
              <w:spacing w:line="256" w:lineRule="auto"/>
              <w:rPr>
                <w:rFonts w:ascii="Arial" w:hAnsi="Arial" w:cs="Arial"/>
                <w:color w:val="00B050"/>
                <w:sz w:val="20"/>
                <w:szCs w:val="20"/>
              </w:rPr>
            </w:pPr>
            <w:r w:rsidRPr="00EA4500">
              <w:rPr>
                <w:rFonts w:ascii="Arial" w:hAnsi="Arial" w:cs="Arial"/>
                <w:color w:val="00B050"/>
                <w:sz w:val="20"/>
                <w:szCs w:val="20"/>
              </w:rPr>
              <w:t>Institution characteristics</w:t>
            </w:r>
          </w:p>
        </w:tc>
        <w:tc>
          <w:tcPr>
            <w:tcW w:w="1266" w:type="dxa"/>
            <w:tcBorders>
              <w:top w:val="nil"/>
              <w:left w:val="nil"/>
              <w:bottom w:val="single" w:sz="8" w:space="0" w:color="auto"/>
              <w:right w:val="nil"/>
            </w:tcBorders>
            <w:noWrap/>
            <w:vAlign w:val="bottom"/>
            <w:hideMark/>
          </w:tcPr>
          <w:p w14:paraId="4955293A"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Total</w:t>
            </w:r>
          </w:p>
        </w:tc>
        <w:tc>
          <w:tcPr>
            <w:tcW w:w="1762" w:type="dxa"/>
            <w:tcBorders>
              <w:top w:val="nil"/>
              <w:left w:val="nil"/>
              <w:bottom w:val="single" w:sz="8" w:space="0" w:color="auto"/>
              <w:right w:val="nil"/>
            </w:tcBorders>
            <w:vAlign w:val="bottom"/>
            <w:hideMark/>
          </w:tcPr>
          <w:p w14:paraId="631B5FCC"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NPSAS:20 Survey Respondents</w:t>
            </w:r>
          </w:p>
        </w:tc>
        <w:tc>
          <w:tcPr>
            <w:tcW w:w="1772" w:type="dxa"/>
            <w:tcBorders>
              <w:top w:val="nil"/>
              <w:left w:val="nil"/>
              <w:bottom w:val="single" w:sz="8" w:space="0" w:color="auto"/>
              <w:right w:val="nil"/>
            </w:tcBorders>
            <w:vAlign w:val="bottom"/>
            <w:hideMark/>
          </w:tcPr>
          <w:p w14:paraId="2C370B1F"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NPSAS:20 Survey Nonrespondents</w:t>
            </w:r>
          </w:p>
        </w:tc>
        <w:tc>
          <w:tcPr>
            <w:tcW w:w="1478" w:type="dxa"/>
            <w:tcBorders>
              <w:top w:val="nil"/>
              <w:left w:val="nil"/>
              <w:bottom w:val="single" w:sz="8" w:space="0" w:color="auto"/>
              <w:right w:val="nil"/>
            </w:tcBorders>
            <w:vAlign w:val="bottom"/>
            <w:hideMark/>
          </w:tcPr>
          <w:p w14:paraId="56B28152"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NPSAS:20 Admin-Only Respondents</w:t>
            </w:r>
          </w:p>
        </w:tc>
      </w:tr>
      <w:tr w:rsidR="000228B0" w:rsidRPr="00EA4500" w14:paraId="5E20973B" w14:textId="77777777" w:rsidTr="003205E2">
        <w:trPr>
          <w:trHeight w:val="300"/>
        </w:trPr>
        <w:tc>
          <w:tcPr>
            <w:tcW w:w="3082" w:type="dxa"/>
            <w:noWrap/>
            <w:vAlign w:val="center"/>
            <w:hideMark/>
          </w:tcPr>
          <w:p w14:paraId="4C4C8A96" w14:textId="77777777" w:rsidR="000228B0" w:rsidRPr="00EA4500" w:rsidRDefault="000228B0" w:rsidP="003205E2">
            <w:pPr>
              <w:spacing w:line="256" w:lineRule="auto"/>
              <w:ind w:firstLineChars="600" w:firstLine="1205"/>
              <w:rPr>
                <w:rFonts w:ascii="Arial" w:hAnsi="Arial" w:cs="Arial"/>
                <w:b/>
                <w:bCs/>
                <w:color w:val="00B050"/>
                <w:sz w:val="20"/>
                <w:szCs w:val="20"/>
              </w:rPr>
            </w:pPr>
            <w:r w:rsidRPr="00EA4500">
              <w:rPr>
                <w:rFonts w:ascii="Arial" w:hAnsi="Arial" w:cs="Arial"/>
                <w:b/>
                <w:bCs/>
                <w:color w:val="00B050"/>
                <w:sz w:val="20"/>
                <w:szCs w:val="20"/>
              </w:rPr>
              <w:t>Total</w:t>
            </w:r>
          </w:p>
        </w:tc>
        <w:tc>
          <w:tcPr>
            <w:tcW w:w="1266" w:type="dxa"/>
            <w:noWrap/>
            <w:vAlign w:val="center"/>
            <w:hideMark/>
          </w:tcPr>
          <w:p w14:paraId="2F6D7AD4" w14:textId="77777777" w:rsidR="000228B0" w:rsidRPr="00EA4500" w:rsidRDefault="000228B0" w:rsidP="003205E2">
            <w:pPr>
              <w:spacing w:line="256" w:lineRule="auto"/>
              <w:jc w:val="right"/>
              <w:rPr>
                <w:rFonts w:ascii="Arial" w:hAnsi="Arial" w:cs="Arial"/>
                <w:b/>
                <w:bCs/>
                <w:color w:val="00B050"/>
                <w:sz w:val="20"/>
                <w:szCs w:val="20"/>
              </w:rPr>
            </w:pPr>
            <w:r w:rsidRPr="00EA4500">
              <w:rPr>
                <w:rFonts w:ascii="Arial" w:hAnsi="Arial" w:cs="Arial"/>
                <w:b/>
                <w:bCs/>
                <w:color w:val="00B050"/>
                <w:sz w:val="20"/>
                <w:szCs w:val="20"/>
              </w:rPr>
              <w:t>37,330</w:t>
            </w:r>
          </w:p>
        </w:tc>
        <w:tc>
          <w:tcPr>
            <w:tcW w:w="1762" w:type="dxa"/>
            <w:noWrap/>
            <w:vAlign w:val="center"/>
            <w:hideMark/>
          </w:tcPr>
          <w:p w14:paraId="160DE4CB" w14:textId="77777777" w:rsidR="000228B0" w:rsidRPr="00EA4500" w:rsidRDefault="000228B0" w:rsidP="003205E2">
            <w:pPr>
              <w:spacing w:line="256" w:lineRule="auto"/>
              <w:jc w:val="right"/>
              <w:rPr>
                <w:rFonts w:ascii="Arial" w:hAnsi="Arial" w:cs="Arial"/>
                <w:b/>
                <w:bCs/>
                <w:color w:val="00B050"/>
                <w:sz w:val="20"/>
                <w:szCs w:val="20"/>
              </w:rPr>
            </w:pPr>
            <w:r w:rsidRPr="00EA4500">
              <w:rPr>
                <w:rFonts w:ascii="Arial" w:hAnsi="Arial" w:cs="Arial"/>
                <w:b/>
                <w:bCs/>
                <w:color w:val="00B050"/>
                <w:sz w:val="20"/>
                <w:szCs w:val="20"/>
              </w:rPr>
              <w:t>26,470</w:t>
            </w:r>
          </w:p>
        </w:tc>
        <w:tc>
          <w:tcPr>
            <w:tcW w:w="1772" w:type="dxa"/>
            <w:vAlign w:val="center"/>
            <w:hideMark/>
          </w:tcPr>
          <w:p w14:paraId="2E0F080E" w14:textId="77777777" w:rsidR="000228B0" w:rsidRPr="00EA4500" w:rsidRDefault="000228B0" w:rsidP="003205E2">
            <w:pPr>
              <w:spacing w:line="256" w:lineRule="auto"/>
              <w:jc w:val="right"/>
              <w:rPr>
                <w:rFonts w:ascii="Arial" w:hAnsi="Arial" w:cs="Arial"/>
                <w:b/>
                <w:bCs/>
                <w:color w:val="00B050"/>
                <w:sz w:val="20"/>
                <w:szCs w:val="20"/>
              </w:rPr>
            </w:pPr>
            <w:r w:rsidRPr="00EA4500">
              <w:rPr>
                <w:rFonts w:ascii="Arial" w:hAnsi="Arial" w:cs="Arial"/>
                <w:b/>
                <w:bCs/>
                <w:color w:val="00B050"/>
                <w:sz w:val="20"/>
                <w:szCs w:val="20"/>
              </w:rPr>
              <w:t>5,510</w:t>
            </w:r>
          </w:p>
        </w:tc>
        <w:tc>
          <w:tcPr>
            <w:tcW w:w="1478" w:type="dxa"/>
            <w:vAlign w:val="center"/>
            <w:hideMark/>
          </w:tcPr>
          <w:p w14:paraId="11B4BF6E" w14:textId="77777777" w:rsidR="000228B0" w:rsidRPr="00EA4500" w:rsidRDefault="000228B0" w:rsidP="003205E2">
            <w:pPr>
              <w:spacing w:line="256" w:lineRule="auto"/>
              <w:jc w:val="right"/>
              <w:rPr>
                <w:rFonts w:ascii="Arial" w:hAnsi="Arial" w:cs="Arial"/>
                <w:b/>
                <w:bCs/>
                <w:color w:val="00B050"/>
                <w:sz w:val="20"/>
                <w:szCs w:val="20"/>
              </w:rPr>
            </w:pPr>
            <w:r w:rsidRPr="00EA4500">
              <w:rPr>
                <w:rFonts w:ascii="Arial" w:hAnsi="Arial" w:cs="Arial"/>
                <w:b/>
                <w:bCs/>
                <w:color w:val="00B050"/>
                <w:sz w:val="20"/>
                <w:szCs w:val="20"/>
              </w:rPr>
              <w:t>5,350</w:t>
            </w:r>
          </w:p>
        </w:tc>
      </w:tr>
      <w:tr w:rsidR="000228B0" w:rsidRPr="00EA4500" w14:paraId="6D5C5F11" w14:textId="77777777" w:rsidTr="003205E2">
        <w:trPr>
          <w:trHeight w:hRule="exact" w:val="300"/>
        </w:trPr>
        <w:tc>
          <w:tcPr>
            <w:tcW w:w="3082" w:type="dxa"/>
            <w:noWrap/>
            <w:vAlign w:val="bottom"/>
            <w:hideMark/>
          </w:tcPr>
          <w:p w14:paraId="23569C16" w14:textId="77777777" w:rsidR="000228B0" w:rsidRPr="00EA4500" w:rsidRDefault="000228B0" w:rsidP="003205E2">
            <w:pPr>
              <w:rPr>
                <w:rFonts w:ascii="Arial" w:hAnsi="Arial" w:cs="Arial"/>
                <w:b/>
                <w:bCs/>
                <w:color w:val="00B050"/>
                <w:sz w:val="20"/>
                <w:szCs w:val="20"/>
              </w:rPr>
            </w:pPr>
          </w:p>
        </w:tc>
        <w:tc>
          <w:tcPr>
            <w:tcW w:w="1266" w:type="dxa"/>
            <w:noWrap/>
            <w:vAlign w:val="center"/>
            <w:hideMark/>
          </w:tcPr>
          <w:p w14:paraId="4CAEAFD0" w14:textId="77777777" w:rsidR="000228B0" w:rsidRPr="00EA4500" w:rsidRDefault="000228B0" w:rsidP="003205E2">
            <w:pPr>
              <w:spacing w:line="256" w:lineRule="auto"/>
              <w:rPr>
                <w:rFonts w:ascii="Arial" w:hAnsi="Arial" w:cs="Arial"/>
                <w:color w:val="00B050"/>
                <w:sz w:val="20"/>
                <w:szCs w:val="20"/>
              </w:rPr>
            </w:pPr>
          </w:p>
        </w:tc>
        <w:tc>
          <w:tcPr>
            <w:tcW w:w="1762" w:type="dxa"/>
            <w:noWrap/>
            <w:vAlign w:val="center"/>
            <w:hideMark/>
          </w:tcPr>
          <w:p w14:paraId="649BA4C3" w14:textId="77777777" w:rsidR="000228B0" w:rsidRPr="00EA4500" w:rsidRDefault="000228B0" w:rsidP="003205E2">
            <w:pPr>
              <w:spacing w:line="256" w:lineRule="auto"/>
              <w:rPr>
                <w:rFonts w:ascii="Arial" w:hAnsi="Arial" w:cs="Arial"/>
                <w:color w:val="00B050"/>
                <w:sz w:val="20"/>
                <w:szCs w:val="20"/>
              </w:rPr>
            </w:pPr>
          </w:p>
        </w:tc>
        <w:tc>
          <w:tcPr>
            <w:tcW w:w="1772" w:type="dxa"/>
            <w:vAlign w:val="center"/>
            <w:hideMark/>
          </w:tcPr>
          <w:p w14:paraId="420CC3C0" w14:textId="77777777" w:rsidR="000228B0" w:rsidRPr="00EA4500" w:rsidRDefault="000228B0" w:rsidP="003205E2">
            <w:pPr>
              <w:spacing w:line="256" w:lineRule="auto"/>
              <w:rPr>
                <w:rFonts w:ascii="Arial" w:hAnsi="Arial" w:cs="Arial"/>
                <w:color w:val="00B050"/>
                <w:sz w:val="20"/>
                <w:szCs w:val="20"/>
              </w:rPr>
            </w:pPr>
          </w:p>
        </w:tc>
        <w:tc>
          <w:tcPr>
            <w:tcW w:w="1478" w:type="dxa"/>
            <w:vAlign w:val="center"/>
            <w:hideMark/>
          </w:tcPr>
          <w:p w14:paraId="7EBE80B3" w14:textId="77777777" w:rsidR="000228B0" w:rsidRPr="00EA4500" w:rsidRDefault="000228B0" w:rsidP="003205E2">
            <w:pPr>
              <w:spacing w:line="256" w:lineRule="auto"/>
              <w:rPr>
                <w:rFonts w:ascii="Arial" w:hAnsi="Arial" w:cs="Arial"/>
                <w:color w:val="00B050"/>
                <w:sz w:val="20"/>
                <w:szCs w:val="20"/>
              </w:rPr>
            </w:pPr>
          </w:p>
        </w:tc>
      </w:tr>
      <w:tr w:rsidR="000228B0" w:rsidRPr="00EA4500" w14:paraId="64F6AB8E" w14:textId="77777777" w:rsidTr="003205E2">
        <w:trPr>
          <w:trHeight w:val="300"/>
        </w:trPr>
        <w:tc>
          <w:tcPr>
            <w:tcW w:w="3082" w:type="dxa"/>
            <w:noWrap/>
            <w:vAlign w:val="center"/>
            <w:hideMark/>
          </w:tcPr>
          <w:p w14:paraId="0BB7FBC0" w14:textId="77777777" w:rsidR="000228B0" w:rsidRPr="00EA4500" w:rsidRDefault="000228B0" w:rsidP="003205E2">
            <w:pPr>
              <w:spacing w:line="256" w:lineRule="auto"/>
              <w:rPr>
                <w:rFonts w:ascii="Arial" w:hAnsi="Arial" w:cs="Arial"/>
                <w:color w:val="00B050"/>
                <w:sz w:val="20"/>
                <w:szCs w:val="20"/>
              </w:rPr>
            </w:pPr>
            <w:r w:rsidRPr="00EA4500">
              <w:rPr>
                <w:rFonts w:ascii="Arial" w:hAnsi="Arial" w:cs="Arial"/>
                <w:color w:val="00B050"/>
                <w:sz w:val="20"/>
                <w:szCs w:val="20"/>
              </w:rPr>
              <w:t>Institution type</w:t>
            </w:r>
          </w:p>
        </w:tc>
        <w:tc>
          <w:tcPr>
            <w:tcW w:w="1266" w:type="dxa"/>
            <w:noWrap/>
            <w:vAlign w:val="center"/>
            <w:hideMark/>
          </w:tcPr>
          <w:p w14:paraId="2C41AFDF" w14:textId="77777777" w:rsidR="000228B0" w:rsidRPr="00EA4500" w:rsidRDefault="000228B0" w:rsidP="003205E2">
            <w:pPr>
              <w:rPr>
                <w:rFonts w:ascii="Arial" w:hAnsi="Arial" w:cs="Arial"/>
                <w:color w:val="00B050"/>
                <w:sz w:val="20"/>
                <w:szCs w:val="20"/>
              </w:rPr>
            </w:pPr>
          </w:p>
        </w:tc>
        <w:tc>
          <w:tcPr>
            <w:tcW w:w="1762" w:type="dxa"/>
            <w:noWrap/>
            <w:vAlign w:val="center"/>
            <w:hideMark/>
          </w:tcPr>
          <w:p w14:paraId="6F04BD8C" w14:textId="77777777" w:rsidR="000228B0" w:rsidRPr="00EA4500" w:rsidRDefault="000228B0" w:rsidP="003205E2">
            <w:pPr>
              <w:spacing w:line="256" w:lineRule="auto"/>
              <w:rPr>
                <w:rFonts w:ascii="Arial" w:hAnsi="Arial" w:cs="Arial"/>
                <w:color w:val="00B050"/>
                <w:sz w:val="20"/>
                <w:szCs w:val="20"/>
              </w:rPr>
            </w:pPr>
          </w:p>
        </w:tc>
        <w:tc>
          <w:tcPr>
            <w:tcW w:w="1772" w:type="dxa"/>
            <w:vAlign w:val="center"/>
            <w:hideMark/>
          </w:tcPr>
          <w:p w14:paraId="23E8A543" w14:textId="77777777" w:rsidR="000228B0" w:rsidRPr="00EA4500" w:rsidRDefault="000228B0" w:rsidP="003205E2">
            <w:pPr>
              <w:spacing w:line="256" w:lineRule="auto"/>
              <w:rPr>
                <w:rFonts w:ascii="Arial" w:hAnsi="Arial" w:cs="Arial"/>
                <w:color w:val="00B050"/>
                <w:sz w:val="20"/>
                <w:szCs w:val="20"/>
              </w:rPr>
            </w:pPr>
          </w:p>
        </w:tc>
        <w:tc>
          <w:tcPr>
            <w:tcW w:w="1478" w:type="dxa"/>
            <w:vAlign w:val="center"/>
            <w:hideMark/>
          </w:tcPr>
          <w:p w14:paraId="2F18C97E" w14:textId="77777777" w:rsidR="000228B0" w:rsidRPr="00EA4500" w:rsidRDefault="000228B0" w:rsidP="003205E2">
            <w:pPr>
              <w:spacing w:line="256" w:lineRule="auto"/>
              <w:rPr>
                <w:rFonts w:ascii="Arial" w:hAnsi="Arial" w:cs="Arial"/>
                <w:color w:val="00B050"/>
                <w:sz w:val="20"/>
                <w:szCs w:val="20"/>
              </w:rPr>
            </w:pPr>
          </w:p>
        </w:tc>
      </w:tr>
      <w:tr w:rsidR="000228B0" w:rsidRPr="00EA4500" w14:paraId="1BA7F47A" w14:textId="77777777" w:rsidTr="003205E2">
        <w:trPr>
          <w:trHeight w:val="300"/>
        </w:trPr>
        <w:tc>
          <w:tcPr>
            <w:tcW w:w="3082" w:type="dxa"/>
            <w:noWrap/>
            <w:vAlign w:val="center"/>
            <w:hideMark/>
          </w:tcPr>
          <w:p w14:paraId="66205D0C" w14:textId="77777777" w:rsidR="000228B0" w:rsidRPr="00EA4500" w:rsidRDefault="000228B0" w:rsidP="003205E2">
            <w:pPr>
              <w:spacing w:line="256" w:lineRule="auto"/>
              <w:ind w:firstLineChars="200" w:firstLine="400"/>
              <w:rPr>
                <w:rFonts w:ascii="Arial" w:hAnsi="Arial" w:cs="Arial"/>
                <w:color w:val="00B050"/>
                <w:sz w:val="20"/>
                <w:szCs w:val="20"/>
              </w:rPr>
            </w:pPr>
            <w:r w:rsidRPr="00EA4500">
              <w:rPr>
                <w:rFonts w:ascii="Arial" w:hAnsi="Arial" w:cs="Arial"/>
                <w:color w:val="00B050"/>
                <w:sz w:val="20"/>
                <w:szCs w:val="20"/>
              </w:rPr>
              <w:t>Public</w:t>
            </w:r>
          </w:p>
        </w:tc>
        <w:tc>
          <w:tcPr>
            <w:tcW w:w="1266" w:type="dxa"/>
            <w:noWrap/>
            <w:vAlign w:val="center"/>
            <w:hideMark/>
          </w:tcPr>
          <w:p w14:paraId="029E75DF" w14:textId="77777777" w:rsidR="000228B0" w:rsidRPr="00EA4500" w:rsidRDefault="000228B0" w:rsidP="003205E2">
            <w:pPr>
              <w:rPr>
                <w:rFonts w:ascii="Arial" w:hAnsi="Arial" w:cs="Arial"/>
                <w:color w:val="00B050"/>
                <w:sz w:val="20"/>
                <w:szCs w:val="20"/>
              </w:rPr>
            </w:pPr>
          </w:p>
        </w:tc>
        <w:tc>
          <w:tcPr>
            <w:tcW w:w="1762" w:type="dxa"/>
            <w:noWrap/>
            <w:vAlign w:val="center"/>
            <w:hideMark/>
          </w:tcPr>
          <w:p w14:paraId="141C9DB1" w14:textId="77777777" w:rsidR="000228B0" w:rsidRPr="00EA4500" w:rsidRDefault="000228B0" w:rsidP="003205E2">
            <w:pPr>
              <w:spacing w:line="256" w:lineRule="auto"/>
              <w:rPr>
                <w:rFonts w:ascii="Arial" w:hAnsi="Arial" w:cs="Arial"/>
                <w:color w:val="00B050"/>
                <w:sz w:val="20"/>
                <w:szCs w:val="20"/>
              </w:rPr>
            </w:pPr>
          </w:p>
        </w:tc>
        <w:tc>
          <w:tcPr>
            <w:tcW w:w="1772" w:type="dxa"/>
            <w:vAlign w:val="center"/>
            <w:hideMark/>
          </w:tcPr>
          <w:p w14:paraId="28DA5331" w14:textId="77777777" w:rsidR="000228B0" w:rsidRPr="00EA4500" w:rsidRDefault="000228B0" w:rsidP="003205E2">
            <w:pPr>
              <w:spacing w:line="256" w:lineRule="auto"/>
              <w:rPr>
                <w:rFonts w:ascii="Arial" w:hAnsi="Arial" w:cs="Arial"/>
                <w:color w:val="00B050"/>
                <w:sz w:val="20"/>
                <w:szCs w:val="20"/>
              </w:rPr>
            </w:pPr>
          </w:p>
        </w:tc>
        <w:tc>
          <w:tcPr>
            <w:tcW w:w="1478" w:type="dxa"/>
            <w:vAlign w:val="center"/>
            <w:hideMark/>
          </w:tcPr>
          <w:p w14:paraId="5AB638A5" w14:textId="77777777" w:rsidR="000228B0" w:rsidRPr="00EA4500" w:rsidRDefault="000228B0" w:rsidP="003205E2">
            <w:pPr>
              <w:spacing w:line="256" w:lineRule="auto"/>
              <w:rPr>
                <w:rFonts w:ascii="Arial" w:hAnsi="Arial" w:cs="Arial"/>
                <w:color w:val="00B050"/>
                <w:sz w:val="20"/>
                <w:szCs w:val="20"/>
              </w:rPr>
            </w:pPr>
          </w:p>
        </w:tc>
      </w:tr>
      <w:tr w:rsidR="000228B0" w:rsidRPr="00EA4500" w14:paraId="731AA0B1" w14:textId="77777777" w:rsidTr="003205E2">
        <w:trPr>
          <w:trHeight w:val="300"/>
        </w:trPr>
        <w:tc>
          <w:tcPr>
            <w:tcW w:w="3082" w:type="dxa"/>
            <w:vAlign w:val="center"/>
            <w:hideMark/>
          </w:tcPr>
          <w:p w14:paraId="155A9A54" w14:textId="77777777" w:rsidR="000228B0" w:rsidRPr="00EA4500" w:rsidRDefault="000228B0" w:rsidP="003205E2">
            <w:pPr>
              <w:spacing w:line="256" w:lineRule="auto"/>
              <w:ind w:left="720"/>
              <w:rPr>
                <w:rFonts w:ascii="Arial" w:hAnsi="Arial" w:cs="Arial"/>
                <w:color w:val="00B050"/>
                <w:sz w:val="20"/>
                <w:szCs w:val="20"/>
              </w:rPr>
            </w:pPr>
            <w:r w:rsidRPr="00EA4500">
              <w:rPr>
                <w:rFonts w:ascii="Arial" w:hAnsi="Arial" w:cs="Arial"/>
                <w:color w:val="00B050"/>
                <w:sz w:val="20"/>
                <w:szCs w:val="20"/>
              </w:rPr>
              <w:t>Less-than-2-year</w:t>
            </w:r>
          </w:p>
        </w:tc>
        <w:tc>
          <w:tcPr>
            <w:tcW w:w="1266" w:type="dxa"/>
            <w:noWrap/>
            <w:vAlign w:val="center"/>
            <w:hideMark/>
          </w:tcPr>
          <w:p w14:paraId="4FDF5039"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400</w:t>
            </w:r>
          </w:p>
        </w:tc>
        <w:tc>
          <w:tcPr>
            <w:tcW w:w="1762" w:type="dxa"/>
            <w:noWrap/>
            <w:vAlign w:val="center"/>
            <w:hideMark/>
          </w:tcPr>
          <w:p w14:paraId="45156E07"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270</w:t>
            </w:r>
          </w:p>
        </w:tc>
        <w:tc>
          <w:tcPr>
            <w:tcW w:w="1772" w:type="dxa"/>
            <w:vAlign w:val="center"/>
            <w:hideMark/>
          </w:tcPr>
          <w:p w14:paraId="622ADBC8"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120</w:t>
            </w:r>
          </w:p>
        </w:tc>
        <w:tc>
          <w:tcPr>
            <w:tcW w:w="1478" w:type="dxa"/>
            <w:vAlign w:val="center"/>
            <w:hideMark/>
          </w:tcPr>
          <w:p w14:paraId="213E6E4F"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&lt;5</w:t>
            </w:r>
          </w:p>
        </w:tc>
      </w:tr>
      <w:tr w:rsidR="000228B0" w:rsidRPr="00EA4500" w14:paraId="0E1CDFAE" w14:textId="77777777" w:rsidTr="003205E2">
        <w:trPr>
          <w:trHeight w:val="300"/>
        </w:trPr>
        <w:tc>
          <w:tcPr>
            <w:tcW w:w="3082" w:type="dxa"/>
            <w:vAlign w:val="center"/>
            <w:hideMark/>
          </w:tcPr>
          <w:p w14:paraId="5F9397E4" w14:textId="77777777" w:rsidR="000228B0" w:rsidRPr="00EA4500" w:rsidRDefault="000228B0" w:rsidP="003205E2">
            <w:pPr>
              <w:spacing w:line="256" w:lineRule="auto"/>
              <w:ind w:left="720"/>
              <w:rPr>
                <w:rFonts w:ascii="Arial" w:hAnsi="Arial" w:cs="Arial"/>
                <w:color w:val="00B050"/>
                <w:sz w:val="20"/>
                <w:szCs w:val="20"/>
              </w:rPr>
            </w:pPr>
            <w:r w:rsidRPr="00EA4500">
              <w:rPr>
                <w:rFonts w:ascii="Arial" w:hAnsi="Arial" w:cs="Arial"/>
                <w:color w:val="00B050"/>
                <w:sz w:val="20"/>
                <w:szCs w:val="20"/>
              </w:rPr>
              <w:t>2-year</w:t>
            </w:r>
          </w:p>
        </w:tc>
        <w:tc>
          <w:tcPr>
            <w:tcW w:w="1266" w:type="dxa"/>
            <w:noWrap/>
            <w:vAlign w:val="center"/>
            <w:hideMark/>
          </w:tcPr>
          <w:p w14:paraId="3C36EDC1"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12,370</w:t>
            </w:r>
          </w:p>
        </w:tc>
        <w:tc>
          <w:tcPr>
            <w:tcW w:w="1762" w:type="dxa"/>
            <w:noWrap/>
            <w:vAlign w:val="center"/>
            <w:hideMark/>
          </w:tcPr>
          <w:p w14:paraId="224BDC7B"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9,000</w:t>
            </w:r>
          </w:p>
        </w:tc>
        <w:tc>
          <w:tcPr>
            <w:tcW w:w="1772" w:type="dxa"/>
            <w:vAlign w:val="center"/>
            <w:hideMark/>
          </w:tcPr>
          <w:p w14:paraId="53562C94"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2,210</w:t>
            </w:r>
          </w:p>
        </w:tc>
        <w:tc>
          <w:tcPr>
            <w:tcW w:w="1478" w:type="dxa"/>
            <w:vAlign w:val="center"/>
            <w:hideMark/>
          </w:tcPr>
          <w:p w14:paraId="2BF91810"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1,160</w:t>
            </w:r>
          </w:p>
        </w:tc>
      </w:tr>
      <w:tr w:rsidR="000228B0" w:rsidRPr="00EA4500" w14:paraId="79B1B646" w14:textId="77777777" w:rsidTr="003205E2">
        <w:trPr>
          <w:trHeight w:val="585"/>
        </w:trPr>
        <w:tc>
          <w:tcPr>
            <w:tcW w:w="3082" w:type="dxa"/>
            <w:vAlign w:val="center"/>
            <w:hideMark/>
          </w:tcPr>
          <w:p w14:paraId="04BDBCBA" w14:textId="77777777" w:rsidR="000228B0" w:rsidRPr="00EA4500" w:rsidRDefault="000228B0" w:rsidP="003205E2">
            <w:pPr>
              <w:spacing w:line="256" w:lineRule="auto"/>
              <w:ind w:left="720"/>
              <w:rPr>
                <w:rFonts w:ascii="Arial" w:hAnsi="Arial" w:cs="Arial"/>
                <w:color w:val="00B050"/>
                <w:sz w:val="20"/>
                <w:szCs w:val="20"/>
              </w:rPr>
            </w:pPr>
            <w:r w:rsidRPr="00EA4500">
              <w:rPr>
                <w:rFonts w:ascii="Arial" w:hAnsi="Arial" w:cs="Arial"/>
                <w:color w:val="00B050"/>
                <w:sz w:val="20"/>
                <w:szCs w:val="20"/>
              </w:rPr>
              <w:t>4-year non-doctorate-granting primarily sub-baccalaureate</w:t>
            </w:r>
          </w:p>
        </w:tc>
        <w:tc>
          <w:tcPr>
            <w:tcW w:w="1266" w:type="dxa"/>
            <w:noWrap/>
            <w:vAlign w:val="center"/>
            <w:hideMark/>
          </w:tcPr>
          <w:p w14:paraId="7DFDECFB"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2,610</w:t>
            </w:r>
          </w:p>
        </w:tc>
        <w:tc>
          <w:tcPr>
            <w:tcW w:w="1762" w:type="dxa"/>
            <w:noWrap/>
            <w:vAlign w:val="center"/>
            <w:hideMark/>
          </w:tcPr>
          <w:p w14:paraId="117948FB"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2,010</w:t>
            </w:r>
          </w:p>
        </w:tc>
        <w:tc>
          <w:tcPr>
            <w:tcW w:w="1772" w:type="dxa"/>
            <w:vAlign w:val="center"/>
            <w:hideMark/>
          </w:tcPr>
          <w:p w14:paraId="74F178F5"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550</w:t>
            </w:r>
          </w:p>
        </w:tc>
        <w:tc>
          <w:tcPr>
            <w:tcW w:w="1478" w:type="dxa"/>
            <w:vAlign w:val="center"/>
            <w:hideMark/>
          </w:tcPr>
          <w:p w14:paraId="6EBA3C8C"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50</w:t>
            </w:r>
          </w:p>
        </w:tc>
      </w:tr>
      <w:tr w:rsidR="000228B0" w:rsidRPr="00EA4500" w14:paraId="24AB2424" w14:textId="77777777" w:rsidTr="003205E2">
        <w:trPr>
          <w:trHeight w:val="585"/>
        </w:trPr>
        <w:tc>
          <w:tcPr>
            <w:tcW w:w="3082" w:type="dxa"/>
            <w:vAlign w:val="center"/>
            <w:hideMark/>
          </w:tcPr>
          <w:p w14:paraId="31AA9F88" w14:textId="77777777" w:rsidR="000228B0" w:rsidRPr="00EA4500" w:rsidRDefault="000228B0" w:rsidP="003205E2">
            <w:pPr>
              <w:spacing w:line="256" w:lineRule="auto"/>
              <w:ind w:left="720"/>
              <w:rPr>
                <w:rFonts w:ascii="Arial" w:hAnsi="Arial" w:cs="Arial"/>
                <w:color w:val="00B050"/>
                <w:sz w:val="20"/>
                <w:szCs w:val="20"/>
              </w:rPr>
            </w:pPr>
            <w:r w:rsidRPr="00EA4500">
              <w:rPr>
                <w:rFonts w:ascii="Arial" w:hAnsi="Arial" w:cs="Arial"/>
                <w:color w:val="00B050"/>
                <w:sz w:val="20"/>
                <w:szCs w:val="20"/>
              </w:rPr>
              <w:t>4-year non-doctorate-granting primarily baccalaureate</w:t>
            </w:r>
          </w:p>
        </w:tc>
        <w:tc>
          <w:tcPr>
            <w:tcW w:w="1266" w:type="dxa"/>
            <w:noWrap/>
            <w:vAlign w:val="center"/>
            <w:hideMark/>
          </w:tcPr>
          <w:p w14:paraId="79B6E0DF"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2,290</w:t>
            </w:r>
          </w:p>
        </w:tc>
        <w:tc>
          <w:tcPr>
            <w:tcW w:w="1762" w:type="dxa"/>
            <w:noWrap/>
            <w:vAlign w:val="center"/>
            <w:hideMark/>
          </w:tcPr>
          <w:p w14:paraId="77DDBB40"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1,850</w:t>
            </w:r>
          </w:p>
        </w:tc>
        <w:tc>
          <w:tcPr>
            <w:tcW w:w="1772" w:type="dxa"/>
            <w:noWrap/>
            <w:vAlign w:val="center"/>
            <w:hideMark/>
          </w:tcPr>
          <w:p w14:paraId="10658A5A"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260</w:t>
            </w:r>
          </w:p>
        </w:tc>
        <w:tc>
          <w:tcPr>
            <w:tcW w:w="1478" w:type="dxa"/>
            <w:vAlign w:val="center"/>
            <w:hideMark/>
          </w:tcPr>
          <w:p w14:paraId="22795B2A"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180</w:t>
            </w:r>
          </w:p>
        </w:tc>
      </w:tr>
      <w:tr w:rsidR="000228B0" w:rsidRPr="00EA4500" w14:paraId="6F988DC9" w14:textId="77777777" w:rsidTr="003205E2">
        <w:trPr>
          <w:trHeight w:val="300"/>
        </w:trPr>
        <w:tc>
          <w:tcPr>
            <w:tcW w:w="3082" w:type="dxa"/>
            <w:vAlign w:val="center"/>
            <w:hideMark/>
          </w:tcPr>
          <w:p w14:paraId="5496304D" w14:textId="77777777" w:rsidR="000228B0" w:rsidRPr="00EA4500" w:rsidRDefault="000228B0" w:rsidP="003205E2">
            <w:pPr>
              <w:spacing w:line="256" w:lineRule="auto"/>
              <w:ind w:left="720"/>
              <w:rPr>
                <w:rFonts w:ascii="Arial" w:hAnsi="Arial" w:cs="Arial"/>
                <w:color w:val="00B050"/>
                <w:sz w:val="20"/>
                <w:szCs w:val="20"/>
              </w:rPr>
            </w:pPr>
            <w:r w:rsidRPr="00EA4500">
              <w:rPr>
                <w:rFonts w:ascii="Arial" w:hAnsi="Arial" w:cs="Arial"/>
                <w:color w:val="00B050"/>
                <w:sz w:val="20"/>
                <w:szCs w:val="20"/>
              </w:rPr>
              <w:t>4-year doctorate-granting</w:t>
            </w:r>
          </w:p>
        </w:tc>
        <w:tc>
          <w:tcPr>
            <w:tcW w:w="1266" w:type="dxa"/>
            <w:noWrap/>
            <w:vAlign w:val="center"/>
            <w:hideMark/>
          </w:tcPr>
          <w:p w14:paraId="20C7CECB"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7,840</w:t>
            </w:r>
          </w:p>
        </w:tc>
        <w:tc>
          <w:tcPr>
            <w:tcW w:w="1762" w:type="dxa"/>
            <w:noWrap/>
            <w:vAlign w:val="center"/>
            <w:hideMark/>
          </w:tcPr>
          <w:p w14:paraId="2C550CE7"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4,750</w:t>
            </w:r>
          </w:p>
        </w:tc>
        <w:tc>
          <w:tcPr>
            <w:tcW w:w="1772" w:type="dxa"/>
            <w:vAlign w:val="center"/>
            <w:hideMark/>
          </w:tcPr>
          <w:p w14:paraId="55DCB483"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790</w:t>
            </w:r>
          </w:p>
        </w:tc>
        <w:tc>
          <w:tcPr>
            <w:tcW w:w="1478" w:type="dxa"/>
            <w:vAlign w:val="center"/>
            <w:hideMark/>
          </w:tcPr>
          <w:p w14:paraId="0F05E115"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2,300</w:t>
            </w:r>
          </w:p>
        </w:tc>
      </w:tr>
      <w:tr w:rsidR="000228B0" w:rsidRPr="00EA4500" w14:paraId="3458271C" w14:textId="77777777" w:rsidTr="003205E2">
        <w:trPr>
          <w:trHeight w:val="300"/>
        </w:trPr>
        <w:tc>
          <w:tcPr>
            <w:tcW w:w="3082" w:type="dxa"/>
            <w:noWrap/>
            <w:vAlign w:val="center"/>
            <w:hideMark/>
          </w:tcPr>
          <w:p w14:paraId="4A8449D6" w14:textId="77777777" w:rsidR="000228B0" w:rsidRPr="00EA4500" w:rsidRDefault="000228B0" w:rsidP="003205E2">
            <w:pPr>
              <w:spacing w:line="256" w:lineRule="auto"/>
              <w:ind w:firstLineChars="200" w:firstLine="400"/>
              <w:rPr>
                <w:rFonts w:ascii="Arial" w:hAnsi="Arial" w:cs="Arial"/>
                <w:color w:val="00B050"/>
                <w:sz w:val="20"/>
                <w:szCs w:val="20"/>
              </w:rPr>
            </w:pPr>
            <w:r w:rsidRPr="00EA4500">
              <w:rPr>
                <w:rFonts w:ascii="Arial" w:hAnsi="Arial" w:cs="Arial"/>
                <w:color w:val="00B050"/>
                <w:sz w:val="20"/>
                <w:szCs w:val="20"/>
              </w:rPr>
              <w:t>Private nonprofit</w:t>
            </w:r>
          </w:p>
        </w:tc>
        <w:tc>
          <w:tcPr>
            <w:tcW w:w="1266" w:type="dxa"/>
            <w:noWrap/>
            <w:vAlign w:val="center"/>
            <w:hideMark/>
          </w:tcPr>
          <w:p w14:paraId="50116D49" w14:textId="77777777" w:rsidR="000228B0" w:rsidRPr="00EA4500" w:rsidRDefault="000228B0" w:rsidP="003205E2">
            <w:pPr>
              <w:rPr>
                <w:rFonts w:ascii="Arial" w:hAnsi="Arial" w:cs="Arial"/>
                <w:color w:val="00B050"/>
                <w:sz w:val="20"/>
                <w:szCs w:val="20"/>
              </w:rPr>
            </w:pPr>
          </w:p>
        </w:tc>
        <w:tc>
          <w:tcPr>
            <w:tcW w:w="1762" w:type="dxa"/>
            <w:noWrap/>
            <w:vAlign w:val="center"/>
            <w:hideMark/>
          </w:tcPr>
          <w:p w14:paraId="479A5B7E" w14:textId="77777777" w:rsidR="000228B0" w:rsidRPr="00EA4500" w:rsidRDefault="000228B0" w:rsidP="003205E2">
            <w:pPr>
              <w:spacing w:line="256" w:lineRule="auto"/>
              <w:rPr>
                <w:rFonts w:ascii="Arial" w:hAnsi="Arial" w:cs="Arial"/>
                <w:color w:val="00B050"/>
                <w:sz w:val="20"/>
                <w:szCs w:val="20"/>
              </w:rPr>
            </w:pPr>
          </w:p>
        </w:tc>
        <w:tc>
          <w:tcPr>
            <w:tcW w:w="1772" w:type="dxa"/>
            <w:vAlign w:val="center"/>
            <w:hideMark/>
          </w:tcPr>
          <w:p w14:paraId="07B4BFAD" w14:textId="77777777" w:rsidR="000228B0" w:rsidRPr="00EA4500" w:rsidRDefault="000228B0" w:rsidP="003205E2">
            <w:pPr>
              <w:spacing w:line="256" w:lineRule="auto"/>
              <w:rPr>
                <w:rFonts w:ascii="Arial" w:hAnsi="Arial" w:cs="Arial"/>
                <w:color w:val="00B050"/>
                <w:sz w:val="20"/>
                <w:szCs w:val="20"/>
              </w:rPr>
            </w:pPr>
          </w:p>
        </w:tc>
        <w:tc>
          <w:tcPr>
            <w:tcW w:w="1478" w:type="dxa"/>
            <w:vAlign w:val="center"/>
            <w:hideMark/>
          </w:tcPr>
          <w:p w14:paraId="3C2A0D97" w14:textId="77777777" w:rsidR="000228B0" w:rsidRPr="00EA4500" w:rsidRDefault="000228B0" w:rsidP="003205E2">
            <w:pPr>
              <w:spacing w:line="256" w:lineRule="auto"/>
              <w:rPr>
                <w:rFonts w:ascii="Arial" w:hAnsi="Arial" w:cs="Arial"/>
                <w:color w:val="00B050"/>
                <w:sz w:val="20"/>
                <w:szCs w:val="20"/>
              </w:rPr>
            </w:pPr>
          </w:p>
        </w:tc>
      </w:tr>
      <w:tr w:rsidR="000228B0" w:rsidRPr="00EA4500" w14:paraId="604C9AD4" w14:textId="77777777" w:rsidTr="003205E2">
        <w:trPr>
          <w:trHeight w:val="300"/>
        </w:trPr>
        <w:tc>
          <w:tcPr>
            <w:tcW w:w="3082" w:type="dxa"/>
            <w:vAlign w:val="center"/>
            <w:hideMark/>
          </w:tcPr>
          <w:p w14:paraId="34E11B10" w14:textId="77777777" w:rsidR="000228B0" w:rsidRPr="00EA4500" w:rsidRDefault="000228B0" w:rsidP="003205E2">
            <w:pPr>
              <w:spacing w:line="256" w:lineRule="auto"/>
              <w:ind w:left="720"/>
              <w:rPr>
                <w:rFonts w:ascii="Arial" w:hAnsi="Arial" w:cs="Arial"/>
                <w:color w:val="00B050"/>
                <w:sz w:val="20"/>
                <w:szCs w:val="20"/>
              </w:rPr>
            </w:pPr>
            <w:r w:rsidRPr="00EA4500">
              <w:rPr>
                <w:rFonts w:ascii="Arial" w:hAnsi="Arial" w:cs="Arial"/>
                <w:color w:val="00B050"/>
                <w:sz w:val="20"/>
                <w:szCs w:val="20"/>
              </w:rPr>
              <w:t>Less-than-4-year</w:t>
            </w:r>
          </w:p>
        </w:tc>
        <w:tc>
          <w:tcPr>
            <w:tcW w:w="1266" w:type="dxa"/>
            <w:noWrap/>
            <w:vAlign w:val="center"/>
            <w:hideMark/>
          </w:tcPr>
          <w:p w14:paraId="3AD81000"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290</w:t>
            </w:r>
          </w:p>
        </w:tc>
        <w:tc>
          <w:tcPr>
            <w:tcW w:w="1762" w:type="dxa"/>
            <w:noWrap/>
            <w:vAlign w:val="center"/>
            <w:hideMark/>
          </w:tcPr>
          <w:p w14:paraId="0DEAAC04"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190</w:t>
            </w:r>
          </w:p>
        </w:tc>
        <w:tc>
          <w:tcPr>
            <w:tcW w:w="1772" w:type="dxa"/>
            <w:vAlign w:val="center"/>
            <w:hideMark/>
          </w:tcPr>
          <w:p w14:paraId="7ED5CB06"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100</w:t>
            </w:r>
          </w:p>
        </w:tc>
        <w:tc>
          <w:tcPr>
            <w:tcW w:w="1478" w:type="dxa"/>
            <w:vAlign w:val="center"/>
            <w:hideMark/>
          </w:tcPr>
          <w:p w14:paraId="6ADAA082"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&lt;5</w:t>
            </w:r>
          </w:p>
        </w:tc>
      </w:tr>
      <w:tr w:rsidR="000228B0" w:rsidRPr="00EA4500" w14:paraId="30167811" w14:textId="77777777" w:rsidTr="003205E2">
        <w:trPr>
          <w:trHeight w:val="510"/>
        </w:trPr>
        <w:tc>
          <w:tcPr>
            <w:tcW w:w="3082" w:type="dxa"/>
            <w:vAlign w:val="center"/>
            <w:hideMark/>
          </w:tcPr>
          <w:p w14:paraId="75DC9DBD" w14:textId="77777777" w:rsidR="000228B0" w:rsidRPr="00EA4500" w:rsidRDefault="000228B0" w:rsidP="003205E2">
            <w:pPr>
              <w:spacing w:line="256" w:lineRule="auto"/>
              <w:ind w:left="720"/>
              <w:rPr>
                <w:rFonts w:ascii="Arial" w:hAnsi="Arial" w:cs="Arial"/>
                <w:color w:val="00B050"/>
                <w:sz w:val="20"/>
                <w:szCs w:val="20"/>
              </w:rPr>
            </w:pPr>
            <w:r w:rsidRPr="00EA4500">
              <w:rPr>
                <w:rFonts w:ascii="Arial" w:hAnsi="Arial" w:cs="Arial"/>
                <w:color w:val="00B050"/>
                <w:sz w:val="20"/>
                <w:szCs w:val="20"/>
              </w:rPr>
              <w:t>4-year non-doctorate-   granting</w:t>
            </w:r>
          </w:p>
        </w:tc>
        <w:tc>
          <w:tcPr>
            <w:tcW w:w="1266" w:type="dxa"/>
            <w:noWrap/>
            <w:vAlign w:val="center"/>
            <w:hideMark/>
          </w:tcPr>
          <w:p w14:paraId="2B9C5CFD"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2,940</w:t>
            </w:r>
          </w:p>
        </w:tc>
        <w:tc>
          <w:tcPr>
            <w:tcW w:w="1762" w:type="dxa"/>
            <w:noWrap/>
            <w:vAlign w:val="center"/>
            <w:hideMark/>
          </w:tcPr>
          <w:p w14:paraId="28A81D2B"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2,000</w:t>
            </w:r>
          </w:p>
        </w:tc>
        <w:tc>
          <w:tcPr>
            <w:tcW w:w="1772" w:type="dxa"/>
            <w:vAlign w:val="center"/>
            <w:hideMark/>
          </w:tcPr>
          <w:p w14:paraId="5473CA7E"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220</w:t>
            </w:r>
          </w:p>
        </w:tc>
        <w:tc>
          <w:tcPr>
            <w:tcW w:w="1478" w:type="dxa"/>
            <w:vAlign w:val="center"/>
            <w:hideMark/>
          </w:tcPr>
          <w:p w14:paraId="792C35BC"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720</w:t>
            </w:r>
          </w:p>
        </w:tc>
      </w:tr>
      <w:tr w:rsidR="000228B0" w:rsidRPr="00EA4500" w14:paraId="44E98F99" w14:textId="77777777" w:rsidTr="003205E2">
        <w:trPr>
          <w:trHeight w:val="300"/>
        </w:trPr>
        <w:tc>
          <w:tcPr>
            <w:tcW w:w="3082" w:type="dxa"/>
            <w:vAlign w:val="center"/>
            <w:hideMark/>
          </w:tcPr>
          <w:p w14:paraId="6908E6EF" w14:textId="77777777" w:rsidR="000228B0" w:rsidRPr="00EA4500" w:rsidRDefault="000228B0" w:rsidP="003205E2">
            <w:pPr>
              <w:spacing w:line="256" w:lineRule="auto"/>
              <w:ind w:left="720"/>
              <w:rPr>
                <w:rFonts w:ascii="Arial" w:hAnsi="Arial" w:cs="Arial"/>
                <w:color w:val="00B050"/>
                <w:sz w:val="20"/>
                <w:szCs w:val="20"/>
              </w:rPr>
            </w:pPr>
            <w:r w:rsidRPr="00EA4500">
              <w:rPr>
                <w:rFonts w:ascii="Arial" w:hAnsi="Arial" w:cs="Arial"/>
                <w:color w:val="00B050"/>
                <w:sz w:val="20"/>
                <w:szCs w:val="20"/>
              </w:rPr>
              <w:t>4-year doctorate-granting</w:t>
            </w:r>
          </w:p>
        </w:tc>
        <w:tc>
          <w:tcPr>
            <w:tcW w:w="1266" w:type="dxa"/>
            <w:noWrap/>
            <w:vAlign w:val="center"/>
            <w:hideMark/>
          </w:tcPr>
          <w:p w14:paraId="159058F6"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3,600</w:t>
            </w:r>
          </w:p>
        </w:tc>
        <w:tc>
          <w:tcPr>
            <w:tcW w:w="1762" w:type="dxa"/>
            <w:noWrap/>
            <w:vAlign w:val="center"/>
            <w:hideMark/>
          </w:tcPr>
          <w:p w14:paraId="5DB18BB0"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2,400</w:t>
            </w:r>
          </w:p>
        </w:tc>
        <w:tc>
          <w:tcPr>
            <w:tcW w:w="1772" w:type="dxa"/>
            <w:vAlign w:val="center"/>
            <w:hideMark/>
          </w:tcPr>
          <w:p w14:paraId="7F48D339"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330</w:t>
            </w:r>
          </w:p>
        </w:tc>
        <w:tc>
          <w:tcPr>
            <w:tcW w:w="1478" w:type="dxa"/>
            <w:vAlign w:val="center"/>
            <w:hideMark/>
          </w:tcPr>
          <w:p w14:paraId="27DC2E51"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880</w:t>
            </w:r>
          </w:p>
        </w:tc>
      </w:tr>
      <w:tr w:rsidR="000228B0" w:rsidRPr="00EA4500" w14:paraId="400B805E" w14:textId="77777777" w:rsidTr="003205E2">
        <w:trPr>
          <w:trHeight w:val="300"/>
        </w:trPr>
        <w:tc>
          <w:tcPr>
            <w:tcW w:w="3082" w:type="dxa"/>
            <w:vAlign w:val="center"/>
            <w:hideMark/>
          </w:tcPr>
          <w:p w14:paraId="4F36C6EF" w14:textId="77777777" w:rsidR="000228B0" w:rsidRPr="00EA4500" w:rsidRDefault="000228B0" w:rsidP="003205E2">
            <w:pPr>
              <w:spacing w:line="256" w:lineRule="auto"/>
              <w:ind w:firstLineChars="200" w:firstLine="400"/>
              <w:rPr>
                <w:rFonts w:ascii="Arial" w:hAnsi="Arial" w:cs="Arial"/>
                <w:color w:val="00B050"/>
                <w:sz w:val="20"/>
                <w:szCs w:val="20"/>
              </w:rPr>
            </w:pPr>
            <w:r w:rsidRPr="00EA4500">
              <w:rPr>
                <w:rFonts w:ascii="Arial" w:hAnsi="Arial" w:cs="Arial"/>
                <w:color w:val="00B050"/>
                <w:sz w:val="20"/>
                <w:szCs w:val="20"/>
              </w:rPr>
              <w:t>Private for-profit</w:t>
            </w:r>
          </w:p>
        </w:tc>
        <w:tc>
          <w:tcPr>
            <w:tcW w:w="1266" w:type="dxa"/>
            <w:noWrap/>
            <w:vAlign w:val="center"/>
            <w:hideMark/>
          </w:tcPr>
          <w:p w14:paraId="037A9D50" w14:textId="77777777" w:rsidR="000228B0" w:rsidRPr="00EA4500" w:rsidRDefault="000228B0" w:rsidP="003205E2">
            <w:pPr>
              <w:rPr>
                <w:rFonts w:ascii="Arial" w:hAnsi="Arial" w:cs="Arial"/>
                <w:color w:val="00B050"/>
                <w:sz w:val="20"/>
                <w:szCs w:val="20"/>
              </w:rPr>
            </w:pPr>
          </w:p>
        </w:tc>
        <w:tc>
          <w:tcPr>
            <w:tcW w:w="1762" w:type="dxa"/>
            <w:noWrap/>
            <w:vAlign w:val="center"/>
            <w:hideMark/>
          </w:tcPr>
          <w:p w14:paraId="11F1BB6A" w14:textId="77777777" w:rsidR="000228B0" w:rsidRPr="00EA4500" w:rsidRDefault="000228B0" w:rsidP="003205E2">
            <w:pPr>
              <w:spacing w:line="256" w:lineRule="auto"/>
              <w:rPr>
                <w:rFonts w:ascii="Arial" w:hAnsi="Arial" w:cs="Arial"/>
                <w:color w:val="00B050"/>
                <w:sz w:val="20"/>
                <w:szCs w:val="20"/>
              </w:rPr>
            </w:pPr>
          </w:p>
        </w:tc>
        <w:tc>
          <w:tcPr>
            <w:tcW w:w="1772" w:type="dxa"/>
            <w:vAlign w:val="center"/>
            <w:hideMark/>
          </w:tcPr>
          <w:p w14:paraId="01AF9193" w14:textId="77777777" w:rsidR="000228B0" w:rsidRPr="00EA4500" w:rsidRDefault="000228B0" w:rsidP="003205E2">
            <w:pPr>
              <w:spacing w:line="256" w:lineRule="auto"/>
              <w:rPr>
                <w:rFonts w:ascii="Arial" w:hAnsi="Arial" w:cs="Arial"/>
                <w:color w:val="00B050"/>
                <w:sz w:val="20"/>
                <w:szCs w:val="20"/>
              </w:rPr>
            </w:pPr>
          </w:p>
        </w:tc>
        <w:tc>
          <w:tcPr>
            <w:tcW w:w="1478" w:type="dxa"/>
            <w:vAlign w:val="center"/>
            <w:hideMark/>
          </w:tcPr>
          <w:p w14:paraId="4770737E" w14:textId="77777777" w:rsidR="000228B0" w:rsidRPr="00EA4500" w:rsidRDefault="000228B0" w:rsidP="003205E2">
            <w:pPr>
              <w:spacing w:line="256" w:lineRule="auto"/>
              <w:rPr>
                <w:rFonts w:ascii="Arial" w:hAnsi="Arial" w:cs="Arial"/>
                <w:color w:val="00B050"/>
                <w:sz w:val="20"/>
                <w:szCs w:val="20"/>
              </w:rPr>
            </w:pPr>
          </w:p>
        </w:tc>
      </w:tr>
      <w:tr w:rsidR="000228B0" w:rsidRPr="00EA4500" w14:paraId="24D71139" w14:textId="77777777" w:rsidTr="003205E2">
        <w:trPr>
          <w:trHeight w:val="300"/>
        </w:trPr>
        <w:tc>
          <w:tcPr>
            <w:tcW w:w="3082" w:type="dxa"/>
            <w:vAlign w:val="center"/>
            <w:hideMark/>
          </w:tcPr>
          <w:p w14:paraId="14486D98" w14:textId="77777777" w:rsidR="000228B0" w:rsidRPr="00EA4500" w:rsidRDefault="000228B0" w:rsidP="003205E2">
            <w:pPr>
              <w:spacing w:line="256" w:lineRule="auto"/>
              <w:ind w:left="720"/>
              <w:rPr>
                <w:rFonts w:ascii="Arial" w:hAnsi="Arial" w:cs="Arial"/>
                <w:color w:val="00B050"/>
                <w:sz w:val="20"/>
                <w:szCs w:val="20"/>
              </w:rPr>
            </w:pPr>
            <w:r w:rsidRPr="00EA4500">
              <w:rPr>
                <w:rFonts w:ascii="Arial" w:hAnsi="Arial" w:cs="Arial"/>
                <w:color w:val="00B050"/>
                <w:sz w:val="20"/>
                <w:szCs w:val="20"/>
              </w:rPr>
              <w:t>Less-than-2-year</w:t>
            </w:r>
          </w:p>
        </w:tc>
        <w:tc>
          <w:tcPr>
            <w:tcW w:w="1266" w:type="dxa"/>
            <w:noWrap/>
            <w:vAlign w:val="center"/>
            <w:hideMark/>
          </w:tcPr>
          <w:p w14:paraId="39A112B9"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980</w:t>
            </w:r>
          </w:p>
        </w:tc>
        <w:tc>
          <w:tcPr>
            <w:tcW w:w="1762" w:type="dxa"/>
            <w:noWrap/>
            <w:vAlign w:val="center"/>
            <w:hideMark/>
          </w:tcPr>
          <w:p w14:paraId="73580704"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780</w:t>
            </w:r>
          </w:p>
        </w:tc>
        <w:tc>
          <w:tcPr>
            <w:tcW w:w="1772" w:type="dxa"/>
            <w:vAlign w:val="center"/>
            <w:hideMark/>
          </w:tcPr>
          <w:p w14:paraId="13120D0E"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150</w:t>
            </w:r>
          </w:p>
        </w:tc>
        <w:tc>
          <w:tcPr>
            <w:tcW w:w="1478" w:type="dxa"/>
            <w:vAlign w:val="center"/>
            <w:hideMark/>
          </w:tcPr>
          <w:p w14:paraId="368B9B71"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50</w:t>
            </w:r>
          </w:p>
        </w:tc>
      </w:tr>
      <w:tr w:rsidR="000228B0" w:rsidRPr="00EA4500" w14:paraId="45C139A8" w14:textId="77777777" w:rsidTr="003205E2">
        <w:trPr>
          <w:trHeight w:val="300"/>
        </w:trPr>
        <w:tc>
          <w:tcPr>
            <w:tcW w:w="3082" w:type="dxa"/>
            <w:vAlign w:val="center"/>
            <w:hideMark/>
          </w:tcPr>
          <w:p w14:paraId="69BC8302" w14:textId="77777777" w:rsidR="000228B0" w:rsidRPr="00EA4500" w:rsidRDefault="000228B0" w:rsidP="003205E2">
            <w:pPr>
              <w:spacing w:line="256" w:lineRule="auto"/>
              <w:ind w:left="720"/>
              <w:rPr>
                <w:rFonts w:ascii="Arial" w:hAnsi="Arial" w:cs="Arial"/>
                <w:color w:val="00B050"/>
                <w:sz w:val="20"/>
                <w:szCs w:val="20"/>
              </w:rPr>
            </w:pPr>
            <w:r w:rsidRPr="00EA4500">
              <w:rPr>
                <w:rFonts w:ascii="Arial" w:hAnsi="Arial" w:cs="Arial"/>
                <w:color w:val="00B050"/>
                <w:sz w:val="20"/>
                <w:szCs w:val="20"/>
              </w:rPr>
              <w:t>2-year</w:t>
            </w:r>
          </w:p>
        </w:tc>
        <w:tc>
          <w:tcPr>
            <w:tcW w:w="1266" w:type="dxa"/>
            <w:noWrap/>
            <w:vAlign w:val="center"/>
            <w:hideMark/>
          </w:tcPr>
          <w:p w14:paraId="7FFAD29E"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1,600</w:t>
            </w:r>
          </w:p>
        </w:tc>
        <w:tc>
          <w:tcPr>
            <w:tcW w:w="1762" w:type="dxa"/>
            <w:noWrap/>
            <w:vAlign w:val="center"/>
            <w:hideMark/>
          </w:tcPr>
          <w:p w14:paraId="546EF102"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1,280</w:t>
            </w:r>
          </w:p>
        </w:tc>
        <w:tc>
          <w:tcPr>
            <w:tcW w:w="1772" w:type="dxa"/>
            <w:vAlign w:val="center"/>
            <w:hideMark/>
          </w:tcPr>
          <w:p w14:paraId="3F20AC13"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300</w:t>
            </w:r>
          </w:p>
        </w:tc>
        <w:tc>
          <w:tcPr>
            <w:tcW w:w="1478" w:type="dxa"/>
            <w:vAlign w:val="center"/>
            <w:hideMark/>
          </w:tcPr>
          <w:p w14:paraId="63762047"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10</w:t>
            </w:r>
          </w:p>
        </w:tc>
      </w:tr>
      <w:tr w:rsidR="000228B0" w:rsidRPr="00EA4500" w14:paraId="313D46D6" w14:textId="77777777" w:rsidTr="003205E2">
        <w:trPr>
          <w:trHeight w:val="315"/>
        </w:trPr>
        <w:tc>
          <w:tcPr>
            <w:tcW w:w="3082" w:type="dxa"/>
            <w:tcBorders>
              <w:top w:val="nil"/>
              <w:left w:val="nil"/>
              <w:bottom w:val="single" w:sz="12" w:space="0" w:color="auto"/>
              <w:right w:val="nil"/>
            </w:tcBorders>
            <w:vAlign w:val="center"/>
            <w:hideMark/>
          </w:tcPr>
          <w:p w14:paraId="20CDB128" w14:textId="77777777" w:rsidR="000228B0" w:rsidRPr="00EA4500" w:rsidRDefault="000228B0" w:rsidP="003205E2">
            <w:pPr>
              <w:spacing w:line="256" w:lineRule="auto"/>
              <w:ind w:left="720"/>
              <w:rPr>
                <w:rFonts w:ascii="Arial" w:hAnsi="Arial" w:cs="Arial"/>
                <w:color w:val="00B050"/>
                <w:sz w:val="20"/>
                <w:szCs w:val="20"/>
              </w:rPr>
            </w:pPr>
            <w:r w:rsidRPr="00EA4500">
              <w:rPr>
                <w:rFonts w:ascii="Arial" w:hAnsi="Arial" w:cs="Arial"/>
                <w:color w:val="00B050"/>
                <w:sz w:val="20"/>
                <w:szCs w:val="20"/>
              </w:rPr>
              <w:t>4-year</w:t>
            </w:r>
          </w:p>
        </w:tc>
        <w:tc>
          <w:tcPr>
            <w:tcW w:w="1266" w:type="dxa"/>
            <w:tcBorders>
              <w:top w:val="nil"/>
              <w:left w:val="nil"/>
              <w:bottom w:val="single" w:sz="12" w:space="0" w:color="auto"/>
              <w:right w:val="nil"/>
            </w:tcBorders>
            <w:noWrap/>
            <w:vAlign w:val="center"/>
            <w:hideMark/>
          </w:tcPr>
          <w:p w14:paraId="0E121E2E"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2,430</w:t>
            </w:r>
          </w:p>
        </w:tc>
        <w:tc>
          <w:tcPr>
            <w:tcW w:w="1762" w:type="dxa"/>
            <w:tcBorders>
              <w:top w:val="nil"/>
              <w:left w:val="nil"/>
              <w:bottom w:val="single" w:sz="12" w:space="0" w:color="auto"/>
              <w:right w:val="nil"/>
            </w:tcBorders>
            <w:noWrap/>
            <w:vAlign w:val="center"/>
            <w:hideMark/>
          </w:tcPr>
          <w:p w14:paraId="681C8B99"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1,940</w:t>
            </w:r>
          </w:p>
        </w:tc>
        <w:tc>
          <w:tcPr>
            <w:tcW w:w="1772" w:type="dxa"/>
            <w:tcBorders>
              <w:top w:val="nil"/>
              <w:left w:val="nil"/>
              <w:bottom w:val="single" w:sz="12" w:space="0" w:color="auto"/>
              <w:right w:val="nil"/>
            </w:tcBorders>
            <w:vAlign w:val="center"/>
            <w:hideMark/>
          </w:tcPr>
          <w:p w14:paraId="2A2451F6"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480</w:t>
            </w:r>
          </w:p>
        </w:tc>
        <w:tc>
          <w:tcPr>
            <w:tcW w:w="1478" w:type="dxa"/>
            <w:tcBorders>
              <w:top w:val="nil"/>
              <w:left w:val="nil"/>
              <w:bottom w:val="single" w:sz="12" w:space="0" w:color="auto"/>
              <w:right w:val="nil"/>
            </w:tcBorders>
            <w:vAlign w:val="center"/>
            <w:hideMark/>
          </w:tcPr>
          <w:p w14:paraId="4E691AFD"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&lt;5</w:t>
            </w:r>
          </w:p>
        </w:tc>
      </w:tr>
      <w:tr w:rsidR="000228B0" w:rsidRPr="00EA4500" w14:paraId="5B94B694" w14:textId="77777777" w:rsidTr="003205E2">
        <w:trPr>
          <w:trHeight w:val="585"/>
        </w:trPr>
        <w:tc>
          <w:tcPr>
            <w:tcW w:w="9360" w:type="dxa"/>
            <w:gridSpan w:val="5"/>
            <w:tcBorders>
              <w:top w:val="single" w:sz="12" w:space="0" w:color="auto"/>
              <w:left w:val="nil"/>
              <w:bottom w:val="nil"/>
              <w:right w:val="nil"/>
            </w:tcBorders>
            <w:vAlign w:val="center"/>
            <w:hideMark/>
          </w:tcPr>
          <w:p w14:paraId="16D33AF0" w14:textId="77777777" w:rsidR="000228B0" w:rsidRPr="00EA4500" w:rsidRDefault="000228B0" w:rsidP="003205E2">
            <w:pPr>
              <w:spacing w:line="256" w:lineRule="auto"/>
              <w:rPr>
                <w:rFonts w:ascii="Arial" w:hAnsi="Arial" w:cs="Arial"/>
                <w:color w:val="00B050"/>
                <w:sz w:val="16"/>
                <w:szCs w:val="16"/>
              </w:rPr>
            </w:pPr>
            <w:r w:rsidRPr="00EA4500">
              <w:rPr>
                <w:rFonts w:ascii="Arial" w:hAnsi="Arial" w:cs="Arial"/>
                <w:color w:val="00B050"/>
                <w:sz w:val="16"/>
                <w:szCs w:val="16"/>
              </w:rPr>
              <w:t xml:space="preserve">NOTE: Detail may not sum to totals because of rounding. Potential FTB’s are individuals who did not complete a NPSAS survey who appeared to be FTB’s in enrollment or NPSAS:20 admin data. </w:t>
            </w:r>
          </w:p>
          <w:p w14:paraId="4088CFB2" w14:textId="77777777" w:rsidR="000228B0" w:rsidRPr="00EA4500" w:rsidRDefault="000228B0" w:rsidP="003205E2">
            <w:pPr>
              <w:spacing w:line="256" w:lineRule="auto"/>
              <w:rPr>
                <w:rFonts w:ascii="Arial" w:hAnsi="Arial" w:cs="Arial"/>
                <w:color w:val="00B050"/>
                <w:sz w:val="16"/>
                <w:szCs w:val="16"/>
              </w:rPr>
            </w:pPr>
            <w:r w:rsidRPr="00EA4500">
              <w:rPr>
                <w:rFonts w:ascii="Arial" w:hAnsi="Arial" w:cs="Arial"/>
                <w:color w:val="00B050"/>
                <w:sz w:val="16"/>
                <w:szCs w:val="16"/>
              </w:rPr>
              <w:t>SOURCE: U.S. Department of Education, National Center for Education Statistics, 2020/22 Beginning Postsecondary Students Longitudinal Study (BPS:20/22) Full-scale.</w:t>
            </w:r>
          </w:p>
        </w:tc>
      </w:tr>
    </w:tbl>
    <w:p w14:paraId="732D4093" w14:textId="77777777" w:rsidR="000228B0" w:rsidRPr="00EA4500" w:rsidRDefault="000228B0" w:rsidP="000228B0">
      <w:pPr>
        <w:pStyle w:val="TableTitle"/>
        <w:ind w:left="180" w:hanging="180"/>
        <w:rPr>
          <w:rFonts w:ascii="Times New Roman" w:eastAsia="MS Mincho" w:hAnsi="Times New Roman"/>
          <w:color w:val="00B050"/>
          <w:kern w:val="2"/>
        </w:rPr>
      </w:pPr>
      <w:r w:rsidRPr="00EA4500">
        <w:rPr>
          <w:color w:val="00B050"/>
        </w:rPr>
        <w:lastRenderedPageBreak/>
        <w:t>Table 3. BPS:20/22 sample by state</w:t>
      </w:r>
    </w:p>
    <w:tbl>
      <w:tblPr>
        <w:tblW w:w="8640" w:type="dxa"/>
        <w:tblLook w:val="04A0" w:firstRow="1" w:lastRow="0" w:firstColumn="1" w:lastColumn="0" w:noHBand="0" w:noVBand="1"/>
      </w:tblPr>
      <w:tblGrid>
        <w:gridCol w:w="2508"/>
        <w:gridCol w:w="908"/>
        <w:gridCol w:w="1624"/>
        <w:gridCol w:w="1684"/>
        <w:gridCol w:w="1916"/>
      </w:tblGrid>
      <w:tr w:rsidR="000228B0" w:rsidRPr="00EA4500" w14:paraId="09ED0FDD" w14:textId="77777777" w:rsidTr="003205E2">
        <w:trPr>
          <w:trHeight w:val="690"/>
        </w:trPr>
        <w:tc>
          <w:tcPr>
            <w:tcW w:w="2508" w:type="dxa"/>
            <w:tcBorders>
              <w:top w:val="single" w:sz="12" w:space="0" w:color="auto"/>
              <w:left w:val="nil"/>
              <w:bottom w:val="nil"/>
              <w:right w:val="nil"/>
            </w:tcBorders>
            <w:noWrap/>
            <w:vAlign w:val="center"/>
            <w:hideMark/>
          </w:tcPr>
          <w:p w14:paraId="2A134E6D" w14:textId="77777777" w:rsidR="000228B0" w:rsidRPr="00EA4500" w:rsidRDefault="000228B0" w:rsidP="003205E2">
            <w:pPr>
              <w:spacing w:line="256" w:lineRule="auto"/>
              <w:rPr>
                <w:rFonts w:ascii="Arial" w:hAnsi="Arial" w:cs="Arial"/>
                <w:color w:val="00B050"/>
                <w:sz w:val="20"/>
                <w:szCs w:val="20"/>
              </w:rPr>
            </w:pPr>
            <w:r w:rsidRPr="00EA4500">
              <w:rPr>
                <w:rFonts w:ascii="Arial" w:hAnsi="Arial" w:cs="Arial"/>
                <w:color w:val="00B050"/>
                <w:sz w:val="20"/>
                <w:szCs w:val="20"/>
              </w:rPr>
              <w:t> </w:t>
            </w:r>
          </w:p>
        </w:tc>
        <w:tc>
          <w:tcPr>
            <w:tcW w:w="908" w:type="dxa"/>
            <w:tcBorders>
              <w:top w:val="single" w:sz="12" w:space="0" w:color="auto"/>
              <w:left w:val="nil"/>
              <w:bottom w:val="nil"/>
              <w:right w:val="nil"/>
            </w:tcBorders>
            <w:vAlign w:val="center"/>
            <w:hideMark/>
          </w:tcPr>
          <w:p w14:paraId="41B46B5D" w14:textId="77777777" w:rsidR="000228B0" w:rsidRPr="00EA4500" w:rsidRDefault="000228B0" w:rsidP="003205E2">
            <w:pPr>
              <w:spacing w:line="256" w:lineRule="auto"/>
              <w:rPr>
                <w:rFonts w:ascii="Arial" w:hAnsi="Arial" w:cs="Arial"/>
                <w:color w:val="00B050"/>
                <w:sz w:val="20"/>
                <w:szCs w:val="20"/>
              </w:rPr>
            </w:pPr>
            <w:r w:rsidRPr="00EA4500">
              <w:rPr>
                <w:rFonts w:ascii="Arial" w:hAnsi="Arial" w:cs="Arial"/>
                <w:color w:val="00B050"/>
                <w:sz w:val="20"/>
                <w:szCs w:val="20"/>
              </w:rPr>
              <w:t> </w:t>
            </w:r>
          </w:p>
        </w:tc>
        <w:tc>
          <w:tcPr>
            <w:tcW w:w="5224" w:type="dxa"/>
            <w:gridSpan w:val="3"/>
            <w:tcBorders>
              <w:top w:val="single" w:sz="12" w:space="0" w:color="auto"/>
              <w:left w:val="nil"/>
              <w:bottom w:val="nil"/>
              <w:right w:val="nil"/>
            </w:tcBorders>
            <w:vAlign w:val="center"/>
            <w:hideMark/>
          </w:tcPr>
          <w:p w14:paraId="4187985D" w14:textId="77777777" w:rsidR="000228B0" w:rsidRPr="00EA4500" w:rsidRDefault="000228B0" w:rsidP="003205E2">
            <w:pPr>
              <w:spacing w:line="256" w:lineRule="auto"/>
              <w:jc w:val="center"/>
              <w:rPr>
                <w:rFonts w:ascii="Arial" w:hAnsi="Arial" w:cs="Arial"/>
                <w:color w:val="00B050"/>
                <w:sz w:val="20"/>
                <w:szCs w:val="20"/>
              </w:rPr>
            </w:pPr>
            <w:r w:rsidRPr="00EA4500">
              <w:rPr>
                <w:rFonts w:ascii="Arial" w:hAnsi="Arial" w:cs="Arial"/>
                <w:color w:val="00B050"/>
                <w:sz w:val="20"/>
                <w:szCs w:val="20"/>
              </w:rPr>
              <w:t>Confirmed and potential FTB administrative student respondents from NPSAS:20 Administrative Sample</w:t>
            </w:r>
          </w:p>
        </w:tc>
      </w:tr>
      <w:tr w:rsidR="000228B0" w:rsidRPr="00EA4500" w14:paraId="66D3AE16" w14:textId="77777777" w:rsidTr="003205E2">
        <w:trPr>
          <w:trHeight w:val="645"/>
        </w:trPr>
        <w:tc>
          <w:tcPr>
            <w:tcW w:w="2508" w:type="dxa"/>
            <w:tcBorders>
              <w:top w:val="nil"/>
              <w:left w:val="nil"/>
              <w:bottom w:val="single" w:sz="8" w:space="0" w:color="auto"/>
              <w:right w:val="nil"/>
            </w:tcBorders>
            <w:noWrap/>
            <w:vAlign w:val="bottom"/>
            <w:hideMark/>
          </w:tcPr>
          <w:p w14:paraId="66865039" w14:textId="77777777" w:rsidR="000228B0" w:rsidRPr="00EA4500" w:rsidRDefault="000228B0" w:rsidP="003205E2">
            <w:pPr>
              <w:spacing w:line="256" w:lineRule="auto"/>
              <w:rPr>
                <w:rFonts w:ascii="Arial" w:hAnsi="Arial" w:cs="Arial"/>
                <w:color w:val="00B050"/>
                <w:sz w:val="20"/>
                <w:szCs w:val="20"/>
              </w:rPr>
            </w:pPr>
            <w:r w:rsidRPr="00EA4500">
              <w:rPr>
                <w:rFonts w:ascii="Arial" w:hAnsi="Arial" w:cs="Arial"/>
                <w:color w:val="00B050"/>
                <w:sz w:val="20"/>
                <w:szCs w:val="20"/>
              </w:rPr>
              <w:t>State</w:t>
            </w:r>
          </w:p>
        </w:tc>
        <w:tc>
          <w:tcPr>
            <w:tcW w:w="908" w:type="dxa"/>
            <w:tcBorders>
              <w:top w:val="nil"/>
              <w:left w:val="nil"/>
              <w:bottom w:val="single" w:sz="8" w:space="0" w:color="auto"/>
              <w:right w:val="nil"/>
            </w:tcBorders>
            <w:noWrap/>
            <w:vAlign w:val="bottom"/>
            <w:hideMark/>
          </w:tcPr>
          <w:p w14:paraId="49C08AB9"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Total</w:t>
            </w:r>
          </w:p>
        </w:tc>
        <w:tc>
          <w:tcPr>
            <w:tcW w:w="1624" w:type="dxa"/>
            <w:tcBorders>
              <w:top w:val="nil"/>
              <w:left w:val="nil"/>
              <w:bottom w:val="single" w:sz="8" w:space="0" w:color="auto"/>
              <w:right w:val="nil"/>
            </w:tcBorders>
            <w:vAlign w:val="bottom"/>
            <w:hideMark/>
          </w:tcPr>
          <w:p w14:paraId="7A96CA3F"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NPSAS Survey Respondents</w:t>
            </w:r>
          </w:p>
        </w:tc>
        <w:tc>
          <w:tcPr>
            <w:tcW w:w="1684" w:type="dxa"/>
            <w:tcBorders>
              <w:top w:val="nil"/>
              <w:left w:val="nil"/>
              <w:bottom w:val="single" w:sz="8" w:space="0" w:color="auto"/>
              <w:right w:val="nil"/>
            </w:tcBorders>
            <w:vAlign w:val="bottom"/>
            <w:hideMark/>
          </w:tcPr>
          <w:p w14:paraId="05D9DA70"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NPSAS Survey Nonrespondents</w:t>
            </w:r>
          </w:p>
        </w:tc>
        <w:tc>
          <w:tcPr>
            <w:tcW w:w="1916" w:type="dxa"/>
            <w:tcBorders>
              <w:top w:val="nil"/>
              <w:left w:val="nil"/>
              <w:bottom w:val="single" w:sz="8" w:space="0" w:color="auto"/>
              <w:right w:val="nil"/>
            </w:tcBorders>
            <w:vAlign w:val="bottom"/>
            <w:hideMark/>
          </w:tcPr>
          <w:p w14:paraId="119D9E6E"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NPSAS Admin-Only Respondents</w:t>
            </w:r>
          </w:p>
        </w:tc>
      </w:tr>
      <w:tr w:rsidR="000228B0" w:rsidRPr="00EA4500" w14:paraId="30C29300" w14:textId="77777777" w:rsidTr="003205E2">
        <w:trPr>
          <w:trHeight w:val="300"/>
        </w:trPr>
        <w:tc>
          <w:tcPr>
            <w:tcW w:w="2508" w:type="dxa"/>
            <w:noWrap/>
            <w:vAlign w:val="center"/>
            <w:hideMark/>
          </w:tcPr>
          <w:p w14:paraId="61CA70CF" w14:textId="77777777" w:rsidR="000228B0" w:rsidRPr="00EA4500" w:rsidRDefault="000228B0" w:rsidP="003205E2">
            <w:pPr>
              <w:spacing w:line="256" w:lineRule="auto"/>
              <w:ind w:firstLineChars="600" w:firstLine="1205"/>
              <w:rPr>
                <w:rFonts w:ascii="Arial" w:hAnsi="Arial" w:cs="Arial"/>
                <w:b/>
                <w:bCs/>
                <w:color w:val="00B050"/>
                <w:sz w:val="20"/>
                <w:szCs w:val="20"/>
              </w:rPr>
            </w:pPr>
            <w:r w:rsidRPr="00EA4500">
              <w:rPr>
                <w:rFonts w:ascii="Arial" w:hAnsi="Arial" w:cs="Arial"/>
                <w:b/>
                <w:bCs/>
                <w:color w:val="00B050"/>
                <w:sz w:val="20"/>
                <w:szCs w:val="20"/>
              </w:rPr>
              <w:t>Total</w:t>
            </w:r>
          </w:p>
        </w:tc>
        <w:tc>
          <w:tcPr>
            <w:tcW w:w="908" w:type="dxa"/>
            <w:noWrap/>
            <w:vAlign w:val="center"/>
            <w:hideMark/>
          </w:tcPr>
          <w:p w14:paraId="2E56A7D7" w14:textId="77777777" w:rsidR="000228B0" w:rsidRPr="00EA4500" w:rsidRDefault="000228B0" w:rsidP="003205E2">
            <w:pPr>
              <w:spacing w:line="256" w:lineRule="auto"/>
              <w:jc w:val="right"/>
              <w:rPr>
                <w:rFonts w:ascii="Arial" w:hAnsi="Arial" w:cs="Arial"/>
                <w:b/>
                <w:bCs/>
                <w:color w:val="00B050"/>
                <w:sz w:val="20"/>
                <w:szCs w:val="20"/>
              </w:rPr>
            </w:pPr>
            <w:r w:rsidRPr="00EA4500">
              <w:rPr>
                <w:rFonts w:ascii="Arial" w:hAnsi="Arial" w:cs="Arial"/>
                <w:b/>
                <w:bCs/>
                <w:color w:val="00B050"/>
                <w:sz w:val="20"/>
                <w:szCs w:val="20"/>
              </w:rPr>
              <w:t>37,330</w:t>
            </w:r>
          </w:p>
        </w:tc>
        <w:tc>
          <w:tcPr>
            <w:tcW w:w="1624" w:type="dxa"/>
            <w:noWrap/>
            <w:vAlign w:val="center"/>
            <w:hideMark/>
          </w:tcPr>
          <w:p w14:paraId="4D71B97F" w14:textId="77777777" w:rsidR="000228B0" w:rsidRPr="00EA4500" w:rsidRDefault="000228B0" w:rsidP="003205E2">
            <w:pPr>
              <w:spacing w:line="256" w:lineRule="auto"/>
              <w:jc w:val="right"/>
              <w:rPr>
                <w:rFonts w:ascii="Arial" w:hAnsi="Arial" w:cs="Arial"/>
                <w:b/>
                <w:bCs/>
                <w:color w:val="00B050"/>
                <w:sz w:val="20"/>
                <w:szCs w:val="20"/>
              </w:rPr>
            </w:pPr>
            <w:r w:rsidRPr="00EA4500">
              <w:rPr>
                <w:rFonts w:ascii="Arial" w:hAnsi="Arial" w:cs="Arial"/>
                <w:b/>
                <w:bCs/>
                <w:color w:val="00B050"/>
                <w:sz w:val="20"/>
                <w:szCs w:val="20"/>
              </w:rPr>
              <w:t>26,470</w:t>
            </w:r>
          </w:p>
        </w:tc>
        <w:tc>
          <w:tcPr>
            <w:tcW w:w="1684" w:type="dxa"/>
            <w:vAlign w:val="center"/>
            <w:hideMark/>
          </w:tcPr>
          <w:p w14:paraId="1EE6278A" w14:textId="77777777" w:rsidR="000228B0" w:rsidRPr="00EA4500" w:rsidRDefault="000228B0" w:rsidP="003205E2">
            <w:pPr>
              <w:spacing w:line="256" w:lineRule="auto"/>
              <w:jc w:val="right"/>
              <w:rPr>
                <w:rFonts w:ascii="Arial" w:hAnsi="Arial" w:cs="Arial"/>
                <w:b/>
                <w:bCs/>
                <w:color w:val="00B050"/>
                <w:sz w:val="20"/>
                <w:szCs w:val="20"/>
              </w:rPr>
            </w:pPr>
            <w:r w:rsidRPr="00EA4500">
              <w:rPr>
                <w:rFonts w:ascii="Arial" w:hAnsi="Arial" w:cs="Arial"/>
                <w:b/>
                <w:bCs/>
                <w:color w:val="00B050"/>
                <w:sz w:val="20"/>
                <w:szCs w:val="20"/>
              </w:rPr>
              <w:t>5,510</w:t>
            </w:r>
          </w:p>
        </w:tc>
        <w:tc>
          <w:tcPr>
            <w:tcW w:w="1916" w:type="dxa"/>
            <w:vAlign w:val="center"/>
            <w:hideMark/>
          </w:tcPr>
          <w:p w14:paraId="7E8789E8" w14:textId="77777777" w:rsidR="000228B0" w:rsidRPr="00EA4500" w:rsidRDefault="000228B0" w:rsidP="003205E2">
            <w:pPr>
              <w:spacing w:line="256" w:lineRule="auto"/>
              <w:jc w:val="right"/>
              <w:rPr>
                <w:rFonts w:ascii="Arial" w:hAnsi="Arial" w:cs="Arial"/>
                <w:b/>
                <w:bCs/>
                <w:color w:val="00B050"/>
                <w:sz w:val="20"/>
                <w:szCs w:val="20"/>
              </w:rPr>
            </w:pPr>
            <w:r w:rsidRPr="00EA4500">
              <w:rPr>
                <w:rFonts w:ascii="Arial" w:hAnsi="Arial" w:cs="Arial"/>
                <w:b/>
                <w:bCs/>
                <w:color w:val="00B050"/>
                <w:sz w:val="20"/>
                <w:szCs w:val="20"/>
              </w:rPr>
              <w:t>5,350</w:t>
            </w:r>
          </w:p>
        </w:tc>
      </w:tr>
      <w:tr w:rsidR="000228B0" w:rsidRPr="00EA4500" w14:paraId="4A5178AD" w14:textId="77777777" w:rsidTr="003205E2">
        <w:trPr>
          <w:trHeight w:val="300"/>
        </w:trPr>
        <w:tc>
          <w:tcPr>
            <w:tcW w:w="2508" w:type="dxa"/>
            <w:noWrap/>
            <w:vAlign w:val="bottom"/>
            <w:hideMark/>
          </w:tcPr>
          <w:p w14:paraId="338E3B72" w14:textId="77777777" w:rsidR="000228B0" w:rsidRPr="00EA4500" w:rsidRDefault="000228B0" w:rsidP="003205E2">
            <w:pPr>
              <w:rPr>
                <w:rFonts w:ascii="Arial" w:hAnsi="Arial" w:cs="Arial"/>
                <w:b/>
                <w:bCs/>
                <w:color w:val="00B050"/>
                <w:sz w:val="20"/>
                <w:szCs w:val="20"/>
              </w:rPr>
            </w:pPr>
          </w:p>
        </w:tc>
        <w:tc>
          <w:tcPr>
            <w:tcW w:w="908" w:type="dxa"/>
            <w:noWrap/>
            <w:vAlign w:val="center"/>
            <w:hideMark/>
          </w:tcPr>
          <w:p w14:paraId="728B5316" w14:textId="77777777" w:rsidR="000228B0" w:rsidRPr="00EA4500" w:rsidRDefault="000228B0" w:rsidP="003205E2">
            <w:pPr>
              <w:spacing w:line="256" w:lineRule="auto"/>
              <w:rPr>
                <w:rFonts w:ascii="Arial" w:hAnsi="Arial" w:cs="Arial"/>
                <w:color w:val="00B050"/>
                <w:sz w:val="20"/>
                <w:szCs w:val="20"/>
              </w:rPr>
            </w:pPr>
          </w:p>
        </w:tc>
        <w:tc>
          <w:tcPr>
            <w:tcW w:w="1624" w:type="dxa"/>
            <w:noWrap/>
            <w:vAlign w:val="bottom"/>
            <w:hideMark/>
          </w:tcPr>
          <w:p w14:paraId="65FF688D" w14:textId="77777777" w:rsidR="000228B0" w:rsidRPr="00EA4500" w:rsidRDefault="000228B0" w:rsidP="003205E2">
            <w:pPr>
              <w:spacing w:line="256" w:lineRule="auto"/>
              <w:rPr>
                <w:rFonts w:ascii="Arial" w:hAnsi="Arial" w:cs="Arial"/>
                <w:color w:val="00B050"/>
                <w:sz w:val="20"/>
                <w:szCs w:val="20"/>
              </w:rPr>
            </w:pPr>
          </w:p>
        </w:tc>
        <w:tc>
          <w:tcPr>
            <w:tcW w:w="1684" w:type="dxa"/>
            <w:vAlign w:val="center"/>
            <w:hideMark/>
          </w:tcPr>
          <w:p w14:paraId="125AE947" w14:textId="77777777" w:rsidR="000228B0" w:rsidRPr="00EA4500" w:rsidRDefault="000228B0" w:rsidP="003205E2">
            <w:pPr>
              <w:spacing w:line="256" w:lineRule="auto"/>
              <w:rPr>
                <w:rFonts w:ascii="Arial" w:hAnsi="Arial" w:cs="Arial"/>
                <w:color w:val="00B050"/>
                <w:sz w:val="20"/>
                <w:szCs w:val="20"/>
              </w:rPr>
            </w:pPr>
          </w:p>
        </w:tc>
        <w:tc>
          <w:tcPr>
            <w:tcW w:w="1916" w:type="dxa"/>
            <w:vAlign w:val="center"/>
            <w:hideMark/>
          </w:tcPr>
          <w:p w14:paraId="44B40C87" w14:textId="77777777" w:rsidR="000228B0" w:rsidRPr="00EA4500" w:rsidRDefault="000228B0" w:rsidP="003205E2">
            <w:pPr>
              <w:spacing w:line="256" w:lineRule="auto"/>
              <w:rPr>
                <w:rFonts w:ascii="Arial" w:hAnsi="Arial" w:cs="Arial"/>
                <w:color w:val="00B050"/>
                <w:sz w:val="20"/>
                <w:szCs w:val="20"/>
              </w:rPr>
            </w:pPr>
          </w:p>
        </w:tc>
      </w:tr>
      <w:tr w:rsidR="000228B0" w:rsidRPr="00EA4500" w14:paraId="5756BE87" w14:textId="77777777" w:rsidTr="003205E2">
        <w:trPr>
          <w:trHeight w:val="300"/>
        </w:trPr>
        <w:tc>
          <w:tcPr>
            <w:tcW w:w="2508" w:type="dxa"/>
            <w:noWrap/>
            <w:vAlign w:val="center"/>
            <w:hideMark/>
          </w:tcPr>
          <w:p w14:paraId="328F5253" w14:textId="77777777" w:rsidR="000228B0" w:rsidRPr="00EA4500" w:rsidRDefault="000228B0" w:rsidP="003205E2">
            <w:pPr>
              <w:spacing w:line="256" w:lineRule="auto"/>
              <w:rPr>
                <w:rFonts w:ascii="Arial" w:hAnsi="Arial" w:cs="Arial"/>
                <w:color w:val="00B050"/>
                <w:sz w:val="20"/>
                <w:szCs w:val="20"/>
              </w:rPr>
            </w:pPr>
            <w:r w:rsidRPr="00EA4500">
              <w:rPr>
                <w:rFonts w:ascii="Arial" w:hAnsi="Arial" w:cs="Arial"/>
                <w:color w:val="00B050"/>
                <w:sz w:val="20"/>
                <w:szCs w:val="20"/>
              </w:rPr>
              <w:t>California</w:t>
            </w:r>
          </w:p>
        </w:tc>
        <w:tc>
          <w:tcPr>
            <w:tcW w:w="908" w:type="dxa"/>
            <w:noWrap/>
            <w:vAlign w:val="center"/>
            <w:hideMark/>
          </w:tcPr>
          <w:p w14:paraId="3F560CF3"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2,750</w:t>
            </w:r>
          </w:p>
        </w:tc>
        <w:tc>
          <w:tcPr>
            <w:tcW w:w="1624" w:type="dxa"/>
            <w:noWrap/>
            <w:vAlign w:val="center"/>
            <w:hideMark/>
          </w:tcPr>
          <w:p w14:paraId="633B951A"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2,230</w:t>
            </w:r>
          </w:p>
        </w:tc>
        <w:tc>
          <w:tcPr>
            <w:tcW w:w="1684" w:type="dxa"/>
            <w:vAlign w:val="center"/>
            <w:hideMark/>
          </w:tcPr>
          <w:p w14:paraId="7FD3E394"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500</w:t>
            </w:r>
          </w:p>
        </w:tc>
        <w:tc>
          <w:tcPr>
            <w:tcW w:w="1916" w:type="dxa"/>
            <w:vAlign w:val="center"/>
            <w:hideMark/>
          </w:tcPr>
          <w:p w14:paraId="7ECE9C7F"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20</w:t>
            </w:r>
          </w:p>
        </w:tc>
      </w:tr>
      <w:tr w:rsidR="000228B0" w:rsidRPr="00EA4500" w14:paraId="5670ACA7" w14:textId="77777777" w:rsidTr="003205E2">
        <w:trPr>
          <w:trHeight w:val="300"/>
        </w:trPr>
        <w:tc>
          <w:tcPr>
            <w:tcW w:w="2508" w:type="dxa"/>
            <w:noWrap/>
            <w:vAlign w:val="center"/>
            <w:hideMark/>
          </w:tcPr>
          <w:p w14:paraId="35D82DC4" w14:textId="77777777" w:rsidR="000228B0" w:rsidRPr="00EA4500" w:rsidRDefault="000228B0" w:rsidP="003205E2">
            <w:pPr>
              <w:spacing w:line="256" w:lineRule="auto"/>
              <w:rPr>
                <w:rFonts w:ascii="Arial" w:hAnsi="Arial" w:cs="Arial"/>
                <w:color w:val="00B050"/>
                <w:sz w:val="20"/>
                <w:szCs w:val="20"/>
              </w:rPr>
            </w:pPr>
            <w:r w:rsidRPr="00EA4500">
              <w:rPr>
                <w:rFonts w:ascii="Arial" w:hAnsi="Arial" w:cs="Arial"/>
                <w:color w:val="00B050"/>
                <w:sz w:val="20"/>
                <w:szCs w:val="20"/>
              </w:rPr>
              <w:t>Florida</w:t>
            </w:r>
          </w:p>
        </w:tc>
        <w:tc>
          <w:tcPr>
            <w:tcW w:w="908" w:type="dxa"/>
            <w:noWrap/>
            <w:vAlign w:val="center"/>
            <w:hideMark/>
          </w:tcPr>
          <w:p w14:paraId="4160812F"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1,970</w:t>
            </w:r>
          </w:p>
        </w:tc>
        <w:tc>
          <w:tcPr>
            <w:tcW w:w="1624" w:type="dxa"/>
            <w:noWrap/>
            <w:vAlign w:val="center"/>
            <w:hideMark/>
          </w:tcPr>
          <w:p w14:paraId="2E48BEC5"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1,580</w:t>
            </w:r>
          </w:p>
        </w:tc>
        <w:tc>
          <w:tcPr>
            <w:tcW w:w="1684" w:type="dxa"/>
            <w:vAlign w:val="center"/>
            <w:hideMark/>
          </w:tcPr>
          <w:p w14:paraId="37CB451D"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350</w:t>
            </w:r>
          </w:p>
        </w:tc>
        <w:tc>
          <w:tcPr>
            <w:tcW w:w="1916" w:type="dxa"/>
            <w:vAlign w:val="center"/>
            <w:hideMark/>
          </w:tcPr>
          <w:p w14:paraId="0C273032"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40</w:t>
            </w:r>
          </w:p>
        </w:tc>
      </w:tr>
      <w:tr w:rsidR="000228B0" w:rsidRPr="00EA4500" w14:paraId="658CD1DB" w14:textId="77777777" w:rsidTr="003205E2">
        <w:trPr>
          <w:trHeight w:val="300"/>
        </w:trPr>
        <w:tc>
          <w:tcPr>
            <w:tcW w:w="2508" w:type="dxa"/>
            <w:vAlign w:val="center"/>
            <w:hideMark/>
          </w:tcPr>
          <w:p w14:paraId="3B9C6F3D" w14:textId="77777777" w:rsidR="000228B0" w:rsidRPr="00EA4500" w:rsidRDefault="000228B0" w:rsidP="003205E2">
            <w:pPr>
              <w:spacing w:line="256" w:lineRule="auto"/>
              <w:rPr>
                <w:rFonts w:ascii="Arial" w:hAnsi="Arial" w:cs="Arial"/>
                <w:color w:val="00B050"/>
                <w:sz w:val="20"/>
                <w:szCs w:val="20"/>
              </w:rPr>
            </w:pPr>
            <w:r w:rsidRPr="00EA4500">
              <w:rPr>
                <w:rFonts w:ascii="Arial" w:hAnsi="Arial" w:cs="Arial"/>
                <w:color w:val="00B050"/>
                <w:sz w:val="20"/>
                <w:szCs w:val="20"/>
              </w:rPr>
              <w:t>Georgia</w:t>
            </w:r>
            <w:r w:rsidRPr="00EA4500">
              <w:rPr>
                <w:rFonts w:ascii="Arial" w:hAnsi="Arial" w:cs="Arial"/>
                <w:color w:val="00B050"/>
                <w:sz w:val="20"/>
                <w:szCs w:val="20"/>
                <w:vertAlign w:val="superscript"/>
              </w:rPr>
              <w:t>1</w:t>
            </w:r>
          </w:p>
        </w:tc>
        <w:tc>
          <w:tcPr>
            <w:tcW w:w="908" w:type="dxa"/>
            <w:noWrap/>
            <w:vAlign w:val="center"/>
            <w:hideMark/>
          </w:tcPr>
          <w:p w14:paraId="7B645890"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1,410</w:t>
            </w:r>
          </w:p>
        </w:tc>
        <w:tc>
          <w:tcPr>
            <w:tcW w:w="1624" w:type="dxa"/>
            <w:noWrap/>
            <w:vAlign w:val="center"/>
            <w:hideMark/>
          </w:tcPr>
          <w:p w14:paraId="53A6919C"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860</w:t>
            </w:r>
          </w:p>
        </w:tc>
        <w:tc>
          <w:tcPr>
            <w:tcW w:w="1684" w:type="dxa"/>
            <w:vAlign w:val="center"/>
            <w:hideMark/>
          </w:tcPr>
          <w:p w14:paraId="382CECE8"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390</w:t>
            </w:r>
          </w:p>
        </w:tc>
        <w:tc>
          <w:tcPr>
            <w:tcW w:w="1916" w:type="dxa"/>
            <w:vAlign w:val="center"/>
            <w:hideMark/>
          </w:tcPr>
          <w:p w14:paraId="2E8954F4"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170</w:t>
            </w:r>
          </w:p>
        </w:tc>
      </w:tr>
      <w:tr w:rsidR="000228B0" w:rsidRPr="00EA4500" w14:paraId="594A8741" w14:textId="77777777" w:rsidTr="003205E2">
        <w:trPr>
          <w:trHeight w:val="300"/>
        </w:trPr>
        <w:tc>
          <w:tcPr>
            <w:tcW w:w="2508" w:type="dxa"/>
            <w:vAlign w:val="center"/>
            <w:hideMark/>
          </w:tcPr>
          <w:p w14:paraId="665BA7C2" w14:textId="77777777" w:rsidR="000228B0" w:rsidRPr="00EA4500" w:rsidRDefault="000228B0" w:rsidP="003205E2">
            <w:pPr>
              <w:spacing w:line="256" w:lineRule="auto"/>
              <w:rPr>
                <w:rFonts w:ascii="Arial" w:hAnsi="Arial" w:cs="Arial"/>
                <w:color w:val="00B050"/>
                <w:sz w:val="20"/>
                <w:szCs w:val="20"/>
              </w:rPr>
            </w:pPr>
            <w:r w:rsidRPr="00EA4500">
              <w:rPr>
                <w:rFonts w:ascii="Arial" w:hAnsi="Arial" w:cs="Arial"/>
                <w:color w:val="00B050"/>
                <w:sz w:val="20"/>
                <w:szCs w:val="20"/>
              </w:rPr>
              <w:t>North Carolina</w:t>
            </w:r>
          </w:p>
        </w:tc>
        <w:tc>
          <w:tcPr>
            <w:tcW w:w="908" w:type="dxa"/>
            <w:noWrap/>
            <w:vAlign w:val="center"/>
            <w:hideMark/>
          </w:tcPr>
          <w:p w14:paraId="653F9836"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1,370</w:t>
            </w:r>
          </w:p>
        </w:tc>
        <w:tc>
          <w:tcPr>
            <w:tcW w:w="1624" w:type="dxa"/>
            <w:noWrap/>
            <w:vAlign w:val="center"/>
            <w:hideMark/>
          </w:tcPr>
          <w:p w14:paraId="53BF4E8B"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970</w:t>
            </w:r>
          </w:p>
        </w:tc>
        <w:tc>
          <w:tcPr>
            <w:tcW w:w="1684" w:type="dxa"/>
            <w:vAlign w:val="center"/>
            <w:hideMark/>
          </w:tcPr>
          <w:p w14:paraId="6D351F28"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230</w:t>
            </w:r>
          </w:p>
        </w:tc>
        <w:tc>
          <w:tcPr>
            <w:tcW w:w="1916" w:type="dxa"/>
            <w:vAlign w:val="center"/>
            <w:hideMark/>
          </w:tcPr>
          <w:p w14:paraId="29F93A9E"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180</w:t>
            </w:r>
          </w:p>
        </w:tc>
      </w:tr>
      <w:tr w:rsidR="000228B0" w:rsidRPr="00EA4500" w14:paraId="55DD4A01" w14:textId="77777777" w:rsidTr="003205E2">
        <w:trPr>
          <w:trHeight w:val="300"/>
        </w:trPr>
        <w:tc>
          <w:tcPr>
            <w:tcW w:w="2508" w:type="dxa"/>
            <w:vAlign w:val="center"/>
            <w:hideMark/>
          </w:tcPr>
          <w:p w14:paraId="1B33A9DF" w14:textId="77777777" w:rsidR="000228B0" w:rsidRPr="00EA4500" w:rsidRDefault="000228B0" w:rsidP="003205E2">
            <w:pPr>
              <w:spacing w:line="256" w:lineRule="auto"/>
              <w:rPr>
                <w:rFonts w:ascii="Arial" w:hAnsi="Arial" w:cs="Arial"/>
                <w:color w:val="00B050"/>
                <w:sz w:val="20"/>
                <w:szCs w:val="20"/>
              </w:rPr>
            </w:pPr>
            <w:r w:rsidRPr="00EA4500">
              <w:rPr>
                <w:rFonts w:ascii="Arial" w:hAnsi="Arial" w:cs="Arial"/>
                <w:color w:val="00B050"/>
                <w:sz w:val="20"/>
                <w:szCs w:val="20"/>
              </w:rPr>
              <w:t>New York</w:t>
            </w:r>
          </w:p>
        </w:tc>
        <w:tc>
          <w:tcPr>
            <w:tcW w:w="908" w:type="dxa"/>
            <w:noWrap/>
            <w:vAlign w:val="center"/>
            <w:hideMark/>
          </w:tcPr>
          <w:p w14:paraId="2808A103"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2,030</w:t>
            </w:r>
          </w:p>
        </w:tc>
        <w:tc>
          <w:tcPr>
            <w:tcW w:w="1624" w:type="dxa"/>
            <w:noWrap/>
            <w:vAlign w:val="center"/>
            <w:hideMark/>
          </w:tcPr>
          <w:p w14:paraId="6E15B120"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1,660</w:t>
            </w:r>
          </w:p>
        </w:tc>
        <w:tc>
          <w:tcPr>
            <w:tcW w:w="1684" w:type="dxa"/>
            <w:vAlign w:val="center"/>
            <w:hideMark/>
          </w:tcPr>
          <w:p w14:paraId="51390BF0"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280</w:t>
            </w:r>
          </w:p>
        </w:tc>
        <w:tc>
          <w:tcPr>
            <w:tcW w:w="1916" w:type="dxa"/>
            <w:vAlign w:val="center"/>
            <w:hideMark/>
          </w:tcPr>
          <w:p w14:paraId="148BE502"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90</w:t>
            </w:r>
          </w:p>
        </w:tc>
      </w:tr>
      <w:tr w:rsidR="000228B0" w:rsidRPr="00EA4500" w14:paraId="6A3F8986" w14:textId="77777777" w:rsidTr="003205E2">
        <w:trPr>
          <w:trHeight w:val="300"/>
        </w:trPr>
        <w:tc>
          <w:tcPr>
            <w:tcW w:w="2508" w:type="dxa"/>
            <w:vAlign w:val="center"/>
            <w:hideMark/>
          </w:tcPr>
          <w:p w14:paraId="256CDEC2" w14:textId="77777777" w:rsidR="000228B0" w:rsidRPr="00EA4500" w:rsidRDefault="000228B0" w:rsidP="003205E2">
            <w:pPr>
              <w:spacing w:line="256" w:lineRule="auto"/>
              <w:rPr>
                <w:rFonts w:ascii="Arial" w:hAnsi="Arial" w:cs="Arial"/>
                <w:color w:val="00B050"/>
                <w:sz w:val="20"/>
                <w:szCs w:val="20"/>
              </w:rPr>
            </w:pPr>
            <w:r w:rsidRPr="00EA4500">
              <w:rPr>
                <w:rFonts w:ascii="Arial" w:hAnsi="Arial" w:cs="Arial"/>
                <w:color w:val="00B050"/>
                <w:sz w:val="20"/>
                <w:szCs w:val="20"/>
              </w:rPr>
              <w:t>Pennsylvania</w:t>
            </w:r>
          </w:p>
        </w:tc>
        <w:tc>
          <w:tcPr>
            <w:tcW w:w="908" w:type="dxa"/>
            <w:noWrap/>
            <w:vAlign w:val="center"/>
            <w:hideMark/>
          </w:tcPr>
          <w:p w14:paraId="5CAA7C83"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1,340</w:t>
            </w:r>
          </w:p>
        </w:tc>
        <w:tc>
          <w:tcPr>
            <w:tcW w:w="1624" w:type="dxa"/>
            <w:noWrap/>
            <w:vAlign w:val="center"/>
            <w:hideMark/>
          </w:tcPr>
          <w:p w14:paraId="137784BC"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940</w:t>
            </w:r>
          </w:p>
        </w:tc>
        <w:tc>
          <w:tcPr>
            <w:tcW w:w="1684" w:type="dxa"/>
            <w:noWrap/>
            <w:vAlign w:val="center"/>
            <w:hideMark/>
          </w:tcPr>
          <w:p w14:paraId="6B2BDD49"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170</w:t>
            </w:r>
          </w:p>
        </w:tc>
        <w:tc>
          <w:tcPr>
            <w:tcW w:w="1916" w:type="dxa"/>
            <w:vAlign w:val="center"/>
            <w:hideMark/>
          </w:tcPr>
          <w:p w14:paraId="0CD5342E"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230</w:t>
            </w:r>
          </w:p>
        </w:tc>
      </w:tr>
      <w:tr w:rsidR="000228B0" w:rsidRPr="00EA4500" w14:paraId="7A4AC46C" w14:textId="77777777" w:rsidTr="003205E2">
        <w:trPr>
          <w:trHeight w:val="300"/>
        </w:trPr>
        <w:tc>
          <w:tcPr>
            <w:tcW w:w="2508" w:type="dxa"/>
            <w:vAlign w:val="center"/>
            <w:hideMark/>
          </w:tcPr>
          <w:p w14:paraId="228BB817" w14:textId="77777777" w:rsidR="000228B0" w:rsidRPr="00EA4500" w:rsidRDefault="000228B0" w:rsidP="003205E2">
            <w:pPr>
              <w:spacing w:line="256" w:lineRule="auto"/>
              <w:rPr>
                <w:rFonts w:ascii="Arial" w:hAnsi="Arial" w:cs="Arial"/>
                <w:color w:val="00B050"/>
                <w:sz w:val="20"/>
                <w:szCs w:val="20"/>
              </w:rPr>
            </w:pPr>
            <w:r w:rsidRPr="00EA4500">
              <w:rPr>
                <w:rFonts w:ascii="Arial" w:hAnsi="Arial" w:cs="Arial"/>
                <w:color w:val="00B050"/>
                <w:sz w:val="20"/>
                <w:szCs w:val="20"/>
              </w:rPr>
              <w:t>Texas</w:t>
            </w:r>
          </w:p>
        </w:tc>
        <w:tc>
          <w:tcPr>
            <w:tcW w:w="908" w:type="dxa"/>
            <w:noWrap/>
            <w:vAlign w:val="center"/>
            <w:hideMark/>
          </w:tcPr>
          <w:p w14:paraId="65221F19"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2,340</w:t>
            </w:r>
          </w:p>
        </w:tc>
        <w:tc>
          <w:tcPr>
            <w:tcW w:w="1624" w:type="dxa"/>
            <w:noWrap/>
            <w:vAlign w:val="center"/>
            <w:hideMark/>
          </w:tcPr>
          <w:p w14:paraId="690FECA1"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1,810</w:t>
            </w:r>
          </w:p>
        </w:tc>
        <w:tc>
          <w:tcPr>
            <w:tcW w:w="1684" w:type="dxa"/>
            <w:vAlign w:val="center"/>
            <w:hideMark/>
          </w:tcPr>
          <w:p w14:paraId="22F5C192"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410</w:t>
            </w:r>
          </w:p>
        </w:tc>
        <w:tc>
          <w:tcPr>
            <w:tcW w:w="1916" w:type="dxa"/>
            <w:vAlign w:val="center"/>
            <w:hideMark/>
          </w:tcPr>
          <w:p w14:paraId="490FB2CA"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120</w:t>
            </w:r>
          </w:p>
        </w:tc>
      </w:tr>
      <w:tr w:rsidR="000228B0" w:rsidRPr="00EA4500" w14:paraId="1F4DA3AB" w14:textId="77777777" w:rsidTr="003205E2">
        <w:trPr>
          <w:trHeight w:val="300"/>
        </w:trPr>
        <w:tc>
          <w:tcPr>
            <w:tcW w:w="2508" w:type="dxa"/>
            <w:noWrap/>
            <w:vAlign w:val="center"/>
            <w:hideMark/>
          </w:tcPr>
          <w:p w14:paraId="215E69A8" w14:textId="77777777" w:rsidR="000228B0" w:rsidRPr="00EA4500" w:rsidRDefault="000228B0" w:rsidP="003205E2">
            <w:pPr>
              <w:rPr>
                <w:rFonts w:ascii="Arial" w:hAnsi="Arial" w:cs="Arial"/>
                <w:color w:val="00B050"/>
                <w:sz w:val="20"/>
                <w:szCs w:val="20"/>
              </w:rPr>
            </w:pPr>
          </w:p>
        </w:tc>
        <w:tc>
          <w:tcPr>
            <w:tcW w:w="908" w:type="dxa"/>
            <w:noWrap/>
            <w:vAlign w:val="center"/>
            <w:hideMark/>
          </w:tcPr>
          <w:p w14:paraId="3E0826C7" w14:textId="77777777" w:rsidR="000228B0" w:rsidRPr="00EA4500" w:rsidRDefault="000228B0" w:rsidP="003205E2">
            <w:pPr>
              <w:spacing w:line="256" w:lineRule="auto"/>
              <w:rPr>
                <w:rFonts w:ascii="Arial" w:hAnsi="Arial" w:cs="Arial"/>
                <w:color w:val="00B050"/>
                <w:sz w:val="20"/>
                <w:szCs w:val="20"/>
              </w:rPr>
            </w:pPr>
          </w:p>
        </w:tc>
        <w:tc>
          <w:tcPr>
            <w:tcW w:w="1624" w:type="dxa"/>
            <w:noWrap/>
            <w:vAlign w:val="center"/>
            <w:hideMark/>
          </w:tcPr>
          <w:p w14:paraId="59C4647A" w14:textId="77777777" w:rsidR="000228B0" w:rsidRPr="00EA4500" w:rsidRDefault="000228B0" w:rsidP="003205E2">
            <w:pPr>
              <w:spacing w:line="256" w:lineRule="auto"/>
              <w:rPr>
                <w:rFonts w:ascii="Arial" w:hAnsi="Arial" w:cs="Arial"/>
                <w:color w:val="00B050"/>
                <w:sz w:val="20"/>
                <w:szCs w:val="20"/>
              </w:rPr>
            </w:pPr>
          </w:p>
        </w:tc>
        <w:tc>
          <w:tcPr>
            <w:tcW w:w="1684" w:type="dxa"/>
            <w:vAlign w:val="center"/>
            <w:hideMark/>
          </w:tcPr>
          <w:p w14:paraId="5E4F8166" w14:textId="77777777" w:rsidR="000228B0" w:rsidRPr="00EA4500" w:rsidRDefault="000228B0" w:rsidP="003205E2">
            <w:pPr>
              <w:spacing w:line="256" w:lineRule="auto"/>
              <w:rPr>
                <w:rFonts w:ascii="Arial" w:hAnsi="Arial" w:cs="Arial"/>
                <w:color w:val="00B050"/>
                <w:sz w:val="20"/>
                <w:szCs w:val="20"/>
              </w:rPr>
            </w:pPr>
          </w:p>
        </w:tc>
        <w:tc>
          <w:tcPr>
            <w:tcW w:w="1916" w:type="dxa"/>
            <w:vAlign w:val="center"/>
            <w:hideMark/>
          </w:tcPr>
          <w:p w14:paraId="2B24012B" w14:textId="77777777" w:rsidR="000228B0" w:rsidRPr="00EA4500" w:rsidRDefault="000228B0" w:rsidP="003205E2">
            <w:pPr>
              <w:spacing w:line="256" w:lineRule="auto"/>
              <w:rPr>
                <w:rFonts w:ascii="Arial" w:hAnsi="Arial" w:cs="Arial"/>
                <w:color w:val="00B050"/>
                <w:sz w:val="20"/>
                <w:szCs w:val="20"/>
              </w:rPr>
            </w:pPr>
          </w:p>
        </w:tc>
      </w:tr>
      <w:tr w:rsidR="000228B0" w:rsidRPr="00EA4500" w14:paraId="3A9ED01A" w14:textId="77777777" w:rsidTr="003205E2">
        <w:trPr>
          <w:trHeight w:val="315"/>
        </w:trPr>
        <w:tc>
          <w:tcPr>
            <w:tcW w:w="2508" w:type="dxa"/>
            <w:tcBorders>
              <w:top w:val="nil"/>
              <w:left w:val="nil"/>
              <w:bottom w:val="single" w:sz="12" w:space="0" w:color="auto"/>
              <w:right w:val="nil"/>
            </w:tcBorders>
            <w:vAlign w:val="center"/>
            <w:hideMark/>
          </w:tcPr>
          <w:p w14:paraId="008C90D2" w14:textId="77777777" w:rsidR="000228B0" w:rsidRPr="00EA4500" w:rsidRDefault="000228B0" w:rsidP="003205E2">
            <w:pPr>
              <w:spacing w:line="256" w:lineRule="auto"/>
              <w:rPr>
                <w:rFonts w:ascii="Arial" w:hAnsi="Arial" w:cs="Arial"/>
                <w:color w:val="00B050"/>
                <w:sz w:val="20"/>
                <w:szCs w:val="20"/>
              </w:rPr>
            </w:pPr>
            <w:r w:rsidRPr="00EA4500">
              <w:rPr>
                <w:rFonts w:ascii="Arial" w:hAnsi="Arial" w:cs="Arial"/>
                <w:color w:val="00B050"/>
                <w:sz w:val="20"/>
                <w:szCs w:val="20"/>
              </w:rPr>
              <w:t>All other states</w:t>
            </w:r>
          </w:p>
        </w:tc>
        <w:tc>
          <w:tcPr>
            <w:tcW w:w="908" w:type="dxa"/>
            <w:tcBorders>
              <w:top w:val="nil"/>
              <w:left w:val="nil"/>
              <w:bottom w:val="single" w:sz="12" w:space="0" w:color="auto"/>
              <w:right w:val="nil"/>
            </w:tcBorders>
            <w:noWrap/>
            <w:vAlign w:val="center"/>
            <w:hideMark/>
          </w:tcPr>
          <w:p w14:paraId="2B9C7685"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24,120</w:t>
            </w:r>
          </w:p>
        </w:tc>
        <w:tc>
          <w:tcPr>
            <w:tcW w:w="1624" w:type="dxa"/>
            <w:tcBorders>
              <w:top w:val="nil"/>
              <w:left w:val="nil"/>
              <w:bottom w:val="single" w:sz="12" w:space="0" w:color="auto"/>
              <w:right w:val="nil"/>
            </w:tcBorders>
            <w:noWrap/>
            <w:vAlign w:val="center"/>
            <w:hideMark/>
          </w:tcPr>
          <w:p w14:paraId="2C7BA8EE"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16,410</w:t>
            </w:r>
          </w:p>
        </w:tc>
        <w:tc>
          <w:tcPr>
            <w:tcW w:w="1684" w:type="dxa"/>
            <w:tcBorders>
              <w:top w:val="nil"/>
              <w:left w:val="nil"/>
              <w:bottom w:val="single" w:sz="12" w:space="0" w:color="auto"/>
              <w:right w:val="nil"/>
            </w:tcBorders>
            <w:vAlign w:val="center"/>
            <w:hideMark/>
          </w:tcPr>
          <w:p w14:paraId="1F0C84EC"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3,190</w:t>
            </w:r>
          </w:p>
        </w:tc>
        <w:tc>
          <w:tcPr>
            <w:tcW w:w="1916" w:type="dxa"/>
            <w:tcBorders>
              <w:top w:val="nil"/>
              <w:left w:val="nil"/>
              <w:bottom w:val="single" w:sz="12" w:space="0" w:color="auto"/>
              <w:right w:val="nil"/>
            </w:tcBorders>
            <w:vAlign w:val="center"/>
            <w:hideMark/>
          </w:tcPr>
          <w:p w14:paraId="3E541462" w14:textId="77777777" w:rsidR="000228B0" w:rsidRPr="00EA4500" w:rsidRDefault="000228B0" w:rsidP="003205E2">
            <w:pPr>
              <w:spacing w:line="256" w:lineRule="auto"/>
              <w:jc w:val="right"/>
              <w:rPr>
                <w:rFonts w:ascii="Arial" w:hAnsi="Arial" w:cs="Arial"/>
                <w:color w:val="00B050"/>
                <w:sz w:val="20"/>
                <w:szCs w:val="20"/>
              </w:rPr>
            </w:pPr>
            <w:r w:rsidRPr="00EA4500">
              <w:rPr>
                <w:rFonts w:ascii="Arial" w:hAnsi="Arial" w:cs="Arial"/>
                <w:color w:val="00B050"/>
                <w:sz w:val="20"/>
                <w:szCs w:val="20"/>
              </w:rPr>
              <w:t>4,510</w:t>
            </w:r>
          </w:p>
        </w:tc>
      </w:tr>
      <w:tr w:rsidR="000228B0" w:rsidRPr="00EA4500" w14:paraId="0C396487" w14:textId="77777777" w:rsidTr="003205E2">
        <w:trPr>
          <w:trHeight w:val="315"/>
        </w:trPr>
        <w:tc>
          <w:tcPr>
            <w:tcW w:w="8640" w:type="dxa"/>
            <w:gridSpan w:val="5"/>
            <w:tcBorders>
              <w:top w:val="single" w:sz="12" w:space="0" w:color="auto"/>
              <w:left w:val="nil"/>
              <w:right w:val="nil"/>
            </w:tcBorders>
          </w:tcPr>
          <w:p w14:paraId="79A2452A" w14:textId="77777777" w:rsidR="000228B0" w:rsidRPr="00EA4500" w:rsidRDefault="000228B0" w:rsidP="003205E2">
            <w:pPr>
              <w:spacing w:line="256" w:lineRule="auto"/>
              <w:rPr>
                <w:rFonts w:ascii="Arial" w:hAnsi="Arial" w:cs="Arial"/>
                <w:color w:val="00B050"/>
                <w:sz w:val="20"/>
                <w:szCs w:val="20"/>
                <w:vertAlign w:val="superscript"/>
              </w:rPr>
            </w:pPr>
            <w:r w:rsidRPr="00EA4500">
              <w:rPr>
                <w:rFonts w:ascii="Arial" w:hAnsi="Arial" w:cs="Arial"/>
                <w:color w:val="00B050"/>
                <w:sz w:val="20"/>
                <w:szCs w:val="20"/>
                <w:vertAlign w:val="superscript"/>
              </w:rPr>
              <w:t xml:space="preserve">1 </w:t>
            </w:r>
            <w:r w:rsidRPr="00EA4500">
              <w:rPr>
                <w:rFonts w:ascii="Arial" w:hAnsi="Arial" w:cs="Arial"/>
                <w:color w:val="00B050"/>
                <w:sz w:val="16"/>
                <w:szCs w:val="16"/>
              </w:rPr>
              <w:t>Georgia includes an oversample of an additional 250 NPSAS survey nonrespondents and 80 NPSAS admin-only respondents.</w:t>
            </w:r>
          </w:p>
          <w:p w14:paraId="614466A6" w14:textId="77777777" w:rsidR="000228B0" w:rsidRPr="00EA4500" w:rsidRDefault="000228B0" w:rsidP="003205E2">
            <w:pPr>
              <w:spacing w:line="256" w:lineRule="auto"/>
              <w:rPr>
                <w:rFonts w:ascii="Arial" w:hAnsi="Arial" w:cs="Arial"/>
                <w:color w:val="00B050"/>
                <w:sz w:val="16"/>
                <w:szCs w:val="16"/>
              </w:rPr>
            </w:pPr>
            <w:r w:rsidRPr="00EA4500">
              <w:rPr>
                <w:rFonts w:ascii="Arial" w:hAnsi="Arial" w:cs="Arial"/>
                <w:color w:val="00B050"/>
                <w:sz w:val="16"/>
                <w:szCs w:val="16"/>
              </w:rPr>
              <w:t xml:space="preserve">NOTE: Detail may not sum to totals because of rounding. Potential FTB’s are individuals who did not complete a NPSAS survey who appeared to be FTB’s in enrollment or NPSAS:20 admin data. </w:t>
            </w:r>
          </w:p>
          <w:p w14:paraId="1822DB07" w14:textId="77777777" w:rsidR="000228B0" w:rsidRPr="00EA4500" w:rsidRDefault="000228B0" w:rsidP="003205E2">
            <w:pPr>
              <w:spacing w:line="256" w:lineRule="auto"/>
              <w:rPr>
                <w:rFonts w:ascii="Arial" w:hAnsi="Arial" w:cs="Arial"/>
                <w:color w:val="00B050"/>
                <w:sz w:val="20"/>
                <w:szCs w:val="20"/>
              </w:rPr>
            </w:pPr>
            <w:r w:rsidRPr="00EA4500">
              <w:rPr>
                <w:rFonts w:ascii="Arial" w:hAnsi="Arial" w:cs="Arial"/>
                <w:color w:val="00B050"/>
                <w:sz w:val="16"/>
                <w:szCs w:val="16"/>
              </w:rPr>
              <w:t>SOURCE: U.S. Department of Education, National Center for Education Statistics, 2020/22 Beginning Postsecondary Students Longitudinal Study (BPS:20/22) Full-scale.</w:t>
            </w:r>
          </w:p>
        </w:tc>
      </w:tr>
    </w:tbl>
    <w:p w14:paraId="10D23F60" w14:textId="77777777" w:rsidR="000228B0" w:rsidRPr="00090B33" w:rsidRDefault="000228B0" w:rsidP="000228B0">
      <w:pPr>
        <w:pStyle w:val="NormalWeb"/>
        <w:rPr>
          <w:rFonts w:ascii="Calibri" w:hAnsi="Calibri" w:cs="Calibri"/>
          <w:color w:val="FF0000"/>
        </w:rPr>
      </w:pPr>
    </w:p>
    <w:p w14:paraId="6CD5FF6B" w14:textId="77777777" w:rsidR="000228B0" w:rsidRPr="00EA4500" w:rsidRDefault="000228B0" w:rsidP="000228B0">
      <w:pPr>
        <w:pStyle w:val="TableTitle"/>
        <w:ind w:left="180" w:hanging="180"/>
        <w:rPr>
          <w:rFonts w:ascii="Times New Roman" w:eastAsia="MS Mincho" w:hAnsi="Times New Roman"/>
          <w:color w:val="00B050"/>
          <w:kern w:val="2"/>
        </w:rPr>
      </w:pPr>
      <w:r w:rsidRPr="00EA4500">
        <w:rPr>
          <w:color w:val="00B050"/>
        </w:rPr>
        <w:t xml:space="preserve">Table 4. BPS:20/22 expected completes by NPSAS:20 data collection outcome </w:t>
      </w:r>
    </w:p>
    <w:tbl>
      <w:tblPr>
        <w:tblW w:w="8398" w:type="dxa"/>
        <w:tblLook w:val="04A0" w:firstRow="1" w:lastRow="0" w:firstColumn="1" w:lastColumn="0" w:noHBand="0" w:noVBand="1"/>
      </w:tblPr>
      <w:tblGrid>
        <w:gridCol w:w="3420"/>
        <w:gridCol w:w="1260"/>
        <w:gridCol w:w="1170"/>
        <w:gridCol w:w="1309"/>
        <w:gridCol w:w="1239"/>
      </w:tblGrid>
      <w:tr w:rsidR="000228B0" w:rsidRPr="00EA4500" w14:paraId="3FD1F9B2" w14:textId="77777777" w:rsidTr="003205E2">
        <w:trPr>
          <w:trHeight w:val="900"/>
        </w:trPr>
        <w:tc>
          <w:tcPr>
            <w:tcW w:w="3420" w:type="dxa"/>
            <w:tcBorders>
              <w:top w:val="single" w:sz="12" w:space="0" w:color="auto"/>
              <w:left w:val="nil"/>
              <w:bottom w:val="single" w:sz="4" w:space="0" w:color="auto"/>
              <w:right w:val="nil"/>
            </w:tcBorders>
            <w:shd w:val="clear" w:color="auto" w:fill="auto"/>
            <w:noWrap/>
            <w:vAlign w:val="bottom"/>
            <w:hideMark/>
          </w:tcPr>
          <w:p w14:paraId="68B498E4" w14:textId="77777777" w:rsidR="000228B0" w:rsidRPr="00EA4500" w:rsidRDefault="000228B0" w:rsidP="003205E2">
            <w:pPr>
              <w:rPr>
                <w:rFonts w:ascii="Arial" w:hAnsi="Arial" w:cs="Arial"/>
                <w:b/>
                <w:bCs/>
                <w:color w:val="00B050"/>
                <w:sz w:val="20"/>
                <w:szCs w:val="20"/>
              </w:rPr>
            </w:pPr>
            <w:r w:rsidRPr="00EA4500">
              <w:rPr>
                <w:rFonts w:ascii="Arial" w:hAnsi="Arial" w:cs="Arial"/>
                <w:b/>
                <w:bCs/>
                <w:color w:val="00B050"/>
                <w:sz w:val="20"/>
                <w:szCs w:val="20"/>
              </w:rPr>
              <w:t>NPSAS:20 Outcome</w:t>
            </w:r>
          </w:p>
        </w:tc>
        <w:tc>
          <w:tcPr>
            <w:tcW w:w="1260" w:type="dxa"/>
            <w:tcBorders>
              <w:top w:val="single" w:sz="12" w:space="0" w:color="auto"/>
              <w:left w:val="nil"/>
              <w:bottom w:val="single" w:sz="4" w:space="0" w:color="auto"/>
              <w:right w:val="nil"/>
            </w:tcBorders>
            <w:shd w:val="clear" w:color="auto" w:fill="auto"/>
            <w:vAlign w:val="bottom"/>
            <w:hideMark/>
          </w:tcPr>
          <w:p w14:paraId="735A47C1" w14:textId="77777777" w:rsidR="000228B0" w:rsidRPr="00EA4500" w:rsidRDefault="000228B0" w:rsidP="003205E2">
            <w:pPr>
              <w:jc w:val="right"/>
              <w:rPr>
                <w:rFonts w:ascii="Arial" w:hAnsi="Arial" w:cs="Arial"/>
                <w:b/>
                <w:bCs/>
                <w:color w:val="00B050"/>
                <w:sz w:val="20"/>
                <w:szCs w:val="20"/>
              </w:rPr>
            </w:pPr>
            <w:r w:rsidRPr="00EA4500">
              <w:rPr>
                <w:rFonts w:ascii="Arial" w:hAnsi="Arial" w:cs="Arial"/>
                <w:b/>
                <w:bCs/>
                <w:color w:val="00B050"/>
                <w:sz w:val="20"/>
                <w:szCs w:val="20"/>
              </w:rPr>
              <w:t>Sample Size</w:t>
            </w:r>
          </w:p>
        </w:tc>
        <w:tc>
          <w:tcPr>
            <w:tcW w:w="1170" w:type="dxa"/>
            <w:tcBorders>
              <w:top w:val="single" w:sz="12" w:space="0" w:color="auto"/>
              <w:left w:val="nil"/>
              <w:bottom w:val="single" w:sz="4" w:space="0" w:color="auto"/>
              <w:right w:val="nil"/>
            </w:tcBorders>
            <w:shd w:val="clear" w:color="auto" w:fill="auto"/>
            <w:vAlign w:val="bottom"/>
            <w:hideMark/>
          </w:tcPr>
          <w:p w14:paraId="697FAAA7" w14:textId="77777777" w:rsidR="000228B0" w:rsidRPr="00EA4500" w:rsidRDefault="000228B0" w:rsidP="003205E2">
            <w:pPr>
              <w:jc w:val="right"/>
              <w:rPr>
                <w:rFonts w:ascii="Arial" w:hAnsi="Arial" w:cs="Arial"/>
                <w:b/>
                <w:bCs/>
                <w:color w:val="00B050"/>
                <w:sz w:val="20"/>
                <w:szCs w:val="20"/>
              </w:rPr>
            </w:pPr>
            <w:r w:rsidRPr="00EA4500">
              <w:rPr>
                <w:rFonts w:ascii="Arial" w:hAnsi="Arial" w:cs="Arial"/>
                <w:b/>
                <w:bCs/>
                <w:color w:val="00B050"/>
                <w:sz w:val="20"/>
                <w:szCs w:val="20"/>
              </w:rPr>
              <w:t>Eligibility Rate</w:t>
            </w:r>
          </w:p>
        </w:tc>
        <w:tc>
          <w:tcPr>
            <w:tcW w:w="1309" w:type="dxa"/>
            <w:tcBorders>
              <w:top w:val="single" w:sz="12" w:space="0" w:color="auto"/>
              <w:left w:val="nil"/>
              <w:bottom w:val="single" w:sz="4" w:space="0" w:color="auto"/>
              <w:right w:val="nil"/>
            </w:tcBorders>
            <w:shd w:val="clear" w:color="auto" w:fill="auto"/>
            <w:vAlign w:val="bottom"/>
            <w:hideMark/>
          </w:tcPr>
          <w:p w14:paraId="61C2A61A" w14:textId="77777777" w:rsidR="000228B0" w:rsidRPr="00EA4500" w:rsidRDefault="000228B0" w:rsidP="003205E2">
            <w:pPr>
              <w:jc w:val="right"/>
              <w:rPr>
                <w:rFonts w:ascii="Arial" w:hAnsi="Arial" w:cs="Arial"/>
                <w:b/>
                <w:bCs/>
                <w:color w:val="00B050"/>
                <w:sz w:val="20"/>
                <w:szCs w:val="20"/>
              </w:rPr>
            </w:pPr>
            <w:r w:rsidRPr="00EA4500">
              <w:rPr>
                <w:rFonts w:ascii="Arial" w:hAnsi="Arial" w:cs="Arial"/>
                <w:b/>
                <w:bCs/>
                <w:color w:val="00B050"/>
                <w:sz w:val="20"/>
                <w:szCs w:val="20"/>
              </w:rPr>
              <w:t>Expected Response Rate</w:t>
            </w:r>
          </w:p>
        </w:tc>
        <w:tc>
          <w:tcPr>
            <w:tcW w:w="1239" w:type="dxa"/>
            <w:tcBorders>
              <w:top w:val="single" w:sz="12" w:space="0" w:color="auto"/>
              <w:left w:val="nil"/>
              <w:bottom w:val="single" w:sz="4" w:space="0" w:color="auto"/>
              <w:right w:val="nil"/>
            </w:tcBorders>
            <w:shd w:val="clear" w:color="auto" w:fill="auto"/>
            <w:vAlign w:val="bottom"/>
            <w:hideMark/>
          </w:tcPr>
          <w:p w14:paraId="036B20B2" w14:textId="77777777" w:rsidR="000228B0" w:rsidRPr="00EA4500" w:rsidRDefault="000228B0" w:rsidP="003205E2">
            <w:pPr>
              <w:jc w:val="right"/>
              <w:rPr>
                <w:rFonts w:ascii="Arial" w:hAnsi="Arial" w:cs="Arial"/>
                <w:b/>
                <w:bCs/>
                <w:color w:val="00B050"/>
                <w:sz w:val="20"/>
                <w:szCs w:val="20"/>
              </w:rPr>
            </w:pPr>
            <w:r w:rsidRPr="00EA4500">
              <w:rPr>
                <w:rFonts w:ascii="Arial" w:hAnsi="Arial" w:cs="Arial"/>
                <w:b/>
                <w:bCs/>
                <w:color w:val="00B050"/>
                <w:sz w:val="20"/>
                <w:szCs w:val="20"/>
              </w:rPr>
              <w:t>Expected Completes</w:t>
            </w:r>
          </w:p>
        </w:tc>
      </w:tr>
      <w:tr w:rsidR="000228B0" w:rsidRPr="00EA4500" w14:paraId="747A0EC1" w14:textId="77777777" w:rsidTr="003205E2">
        <w:trPr>
          <w:trHeight w:val="300"/>
        </w:trPr>
        <w:tc>
          <w:tcPr>
            <w:tcW w:w="3420" w:type="dxa"/>
            <w:tcBorders>
              <w:top w:val="nil"/>
              <w:left w:val="nil"/>
              <w:bottom w:val="nil"/>
              <w:right w:val="nil"/>
            </w:tcBorders>
            <w:shd w:val="clear" w:color="auto" w:fill="auto"/>
            <w:noWrap/>
            <w:vAlign w:val="center"/>
            <w:hideMark/>
          </w:tcPr>
          <w:p w14:paraId="756501DE" w14:textId="77777777" w:rsidR="000228B0" w:rsidRPr="00EA4500" w:rsidRDefault="000228B0" w:rsidP="003205E2">
            <w:pPr>
              <w:rPr>
                <w:rFonts w:ascii="Arial" w:hAnsi="Arial" w:cs="Arial"/>
                <w:b/>
                <w:bCs/>
                <w:color w:val="00B050"/>
                <w:sz w:val="20"/>
                <w:szCs w:val="20"/>
              </w:rPr>
            </w:pPr>
            <w:r w:rsidRPr="00EA4500">
              <w:rPr>
                <w:rFonts w:ascii="Arial" w:hAnsi="Arial" w:cs="Arial"/>
                <w:b/>
                <w:bCs/>
                <w:color w:val="00B050"/>
                <w:sz w:val="20"/>
                <w:szCs w:val="20"/>
              </w:rPr>
              <w:t>Overall</w:t>
            </w:r>
          </w:p>
        </w:tc>
        <w:tc>
          <w:tcPr>
            <w:tcW w:w="1260" w:type="dxa"/>
            <w:tcBorders>
              <w:top w:val="nil"/>
              <w:left w:val="nil"/>
              <w:bottom w:val="nil"/>
              <w:right w:val="nil"/>
            </w:tcBorders>
            <w:shd w:val="clear" w:color="auto" w:fill="auto"/>
            <w:noWrap/>
            <w:vAlign w:val="center"/>
            <w:hideMark/>
          </w:tcPr>
          <w:p w14:paraId="3F05AA8B" w14:textId="77777777" w:rsidR="000228B0" w:rsidRPr="00EA4500" w:rsidRDefault="000228B0" w:rsidP="003205E2">
            <w:pPr>
              <w:jc w:val="right"/>
              <w:rPr>
                <w:rFonts w:ascii="Arial" w:hAnsi="Arial" w:cs="Arial"/>
                <w:b/>
                <w:bCs/>
                <w:color w:val="00B050"/>
                <w:sz w:val="20"/>
                <w:szCs w:val="20"/>
              </w:rPr>
            </w:pPr>
            <w:r w:rsidRPr="00EA4500">
              <w:rPr>
                <w:rFonts w:ascii="Arial" w:hAnsi="Arial" w:cs="Arial"/>
                <w:b/>
                <w:bCs/>
                <w:color w:val="00B050"/>
                <w:sz w:val="20"/>
                <w:szCs w:val="20"/>
              </w:rPr>
              <w:t>37,330</w:t>
            </w:r>
          </w:p>
        </w:tc>
        <w:tc>
          <w:tcPr>
            <w:tcW w:w="1170" w:type="dxa"/>
            <w:tcBorders>
              <w:top w:val="nil"/>
              <w:left w:val="nil"/>
              <w:bottom w:val="nil"/>
              <w:right w:val="nil"/>
            </w:tcBorders>
            <w:shd w:val="clear" w:color="auto" w:fill="auto"/>
            <w:noWrap/>
            <w:vAlign w:val="center"/>
            <w:hideMark/>
          </w:tcPr>
          <w:p w14:paraId="576C6AF0" w14:textId="77777777" w:rsidR="000228B0" w:rsidRPr="00EA4500" w:rsidRDefault="000228B0" w:rsidP="003205E2">
            <w:pPr>
              <w:jc w:val="right"/>
              <w:rPr>
                <w:rFonts w:ascii="Arial" w:hAnsi="Arial" w:cs="Arial"/>
                <w:b/>
                <w:bCs/>
                <w:color w:val="00B050"/>
                <w:sz w:val="20"/>
                <w:szCs w:val="20"/>
              </w:rPr>
            </w:pPr>
            <w:r w:rsidRPr="00EA4500">
              <w:rPr>
                <w:rFonts w:ascii="Arial" w:hAnsi="Arial" w:cs="Arial"/>
                <w:b/>
                <w:bCs/>
                <w:color w:val="00B050"/>
                <w:sz w:val="20"/>
                <w:szCs w:val="20"/>
              </w:rPr>
              <w:t>0.94</w:t>
            </w:r>
          </w:p>
        </w:tc>
        <w:tc>
          <w:tcPr>
            <w:tcW w:w="1309" w:type="dxa"/>
            <w:tcBorders>
              <w:top w:val="nil"/>
              <w:left w:val="nil"/>
              <w:bottom w:val="nil"/>
              <w:right w:val="nil"/>
            </w:tcBorders>
            <w:shd w:val="clear" w:color="auto" w:fill="auto"/>
            <w:noWrap/>
            <w:vAlign w:val="center"/>
            <w:hideMark/>
          </w:tcPr>
          <w:p w14:paraId="754F6E39" w14:textId="77777777" w:rsidR="000228B0" w:rsidRPr="00EA4500" w:rsidRDefault="000228B0" w:rsidP="003205E2">
            <w:pPr>
              <w:jc w:val="right"/>
              <w:rPr>
                <w:rFonts w:ascii="Arial" w:hAnsi="Arial" w:cs="Arial"/>
                <w:b/>
                <w:bCs/>
                <w:color w:val="00B050"/>
                <w:sz w:val="20"/>
                <w:szCs w:val="20"/>
              </w:rPr>
            </w:pPr>
            <w:r w:rsidRPr="00EA4500">
              <w:rPr>
                <w:rFonts w:ascii="Arial" w:hAnsi="Arial" w:cs="Arial"/>
                <w:b/>
                <w:bCs/>
                <w:color w:val="00B050"/>
                <w:sz w:val="20"/>
                <w:szCs w:val="20"/>
              </w:rPr>
              <w:t>0.72</w:t>
            </w:r>
          </w:p>
        </w:tc>
        <w:tc>
          <w:tcPr>
            <w:tcW w:w="1239" w:type="dxa"/>
            <w:tcBorders>
              <w:top w:val="nil"/>
              <w:left w:val="nil"/>
              <w:bottom w:val="nil"/>
              <w:right w:val="nil"/>
            </w:tcBorders>
            <w:shd w:val="clear" w:color="auto" w:fill="auto"/>
            <w:noWrap/>
            <w:vAlign w:val="center"/>
            <w:hideMark/>
          </w:tcPr>
          <w:p w14:paraId="03447646" w14:textId="77777777" w:rsidR="000228B0" w:rsidRPr="00EA4500" w:rsidRDefault="000228B0" w:rsidP="003205E2">
            <w:pPr>
              <w:jc w:val="right"/>
              <w:rPr>
                <w:rFonts w:ascii="Arial" w:hAnsi="Arial" w:cs="Arial"/>
                <w:b/>
                <w:bCs/>
                <w:color w:val="00B050"/>
                <w:sz w:val="20"/>
                <w:szCs w:val="20"/>
              </w:rPr>
            </w:pPr>
            <w:r w:rsidRPr="00EA4500">
              <w:rPr>
                <w:rFonts w:ascii="Arial" w:hAnsi="Arial" w:cs="Arial"/>
                <w:b/>
                <w:bCs/>
                <w:color w:val="00B050"/>
                <w:sz w:val="20"/>
                <w:szCs w:val="20"/>
              </w:rPr>
              <w:t>25,030</w:t>
            </w:r>
          </w:p>
        </w:tc>
      </w:tr>
      <w:tr w:rsidR="000228B0" w:rsidRPr="00EA4500" w14:paraId="59BC9A3E" w14:textId="77777777" w:rsidTr="003205E2">
        <w:trPr>
          <w:trHeight w:val="300"/>
        </w:trPr>
        <w:tc>
          <w:tcPr>
            <w:tcW w:w="3420" w:type="dxa"/>
            <w:tcBorders>
              <w:top w:val="nil"/>
              <w:left w:val="nil"/>
              <w:bottom w:val="nil"/>
              <w:right w:val="nil"/>
            </w:tcBorders>
            <w:shd w:val="clear" w:color="auto" w:fill="auto"/>
            <w:noWrap/>
            <w:vAlign w:val="center"/>
            <w:hideMark/>
          </w:tcPr>
          <w:p w14:paraId="0994EC38" w14:textId="77777777" w:rsidR="000228B0" w:rsidRPr="00EA4500" w:rsidRDefault="000228B0" w:rsidP="003205E2">
            <w:pPr>
              <w:jc w:val="right"/>
              <w:rPr>
                <w:rFonts w:ascii="Arial" w:hAnsi="Arial" w:cs="Arial"/>
                <w:b/>
                <w:bCs/>
                <w:color w:val="00B050"/>
                <w:sz w:val="20"/>
                <w:szCs w:val="20"/>
              </w:rPr>
            </w:pPr>
          </w:p>
        </w:tc>
        <w:tc>
          <w:tcPr>
            <w:tcW w:w="1260" w:type="dxa"/>
            <w:tcBorders>
              <w:top w:val="nil"/>
              <w:left w:val="nil"/>
              <w:bottom w:val="nil"/>
              <w:right w:val="nil"/>
            </w:tcBorders>
            <w:shd w:val="clear" w:color="auto" w:fill="auto"/>
            <w:noWrap/>
            <w:vAlign w:val="center"/>
            <w:hideMark/>
          </w:tcPr>
          <w:p w14:paraId="3136CC54" w14:textId="77777777" w:rsidR="000228B0" w:rsidRPr="00EA4500" w:rsidRDefault="000228B0" w:rsidP="003205E2">
            <w:pPr>
              <w:rPr>
                <w:rFonts w:ascii="Arial" w:hAnsi="Arial" w:cs="Arial"/>
                <w:color w:val="00B050"/>
                <w:sz w:val="20"/>
                <w:szCs w:val="20"/>
              </w:rPr>
            </w:pPr>
          </w:p>
        </w:tc>
        <w:tc>
          <w:tcPr>
            <w:tcW w:w="1170" w:type="dxa"/>
            <w:tcBorders>
              <w:top w:val="nil"/>
              <w:left w:val="nil"/>
              <w:bottom w:val="nil"/>
              <w:right w:val="nil"/>
            </w:tcBorders>
            <w:shd w:val="clear" w:color="auto" w:fill="auto"/>
            <w:noWrap/>
            <w:vAlign w:val="center"/>
            <w:hideMark/>
          </w:tcPr>
          <w:p w14:paraId="1E497DE5" w14:textId="77777777" w:rsidR="000228B0" w:rsidRPr="00EA4500" w:rsidRDefault="000228B0" w:rsidP="003205E2">
            <w:pPr>
              <w:jc w:val="right"/>
              <w:rPr>
                <w:rFonts w:ascii="Arial" w:hAnsi="Arial" w:cs="Arial"/>
                <w:color w:val="00B050"/>
                <w:sz w:val="20"/>
                <w:szCs w:val="20"/>
              </w:rPr>
            </w:pPr>
          </w:p>
        </w:tc>
        <w:tc>
          <w:tcPr>
            <w:tcW w:w="1309" w:type="dxa"/>
            <w:tcBorders>
              <w:top w:val="nil"/>
              <w:left w:val="nil"/>
              <w:bottom w:val="nil"/>
              <w:right w:val="nil"/>
            </w:tcBorders>
            <w:shd w:val="clear" w:color="auto" w:fill="auto"/>
            <w:noWrap/>
            <w:vAlign w:val="center"/>
            <w:hideMark/>
          </w:tcPr>
          <w:p w14:paraId="046F89B2" w14:textId="77777777" w:rsidR="000228B0" w:rsidRPr="00EA4500" w:rsidRDefault="000228B0" w:rsidP="003205E2">
            <w:pPr>
              <w:jc w:val="right"/>
              <w:rPr>
                <w:rFonts w:ascii="Arial" w:hAnsi="Arial" w:cs="Arial"/>
                <w:color w:val="00B050"/>
                <w:sz w:val="20"/>
                <w:szCs w:val="20"/>
              </w:rPr>
            </w:pPr>
          </w:p>
        </w:tc>
        <w:tc>
          <w:tcPr>
            <w:tcW w:w="1239" w:type="dxa"/>
            <w:tcBorders>
              <w:top w:val="nil"/>
              <w:left w:val="nil"/>
              <w:bottom w:val="nil"/>
              <w:right w:val="nil"/>
            </w:tcBorders>
            <w:shd w:val="clear" w:color="auto" w:fill="auto"/>
            <w:noWrap/>
            <w:vAlign w:val="center"/>
            <w:hideMark/>
          </w:tcPr>
          <w:p w14:paraId="46021A6D" w14:textId="77777777" w:rsidR="000228B0" w:rsidRPr="00EA4500" w:rsidRDefault="000228B0" w:rsidP="003205E2">
            <w:pPr>
              <w:jc w:val="right"/>
              <w:rPr>
                <w:rFonts w:ascii="Arial" w:hAnsi="Arial" w:cs="Arial"/>
                <w:color w:val="00B050"/>
                <w:sz w:val="20"/>
                <w:szCs w:val="20"/>
              </w:rPr>
            </w:pPr>
          </w:p>
        </w:tc>
      </w:tr>
      <w:tr w:rsidR="000228B0" w:rsidRPr="00EA4500" w14:paraId="29D1BD5B" w14:textId="77777777" w:rsidTr="003205E2">
        <w:trPr>
          <w:trHeight w:val="300"/>
        </w:trPr>
        <w:tc>
          <w:tcPr>
            <w:tcW w:w="3420" w:type="dxa"/>
            <w:tcBorders>
              <w:top w:val="nil"/>
              <w:left w:val="nil"/>
              <w:bottom w:val="nil"/>
              <w:right w:val="nil"/>
            </w:tcBorders>
            <w:shd w:val="clear" w:color="auto" w:fill="auto"/>
            <w:noWrap/>
            <w:vAlign w:val="center"/>
            <w:hideMark/>
          </w:tcPr>
          <w:p w14:paraId="337623C7" w14:textId="77777777" w:rsidR="000228B0" w:rsidRPr="00EA4500" w:rsidRDefault="000228B0" w:rsidP="003205E2">
            <w:pPr>
              <w:rPr>
                <w:rFonts w:ascii="Arial" w:hAnsi="Arial" w:cs="Arial"/>
                <w:color w:val="00B050"/>
                <w:sz w:val="20"/>
                <w:szCs w:val="20"/>
              </w:rPr>
            </w:pPr>
            <w:r w:rsidRPr="00EA4500">
              <w:rPr>
                <w:rFonts w:ascii="Arial" w:hAnsi="Arial" w:cs="Arial"/>
                <w:color w:val="00B050"/>
                <w:sz w:val="20"/>
                <w:szCs w:val="20"/>
              </w:rPr>
              <w:t>NPSAS Survey Respondents</w:t>
            </w:r>
          </w:p>
        </w:tc>
        <w:tc>
          <w:tcPr>
            <w:tcW w:w="1260" w:type="dxa"/>
            <w:tcBorders>
              <w:top w:val="nil"/>
              <w:left w:val="nil"/>
              <w:bottom w:val="nil"/>
              <w:right w:val="nil"/>
            </w:tcBorders>
            <w:shd w:val="clear" w:color="auto" w:fill="auto"/>
            <w:noWrap/>
            <w:vAlign w:val="center"/>
            <w:hideMark/>
          </w:tcPr>
          <w:p w14:paraId="5647484E" w14:textId="77777777" w:rsidR="000228B0" w:rsidRPr="00EA4500" w:rsidRDefault="000228B0" w:rsidP="003205E2">
            <w:pPr>
              <w:jc w:val="right"/>
              <w:rPr>
                <w:rFonts w:ascii="Arial" w:hAnsi="Arial" w:cs="Arial"/>
                <w:color w:val="00B050"/>
                <w:sz w:val="20"/>
                <w:szCs w:val="20"/>
              </w:rPr>
            </w:pPr>
            <w:r w:rsidRPr="00EA4500">
              <w:rPr>
                <w:rFonts w:ascii="Arial" w:hAnsi="Arial" w:cs="Arial"/>
                <w:color w:val="00B050"/>
                <w:sz w:val="20"/>
                <w:szCs w:val="20"/>
              </w:rPr>
              <w:t>26,470</w:t>
            </w:r>
          </w:p>
        </w:tc>
        <w:tc>
          <w:tcPr>
            <w:tcW w:w="1170" w:type="dxa"/>
            <w:tcBorders>
              <w:top w:val="nil"/>
              <w:left w:val="nil"/>
              <w:bottom w:val="nil"/>
              <w:right w:val="nil"/>
            </w:tcBorders>
            <w:shd w:val="clear" w:color="auto" w:fill="auto"/>
            <w:noWrap/>
            <w:vAlign w:val="center"/>
            <w:hideMark/>
          </w:tcPr>
          <w:p w14:paraId="07ADCF53" w14:textId="77777777" w:rsidR="000228B0" w:rsidRPr="00EA4500" w:rsidRDefault="000228B0" w:rsidP="003205E2">
            <w:pPr>
              <w:jc w:val="right"/>
              <w:rPr>
                <w:rFonts w:ascii="Arial" w:hAnsi="Arial" w:cs="Arial"/>
                <w:color w:val="00B050"/>
                <w:sz w:val="20"/>
                <w:szCs w:val="20"/>
              </w:rPr>
            </w:pPr>
            <w:r w:rsidRPr="00EA4500">
              <w:rPr>
                <w:rFonts w:ascii="Arial" w:hAnsi="Arial" w:cs="Arial"/>
                <w:color w:val="00B050"/>
                <w:sz w:val="20"/>
                <w:szCs w:val="20"/>
              </w:rPr>
              <w:t>1.00</w:t>
            </w:r>
          </w:p>
        </w:tc>
        <w:tc>
          <w:tcPr>
            <w:tcW w:w="1309" w:type="dxa"/>
            <w:tcBorders>
              <w:top w:val="nil"/>
              <w:left w:val="nil"/>
              <w:bottom w:val="nil"/>
              <w:right w:val="nil"/>
            </w:tcBorders>
            <w:shd w:val="clear" w:color="auto" w:fill="auto"/>
            <w:noWrap/>
            <w:vAlign w:val="center"/>
            <w:hideMark/>
          </w:tcPr>
          <w:p w14:paraId="31F767B7" w14:textId="77777777" w:rsidR="000228B0" w:rsidRPr="00EA4500" w:rsidRDefault="000228B0" w:rsidP="003205E2">
            <w:pPr>
              <w:jc w:val="right"/>
              <w:rPr>
                <w:rFonts w:ascii="Arial" w:hAnsi="Arial" w:cs="Arial"/>
                <w:color w:val="00B050"/>
                <w:sz w:val="20"/>
                <w:szCs w:val="20"/>
              </w:rPr>
            </w:pPr>
            <w:r w:rsidRPr="00EA4500">
              <w:rPr>
                <w:rFonts w:ascii="Arial" w:hAnsi="Arial" w:cs="Arial"/>
                <w:color w:val="00B050"/>
                <w:sz w:val="20"/>
                <w:szCs w:val="20"/>
              </w:rPr>
              <w:t>0.82</w:t>
            </w:r>
          </w:p>
        </w:tc>
        <w:tc>
          <w:tcPr>
            <w:tcW w:w="1239" w:type="dxa"/>
            <w:tcBorders>
              <w:top w:val="nil"/>
              <w:left w:val="nil"/>
              <w:bottom w:val="nil"/>
              <w:right w:val="nil"/>
            </w:tcBorders>
            <w:shd w:val="clear" w:color="auto" w:fill="auto"/>
            <w:noWrap/>
            <w:vAlign w:val="center"/>
            <w:hideMark/>
          </w:tcPr>
          <w:p w14:paraId="7B5292AC" w14:textId="77777777" w:rsidR="000228B0" w:rsidRPr="00EA4500" w:rsidRDefault="000228B0" w:rsidP="003205E2">
            <w:pPr>
              <w:jc w:val="right"/>
              <w:rPr>
                <w:rFonts w:ascii="Arial" w:hAnsi="Arial" w:cs="Arial"/>
                <w:color w:val="00B050"/>
                <w:sz w:val="20"/>
                <w:szCs w:val="20"/>
              </w:rPr>
            </w:pPr>
            <w:r w:rsidRPr="00EA4500">
              <w:rPr>
                <w:rFonts w:ascii="Arial" w:hAnsi="Arial" w:cs="Arial"/>
                <w:color w:val="00B050"/>
                <w:sz w:val="20"/>
                <w:szCs w:val="20"/>
              </w:rPr>
              <w:t>21,710</w:t>
            </w:r>
          </w:p>
        </w:tc>
      </w:tr>
      <w:tr w:rsidR="000228B0" w:rsidRPr="00EA4500" w14:paraId="23D1C44F" w14:textId="77777777" w:rsidTr="003205E2">
        <w:trPr>
          <w:trHeight w:val="300"/>
        </w:trPr>
        <w:tc>
          <w:tcPr>
            <w:tcW w:w="3420" w:type="dxa"/>
            <w:tcBorders>
              <w:top w:val="nil"/>
              <w:left w:val="nil"/>
              <w:bottom w:val="nil"/>
              <w:right w:val="nil"/>
            </w:tcBorders>
            <w:shd w:val="clear" w:color="auto" w:fill="auto"/>
            <w:noWrap/>
            <w:vAlign w:val="center"/>
            <w:hideMark/>
          </w:tcPr>
          <w:p w14:paraId="6E5A230C" w14:textId="77777777" w:rsidR="000228B0" w:rsidRPr="00EA4500" w:rsidRDefault="000228B0" w:rsidP="003205E2">
            <w:pPr>
              <w:rPr>
                <w:rFonts w:ascii="Arial" w:hAnsi="Arial" w:cs="Arial"/>
                <w:color w:val="00B050"/>
                <w:sz w:val="20"/>
                <w:szCs w:val="20"/>
              </w:rPr>
            </w:pPr>
            <w:r w:rsidRPr="00EA4500">
              <w:rPr>
                <w:rFonts w:ascii="Arial" w:hAnsi="Arial" w:cs="Arial"/>
                <w:color w:val="00B050"/>
                <w:sz w:val="20"/>
                <w:szCs w:val="20"/>
              </w:rPr>
              <w:t>NPSAS Survey Nonrespondents</w:t>
            </w:r>
          </w:p>
        </w:tc>
        <w:tc>
          <w:tcPr>
            <w:tcW w:w="1260" w:type="dxa"/>
            <w:tcBorders>
              <w:top w:val="nil"/>
              <w:left w:val="nil"/>
              <w:bottom w:val="nil"/>
              <w:right w:val="nil"/>
            </w:tcBorders>
            <w:shd w:val="clear" w:color="auto" w:fill="auto"/>
            <w:noWrap/>
            <w:vAlign w:val="center"/>
            <w:hideMark/>
          </w:tcPr>
          <w:p w14:paraId="12FF7F25" w14:textId="77777777" w:rsidR="000228B0" w:rsidRPr="00EA4500" w:rsidRDefault="000228B0" w:rsidP="003205E2">
            <w:pPr>
              <w:jc w:val="right"/>
              <w:rPr>
                <w:rFonts w:ascii="Arial" w:hAnsi="Arial" w:cs="Arial"/>
                <w:color w:val="00B050"/>
                <w:sz w:val="20"/>
                <w:szCs w:val="20"/>
              </w:rPr>
            </w:pPr>
            <w:r w:rsidRPr="00EA4500">
              <w:rPr>
                <w:rFonts w:ascii="Arial" w:hAnsi="Arial" w:cs="Arial"/>
                <w:color w:val="00B050"/>
                <w:sz w:val="20"/>
                <w:szCs w:val="20"/>
              </w:rPr>
              <w:t>5,510</w:t>
            </w:r>
          </w:p>
        </w:tc>
        <w:tc>
          <w:tcPr>
            <w:tcW w:w="1170" w:type="dxa"/>
            <w:tcBorders>
              <w:top w:val="nil"/>
              <w:left w:val="nil"/>
              <w:bottom w:val="nil"/>
              <w:right w:val="nil"/>
            </w:tcBorders>
            <w:shd w:val="clear" w:color="auto" w:fill="auto"/>
            <w:noWrap/>
            <w:vAlign w:val="center"/>
            <w:hideMark/>
          </w:tcPr>
          <w:p w14:paraId="6EBD649D" w14:textId="77777777" w:rsidR="000228B0" w:rsidRPr="00EA4500" w:rsidRDefault="000228B0" w:rsidP="003205E2">
            <w:pPr>
              <w:jc w:val="right"/>
              <w:rPr>
                <w:rFonts w:ascii="Arial" w:hAnsi="Arial" w:cs="Arial"/>
                <w:color w:val="00B050"/>
                <w:sz w:val="20"/>
                <w:szCs w:val="20"/>
              </w:rPr>
            </w:pPr>
            <w:r w:rsidRPr="00EA4500">
              <w:rPr>
                <w:rFonts w:ascii="Arial" w:hAnsi="Arial" w:cs="Arial"/>
                <w:color w:val="00B050"/>
                <w:sz w:val="20"/>
                <w:szCs w:val="20"/>
              </w:rPr>
              <w:t>0.78</w:t>
            </w:r>
          </w:p>
        </w:tc>
        <w:tc>
          <w:tcPr>
            <w:tcW w:w="1309" w:type="dxa"/>
            <w:tcBorders>
              <w:top w:val="nil"/>
              <w:left w:val="nil"/>
              <w:bottom w:val="nil"/>
              <w:right w:val="nil"/>
            </w:tcBorders>
            <w:shd w:val="clear" w:color="auto" w:fill="auto"/>
            <w:noWrap/>
            <w:vAlign w:val="center"/>
            <w:hideMark/>
          </w:tcPr>
          <w:p w14:paraId="72C9C162" w14:textId="77777777" w:rsidR="000228B0" w:rsidRPr="00EA4500" w:rsidRDefault="000228B0" w:rsidP="003205E2">
            <w:pPr>
              <w:jc w:val="right"/>
              <w:rPr>
                <w:rFonts w:ascii="Arial" w:hAnsi="Arial" w:cs="Arial"/>
                <w:color w:val="00B050"/>
                <w:sz w:val="20"/>
                <w:szCs w:val="20"/>
              </w:rPr>
            </w:pPr>
            <w:r w:rsidRPr="00EA4500">
              <w:rPr>
                <w:rFonts w:ascii="Arial" w:hAnsi="Arial" w:cs="Arial"/>
                <w:color w:val="00B050"/>
                <w:sz w:val="20"/>
                <w:szCs w:val="20"/>
              </w:rPr>
              <w:t>0.22</w:t>
            </w:r>
          </w:p>
        </w:tc>
        <w:tc>
          <w:tcPr>
            <w:tcW w:w="1239" w:type="dxa"/>
            <w:tcBorders>
              <w:top w:val="nil"/>
              <w:left w:val="nil"/>
              <w:bottom w:val="nil"/>
              <w:right w:val="nil"/>
            </w:tcBorders>
            <w:shd w:val="clear" w:color="auto" w:fill="auto"/>
            <w:noWrap/>
            <w:vAlign w:val="center"/>
            <w:hideMark/>
          </w:tcPr>
          <w:p w14:paraId="410CD199" w14:textId="77777777" w:rsidR="000228B0" w:rsidRPr="00EA4500" w:rsidRDefault="000228B0" w:rsidP="003205E2">
            <w:pPr>
              <w:jc w:val="right"/>
              <w:rPr>
                <w:rFonts w:ascii="Arial" w:hAnsi="Arial" w:cs="Arial"/>
                <w:color w:val="00B050"/>
                <w:sz w:val="20"/>
                <w:szCs w:val="20"/>
              </w:rPr>
            </w:pPr>
            <w:r w:rsidRPr="00EA4500">
              <w:rPr>
                <w:rFonts w:ascii="Arial" w:hAnsi="Arial" w:cs="Arial"/>
                <w:color w:val="00B050"/>
                <w:sz w:val="20"/>
                <w:szCs w:val="20"/>
              </w:rPr>
              <w:t>950</w:t>
            </w:r>
          </w:p>
        </w:tc>
      </w:tr>
      <w:tr w:rsidR="000228B0" w:rsidRPr="00EA4500" w14:paraId="4730878A" w14:textId="77777777" w:rsidTr="003205E2">
        <w:trPr>
          <w:trHeight w:val="315"/>
        </w:trPr>
        <w:tc>
          <w:tcPr>
            <w:tcW w:w="3420" w:type="dxa"/>
            <w:tcBorders>
              <w:top w:val="nil"/>
              <w:left w:val="nil"/>
              <w:bottom w:val="nil"/>
              <w:right w:val="nil"/>
            </w:tcBorders>
            <w:shd w:val="clear" w:color="auto" w:fill="auto"/>
            <w:noWrap/>
            <w:vAlign w:val="center"/>
            <w:hideMark/>
          </w:tcPr>
          <w:p w14:paraId="4164C97D" w14:textId="77777777" w:rsidR="000228B0" w:rsidRPr="00EA4500" w:rsidRDefault="000228B0" w:rsidP="003205E2">
            <w:pPr>
              <w:rPr>
                <w:rFonts w:ascii="Arial" w:hAnsi="Arial" w:cs="Arial"/>
                <w:color w:val="00B050"/>
                <w:sz w:val="20"/>
                <w:szCs w:val="20"/>
              </w:rPr>
            </w:pPr>
            <w:r w:rsidRPr="00EA4500">
              <w:rPr>
                <w:rFonts w:ascii="Arial" w:hAnsi="Arial" w:cs="Arial"/>
                <w:color w:val="00B050"/>
                <w:sz w:val="20"/>
                <w:szCs w:val="20"/>
              </w:rPr>
              <w:t>NPSAS Admin-Only Respondents</w:t>
            </w:r>
          </w:p>
        </w:tc>
        <w:tc>
          <w:tcPr>
            <w:tcW w:w="1260" w:type="dxa"/>
            <w:tcBorders>
              <w:top w:val="nil"/>
              <w:left w:val="nil"/>
              <w:bottom w:val="nil"/>
              <w:right w:val="nil"/>
            </w:tcBorders>
            <w:shd w:val="clear" w:color="auto" w:fill="auto"/>
            <w:noWrap/>
            <w:vAlign w:val="center"/>
            <w:hideMark/>
          </w:tcPr>
          <w:p w14:paraId="5292A27E" w14:textId="77777777" w:rsidR="000228B0" w:rsidRPr="00EA4500" w:rsidRDefault="000228B0" w:rsidP="003205E2">
            <w:pPr>
              <w:jc w:val="right"/>
              <w:rPr>
                <w:rFonts w:ascii="Arial" w:hAnsi="Arial" w:cs="Arial"/>
                <w:color w:val="00B050"/>
                <w:sz w:val="20"/>
                <w:szCs w:val="20"/>
              </w:rPr>
            </w:pPr>
            <w:r w:rsidRPr="00EA4500">
              <w:rPr>
                <w:rFonts w:ascii="Arial" w:hAnsi="Arial" w:cs="Arial"/>
                <w:color w:val="00B050"/>
                <w:sz w:val="20"/>
                <w:szCs w:val="20"/>
              </w:rPr>
              <w:t>5,350</w:t>
            </w:r>
          </w:p>
        </w:tc>
        <w:tc>
          <w:tcPr>
            <w:tcW w:w="1170" w:type="dxa"/>
            <w:tcBorders>
              <w:top w:val="nil"/>
              <w:left w:val="nil"/>
              <w:bottom w:val="nil"/>
              <w:right w:val="nil"/>
            </w:tcBorders>
            <w:shd w:val="clear" w:color="auto" w:fill="auto"/>
            <w:noWrap/>
            <w:vAlign w:val="center"/>
            <w:hideMark/>
          </w:tcPr>
          <w:p w14:paraId="5E708CB2" w14:textId="77777777" w:rsidR="000228B0" w:rsidRPr="00EA4500" w:rsidRDefault="000228B0" w:rsidP="003205E2">
            <w:pPr>
              <w:jc w:val="right"/>
              <w:rPr>
                <w:rFonts w:ascii="Arial" w:hAnsi="Arial" w:cs="Arial"/>
                <w:color w:val="00B050"/>
                <w:sz w:val="20"/>
                <w:szCs w:val="20"/>
              </w:rPr>
            </w:pPr>
            <w:r w:rsidRPr="00EA4500">
              <w:rPr>
                <w:rFonts w:ascii="Arial" w:hAnsi="Arial" w:cs="Arial"/>
                <w:color w:val="00B050"/>
                <w:sz w:val="20"/>
                <w:szCs w:val="20"/>
              </w:rPr>
              <w:t>0.78</w:t>
            </w:r>
          </w:p>
        </w:tc>
        <w:tc>
          <w:tcPr>
            <w:tcW w:w="1309" w:type="dxa"/>
            <w:tcBorders>
              <w:top w:val="nil"/>
              <w:left w:val="nil"/>
              <w:bottom w:val="nil"/>
              <w:right w:val="nil"/>
            </w:tcBorders>
            <w:shd w:val="clear" w:color="auto" w:fill="auto"/>
            <w:noWrap/>
            <w:vAlign w:val="center"/>
            <w:hideMark/>
          </w:tcPr>
          <w:p w14:paraId="1ED26919" w14:textId="77777777" w:rsidR="000228B0" w:rsidRPr="00EA4500" w:rsidRDefault="000228B0" w:rsidP="003205E2">
            <w:pPr>
              <w:jc w:val="right"/>
              <w:rPr>
                <w:rFonts w:ascii="Arial" w:hAnsi="Arial" w:cs="Arial"/>
                <w:color w:val="00B050"/>
                <w:sz w:val="20"/>
                <w:szCs w:val="20"/>
              </w:rPr>
            </w:pPr>
            <w:r w:rsidRPr="00EA4500">
              <w:rPr>
                <w:rFonts w:ascii="Arial" w:hAnsi="Arial" w:cs="Arial"/>
                <w:color w:val="00B050"/>
                <w:sz w:val="20"/>
                <w:szCs w:val="20"/>
              </w:rPr>
              <w:t>0.57</w:t>
            </w:r>
          </w:p>
        </w:tc>
        <w:tc>
          <w:tcPr>
            <w:tcW w:w="1239" w:type="dxa"/>
            <w:tcBorders>
              <w:top w:val="nil"/>
              <w:left w:val="nil"/>
              <w:bottom w:val="nil"/>
              <w:right w:val="nil"/>
            </w:tcBorders>
            <w:shd w:val="clear" w:color="auto" w:fill="auto"/>
            <w:noWrap/>
            <w:vAlign w:val="center"/>
            <w:hideMark/>
          </w:tcPr>
          <w:p w14:paraId="0916B528" w14:textId="77777777" w:rsidR="000228B0" w:rsidRPr="00EA4500" w:rsidRDefault="000228B0" w:rsidP="003205E2">
            <w:pPr>
              <w:jc w:val="right"/>
              <w:rPr>
                <w:rFonts w:ascii="Arial" w:hAnsi="Arial" w:cs="Arial"/>
                <w:color w:val="00B050"/>
                <w:sz w:val="20"/>
                <w:szCs w:val="20"/>
              </w:rPr>
            </w:pPr>
            <w:r w:rsidRPr="00EA4500">
              <w:rPr>
                <w:rFonts w:ascii="Arial" w:hAnsi="Arial" w:cs="Arial"/>
                <w:color w:val="00B050"/>
                <w:sz w:val="20"/>
                <w:szCs w:val="20"/>
              </w:rPr>
              <w:t>2,380</w:t>
            </w:r>
          </w:p>
        </w:tc>
      </w:tr>
      <w:tr w:rsidR="000228B0" w:rsidRPr="00EA4500" w14:paraId="5FA2A97C" w14:textId="77777777" w:rsidTr="003205E2">
        <w:trPr>
          <w:trHeight w:val="795"/>
        </w:trPr>
        <w:tc>
          <w:tcPr>
            <w:tcW w:w="8398" w:type="dxa"/>
            <w:gridSpan w:val="5"/>
            <w:tcBorders>
              <w:top w:val="single" w:sz="12" w:space="0" w:color="auto"/>
              <w:left w:val="nil"/>
              <w:bottom w:val="nil"/>
              <w:right w:val="nil"/>
            </w:tcBorders>
            <w:shd w:val="clear" w:color="auto" w:fill="auto"/>
            <w:vAlign w:val="center"/>
            <w:hideMark/>
          </w:tcPr>
          <w:p w14:paraId="2BCC81F7" w14:textId="77777777" w:rsidR="000228B0" w:rsidRPr="00EA4500" w:rsidRDefault="000228B0" w:rsidP="003205E2">
            <w:pPr>
              <w:rPr>
                <w:rFonts w:ascii="Arial" w:hAnsi="Arial" w:cs="Arial"/>
                <w:color w:val="00B050"/>
                <w:sz w:val="16"/>
                <w:szCs w:val="16"/>
              </w:rPr>
            </w:pPr>
            <w:r w:rsidRPr="00EA4500">
              <w:rPr>
                <w:rFonts w:ascii="Arial" w:hAnsi="Arial" w:cs="Arial"/>
                <w:color w:val="00B050"/>
                <w:sz w:val="16"/>
                <w:szCs w:val="16"/>
              </w:rPr>
              <w:t xml:space="preserve">NOTE: Detail may not sum to totals because of rounding. </w:t>
            </w:r>
            <w:r w:rsidRPr="00EA4500">
              <w:rPr>
                <w:rFonts w:ascii="Arial" w:hAnsi="Arial" w:cs="Arial"/>
                <w:color w:val="00B050"/>
                <w:sz w:val="16"/>
                <w:szCs w:val="16"/>
              </w:rPr>
              <w:br/>
              <w:t>SOURCE: U.S. Department of Education, National Center for Education Statistics, 2020/22 Beginning Postsecondary Students Longitudinal Study (BPS:20/22) Full-scale.</w:t>
            </w:r>
          </w:p>
        </w:tc>
      </w:tr>
    </w:tbl>
    <w:p w14:paraId="7E4CE232" w14:textId="77777777" w:rsidR="000228B0" w:rsidRPr="007D7903" w:rsidRDefault="000228B0" w:rsidP="000228B0"/>
    <w:p w14:paraId="668E846F" w14:textId="77777777" w:rsidR="000228B0" w:rsidRDefault="000228B0" w:rsidP="000228B0">
      <w:pPr>
        <w:spacing w:after="120"/>
        <w:rPr>
          <w:b/>
        </w:rPr>
      </w:pPr>
      <w:r w:rsidRPr="007D7903">
        <w:rPr>
          <w:b/>
        </w:rPr>
        <w:t xml:space="preserve">B.3. </w:t>
      </w:r>
      <w:r>
        <w:rPr>
          <w:b/>
        </w:rPr>
        <w:t>Methods to Maximize Response.</w:t>
      </w:r>
    </w:p>
    <w:p w14:paraId="047B824D" w14:textId="6DEFCC05" w:rsidR="000228B0" w:rsidRDefault="000228B0" w:rsidP="000228B0">
      <w:pPr>
        <w:rPr>
          <w:bCs/>
        </w:rPr>
      </w:pPr>
      <w:r>
        <w:rPr>
          <w:bCs/>
        </w:rPr>
        <w:t xml:space="preserve">Changes to this section were minor, focused on changing “field test” to “full-scale,” updating reference years, and editorial revisions to improve clarity. </w:t>
      </w:r>
    </w:p>
    <w:p w14:paraId="11426DA3" w14:textId="77777777" w:rsidR="000228B0" w:rsidRPr="00EA4500" w:rsidRDefault="000228B0" w:rsidP="000228B0"/>
    <w:p w14:paraId="3C74B964" w14:textId="77777777" w:rsidR="000228B0" w:rsidRPr="007D7903" w:rsidRDefault="000228B0" w:rsidP="000228B0">
      <w:pPr>
        <w:spacing w:after="120"/>
        <w:rPr>
          <w:b/>
        </w:rPr>
      </w:pPr>
      <w:r w:rsidRPr="007D7903">
        <w:rPr>
          <w:b/>
        </w:rPr>
        <w:t xml:space="preserve">B.3.a. </w:t>
      </w:r>
      <w:r>
        <w:rPr>
          <w:b/>
        </w:rPr>
        <w:t>Tracing of Sample Members.</w:t>
      </w:r>
    </w:p>
    <w:p w14:paraId="64F90D7D" w14:textId="77777777" w:rsidR="000228B0" w:rsidRPr="006B3344" w:rsidRDefault="000228B0" w:rsidP="000228B0">
      <w:pPr>
        <w:spacing w:after="120"/>
        <w:rPr>
          <w:bCs/>
        </w:rPr>
      </w:pPr>
      <w:r w:rsidRPr="006B3344">
        <w:rPr>
          <w:bCs/>
        </w:rPr>
        <w:t xml:space="preserve">Tracing activities </w:t>
      </w:r>
      <w:r>
        <w:rPr>
          <w:bCs/>
        </w:rPr>
        <w:t xml:space="preserve">have not changed from field test to full-scale. Changes to this section are updates to years, the OMB number, and minor edits for clarity. </w:t>
      </w:r>
    </w:p>
    <w:p w14:paraId="41875E49" w14:textId="77777777" w:rsidR="000228B0" w:rsidRPr="007D7903" w:rsidRDefault="000228B0" w:rsidP="000228B0">
      <w:pPr>
        <w:spacing w:after="120"/>
        <w:rPr>
          <w:b/>
        </w:rPr>
      </w:pPr>
      <w:r w:rsidRPr="007D7903">
        <w:rPr>
          <w:b/>
        </w:rPr>
        <w:t>B.3.b. Train</w:t>
      </w:r>
      <w:r>
        <w:rPr>
          <w:b/>
        </w:rPr>
        <w:t>in</w:t>
      </w:r>
      <w:r w:rsidRPr="007D7903">
        <w:rPr>
          <w:b/>
        </w:rPr>
        <w:t xml:space="preserve">g </w:t>
      </w:r>
      <w:r>
        <w:rPr>
          <w:b/>
        </w:rPr>
        <w:t>for Data Collection Staff.</w:t>
      </w:r>
    </w:p>
    <w:p w14:paraId="0138E340" w14:textId="77777777" w:rsidR="000228B0" w:rsidRDefault="000228B0" w:rsidP="000228B0">
      <w:r w:rsidRPr="007D7903">
        <w:lastRenderedPageBreak/>
        <w:t xml:space="preserve">This section was revised to </w:t>
      </w:r>
      <w:r>
        <w:t>note that telephone data collection staff may work remotely (</w:t>
      </w:r>
      <w:proofErr w:type="gramStart"/>
      <w:r>
        <w:t>as a result of</w:t>
      </w:r>
      <w:proofErr w:type="gramEnd"/>
      <w:r>
        <w:t xml:space="preserve"> the coronavirus pandemic) and that bilingual interviewers will be hired to assist in administration of the Spanish survey.</w:t>
      </w:r>
    </w:p>
    <w:p w14:paraId="7E72C1B9" w14:textId="77777777" w:rsidR="000228B0" w:rsidRPr="007D7903" w:rsidRDefault="000228B0" w:rsidP="000228B0">
      <w:pPr>
        <w:rPr>
          <w:color w:val="008000"/>
        </w:rPr>
      </w:pPr>
    </w:p>
    <w:p w14:paraId="137ECE3F" w14:textId="77777777" w:rsidR="000228B0" w:rsidRPr="007D7903" w:rsidRDefault="000228B0" w:rsidP="000228B0">
      <w:pPr>
        <w:spacing w:after="120"/>
        <w:rPr>
          <w:b/>
        </w:rPr>
      </w:pPr>
      <w:r w:rsidRPr="007D7903">
        <w:rPr>
          <w:b/>
        </w:rPr>
        <w:t>B.3.</w:t>
      </w:r>
      <w:r>
        <w:rPr>
          <w:b/>
        </w:rPr>
        <w:t>c</w:t>
      </w:r>
      <w:r w:rsidRPr="007D7903">
        <w:rPr>
          <w:b/>
        </w:rPr>
        <w:t>. Case Management System</w:t>
      </w:r>
      <w:r>
        <w:rPr>
          <w:b/>
        </w:rPr>
        <w:t>.</w:t>
      </w:r>
    </w:p>
    <w:p w14:paraId="02BB0575" w14:textId="77777777" w:rsidR="000228B0" w:rsidRPr="007D7903" w:rsidRDefault="000228B0" w:rsidP="000228B0">
      <w:pPr>
        <w:spacing w:after="200" w:line="276" w:lineRule="auto"/>
      </w:pPr>
      <w:r w:rsidRPr="007D7903">
        <w:t>In this section</w:t>
      </w:r>
      <w:r>
        <w:t xml:space="preserve"> “field test” was updated to “full-scale” and minor edits were made to improve clarity.</w:t>
      </w:r>
    </w:p>
    <w:p w14:paraId="5BCD0051" w14:textId="77777777" w:rsidR="000228B0" w:rsidRPr="007D7903" w:rsidRDefault="000228B0" w:rsidP="000228B0">
      <w:pPr>
        <w:spacing w:after="120"/>
        <w:rPr>
          <w:b/>
        </w:rPr>
      </w:pPr>
      <w:r w:rsidRPr="007D7903">
        <w:rPr>
          <w:b/>
        </w:rPr>
        <w:t>B.3.</w:t>
      </w:r>
      <w:r>
        <w:rPr>
          <w:b/>
        </w:rPr>
        <w:t>d</w:t>
      </w:r>
      <w:r w:rsidRPr="007D7903">
        <w:rPr>
          <w:b/>
        </w:rPr>
        <w:t xml:space="preserve">. </w:t>
      </w:r>
      <w:r>
        <w:rPr>
          <w:b/>
        </w:rPr>
        <w:t>Survey Instrument Design.</w:t>
      </w:r>
    </w:p>
    <w:p w14:paraId="629200B6" w14:textId="77777777" w:rsidR="000228B0" w:rsidRDefault="000228B0" w:rsidP="000228B0">
      <w:pPr>
        <w:spacing w:after="200" w:line="276" w:lineRule="auto"/>
      </w:pPr>
      <w:r w:rsidRPr="007D7903">
        <w:t>In this section</w:t>
      </w:r>
      <w:r>
        <w:t xml:space="preserve"> minor edits were made to improve clarity.</w:t>
      </w:r>
    </w:p>
    <w:p w14:paraId="16323C6F" w14:textId="77777777" w:rsidR="000228B0" w:rsidRPr="007D7903" w:rsidRDefault="000228B0" w:rsidP="000228B0">
      <w:pPr>
        <w:spacing w:after="120"/>
        <w:rPr>
          <w:b/>
        </w:rPr>
      </w:pPr>
      <w:r w:rsidRPr="007D7903">
        <w:rPr>
          <w:b/>
        </w:rPr>
        <w:t>B.3.</w:t>
      </w:r>
      <w:r>
        <w:rPr>
          <w:b/>
        </w:rPr>
        <w:t>e</w:t>
      </w:r>
      <w:r w:rsidRPr="007D7903">
        <w:rPr>
          <w:b/>
        </w:rPr>
        <w:t xml:space="preserve">. </w:t>
      </w:r>
      <w:r>
        <w:rPr>
          <w:b/>
        </w:rPr>
        <w:t>Refusal Aversion and Conversion.</w:t>
      </w:r>
    </w:p>
    <w:p w14:paraId="20451A89" w14:textId="77777777" w:rsidR="000228B0" w:rsidRPr="007D7903" w:rsidRDefault="000228B0" w:rsidP="000228B0">
      <w:pPr>
        <w:spacing w:after="200" w:line="276" w:lineRule="auto"/>
      </w:pPr>
      <w:r w:rsidRPr="007D7903">
        <w:t>In this section</w:t>
      </w:r>
      <w:r>
        <w:t xml:space="preserve"> minor edits were made to improve clarity and to specify that, in the full-scale study, r</w:t>
      </w:r>
      <w:r w:rsidRPr="004B09B5">
        <w:t>efusal conversion efforts will not be made with individuals who become verbally aggressive or who threaten to take legal or other action.</w:t>
      </w:r>
    </w:p>
    <w:p w14:paraId="1617B3B1" w14:textId="77777777" w:rsidR="000228B0" w:rsidRPr="007D7903" w:rsidRDefault="000228B0" w:rsidP="000228B0">
      <w:pPr>
        <w:spacing w:after="120"/>
        <w:rPr>
          <w:b/>
        </w:rPr>
      </w:pPr>
      <w:r w:rsidRPr="007D7903">
        <w:rPr>
          <w:b/>
        </w:rPr>
        <w:t>B.4. Tests of Procedure</w:t>
      </w:r>
      <w:r>
        <w:rPr>
          <w:b/>
        </w:rPr>
        <w:t>.</w:t>
      </w:r>
    </w:p>
    <w:p w14:paraId="26555070" w14:textId="68175A22" w:rsidR="000228B0" w:rsidRPr="007D7903" w:rsidRDefault="000228B0" w:rsidP="000228B0">
      <w:pPr>
        <w:pStyle w:val="Bulletblocked"/>
        <w:ind w:left="0"/>
        <w:rPr>
          <w:rFonts w:ascii="Times New Roman" w:hAnsi="Times New Roman"/>
          <w:szCs w:val="24"/>
        </w:rPr>
      </w:pPr>
      <w:r w:rsidRPr="007D7903">
        <w:rPr>
          <w:rFonts w:ascii="Times New Roman" w:hAnsi="Times New Roman"/>
          <w:szCs w:val="24"/>
        </w:rPr>
        <w:t>This section was updated to provide a summary of results from the field test experiment and to describe the data collection design for the full-scale study. The descriptions of the field test experiment plans and the hypothesis tests were removed and</w:t>
      </w:r>
      <w:r>
        <w:rPr>
          <w:rFonts w:ascii="Times New Roman" w:hAnsi="Times New Roman"/>
          <w:szCs w:val="24"/>
        </w:rPr>
        <w:t xml:space="preserve"> replaced with</w:t>
      </w:r>
      <w:r w:rsidRPr="007D7903">
        <w:rPr>
          <w:rFonts w:ascii="Times New Roman" w:hAnsi="Times New Roman"/>
          <w:szCs w:val="24"/>
        </w:rPr>
        <w:t xml:space="preserve"> a summary of the experiment results.</w:t>
      </w:r>
      <w:r>
        <w:rPr>
          <w:rFonts w:ascii="Times New Roman" w:hAnsi="Times New Roman"/>
          <w:szCs w:val="24"/>
        </w:rPr>
        <w:t xml:space="preserve"> Results from field test experiments are detailed in Appendix </w:t>
      </w:r>
      <w:r w:rsidR="00D0039E">
        <w:rPr>
          <w:rFonts w:ascii="Times New Roman" w:hAnsi="Times New Roman"/>
          <w:szCs w:val="24"/>
        </w:rPr>
        <w:t>D</w:t>
      </w:r>
      <w:r>
        <w:rPr>
          <w:rFonts w:ascii="Times New Roman" w:hAnsi="Times New Roman"/>
          <w:szCs w:val="24"/>
        </w:rPr>
        <w:t xml:space="preserve"> of the full-scale package.</w:t>
      </w:r>
    </w:p>
    <w:p w14:paraId="31FBA8F0" w14:textId="3D337B1F" w:rsidR="000228B0" w:rsidRPr="007D7903" w:rsidRDefault="000228B0" w:rsidP="000228B0">
      <w:pPr>
        <w:pStyle w:val="Bulletblocked"/>
        <w:ind w:left="0"/>
        <w:rPr>
          <w:rFonts w:ascii="Times New Roman" w:hAnsi="Times New Roman"/>
          <w:szCs w:val="24"/>
        </w:rPr>
      </w:pPr>
      <w:r w:rsidRPr="007D7903">
        <w:rPr>
          <w:rFonts w:ascii="Times New Roman" w:hAnsi="Times New Roman"/>
          <w:szCs w:val="24"/>
        </w:rPr>
        <w:t xml:space="preserve">The entire text of section B.4. can be found below in Attachment 1 starting on page </w:t>
      </w:r>
      <w:r w:rsidR="00AC14B7">
        <w:rPr>
          <w:rFonts w:ascii="Times New Roman" w:hAnsi="Times New Roman"/>
          <w:szCs w:val="24"/>
        </w:rPr>
        <w:t>13</w:t>
      </w:r>
      <w:r w:rsidRPr="007D7903">
        <w:rPr>
          <w:rFonts w:ascii="Times New Roman" w:hAnsi="Times New Roman"/>
          <w:szCs w:val="24"/>
        </w:rPr>
        <w:t>.</w:t>
      </w:r>
    </w:p>
    <w:p w14:paraId="1E8CC745" w14:textId="77777777" w:rsidR="000228B0" w:rsidRPr="007D7903" w:rsidRDefault="000228B0" w:rsidP="000228B0">
      <w:pPr>
        <w:pStyle w:val="Bulletblocked"/>
        <w:ind w:left="0"/>
        <w:rPr>
          <w:rFonts w:ascii="Times New Roman" w:hAnsi="Times New Roman"/>
          <w:szCs w:val="24"/>
        </w:rPr>
      </w:pPr>
      <w:r w:rsidRPr="007D7903">
        <w:rPr>
          <w:rFonts w:ascii="Times New Roman" w:hAnsi="Times New Roman"/>
          <w:b/>
          <w:kern w:val="0"/>
          <w:szCs w:val="24"/>
        </w:rPr>
        <w:t>B.4.a.</w:t>
      </w:r>
      <w:r w:rsidRPr="007D7903">
        <w:rPr>
          <w:rFonts w:ascii="Times New Roman" w:hAnsi="Times New Roman"/>
          <w:b/>
          <w:szCs w:val="24"/>
        </w:rPr>
        <w:t xml:space="preserve"> Summary of BPS:20/22 Field Test Data Collection Design and Results</w:t>
      </w:r>
      <w:r>
        <w:rPr>
          <w:rFonts w:ascii="Times New Roman" w:hAnsi="Times New Roman"/>
          <w:b/>
          <w:szCs w:val="24"/>
        </w:rPr>
        <w:t>.</w:t>
      </w:r>
    </w:p>
    <w:p w14:paraId="19C571DE" w14:textId="62E9CA67" w:rsidR="000228B0" w:rsidRPr="007D7903" w:rsidRDefault="000228B0" w:rsidP="000228B0">
      <w:pPr>
        <w:pStyle w:val="Bulletblocked"/>
        <w:ind w:left="0"/>
        <w:rPr>
          <w:rFonts w:ascii="Times New Roman" w:hAnsi="Times New Roman"/>
          <w:szCs w:val="24"/>
        </w:rPr>
      </w:pPr>
      <w:r w:rsidRPr="007D7903">
        <w:rPr>
          <w:rFonts w:ascii="Times New Roman" w:hAnsi="Times New Roman"/>
          <w:szCs w:val="24"/>
        </w:rPr>
        <w:t xml:space="preserve">This section provides a summary of field test experiment results, with a summary of recommendations for the full-scale design. This section also includes a reference to Appendix </w:t>
      </w:r>
      <w:r w:rsidR="00D0039E">
        <w:rPr>
          <w:rFonts w:ascii="Times New Roman" w:hAnsi="Times New Roman"/>
          <w:szCs w:val="24"/>
        </w:rPr>
        <w:t>D</w:t>
      </w:r>
      <w:r w:rsidR="00C935FD">
        <w:rPr>
          <w:rFonts w:ascii="Times New Roman" w:hAnsi="Times New Roman"/>
          <w:szCs w:val="24"/>
        </w:rPr>
        <w:t xml:space="preserve"> </w:t>
      </w:r>
      <w:r w:rsidRPr="007D7903">
        <w:rPr>
          <w:rFonts w:ascii="Times New Roman" w:hAnsi="Times New Roman"/>
          <w:szCs w:val="24"/>
        </w:rPr>
        <w:t>which presents more detailed results of field test experiment results.</w:t>
      </w:r>
    </w:p>
    <w:p w14:paraId="46AE1648" w14:textId="77777777" w:rsidR="000228B0" w:rsidRPr="007D7903" w:rsidRDefault="000228B0" w:rsidP="000228B0">
      <w:pPr>
        <w:pStyle w:val="Bulletblocked"/>
        <w:ind w:left="0"/>
        <w:rPr>
          <w:rFonts w:ascii="Times New Roman" w:hAnsi="Times New Roman"/>
          <w:b/>
          <w:szCs w:val="24"/>
        </w:rPr>
      </w:pPr>
      <w:r w:rsidRPr="007D7903">
        <w:rPr>
          <w:rFonts w:ascii="Times New Roman" w:hAnsi="Times New Roman"/>
          <w:b/>
          <w:kern w:val="0"/>
          <w:szCs w:val="24"/>
        </w:rPr>
        <w:t>B.4.b</w:t>
      </w:r>
      <w:r w:rsidRPr="007D7903">
        <w:rPr>
          <w:rFonts w:ascii="Times New Roman" w:hAnsi="Times New Roman"/>
          <w:b/>
          <w:szCs w:val="24"/>
        </w:rPr>
        <w:t>. BPS:20/22 Full-scale Data Collection Design</w:t>
      </w:r>
      <w:r>
        <w:rPr>
          <w:rFonts w:ascii="Times New Roman" w:hAnsi="Times New Roman"/>
          <w:b/>
          <w:szCs w:val="24"/>
        </w:rPr>
        <w:t>.</w:t>
      </w:r>
    </w:p>
    <w:p w14:paraId="1F99B0AF" w14:textId="77777777" w:rsidR="000228B0" w:rsidRDefault="000228B0" w:rsidP="000228B0">
      <w:pPr>
        <w:pStyle w:val="Bulletblocked"/>
        <w:ind w:left="0"/>
        <w:rPr>
          <w:rFonts w:ascii="Times New Roman" w:hAnsi="Times New Roman"/>
          <w:szCs w:val="24"/>
        </w:rPr>
      </w:pPr>
      <w:r w:rsidRPr="007D7903">
        <w:rPr>
          <w:rFonts w:ascii="Times New Roman" w:hAnsi="Times New Roman"/>
          <w:szCs w:val="24"/>
        </w:rPr>
        <w:t xml:space="preserve">This section outlines the plans for the full-scale data collection, describing the two different sample member groups. Table 5 presents the set of interventions for each group. </w:t>
      </w:r>
    </w:p>
    <w:p w14:paraId="661BEBF5" w14:textId="77777777" w:rsidR="000228B0" w:rsidRPr="007D7903" w:rsidRDefault="000228B0" w:rsidP="000228B0">
      <w:pPr>
        <w:pStyle w:val="Bulletblocked"/>
        <w:ind w:left="0"/>
        <w:rPr>
          <w:rFonts w:ascii="Times New Roman" w:hAnsi="Times New Roman"/>
          <w:szCs w:val="24"/>
        </w:rPr>
      </w:pPr>
      <w:r>
        <w:rPr>
          <w:rFonts w:ascii="Times New Roman" w:hAnsi="Times New Roman"/>
          <w:szCs w:val="24"/>
        </w:rPr>
        <w:t>Below are</w:t>
      </w:r>
      <w:r w:rsidRPr="007D7903">
        <w:rPr>
          <w:rFonts w:ascii="Times New Roman" w:hAnsi="Times New Roman"/>
          <w:szCs w:val="24"/>
        </w:rPr>
        <w:t xml:space="preserve"> </w:t>
      </w:r>
      <w:r>
        <w:rPr>
          <w:rFonts w:ascii="Times New Roman" w:hAnsi="Times New Roman"/>
          <w:szCs w:val="24"/>
        </w:rPr>
        <w:t>the</w:t>
      </w:r>
      <w:r w:rsidRPr="007D7903">
        <w:rPr>
          <w:rFonts w:ascii="Times New Roman" w:hAnsi="Times New Roman"/>
          <w:szCs w:val="24"/>
        </w:rPr>
        <w:t xml:space="preserve"> description</w:t>
      </w:r>
      <w:r>
        <w:rPr>
          <w:rFonts w:ascii="Times New Roman" w:hAnsi="Times New Roman"/>
          <w:szCs w:val="24"/>
        </w:rPr>
        <w:t>s</w:t>
      </w:r>
      <w:r w:rsidRPr="007D7903">
        <w:rPr>
          <w:rFonts w:ascii="Times New Roman" w:hAnsi="Times New Roman"/>
          <w:szCs w:val="24"/>
        </w:rPr>
        <w:t xml:space="preserve"> of default and aggressive data collection protocols</w:t>
      </w:r>
      <w:r>
        <w:rPr>
          <w:rFonts w:ascii="Times New Roman" w:hAnsi="Times New Roman"/>
          <w:szCs w:val="24"/>
        </w:rPr>
        <w:t>, for reference.</w:t>
      </w:r>
      <w:r w:rsidRPr="007D7903">
        <w:rPr>
          <w:rFonts w:ascii="Times New Roman" w:hAnsi="Times New Roman"/>
          <w:szCs w:val="24"/>
        </w:rPr>
        <w:t xml:space="preserve"> </w:t>
      </w:r>
    </w:p>
    <w:p w14:paraId="583813A8" w14:textId="77777777" w:rsidR="000228B0" w:rsidRPr="00185E27" w:rsidRDefault="000228B0" w:rsidP="000228B0">
      <w:pPr>
        <w:spacing w:after="60" w:line="280" w:lineRule="atLeast"/>
        <w:ind w:left="720" w:hanging="360"/>
        <w:rPr>
          <w:rFonts w:eastAsia="Garamond"/>
          <w:color w:val="00B050"/>
          <w:szCs w:val="20"/>
        </w:rPr>
      </w:pPr>
      <w:r w:rsidRPr="00185E27">
        <w:rPr>
          <w:rFonts w:eastAsia="Garamond"/>
          <w:b/>
          <w:color w:val="00B050"/>
          <w:szCs w:val="22"/>
        </w:rPr>
        <w:t>NPSAS:20 survey respondents (default group):</w:t>
      </w:r>
      <w:r w:rsidRPr="00185E27">
        <w:rPr>
          <w:rFonts w:eastAsia="Garamond"/>
          <w:color w:val="00B050"/>
          <w:szCs w:val="22"/>
        </w:rPr>
        <w:t xml:space="preserve"> Sample members who responded to NPSAS:20 and self-identified that they began their postsecondary education between July 1, 2019 and April 30, 2020 will receive a default data collection protocol (n = 26,470).</w:t>
      </w:r>
    </w:p>
    <w:p w14:paraId="7A570552" w14:textId="77777777" w:rsidR="000228B0" w:rsidRPr="00185E27" w:rsidRDefault="000228B0" w:rsidP="000228B0">
      <w:pPr>
        <w:spacing w:after="60" w:line="280" w:lineRule="atLeast"/>
        <w:ind w:left="720" w:hanging="360"/>
        <w:rPr>
          <w:color w:val="00B050"/>
        </w:rPr>
      </w:pPr>
      <w:r w:rsidRPr="00185E27">
        <w:rPr>
          <w:rFonts w:eastAsia="Garamond"/>
          <w:b/>
          <w:color w:val="00B050"/>
          <w:szCs w:val="22"/>
        </w:rPr>
        <w:t xml:space="preserve">NPSAS:20 survey nonrespondents and administrative-only cases (aggressive group): </w:t>
      </w:r>
      <w:r w:rsidRPr="00185E27">
        <w:rPr>
          <w:rFonts w:eastAsia="Garamond"/>
          <w:bCs/>
          <w:color w:val="00B050"/>
          <w:szCs w:val="22"/>
        </w:rPr>
        <w:t>NPSAS:20 survey nonrespondents and administrative-only cases: NPSAS:20 administrative student respondents who are potential 2019-20 academic year FTBs will receive an aggressive data collection protocol. This group includes NPSAS:20 survey nonrespondents (n = 5,510) and NPSAS:20 administrative-only sample (cases who were never invited to complete the NPSAS:20 survey; n = 5,350) who are potential 2019-20 academic year FTBs based on administrative data. The goal of this treatment is to convert reluctant sample members (i.e., NPSAS:20 survey nonrespondents) and sample members who have never been contacted (i.e., administrative-only cases) to participate in the study as early in data collection as possible.</w:t>
      </w:r>
      <w:r w:rsidRPr="00185E27">
        <w:rPr>
          <w:rFonts w:eastAsia="Garamond"/>
          <w:b/>
          <w:color w:val="00B050"/>
          <w:szCs w:val="22"/>
        </w:rPr>
        <w:t xml:space="preserve"> </w:t>
      </w:r>
    </w:p>
    <w:p w14:paraId="77740D34" w14:textId="77777777" w:rsidR="000228B0" w:rsidRPr="00185E27" w:rsidRDefault="000228B0" w:rsidP="000228B0">
      <w:pPr>
        <w:pStyle w:val="TableTitle"/>
        <w:ind w:left="1714"/>
        <w:rPr>
          <w:rFonts w:ascii="Times New Roman" w:hAnsi="Times New Roman"/>
          <w:color w:val="00B050"/>
        </w:rPr>
      </w:pPr>
      <w:r w:rsidRPr="00185E27">
        <w:rPr>
          <w:rFonts w:ascii="Times New Roman" w:hAnsi="Times New Roman"/>
          <w:color w:val="00B050"/>
        </w:rPr>
        <w:t>Table 5. 2020/22 Beginning Postsecondary Students Full-Scale data collection protocols, by data collection phase and group assignment</w:t>
      </w:r>
    </w:p>
    <w:tbl>
      <w:tblPr>
        <w:tblStyle w:val="TableGridLight"/>
        <w:tblW w:w="5000" w:type="pct"/>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2"/>
        <w:gridCol w:w="3971"/>
        <w:gridCol w:w="4119"/>
      </w:tblGrid>
      <w:tr w:rsidR="000228B0" w:rsidRPr="00185E27" w14:paraId="1751D704" w14:textId="77777777" w:rsidTr="003205E2">
        <w:trPr>
          <w:trHeight w:val="144"/>
        </w:trPr>
        <w:tc>
          <w:tcPr>
            <w:tcW w:w="1152" w:type="pct"/>
            <w:tcBorders>
              <w:top w:val="single" w:sz="12" w:space="0" w:color="auto"/>
            </w:tcBorders>
            <w:hideMark/>
          </w:tcPr>
          <w:p w14:paraId="3A2B6BD1" w14:textId="77777777" w:rsidR="000228B0" w:rsidRPr="00185E27" w:rsidRDefault="000228B0" w:rsidP="003205E2">
            <w:pPr>
              <w:rPr>
                <w:b/>
                <w:bCs/>
                <w:color w:val="00B050"/>
                <w:sz w:val="18"/>
                <w:szCs w:val="18"/>
              </w:rPr>
            </w:pPr>
          </w:p>
        </w:tc>
        <w:tc>
          <w:tcPr>
            <w:tcW w:w="3848" w:type="pct"/>
            <w:gridSpan w:val="2"/>
            <w:tcBorders>
              <w:top w:val="single" w:sz="12" w:space="0" w:color="auto"/>
            </w:tcBorders>
          </w:tcPr>
          <w:p w14:paraId="2ED4085E" w14:textId="77777777" w:rsidR="000228B0" w:rsidRPr="00185E27" w:rsidRDefault="000228B0" w:rsidP="003205E2">
            <w:pPr>
              <w:pStyle w:val="BodyText"/>
              <w:spacing w:before="0" w:after="0"/>
              <w:jc w:val="center"/>
              <w:rPr>
                <w:rFonts w:ascii="Times New Roman" w:hAnsi="Times New Roman"/>
                <w:color w:val="00B050"/>
                <w:sz w:val="18"/>
                <w:szCs w:val="18"/>
              </w:rPr>
            </w:pPr>
            <w:r w:rsidRPr="00185E27">
              <w:rPr>
                <w:rFonts w:ascii="Times New Roman" w:hAnsi="Times New Roman"/>
                <w:b/>
                <w:bCs/>
                <w:color w:val="00B050"/>
                <w:sz w:val="18"/>
                <w:szCs w:val="18"/>
              </w:rPr>
              <w:t>Data Collection Group Assignments</w:t>
            </w:r>
          </w:p>
        </w:tc>
      </w:tr>
      <w:tr w:rsidR="000228B0" w:rsidRPr="00185E27" w14:paraId="78017F73" w14:textId="77777777" w:rsidTr="003205E2">
        <w:trPr>
          <w:trHeight w:val="144"/>
        </w:trPr>
        <w:tc>
          <w:tcPr>
            <w:tcW w:w="1152" w:type="pct"/>
            <w:tcBorders>
              <w:bottom w:val="single" w:sz="6" w:space="0" w:color="auto"/>
            </w:tcBorders>
          </w:tcPr>
          <w:p w14:paraId="39B27844" w14:textId="77777777" w:rsidR="000228B0" w:rsidRPr="00185E27" w:rsidRDefault="000228B0" w:rsidP="003205E2">
            <w:pPr>
              <w:pStyle w:val="BodyText"/>
              <w:spacing w:before="0" w:after="0"/>
              <w:rPr>
                <w:rFonts w:ascii="Times New Roman" w:hAnsi="Times New Roman"/>
                <w:b/>
                <w:bCs/>
                <w:color w:val="00B050"/>
                <w:sz w:val="18"/>
                <w:szCs w:val="18"/>
              </w:rPr>
            </w:pPr>
          </w:p>
        </w:tc>
        <w:tc>
          <w:tcPr>
            <w:tcW w:w="1889" w:type="pct"/>
            <w:tcBorders>
              <w:bottom w:val="single" w:sz="6" w:space="0" w:color="auto"/>
            </w:tcBorders>
            <w:hideMark/>
          </w:tcPr>
          <w:p w14:paraId="0EBC8AF1" w14:textId="77777777" w:rsidR="000228B0" w:rsidRPr="00185E27" w:rsidRDefault="000228B0" w:rsidP="003205E2">
            <w:pPr>
              <w:pStyle w:val="BodyText"/>
              <w:spacing w:before="0" w:after="0"/>
              <w:jc w:val="center"/>
              <w:rPr>
                <w:rFonts w:ascii="Times New Roman" w:hAnsi="Times New Roman"/>
                <w:color w:val="00B050"/>
                <w:sz w:val="18"/>
                <w:szCs w:val="18"/>
              </w:rPr>
            </w:pPr>
            <w:r w:rsidRPr="00185E27">
              <w:rPr>
                <w:rFonts w:ascii="Times New Roman" w:hAnsi="Times New Roman"/>
                <w:b/>
                <w:bCs/>
                <w:color w:val="00B050"/>
                <w:sz w:val="18"/>
                <w:szCs w:val="18"/>
              </w:rPr>
              <w:t>Default Protocol</w:t>
            </w:r>
          </w:p>
        </w:tc>
        <w:tc>
          <w:tcPr>
            <w:tcW w:w="1959" w:type="pct"/>
            <w:tcBorders>
              <w:bottom w:val="single" w:sz="6" w:space="0" w:color="auto"/>
            </w:tcBorders>
          </w:tcPr>
          <w:p w14:paraId="722B08E7" w14:textId="77777777" w:rsidR="000228B0" w:rsidRPr="00185E27" w:rsidRDefault="000228B0" w:rsidP="003205E2">
            <w:pPr>
              <w:pStyle w:val="BodyText"/>
              <w:spacing w:before="0" w:after="0"/>
              <w:jc w:val="center"/>
              <w:rPr>
                <w:rFonts w:ascii="Times New Roman" w:hAnsi="Times New Roman"/>
                <w:b/>
                <w:bCs/>
                <w:color w:val="00B050"/>
                <w:sz w:val="18"/>
                <w:szCs w:val="18"/>
              </w:rPr>
            </w:pPr>
            <w:r w:rsidRPr="00185E27">
              <w:rPr>
                <w:rFonts w:ascii="Times New Roman" w:hAnsi="Times New Roman"/>
                <w:b/>
                <w:bCs/>
                <w:color w:val="00B050"/>
                <w:sz w:val="18"/>
                <w:szCs w:val="18"/>
              </w:rPr>
              <w:t xml:space="preserve">Aggressive Protocol </w:t>
            </w:r>
          </w:p>
        </w:tc>
      </w:tr>
      <w:tr w:rsidR="000228B0" w:rsidRPr="00185E27" w14:paraId="709D09DC" w14:textId="77777777" w:rsidTr="003205E2">
        <w:trPr>
          <w:trHeight w:val="144"/>
        </w:trPr>
        <w:tc>
          <w:tcPr>
            <w:tcW w:w="1152" w:type="pct"/>
            <w:tcBorders>
              <w:top w:val="single" w:sz="6" w:space="0" w:color="auto"/>
            </w:tcBorders>
            <w:hideMark/>
          </w:tcPr>
          <w:p w14:paraId="6C835097" w14:textId="77777777" w:rsidR="000228B0" w:rsidRPr="00185E27" w:rsidRDefault="000228B0" w:rsidP="003205E2">
            <w:pPr>
              <w:pStyle w:val="BodyText"/>
              <w:spacing w:before="0" w:after="0"/>
              <w:rPr>
                <w:rFonts w:ascii="Times New Roman" w:hAnsi="Times New Roman"/>
                <w:color w:val="00B050"/>
                <w:sz w:val="18"/>
                <w:szCs w:val="18"/>
              </w:rPr>
            </w:pPr>
            <w:r w:rsidRPr="00185E27">
              <w:rPr>
                <w:rFonts w:ascii="Times New Roman" w:hAnsi="Times New Roman"/>
                <w:b/>
                <w:bCs/>
                <w:color w:val="00B050"/>
                <w:sz w:val="18"/>
                <w:szCs w:val="18"/>
              </w:rPr>
              <w:t> Sample</w:t>
            </w:r>
          </w:p>
        </w:tc>
        <w:tc>
          <w:tcPr>
            <w:tcW w:w="1889" w:type="pct"/>
            <w:tcBorders>
              <w:top w:val="single" w:sz="6" w:space="0" w:color="auto"/>
            </w:tcBorders>
            <w:hideMark/>
          </w:tcPr>
          <w:p w14:paraId="04B7ADC4" w14:textId="77777777" w:rsidR="000228B0" w:rsidRPr="00185E27" w:rsidRDefault="000228B0" w:rsidP="000228B0">
            <w:pPr>
              <w:pStyle w:val="BodyText"/>
              <w:numPr>
                <w:ilvl w:val="0"/>
                <w:numId w:val="28"/>
              </w:numPr>
              <w:spacing w:before="0" w:after="0"/>
              <w:ind w:left="303" w:hanging="270"/>
              <w:rPr>
                <w:rFonts w:ascii="Times New Roman" w:hAnsi="Times New Roman"/>
                <w:color w:val="00B050"/>
                <w:sz w:val="18"/>
                <w:szCs w:val="18"/>
              </w:rPr>
            </w:pPr>
            <w:r w:rsidRPr="00185E27">
              <w:rPr>
                <w:rFonts w:ascii="Times New Roman" w:hAnsi="Times New Roman"/>
                <w:color w:val="00B050"/>
                <w:sz w:val="18"/>
                <w:szCs w:val="18"/>
              </w:rPr>
              <w:t>NPSAS:20 interview respondents (26,470)</w:t>
            </w:r>
          </w:p>
        </w:tc>
        <w:tc>
          <w:tcPr>
            <w:tcW w:w="1959" w:type="pct"/>
            <w:tcBorders>
              <w:top w:val="single" w:sz="6" w:space="0" w:color="auto"/>
            </w:tcBorders>
          </w:tcPr>
          <w:p w14:paraId="1591E3E4" w14:textId="77777777" w:rsidR="000228B0" w:rsidRPr="00185E27" w:rsidRDefault="000228B0" w:rsidP="000228B0">
            <w:pPr>
              <w:pStyle w:val="BodyText"/>
              <w:numPr>
                <w:ilvl w:val="0"/>
                <w:numId w:val="28"/>
              </w:numPr>
              <w:spacing w:before="0" w:after="0"/>
              <w:ind w:left="303" w:hanging="270"/>
              <w:rPr>
                <w:rFonts w:ascii="Times New Roman" w:hAnsi="Times New Roman"/>
                <w:color w:val="00B050"/>
                <w:sz w:val="18"/>
                <w:szCs w:val="18"/>
              </w:rPr>
            </w:pPr>
            <w:r w:rsidRPr="00185E27">
              <w:rPr>
                <w:rFonts w:ascii="Times New Roman" w:hAnsi="Times New Roman"/>
                <w:color w:val="00B050"/>
                <w:sz w:val="18"/>
                <w:szCs w:val="18"/>
              </w:rPr>
              <w:t>NPSAS:20 interview non-respondents (5,510)</w:t>
            </w:r>
          </w:p>
          <w:p w14:paraId="18E05156" w14:textId="77777777" w:rsidR="000228B0" w:rsidRPr="00185E27" w:rsidRDefault="000228B0" w:rsidP="000228B0">
            <w:pPr>
              <w:pStyle w:val="BodyText"/>
              <w:numPr>
                <w:ilvl w:val="0"/>
                <w:numId w:val="28"/>
              </w:numPr>
              <w:spacing w:before="0" w:after="0"/>
              <w:ind w:left="303" w:hanging="270"/>
              <w:rPr>
                <w:rFonts w:ascii="Times New Roman" w:hAnsi="Times New Roman"/>
                <w:color w:val="00B050"/>
                <w:sz w:val="18"/>
                <w:szCs w:val="18"/>
              </w:rPr>
            </w:pPr>
            <w:r w:rsidRPr="00185E27">
              <w:rPr>
                <w:rFonts w:ascii="Times New Roman" w:hAnsi="Times New Roman"/>
                <w:color w:val="00B050"/>
                <w:sz w:val="18"/>
                <w:szCs w:val="18"/>
              </w:rPr>
              <w:lastRenderedPageBreak/>
              <w:t>NPSAS:20 admin-only (5,350)</w:t>
            </w:r>
          </w:p>
        </w:tc>
      </w:tr>
      <w:tr w:rsidR="000228B0" w:rsidRPr="00185E27" w14:paraId="5DB13B60" w14:textId="77777777" w:rsidTr="003205E2">
        <w:trPr>
          <w:trHeight w:val="144"/>
        </w:trPr>
        <w:tc>
          <w:tcPr>
            <w:tcW w:w="5000" w:type="pct"/>
            <w:gridSpan w:val="3"/>
            <w:hideMark/>
          </w:tcPr>
          <w:p w14:paraId="539030E9" w14:textId="77777777" w:rsidR="000228B0" w:rsidRPr="00185E27" w:rsidRDefault="000228B0" w:rsidP="003205E2">
            <w:pPr>
              <w:pStyle w:val="BodyText"/>
              <w:spacing w:before="0" w:after="0"/>
              <w:ind w:left="303" w:hanging="318"/>
              <w:rPr>
                <w:rFonts w:ascii="Times New Roman" w:hAnsi="Times New Roman"/>
                <w:color w:val="00B050"/>
                <w:sz w:val="18"/>
                <w:szCs w:val="18"/>
              </w:rPr>
            </w:pPr>
            <w:r w:rsidRPr="00185E27">
              <w:rPr>
                <w:rFonts w:ascii="Times New Roman" w:hAnsi="Times New Roman"/>
                <w:b/>
                <w:bCs/>
                <w:color w:val="00B050"/>
                <w:sz w:val="18"/>
                <w:szCs w:val="18"/>
              </w:rPr>
              <w:lastRenderedPageBreak/>
              <w:t>Data Collection Protocols </w:t>
            </w:r>
          </w:p>
        </w:tc>
      </w:tr>
      <w:tr w:rsidR="000228B0" w:rsidRPr="00185E27" w14:paraId="0E39B0A9" w14:textId="77777777" w:rsidTr="003205E2">
        <w:trPr>
          <w:trHeight w:val="144"/>
        </w:trPr>
        <w:tc>
          <w:tcPr>
            <w:tcW w:w="1152" w:type="pct"/>
            <w:hideMark/>
          </w:tcPr>
          <w:p w14:paraId="733FBED1" w14:textId="77777777" w:rsidR="000228B0" w:rsidRPr="00185E27" w:rsidRDefault="000228B0" w:rsidP="003205E2">
            <w:pPr>
              <w:pStyle w:val="BodyText"/>
              <w:spacing w:before="0" w:after="0"/>
              <w:ind w:left="157"/>
              <w:rPr>
                <w:rFonts w:ascii="Times New Roman" w:hAnsi="Times New Roman"/>
                <w:b/>
                <w:bCs/>
                <w:color w:val="00B050"/>
                <w:sz w:val="18"/>
                <w:szCs w:val="18"/>
              </w:rPr>
            </w:pPr>
            <w:r w:rsidRPr="00185E27">
              <w:rPr>
                <w:rFonts w:ascii="Times New Roman" w:hAnsi="Times New Roman"/>
                <w:b/>
                <w:bCs/>
                <w:color w:val="00B050"/>
                <w:sz w:val="18"/>
                <w:szCs w:val="18"/>
              </w:rPr>
              <w:t xml:space="preserve">Prior to data collection </w:t>
            </w:r>
          </w:p>
        </w:tc>
        <w:tc>
          <w:tcPr>
            <w:tcW w:w="1889" w:type="pct"/>
            <w:hideMark/>
          </w:tcPr>
          <w:p w14:paraId="6F885C2C" w14:textId="77777777" w:rsidR="000228B0" w:rsidRPr="00185E27" w:rsidRDefault="000228B0" w:rsidP="000228B0">
            <w:pPr>
              <w:pStyle w:val="BodyText"/>
              <w:numPr>
                <w:ilvl w:val="0"/>
                <w:numId w:val="28"/>
              </w:numPr>
              <w:spacing w:before="0" w:after="0"/>
              <w:ind w:left="303" w:hanging="270"/>
              <w:rPr>
                <w:rFonts w:ascii="Times New Roman" w:hAnsi="Times New Roman"/>
                <w:color w:val="00B050"/>
                <w:sz w:val="18"/>
                <w:szCs w:val="18"/>
              </w:rPr>
            </w:pPr>
            <w:r w:rsidRPr="00185E27">
              <w:rPr>
                <w:rFonts w:ascii="Times New Roman" w:hAnsi="Times New Roman"/>
                <w:color w:val="00B050"/>
                <w:sz w:val="18"/>
                <w:szCs w:val="18"/>
              </w:rPr>
              <w:t>Panel maintenance</w:t>
            </w:r>
          </w:p>
          <w:p w14:paraId="5D44F4C0" w14:textId="77777777" w:rsidR="000228B0" w:rsidRPr="00185E27" w:rsidRDefault="000228B0" w:rsidP="000228B0">
            <w:pPr>
              <w:pStyle w:val="BodyText"/>
              <w:numPr>
                <w:ilvl w:val="0"/>
                <w:numId w:val="28"/>
              </w:numPr>
              <w:spacing w:before="0" w:after="0"/>
              <w:ind w:left="303" w:hanging="270"/>
              <w:rPr>
                <w:rFonts w:ascii="Times New Roman" w:hAnsi="Times New Roman"/>
                <w:color w:val="00B050"/>
                <w:sz w:val="18"/>
                <w:szCs w:val="18"/>
              </w:rPr>
            </w:pPr>
            <w:r w:rsidRPr="00185E27">
              <w:rPr>
                <w:rFonts w:ascii="Times New Roman" w:hAnsi="Times New Roman"/>
                <w:color w:val="00B050"/>
                <w:sz w:val="18"/>
                <w:szCs w:val="18"/>
              </w:rPr>
              <w:t>Prenotification/greeting (from NCES)</w:t>
            </w:r>
          </w:p>
        </w:tc>
        <w:tc>
          <w:tcPr>
            <w:tcW w:w="1959" w:type="pct"/>
          </w:tcPr>
          <w:p w14:paraId="396E51D3" w14:textId="77777777" w:rsidR="000228B0" w:rsidRPr="00185E27" w:rsidRDefault="000228B0" w:rsidP="000228B0">
            <w:pPr>
              <w:pStyle w:val="BodyText"/>
              <w:numPr>
                <w:ilvl w:val="0"/>
                <w:numId w:val="28"/>
              </w:numPr>
              <w:spacing w:before="0" w:after="0"/>
              <w:ind w:left="303" w:hanging="270"/>
              <w:rPr>
                <w:rFonts w:ascii="Times New Roman" w:hAnsi="Times New Roman"/>
                <w:color w:val="00B050"/>
                <w:sz w:val="18"/>
                <w:szCs w:val="18"/>
              </w:rPr>
            </w:pPr>
            <w:r w:rsidRPr="00185E27">
              <w:rPr>
                <w:rFonts w:ascii="Times New Roman" w:hAnsi="Times New Roman"/>
                <w:color w:val="00B050"/>
                <w:sz w:val="18"/>
                <w:szCs w:val="18"/>
              </w:rPr>
              <w:t>Panel maintenance</w:t>
            </w:r>
          </w:p>
          <w:p w14:paraId="5845F0F4" w14:textId="77777777" w:rsidR="000228B0" w:rsidRPr="00185E27" w:rsidRDefault="000228B0" w:rsidP="000228B0">
            <w:pPr>
              <w:pStyle w:val="BodyText"/>
              <w:numPr>
                <w:ilvl w:val="0"/>
                <w:numId w:val="28"/>
              </w:numPr>
              <w:spacing w:before="0" w:after="0"/>
              <w:ind w:left="303" w:hanging="270"/>
              <w:rPr>
                <w:rFonts w:ascii="Times New Roman" w:hAnsi="Times New Roman"/>
                <w:color w:val="00B050"/>
                <w:sz w:val="18"/>
                <w:szCs w:val="18"/>
              </w:rPr>
            </w:pPr>
            <w:r w:rsidRPr="00185E27">
              <w:rPr>
                <w:rFonts w:ascii="Times New Roman" w:hAnsi="Times New Roman"/>
                <w:color w:val="00B050"/>
                <w:sz w:val="18"/>
                <w:szCs w:val="18"/>
              </w:rPr>
              <w:t>Prenotification/greeting (from NCES)</w:t>
            </w:r>
          </w:p>
        </w:tc>
      </w:tr>
      <w:tr w:rsidR="000228B0" w:rsidRPr="00185E27" w14:paraId="72DC3BF9" w14:textId="77777777" w:rsidTr="003205E2">
        <w:trPr>
          <w:trHeight w:val="144"/>
        </w:trPr>
        <w:tc>
          <w:tcPr>
            <w:tcW w:w="1152" w:type="pct"/>
            <w:hideMark/>
          </w:tcPr>
          <w:p w14:paraId="563B0C13" w14:textId="77777777" w:rsidR="000228B0" w:rsidRPr="00185E27" w:rsidRDefault="000228B0" w:rsidP="003205E2">
            <w:pPr>
              <w:pStyle w:val="BodyText"/>
              <w:spacing w:before="0" w:after="0"/>
              <w:ind w:left="157"/>
              <w:rPr>
                <w:rFonts w:ascii="Times New Roman" w:hAnsi="Times New Roman"/>
                <w:color w:val="00B050"/>
                <w:sz w:val="18"/>
                <w:szCs w:val="18"/>
              </w:rPr>
            </w:pPr>
            <w:r w:rsidRPr="00185E27">
              <w:rPr>
                <w:rFonts w:ascii="Times New Roman" w:hAnsi="Times New Roman"/>
                <w:b/>
                <w:bCs/>
                <w:color w:val="00B050"/>
                <w:sz w:val="18"/>
                <w:szCs w:val="18"/>
              </w:rPr>
              <w:t>Early completion phase</w:t>
            </w:r>
          </w:p>
        </w:tc>
        <w:tc>
          <w:tcPr>
            <w:tcW w:w="1889" w:type="pct"/>
            <w:hideMark/>
          </w:tcPr>
          <w:p w14:paraId="324B1616" w14:textId="77777777" w:rsidR="000228B0" w:rsidRPr="00185E27" w:rsidRDefault="000228B0" w:rsidP="000228B0">
            <w:pPr>
              <w:pStyle w:val="BodyText"/>
              <w:numPr>
                <w:ilvl w:val="0"/>
                <w:numId w:val="28"/>
              </w:numPr>
              <w:spacing w:before="0" w:after="0"/>
              <w:ind w:left="303" w:hanging="270"/>
              <w:rPr>
                <w:rFonts w:ascii="Times New Roman" w:hAnsi="Times New Roman"/>
                <w:color w:val="00B050"/>
                <w:sz w:val="18"/>
                <w:szCs w:val="18"/>
              </w:rPr>
            </w:pPr>
            <w:r w:rsidRPr="00185E27">
              <w:rPr>
                <w:rFonts w:ascii="Times New Roman" w:hAnsi="Times New Roman"/>
                <w:color w:val="00B050"/>
                <w:sz w:val="18"/>
                <w:szCs w:val="18"/>
              </w:rPr>
              <w:t xml:space="preserve">DC announcement mail, text, and e-mail </w:t>
            </w:r>
          </w:p>
          <w:p w14:paraId="059B1406" w14:textId="77777777" w:rsidR="000228B0" w:rsidRPr="00185E27" w:rsidRDefault="000228B0" w:rsidP="000228B0">
            <w:pPr>
              <w:pStyle w:val="BodyText"/>
              <w:numPr>
                <w:ilvl w:val="0"/>
                <w:numId w:val="28"/>
              </w:numPr>
              <w:spacing w:before="0" w:after="0"/>
              <w:ind w:left="303" w:hanging="270"/>
              <w:rPr>
                <w:rFonts w:ascii="Times New Roman" w:hAnsi="Times New Roman"/>
                <w:color w:val="00B050"/>
                <w:sz w:val="18"/>
                <w:szCs w:val="18"/>
              </w:rPr>
            </w:pPr>
            <w:r w:rsidRPr="00185E27">
              <w:rPr>
                <w:rFonts w:ascii="Times New Roman" w:hAnsi="Times New Roman"/>
                <w:color w:val="00B050"/>
                <w:sz w:val="18"/>
                <w:szCs w:val="18"/>
              </w:rPr>
              <w:t>Mode tailoring with NPSAS:20 completion mode</w:t>
            </w:r>
          </w:p>
        </w:tc>
        <w:tc>
          <w:tcPr>
            <w:tcW w:w="1959" w:type="pct"/>
          </w:tcPr>
          <w:p w14:paraId="295BEF57" w14:textId="77777777" w:rsidR="000228B0" w:rsidRPr="00185E27" w:rsidRDefault="000228B0" w:rsidP="000228B0">
            <w:pPr>
              <w:pStyle w:val="BodyText"/>
              <w:numPr>
                <w:ilvl w:val="0"/>
                <w:numId w:val="28"/>
              </w:numPr>
              <w:spacing w:before="0" w:after="0"/>
              <w:ind w:left="303" w:hanging="270"/>
              <w:rPr>
                <w:rFonts w:ascii="Times New Roman" w:hAnsi="Times New Roman"/>
                <w:color w:val="00B050"/>
                <w:sz w:val="18"/>
                <w:szCs w:val="18"/>
              </w:rPr>
            </w:pPr>
            <w:r w:rsidRPr="00185E27">
              <w:rPr>
                <w:rFonts w:ascii="Times New Roman" w:hAnsi="Times New Roman"/>
                <w:color w:val="00B050"/>
                <w:sz w:val="18"/>
                <w:szCs w:val="18"/>
              </w:rPr>
              <w:t>DC announcement mail, text, and e-mail $2 cash prepaid</w:t>
            </w:r>
          </w:p>
          <w:p w14:paraId="46F9A92F" w14:textId="77777777" w:rsidR="000228B0" w:rsidRPr="00185E27" w:rsidRDefault="000228B0" w:rsidP="000228B0">
            <w:pPr>
              <w:pStyle w:val="BodyText"/>
              <w:numPr>
                <w:ilvl w:val="0"/>
                <w:numId w:val="28"/>
              </w:numPr>
              <w:spacing w:before="0" w:after="0"/>
              <w:ind w:left="303" w:hanging="270"/>
              <w:rPr>
                <w:rFonts w:ascii="Times New Roman" w:hAnsi="Times New Roman"/>
                <w:color w:val="00B050"/>
                <w:sz w:val="18"/>
                <w:szCs w:val="18"/>
              </w:rPr>
            </w:pPr>
            <w:r w:rsidRPr="00185E27">
              <w:rPr>
                <w:rFonts w:ascii="Times New Roman" w:hAnsi="Times New Roman"/>
                <w:color w:val="00B050"/>
                <w:sz w:val="18"/>
                <w:szCs w:val="18"/>
              </w:rPr>
              <w:t>Targeted CATI begins 2 weeks after mail outs – continued throughout</w:t>
            </w:r>
          </w:p>
        </w:tc>
      </w:tr>
      <w:tr w:rsidR="000228B0" w:rsidRPr="00185E27" w14:paraId="06539E0B" w14:textId="77777777" w:rsidTr="003205E2">
        <w:trPr>
          <w:trHeight w:val="144"/>
        </w:trPr>
        <w:tc>
          <w:tcPr>
            <w:tcW w:w="1152" w:type="pct"/>
            <w:hideMark/>
          </w:tcPr>
          <w:p w14:paraId="05F5BFBD" w14:textId="77777777" w:rsidR="000228B0" w:rsidRPr="00185E27" w:rsidRDefault="000228B0" w:rsidP="003205E2">
            <w:pPr>
              <w:pStyle w:val="BodyText"/>
              <w:spacing w:before="0" w:after="0"/>
              <w:ind w:left="157"/>
              <w:rPr>
                <w:rFonts w:ascii="Times New Roman" w:hAnsi="Times New Roman"/>
                <w:color w:val="00B050"/>
                <w:sz w:val="18"/>
                <w:szCs w:val="18"/>
              </w:rPr>
            </w:pPr>
            <w:r w:rsidRPr="00185E27">
              <w:rPr>
                <w:rFonts w:ascii="Times New Roman" w:hAnsi="Times New Roman"/>
                <w:b/>
                <w:bCs/>
                <w:color w:val="00B050"/>
                <w:sz w:val="18"/>
                <w:szCs w:val="18"/>
              </w:rPr>
              <w:t>Production phase 1</w:t>
            </w:r>
          </w:p>
        </w:tc>
        <w:tc>
          <w:tcPr>
            <w:tcW w:w="1889" w:type="pct"/>
            <w:hideMark/>
          </w:tcPr>
          <w:p w14:paraId="3FC967F0" w14:textId="77777777" w:rsidR="000228B0" w:rsidRPr="00185E27" w:rsidRDefault="000228B0" w:rsidP="000228B0">
            <w:pPr>
              <w:pStyle w:val="BodyText"/>
              <w:numPr>
                <w:ilvl w:val="0"/>
                <w:numId w:val="28"/>
              </w:numPr>
              <w:spacing w:before="0" w:after="0"/>
              <w:ind w:left="303" w:hanging="270"/>
              <w:rPr>
                <w:rFonts w:ascii="Times New Roman" w:hAnsi="Times New Roman"/>
                <w:color w:val="00B050"/>
                <w:sz w:val="18"/>
                <w:szCs w:val="18"/>
              </w:rPr>
            </w:pPr>
            <w:r w:rsidRPr="00185E27">
              <w:rPr>
                <w:rFonts w:ascii="Times New Roman" w:hAnsi="Times New Roman"/>
                <w:color w:val="00B050"/>
                <w:sz w:val="18"/>
                <w:szCs w:val="18"/>
              </w:rPr>
              <w:t>Targeted light CATI outbound begins</w:t>
            </w:r>
          </w:p>
          <w:p w14:paraId="2CA53775" w14:textId="77777777" w:rsidR="000228B0" w:rsidRPr="00185E27" w:rsidRDefault="000228B0" w:rsidP="000228B0">
            <w:pPr>
              <w:pStyle w:val="BodyText"/>
              <w:numPr>
                <w:ilvl w:val="0"/>
                <w:numId w:val="28"/>
              </w:numPr>
              <w:spacing w:before="0" w:after="0"/>
              <w:ind w:left="303" w:hanging="270"/>
              <w:rPr>
                <w:rFonts w:ascii="Times New Roman" w:hAnsi="Times New Roman"/>
                <w:color w:val="00B050"/>
                <w:sz w:val="18"/>
                <w:szCs w:val="18"/>
              </w:rPr>
            </w:pPr>
            <w:r w:rsidRPr="00185E27">
              <w:rPr>
                <w:rFonts w:ascii="Times New Roman" w:hAnsi="Times New Roman"/>
                <w:color w:val="00B050"/>
                <w:sz w:val="18"/>
                <w:szCs w:val="18"/>
              </w:rPr>
              <w:t>Postcard, e-mail, text message reminders – continued throughout</w:t>
            </w:r>
          </w:p>
        </w:tc>
        <w:tc>
          <w:tcPr>
            <w:tcW w:w="1959" w:type="pct"/>
          </w:tcPr>
          <w:p w14:paraId="594D521A" w14:textId="77777777" w:rsidR="000228B0" w:rsidRPr="00185E27" w:rsidRDefault="000228B0" w:rsidP="000228B0">
            <w:pPr>
              <w:pStyle w:val="BodyText"/>
              <w:numPr>
                <w:ilvl w:val="0"/>
                <w:numId w:val="28"/>
              </w:numPr>
              <w:spacing w:before="0" w:after="0"/>
              <w:ind w:left="303" w:hanging="270"/>
              <w:rPr>
                <w:rFonts w:ascii="Times New Roman" w:hAnsi="Times New Roman"/>
                <w:color w:val="00B050"/>
                <w:sz w:val="18"/>
                <w:szCs w:val="18"/>
              </w:rPr>
            </w:pPr>
            <w:r w:rsidRPr="00185E27">
              <w:rPr>
                <w:rFonts w:ascii="Times New Roman" w:hAnsi="Times New Roman"/>
                <w:color w:val="00B050"/>
                <w:sz w:val="18"/>
                <w:szCs w:val="18"/>
              </w:rPr>
              <w:t>Postcard, e-mail, text message reminders – continued throughout</w:t>
            </w:r>
          </w:p>
        </w:tc>
      </w:tr>
      <w:tr w:rsidR="000228B0" w:rsidRPr="00185E27" w14:paraId="40C80EAC" w14:textId="77777777" w:rsidTr="003205E2">
        <w:trPr>
          <w:trHeight w:val="144"/>
        </w:trPr>
        <w:tc>
          <w:tcPr>
            <w:tcW w:w="1152" w:type="pct"/>
            <w:hideMark/>
          </w:tcPr>
          <w:p w14:paraId="50E2C35E" w14:textId="77777777" w:rsidR="000228B0" w:rsidRPr="00185E27" w:rsidRDefault="000228B0" w:rsidP="003205E2">
            <w:pPr>
              <w:pStyle w:val="BodyText"/>
              <w:spacing w:before="0" w:after="0"/>
              <w:ind w:left="157"/>
              <w:rPr>
                <w:rFonts w:ascii="Times New Roman" w:hAnsi="Times New Roman"/>
                <w:color w:val="00B050"/>
                <w:sz w:val="18"/>
                <w:szCs w:val="18"/>
              </w:rPr>
            </w:pPr>
            <w:r w:rsidRPr="00185E27">
              <w:rPr>
                <w:rFonts w:ascii="Times New Roman" w:hAnsi="Times New Roman"/>
                <w:b/>
                <w:bCs/>
                <w:color w:val="00B050"/>
                <w:sz w:val="18"/>
                <w:szCs w:val="18"/>
              </w:rPr>
              <w:t>Production phase 2</w:t>
            </w:r>
          </w:p>
        </w:tc>
        <w:tc>
          <w:tcPr>
            <w:tcW w:w="1889" w:type="pct"/>
            <w:hideMark/>
          </w:tcPr>
          <w:p w14:paraId="266DCFE8" w14:textId="77777777" w:rsidR="000228B0" w:rsidRPr="00185E27" w:rsidRDefault="000228B0" w:rsidP="000228B0">
            <w:pPr>
              <w:pStyle w:val="BodyText"/>
              <w:numPr>
                <w:ilvl w:val="0"/>
                <w:numId w:val="28"/>
              </w:numPr>
              <w:spacing w:before="0" w:after="0"/>
              <w:ind w:left="303" w:hanging="270"/>
              <w:rPr>
                <w:rFonts w:ascii="Times New Roman" w:hAnsi="Times New Roman"/>
                <w:color w:val="00B050"/>
                <w:sz w:val="18"/>
                <w:szCs w:val="18"/>
              </w:rPr>
            </w:pPr>
            <w:r w:rsidRPr="00185E27">
              <w:rPr>
                <w:rFonts w:ascii="Times New Roman" w:hAnsi="Times New Roman"/>
                <w:color w:val="00B050"/>
                <w:sz w:val="18"/>
                <w:szCs w:val="18"/>
              </w:rPr>
              <w:t>$10 boost post-paid</w:t>
            </w:r>
          </w:p>
        </w:tc>
        <w:tc>
          <w:tcPr>
            <w:tcW w:w="1959" w:type="pct"/>
          </w:tcPr>
          <w:p w14:paraId="5DCDBA31" w14:textId="77777777" w:rsidR="000228B0" w:rsidRPr="00185E27" w:rsidRDefault="000228B0" w:rsidP="000228B0">
            <w:pPr>
              <w:pStyle w:val="BodyText"/>
              <w:numPr>
                <w:ilvl w:val="0"/>
                <w:numId w:val="28"/>
              </w:numPr>
              <w:spacing w:before="0" w:after="0"/>
              <w:ind w:left="303" w:hanging="270"/>
              <w:rPr>
                <w:rFonts w:ascii="Times New Roman" w:hAnsi="Times New Roman"/>
                <w:color w:val="00B050"/>
                <w:sz w:val="18"/>
                <w:szCs w:val="18"/>
              </w:rPr>
            </w:pPr>
            <w:r w:rsidRPr="00185E27">
              <w:rPr>
                <w:rFonts w:ascii="Times New Roman" w:hAnsi="Times New Roman"/>
                <w:color w:val="00B050"/>
                <w:sz w:val="18"/>
                <w:szCs w:val="18"/>
              </w:rPr>
              <w:t xml:space="preserve">$20 boost post-paid </w:t>
            </w:r>
          </w:p>
          <w:p w14:paraId="386CCB82" w14:textId="77777777" w:rsidR="000228B0" w:rsidRPr="00185E27" w:rsidRDefault="000228B0" w:rsidP="000228B0">
            <w:pPr>
              <w:pStyle w:val="BodyText"/>
              <w:numPr>
                <w:ilvl w:val="0"/>
                <w:numId w:val="28"/>
              </w:numPr>
              <w:spacing w:before="0" w:after="0"/>
              <w:ind w:left="303" w:hanging="270"/>
              <w:rPr>
                <w:rFonts w:ascii="Times New Roman" w:hAnsi="Times New Roman"/>
                <w:color w:val="00B050"/>
                <w:sz w:val="18"/>
                <w:szCs w:val="18"/>
              </w:rPr>
            </w:pPr>
            <w:r w:rsidRPr="00185E27">
              <w:rPr>
                <w:rFonts w:ascii="Times New Roman" w:hAnsi="Times New Roman"/>
                <w:color w:val="00B050"/>
                <w:sz w:val="18"/>
                <w:szCs w:val="18"/>
              </w:rPr>
              <w:t xml:space="preserve">Abbreviated survey offered </w:t>
            </w:r>
          </w:p>
        </w:tc>
      </w:tr>
      <w:tr w:rsidR="000228B0" w:rsidRPr="00185E27" w14:paraId="4922F502" w14:textId="77777777" w:rsidTr="003205E2">
        <w:trPr>
          <w:trHeight w:val="144"/>
        </w:trPr>
        <w:tc>
          <w:tcPr>
            <w:tcW w:w="1152" w:type="pct"/>
          </w:tcPr>
          <w:p w14:paraId="55E7AB28" w14:textId="77777777" w:rsidR="000228B0" w:rsidRPr="00185E27" w:rsidRDefault="000228B0" w:rsidP="003205E2">
            <w:pPr>
              <w:pStyle w:val="BodyText"/>
              <w:spacing w:before="0" w:after="0"/>
              <w:ind w:left="157"/>
              <w:rPr>
                <w:rFonts w:ascii="Times New Roman" w:hAnsi="Times New Roman"/>
                <w:b/>
                <w:bCs/>
                <w:color w:val="00B050"/>
                <w:sz w:val="18"/>
                <w:szCs w:val="18"/>
              </w:rPr>
            </w:pPr>
            <w:r w:rsidRPr="00185E27">
              <w:rPr>
                <w:rFonts w:ascii="Times New Roman" w:hAnsi="Times New Roman"/>
                <w:b/>
                <w:bCs/>
                <w:color w:val="00B050"/>
                <w:sz w:val="18"/>
                <w:szCs w:val="18"/>
              </w:rPr>
              <w:t>Nonresponse Conversion Phase</w:t>
            </w:r>
          </w:p>
        </w:tc>
        <w:tc>
          <w:tcPr>
            <w:tcW w:w="1889" w:type="pct"/>
          </w:tcPr>
          <w:p w14:paraId="339E1318" w14:textId="77777777" w:rsidR="000228B0" w:rsidRPr="00185E27" w:rsidRDefault="000228B0" w:rsidP="000228B0">
            <w:pPr>
              <w:pStyle w:val="BodyText"/>
              <w:numPr>
                <w:ilvl w:val="0"/>
                <w:numId w:val="28"/>
              </w:numPr>
              <w:spacing w:before="0" w:after="0"/>
              <w:ind w:left="303" w:hanging="270"/>
              <w:rPr>
                <w:rFonts w:ascii="Times New Roman" w:hAnsi="Times New Roman"/>
                <w:color w:val="00B050"/>
                <w:sz w:val="18"/>
                <w:szCs w:val="18"/>
              </w:rPr>
            </w:pPr>
            <w:r w:rsidRPr="00185E27">
              <w:rPr>
                <w:rFonts w:ascii="Times New Roman" w:hAnsi="Times New Roman"/>
                <w:color w:val="00B050"/>
                <w:sz w:val="18"/>
                <w:szCs w:val="18"/>
              </w:rPr>
              <w:t xml:space="preserve">Abbreviated survey offered </w:t>
            </w:r>
          </w:p>
        </w:tc>
        <w:tc>
          <w:tcPr>
            <w:tcW w:w="1959" w:type="pct"/>
          </w:tcPr>
          <w:p w14:paraId="524F5955" w14:textId="77777777" w:rsidR="000228B0" w:rsidRPr="00185E27" w:rsidRDefault="000228B0" w:rsidP="003205E2">
            <w:pPr>
              <w:pStyle w:val="BodyText"/>
              <w:spacing w:before="0" w:after="0"/>
              <w:ind w:left="33"/>
              <w:rPr>
                <w:rFonts w:ascii="Times New Roman" w:hAnsi="Times New Roman"/>
                <w:strike/>
                <w:color w:val="00B050"/>
                <w:sz w:val="18"/>
                <w:szCs w:val="18"/>
              </w:rPr>
            </w:pPr>
          </w:p>
        </w:tc>
      </w:tr>
      <w:tr w:rsidR="000228B0" w:rsidRPr="00185E27" w14:paraId="7BD4BE37" w14:textId="77777777" w:rsidTr="003205E2">
        <w:trPr>
          <w:trHeight w:val="144"/>
        </w:trPr>
        <w:tc>
          <w:tcPr>
            <w:tcW w:w="1152" w:type="pct"/>
            <w:tcBorders>
              <w:bottom w:val="single" w:sz="12" w:space="0" w:color="auto"/>
            </w:tcBorders>
            <w:hideMark/>
          </w:tcPr>
          <w:p w14:paraId="5D1E337A" w14:textId="77777777" w:rsidR="000228B0" w:rsidRPr="00185E27" w:rsidRDefault="000228B0" w:rsidP="003205E2">
            <w:pPr>
              <w:pStyle w:val="BodyText"/>
              <w:spacing w:before="0" w:after="0"/>
              <w:ind w:left="157"/>
              <w:rPr>
                <w:rFonts w:ascii="Times New Roman" w:hAnsi="Times New Roman"/>
                <w:color w:val="00B050"/>
                <w:sz w:val="18"/>
                <w:szCs w:val="18"/>
              </w:rPr>
            </w:pPr>
            <w:r w:rsidRPr="00185E27">
              <w:rPr>
                <w:rFonts w:ascii="Times New Roman" w:hAnsi="Times New Roman"/>
                <w:b/>
                <w:bCs/>
                <w:color w:val="00B050"/>
                <w:sz w:val="18"/>
                <w:szCs w:val="18"/>
              </w:rPr>
              <w:t>Total incentives</w:t>
            </w:r>
          </w:p>
        </w:tc>
        <w:tc>
          <w:tcPr>
            <w:tcW w:w="1889" w:type="pct"/>
            <w:tcBorders>
              <w:bottom w:val="single" w:sz="12" w:space="0" w:color="auto"/>
            </w:tcBorders>
            <w:hideMark/>
          </w:tcPr>
          <w:p w14:paraId="6AA9C2C8" w14:textId="77777777" w:rsidR="000228B0" w:rsidRPr="00185E27" w:rsidRDefault="000228B0" w:rsidP="000228B0">
            <w:pPr>
              <w:pStyle w:val="BodyText"/>
              <w:numPr>
                <w:ilvl w:val="0"/>
                <w:numId w:val="28"/>
              </w:numPr>
              <w:spacing w:before="0" w:after="0"/>
              <w:ind w:left="303" w:hanging="270"/>
              <w:rPr>
                <w:rFonts w:ascii="Times New Roman" w:hAnsi="Times New Roman"/>
                <w:color w:val="00B050"/>
                <w:sz w:val="18"/>
                <w:szCs w:val="18"/>
              </w:rPr>
            </w:pPr>
            <w:r w:rsidRPr="00185E27">
              <w:rPr>
                <w:rFonts w:ascii="Times New Roman" w:hAnsi="Times New Roman"/>
                <w:color w:val="00B050"/>
                <w:sz w:val="18"/>
                <w:szCs w:val="18"/>
              </w:rPr>
              <w:t>$30 baseline</w:t>
            </w:r>
          </w:p>
          <w:p w14:paraId="0DA26F57" w14:textId="77777777" w:rsidR="000228B0" w:rsidRPr="00185E27" w:rsidRDefault="000228B0" w:rsidP="000228B0">
            <w:pPr>
              <w:pStyle w:val="BodyText"/>
              <w:numPr>
                <w:ilvl w:val="0"/>
                <w:numId w:val="28"/>
              </w:numPr>
              <w:spacing w:before="0" w:after="0"/>
              <w:ind w:left="303" w:hanging="270"/>
              <w:rPr>
                <w:rFonts w:ascii="Times New Roman" w:hAnsi="Times New Roman"/>
                <w:color w:val="00B050"/>
                <w:sz w:val="18"/>
                <w:szCs w:val="18"/>
              </w:rPr>
            </w:pPr>
            <w:r w:rsidRPr="00185E27">
              <w:rPr>
                <w:rFonts w:ascii="Times New Roman" w:hAnsi="Times New Roman"/>
                <w:color w:val="00B050"/>
                <w:sz w:val="18"/>
                <w:szCs w:val="18"/>
              </w:rPr>
              <w:t>$10 boost</w:t>
            </w:r>
          </w:p>
          <w:p w14:paraId="2B9619AC" w14:textId="77777777" w:rsidR="000228B0" w:rsidRPr="00185E27" w:rsidRDefault="000228B0" w:rsidP="003205E2">
            <w:pPr>
              <w:pStyle w:val="BodyText"/>
              <w:spacing w:before="0" w:after="0"/>
              <w:rPr>
                <w:rFonts w:ascii="Times New Roman" w:hAnsi="Times New Roman"/>
                <w:color w:val="00B050"/>
                <w:sz w:val="18"/>
                <w:szCs w:val="18"/>
              </w:rPr>
            </w:pPr>
          </w:p>
          <w:p w14:paraId="3863B6BF" w14:textId="77777777" w:rsidR="000228B0" w:rsidRPr="00185E27" w:rsidRDefault="000228B0" w:rsidP="000228B0">
            <w:pPr>
              <w:pStyle w:val="BodyText"/>
              <w:numPr>
                <w:ilvl w:val="0"/>
                <w:numId w:val="28"/>
              </w:numPr>
              <w:spacing w:before="0" w:after="0"/>
              <w:ind w:left="303" w:hanging="270"/>
              <w:rPr>
                <w:rFonts w:ascii="Times New Roman" w:hAnsi="Times New Roman"/>
                <w:color w:val="00B050"/>
                <w:sz w:val="18"/>
                <w:szCs w:val="18"/>
              </w:rPr>
            </w:pPr>
            <w:r w:rsidRPr="00185E27">
              <w:rPr>
                <w:rFonts w:ascii="Times New Roman" w:hAnsi="Times New Roman"/>
                <w:color w:val="00B050"/>
                <w:sz w:val="18"/>
                <w:szCs w:val="18"/>
              </w:rPr>
              <w:t>Maximum = $40</w:t>
            </w:r>
          </w:p>
        </w:tc>
        <w:tc>
          <w:tcPr>
            <w:tcW w:w="1959" w:type="pct"/>
            <w:tcBorders>
              <w:bottom w:val="single" w:sz="12" w:space="0" w:color="auto"/>
            </w:tcBorders>
          </w:tcPr>
          <w:p w14:paraId="6466A05D" w14:textId="77777777" w:rsidR="000228B0" w:rsidRPr="00185E27" w:rsidRDefault="000228B0" w:rsidP="000228B0">
            <w:pPr>
              <w:pStyle w:val="BodyText"/>
              <w:numPr>
                <w:ilvl w:val="0"/>
                <w:numId w:val="28"/>
              </w:numPr>
              <w:spacing w:before="0" w:after="0"/>
              <w:ind w:left="303" w:hanging="270"/>
              <w:rPr>
                <w:rFonts w:ascii="Times New Roman" w:hAnsi="Times New Roman"/>
                <w:color w:val="00B050"/>
                <w:sz w:val="18"/>
                <w:szCs w:val="18"/>
              </w:rPr>
            </w:pPr>
            <w:r w:rsidRPr="00185E27">
              <w:rPr>
                <w:rFonts w:ascii="Times New Roman" w:hAnsi="Times New Roman"/>
                <w:color w:val="00B050"/>
                <w:sz w:val="18"/>
                <w:szCs w:val="18"/>
              </w:rPr>
              <w:t>$2 pre-paid</w:t>
            </w:r>
          </w:p>
          <w:p w14:paraId="50230DF7" w14:textId="77777777" w:rsidR="000228B0" w:rsidRPr="00185E27" w:rsidRDefault="000228B0" w:rsidP="000228B0">
            <w:pPr>
              <w:pStyle w:val="BodyText"/>
              <w:numPr>
                <w:ilvl w:val="0"/>
                <w:numId w:val="28"/>
              </w:numPr>
              <w:spacing w:before="0" w:after="0"/>
              <w:ind w:left="303" w:hanging="270"/>
              <w:rPr>
                <w:rFonts w:ascii="Times New Roman" w:hAnsi="Times New Roman"/>
                <w:color w:val="00B050"/>
                <w:sz w:val="18"/>
                <w:szCs w:val="18"/>
              </w:rPr>
            </w:pPr>
            <w:r w:rsidRPr="00185E27">
              <w:rPr>
                <w:rFonts w:ascii="Times New Roman" w:hAnsi="Times New Roman"/>
                <w:color w:val="00B050"/>
                <w:sz w:val="18"/>
                <w:szCs w:val="18"/>
              </w:rPr>
              <w:t>$45 baseline</w:t>
            </w:r>
          </w:p>
          <w:p w14:paraId="6BDB9212" w14:textId="77777777" w:rsidR="000228B0" w:rsidRPr="00185E27" w:rsidRDefault="000228B0" w:rsidP="000228B0">
            <w:pPr>
              <w:pStyle w:val="BodyText"/>
              <w:numPr>
                <w:ilvl w:val="0"/>
                <w:numId w:val="28"/>
              </w:numPr>
              <w:spacing w:before="0" w:after="0"/>
              <w:ind w:left="303" w:hanging="270"/>
              <w:rPr>
                <w:rFonts w:ascii="Times New Roman" w:hAnsi="Times New Roman"/>
                <w:color w:val="00B050"/>
                <w:sz w:val="18"/>
                <w:szCs w:val="18"/>
              </w:rPr>
            </w:pPr>
            <w:r w:rsidRPr="00185E27">
              <w:rPr>
                <w:rFonts w:ascii="Times New Roman" w:hAnsi="Times New Roman"/>
                <w:color w:val="00B050"/>
                <w:sz w:val="18"/>
                <w:szCs w:val="18"/>
              </w:rPr>
              <w:t>$20 boost</w:t>
            </w:r>
          </w:p>
          <w:p w14:paraId="617FB878" w14:textId="77777777" w:rsidR="000228B0" w:rsidRPr="00185E27" w:rsidRDefault="000228B0" w:rsidP="000228B0">
            <w:pPr>
              <w:pStyle w:val="BodyText"/>
              <w:numPr>
                <w:ilvl w:val="0"/>
                <w:numId w:val="28"/>
              </w:numPr>
              <w:spacing w:before="0" w:after="0"/>
              <w:ind w:left="303" w:hanging="270"/>
              <w:rPr>
                <w:rFonts w:ascii="Times New Roman" w:hAnsi="Times New Roman"/>
                <w:color w:val="00B050"/>
                <w:sz w:val="18"/>
                <w:szCs w:val="18"/>
              </w:rPr>
            </w:pPr>
            <w:r w:rsidRPr="00185E27">
              <w:rPr>
                <w:rFonts w:ascii="Times New Roman" w:hAnsi="Times New Roman"/>
                <w:color w:val="00B050"/>
                <w:sz w:val="18"/>
                <w:szCs w:val="18"/>
              </w:rPr>
              <w:t>Maximum = $67</w:t>
            </w:r>
          </w:p>
        </w:tc>
      </w:tr>
    </w:tbl>
    <w:p w14:paraId="2B923007" w14:textId="77777777" w:rsidR="000228B0" w:rsidRPr="00090B33" w:rsidRDefault="000228B0" w:rsidP="000228B0">
      <w:pPr>
        <w:spacing w:after="60" w:line="280" w:lineRule="atLeast"/>
        <w:ind w:left="1080" w:hanging="360"/>
        <w:rPr>
          <w:bCs/>
          <w:color w:val="FF0000"/>
        </w:rPr>
      </w:pPr>
      <w:r w:rsidRPr="00090B33">
        <w:rPr>
          <w:color w:val="FF0000"/>
        </w:rPr>
        <w:br/>
      </w:r>
    </w:p>
    <w:p w14:paraId="224953B0" w14:textId="77777777" w:rsidR="000228B0" w:rsidRPr="007D7903" w:rsidRDefault="000228B0" w:rsidP="000228B0">
      <w:pPr>
        <w:spacing w:after="120"/>
        <w:rPr>
          <w:b/>
        </w:rPr>
      </w:pPr>
      <w:r w:rsidRPr="007D7903">
        <w:rPr>
          <w:b/>
        </w:rPr>
        <w:t>B.5. Statistical Consultation Contacts</w:t>
      </w:r>
      <w:r>
        <w:rPr>
          <w:b/>
        </w:rPr>
        <w:t>.</w:t>
      </w:r>
    </w:p>
    <w:p w14:paraId="33C51E5D" w14:textId="7CB9AFB2" w:rsidR="000228B0" w:rsidRPr="000228B0" w:rsidRDefault="000228B0" w:rsidP="000228B0">
      <w:pPr>
        <w:spacing w:after="120"/>
      </w:pPr>
      <w:r>
        <w:t>The title of this section was revised from “</w:t>
      </w:r>
      <w:r w:rsidRPr="00185E27">
        <w:t>Reviewing Statisticians and Individuals Responsible for Designing and Conducting the Study</w:t>
      </w:r>
      <w:r>
        <w:t>” to “</w:t>
      </w:r>
      <w:r w:rsidRPr="00185E27">
        <w:t>Statistical Consultation Contacts</w:t>
      </w:r>
      <w:r>
        <w:t xml:space="preserve">.” </w:t>
      </w:r>
      <w:r w:rsidRPr="007D7903">
        <w:t>This section was updated to remove an RTI International team member no longer working on the project study.</w:t>
      </w:r>
    </w:p>
    <w:p w14:paraId="530DA69F" w14:textId="77777777" w:rsidR="005346A2" w:rsidRDefault="005346A2" w:rsidP="00B855C7">
      <w:pPr>
        <w:pStyle w:val="Title"/>
        <w:rPr>
          <w:rFonts w:ascii="Times New Roman" w:hAnsi="Times New Roman" w:cs="Times New Roman"/>
          <w:b/>
          <w:sz w:val="28"/>
          <w:szCs w:val="28"/>
          <w:u w:val="single"/>
        </w:rPr>
      </w:pPr>
    </w:p>
    <w:p w14:paraId="05C379F7" w14:textId="2F686594" w:rsidR="00994CC9" w:rsidRPr="00124F39" w:rsidRDefault="00124F39" w:rsidP="00B855C7">
      <w:pPr>
        <w:pStyle w:val="Title"/>
        <w:rPr>
          <w:rFonts w:ascii="Times New Roman" w:hAnsi="Times New Roman" w:cs="Times New Roman"/>
          <w:b/>
          <w:sz w:val="28"/>
          <w:szCs w:val="28"/>
          <w:u w:val="single"/>
        </w:rPr>
      </w:pPr>
      <w:r w:rsidRPr="00124F39">
        <w:rPr>
          <w:rFonts w:ascii="Times New Roman" w:hAnsi="Times New Roman" w:cs="Times New Roman"/>
          <w:b/>
          <w:sz w:val="28"/>
          <w:szCs w:val="28"/>
          <w:u w:val="single"/>
        </w:rPr>
        <w:t xml:space="preserve">Part </w:t>
      </w:r>
      <w:r w:rsidR="00297D28">
        <w:rPr>
          <w:rFonts w:ascii="Times New Roman" w:hAnsi="Times New Roman" w:cs="Times New Roman"/>
          <w:b/>
          <w:sz w:val="28"/>
          <w:szCs w:val="28"/>
          <w:u w:val="single"/>
        </w:rPr>
        <w:t>B</w:t>
      </w:r>
      <w:r w:rsidRPr="00124F39">
        <w:rPr>
          <w:rFonts w:ascii="Times New Roman" w:hAnsi="Times New Roman" w:cs="Times New Roman"/>
          <w:b/>
          <w:sz w:val="28"/>
          <w:szCs w:val="28"/>
          <w:u w:val="single"/>
        </w:rPr>
        <w:t xml:space="preserve"> - </w:t>
      </w:r>
      <w:r w:rsidR="00994CC9" w:rsidRPr="00124F39">
        <w:rPr>
          <w:rFonts w:ascii="Times New Roman" w:hAnsi="Times New Roman" w:cs="Times New Roman"/>
          <w:b/>
          <w:sz w:val="28"/>
          <w:szCs w:val="28"/>
          <w:u w:val="single"/>
        </w:rPr>
        <w:t>References</w:t>
      </w:r>
      <w:r w:rsidR="00B855C7" w:rsidRPr="00124F39">
        <w:rPr>
          <w:rFonts w:ascii="Times New Roman" w:hAnsi="Times New Roman" w:cs="Times New Roman"/>
          <w:b/>
          <w:sz w:val="28"/>
          <w:szCs w:val="28"/>
          <w:u w:val="single"/>
        </w:rPr>
        <w:t xml:space="preserve"> </w:t>
      </w:r>
    </w:p>
    <w:p w14:paraId="372AABAF" w14:textId="77777777" w:rsidR="00994CC9" w:rsidRPr="0018592A" w:rsidRDefault="00994CC9" w:rsidP="00994CC9">
      <w:pPr>
        <w:pStyle w:val="Bulletblocked"/>
        <w:ind w:left="0"/>
        <w:rPr>
          <w:rFonts w:ascii="Times New Roman" w:hAnsi="Times New Roman"/>
          <w:szCs w:val="24"/>
        </w:rPr>
      </w:pPr>
      <w:r w:rsidRPr="0018592A">
        <w:rPr>
          <w:rFonts w:ascii="Times New Roman" w:hAnsi="Times New Roman"/>
          <w:szCs w:val="24"/>
        </w:rPr>
        <w:t xml:space="preserve">The references were </w:t>
      </w:r>
      <w:r w:rsidR="00F65823" w:rsidRPr="0018592A">
        <w:rPr>
          <w:rFonts w:ascii="Times New Roman" w:hAnsi="Times New Roman"/>
          <w:szCs w:val="24"/>
        </w:rPr>
        <w:t xml:space="preserve">revised to reflect the </w:t>
      </w:r>
      <w:r w:rsidRPr="0018592A">
        <w:rPr>
          <w:rFonts w:ascii="Times New Roman" w:hAnsi="Times New Roman"/>
          <w:szCs w:val="24"/>
        </w:rPr>
        <w:t>literature used for the full-scale package.</w:t>
      </w:r>
    </w:p>
    <w:p w14:paraId="79BBA9A7" w14:textId="77777777" w:rsidR="005346A2" w:rsidRDefault="005346A2" w:rsidP="00124F39">
      <w:pPr>
        <w:pStyle w:val="Title"/>
        <w:spacing w:after="120"/>
        <w:rPr>
          <w:rFonts w:ascii="Times New Roman" w:hAnsi="Times New Roman" w:cs="Times New Roman"/>
          <w:b/>
          <w:sz w:val="28"/>
          <w:szCs w:val="28"/>
          <w:u w:val="single"/>
        </w:rPr>
      </w:pPr>
    </w:p>
    <w:p w14:paraId="7B091FD4" w14:textId="5F7DD75B" w:rsidR="00712880" w:rsidRDefault="00417853" w:rsidP="00124F39">
      <w:pPr>
        <w:pStyle w:val="Title"/>
        <w:spacing w:after="120"/>
        <w:rPr>
          <w:rFonts w:ascii="Times New Roman" w:hAnsi="Times New Roman" w:cs="Times New Roman"/>
          <w:b/>
          <w:sz w:val="28"/>
          <w:szCs w:val="28"/>
          <w:u w:val="single"/>
        </w:rPr>
      </w:pPr>
      <w:r w:rsidRPr="00124F39">
        <w:rPr>
          <w:rFonts w:ascii="Times New Roman" w:hAnsi="Times New Roman" w:cs="Times New Roman"/>
          <w:b/>
          <w:sz w:val="28"/>
          <w:szCs w:val="28"/>
          <w:u w:val="single"/>
        </w:rPr>
        <w:t xml:space="preserve">Appendix </w:t>
      </w:r>
      <w:bookmarkEnd w:id="10"/>
      <w:r w:rsidRPr="00124F39">
        <w:rPr>
          <w:rFonts w:ascii="Times New Roman" w:hAnsi="Times New Roman" w:cs="Times New Roman"/>
          <w:b/>
          <w:sz w:val="28"/>
          <w:szCs w:val="28"/>
          <w:u w:val="single"/>
        </w:rPr>
        <w:t>A -</w:t>
      </w:r>
      <w:r w:rsidR="00712880">
        <w:rPr>
          <w:rFonts w:ascii="Times New Roman" w:hAnsi="Times New Roman" w:cs="Times New Roman"/>
          <w:b/>
          <w:sz w:val="28"/>
          <w:szCs w:val="28"/>
          <w:u w:val="single"/>
        </w:rPr>
        <w:t xml:space="preserve"> </w:t>
      </w:r>
      <w:r w:rsidRPr="00124F39">
        <w:rPr>
          <w:rFonts w:ascii="Times New Roman" w:hAnsi="Times New Roman" w:cs="Times New Roman"/>
          <w:b/>
          <w:sz w:val="28"/>
          <w:szCs w:val="28"/>
          <w:u w:val="single"/>
        </w:rPr>
        <w:t>Membership of the Technical Review Panel</w:t>
      </w:r>
    </w:p>
    <w:p w14:paraId="2816FE41" w14:textId="77777777" w:rsidR="00047E1B" w:rsidRPr="0018592A" w:rsidRDefault="00311355" w:rsidP="00417853">
      <w:pPr>
        <w:spacing w:after="120"/>
      </w:pPr>
      <w:r w:rsidRPr="0018592A">
        <w:t>The</w:t>
      </w:r>
      <w:r w:rsidR="00047E1B" w:rsidRPr="0018592A">
        <w:t xml:space="preserve"> </w:t>
      </w:r>
      <w:r w:rsidRPr="0018592A">
        <w:t>TRP members list presented in Appendix A was updated to reflect changes in membership and members’ contact information between TRP meeting 1 and TRP meeting 2.</w:t>
      </w:r>
    </w:p>
    <w:p w14:paraId="0D86A7D1" w14:textId="77777777" w:rsidR="005346A2" w:rsidRDefault="005346A2" w:rsidP="00124F39">
      <w:pPr>
        <w:pStyle w:val="Title"/>
        <w:spacing w:after="120"/>
        <w:rPr>
          <w:rFonts w:ascii="Times New Roman" w:hAnsi="Times New Roman" w:cs="Times New Roman"/>
          <w:b/>
          <w:sz w:val="28"/>
          <w:szCs w:val="28"/>
          <w:u w:val="single"/>
        </w:rPr>
      </w:pPr>
    </w:p>
    <w:p w14:paraId="1524CF5E" w14:textId="4DBE0305" w:rsidR="00712880" w:rsidRDefault="00417853" w:rsidP="00124F39">
      <w:pPr>
        <w:pStyle w:val="Title"/>
        <w:spacing w:after="120"/>
        <w:rPr>
          <w:rFonts w:ascii="Times New Roman" w:hAnsi="Times New Roman" w:cs="Times New Roman"/>
          <w:b/>
          <w:sz w:val="28"/>
          <w:szCs w:val="28"/>
          <w:u w:val="single"/>
        </w:rPr>
      </w:pPr>
      <w:r w:rsidRPr="00124F39">
        <w:rPr>
          <w:rFonts w:ascii="Times New Roman" w:hAnsi="Times New Roman" w:cs="Times New Roman"/>
          <w:b/>
          <w:sz w:val="28"/>
          <w:szCs w:val="28"/>
          <w:u w:val="single"/>
        </w:rPr>
        <w:t>Appendix B -</w:t>
      </w:r>
      <w:r w:rsidR="00712880">
        <w:rPr>
          <w:rFonts w:ascii="Times New Roman" w:hAnsi="Times New Roman" w:cs="Times New Roman"/>
          <w:b/>
          <w:sz w:val="28"/>
          <w:szCs w:val="28"/>
          <w:u w:val="single"/>
        </w:rPr>
        <w:t xml:space="preserve"> </w:t>
      </w:r>
      <w:r w:rsidRPr="00124F39">
        <w:rPr>
          <w:rFonts w:ascii="Times New Roman" w:hAnsi="Times New Roman" w:cs="Times New Roman"/>
          <w:b/>
          <w:sz w:val="28"/>
          <w:szCs w:val="28"/>
          <w:u w:val="single"/>
        </w:rPr>
        <w:t>Confidentiality for Administrative Record Matching</w:t>
      </w:r>
    </w:p>
    <w:p w14:paraId="40341520" w14:textId="45794DF8" w:rsidR="00712880" w:rsidRDefault="00047E1B" w:rsidP="00417853">
      <w:pPr>
        <w:spacing w:after="120"/>
      </w:pPr>
      <w:r w:rsidRPr="0018592A">
        <w:t>Changes in Appendix B include</w:t>
      </w:r>
      <w:r w:rsidR="009D3DFC">
        <w:t xml:space="preserve"> minor</w:t>
      </w:r>
      <w:r w:rsidRPr="0018592A">
        <w:t xml:space="preserve"> </w:t>
      </w:r>
      <w:r w:rsidR="00CF2C08" w:rsidRPr="0018592A">
        <w:t xml:space="preserve">editorial revisions </w:t>
      </w:r>
      <w:r w:rsidR="009D3DFC">
        <w:t xml:space="preserve">for clarity including moving text previously in a footnote from subsection </w:t>
      </w:r>
      <w:r w:rsidR="009D3DFC" w:rsidRPr="009D3DFC">
        <w:t>Secure Data Transfers</w:t>
      </w:r>
      <w:r w:rsidR="009D3DFC">
        <w:t xml:space="preserve"> into the text.</w:t>
      </w:r>
      <w:r w:rsidR="00CF2C08" w:rsidRPr="0018592A">
        <w:t xml:space="preserve"> </w:t>
      </w:r>
      <w:r w:rsidR="00D90798">
        <w:t xml:space="preserve">Additionally, the </w:t>
      </w:r>
      <w:r w:rsidR="00D90798" w:rsidRPr="00664484">
        <w:t>Processing Administrative Data</w:t>
      </w:r>
      <w:r w:rsidR="00D90798">
        <w:t xml:space="preserve"> section removes reference to </w:t>
      </w:r>
      <w:proofErr w:type="spellStart"/>
      <w:r w:rsidR="00D90798">
        <w:t>DataLab’s</w:t>
      </w:r>
      <w:proofErr w:type="spellEnd"/>
      <w:r w:rsidR="00D90798">
        <w:t xml:space="preserve"> </w:t>
      </w:r>
      <w:proofErr w:type="spellStart"/>
      <w:r w:rsidR="00D90798">
        <w:t>QuickStats</w:t>
      </w:r>
      <w:proofErr w:type="spellEnd"/>
      <w:r w:rsidR="00D90798">
        <w:t xml:space="preserve"> and </w:t>
      </w:r>
      <w:proofErr w:type="spellStart"/>
      <w:r w:rsidR="00D90798">
        <w:t>TrendStats</w:t>
      </w:r>
      <w:proofErr w:type="spellEnd"/>
      <w:r w:rsidR="00D90798">
        <w:t xml:space="preserve">, and a new sentence is added at the end of this section: </w:t>
      </w:r>
    </w:p>
    <w:p w14:paraId="59B103AD" w14:textId="76E6E2DB" w:rsidR="00D90798" w:rsidRPr="00D90798" w:rsidRDefault="00D90798" w:rsidP="00D90798">
      <w:pPr>
        <w:spacing w:after="120"/>
        <w:ind w:left="720"/>
        <w:rPr>
          <w:color w:val="00B050"/>
        </w:rPr>
      </w:pPr>
      <w:r w:rsidRPr="00D90798">
        <w:rPr>
          <w:color w:val="00B050"/>
        </w:rPr>
        <w:t>Data will also be used for locating sample members, for panel maintenance and communications encouraging survey participation.</w:t>
      </w:r>
    </w:p>
    <w:p w14:paraId="25E479AF" w14:textId="77777777" w:rsidR="005346A2" w:rsidRDefault="005346A2" w:rsidP="00124F39">
      <w:pPr>
        <w:pStyle w:val="Title"/>
        <w:spacing w:after="120"/>
        <w:rPr>
          <w:rFonts w:ascii="Times New Roman" w:hAnsi="Times New Roman" w:cs="Times New Roman"/>
          <w:b/>
          <w:sz w:val="28"/>
          <w:szCs w:val="28"/>
          <w:u w:val="single"/>
        </w:rPr>
      </w:pPr>
    </w:p>
    <w:p w14:paraId="78340431" w14:textId="67B34E4B" w:rsidR="00105D3A" w:rsidRDefault="00105D3A" w:rsidP="00105D3A">
      <w:pPr>
        <w:pStyle w:val="Title"/>
        <w:spacing w:after="120"/>
        <w:rPr>
          <w:rFonts w:ascii="Times New Roman" w:hAnsi="Times New Roman" w:cs="Times New Roman"/>
          <w:b/>
          <w:sz w:val="28"/>
          <w:szCs w:val="28"/>
          <w:u w:val="single"/>
        </w:rPr>
      </w:pPr>
      <w:r w:rsidRPr="00124F39">
        <w:rPr>
          <w:rFonts w:ascii="Times New Roman" w:hAnsi="Times New Roman" w:cs="Times New Roman"/>
          <w:b/>
          <w:sz w:val="28"/>
          <w:szCs w:val="28"/>
          <w:u w:val="single"/>
        </w:rPr>
        <w:t xml:space="preserve">Appendix </w:t>
      </w:r>
      <w:r>
        <w:rPr>
          <w:rFonts w:ascii="Times New Roman" w:hAnsi="Times New Roman" w:cs="Times New Roman"/>
          <w:b/>
          <w:sz w:val="28"/>
          <w:szCs w:val="28"/>
          <w:u w:val="single"/>
        </w:rPr>
        <w:t>C</w:t>
      </w:r>
      <w:r w:rsidRPr="00124F39">
        <w:rPr>
          <w:rFonts w:ascii="Times New Roman" w:hAnsi="Times New Roman" w:cs="Times New Roman"/>
          <w:b/>
          <w:sz w:val="28"/>
          <w:szCs w:val="28"/>
          <w:u w:val="single"/>
        </w:rPr>
        <w:t xml:space="preserve"> - </w:t>
      </w:r>
      <w:r w:rsidRPr="00AB6BF2">
        <w:rPr>
          <w:rFonts w:ascii="Times New Roman" w:hAnsi="Times New Roman" w:cs="Times New Roman"/>
          <w:b/>
          <w:sz w:val="28"/>
          <w:szCs w:val="28"/>
          <w:u w:val="single"/>
        </w:rPr>
        <w:t>Student Contacting Materials</w:t>
      </w:r>
    </w:p>
    <w:p w14:paraId="7A2F2862" w14:textId="3600528C" w:rsidR="00047E1B" w:rsidRPr="0018592A" w:rsidRDefault="009D3DFC" w:rsidP="00C12094">
      <w:pPr>
        <w:widowControl w:val="0"/>
        <w:spacing w:after="120"/>
      </w:pPr>
      <w:r>
        <w:t xml:space="preserve">Appendix C was </w:t>
      </w:r>
      <w:r w:rsidRPr="009D3DFC">
        <w:t>Student Contacting Materials</w:t>
      </w:r>
      <w:r>
        <w:t xml:space="preserve"> in the field test package</w:t>
      </w:r>
      <w:r w:rsidR="00105D3A">
        <w:t xml:space="preserve">, and now contains the Student Contacting </w:t>
      </w:r>
      <w:r w:rsidR="00105D3A" w:rsidRPr="006A0D43">
        <w:t>Materials for the full-scale study</w:t>
      </w:r>
      <w:r w:rsidRPr="006A0D43">
        <w:t xml:space="preserve">. </w:t>
      </w:r>
      <w:r w:rsidR="00105D3A" w:rsidRPr="006A0D43">
        <w:t>Changes in Appendix C reflect updates made for full-scale implementation. Communication materials have been included to accompany interventions new to the full-scale protocols, including the prepaid incentive, incentive boost, and an abbreviated interview. Additionally, the full-scale study will be offered in both English and Spanish</w:t>
      </w:r>
      <w:r w:rsidR="00105D3A" w:rsidRPr="0018592A">
        <w:t xml:space="preserve">, so </w:t>
      </w:r>
      <w:r w:rsidR="00105D3A">
        <w:t>new contacting materials in Spanish are added</w:t>
      </w:r>
      <w:r w:rsidR="00105D3A" w:rsidRPr="0018592A">
        <w:t xml:space="preserve">. Attachment </w:t>
      </w:r>
      <w:r w:rsidR="00105D3A">
        <w:t>2a</w:t>
      </w:r>
      <w:r w:rsidR="00105D3A" w:rsidRPr="0018592A">
        <w:t xml:space="preserve"> </w:t>
      </w:r>
      <w:r w:rsidR="00105D3A">
        <w:t xml:space="preserve">of this memo </w:t>
      </w:r>
      <w:r w:rsidR="00105D3A" w:rsidRPr="0018592A">
        <w:t xml:space="preserve">describes the </w:t>
      </w:r>
      <w:r w:rsidR="00105D3A">
        <w:t xml:space="preserve">types of </w:t>
      </w:r>
      <w:r w:rsidR="00105D3A" w:rsidRPr="0018592A">
        <w:t xml:space="preserve">changes </w:t>
      </w:r>
      <w:r w:rsidR="00105D3A">
        <w:t xml:space="preserve">systemically </w:t>
      </w:r>
      <w:r w:rsidR="00105D3A" w:rsidRPr="0018592A">
        <w:t xml:space="preserve">made </w:t>
      </w:r>
      <w:r w:rsidR="00105D3A">
        <w:t>in</w:t>
      </w:r>
      <w:r w:rsidR="00105D3A" w:rsidRPr="0018592A">
        <w:t xml:space="preserve"> the field test </w:t>
      </w:r>
      <w:r w:rsidR="00105D3A">
        <w:t xml:space="preserve">versions of </w:t>
      </w:r>
      <w:r w:rsidR="00105D3A" w:rsidRPr="0018592A">
        <w:t>contacting materials</w:t>
      </w:r>
      <w:r w:rsidR="00105D3A">
        <w:t xml:space="preserve"> to adapt them to</w:t>
      </w:r>
      <w:r w:rsidR="00105D3A" w:rsidRPr="0018592A">
        <w:t xml:space="preserve"> full-scale</w:t>
      </w:r>
      <w:r w:rsidR="00105D3A">
        <w:t xml:space="preserve">, and Attachment 2b describes changes made to and additions of specific contacting materials (beginning on page </w:t>
      </w:r>
      <w:r w:rsidR="00105D3A" w:rsidRPr="00AC14B7">
        <w:t>19</w:t>
      </w:r>
      <w:r w:rsidR="00105D3A">
        <w:t xml:space="preserve"> of this document)</w:t>
      </w:r>
      <w:r w:rsidR="00105D3A" w:rsidRPr="0018592A">
        <w:t>.</w:t>
      </w:r>
      <w:r w:rsidR="00105D3A">
        <w:t xml:space="preserve"> </w:t>
      </w:r>
    </w:p>
    <w:p w14:paraId="773AF150" w14:textId="77777777" w:rsidR="005346A2" w:rsidRDefault="005346A2" w:rsidP="00124F39">
      <w:pPr>
        <w:pStyle w:val="Title"/>
        <w:spacing w:after="120"/>
        <w:rPr>
          <w:rFonts w:ascii="Times New Roman" w:hAnsi="Times New Roman" w:cs="Times New Roman"/>
          <w:b/>
          <w:sz w:val="28"/>
          <w:szCs w:val="28"/>
          <w:u w:val="single"/>
        </w:rPr>
      </w:pPr>
    </w:p>
    <w:p w14:paraId="591F4D44" w14:textId="363753FB" w:rsidR="00105D3A" w:rsidRDefault="00105D3A" w:rsidP="00105D3A">
      <w:pPr>
        <w:pStyle w:val="Title"/>
        <w:spacing w:after="120"/>
        <w:rPr>
          <w:rFonts w:ascii="Times New Roman" w:hAnsi="Times New Roman" w:cs="Times New Roman"/>
          <w:b/>
          <w:sz w:val="28"/>
          <w:szCs w:val="28"/>
          <w:u w:val="single"/>
        </w:rPr>
      </w:pPr>
      <w:r w:rsidRPr="00124F39">
        <w:rPr>
          <w:rFonts w:ascii="Times New Roman" w:hAnsi="Times New Roman" w:cs="Times New Roman"/>
          <w:b/>
          <w:sz w:val="28"/>
          <w:szCs w:val="28"/>
          <w:u w:val="single"/>
        </w:rPr>
        <w:t xml:space="preserve">Appendix </w:t>
      </w:r>
      <w:r w:rsidR="000C1883">
        <w:rPr>
          <w:rFonts w:ascii="Times New Roman" w:hAnsi="Times New Roman" w:cs="Times New Roman"/>
          <w:b/>
          <w:sz w:val="28"/>
          <w:szCs w:val="28"/>
          <w:u w:val="single"/>
        </w:rPr>
        <w:t>D</w:t>
      </w:r>
      <w:r w:rsidRPr="00124F39">
        <w:rPr>
          <w:rFonts w:ascii="Times New Roman" w:hAnsi="Times New Roman" w:cs="Times New Roman"/>
          <w:b/>
          <w:sz w:val="28"/>
          <w:szCs w:val="28"/>
          <w:u w:val="single"/>
        </w:rPr>
        <w:t xml:space="preserve"> - </w:t>
      </w:r>
      <w:r w:rsidRPr="009D3DFC">
        <w:rPr>
          <w:rFonts w:ascii="Times New Roman" w:hAnsi="Times New Roman" w:cs="Times New Roman"/>
          <w:b/>
          <w:sz w:val="28"/>
          <w:szCs w:val="28"/>
          <w:u w:val="single"/>
        </w:rPr>
        <w:t>Results of the BPS:20/22 Field Test Experiments</w:t>
      </w:r>
    </w:p>
    <w:p w14:paraId="5980908E" w14:textId="1124EE15" w:rsidR="00AB6BF2" w:rsidRDefault="00AB6BF2" w:rsidP="00AB6BF2">
      <w:pPr>
        <w:spacing w:after="120"/>
      </w:pPr>
      <w:r>
        <w:t xml:space="preserve">Appendix D was the Cognitive Testing Report in the field test package, which is now replaced with Appendix </w:t>
      </w:r>
      <w:r w:rsidR="000C1883">
        <w:t>D</w:t>
      </w:r>
      <w:r>
        <w:t xml:space="preserve"> Results of the BPS:20/22 Field Test Experiments.</w:t>
      </w:r>
      <w:r w:rsidR="00505281" w:rsidRPr="0018592A">
        <w:t xml:space="preserve"> </w:t>
      </w:r>
      <w:r w:rsidR="00105D3A" w:rsidRPr="0018592A">
        <w:t xml:space="preserve">Appendix </w:t>
      </w:r>
      <w:r w:rsidR="000C1883">
        <w:t>D</w:t>
      </w:r>
      <w:r w:rsidR="00105D3A" w:rsidRPr="0018592A">
        <w:t xml:space="preserve"> presents a detailed description of the results of experiments conducted in the field test</w:t>
      </w:r>
      <w:r w:rsidR="00105D3A">
        <w:t>, and conceptually replaces the Appendix D Cognitive Testing Report from the field test package</w:t>
      </w:r>
      <w:r w:rsidR="00105D3A" w:rsidRPr="0018592A">
        <w:t>.</w:t>
      </w:r>
    </w:p>
    <w:p w14:paraId="2621DE69" w14:textId="3436849C" w:rsidR="00712880" w:rsidRDefault="00712880" w:rsidP="008C18B9">
      <w:pPr>
        <w:widowControl w:val="0"/>
        <w:spacing w:after="120"/>
      </w:pPr>
    </w:p>
    <w:p w14:paraId="3937CDD2" w14:textId="5DAB17A4" w:rsidR="00712880" w:rsidRDefault="00417853" w:rsidP="000D4838">
      <w:pPr>
        <w:pStyle w:val="Title"/>
        <w:rPr>
          <w:rFonts w:ascii="Times New Roman" w:hAnsi="Times New Roman" w:cs="Times New Roman"/>
          <w:b/>
          <w:sz w:val="28"/>
          <w:szCs w:val="28"/>
          <w:u w:val="single"/>
        </w:rPr>
      </w:pPr>
      <w:r w:rsidRPr="00124F39">
        <w:rPr>
          <w:rFonts w:ascii="Times New Roman" w:hAnsi="Times New Roman" w:cs="Times New Roman"/>
          <w:b/>
          <w:sz w:val="28"/>
          <w:szCs w:val="28"/>
          <w:u w:val="single"/>
        </w:rPr>
        <w:t xml:space="preserve">Appendix </w:t>
      </w:r>
      <w:r w:rsidR="00AB6BF2">
        <w:rPr>
          <w:rFonts w:ascii="Times New Roman" w:hAnsi="Times New Roman" w:cs="Times New Roman"/>
          <w:b/>
          <w:sz w:val="28"/>
          <w:szCs w:val="28"/>
          <w:u w:val="single"/>
        </w:rPr>
        <w:t>E</w:t>
      </w:r>
      <w:r w:rsidRPr="00124F39">
        <w:rPr>
          <w:rFonts w:ascii="Times New Roman" w:hAnsi="Times New Roman" w:cs="Times New Roman"/>
          <w:b/>
          <w:sz w:val="28"/>
          <w:szCs w:val="28"/>
          <w:u w:val="single"/>
        </w:rPr>
        <w:t xml:space="preserve"> - Survey </w:t>
      </w:r>
      <w:r w:rsidR="00AB6BF2">
        <w:rPr>
          <w:rFonts w:ascii="Times New Roman" w:hAnsi="Times New Roman" w:cs="Times New Roman"/>
          <w:b/>
          <w:sz w:val="28"/>
          <w:szCs w:val="28"/>
          <w:u w:val="single"/>
        </w:rPr>
        <w:t>Instrument</w:t>
      </w:r>
      <w:r w:rsidRPr="00124F39">
        <w:rPr>
          <w:rFonts w:ascii="Times New Roman" w:hAnsi="Times New Roman" w:cs="Times New Roman"/>
          <w:b/>
          <w:sz w:val="28"/>
          <w:szCs w:val="28"/>
          <w:u w:val="single"/>
        </w:rPr>
        <w:t>:</w:t>
      </w:r>
    </w:p>
    <w:p w14:paraId="1ED435EF" w14:textId="039AE1FC" w:rsidR="00C12094" w:rsidRDefault="00047E1B" w:rsidP="00B84E3B">
      <w:pPr>
        <w:pStyle w:val="BodyText"/>
        <w:rPr>
          <w:rFonts w:ascii="Times New Roman" w:hAnsi="Times New Roman"/>
        </w:rPr>
      </w:pPr>
      <w:r w:rsidRPr="0018592A">
        <w:rPr>
          <w:rFonts w:ascii="Times New Roman" w:hAnsi="Times New Roman"/>
        </w:rPr>
        <w:t xml:space="preserve">Changes in Appendix </w:t>
      </w:r>
      <w:r w:rsidR="00AB6BF2">
        <w:rPr>
          <w:rFonts w:ascii="Times New Roman" w:hAnsi="Times New Roman"/>
        </w:rPr>
        <w:t>E</w:t>
      </w:r>
      <w:r w:rsidRPr="0018592A">
        <w:rPr>
          <w:rFonts w:ascii="Times New Roman" w:hAnsi="Times New Roman"/>
        </w:rPr>
        <w:t xml:space="preserve"> include </w:t>
      </w:r>
      <w:r w:rsidR="001C42C7" w:rsidRPr="0018592A">
        <w:rPr>
          <w:rFonts w:ascii="Times New Roman" w:hAnsi="Times New Roman"/>
        </w:rPr>
        <w:t xml:space="preserve">revisions to the full-scale </w:t>
      </w:r>
      <w:r w:rsidR="001A004C" w:rsidRPr="0018592A">
        <w:rPr>
          <w:rFonts w:ascii="Times New Roman" w:hAnsi="Times New Roman"/>
        </w:rPr>
        <w:t xml:space="preserve">instrument based on field test survey results, and feedback from the latest </w:t>
      </w:r>
      <w:r w:rsidR="00AB6BF2">
        <w:rPr>
          <w:rFonts w:ascii="Times New Roman" w:hAnsi="Times New Roman"/>
        </w:rPr>
        <w:t>BPS:20/22</w:t>
      </w:r>
      <w:r w:rsidR="001A004C" w:rsidRPr="0018592A">
        <w:rPr>
          <w:rFonts w:ascii="Times New Roman" w:hAnsi="Times New Roman"/>
        </w:rPr>
        <w:t xml:space="preserve"> Technical Review Panel (TRP) meeting held in </w:t>
      </w:r>
      <w:r w:rsidR="00E06303">
        <w:rPr>
          <w:rFonts w:ascii="Times New Roman" w:hAnsi="Times New Roman"/>
        </w:rPr>
        <w:t>July</w:t>
      </w:r>
      <w:r w:rsidR="001A004C" w:rsidRPr="0018592A">
        <w:rPr>
          <w:rFonts w:ascii="Times New Roman" w:hAnsi="Times New Roman"/>
        </w:rPr>
        <w:t xml:space="preserve"> 20</w:t>
      </w:r>
      <w:r w:rsidR="00E06303">
        <w:rPr>
          <w:rFonts w:ascii="Times New Roman" w:hAnsi="Times New Roman"/>
        </w:rPr>
        <w:t>21</w:t>
      </w:r>
      <w:r w:rsidR="001A004C" w:rsidRPr="0018592A">
        <w:rPr>
          <w:rFonts w:ascii="Times New Roman" w:hAnsi="Times New Roman"/>
        </w:rPr>
        <w:t>. Revisions to the survey are intended to reflect current research goals, reduce respondent burden, and improve data quality.</w:t>
      </w:r>
      <w:r w:rsidR="005C4003" w:rsidRPr="0018592A">
        <w:rPr>
          <w:rFonts w:ascii="Times New Roman" w:hAnsi="Times New Roman"/>
        </w:rPr>
        <w:t xml:space="preserve"> Table 1 in Appendix </w:t>
      </w:r>
      <w:r w:rsidR="00E06303">
        <w:rPr>
          <w:rFonts w:ascii="Times New Roman" w:hAnsi="Times New Roman"/>
        </w:rPr>
        <w:t>E</w:t>
      </w:r>
      <w:r w:rsidR="005C4003" w:rsidRPr="0018592A">
        <w:rPr>
          <w:rFonts w:ascii="Times New Roman" w:hAnsi="Times New Roman"/>
        </w:rPr>
        <w:t xml:space="preserve"> </w:t>
      </w:r>
      <w:r w:rsidR="00DB4342">
        <w:rPr>
          <w:rFonts w:ascii="Times New Roman" w:hAnsi="Times New Roman"/>
        </w:rPr>
        <w:t xml:space="preserve">(pp. </w:t>
      </w:r>
      <w:r w:rsidR="00E06303">
        <w:rPr>
          <w:rFonts w:ascii="Times New Roman" w:hAnsi="Times New Roman"/>
        </w:rPr>
        <w:t>E</w:t>
      </w:r>
      <w:r w:rsidR="00DB4342">
        <w:rPr>
          <w:rFonts w:ascii="Times New Roman" w:hAnsi="Times New Roman"/>
        </w:rPr>
        <w:t xml:space="preserve">3 to </w:t>
      </w:r>
      <w:r w:rsidR="00E06303">
        <w:rPr>
          <w:rFonts w:ascii="Times New Roman" w:hAnsi="Times New Roman"/>
        </w:rPr>
        <w:t>E</w:t>
      </w:r>
      <w:r w:rsidR="00DB4342">
        <w:rPr>
          <w:rFonts w:ascii="Times New Roman" w:hAnsi="Times New Roman"/>
        </w:rPr>
        <w:t xml:space="preserve">10) </w:t>
      </w:r>
      <w:r w:rsidR="005C4003" w:rsidRPr="0018592A">
        <w:rPr>
          <w:rFonts w:ascii="Times New Roman" w:hAnsi="Times New Roman"/>
        </w:rPr>
        <w:t xml:space="preserve">provides a summary of the content of the </w:t>
      </w:r>
      <w:r w:rsidR="00E06303">
        <w:rPr>
          <w:rFonts w:ascii="Times New Roman" w:hAnsi="Times New Roman"/>
        </w:rPr>
        <w:t>BPS:20/22</w:t>
      </w:r>
      <w:r w:rsidR="005C4003" w:rsidRPr="0018592A">
        <w:rPr>
          <w:rFonts w:ascii="Times New Roman" w:hAnsi="Times New Roman"/>
        </w:rPr>
        <w:t xml:space="preserve"> full-scale student survey. A change field </w:t>
      </w:r>
      <w:r w:rsidR="00DB4342">
        <w:rPr>
          <w:rFonts w:ascii="Times New Roman" w:hAnsi="Times New Roman"/>
        </w:rPr>
        <w:t xml:space="preserve">column in this table </w:t>
      </w:r>
      <w:r w:rsidR="005C4003" w:rsidRPr="0018592A">
        <w:rPr>
          <w:rFonts w:ascii="Times New Roman" w:hAnsi="Times New Roman"/>
        </w:rPr>
        <w:t xml:space="preserve">and font color coding </w:t>
      </w:r>
      <w:r w:rsidR="00E06303" w:rsidRPr="0018592A">
        <w:rPr>
          <w:rFonts w:ascii="Times New Roman" w:hAnsi="Times New Roman"/>
        </w:rPr>
        <w:t>indicates</w:t>
      </w:r>
      <w:r w:rsidR="005C4003" w:rsidRPr="0018592A">
        <w:rPr>
          <w:rFonts w:ascii="Times New Roman" w:hAnsi="Times New Roman"/>
        </w:rPr>
        <w:t xml:space="preserve"> whether items have remained the same (</w:t>
      </w:r>
      <w:r w:rsidR="005C4003" w:rsidRPr="0018592A">
        <w:rPr>
          <w:rFonts w:ascii="Times New Roman" w:hAnsi="Times New Roman"/>
          <w:b/>
        </w:rPr>
        <w:t>black</w:t>
      </w:r>
      <w:r w:rsidR="005C4003" w:rsidRPr="0018592A">
        <w:rPr>
          <w:rFonts w:ascii="Times New Roman" w:hAnsi="Times New Roman"/>
        </w:rPr>
        <w:t xml:space="preserve">) compared to the </w:t>
      </w:r>
      <w:r w:rsidR="00E06303">
        <w:rPr>
          <w:rFonts w:ascii="Times New Roman" w:hAnsi="Times New Roman"/>
        </w:rPr>
        <w:t>BPS:20/22</w:t>
      </w:r>
      <w:r w:rsidR="005C4003" w:rsidRPr="0018592A">
        <w:rPr>
          <w:rFonts w:ascii="Times New Roman" w:hAnsi="Times New Roman"/>
        </w:rPr>
        <w:t xml:space="preserve"> field test survey, were revised (</w:t>
      </w:r>
      <w:r w:rsidR="005C4003" w:rsidRPr="0018592A">
        <w:rPr>
          <w:rFonts w:ascii="Times New Roman" w:hAnsi="Times New Roman"/>
          <w:b/>
          <w:color w:val="7030A0"/>
        </w:rPr>
        <w:t>purple</w:t>
      </w:r>
      <w:r w:rsidR="005C4003" w:rsidRPr="0018592A">
        <w:rPr>
          <w:rFonts w:ascii="Times New Roman" w:hAnsi="Times New Roman"/>
        </w:rPr>
        <w:t>), dropped (</w:t>
      </w:r>
      <w:r w:rsidR="005C4003" w:rsidRPr="0018592A">
        <w:rPr>
          <w:rFonts w:ascii="Times New Roman" w:hAnsi="Times New Roman"/>
          <w:b/>
          <w:color w:val="FF0000"/>
        </w:rPr>
        <w:t>red</w:t>
      </w:r>
      <w:r w:rsidR="005C4003" w:rsidRPr="0018592A">
        <w:rPr>
          <w:rFonts w:ascii="Times New Roman" w:hAnsi="Times New Roman"/>
        </w:rPr>
        <w:t>), or added (</w:t>
      </w:r>
      <w:r w:rsidR="005C4003" w:rsidRPr="0018592A">
        <w:rPr>
          <w:rFonts w:ascii="Times New Roman" w:hAnsi="Times New Roman"/>
          <w:b/>
          <w:color w:val="00B050"/>
        </w:rPr>
        <w:t>green</w:t>
      </w:r>
      <w:r w:rsidR="005C4003" w:rsidRPr="0018592A">
        <w:rPr>
          <w:rFonts w:ascii="Times New Roman" w:hAnsi="Times New Roman"/>
        </w:rPr>
        <w:t xml:space="preserve">). In response to recommendations made at the latest </w:t>
      </w:r>
      <w:r w:rsidR="00E06303">
        <w:rPr>
          <w:rFonts w:ascii="Times New Roman" w:hAnsi="Times New Roman"/>
        </w:rPr>
        <w:t>BPS:20/22</w:t>
      </w:r>
      <w:r w:rsidR="005C4003" w:rsidRPr="0018592A">
        <w:rPr>
          <w:rFonts w:ascii="Times New Roman" w:hAnsi="Times New Roman"/>
        </w:rPr>
        <w:t xml:space="preserve"> TRP, a few items have been added to the </w:t>
      </w:r>
      <w:r w:rsidR="00E06303">
        <w:rPr>
          <w:rFonts w:ascii="Times New Roman" w:hAnsi="Times New Roman"/>
        </w:rPr>
        <w:t>BPS:20/22</w:t>
      </w:r>
      <w:r w:rsidR="005C4003" w:rsidRPr="0018592A">
        <w:rPr>
          <w:rFonts w:ascii="Times New Roman" w:hAnsi="Times New Roman"/>
        </w:rPr>
        <w:t xml:space="preserve"> full-scale survey </w:t>
      </w:r>
      <w:proofErr w:type="gramStart"/>
      <w:r w:rsidR="005C4003" w:rsidRPr="0018592A">
        <w:rPr>
          <w:rFonts w:ascii="Times New Roman" w:hAnsi="Times New Roman"/>
        </w:rPr>
        <w:t>including:</w:t>
      </w:r>
      <w:proofErr w:type="gramEnd"/>
      <w:r w:rsidR="005C4003" w:rsidRPr="0018592A">
        <w:rPr>
          <w:rFonts w:ascii="Times New Roman" w:hAnsi="Times New Roman"/>
        </w:rPr>
        <w:t xml:space="preserve"> items </w:t>
      </w:r>
      <w:r w:rsidR="00E06303">
        <w:rPr>
          <w:rFonts w:ascii="Times New Roman" w:hAnsi="Times New Roman"/>
        </w:rPr>
        <w:t>collecting additional information about the impacts of the coronavirus pandemic</w:t>
      </w:r>
      <w:r w:rsidR="005C4003" w:rsidRPr="0018592A">
        <w:rPr>
          <w:rFonts w:ascii="Times New Roman" w:hAnsi="Times New Roman"/>
        </w:rPr>
        <w:t>, new items that will improve data quality</w:t>
      </w:r>
      <w:r w:rsidR="00E06303">
        <w:rPr>
          <w:rFonts w:ascii="Times New Roman" w:hAnsi="Times New Roman"/>
        </w:rPr>
        <w:t xml:space="preserve"> for the abbreviated survey respondents, and a new language preference form to determine whether the survey will be administered in English or Spanish</w:t>
      </w:r>
      <w:r w:rsidR="00DB4342">
        <w:rPr>
          <w:rFonts w:ascii="Times New Roman" w:hAnsi="Times New Roman"/>
        </w:rPr>
        <w:t>.</w:t>
      </w:r>
    </w:p>
    <w:p w14:paraId="67DC37B1" w14:textId="789C56CA" w:rsidR="0045347B" w:rsidRDefault="0045347B" w:rsidP="00B84E3B">
      <w:pPr>
        <w:pStyle w:val="BodyText"/>
        <w:rPr>
          <w:rFonts w:ascii="Times New Roman" w:hAnsi="Times New Roman"/>
        </w:rPr>
      </w:pPr>
      <w:r>
        <w:rPr>
          <w:rFonts w:ascii="Times New Roman" w:hAnsi="Times New Roman"/>
        </w:rPr>
        <w:t>Additionally, following the English survey instrument, Appendix E includes the new Spanish abbreviated survey instrument.</w:t>
      </w:r>
    </w:p>
    <w:p w14:paraId="4E25C513" w14:textId="77777777" w:rsidR="00C12094" w:rsidRDefault="00C12094" w:rsidP="00B84E3B">
      <w:pPr>
        <w:pStyle w:val="BodyText"/>
        <w:rPr>
          <w:rFonts w:ascii="Times New Roman" w:hAnsi="Times New Roman"/>
        </w:rPr>
      </w:pPr>
    </w:p>
    <w:p w14:paraId="4D2977CE" w14:textId="77777777" w:rsidR="005346A2" w:rsidRDefault="005346A2">
      <w:pPr>
        <w:spacing w:after="200" w:line="276" w:lineRule="auto"/>
        <w:rPr>
          <w:rFonts w:ascii="Arial" w:hAnsi="Arial" w:cs="Arial"/>
          <w:b/>
          <w:sz w:val="28"/>
          <w:szCs w:val="20"/>
        </w:rPr>
      </w:pPr>
      <w:r>
        <w:br w:type="page"/>
      </w:r>
    </w:p>
    <w:p w14:paraId="1A064D09" w14:textId="0D9CA318" w:rsidR="00056503" w:rsidRDefault="00056503" w:rsidP="00B84E3B">
      <w:pPr>
        <w:pStyle w:val="Heading1"/>
        <w:numPr>
          <w:ilvl w:val="0"/>
          <w:numId w:val="0"/>
        </w:numPr>
      </w:pPr>
      <w:r>
        <w:lastRenderedPageBreak/>
        <w:t>Attachment 1 – B.4. Tests of Procedure and Methods</w:t>
      </w:r>
      <w:r w:rsidR="00297D28">
        <w:t xml:space="preserve"> </w:t>
      </w:r>
      <w:r w:rsidR="00297D28" w:rsidRPr="00297D28">
        <w:rPr>
          <w:b w:val="0"/>
          <w:sz w:val="26"/>
          <w:szCs w:val="26"/>
        </w:rPr>
        <w:t>(copy of the revised section)</w:t>
      </w:r>
    </w:p>
    <w:p w14:paraId="03BF168E" w14:textId="77777777" w:rsidR="000228B0" w:rsidRPr="000228B0" w:rsidRDefault="000228B0" w:rsidP="000228B0">
      <w:pPr>
        <w:rPr>
          <w:b/>
          <w:bCs/>
          <w:sz w:val="48"/>
          <w:szCs w:val="48"/>
        </w:rPr>
      </w:pPr>
      <w:bookmarkStart w:id="12" w:name="_Toc84855322"/>
      <w:r w:rsidRPr="000228B0">
        <w:rPr>
          <w:b/>
          <w:bCs/>
        </w:rPr>
        <w:t>Section 4. Tests of Procedure</w:t>
      </w:r>
      <w:bookmarkEnd w:id="12"/>
    </w:p>
    <w:p w14:paraId="54D0EDD2" w14:textId="77777777" w:rsidR="000228B0" w:rsidRPr="000228B0" w:rsidRDefault="000228B0" w:rsidP="000228B0">
      <w:pPr>
        <w:pStyle w:val="NormalWeb"/>
        <w:rPr>
          <w:rFonts w:eastAsiaTheme="minorEastAsia"/>
          <w:color w:val="000000"/>
        </w:rPr>
      </w:pPr>
      <w:r w:rsidRPr="000228B0">
        <w:rPr>
          <w:color w:val="000000"/>
        </w:rPr>
        <w:t>Included in this section is information describing any tests of procedures or methods that will be undertaken.</w:t>
      </w:r>
    </w:p>
    <w:p w14:paraId="31E69D91" w14:textId="36DA8FAD" w:rsidR="000228B0" w:rsidRDefault="000228B0" w:rsidP="000228B0">
      <w:pPr>
        <w:pStyle w:val="NormalWeb"/>
        <w:rPr>
          <w:color w:val="000000"/>
        </w:rPr>
      </w:pPr>
      <w:proofErr w:type="gramStart"/>
      <w:r w:rsidRPr="000228B0">
        <w:rPr>
          <w:color w:val="000000"/>
        </w:rPr>
        <w:t>During the course of</w:t>
      </w:r>
      <w:proofErr w:type="gramEnd"/>
      <w:r w:rsidRPr="000228B0">
        <w:rPr>
          <w:color w:val="000000"/>
        </w:rPr>
        <w:t xml:space="preserve"> this data collection, the following experiment(s) will be undertaken. The BPS:20/22 field test included two sets of experiments: data collection experiments focused on survey participation to reduce nonresponse error and the potential for nonresponse bias, and questionnaire design experiments focused on minimizing measurement error to improve data quality. The full-scale data collection design described below will implement the tested approaches, revised based on the BPS:20/22 field test results described in Section 4.a. </w:t>
      </w:r>
      <w:r w:rsidRPr="000228B0">
        <w:rPr>
          <w:color w:val="000000"/>
        </w:rPr>
        <w:br/>
      </w:r>
      <w:r w:rsidRPr="000228B0">
        <w:rPr>
          <w:color w:val="000000"/>
        </w:rPr>
        <w:br/>
      </w:r>
      <w:r w:rsidRPr="000228B0">
        <w:rPr>
          <w:b/>
          <w:bCs/>
          <w:color w:val="000000"/>
        </w:rPr>
        <w:t>a. Summary of BPS:20/22 Field Test Data Collection Design and Results</w:t>
      </w:r>
      <w:r w:rsidRPr="000228B0">
        <w:rPr>
          <w:color w:val="000000"/>
        </w:rPr>
        <w:br/>
      </w:r>
      <w:r w:rsidRPr="000228B0">
        <w:rPr>
          <w:color w:val="000000"/>
        </w:rPr>
        <w:br/>
        <w:t xml:space="preserve">The BPS:20/22 field test contained two data collection experiments and two questionnaire design experiments. The results of these field test experiments are summarized below. For detailed results of the BPS:20/22 field test experiments, see Appendix </w:t>
      </w:r>
      <w:r w:rsidR="00A55D7A">
        <w:rPr>
          <w:color w:val="000000"/>
        </w:rPr>
        <w:t>D</w:t>
      </w:r>
      <w:r w:rsidRPr="000228B0">
        <w:rPr>
          <w:color w:val="000000"/>
        </w:rPr>
        <w:t>.</w:t>
      </w:r>
      <w:r w:rsidRPr="000228B0">
        <w:rPr>
          <w:color w:val="000000"/>
        </w:rPr>
        <w:br/>
      </w:r>
      <w:r w:rsidRPr="000228B0">
        <w:rPr>
          <w:color w:val="000000"/>
        </w:rPr>
        <w:br/>
        <w:t xml:space="preserve">The data collection experiments explored the effectiveness of 1) offering an extra incentive for early survey completion, and 2) sending survey reminders via text messages. Results from these data collection experiments provide insight in preparation for the full-scale study regarding the effectiveness of these interventions across three data quality indicators: survey response (operationalized using response rates), sample representativeness (assessed across age, sex, ethnicity, race, and institutional control), and data collection efficiency (operationalized as the number of the days between the start of the experiment and survey completion). </w:t>
      </w:r>
      <w:r w:rsidRPr="000228B0">
        <w:rPr>
          <w:color w:val="000000"/>
        </w:rPr>
        <w:br/>
      </w:r>
      <w:r w:rsidRPr="000228B0">
        <w:rPr>
          <w:color w:val="000000"/>
        </w:rPr>
        <w:br/>
        <w:t>The “early bird” incentive experiment investigated the effectiveness of giving respondents an additional $5 incentive if they completed the survey within the first three weeks of data collection (experimental group) versus no additional incentive (control group). Response rates at the end of data collection did not differ across the early bird group (63.9 percent) and the control group (63.4 percent; X2 = 0.08, p = .78). Both the early bird and control groups had similar representativeness across age, sex, ethnicity, race, and institutional control. At the end of data collection, respondents in the early bird group took significantly fewer days (28.1 days) than respondents in the control group (30.9 days) to complete the survey (</w:t>
      </w:r>
      <w:proofErr w:type="gramStart"/>
      <w:r w:rsidRPr="000228B0">
        <w:rPr>
          <w:color w:val="000000"/>
        </w:rPr>
        <w:t>t(</w:t>
      </w:r>
      <w:proofErr w:type="gramEnd"/>
      <w:r w:rsidRPr="000228B0">
        <w:rPr>
          <w:color w:val="000000"/>
        </w:rPr>
        <w:t>2,231.7) = 2.09, p &lt; 0.05). However, this difference is small (2.8 days), and not long enough to allow for any significant cost savings in the data collection process (e.g., via fewer reminder calls, texts, or mailings). Therefore, the use of an early bird incentive in the BPS:20/22 full-scale data collection is not recommended.</w:t>
      </w:r>
      <w:r w:rsidRPr="000228B0">
        <w:rPr>
          <w:color w:val="000000"/>
        </w:rPr>
        <w:br/>
      </w:r>
      <w:r w:rsidRPr="000228B0">
        <w:rPr>
          <w:color w:val="000000"/>
        </w:rPr>
        <w:br/>
        <w:t xml:space="preserve">The reminder mode experiment compared the effectiveness of using text message reminders (experimental group) versus telephone call reminders (control group). Response rates at the end of data collection for the text message group (29.6 percent) and the telephone group (31.5 percent) did not significantly differ (X2 = 0.83, p = 0.36). In the telephone reminder group, the percentage of white respondents (74.1 percent) significantly differed from the percentage of white nonrespondents (64.5 percent; X2 = 7.40, p &lt; 0.01), indicating a potential source of nonresponse bias. For the text message reminder group, there was not a significant difference between the percentage of White respondents (65.3 percent) and nonrespondents (63.3 percent) (X2 = 0.28, p = 0.60), indicating better sample representativeness. The text message and telephone groups had similar representativeness across the remaining respondent characteristics: age, sex, ethnicity, and institutional control. </w:t>
      </w:r>
      <w:r w:rsidRPr="000228B0">
        <w:rPr>
          <w:color w:val="000000"/>
        </w:rPr>
        <w:br/>
      </w:r>
      <w:r w:rsidRPr="000228B0">
        <w:rPr>
          <w:color w:val="000000"/>
        </w:rPr>
        <w:br/>
        <w:t xml:space="preserve">Finally, the number of days it took for respondents in the text message reminder group to complete the survey (75.5 days) was not significantly different from the telephone reminder group (77.0 days; </w:t>
      </w:r>
      <w:proofErr w:type="gramStart"/>
      <w:r w:rsidRPr="000228B0">
        <w:rPr>
          <w:color w:val="000000"/>
        </w:rPr>
        <w:t>t(</w:t>
      </w:r>
      <w:proofErr w:type="gramEnd"/>
      <w:r w:rsidRPr="000228B0">
        <w:rPr>
          <w:color w:val="000000"/>
        </w:rPr>
        <w:t xml:space="preserve">542.8) = 0.62, p = 0.27). As text message reminders achieved response rates, representativeness, and efficiency that </w:t>
      </w:r>
      <w:r w:rsidRPr="000228B0">
        <w:rPr>
          <w:color w:val="000000"/>
        </w:rPr>
        <w:lastRenderedPageBreak/>
        <w:t>was comparable to more expensive telephone reminders, the use of text reminders (coupled with telephone reminders as described in Section 4.b) is recommended as a part of the BPS:20/22 full-scale data collection.</w:t>
      </w:r>
      <w:r w:rsidRPr="000228B0">
        <w:rPr>
          <w:color w:val="000000"/>
        </w:rPr>
        <w:br/>
      </w:r>
      <w:r w:rsidRPr="000228B0">
        <w:rPr>
          <w:color w:val="000000"/>
        </w:rPr>
        <w:br/>
        <w:t xml:space="preserve">The questionnaire design experiments explored the effectiveness of 1) different methods for collecting enrollment data, and 2) using a predictive search database on a question collecting address information. In addition, information about the impacts of the coronavirus pandemic was collected by randomly assigning respondents one of two separate topical modules to maximize the number of questions fielded without increasing burden. Results from these questionnaire collection experiments provide insight in preparation for the full-scale study regarding the effectiveness of these methods across three data quality indicators: missingness (operationalized as item- and question-level nonresponse rate), administrative data concordance (operationalized as agreement rates between self-reported enrollment and administrative records; month-level enrollment intensity experiment only), and timing burden (operationalized as the mean complete time at the question level). </w:t>
      </w:r>
      <w:r w:rsidRPr="000228B0">
        <w:rPr>
          <w:color w:val="000000"/>
        </w:rPr>
        <w:br/>
      </w:r>
      <w:r w:rsidRPr="000228B0">
        <w:rPr>
          <w:color w:val="000000"/>
        </w:rPr>
        <w:br/>
        <w:t>The month-level enrollment intensity experiment compared two methods for collecting enrollment information in the 2020-21 academic year: a single forced-choice grid question that displayed all enrollment intensities (i.e., full-time, part-time, mixed, and no enrollment) on one form (control group) and separate yes/no radio gates for full-time and part-time enrollment (experimental group). There were no statistically significant differences across the control and treatment conditions on rates of missingness (0 percent and 0.03 percent missing, respectively (</w:t>
      </w:r>
      <w:proofErr w:type="gramStart"/>
      <w:r w:rsidRPr="000228B0">
        <w:rPr>
          <w:color w:val="000000"/>
        </w:rPr>
        <w:t>t(</w:t>
      </w:r>
      <w:proofErr w:type="gramEnd"/>
      <w:r w:rsidRPr="000228B0">
        <w:rPr>
          <w:color w:val="000000"/>
        </w:rPr>
        <w:t xml:space="preserve">636) = 1.42, p = 0.1575)) or agreement rates with administrative enrollment data (70.0 percent agreement and 70.6 percent agreement, respectively (t(1311.1) = 0.24, p = 0.8119)). On average, the treatment group took significantly longer to complete the enrollment question (17.2 seconds) than the control group (10.5 seconds; </w:t>
      </w:r>
      <w:proofErr w:type="gramStart"/>
      <w:r w:rsidRPr="000228B0">
        <w:rPr>
          <w:color w:val="000000"/>
        </w:rPr>
        <w:t>t(</w:t>
      </w:r>
      <w:proofErr w:type="gramEnd"/>
      <w:r w:rsidRPr="000228B0">
        <w:rPr>
          <w:color w:val="000000"/>
        </w:rPr>
        <w:t xml:space="preserve">1312.8) = 15.47, p &lt; .0001), though this difference is expected given the additional screen respondents must navigate in the experimental group. As the experimental question did not represent a clear improvement over the original forced-choice grid, the use of the original question is recommended BPS:20/22 full-scale data collection. </w:t>
      </w:r>
      <w:r w:rsidRPr="000228B0">
        <w:rPr>
          <w:color w:val="000000"/>
        </w:rPr>
        <w:br/>
      </w:r>
      <w:r w:rsidRPr="000228B0">
        <w:rPr>
          <w:color w:val="000000"/>
        </w:rPr>
        <w:br/>
        <w:t>The predictive search address database experiment explored the utility of suggesting USPS-standardized addresses to respondents as they entered their address into the survey. This analysis compares address entry for the same set of respondents across the BPS:20/22 field test (using the database-assisted predictive search method) and the NPSAS:20 full-scale survey (using traditional, manual address entry). Overall, 98 percent of respondents provided a complete permanent address using the manual method in NPSAS:20, compared to 85 percent using the predictive search method in BPS:20/22 field test (</w:t>
      </w:r>
      <w:proofErr w:type="gramStart"/>
      <w:r w:rsidRPr="000228B0">
        <w:rPr>
          <w:color w:val="000000"/>
        </w:rPr>
        <w:t>t(</w:t>
      </w:r>
      <w:proofErr w:type="gramEnd"/>
      <w:r w:rsidRPr="000228B0">
        <w:rPr>
          <w:color w:val="000000"/>
        </w:rPr>
        <w:t xml:space="preserve">2023.5) = 13.88, p &lt; .0001). However, it should be noted that addresses obtained using the predictive search method were error-free (0 percent of FTB check addresses were undeliverable), while 1.2 percent of addresses obtained using the manual method were undeliverable. Also, additional improvements to the survey instrument (e.g., soft check validations for incomplete addresses) may further reduce rates of missingness for the predictive search method. Finally, on average, respondents took longer to provide their address using manual entry (29.5 seconds) compared to the predictive search system (27.1 seconds; </w:t>
      </w:r>
      <w:proofErr w:type="gramStart"/>
      <w:r w:rsidRPr="000228B0">
        <w:rPr>
          <w:color w:val="000000"/>
        </w:rPr>
        <w:t>t(</w:t>
      </w:r>
      <w:proofErr w:type="gramEnd"/>
      <w:r w:rsidRPr="000228B0">
        <w:rPr>
          <w:color w:val="000000"/>
        </w:rPr>
        <w:t>3055.7) = 4.09, p &lt; .0001). Given the higher quality data resulting from the predictive search method, the potential to improve the predictive search method via instrument adjustments, and the significant reduction in completion time compared to manual entry, the continuation of predictive search method is proposed for BPS:20/22 full-scale.</w:t>
      </w:r>
      <w:r w:rsidRPr="000228B0">
        <w:rPr>
          <w:color w:val="000000"/>
        </w:rPr>
        <w:br/>
      </w:r>
      <w:r w:rsidRPr="000228B0">
        <w:rPr>
          <w:color w:val="000000"/>
        </w:rPr>
        <w:br/>
        <w:t xml:space="preserve">Given the impact of the coronavirus pandemic on higher education, researchers have expressed interest in using BPS:20/22 data to examine these impacts on postsecondary students. BPS:20/22 field test respondents were randomly assigned into two groups that received one of two modules. Each module measured similar constructs, however, module one consisted of survey questions from NPSAS:20 that measured student academic, social, and personal experiences related to the coronavirus pandemic, and module two collected a new set of constructs, including changes in enrollment and borrowing, changes in academic engagement, and access to support resources, that may be of analytic value to researchers and policymakers. Across both modules, the average item nonresponse rate was 2 percent. Module one had an average nonresponse rate of 3 </w:t>
      </w:r>
      <w:r w:rsidRPr="000228B0">
        <w:rPr>
          <w:color w:val="000000"/>
        </w:rPr>
        <w:lastRenderedPageBreak/>
        <w:t>percent, significantly higher than the 0.6 percent nonresponse rate of module two (</w:t>
      </w:r>
      <w:proofErr w:type="gramStart"/>
      <w:r w:rsidRPr="000228B0">
        <w:rPr>
          <w:color w:val="000000"/>
        </w:rPr>
        <w:t>t(</w:t>
      </w:r>
      <w:proofErr w:type="gramEnd"/>
      <w:r w:rsidRPr="000228B0">
        <w:rPr>
          <w:color w:val="000000"/>
        </w:rPr>
        <w:t>836.72) = 5.16, p &lt; .0001). Regardless of module assignment, the coronavirus pandemic questions took respondents an average of 2.7 minutes to complete. The BPS:20/22 full-scale survey instrument will administer a subset of the questions from both field test coronavirus pandemic modules, based upon field test performance and TRP feedback. The coronavirus pandemic module for the full-scale maintains the burden goal of three minutes.</w:t>
      </w:r>
      <w:r w:rsidRPr="000228B0">
        <w:rPr>
          <w:color w:val="000000"/>
        </w:rPr>
        <w:br/>
      </w:r>
      <w:r w:rsidRPr="000228B0">
        <w:rPr>
          <w:color w:val="000000"/>
        </w:rPr>
        <w:br/>
      </w:r>
      <w:r w:rsidRPr="000228B0">
        <w:rPr>
          <w:b/>
          <w:bCs/>
          <w:color w:val="000000"/>
        </w:rPr>
        <w:t>b. BPS:20/22 Full-scale Data Collection Design</w:t>
      </w:r>
      <w:r w:rsidRPr="000228B0">
        <w:rPr>
          <w:color w:val="000000"/>
        </w:rPr>
        <w:br/>
      </w:r>
      <w:r w:rsidRPr="000228B0">
        <w:rPr>
          <w:color w:val="000000"/>
        </w:rPr>
        <w:br/>
        <w:t xml:space="preserve">The data collection design proposed for the BPS:20/22 full-scale study builds on the designs implemented in past BPS studies, as well as the National Postsecondary Student Aid Study (NPSAS) and the Baccalaureate and Beyond (B&amp;B) studies. Additionally, results from the BPS:20/22 field test Data Collection Experiments (Appendix </w:t>
      </w:r>
      <w:r w:rsidR="00A55D7A">
        <w:rPr>
          <w:color w:val="000000"/>
        </w:rPr>
        <w:t>D</w:t>
      </w:r>
      <w:r w:rsidRPr="000228B0">
        <w:rPr>
          <w:color w:val="000000"/>
        </w:rPr>
        <w:t xml:space="preserve">) inform recommendations for the BPS:20/22 full-scale data collection design. </w:t>
      </w:r>
      <w:r w:rsidRPr="000228B0">
        <w:rPr>
          <w:color w:val="000000"/>
        </w:rPr>
        <w:br/>
      </w:r>
      <w:r w:rsidRPr="000228B0">
        <w:rPr>
          <w:color w:val="000000"/>
        </w:rPr>
        <w:br/>
        <w:t xml:space="preserve">A primary goal of the full-scale design is to minimize the potential for nonresponse bias that could be introduced into BPS:20/22, especially bias that could be due to lower response rates among NPSAS:20 nonrespondents. Another important goal is to reduce the amount of time and cost of data collection efforts. </w:t>
      </w:r>
      <w:r w:rsidRPr="000228B0">
        <w:rPr>
          <w:color w:val="000000"/>
        </w:rPr>
        <w:br/>
      </w:r>
      <w:r w:rsidRPr="000228B0">
        <w:rPr>
          <w:color w:val="000000"/>
        </w:rPr>
        <w:br/>
        <w:t xml:space="preserve">To accomplish these goals, the plan is to achieve at least a 70 percent response rate. Doing so will minimize potential nonresponse bias, optimize statistical power, and enable sub-group analyses. The sample will be divided into two groups and differential data collection treatments will be implemented based on prior round response status. A similar approach was successfully implemented in the BPS:20/22 field test, and the latest B&amp;B studies where more reluctant sample members received a more aggressive protocol (for an experimental comparison see B&amp;B:16/17 field test </w:t>
      </w:r>
      <w:hyperlink r:id="rId9" w:history="1">
        <w:r w:rsidRPr="000228B0">
          <w:rPr>
            <w:rStyle w:val="Hyperlink"/>
          </w:rPr>
          <w:t>https://nces.ed.gov/pubsearch/pubsinfo.asp?pubid=2020441</w:t>
        </w:r>
      </w:hyperlink>
      <w:r w:rsidRPr="000228B0">
        <w:rPr>
          <w:color w:val="000000"/>
        </w:rPr>
        <w:t xml:space="preserve">). </w:t>
      </w:r>
      <w:r w:rsidRPr="000228B0">
        <w:rPr>
          <w:color w:val="000000"/>
        </w:rPr>
        <w:br/>
      </w:r>
      <w:r w:rsidRPr="000228B0">
        <w:rPr>
          <w:color w:val="000000"/>
        </w:rPr>
        <w:br/>
        <w:t>For the BPS:20/22 full-scale design, the following sample groupings will be used:</w:t>
      </w:r>
      <w:r w:rsidRPr="000228B0">
        <w:rPr>
          <w:color w:val="000000"/>
        </w:rPr>
        <w:br/>
        <w:t xml:space="preserve">•NPSAS:20 survey respondents: Sample members who responded to NPSAS:20 and self-identified that they began their postsecondary education between July 1, 2019 and April 30, 2020 will receive a default data collection protocol (n = 26,470). </w:t>
      </w:r>
      <w:r w:rsidRPr="000228B0">
        <w:rPr>
          <w:color w:val="000000"/>
        </w:rPr>
        <w:br/>
        <w:t xml:space="preserve">•NPSAS:20 survey nonrespondents and administrative-only cases: NPSAS:20 administrative student respondents who are potential 2019-20 academic year FTBs will receive an aggressive data collection protocol. This group includes NPSAS:20 survey nonrespondents (n = 5,510) and NPSAS:20 administrative-only sample (cases who were never invited to complete the NPSAS:20 survey; n = 5,350) who are potential 2019-20 academic year FTBs based on administrative data. </w:t>
      </w:r>
    </w:p>
    <w:p w14:paraId="03E48545" w14:textId="5C6BE2BF" w:rsidR="000228B0" w:rsidRDefault="000228B0" w:rsidP="000228B0">
      <w:pPr>
        <w:pStyle w:val="NormalWeb"/>
        <w:rPr>
          <w:color w:val="000000"/>
        </w:rPr>
      </w:pPr>
      <w:r w:rsidRPr="000228B0">
        <w:rPr>
          <w:color w:val="000000"/>
        </w:rPr>
        <w:t xml:space="preserve">The goal of this treatment is to convert reluctant sample members (i.e., NPSAS:20 survey nonrespondents) and sample members who have never been contacted (i.e., administrative-only cases) to participate in the study as early in data collection as possible. </w:t>
      </w:r>
    </w:p>
    <w:p w14:paraId="6E407FE1" w14:textId="70D953AC" w:rsidR="000228B0" w:rsidRDefault="000228B0" w:rsidP="000228B0">
      <w:pPr>
        <w:pStyle w:val="NormalWeb"/>
        <w:rPr>
          <w:rFonts w:ascii="Calibri" w:hAnsi="Calibri" w:cs="Calibri"/>
          <w:color w:val="000000"/>
        </w:rPr>
      </w:pPr>
      <w:r w:rsidRPr="000228B0">
        <w:rPr>
          <w:color w:val="000000"/>
        </w:rPr>
        <w:t>Table 5 below presents the type and timing of interventions to be applied in data collection by groups and protocol. The details of these interventions are described below.</w:t>
      </w:r>
      <w:r w:rsidRPr="000228B0">
        <w:rPr>
          <w:color w:val="000000"/>
        </w:rPr>
        <w:br/>
      </w:r>
    </w:p>
    <w:p w14:paraId="3B76DED6" w14:textId="77777777" w:rsidR="000228B0" w:rsidRDefault="000228B0" w:rsidP="000228B0">
      <w:pPr>
        <w:pStyle w:val="TableTitle"/>
      </w:pPr>
      <w:r>
        <w:t>Table 5. 2020/22 Beginning Postsecondary Students Full-Scale data collection protocols, by data collection phase and group assignment</w:t>
      </w:r>
    </w:p>
    <w:tbl>
      <w:tblPr>
        <w:tblStyle w:val="TableGridLight"/>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2"/>
        <w:gridCol w:w="3971"/>
        <w:gridCol w:w="4119"/>
      </w:tblGrid>
      <w:tr w:rsidR="000228B0" w14:paraId="34F57EBE" w14:textId="77777777" w:rsidTr="000228B0">
        <w:trPr>
          <w:trHeight w:val="144"/>
        </w:trPr>
        <w:tc>
          <w:tcPr>
            <w:tcW w:w="1152" w:type="pct"/>
            <w:tcBorders>
              <w:top w:val="single" w:sz="12" w:space="0" w:color="auto"/>
              <w:left w:val="nil"/>
              <w:bottom w:val="nil"/>
              <w:right w:val="nil"/>
            </w:tcBorders>
            <w:hideMark/>
          </w:tcPr>
          <w:p w14:paraId="5A4F9A92" w14:textId="77777777" w:rsidR="000228B0" w:rsidRDefault="000228B0"/>
        </w:tc>
        <w:tc>
          <w:tcPr>
            <w:tcW w:w="3848" w:type="pct"/>
            <w:gridSpan w:val="2"/>
            <w:tcBorders>
              <w:top w:val="single" w:sz="12" w:space="0" w:color="auto"/>
              <w:left w:val="nil"/>
              <w:bottom w:val="nil"/>
              <w:right w:val="nil"/>
            </w:tcBorders>
            <w:hideMark/>
          </w:tcPr>
          <w:p w14:paraId="3AE9C348" w14:textId="77777777" w:rsidR="000228B0" w:rsidRDefault="000228B0">
            <w:pPr>
              <w:pStyle w:val="BodyText"/>
              <w:spacing w:before="0" w:after="0"/>
              <w:jc w:val="center"/>
              <w:rPr>
                <w:rFonts w:ascii="Arial" w:hAnsi="Arial" w:cs="Arial"/>
                <w:sz w:val="18"/>
                <w:szCs w:val="18"/>
              </w:rPr>
            </w:pPr>
            <w:r>
              <w:rPr>
                <w:rFonts w:ascii="Arial" w:hAnsi="Arial" w:cs="Arial"/>
                <w:b/>
                <w:bCs/>
                <w:sz w:val="18"/>
                <w:szCs w:val="18"/>
              </w:rPr>
              <w:t>Data Collection Group Assignments</w:t>
            </w:r>
          </w:p>
        </w:tc>
      </w:tr>
      <w:tr w:rsidR="000228B0" w14:paraId="3404627B" w14:textId="77777777" w:rsidTr="000228B0">
        <w:trPr>
          <w:trHeight w:val="144"/>
        </w:trPr>
        <w:tc>
          <w:tcPr>
            <w:tcW w:w="1152" w:type="pct"/>
            <w:tcBorders>
              <w:top w:val="nil"/>
              <w:left w:val="nil"/>
              <w:bottom w:val="single" w:sz="6" w:space="0" w:color="auto"/>
              <w:right w:val="nil"/>
            </w:tcBorders>
          </w:tcPr>
          <w:p w14:paraId="490C13D8" w14:textId="77777777" w:rsidR="000228B0" w:rsidRDefault="000228B0">
            <w:pPr>
              <w:pStyle w:val="BodyText"/>
              <w:spacing w:before="0" w:after="0"/>
              <w:rPr>
                <w:rFonts w:ascii="Arial" w:hAnsi="Arial" w:cs="Arial"/>
                <w:b/>
                <w:bCs/>
                <w:sz w:val="18"/>
                <w:szCs w:val="18"/>
              </w:rPr>
            </w:pPr>
          </w:p>
        </w:tc>
        <w:tc>
          <w:tcPr>
            <w:tcW w:w="1889" w:type="pct"/>
            <w:tcBorders>
              <w:top w:val="nil"/>
              <w:left w:val="nil"/>
              <w:bottom w:val="single" w:sz="6" w:space="0" w:color="auto"/>
              <w:right w:val="nil"/>
            </w:tcBorders>
            <w:hideMark/>
          </w:tcPr>
          <w:p w14:paraId="6F62109F" w14:textId="77777777" w:rsidR="000228B0" w:rsidRDefault="000228B0">
            <w:pPr>
              <w:pStyle w:val="BodyText"/>
              <w:spacing w:before="0" w:after="0"/>
              <w:jc w:val="center"/>
              <w:rPr>
                <w:rFonts w:ascii="Arial" w:hAnsi="Arial" w:cs="Arial"/>
                <w:sz w:val="18"/>
                <w:szCs w:val="18"/>
              </w:rPr>
            </w:pPr>
            <w:r>
              <w:rPr>
                <w:rFonts w:ascii="Arial" w:hAnsi="Arial" w:cs="Arial"/>
                <w:b/>
                <w:bCs/>
                <w:sz w:val="18"/>
                <w:szCs w:val="18"/>
              </w:rPr>
              <w:t>Default Protocol</w:t>
            </w:r>
          </w:p>
        </w:tc>
        <w:tc>
          <w:tcPr>
            <w:tcW w:w="1959" w:type="pct"/>
            <w:tcBorders>
              <w:top w:val="nil"/>
              <w:left w:val="nil"/>
              <w:bottom w:val="single" w:sz="6" w:space="0" w:color="auto"/>
              <w:right w:val="nil"/>
            </w:tcBorders>
            <w:hideMark/>
          </w:tcPr>
          <w:p w14:paraId="202484B9" w14:textId="77777777" w:rsidR="000228B0" w:rsidRDefault="000228B0">
            <w:pPr>
              <w:pStyle w:val="BodyText"/>
              <w:spacing w:before="0" w:after="0"/>
              <w:jc w:val="center"/>
              <w:rPr>
                <w:rFonts w:ascii="Arial" w:hAnsi="Arial" w:cs="Arial"/>
                <w:b/>
                <w:bCs/>
                <w:sz w:val="18"/>
                <w:szCs w:val="18"/>
              </w:rPr>
            </w:pPr>
            <w:r>
              <w:rPr>
                <w:rFonts w:ascii="Arial" w:hAnsi="Arial" w:cs="Arial"/>
                <w:b/>
                <w:bCs/>
                <w:sz w:val="18"/>
                <w:szCs w:val="18"/>
              </w:rPr>
              <w:t xml:space="preserve">Aggressive Protocol </w:t>
            </w:r>
          </w:p>
        </w:tc>
      </w:tr>
      <w:tr w:rsidR="000228B0" w14:paraId="2BF240D9" w14:textId="77777777" w:rsidTr="000228B0">
        <w:trPr>
          <w:trHeight w:val="144"/>
        </w:trPr>
        <w:tc>
          <w:tcPr>
            <w:tcW w:w="1152" w:type="pct"/>
            <w:tcBorders>
              <w:top w:val="single" w:sz="6" w:space="0" w:color="auto"/>
              <w:left w:val="nil"/>
              <w:bottom w:val="nil"/>
              <w:right w:val="nil"/>
            </w:tcBorders>
            <w:hideMark/>
          </w:tcPr>
          <w:p w14:paraId="2742E825" w14:textId="77777777" w:rsidR="000228B0" w:rsidRDefault="000228B0">
            <w:pPr>
              <w:pStyle w:val="BodyText"/>
              <w:spacing w:before="0" w:after="0"/>
              <w:rPr>
                <w:rFonts w:ascii="Arial" w:hAnsi="Arial" w:cs="Arial"/>
                <w:sz w:val="18"/>
                <w:szCs w:val="18"/>
              </w:rPr>
            </w:pPr>
            <w:r>
              <w:rPr>
                <w:rFonts w:ascii="Arial" w:hAnsi="Arial" w:cs="Arial"/>
                <w:b/>
                <w:bCs/>
                <w:sz w:val="18"/>
                <w:szCs w:val="18"/>
              </w:rPr>
              <w:t> Sample</w:t>
            </w:r>
          </w:p>
        </w:tc>
        <w:tc>
          <w:tcPr>
            <w:tcW w:w="1889" w:type="pct"/>
            <w:tcBorders>
              <w:top w:val="single" w:sz="6" w:space="0" w:color="auto"/>
              <w:left w:val="nil"/>
              <w:bottom w:val="nil"/>
              <w:right w:val="nil"/>
            </w:tcBorders>
            <w:hideMark/>
          </w:tcPr>
          <w:p w14:paraId="4CD096A7" w14:textId="77777777" w:rsidR="000228B0" w:rsidRDefault="000228B0" w:rsidP="000228B0">
            <w:pPr>
              <w:pStyle w:val="BodyText"/>
              <w:numPr>
                <w:ilvl w:val="0"/>
                <w:numId w:val="29"/>
              </w:numPr>
              <w:spacing w:before="0" w:after="0"/>
              <w:ind w:left="303" w:hanging="270"/>
              <w:rPr>
                <w:rFonts w:ascii="Arial" w:hAnsi="Arial" w:cs="Arial"/>
                <w:sz w:val="18"/>
                <w:szCs w:val="18"/>
              </w:rPr>
            </w:pPr>
            <w:r>
              <w:rPr>
                <w:rFonts w:ascii="Arial" w:hAnsi="Arial" w:cs="Arial"/>
                <w:sz w:val="18"/>
                <w:szCs w:val="18"/>
              </w:rPr>
              <w:t>NPSAS:20 interview respondents (26,470)</w:t>
            </w:r>
          </w:p>
        </w:tc>
        <w:tc>
          <w:tcPr>
            <w:tcW w:w="1959" w:type="pct"/>
            <w:tcBorders>
              <w:top w:val="single" w:sz="6" w:space="0" w:color="auto"/>
              <w:left w:val="nil"/>
              <w:bottom w:val="nil"/>
              <w:right w:val="nil"/>
            </w:tcBorders>
            <w:hideMark/>
          </w:tcPr>
          <w:p w14:paraId="79305BE2" w14:textId="77777777" w:rsidR="000228B0" w:rsidRDefault="000228B0" w:rsidP="000228B0">
            <w:pPr>
              <w:pStyle w:val="BodyText"/>
              <w:numPr>
                <w:ilvl w:val="0"/>
                <w:numId w:val="29"/>
              </w:numPr>
              <w:spacing w:before="0" w:after="0"/>
              <w:ind w:left="303" w:hanging="270"/>
              <w:rPr>
                <w:rFonts w:ascii="Arial" w:hAnsi="Arial" w:cs="Arial"/>
                <w:sz w:val="18"/>
                <w:szCs w:val="18"/>
              </w:rPr>
            </w:pPr>
            <w:r>
              <w:rPr>
                <w:rFonts w:ascii="Arial" w:hAnsi="Arial" w:cs="Arial"/>
                <w:sz w:val="18"/>
                <w:szCs w:val="18"/>
              </w:rPr>
              <w:t>NPSAS:20 interview non-respondents (5,510)</w:t>
            </w:r>
          </w:p>
          <w:p w14:paraId="4F41D76D" w14:textId="77777777" w:rsidR="000228B0" w:rsidRDefault="000228B0" w:rsidP="000228B0">
            <w:pPr>
              <w:pStyle w:val="BodyText"/>
              <w:numPr>
                <w:ilvl w:val="0"/>
                <w:numId w:val="29"/>
              </w:numPr>
              <w:spacing w:before="0" w:after="0"/>
              <w:ind w:left="303" w:hanging="270"/>
              <w:rPr>
                <w:rFonts w:ascii="Arial" w:hAnsi="Arial" w:cs="Arial"/>
                <w:sz w:val="18"/>
                <w:szCs w:val="18"/>
              </w:rPr>
            </w:pPr>
            <w:r>
              <w:rPr>
                <w:rFonts w:ascii="Arial" w:hAnsi="Arial" w:cs="Arial"/>
                <w:sz w:val="18"/>
                <w:szCs w:val="18"/>
              </w:rPr>
              <w:t>NPSAS:20 admin-only (5,350)</w:t>
            </w:r>
          </w:p>
        </w:tc>
      </w:tr>
      <w:tr w:rsidR="000228B0" w14:paraId="4E60BCCE" w14:textId="77777777" w:rsidTr="000228B0">
        <w:trPr>
          <w:trHeight w:val="144"/>
        </w:trPr>
        <w:tc>
          <w:tcPr>
            <w:tcW w:w="5000" w:type="pct"/>
            <w:gridSpan w:val="3"/>
            <w:hideMark/>
          </w:tcPr>
          <w:p w14:paraId="07AE8CEB" w14:textId="77777777" w:rsidR="000228B0" w:rsidRDefault="000228B0">
            <w:pPr>
              <w:pStyle w:val="BodyText"/>
              <w:spacing w:before="0" w:after="0"/>
              <w:ind w:left="303" w:hanging="318"/>
              <w:rPr>
                <w:rFonts w:ascii="Arial" w:hAnsi="Arial" w:cs="Arial"/>
                <w:sz w:val="18"/>
                <w:szCs w:val="18"/>
              </w:rPr>
            </w:pPr>
            <w:r>
              <w:rPr>
                <w:rFonts w:ascii="Arial" w:hAnsi="Arial" w:cs="Arial"/>
                <w:b/>
                <w:bCs/>
                <w:sz w:val="18"/>
                <w:szCs w:val="18"/>
              </w:rPr>
              <w:t>Data Collection Protocols </w:t>
            </w:r>
          </w:p>
        </w:tc>
      </w:tr>
      <w:tr w:rsidR="000228B0" w14:paraId="46037EF1" w14:textId="77777777" w:rsidTr="000228B0">
        <w:trPr>
          <w:trHeight w:val="144"/>
        </w:trPr>
        <w:tc>
          <w:tcPr>
            <w:tcW w:w="1152" w:type="pct"/>
            <w:hideMark/>
          </w:tcPr>
          <w:p w14:paraId="703815D5" w14:textId="77777777" w:rsidR="000228B0" w:rsidRDefault="000228B0">
            <w:pPr>
              <w:pStyle w:val="BodyText"/>
              <w:spacing w:before="0" w:after="0"/>
              <w:ind w:left="157"/>
              <w:rPr>
                <w:rFonts w:ascii="Arial" w:hAnsi="Arial" w:cs="Arial"/>
                <w:b/>
                <w:bCs/>
                <w:sz w:val="18"/>
                <w:szCs w:val="18"/>
              </w:rPr>
            </w:pPr>
            <w:r>
              <w:rPr>
                <w:rFonts w:ascii="Arial" w:hAnsi="Arial" w:cs="Arial"/>
                <w:b/>
                <w:bCs/>
                <w:sz w:val="18"/>
                <w:szCs w:val="18"/>
              </w:rPr>
              <w:t xml:space="preserve">Prior to data collection </w:t>
            </w:r>
          </w:p>
        </w:tc>
        <w:tc>
          <w:tcPr>
            <w:tcW w:w="1889" w:type="pct"/>
            <w:hideMark/>
          </w:tcPr>
          <w:p w14:paraId="32AA74E8" w14:textId="77777777" w:rsidR="000228B0" w:rsidRDefault="000228B0" w:rsidP="000228B0">
            <w:pPr>
              <w:pStyle w:val="BodyText"/>
              <w:numPr>
                <w:ilvl w:val="0"/>
                <w:numId w:val="29"/>
              </w:numPr>
              <w:spacing w:before="0" w:after="0"/>
              <w:ind w:left="303" w:hanging="270"/>
              <w:rPr>
                <w:rFonts w:ascii="Arial" w:hAnsi="Arial" w:cs="Arial"/>
                <w:sz w:val="18"/>
                <w:szCs w:val="18"/>
              </w:rPr>
            </w:pPr>
            <w:r>
              <w:rPr>
                <w:rFonts w:ascii="Arial" w:hAnsi="Arial" w:cs="Arial"/>
                <w:sz w:val="18"/>
                <w:szCs w:val="18"/>
              </w:rPr>
              <w:t>Panel maintenance</w:t>
            </w:r>
          </w:p>
          <w:p w14:paraId="5053AABE" w14:textId="77777777" w:rsidR="000228B0" w:rsidRDefault="000228B0" w:rsidP="000228B0">
            <w:pPr>
              <w:pStyle w:val="BodyText"/>
              <w:numPr>
                <w:ilvl w:val="0"/>
                <w:numId w:val="29"/>
              </w:numPr>
              <w:spacing w:before="0" w:after="0"/>
              <w:ind w:left="303" w:hanging="270"/>
              <w:rPr>
                <w:rFonts w:ascii="Arial" w:hAnsi="Arial" w:cs="Arial"/>
                <w:sz w:val="18"/>
                <w:szCs w:val="18"/>
              </w:rPr>
            </w:pPr>
            <w:r>
              <w:rPr>
                <w:rFonts w:ascii="Arial" w:hAnsi="Arial" w:cs="Arial"/>
                <w:sz w:val="18"/>
                <w:szCs w:val="18"/>
              </w:rPr>
              <w:t>Prenotification/greeting (from NCES)</w:t>
            </w:r>
          </w:p>
        </w:tc>
        <w:tc>
          <w:tcPr>
            <w:tcW w:w="1959" w:type="pct"/>
            <w:hideMark/>
          </w:tcPr>
          <w:p w14:paraId="34CA1949" w14:textId="77777777" w:rsidR="000228B0" w:rsidRDefault="000228B0" w:rsidP="000228B0">
            <w:pPr>
              <w:pStyle w:val="BodyText"/>
              <w:numPr>
                <w:ilvl w:val="0"/>
                <w:numId w:val="29"/>
              </w:numPr>
              <w:spacing w:before="0" w:after="0"/>
              <w:ind w:left="303" w:hanging="270"/>
              <w:rPr>
                <w:rFonts w:ascii="Arial" w:hAnsi="Arial" w:cs="Arial"/>
                <w:sz w:val="18"/>
                <w:szCs w:val="18"/>
              </w:rPr>
            </w:pPr>
            <w:r>
              <w:rPr>
                <w:rFonts w:ascii="Arial" w:hAnsi="Arial" w:cs="Arial"/>
                <w:sz w:val="18"/>
                <w:szCs w:val="18"/>
              </w:rPr>
              <w:t>Panel maintenance</w:t>
            </w:r>
          </w:p>
          <w:p w14:paraId="4838CC54" w14:textId="77777777" w:rsidR="000228B0" w:rsidRDefault="000228B0" w:rsidP="000228B0">
            <w:pPr>
              <w:pStyle w:val="BodyText"/>
              <w:numPr>
                <w:ilvl w:val="0"/>
                <w:numId w:val="29"/>
              </w:numPr>
              <w:spacing w:before="0" w:after="0"/>
              <w:ind w:left="303" w:hanging="270"/>
              <w:rPr>
                <w:rFonts w:ascii="Arial" w:hAnsi="Arial" w:cs="Arial"/>
                <w:sz w:val="18"/>
                <w:szCs w:val="18"/>
              </w:rPr>
            </w:pPr>
            <w:r>
              <w:rPr>
                <w:rFonts w:ascii="Arial" w:hAnsi="Arial" w:cs="Arial"/>
                <w:sz w:val="18"/>
                <w:szCs w:val="18"/>
              </w:rPr>
              <w:t>Prenotification/greeting (from NCES)</w:t>
            </w:r>
          </w:p>
        </w:tc>
      </w:tr>
      <w:tr w:rsidR="000228B0" w14:paraId="43FA517C" w14:textId="77777777" w:rsidTr="000228B0">
        <w:trPr>
          <w:trHeight w:val="144"/>
        </w:trPr>
        <w:tc>
          <w:tcPr>
            <w:tcW w:w="1152" w:type="pct"/>
            <w:hideMark/>
          </w:tcPr>
          <w:p w14:paraId="0F29C7E2" w14:textId="77777777" w:rsidR="000228B0" w:rsidRDefault="000228B0">
            <w:pPr>
              <w:pStyle w:val="BodyText"/>
              <w:spacing w:before="0" w:after="0"/>
              <w:ind w:left="157"/>
              <w:rPr>
                <w:rFonts w:ascii="Arial" w:hAnsi="Arial" w:cs="Arial"/>
                <w:sz w:val="18"/>
                <w:szCs w:val="18"/>
              </w:rPr>
            </w:pPr>
            <w:r>
              <w:rPr>
                <w:rFonts w:ascii="Arial" w:hAnsi="Arial" w:cs="Arial"/>
                <w:b/>
                <w:bCs/>
                <w:sz w:val="18"/>
                <w:szCs w:val="18"/>
              </w:rPr>
              <w:lastRenderedPageBreak/>
              <w:t>Early completion phase</w:t>
            </w:r>
          </w:p>
        </w:tc>
        <w:tc>
          <w:tcPr>
            <w:tcW w:w="1889" w:type="pct"/>
            <w:hideMark/>
          </w:tcPr>
          <w:p w14:paraId="50E5E4E5" w14:textId="77777777" w:rsidR="000228B0" w:rsidRDefault="000228B0" w:rsidP="000228B0">
            <w:pPr>
              <w:pStyle w:val="BodyText"/>
              <w:numPr>
                <w:ilvl w:val="0"/>
                <w:numId w:val="29"/>
              </w:numPr>
              <w:spacing w:before="0" w:after="0"/>
              <w:ind w:left="303" w:hanging="270"/>
              <w:rPr>
                <w:rFonts w:ascii="Arial" w:hAnsi="Arial" w:cs="Arial"/>
                <w:sz w:val="18"/>
                <w:szCs w:val="18"/>
              </w:rPr>
            </w:pPr>
            <w:r>
              <w:rPr>
                <w:rFonts w:ascii="Arial" w:hAnsi="Arial" w:cs="Arial"/>
                <w:sz w:val="18"/>
                <w:szCs w:val="18"/>
              </w:rPr>
              <w:t xml:space="preserve">DC announcement mail, text, and e-mail </w:t>
            </w:r>
          </w:p>
          <w:p w14:paraId="1E8AFD16" w14:textId="77777777" w:rsidR="000228B0" w:rsidRDefault="000228B0" w:rsidP="000228B0">
            <w:pPr>
              <w:pStyle w:val="BodyText"/>
              <w:numPr>
                <w:ilvl w:val="0"/>
                <w:numId w:val="29"/>
              </w:numPr>
              <w:spacing w:before="0" w:after="0"/>
              <w:ind w:left="303" w:hanging="270"/>
              <w:rPr>
                <w:rFonts w:ascii="Arial" w:hAnsi="Arial" w:cs="Arial"/>
                <w:sz w:val="18"/>
                <w:szCs w:val="18"/>
              </w:rPr>
            </w:pPr>
            <w:r>
              <w:rPr>
                <w:rFonts w:ascii="Arial" w:hAnsi="Arial" w:cs="Arial"/>
                <w:sz w:val="18"/>
                <w:szCs w:val="18"/>
              </w:rPr>
              <w:t>Mode tailoring with NPSAS:20 completion mode</w:t>
            </w:r>
          </w:p>
        </w:tc>
        <w:tc>
          <w:tcPr>
            <w:tcW w:w="1959" w:type="pct"/>
            <w:hideMark/>
          </w:tcPr>
          <w:p w14:paraId="551BEAF1" w14:textId="77777777" w:rsidR="000228B0" w:rsidRDefault="000228B0" w:rsidP="000228B0">
            <w:pPr>
              <w:pStyle w:val="BodyText"/>
              <w:numPr>
                <w:ilvl w:val="0"/>
                <w:numId w:val="29"/>
              </w:numPr>
              <w:spacing w:before="0" w:after="0"/>
              <w:ind w:left="303" w:hanging="270"/>
              <w:rPr>
                <w:rFonts w:ascii="Arial" w:hAnsi="Arial" w:cs="Arial"/>
                <w:sz w:val="18"/>
                <w:szCs w:val="18"/>
              </w:rPr>
            </w:pPr>
            <w:r>
              <w:rPr>
                <w:rFonts w:ascii="Arial" w:hAnsi="Arial" w:cs="Arial"/>
                <w:sz w:val="18"/>
                <w:szCs w:val="18"/>
              </w:rPr>
              <w:t>DC announcement mail, text, and e-mail $2 cash prepaid</w:t>
            </w:r>
          </w:p>
          <w:p w14:paraId="2B10F100" w14:textId="77777777" w:rsidR="000228B0" w:rsidRDefault="000228B0" w:rsidP="000228B0">
            <w:pPr>
              <w:pStyle w:val="BodyText"/>
              <w:numPr>
                <w:ilvl w:val="0"/>
                <w:numId w:val="29"/>
              </w:numPr>
              <w:spacing w:before="0" w:after="0"/>
              <w:ind w:left="303" w:hanging="270"/>
              <w:rPr>
                <w:rFonts w:ascii="Arial" w:hAnsi="Arial" w:cs="Arial"/>
                <w:sz w:val="18"/>
                <w:szCs w:val="18"/>
              </w:rPr>
            </w:pPr>
            <w:r>
              <w:rPr>
                <w:rFonts w:ascii="Arial" w:hAnsi="Arial" w:cs="Arial"/>
                <w:sz w:val="18"/>
                <w:szCs w:val="18"/>
              </w:rPr>
              <w:t>Targeted CATI begins 2 weeks after mail outs – continued throughout</w:t>
            </w:r>
          </w:p>
        </w:tc>
      </w:tr>
      <w:tr w:rsidR="000228B0" w14:paraId="12FC91DD" w14:textId="77777777" w:rsidTr="000228B0">
        <w:trPr>
          <w:trHeight w:val="144"/>
        </w:trPr>
        <w:tc>
          <w:tcPr>
            <w:tcW w:w="1152" w:type="pct"/>
            <w:hideMark/>
          </w:tcPr>
          <w:p w14:paraId="7514DCA2" w14:textId="77777777" w:rsidR="000228B0" w:rsidRDefault="000228B0">
            <w:pPr>
              <w:pStyle w:val="BodyText"/>
              <w:spacing w:before="0" w:after="0"/>
              <w:ind w:left="157"/>
              <w:rPr>
                <w:rFonts w:ascii="Arial" w:hAnsi="Arial" w:cs="Arial"/>
                <w:sz w:val="18"/>
                <w:szCs w:val="18"/>
              </w:rPr>
            </w:pPr>
            <w:r>
              <w:rPr>
                <w:rFonts w:ascii="Arial" w:hAnsi="Arial" w:cs="Arial"/>
                <w:b/>
                <w:bCs/>
                <w:sz w:val="18"/>
                <w:szCs w:val="18"/>
              </w:rPr>
              <w:t>Production phase 1</w:t>
            </w:r>
          </w:p>
        </w:tc>
        <w:tc>
          <w:tcPr>
            <w:tcW w:w="1889" w:type="pct"/>
            <w:hideMark/>
          </w:tcPr>
          <w:p w14:paraId="3C6123D8" w14:textId="77777777" w:rsidR="000228B0" w:rsidRDefault="000228B0" w:rsidP="000228B0">
            <w:pPr>
              <w:pStyle w:val="BodyText"/>
              <w:numPr>
                <w:ilvl w:val="0"/>
                <w:numId w:val="29"/>
              </w:numPr>
              <w:spacing w:before="0" w:after="0"/>
              <w:ind w:left="303" w:hanging="270"/>
              <w:rPr>
                <w:rFonts w:ascii="Arial" w:hAnsi="Arial" w:cs="Arial"/>
                <w:sz w:val="18"/>
                <w:szCs w:val="18"/>
              </w:rPr>
            </w:pPr>
            <w:r>
              <w:rPr>
                <w:rFonts w:ascii="Arial" w:hAnsi="Arial" w:cs="Arial"/>
                <w:sz w:val="18"/>
                <w:szCs w:val="18"/>
              </w:rPr>
              <w:t>Targeted light CATI outbound begins</w:t>
            </w:r>
          </w:p>
          <w:p w14:paraId="75A8EC02" w14:textId="77777777" w:rsidR="000228B0" w:rsidRDefault="000228B0" w:rsidP="000228B0">
            <w:pPr>
              <w:pStyle w:val="BodyText"/>
              <w:numPr>
                <w:ilvl w:val="0"/>
                <w:numId w:val="29"/>
              </w:numPr>
              <w:spacing w:before="0" w:after="0"/>
              <w:ind w:left="303" w:hanging="270"/>
              <w:rPr>
                <w:rFonts w:ascii="Arial" w:hAnsi="Arial" w:cs="Arial"/>
                <w:sz w:val="18"/>
                <w:szCs w:val="18"/>
              </w:rPr>
            </w:pPr>
            <w:r>
              <w:rPr>
                <w:rFonts w:ascii="Arial" w:hAnsi="Arial" w:cs="Arial"/>
                <w:sz w:val="18"/>
                <w:szCs w:val="18"/>
              </w:rPr>
              <w:t>Postcard, e-mail, text message reminders – continued throughout</w:t>
            </w:r>
          </w:p>
        </w:tc>
        <w:tc>
          <w:tcPr>
            <w:tcW w:w="1959" w:type="pct"/>
            <w:hideMark/>
          </w:tcPr>
          <w:p w14:paraId="6C73010F" w14:textId="77777777" w:rsidR="000228B0" w:rsidRDefault="000228B0" w:rsidP="000228B0">
            <w:pPr>
              <w:pStyle w:val="BodyText"/>
              <w:numPr>
                <w:ilvl w:val="0"/>
                <w:numId w:val="29"/>
              </w:numPr>
              <w:spacing w:before="0" w:after="0"/>
              <w:ind w:left="303" w:hanging="270"/>
              <w:rPr>
                <w:rFonts w:ascii="Arial" w:hAnsi="Arial" w:cs="Arial"/>
                <w:sz w:val="18"/>
                <w:szCs w:val="18"/>
              </w:rPr>
            </w:pPr>
            <w:r>
              <w:rPr>
                <w:rFonts w:ascii="Arial" w:hAnsi="Arial" w:cs="Arial"/>
                <w:sz w:val="18"/>
                <w:szCs w:val="18"/>
              </w:rPr>
              <w:t>Postcard, e-mail, text message reminders – continued throughout</w:t>
            </w:r>
          </w:p>
        </w:tc>
      </w:tr>
      <w:tr w:rsidR="000228B0" w14:paraId="7E6DA83B" w14:textId="77777777" w:rsidTr="000228B0">
        <w:trPr>
          <w:trHeight w:val="144"/>
        </w:trPr>
        <w:tc>
          <w:tcPr>
            <w:tcW w:w="1152" w:type="pct"/>
            <w:hideMark/>
          </w:tcPr>
          <w:p w14:paraId="7E749709" w14:textId="77777777" w:rsidR="000228B0" w:rsidRDefault="000228B0">
            <w:pPr>
              <w:pStyle w:val="BodyText"/>
              <w:spacing w:before="0" w:after="0"/>
              <w:ind w:left="157"/>
              <w:rPr>
                <w:rFonts w:ascii="Arial" w:hAnsi="Arial" w:cs="Arial"/>
                <w:sz w:val="18"/>
                <w:szCs w:val="18"/>
              </w:rPr>
            </w:pPr>
            <w:r>
              <w:rPr>
                <w:rFonts w:ascii="Arial" w:hAnsi="Arial" w:cs="Arial"/>
                <w:b/>
                <w:bCs/>
                <w:sz w:val="18"/>
                <w:szCs w:val="18"/>
              </w:rPr>
              <w:t>Production phase 2</w:t>
            </w:r>
          </w:p>
        </w:tc>
        <w:tc>
          <w:tcPr>
            <w:tcW w:w="1889" w:type="pct"/>
            <w:hideMark/>
          </w:tcPr>
          <w:p w14:paraId="59D3269C" w14:textId="77777777" w:rsidR="000228B0" w:rsidRDefault="000228B0" w:rsidP="000228B0">
            <w:pPr>
              <w:pStyle w:val="BodyText"/>
              <w:numPr>
                <w:ilvl w:val="0"/>
                <w:numId w:val="29"/>
              </w:numPr>
              <w:spacing w:before="0" w:after="0"/>
              <w:ind w:left="303" w:hanging="270"/>
              <w:rPr>
                <w:rFonts w:ascii="Arial" w:hAnsi="Arial" w:cs="Arial"/>
                <w:sz w:val="18"/>
                <w:szCs w:val="18"/>
              </w:rPr>
            </w:pPr>
            <w:r>
              <w:rPr>
                <w:rFonts w:ascii="Arial" w:hAnsi="Arial" w:cs="Arial"/>
                <w:sz w:val="18"/>
                <w:szCs w:val="18"/>
              </w:rPr>
              <w:t>$10 boost post-paid</w:t>
            </w:r>
          </w:p>
        </w:tc>
        <w:tc>
          <w:tcPr>
            <w:tcW w:w="1959" w:type="pct"/>
            <w:hideMark/>
          </w:tcPr>
          <w:p w14:paraId="147D0FB5" w14:textId="77777777" w:rsidR="000228B0" w:rsidRDefault="000228B0" w:rsidP="000228B0">
            <w:pPr>
              <w:pStyle w:val="BodyText"/>
              <w:numPr>
                <w:ilvl w:val="0"/>
                <w:numId w:val="29"/>
              </w:numPr>
              <w:spacing w:before="0" w:after="0"/>
              <w:ind w:left="303" w:hanging="270"/>
              <w:rPr>
                <w:rFonts w:ascii="Arial" w:hAnsi="Arial" w:cs="Arial"/>
                <w:sz w:val="18"/>
                <w:szCs w:val="18"/>
              </w:rPr>
            </w:pPr>
            <w:r>
              <w:rPr>
                <w:rFonts w:ascii="Arial" w:hAnsi="Arial" w:cs="Arial"/>
                <w:sz w:val="18"/>
                <w:szCs w:val="18"/>
              </w:rPr>
              <w:t xml:space="preserve">$20 boost post-paid </w:t>
            </w:r>
          </w:p>
          <w:p w14:paraId="1CD04ED9" w14:textId="77777777" w:rsidR="000228B0" w:rsidRDefault="000228B0" w:rsidP="000228B0">
            <w:pPr>
              <w:pStyle w:val="BodyText"/>
              <w:numPr>
                <w:ilvl w:val="0"/>
                <w:numId w:val="29"/>
              </w:numPr>
              <w:spacing w:before="0" w:after="0"/>
              <w:ind w:left="303" w:hanging="270"/>
              <w:rPr>
                <w:rFonts w:ascii="Arial" w:hAnsi="Arial" w:cs="Arial"/>
                <w:sz w:val="18"/>
                <w:szCs w:val="18"/>
              </w:rPr>
            </w:pPr>
            <w:r>
              <w:rPr>
                <w:rFonts w:ascii="Arial" w:hAnsi="Arial" w:cs="Arial"/>
                <w:sz w:val="18"/>
                <w:szCs w:val="18"/>
              </w:rPr>
              <w:t xml:space="preserve">Abbreviated survey offered </w:t>
            </w:r>
          </w:p>
        </w:tc>
      </w:tr>
      <w:tr w:rsidR="000228B0" w14:paraId="3ACA5BDE" w14:textId="77777777" w:rsidTr="000228B0">
        <w:trPr>
          <w:trHeight w:val="144"/>
        </w:trPr>
        <w:tc>
          <w:tcPr>
            <w:tcW w:w="1152" w:type="pct"/>
            <w:hideMark/>
          </w:tcPr>
          <w:p w14:paraId="4FDBD1A0" w14:textId="77777777" w:rsidR="000228B0" w:rsidRDefault="000228B0">
            <w:pPr>
              <w:pStyle w:val="BodyText"/>
              <w:spacing w:before="0" w:after="0"/>
              <w:ind w:left="157"/>
              <w:rPr>
                <w:rFonts w:ascii="Arial" w:hAnsi="Arial" w:cs="Arial"/>
                <w:b/>
                <w:bCs/>
                <w:sz w:val="18"/>
                <w:szCs w:val="18"/>
              </w:rPr>
            </w:pPr>
            <w:r>
              <w:rPr>
                <w:rFonts w:ascii="Arial" w:hAnsi="Arial" w:cs="Arial"/>
                <w:b/>
                <w:bCs/>
                <w:sz w:val="18"/>
                <w:szCs w:val="18"/>
              </w:rPr>
              <w:t>Nonresponse Conversion Phase</w:t>
            </w:r>
          </w:p>
        </w:tc>
        <w:tc>
          <w:tcPr>
            <w:tcW w:w="1889" w:type="pct"/>
            <w:hideMark/>
          </w:tcPr>
          <w:p w14:paraId="3F05BA12" w14:textId="77777777" w:rsidR="000228B0" w:rsidRDefault="000228B0" w:rsidP="000228B0">
            <w:pPr>
              <w:pStyle w:val="BodyText"/>
              <w:numPr>
                <w:ilvl w:val="0"/>
                <w:numId w:val="29"/>
              </w:numPr>
              <w:spacing w:before="0" w:after="0"/>
              <w:ind w:left="303" w:hanging="270"/>
              <w:rPr>
                <w:rFonts w:ascii="Arial" w:hAnsi="Arial" w:cs="Arial"/>
                <w:sz w:val="18"/>
                <w:szCs w:val="18"/>
              </w:rPr>
            </w:pPr>
            <w:r>
              <w:rPr>
                <w:rFonts w:ascii="Arial" w:hAnsi="Arial" w:cs="Arial"/>
                <w:sz w:val="18"/>
                <w:szCs w:val="18"/>
              </w:rPr>
              <w:t xml:space="preserve">Abbreviated survey offered </w:t>
            </w:r>
          </w:p>
        </w:tc>
        <w:tc>
          <w:tcPr>
            <w:tcW w:w="1959" w:type="pct"/>
          </w:tcPr>
          <w:p w14:paraId="59C0214D" w14:textId="77777777" w:rsidR="000228B0" w:rsidRDefault="000228B0">
            <w:pPr>
              <w:pStyle w:val="BodyText"/>
              <w:spacing w:before="0" w:after="0"/>
              <w:ind w:left="33"/>
              <w:rPr>
                <w:rFonts w:ascii="Arial" w:hAnsi="Arial" w:cs="Arial"/>
                <w:strike/>
                <w:sz w:val="18"/>
                <w:szCs w:val="18"/>
              </w:rPr>
            </w:pPr>
          </w:p>
        </w:tc>
      </w:tr>
      <w:tr w:rsidR="000228B0" w14:paraId="73607B44" w14:textId="77777777" w:rsidTr="000228B0">
        <w:trPr>
          <w:trHeight w:val="144"/>
        </w:trPr>
        <w:tc>
          <w:tcPr>
            <w:tcW w:w="1152" w:type="pct"/>
            <w:tcBorders>
              <w:top w:val="nil"/>
              <w:left w:val="nil"/>
              <w:bottom w:val="single" w:sz="12" w:space="0" w:color="auto"/>
              <w:right w:val="nil"/>
            </w:tcBorders>
            <w:hideMark/>
          </w:tcPr>
          <w:p w14:paraId="003325C6" w14:textId="77777777" w:rsidR="000228B0" w:rsidRDefault="000228B0">
            <w:pPr>
              <w:pStyle w:val="BodyText"/>
              <w:spacing w:before="0" w:after="0"/>
              <w:ind w:left="157"/>
              <w:rPr>
                <w:rFonts w:ascii="Arial" w:hAnsi="Arial" w:cs="Arial"/>
                <w:sz w:val="18"/>
                <w:szCs w:val="18"/>
              </w:rPr>
            </w:pPr>
            <w:r>
              <w:rPr>
                <w:rFonts w:ascii="Arial" w:hAnsi="Arial" w:cs="Arial"/>
                <w:b/>
                <w:bCs/>
                <w:sz w:val="18"/>
                <w:szCs w:val="18"/>
              </w:rPr>
              <w:t>Total incentives</w:t>
            </w:r>
          </w:p>
        </w:tc>
        <w:tc>
          <w:tcPr>
            <w:tcW w:w="1889" w:type="pct"/>
            <w:tcBorders>
              <w:top w:val="nil"/>
              <w:left w:val="nil"/>
              <w:bottom w:val="single" w:sz="12" w:space="0" w:color="auto"/>
              <w:right w:val="nil"/>
            </w:tcBorders>
          </w:tcPr>
          <w:p w14:paraId="453CD367" w14:textId="77777777" w:rsidR="000228B0" w:rsidRDefault="000228B0" w:rsidP="000228B0">
            <w:pPr>
              <w:pStyle w:val="BodyText"/>
              <w:numPr>
                <w:ilvl w:val="0"/>
                <w:numId w:val="29"/>
              </w:numPr>
              <w:spacing w:before="0" w:after="0"/>
              <w:ind w:left="303" w:hanging="270"/>
              <w:rPr>
                <w:rFonts w:ascii="Arial" w:hAnsi="Arial" w:cs="Arial"/>
                <w:sz w:val="18"/>
                <w:szCs w:val="18"/>
              </w:rPr>
            </w:pPr>
            <w:r>
              <w:rPr>
                <w:rFonts w:ascii="Arial" w:hAnsi="Arial" w:cs="Arial"/>
                <w:sz w:val="18"/>
                <w:szCs w:val="18"/>
              </w:rPr>
              <w:t>$30 baseline</w:t>
            </w:r>
          </w:p>
          <w:p w14:paraId="4986F248" w14:textId="77777777" w:rsidR="000228B0" w:rsidRDefault="000228B0" w:rsidP="000228B0">
            <w:pPr>
              <w:pStyle w:val="BodyText"/>
              <w:numPr>
                <w:ilvl w:val="0"/>
                <w:numId w:val="29"/>
              </w:numPr>
              <w:spacing w:before="0" w:after="0"/>
              <w:ind w:left="303" w:hanging="270"/>
              <w:rPr>
                <w:rFonts w:ascii="Arial" w:hAnsi="Arial" w:cs="Arial"/>
                <w:sz w:val="18"/>
                <w:szCs w:val="18"/>
              </w:rPr>
            </w:pPr>
            <w:r>
              <w:rPr>
                <w:rFonts w:ascii="Arial" w:hAnsi="Arial" w:cs="Arial"/>
                <w:sz w:val="18"/>
                <w:szCs w:val="18"/>
              </w:rPr>
              <w:t>$10 boost</w:t>
            </w:r>
          </w:p>
          <w:p w14:paraId="5909908B" w14:textId="77777777" w:rsidR="000228B0" w:rsidRDefault="000228B0">
            <w:pPr>
              <w:pStyle w:val="BodyText"/>
              <w:spacing w:before="0" w:after="0"/>
              <w:rPr>
                <w:rFonts w:ascii="Arial" w:hAnsi="Arial" w:cs="Arial"/>
                <w:sz w:val="18"/>
                <w:szCs w:val="18"/>
              </w:rPr>
            </w:pPr>
          </w:p>
          <w:p w14:paraId="5EFAFCE9" w14:textId="77777777" w:rsidR="000228B0" w:rsidRDefault="000228B0" w:rsidP="000228B0">
            <w:pPr>
              <w:pStyle w:val="BodyText"/>
              <w:numPr>
                <w:ilvl w:val="0"/>
                <w:numId w:val="29"/>
              </w:numPr>
              <w:spacing w:before="0" w:after="0"/>
              <w:ind w:left="303" w:hanging="270"/>
              <w:rPr>
                <w:rFonts w:ascii="Arial" w:hAnsi="Arial" w:cs="Arial"/>
                <w:sz w:val="18"/>
                <w:szCs w:val="18"/>
              </w:rPr>
            </w:pPr>
            <w:r>
              <w:rPr>
                <w:rFonts w:ascii="Arial" w:hAnsi="Arial" w:cs="Arial"/>
                <w:sz w:val="18"/>
                <w:szCs w:val="18"/>
              </w:rPr>
              <w:t>Maximum = $40</w:t>
            </w:r>
          </w:p>
        </w:tc>
        <w:tc>
          <w:tcPr>
            <w:tcW w:w="1959" w:type="pct"/>
            <w:tcBorders>
              <w:top w:val="nil"/>
              <w:left w:val="nil"/>
              <w:bottom w:val="single" w:sz="12" w:space="0" w:color="auto"/>
              <w:right w:val="nil"/>
            </w:tcBorders>
            <w:hideMark/>
          </w:tcPr>
          <w:p w14:paraId="5DC55D5F" w14:textId="77777777" w:rsidR="000228B0" w:rsidRDefault="000228B0" w:rsidP="000228B0">
            <w:pPr>
              <w:pStyle w:val="BodyText"/>
              <w:numPr>
                <w:ilvl w:val="0"/>
                <w:numId w:val="29"/>
              </w:numPr>
              <w:spacing w:before="0" w:after="0"/>
              <w:ind w:left="303" w:hanging="270"/>
              <w:rPr>
                <w:rFonts w:ascii="Arial" w:hAnsi="Arial" w:cs="Arial"/>
                <w:sz w:val="18"/>
                <w:szCs w:val="18"/>
              </w:rPr>
            </w:pPr>
            <w:r>
              <w:rPr>
                <w:rFonts w:ascii="Arial" w:hAnsi="Arial" w:cs="Arial"/>
                <w:sz w:val="18"/>
                <w:szCs w:val="18"/>
              </w:rPr>
              <w:t>$2 pre-paid</w:t>
            </w:r>
          </w:p>
          <w:p w14:paraId="779BE079" w14:textId="77777777" w:rsidR="000228B0" w:rsidRDefault="000228B0" w:rsidP="000228B0">
            <w:pPr>
              <w:pStyle w:val="BodyText"/>
              <w:numPr>
                <w:ilvl w:val="0"/>
                <w:numId w:val="29"/>
              </w:numPr>
              <w:spacing w:before="0" w:after="0"/>
              <w:ind w:left="303" w:hanging="270"/>
              <w:rPr>
                <w:rFonts w:ascii="Arial" w:hAnsi="Arial" w:cs="Arial"/>
                <w:sz w:val="18"/>
                <w:szCs w:val="18"/>
              </w:rPr>
            </w:pPr>
            <w:r>
              <w:rPr>
                <w:rFonts w:ascii="Arial" w:hAnsi="Arial" w:cs="Arial"/>
                <w:sz w:val="18"/>
                <w:szCs w:val="18"/>
              </w:rPr>
              <w:t>$45 baseline</w:t>
            </w:r>
          </w:p>
          <w:p w14:paraId="31FF6F6E" w14:textId="77777777" w:rsidR="000228B0" w:rsidRDefault="000228B0" w:rsidP="000228B0">
            <w:pPr>
              <w:pStyle w:val="BodyText"/>
              <w:numPr>
                <w:ilvl w:val="0"/>
                <w:numId w:val="29"/>
              </w:numPr>
              <w:spacing w:before="0" w:after="0"/>
              <w:ind w:left="303" w:hanging="270"/>
              <w:rPr>
                <w:rFonts w:ascii="Arial" w:hAnsi="Arial" w:cs="Arial"/>
                <w:sz w:val="18"/>
                <w:szCs w:val="18"/>
              </w:rPr>
            </w:pPr>
            <w:r>
              <w:rPr>
                <w:rFonts w:ascii="Arial" w:hAnsi="Arial" w:cs="Arial"/>
                <w:sz w:val="18"/>
                <w:szCs w:val="18"/>
              </w:rPr>
              <w:t>$20 boost</w:t>
            </w:r>
          </w:p>
          <w:p w14:paraId="2F6290F9" w14:textId="77777777" w:rsidR="000228B0" w:rsidRDefault="000228B0" w:rsidP="000228B0">
            <w:pPr>
              <w:pStyle w:val="BodyText"/>
              <w:numPr>
                <w:ilvl w:val="0"/>
                <w:numId w:val="29"/>
              </w:numPr>
              <w:spacing w:before="0" w:after="0"/>
              <w:ind w:left="303" w:hanging="270"/>
              <w:rPr>
                <w:rFonts w:ascii="Arial" w:hAnsi="Arial" w:cs="Arial"/>
                <w:sz w:val="18"/>
                <w:szCs w:val="18"/>
              </w:rPr>
            </w:pPr>
            <w:r>
              <w:rPr>
                <w:rFonts w:ascii="Arial" w:hAnsi="Arial" w:cs="Arial"/>
                <w:sz w:val="18"/>
                <w:szCs w:val="18"/>
              </w:rPr>
              <w:t>Maximum = $67</w:t>
            </w:r>
          </w:p>
        </w:tc>
      </w:tr>
    </w:tbl>
    <w:p w14:paraId="5765E599" w14:textId="55EB7C56" w:rsidR="000228B0" w:rsidRPr="000228B0" w:rsidRDefault="000228B0" w:rsidP="000228B0">
      <w:pPr>
        <w:pStyle w:val="NormalWeb"/>
        <w:rPr>
          <w:color w:val="000000"/>
        </w:rPr>
      </w:pPr>
      <w:r>
        <w:rPr>
          <w:rFonts w:ascii="Calibri" w:hAnsi="Calibri" w:cs="Calibri"/>
          <w:color w:val="000000"/>
        </w:rPr>
        <w:br/>
      </w:r>
      <w:r>
        <w:rPr>
          <w:rFonts w:ascii="Calibri" w:hAnsi="Calibri" w:cs="Calibri"/>
          <w:color w:val="000000"/>
        </w:rPr>
        <w:br/>
      </w:r>
      <w:r w:rsidRPr="000228B0">
        <w:rPr>
          <w:color w:val="000000"/>
        </w:rPr>
        <w:t xml:space="preserve">The duration of each phase of data collection will be determined based on phase capacity—the time at which a subgroup's estimates remain stable regardless of additional data collection efforts. For example, during the early completion phase, key metrics are continually monitored, and when they stabilize over </w:t>
      </w:r>
      <w:proofErr w:type="gramStart"/>
      <w:r w:rsidRPr="000228B0">
        <w:rPr>
          <w:color w:val="000000"/>
        </w:rPr>
        <w:t>a period of time</w:t>
      </w:r>
      <w:proofErr w:type="gramEnd"/>
      <w:r w:rsidRPr="000228B0">
        <w:rPr>
          <w:color w:val="000000"/>
        </w:rPr>
        <w:t>, cases are then transferred to the next phase. Phase capacity will be determined based on a series of individual indicators within each data collection protocol. For example, response rates and other level of effort indicators over time accounting for covariates, such as institution control, will be assessed.</w:t>
      </w:r>
      <w:r w:rsidRPr="000228B0">
        <w:rPr>
          <w:color w:val="000000"/>
        </w:rPr>
        <w:br/>
      </w:r>
      <w:r w:rsidRPr="000228B0">
        <w:rPr>
          <w:color w:val="000000"/>
        </w:rPr>
        <w:br/>
      </w:r>
      <w:r w:rsidRPr="000228B0">
        <w:rPr>
          <w:b/>
          <w:bCs/>
          <w:color w:val="000000"/>
        </w:rPr>
        <w:t>Incentives</w:t>
      </w:r>
      <w:r w:rsidRPr="000228B0">
        <w:rPr>
          <w:color w:val="000000"/>
        </w:rPr>
        <w:t xml:space="preserve">. The baseline incentive for the default protocol will be $30 with a $10 incentive boost in Production Phase 2, leading to a maximum possible total incentive of $40. The baseline incentive for the aggressive protocol will be $45. An experiment conducted in BPS:12/14 showed that a $45 baseline incentive yielded the highest response rates (Hill et al. 2016). However, this experiment was underpowered to detect differences from $30 in the lower propensity response groups (Wilson et al. 2015). Nonetheless, implementing a higher baseline incentive is recommended given the $30 baseline incentive and the $10 incentive boost from NPSAS:20 was not enough to encourage prior year nonrespondents to participate. Further, the $40 BPS:20/22 field test incentive yielded a response rate of only 25.3 percent among these “aggressive protocol” sample members. The baseline incentive will be paid in addition to a possible $2 prepaid incentive (see prepaid incentive section below), and a $20 incentive boost (see nonresponse conversion incentive section below). The maximum possible total incentive is $67 in the aggressive data collection protocol. Results from the BPS:20/22 field test showed that offering sample members an early bird incentive did not significantly improve response rates or representativeness by the end of data collection, nor did it practically improve data collection efficiency (Appendix </w:t>
      </w:r>
      <w:r w:rsidR="00A55D7A">
        <w:rPr>
          <w:color w:val="000000"/>
        </w:rPr>
        <w:t>D</w:t>
      </w:r>
      <w:r w:rsidRPr="000228B0">
        <w:rPr>
          <w:color w:val="000000"/>
        </w:rPr>
        <w:t>). Therefore, early bird incentives will not be used in the full-scale study for either the default or aggressive protocols.</w:t>
      </w:r>
      <w:r w:rsidRPr="000228B0">
        <w:rPr>
          <w:color w:val="000000"/>
        </w:rPr>
        <w:br/>
      </w:r>
      <w:r w:rsidRPr="000228B0">
        <w:rPr>
          <w:color w:val="000000"/>
        </w:rPr>
        <w:br/>
        <w:t>Beyond the baseline incentives, both data collection protocols employ similar interventions, although the timing and intensity of these interventions differ across groups. Interventions occur sooner in the aggressive protocol and are more intense.</w:t>
      </w:r>
      <w:r w:rsidRPr="000228B0">
        <w:rPr>
          <w:color w:val="000000"/>
        </w:rPr>
        <w:br/>
      </w:r>
      <w:r w:rsidRPr="000228B0">
        <w:rPr>
          <w:color w:val="000000"/>
        </w:rPr>
        <w:br/>
      </w:r>
      <w:r w:rsidRPr="000228B0">
        <w:rPr>
          <w:b/>
          <w:bCs/>
          <w:color w:val="000000"/>
        </w:rPr>
        <w:t>Prenotification</w:t>
      </w:r>
      <w:r w:rsidRPr="000228B0">
        <w:rPr>
          <w:color w:val="000000"/>
        </w:rPr>
        <w:t>. The first mailing that individuals in the default and aggressive data collection protocols will receive is a greeting card. This mailing is aimed to increase the perceived legitimacy of the upcoming survey request (e.g., Groves et al. 1992) in both data collection groups and announce the incentive amounts. Greeting cards</w:t>
      </w:r>
      <w:proofErr w:type="gramStart"/>
      <w:r w:rsidRPr="000228B0">
        <w:rPr>
          <w:color w:val="000000"/>
        </w:rPr>
        <w:t>, in particular, have</w:t>
      </w:r>
      <w:proofErr w:type="gramEnd"/>
      <w:r w:rsidRPr="000228B0">
        <w:rPr>
          <w:color w:val="000000"/>
        </w:rPr>
        <w:t xml:space="preserve"> been shown to significantly increase response rates in longitudinal studies (Griggs et al. 2019) and this method will be used as a precursor to the invitation letter. The greeting card will be mailed a few weeks in advance of data collection.</w:t>
      </w:r>
      <w:r w:rsidRPr="000228B0">
        <w:rPr>
          <w:color w:val="000000"/>
        </w:rPr>
        <w:br/>
      </w:r>
      <w:r w:rsidRPr="000228B0">
        <w:rPr>
          <w:color w:val="000000"/>
        </w:rPr>
        <w:br/>
      </w:r>
      <w:r w:rsidRPr="000228B0">
        <w:rPr>
          <w:b/>
          <w:bCs/>
          <w:color w:val="000000"/>
        </w:rPr>
        <w:t>$2 prepaid incentive.</w:t>
      </w:r>
      <w:r w:rsidRPr="000228B0">
        <w:rPr>
          <w:color w:val="000000"/>
        </w:rPr>
        <w:t xml:space="preserve"> Cash prepaid incentives have been shown to significantly increase response rates in both interviewer-administered and self-administered surveys. These prepaid incentives increase the perceived legitimacy of the survey request and therefore reduce the potential for nonresponse bias (e.g., </w:t>
      </w:r>
      <w:r w:rsidRPr="000228B0">
        <w:rPr>
          <w:color w:val="000000"/>
        </w:rPr>
        <w:lastRenderedPageBreak/>
        <w:t xml:space="preserve">Church 1993; Cantor et al. 2008; </w:t>
      </w:r>
      <w:proofErr w:type="spellStart"/>
      <w:r w:rsidRPr="000228B0">
        <w:rPr>
          <w:color w:val="000000"/>
        </w:rPr>
        <w:t>Goeritz</w:t>
      </w:r>
      <w:proofErr w:type="spellEnd"/>
      <w:r w:rsidRPr="000228B0">
        <w:rPr>
          <w:color w:val="000000"/>
        </w:rPr>
        <w:t xml:space="preserve"> 2006; Medway and Tourangeau 2015; Messer and </w:t>
      </w:r>
      <w:proofErr w:type="spellStart"/>
      <w:r w:rsidRPr="000228B0">
        <w:rPr>
          <w:color w:val="000000"/>
        </w:rPr>
        <w:t>Dillman</w:t>
      </w:r>
      <w:proofErr w:type="spellEnd"/>
      <w:r w:rsidRPr="000228B0">
        <w:rPr>
          <w:color w:val="000000"/>
        </w:rPr>
        <w:t xml:space="preserve"> 2011; Parsons and </w:t>
      </w:r>
      <w:proofErr w:type="spellStart"/>
      <w:r w:rsidRPr="000228B0">
        <w:rPr>
          <w:color w:val="000000"/>
        </w:rPr>
        <w:t>Manierre</w:t>
      </w:r>
      <w:proofErr w:type="spellEnd"/>
      <w:r w:rsidRPr="000228B0">
        <w:rPr>
          <w:color w:val="000000"/>
        </w:rPr>
        <w:t xml:space="preserve"> 2014; Singer 2002). During the early completion phase in the B&amp;B:16/17 field test, prepaid incentives ($10 via check or PayPal) in combination with telephone prompting also significantly increased response rates by 4.4 percentage points in the aggressive protocol group. Given these positive findings combined with general recommendations in the literature (e.g., Singer and Ye 2013; </w:t>
      </w:r>
      <w:proofErr w:type="spellStart"/>
      <w:r w:rsidRPr="000228B0">
        <w:rPr>
          <w:color w:val="000000"/>
        </w:rPr>
        <w:t>DeBell</w:t>
      </w:r>
      <w:proofErr w:type="spellEnd"/>
      <w:r w:rsidRPr="000228B0">
        <w:rPr>
          <w:color w:val="000000"/>
        </w:rPr>
        <w:t xml:space="preserve"> et al. 2019), a small $2 cash prepaid â€˜visible' incentive, or, where necessary due to low address quality, a $2 prepaid PayPal incentive announced on a separate index card will be sent to all cases in the aggressive protocol for BPS:20/22 full-scale (see results from the B&amp;B:16/20 calibration experiment – Kirchner et al. 2021). Sample members will be notified of this prepaid incentive in the data collection prenotification, and it will be included in the data collection announcement letter. </w:t>
      </w:r>
      <w:r w:rsidRPr="000228B0">
        <w:rPr>
          <w:color w:val="000000"/>
        </w:rPr>
        <w:br/>
      </w:r>
      <w:r w:rsidRPr="000228B0">
        <w:rPr>
          <w:color w:val="000000"/>
        </w:rPr>
        <w:br/>
      </w:r>
      <w:r w:rsidRPr="000228B0">
        <w:rPr>
          <w:b/>
          <w:bCs/>
          <w:color w:val="000000"/>
        </w:rPr>
        <w:t>Mode tailoring.</w:t>
      </w:r>
      <w:r w:rsidRPr="000228B0">
        <w:rPr>
          <w:color w:val="000000"/>
        </w:rPr>
        <w:t xml:space="preserve"> The leverage-saliency theory suggests that respondents have different hooks that drive their likelihood of survey participation (Groves et al. 2000); thus, offering a person the survey mode (e.g., web, mail, telephone) that they prefer may increase their likelihood of responding. This is further supported by empirical evidence that shows offering people their preferred mode speeds up their response and is associated with higher participation rates (e.g., Olson et al. 2012). Using the NPSAS:20 survey completion mode as a proxy for mode preference, the BPS:20/22 full-scale early completion phase will approach sample members in the default protocol with their mode of completion for NPSAS:20. Specifically, while all sample members in the default protocol will receive identical data collection announcement letters and e-mails, those who completed the NPSAS:20 survey by telephone (4.3 percent) will be approached by telephone from the start of data collection. Likewise, those who completed the NPSAS:20 main study survey online will not be contacted by telephone before a preassigned outbound telephone data collection date.</w:t>
      </w:r>
      <w:r w:rsidRPr="000228B0">
        <w:rPr>
          <w:color w:val="000000"/>
        </w:rPr>
        <w:br/>
      </w:r>
      <w:r w:rsidRPr="000228B0">
        <w:rPr>
          <w:color w:val="000000"/>
        </w:rPr>
        <w:br/>
      </w:r>
      <w:r w:rsidRPr="000228B0">
        <w:rPr>
          <w:b/>
          <w:bCs/>
          <w:color w:val="000000"/>
        </w:rPr>
        <w:t>(Light) outbound CATI calling and text messaging.</w:t>
      </w:r>
      <w:r w:rsidRPr="000228B0">
        <w:rPr>
          <w:color w:val="000000"/>
        </w:rPr>
        <w:t xml:space="preserve"> The results from the BPS:20/22 field test showed that there were no statistically significant differences in the response rates for the text message reminder and the telephone only group at the end of the experimental period (Appendix </w:t>
      </w:r>
      <w:r w:rsidR="00A55D7A">
        <w:rPr>
          <w:color w:val="000000"/>
        </w:rPr>
        <w:t>D</w:t>
      </w:r>
      <w:r w:rsidRPr="000228B0">
        <w:rPr>
          <w:color w:val="000000"/>
        </w:rPr>
        <w:t xml:space="preserve">). As a result, both data collection groups will receive early text message reminders combined with prioritized telephone calls. Telephone calls will be prioritized to individuals for whom no cell phone number exists, those who opt out of the text message reminders, and those sample members who will be prioritized based on other criteria (e.g., from lower performing sectors). Text messages from sample members will be answered with an automated text response, with the possibility of two-way text messaging (i.e., interviewers respond to text message questions sent by sample members) in some cases. </w:t>
      </w:r>
      <w:r w:rsidRPr="000228B0">
        <w:rPr>
          <w:color w:val="000000"/>
        </w:rPr>
        <w:br/>
      </w:r>
      <w:r w:rsidRPr="000228B0">
        <w:rPr>
          <w:color w:val="000000"/>
        </w:rPr>
        <w:br/>
        <w:t xml:space="preserve">Sample members in the default group who qualify for telephone calls will receive a light CATI protocol. Light CATI involves a minimal number of phone calls, used mainly to prompt web response (as opposed to regular CATI efforts that involve more frequent phone efforts, with the goal to locate sample members and encourage their participation). In the B&amp;B:16/17 field test, introduction of light CATI interviewing appeared to increase production phase response rates in the default protocol. Although one should use caution when interpreting these results – group assignment in B&amp;B:16/17 field test was not random but instead compared NPSAS:16 “early” and “late” respondents– the findings are consistent with the literature which has shown that web surveys tend to have lower response rates compared to interviewer-administered surveys (e.g., </w:t>
      </w:r>
      <w:proofErr w:type="spellStart"/>
      <w:r w:rsidRPr="000228B0">
        <w:rPr>
          <w:color w:val="000000"/>
        </w:rPr>
        <w:t>Lozar</w:t>
      </w:r>
      <w:proofErr w:type="spellEnd"/>
      <w:r w:rsidRPr="000228B0">
        <w:rPr>
          <w:color w:val="000000"/>
        </w:rPr>
        <w:t xml:space="preserve"> </w:t>
      </w:r>
      <w:proofErr w:type="spellStart"/>
      <w:r w:rsidRPr="000228B0">
        <w:rPr>
          <w:color w:val="000000"/>
        </w:rPr>
        <w:t>Manfreda</w:t>
      </w:r>
      <w:proofErr w:type="spellEnd"/>
      <w:r w:rsidRPr="000228B0">
        <w:rPr>
          <w:color w:val="000000"/>
        </w:rPr>
        <w:t xml:space="preserve"> et al. 2008). Attempting to survey sample members by telephone also increases the likelihood of initiating locating efforts sooner. B&amp;B:16/17 field test results showed higher locate rates in the default protocol (93.7 percent), which had light CATI, compared to a more relaxed protocol without light CATI (77.8 percent; p &lt; 0.001). For the BPS:20/22 full-scale data collection, light CATI will be used in the default protocol once CATI begins in Production Phase 1. Additionally, all cases in the aggressive protocol will receive earlier and more intense telephone prompting than eligible cases in the default group.</w:t>
      </w:r>
      <w:r w:rsidRPr="000228B0">
        <w:rPr>
          <w:color w:val="000000"/>
        </w:rPr>
        <w:br/>
      </w:r>
      <w:r w:rsidRPr="000228B0">
        <w:rPr>
          <w:color w:val="000000"/>
        </w:rPr>
        <w:br/>
      </w:r>
      <w:r w:rsidRPr="000228B0">
        <w:rPr>
          <w:b/>
          <w:bCs/>
          <w:color w:val="000000"/>
        </w:rPr>
        <w:t>Incentive boosts.</w:t>
      </w:r>
      <w:r w:rsidRPr="000228B0">
        <w:rPr>
          <w:color w:val="000000"/>
        </w:rPr>
        <w:t xml:space="preserve"> Researchers have commonly used incentive boosts as a nonresponse conversion strategy for sample members who have implicitly or explicitly refused to complete the survey (e.g., Groves and </w:t>
      </w:r>
      <w:proofErr w:type="spellStart"/>
      <w:r w:rsidRPr="000228B0">
        <w:rPr>
          <w:color w:val="000000"/>
        </w:rPr>
        <w:t>Heeringa</w:t>
      </w:r>
      <w:proofErr w:type="spellEnd"/>
      <w:r w:rsidRPr="000228B0">
        <w:rPr>
          <w:color w:val="000000"/>
        </w:rPr>
        <w:t xml:space="preserve"> 2006; Singer and Ye 2013). These boosts are especially common in large federal surveys during </w:t>
      </w:r>
      <w:r w:rsidRPr="000228B0">
        <w:rPr>
          <w:color w:val="000000"/>
        </w:rPr>
        <w:lastRenderedPageBreak/>
        <w:t>their nonresponse follow-up phase (e.g., The Center for Disease Control and Prevention's National Survey of Family Growth) and have been implemented successfully in other postsecondary education surveys (e.g., HSLS:09 second follow-up; BPS:12/17; NPSAS:20). In NPSAS:20, a $10 incentive boost increased the overall response rate by about 3.2 percentage points above the projected response rate. Therefore, a $10 incentive boost increase to the BPS:20/22 baseline incentive is planned during Production Phase 2 for all remaining nonrespondents in the default data collection protocol, before the abbreviated survey is offered in the nonresponse conversion phase. Remaining nonrespondents in the aggressive data collection protocol will be offered a $20 incentive boost increase to the baseline incentive before the abbreviated survey (both offered in Production Phase 2). This is because the $10 incentive boost in NPSAS:20 did not show any effect on this group. If necessary, incentive boosts may be targeted only at certain groups of nonrespondents to achieve response goals (e.g., targeting nonrespondents from certain states to ensure representativeness, targeting aggressive group nonrespondents to reduce the potential for nonresponse bias).</w:t>
      </w:r>
      <w:r w:rsidRPr="000228B0">
        <w:rPr>
          <w:color w:val="000000"/>
        </w:rPr>
        <w:br/>
      </w:r>
      <w:r w:rsidRPr="000228B0">
        <w:rPr>
          <w:color w:val="000000"/>
        </w:rPr>
        <w:br/>
      </w:r>
      <w:r w:rsidRPr="000228B0">
        <w:rPr>
          <w:b/>
          <w:bCs/>
          <w:color w:val="000000"/>
        </w:rPr>
        <w:t>Abbreviated survey.</w:t>
      </w:r>
      <w:r w:rsidRPr="000228B0">
        <w:rPr>
          <w:color w:val="000000"/>
        </w:rPr>
        <w:t xml:space="preserve"> Obtaining responses from all sample members is an important assumption of the inferential paradigm. The leverage-saliency theory (Groves et al. 2000) and the social exchange theory (</w:t>
      </w:r>
      <w:proofErr w:type="spellStart"/>
      <w:r w:rsidRPr="000228B0">
        <w:rPr>
          <w:color w:val="000000"/>
        </w:rPr>
        <w:t>Dillman</w:t>
      </w:r>
      <w:proofErr w:type="spellEnd"/>
      <w:r w:rsidRPr="000228B0">
        <w:rPr>
          <w:color w:val="000000"/>
        </w:rPr>
        <w:t xml:space="preserve"> et al. 2014) suggest that the participation decision of an individual is driven by different survey design factors or perceived cost of participating. As such, reducing the perceived burden of participating by reducing the survey length may motivate sample members to participate.</w:t>
      </w:r>
      <w:r w:rsidRPr="000228B0">
        <w:rPr>
          <w:color w:val="000000"/>
        </w:rPr>
        <w:br/>
      </w:r>
      <w:r w:rsidRPr="000228B0">
        <w:rPr>
          <w:color w:val="000000"/>
        </w:rPr>
        <w:br/>
        <w:t xml:space="preserve">During the B&amp;B:16/17 field test, prior round nonrespondents were randomly assigned to one of two groups: 1) prior round nonrespondents who were offered the abbreviated survey during the production phase (i.e., before the nonresponse conversion phase), and 2) prior round nonrespondents who were offered the abbreviated survey during the nonresponse conversion phase (i.e., after the production phase). At the end of the production phase, prior round nonrespondents who received the abbreviated survey had a higher overall response rate (22.7 percent) than those who were not offered the abbreviated during that phase (12.1 percent; </w:t>
      </w:r>
      <w:proofErr w:type="gramStart"/>
      <w:r w:rsidRPr="000228B0">
        <w:rPr>
          <w:color w:val="000000"/>
        </w:rPr>
        <w:t>t(</w:t>
      </w:r>
      <w:proofErr w:type="gramEnd"/>
      <w:r w:rsidRPr="000228B0">
        <w:rPr>
          <w:color w:val="000000"/>
        </w:rPr>
        <w:t>2,097) = 3.67, p &lt; 0.001). Further, at the end of data collection, prior round nonrespondents who were offered the abbreviated survey during the earlier production phase had a significantly higher response rate (37 percent) than prior round nonrespondents who were not offered the abbreviated survey until the nonresponse conversion phase (25 percent) (</w:t>
      </w:r>
      <w:proofErr w:type="gramStart"/>
      <w:r w:rsidRPr="000228B0">
        <w:rPr>
          <w:color w:val="000000"/>
        </w:rPr>
        <w:t>t(</w:t>
      </w:r>
      <w:proofErr w:type="gramEnd"/>
      <w:r w:rsidRPr="000228B0">
        <w:rPr>
          <w:color w:val="000000"/>
        </w:rPr>
        <w:t>2,097) = 3.52, p =.001). These results indicate that offering an abbreviated survey to prior round nonrespondents during the production phase (i.e., earlier in data collection) significantly increases response rates. The B&amp;B:08/12 and B&amp;B:08/18 full-scale studies also demonstrated the benefit of an abbreviated survey. Offering the abbreviated survey to prior round nonrespondents increased overall response rates of that group by 18.2 (B&amp;B:08/12) and 8.8 (B&amp;B:08/18) percentage points (Cominole et al. 2015). In NPSAS:20, 14.4 percent of those offered the abbreviated survey completed it. Therefore, an abbreviated survey option will be offered to all sample members in the BPS:20/22 full-scale study. For the aggressive protocol, the abbreviated survey will be offered during Production Phase 2, which is the latter half of the production phase of data collection. For the default protocol, the abbreviated survey will be offered as the last step in nonresponse conversion.</w:t>
      </w:r>
      <w:r w:rsidRPr="000228B0">
        <w:rPr>
          <w:color w:val="000000"/>
        </w:rPr>
        <w:br/>
      </w:r>
      <w:r w:rsidRPr="000228B0">
        <w:rPr>
          <w:color w:val="000000"/>
        </w:rPr>
        <w:br/>
      </w:r>
      <w:r w:rsidRPr="000228B0">
        <w:rPr>
          <w:b/>
          <w:bCs/>
          <w:color w:val="000000"/>
        </w:rPr>
        <w:t>Other interventions</w:t>
      </w:r>
      <w:r w:rsidRPr="000228B0">
        <w:rPr>
          <w:color w:val="000000"/>
        </w:rPr>
        <w:t>. While all BPS studies are conducted by NCES, the data collection contractor, RTI International, has typically used the study-specific e-mail “@rti.org” to contact and support sample members. Changing the e-mail sender to the NCES project officer or the RTI project director may increase the perceived importance of the survey and help personalize the contact materials, thereby potentially increasing relevance. Switching the sender during data collection also increases the chance that the survey invitation is delivered to the sample member rather than to a spam filter.</w:t>
      </w:r>
    </w:p>
    <w:p w14:paraId="09350E56" w14:textId="460DCA94" w:rsidR="00C12094" w:rsidRPr="000228B0" w:rsidRDefault="000228B0" w:rsidP="000228B0">
      <w:pPr>
        <w:pStyle w:val="BodyText"/>
        <w:rPr>
          <w:rFonts w:ascii="Times New Roman" w:hAnsi="Times New Roman"/>
        </w:rPr>
      </w:pPr>
      <w:r w:rsidRPr="000228B0">
        <w:rPr>
          <w:rFonts w:ascii="Times New Roman" w:hAnsi="Times New Roman"/>
          <w:color w:val="000000"/>
        </w:rPr>
        <w:t xml:space="preserve">As a result of the above experiment(s), detailed information on field results can be found in Appendix </w:t>
      </w:r>
      <w:r w:rsidR="00A55D7A">
        <w:rPr>
          <w:rFonts w:ascii="Times New Roman" w:hAnsi="Times New Roman"/>
          <w:color w:val="000000"/>
        </w:rPr>
        <w:t>D</w:t>
      </w:r>
      <w:r w:rsidRPr="000228B0">
        <w:rPr>
          <w:rFonts w:ascii="Times New Roman" w:hAnsi="Times New Roman"/>
          <w:color w:val="000000"/>
        </w:rPr>
        <w:t>.</w:t>
      </w:r>
    </w:p>
    <w:p w14:paraId="53739BDC" w14:textId="2B4881E0" w:rsidR="005346A2" w:rsidRDefault="005346A2">
      <w:pPr>
        <w:spacing w:after="200" w:line="276" w:lineRule="auto"/>
        <w:rPr>
          <w:rFonts w:ascii="Garamond" w:hAnsi="Garamond"/>
          <w:kern w:val="16"/>
          <w:szCs w:val="20"/>
        </w:rPr>
      </w:pPr>
      <w:r>
        <w:br w:type="page"/>
      </w:r>
    </w:p>
    <w:p w14:paraId="17AB32F0" w14:textId="77777777" w:rsidR="00C12094" w:rsidRDefault="00C12094" w:rsidP="00056503">
      <w:pPr>
        <w:pStyle w:val="BodyText"/>
      </w:pPr>
    </w:p>
    <w:p w14:paraId="152F1D9E" w14:textId="3FD85B7F" w:rsidR="00F557F5" w:rsidRDefault="00056503" w:rsidP="00B84E3B">
      <w:pPr>
        <w:pStyle w:val="Heading1"/>
        <w:numPr>
          <w:ilvl w:val="0"/>
          <w:numId w:val="0"/>
        </w:numPr>
      </w:pPr>
      <w:r>
        <w:t>Attachment 2</w:t>
      </w:r>
      <w:r w:rsidR="00227FE5">
        <w:t>a</w:t>
      </w:r>
      <w:r w:rsidR="00B84E3B">
        <w:t xml:space="preserve"> – </w:t>
      </w:r>
      <w:r w:rsidR="0071603F">
        <w:t>Systemic</w:t>
      </w:r>
      <w:r w:rsidR="00227FE5">
        <w:t xml:space="preserve"> c</w:t>
      </w:r>
      <w:r w:rsidR="00B84E3B">
        <w:t xml:space="preserve">hanges to </w:t>
      </w:r>
      <w:r w:rsidR="0071603F">
        <w:t xml:space="preserve">adapt to </w:t>
      </w:r>
      <w:r w:rsidR="000A4DD2">
        <w:t xml:space="preserve">full-scale </w:t>
      </w:r>
      <w:r w:rsidR="00AC1DEA">
        <w:t>contacting</w:t>
      </w:r>
      <w:r w:rsidR="00B84E3B">
        <w:t xml:space="preserve"> materials</w:t>
      </w:r>
    </w:p>
    <w:tbl>
      <w:tblPr>
        <w:tblW w:w="11155" w:type="dxa"/>
        <w:tblLook w:val="04A0" w:firstRow="1" w:lastRow="0" w:firstColumn="1" w:lastColumn="0" w:noHBand="0" w:noVBand="1"/>
      </w:tblPr>
      <w:tblGrid>
        <w:gridCol w:w="1762"/>
        <w:gridCol w:w="1176"/>
        <w:gridCol w:w="1287"/>
        <w:gridCol w:w="1710"/>
        <w:gridCol w:w="2250"/>
        <w:gridCol w:w="2970"/>
      </w:tblGrid>
      <w:tr w:rsidR="00217829" w:rsidRPr="00217829" w14:paraId="5BB84832" w14:textId="77777777" w:rsidTr="00217829">
        <w:trPr>
          <w:trHeight w:val="750"/>
        </w:trPr>
        <w:tc>
          <w:tcPr>
            <w:tcW w:w="1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D6755" w14:textId="77777777" w:rsidR="00217829" w:rsidRPr="00217829" w:rsidRDefault="00217829" w:rsidP="00217829">
            <w:pPr>
              <w:rPr>
                <w:rFonts w:ascii="Calibri" w:hAnsi="Calibri" w:cs="Calibri"/>
                <w:b/>
                <w:bCs/>
                <w:color w:val="000000"/>
                <w:sz w:val="20"/>
                <w:szCs w:val="20"/>
              </w:rPr>
            </w:pPr>
            <w:r w:rsidRPr="00217829">
              <w:rPr>
                <w:rFonts w:ascii="Calibri" w:hAnsi="Calibri" w:cs="Calibri"/>
                <w:b/>
                <w:bCs/>
                <w:color w:val="000000"/>
                <w:sz w:val="20"/>
                <w:szCs w:val="20"/>
              </w:rPr>
              <w:t>Change</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1331D297" w14:textId="77777777" w:rsidR="00217829" w:rsidRPr="00217829" w:rsidRDefault="00217829" w:rsidP="00217829">
            <w:pPr>
              <w:jc w:val="center"/>
              <w:rPr>
                <w:rFonts w:ascii="Calibri" w:hAnsi="Calibri" w:cs="Calibri"/>
                <w:b/>
                <w:bCs/>
                <w:color w:val="000000"/>
                <w:sz w:val="20"/>
                <w:szCs w:val="20"/>
              </w:rPr>
            </w:pPr>
            <w:r w:rsidRPr="00217829">
              <w:rPr>
                <w:rFonts w:ascii="Calibri" w:hAnsi="Calibri" w:cs="Calibri"/>
                <w:b/>
                <w:bCs/>
                <w:color w:val="000000"/>
                <w:sz w:val="20"/>
                <w:szCs w:val="20"/>
              </w:rPr>
              <w:t>Page in FT package</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7968B2DC" w14:textId="77777777" w:rsidR="00217829" w:rsidRPr="00217829" w:rsidRDefault="00217829" w:rsidP="00217829">
            <w:pPr>
              <w:jc w:val="center"/>
              <w:rPr>
                <w:rFonts w:ascii="Calibri" w:hAnsi="Calibri" w:cs="Calibri"/>
                <w:b/>
                <w:bCs/>
                <w:color w:val="000000"/>
                <w:sz w:val="20"/>
                <w:szCs w:val="20"/>
              </w:rPr>
            </w:pPr>
            <w:r w:rsidRPr="00217829">
              <w:rPr>
                <w:rFonts w:ascii="Calibri" w:hAnsi="Calibri" w:cs="Calibri"/>
                <w:b/>
                <w:bCs/>
                <w:color w:val="000000"/>
                <w:sz w:val="20"/>
                <w:szCs w:val="20"/>
              </w:rPr>
              <w:t>Page in FS package</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0A2911E" w14:textId="77777777" w:rsidR="00217829" w:rsidRPr="00217829" w:rsidRDefault="00217829" w:rsidP="00217829">
            <w:pPr>
              <w:rPr>
                <w:rFonts w:ascii="Calibri" w:hAnsi="Calibri" w:cs="Calibri"/>
                <w:b/>
                <w:bCs/>
                <w:color w:val="000000"/>
                <w:sz w:val="20"/>
                <w:szCs w:val="20"/>
              </w:rPr>
            </w:pPr>
            <w:r w:rsidRPr="00217829">
              <w:rPr>
                <w:rFonts w:ascii="Calibri" w:hAnsi="Calibri" w:cs="Calibri"/>
                <w:b/>
                <w:bCs/>
                <w:color w:val="000000"/>
                <w:sz w:val="20"/>
                <w:szCs w:val="20"/>
              </w:rPr>
              <w:t>Type of change</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37A5F4A8" w14:textId="77777777" w:rsidR="00217829" w:rsidRPr="00217829" w:rsidRDefault="00217829" w:rsidP="00217829">
            <w:pPr>
              <w:rPr>
                <w:rFonts w:ascii="Calibri" w:hAnsi="Calibri" w:cs="Calibri"/>
                <w:b/>
                <w:bCs/>
                <w:color w:val="000000"/>
                <w:sz w:val="20"/>
                <w:szCs w:val="20"/>
              </w:rPr>
            </w:pPr>
            <w:r w:rsidRPr="00217829">
              <w:rPr>
                <w:rFonts w:ascii="Calibri" w:hAnsi="Calibri" w:cs="Calibri"/>
                <w:b/>
                <w:bCs/>
                <w:color w:val="000000"/>
                <w:sz w:val="20"/>
                <w:szCs w:val="20"/>
              </w:rPr>
              <w:t>Reason for change</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74A792D1" w14:textId="77777777" w:rsidR="00217829" w:rsidRPr="00217829" w:rsidRDefault="00217829" w:rsidP="00217829">
            <w:pPr>
              <w:rPr>
                <w:rFonts w:ascii="Calibri" w:hAnsi="Calibri" w:cs="Calibri"/>
                <w:b/>
                <w:bCs/>
                <w:color w:val="000000"/>
                <w:sz w:val="20"/>
                <w:szCs w:val="20"/>
              </w:rPr>
            </w:pPr>
            <w:r w:rsidRPr="00217829">
              <w:rPr>
                <w:rFonts w:ascii="Calibri" w:hAnsi="Calibri" w:cs="Calibri"/>
                <w:b/>
                <w:bCs/>
                <w:color w:val="000000"/>
                <w:sz w:val="20"/>
                <w:szCs w:val="20"/>
              </w:rPr>
              <w:t>Notes</w:t>
            </w:r>
          </w:p>
        </w:tc>
      </w:tr>
      <w:tr w:rsidR="00217829" w:rsidRPr="00217829" w14:paraId="1ACBDDAC" w14:textId="77777777" w:rsidTr="00217829">
        <w:trPr>
          <w:trHeight w:val="600"/>
        </w:trPr>
        <w:tc>
          <w:tcPr>
            <w:tcW w:w="1762" w:type="dxa"/>
            <w:tcBorders>
              <w:top w:val="nil"/>
              <w:left w:val="single" w:sz="4" w:space="0" w:color="auto"/>
              <w:bottom w:val="single" w:sz="4" w:space="0" w:color="auto"/>
              <w:right w:val="single" w:sz="4" w:space="0" w:color="auto"/>
            </w:tcBorders>
            <w:shd w:val="clear" w:color="auto" w:fill="auto"/>
            <w:vAlign w:val="center"/>
            <w:hideMark/>
          </w:tcPr>
          <w:p w14:paraId="47B69223"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Updated phone numbers and email addresses</w:t>
            </w:r>
          </w:p>
        </w:tc>
        <w:tc>
          <w:tcPr>
            <w:tcW w:w="1176" w:type="dxa"/>
            <w:tcBorders>
              <w:top w:val="nil"/>
              <w:left w:val="nil"/>
              <w:bottom w:val="single" w:sz="4" w:space="0" w:color="auto"/>
              <w:right w:val="single" w:sz="4" w:space="0" w:color="auto"/>
            </w:tcBorders>
            <w:shd w:val="clear" w:color="auto" w:fill="auto"/>
            <w:vAlign w:val="center"/>
            <w:hideMark/>
          </w:tcPr>
          <w:p w14:paraId="421118BD"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Throughout</w:t>
            </w:r>
          </w:p>
        </w:tc>
        <w:tc>
          <w:tcPr>
            <w:tcW w:w="1287" w:type="dxa"/>
            <w:tcBorders>
              <w:top w:val="nil"/>
              <w:left w:val="nil"/>
              <w:bottom w:val="single" w:sz="4" w:space="0" w:color="auto"/>
              <w:right w:val="single" w:sz="4" w:space="0" w:color="auto"/>
            </w:tcBorders>
            <w:shd w:val="clear" w:color="auto" w:fill="auto"/>
            <w:vAlign w:val="center"/>
            <w:hideMark/>
          </w:tcPr>
          <w:p w14:paraId="24EEE434"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Multiple pages</w:t>
            </w:r>
          </w:p>
        </w:tc>
        <w:tc>
          <w:tcPr>
            <w:tcW w:w="1710" w:type="dxa"/>
            <w:tcBorders>
              <w:top w:val="nil"/>
              <w:left w:val="nil"/>
              <w:bottom w:val="single" w:sz="4" w:space="0" w:color="auto"/>
              <w:right w:val="single" w:sz="4" w:space="0" w:color="auto"/>
            </w:tcBorders>
            <w:shd w:val="clear" w:color="auto" w:fill="auto"/>
            <w:vAlign w:val="center"/>
            <w:hideMark/>
          </w:tcPr>
          <w:p w14:paraId="7BB554B0"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Contact information updated</w:t>
            </w:r>
          </w:p>
        </w:tc>
        <w:tc>
          <w:tcPr>
            <w:tcW w:w="2250" w:type="dxa"/>
            <w:tcBorders>
              <w:top w:val="nil"/>
              <w:left w:val="nil"/>
              <w:bottom w:val="single" w:sz="4" w:space="0" w:color="auto"/>
              <w:right w:val="single" w:sz="4" w:space="0" w:color="auto"/>
            </w:tcBorders>
            <w:shd w:val="clear" w:color="auto" w:fill="auto"/>
            <w:vAlign w:val="center"/>
            <w:hideMark/>
          </w:tcPr>
          <w:p w14:paraId="767ECDCF"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Phone numbers and email addresses are known and </w:t>
            </w:r>
            <w:proofErr w:type="spellStart"/>
            <w:r w:rsidRPr="00217829">
              <w:rPr>
                <w:rFonts w:ascii="Calibri" w:hAnsi="Calibri" w:cs="Calibri"/>
                <w:color w:val="000000"/>
                <w:sz w:val="20"/>
                <w:szCs w:val="20"/>
              </w:rPr>
              <w:t>availble</w:t>
            </w:r>
            <w:proofErr w:type="spellEnd"/>
            <w:r w:rsidRPr="00217829">
              <w:rPr>
                <w:rFonts w:ascii="Calibri" w:hAnsi="Calibri" w:cs="Calibri"/>
                <w:color w:val="000000"/>
                <w:sz w:val="20"/>
                <w:szCs w:val="20"/>
              </w:rPr>
              <w:t>.</w:t>
            </w:r>
          </w:p>
        </w:tc>
        <w:tc>
          <w:tcPr>
            <w:tcW w:w="2970" w:type="dxa"/>
            <w:tcBorders>
              <w:top w:val="nil"/>
              <w:left w:val="nil"/>
              <w:bottom w:val="single" w:sz="4" w:space="0" w:color="auto"/>
              <w:right w:val="single" w:sz="4" w:space="0" w:color="auto"/>
            </w:tcBorders>
            <w:shd w:val="clear" w:color="auto" w:fill="auto"/>
            <w:vAlign w:val="center"/>
            <w:hideMark/>
          </w:tcPr>
          <w:p w14:paraId="79AA715C" w14:textId="77777777" w:rsidR="00217829" w:rsidRPr="00217829" w:rsidRDefault="00630584" w:rsidP="00217829">
            <w:pPr>
              <w:rPr>
                <w:rFonts w:ascii="Calibri" w:hAnsi="Calibri" w:cs="Calibri"/>
                <w:color w:val="0563C1"/>
                <w:sz w:val="20"/>
                <w:szCs w:val="20"/>
                <w:u w:val="single"/>
              </w:rPr>
            </w:pPr>
            <w:hyperlink r:id="rId10" w:history="1">
              <w:r w:rsidR="00217829" w:rsidRPr="00217829">
                <w:rPr>
                  <w:rFonts w:ascii="Calibri" w:hAnsi="Calibri" w:cs="Calibri"/>
                  <w:color w:val="0563C1"/>
                  <w:sz w:val="20"/>
                  <w:szCs w:val="20"/>
                  <w:u w:val="single"/>
                </w:rPr>
                <w:t xml:space="preserve">bps@rti.org, 800-844-8959,  800-247-6056 </w:t>
              </w:r>
            </w:hyperlink>
          </w:p>
        </w:tc>
      </w:tr>
      <w:tr w:rsidR="00217829" w:rsidRPr="00217829" w14:paraId="6EBA6774" w14:textId="77777777" w:rsidTr="00217829">
        <w:trPr>
          <w:trHeight w:val="975"/>
        </w:trPr>
        <w:tc>
          <w:tcPr>
            <w:tcW w:w="1762" w:type="dxa"/>
            <w:tcBorders>
              <w:top w:val="nil"/>
              <w:left w:val="single" w:sz="4" w:space="0" w:color="auto"/>
              <w:bottom w:val="single" w:sz="4" w:space="0" w:color="auto"/>
              <w:right w:val="single" w:sz="4" w:space="0" w:color="auto"/>
            </w:tcBorders>
            <w:shd w:val="clear" w:color="auto" w:fill="auto"/>
            <w:vAlign w:val="center"/>
            <w:hideMark/>
          </w:tcPr>
          <w:p w14:paraId="1A03BDB8"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Updated fills associated with FS incentive plan</w:t>
            </w:r>
          </w:p>
        </w:tc>
        <w:tc>
          <w:tcPr>
            <w:tcW w:w="1176" w:type="dxa"/>
            <w:tcBorders>
              <w:top w:val="nil"/>
              <w:left w:val="nil"/>
              <w:bottom w:val="single" w:sz="4" w:space="0" w:color="auto"/>
              <w:right w:val="single" w:sz="4" w:space="0" w:color="auto"/>
            </w:tcBorders>
            <w:shd w:val="clear" w:color="auto" w:fill="auto"/>
            <w:vAlign w:val="center"/>
            <w:hideMark/>
          </w:tcPr>
          <w:p w14:paraId="1C91F218"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Throughout</w:t>
            </w:r>
          </w:p>
        </w:tc>
        <w:tc>
          <w:tcPr>
            <w:tcW w:w="1287" w:type="dxa"/>
            <w:tcBorders>
              <w:top w:val="nil"/>
              <w:left w:val="nil"/>
              <w:bottom w:val="single" w:sz="4" w:space="0" w:color="auto"/>
              <w:right w:val="single" w:sz="4" w:space="0" w:color="auto"/>
            </w:tcBorders>
            <w:shd w:val="clear" w:color="auto" w:fill="auto"/>
            <w:vAlign w:val="center"/>
            <w:hideMark/>
          </w:tcPr>
          <w:p w14:paraId="260149AE"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Multiple pages</w:t>
            </w:r>
          </w:p>
        </w:tc>
        <w:tc>
          <w:tcPr>
            <w:tcW w:w="1710" w:type="dxa"/>
            <w:tcBorders>
              <w:top w:val="nil"/>
              <w:left w:val="nil"/>
              <w:bottom w:val="single" w:sz="4" w:space="0" w:color="auto"/>
              <w:right w:val="single" w:sz="4" w:space="0" w:color="auto"/>
            </w:tcBorders>
            <w:shd w:val="clear" w:color="auto" w:fill="auto"/>
            <w:vAlign w:val="center"/>
            <w:hideMark/>
          </w:tcPr>
          <w:p w14:paraId="1A744C37"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Updated text and fills to be consistent with FS incentive plan</w:t>
            </w:r>
          </w:p>
        </w:tc>
        <w:tc>
          <w:tcPr>
            <w:tcW w:w="2250" w:type="dxa"/>
            <w:tcBorders>
              <w:top w:val="nil"/>
              <w:left w:val="nil"/>
              <w:bottom w:val="single" w:sz="4" w:space="0" w:color="auto"/>
              <w:right w:val="single" w:sz="4" w:space="0" w:color="auto"/>
            </w:tcBorders>
            <w:shd w:val="clear" w:color="auto" w:fill="auto"/>
            <w:vAlign w:val="center"/>
            <w:hideMark/>
          </w:tcPr>
          <w:p w14:paraId="7A9C8FB3" w14:textId="7CE78646"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Revised incentive offerings for FS study include $2 prepaid </w:t>
            </w:r>
            <w:r w:rsidR="003D1395" w:rsidRPr="00217829">
              <w:rPr>
                <w:rFonts w:ascii="Calibri" w:hAnsi="Calibri" w:cs="Calibri"/>
                <w:color w:val="000000"/>
                <w:sz w:val="20"/>
                <w:szCs w:val="20"/>
              </w:rPr>
              <w:t>incentive, $</w:t>
            </w:r>
            <w:r w:rsidRPr="00217829">
              <w:rPr>
                <w:rFonts w:ascii="Calibri" w:hAnsi="Calibri" w:cs="Calibri"/>
                <w:color w:val="000000"/>
                <w:sz w:val="20"/>
                <w:szCs w:val="20"/>
              </w:rPr>
              <w:t>30/$45 baseline incentive, and $10/$20 boost incentive.</w:t>
            </w:r>
          </w:p>
        </w:tc>
        <w:tc>
          <w:tcPr>
            <w:tcW w:w="2970" w:type="dxa"/>
            <w:tcBorders>
              <w:top w:val="nil"/>
              <w:left w:val="nil"/>
              <w:bottom w:val="single" w:sz="4" w:space="0" w:color="auto"/>
              <w:right w:val="single" w:sz="4" w:space="0" w:color="auto"/>
            </w:tcBorders>
            <w:shd w:val="clear" w:color="auto" w:fill="auto"/>
            <w:vAlign w:val="center"/>
            <w:hideMark/>
          </w:tcPr>
          <w:p w14:paraId="6341CF4B" w14:textId="611CBD50"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Removed early bird incentive offer details and prepaid $10 incentives offered during the field test.  Added details for $30/$45 baseline </w:t>
            </w:r>
            <w:r w:rsidR="003D1395" w:rsidRPr="00217829">
              <w:rPr>
                <w:rFonts w:ascii="Calibri" w:hAnsi="Calibri" w:cs="Calibri"/>
                <w:color w:val="000000"/>
                <w:sz w:val="20"/>
                <w:szCs w:val="20"/>
              </w:rPr>
              <w:t>incentive, $</w:t>
            </w:r>
            <w:r w:rsidRPr="00217829">
              <w:rPr>
                <w:rFonts w:ascii="Calibri" w:hAnsi="Calibri" w:cs="Calibri"/>
                <w:color w:val="000000"/>
                <w:sz w:val="20"/>
                <w:szCs w:val="20"/>
              </w:rPr>
              <w:t xml:space="preserve">2 prepaid incentive for FS aggressive protocol cases, and the $10/$20 boost offered later in DC. </w:t>
            </w:r>
          </w:p>
        </w:tc>
      </w:tr>
      <w:tr w:rsidR="00217829" w:rsidRPr="00217829" w14:paraId="771E81CF" w14:textId="77777777" w:rsidTr="00217829">
        <w:trPr>
          <w:trHeight w:val="1020"/>
        </w:trPr>
        <w:tc>
          <w:tcPr>
            <w:tcW w:w="1762" w:type="dxa"/>
            <w:tcBorders>
              <w:top w:val="nil"/>
              <w:left w:val="single" w:sz="4" w:space="0" w:color="auto"/>
              <w:bottom w:val="single" w:sz="4" w:space="0" w:color="auto"/>
              <w:right w:val="single" w:sz="4" w:space="0" w:color="auto"/>
            </w:tcBorders>
            <w:shd w:val="clear" w:color="auto" w:fill="auto"/>
            <w:vAlign w:val="center"/>
            <w:hideMark/>
          </w:tcPr>
          <w:p w14:paraId="001FCCF9" w14:textId="501161CC"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Added sentence to English </w:t>
            </w:r>
            <w:r w:rsidR="003D1395" w:rsidRPr="00217829">
              <w:rPr>
                <w:rFonts w:ascii="Calibri" w:hAnsi="Calibri" w:cs="Calibri"/>
                <w:color w:val="000000"/>
                <w:sz w:val="20"/>
                <w:szCs w:val="20"/>
              </w:rPr>
              <w:t>contacts explaining</w:t>
            </w:r>
            <w:r w:rsidRPr="00217829">
              <w:rPr>
                <w:rFonts w:ascii="Calibri" w:hAnsi="Calibri" w:cs="Calibri"/>
                <w:color w:val="000000"/>
                <w:sz w:val="20"/>
                <w:szCs w:val="20"/>
              </w:rPr>
              <w:t xml:space="preserve"> how to request Spanish contact materials </w:t>
            </w:r>
          </w:p>
        </w:tc>
        <w:tc>
          <w:tcPr>
            <w:tcW w:w="1176" w:type="dxa"/>
            <w:tcBorders>
              <w:top w:val="nil"/>
              <w:left w:val="nil"/>
              <w:bottom w:val="single" w:sz="4" w:space="0" w:color="auto"/>
              <w:right w:val="single" w:sz="4" w:space="0" w:color="auto"/>
            </w:tcBorders>
            <w:shd w:val="clear" w:color="auto" w:fill="auto"/>
            <w:vAlign w:val="center"/>
            <w:hideMark/>
          </w:tcPr>
          <w:p w14:paraId="5F071B6F"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Throughout</w:t>
            </w:r>
          </w:p>
        </w:tc>
        <w:tc>
          <w:tcPr>
            <w:tcW w:w="1287" w:type="dxa"/>
            <w:tcBorders>
              <w:top w:val="nil"/>
              <w:left w:val="nil"/>
              <w:bottom w:val="single" w:sz="4" w:space="0" w:color="auto"/>
              <w:right w:val="single" w:sz="4" w:space="0" w:color="auto"/>
            </w:tcBorders>
            <w:shd w:val="clear" w:color="auto" w:fill="auto"/>
            <w:vAlign w:val="center"/>
            <w:hideMark/>
          </w:tcPr>
          <w:p w14:paraId="2EB46D42"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Multiple pages</w:t>
            </w:r>
          </w:p>
        </w:tc>
        <w:tc>
          <w:tcPr>
            <w:tcW w:w="1710" w:type="dxa"/>
            <w:tcBorders>
              <w:top w:val="nil"/>
              <w:left w:val="nil"/>
              <w:bottom w:val="single" w:sz="4" w:space="0" w:color="auto"/>
              <w:right w:val="single" w:sz="4" w:space="0" w:color="auto"/>
            </w:tcBorders>
            <w:shd w:val="clear" w:color="auto" w:fill="auto"/>
            <w:vAlign w:val="center"/>
            <w:hideMark/>
          </w:tcPr>
          <w:p w14:paraId="5AD04F79"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Added Spanish sentence to English materials.</w:t>
            </w:r>
          </w:p>
        </w:tc>
        <w:tc>
          <w:tcPr>
            <w:tcW w:w="2250" w:type="dxa"/>
            <w:tcBorders>
              <w:top w:val="nil"/>
              <w:left w:val="nil"/>
              <w:bottom w:val="single" w:sz="4" w:space="0" w:color="auto"/>
              <w:right w:val="single" w:sz="4" w:space="0" w:color="auto"/>
            </w:tcBorders>
            <w:shd w:val="clear" w:color="auto" w:fill="auto"/>
            <w:vAlign w:val="center"/>
            <w:hideMark/>
          </w:tcPr>
          <w:p w14:paraId="0485AE47"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Sentence added to alert sample members that Spanish materials are available upon request.</w:t>
            </w:r>
          </w:p>
        </w:tc>
        <w:tc>
          <w:tcPr>
            <w:tcW w:w="2970" w:type="dxa"/>
            <w:tcBorders>
              <w:top w:val="nil"/>
              <w:left w:val="nil"/>
              <w:bottom w:val="single" w:sz="4" w:space="0" w:color="auto"/>
              <w:right w:val="single" w:sz="4" w:space="0" w:color="auto"/>
            </w:tcBorders>
            <w:shd w:val="clear" w:color="auto" w:fill="auto"/>
            <w:vAlign w:val="center"/>
            <w:hideMark/>
          </w:tcPr>
          <w:p w14:paraId="177B7AB0"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Spanish materials were not available </w:t>
            </w:r>
            <w:proofErr w:type="spellStart"/>
            <w:r w:rsidRPr="00217829">
              <w:rPr>
                <w:rFonts w:ascii="Calibri" w:hAnsi="Calibri" w:cs="Calibri"/>
                <w:color w:val="000000"/>
                <w:sz w:val="20"/>
                <w:szCs w:val="20"/>
              </w:rPr>
              <w:t>durig</w:t>
            </w:r>
            <w:proofErr w:type="spellEnd"/>
            <w:r w:rsidRPr="00217829">
              <w:rPr>
                <w:rFonts w:ascii="Calibri" w:hAnsi="Calibri" w:cs="Calibri"/>
                <w:color w:val="000000"/>
                <w:sz w:val="20"/>
                <w:szCs w:val="20"/>
              </w:rPr>
              <w:t xml:space="preserve"> the field test.  Por favor </w:t>
            </w:r>
            <w:proofErr w:type="spellStart"/>
            <w:r w:rsidRPr="00217829">
              <w:rPr>
                <w:rFonts w:ascii="Calibri" w:hAnsi="Calibri" w:cs="Calibri"/>
                <w:color w:val="000000"/>
                <w:sz w:val="20"/>
                <w:szCs w:val="20"/>
              </w:rPr>
              <w:t>responde</w:t>
            </w:r>
            <w:proofErr w:type="spellEnd"/>
            <w:r w:rsidRPr="00217829">
              <w:rPr>
                <w:rFonts w:ascii="Calibri" w:hAnsi="Calibri" w:cs="Calibri"/>
                <w:color w:val="000000"/>
                <w:sz w:val="20"/>
                <w:szCs w:val="20"/>
              </w:rPr>
              <w:t xml:space="preserve"> </w:t>
            </w:r>
            <w:proofErr w:type="gramStart"/>
            <w:r w:rsidRPr="00217829">
              <w:rPr>
                <w:rFonts w:ascii="Calibri" w:hAnsi="Calibri" w:cs="Calibri"/>
                <w:color w:val="000000"/>
                <w:sz w:val="20"/>
                <w:szCs w:val="20"/>
              </w:rPr>
              <w:t>a</w:t>
            </w:r>
            <w:proofErr w:type="gramEnd"/>
            <w:r w:rsidRPr="00217829">
              <w:rPr>
                <w:rFonts w:ascii="Calibri" w:hAnsi="Calibri" w:cs="Calibri"/>
                <w:color w:val="000000"/>
                <w:sz w:val="20"/>
                <w:szCs w:val="20"/>
              </w:rPr>
              <w:t xml:space="preserve"> </w:t>
            </w:r>
            <w:proofErr w:type="spellStart"/>
            <w:r w:rsidRPr="00217829">
              <w:rPr>
                <w:rFonts w:ascii="Calibri" w:hAnsi="Calibri" w:cs="Calibri"/>
                <w:color w:val="000000"/>
                <w:sz w:val="20"/>
                <w:szCs w:val="20"/>
              </w:rPr>
              <w:t>este</w:t>
            </w:r>
            <w:proofErr w:type="spellEnd"/>
            <w:r w:rsidRPr="00217829">
              <w:rPr>
                <w:rFonts w:ascii="Calibri" w:hAnsi="Calibri" w:cs="Calibri"/>
                <w:color w:val="000000"/>
                <w:sz w:val="20"/>
                <w:szCs w:val="20"/>
              </w:rPr>
              <w:t xml:space="preserve"> </w:t>
            </w:r>
            <w:proofErr w:type="spellStart"/>
            <w:r w:rsidRPr="00217829">
              <w:rPr>
                <w:rFonts w:ascii="Calibri" w:hAnsi="Calibri" w:cs="Calibri"/>
                <w:color w:val="000000"/>
                <w:sz w:val="20"/>
                <w:szCs w:val="20"/>
              </w:rPr>
              <w:t>correo</w:t>
            </w:r>
            <w:proofErr w:type="spellEnd"/>
            <w:r w:rsidRPr="00217829">
              <w:rPr>
                <w:rFonts w:ascii="Calibri" w:hAnsi="Calibri" w:cs="Calibri"/>
                <w:color w:val="000000"/>
                <w:sz w:val="20"/>
                <w:szCs w:val="20"/>
              </w:rPr>
              <w:t xml:space="preserve"> </w:t>
            </w:r>
            <w:proofErr w:type="spellStart"/>
            <w:r w:rsidRPr="00217829">
              <w:rPr>
                <w:rFonts w:ascii="Calibri" w:hAnsi="Calibri" w:cs="Calibri"/>
                <w:color w:val="000000"/>
                <w:sz w:val="20"/>
                <w:szCs w:val="20"/>
              </w:rPr>
              <w:t>electrónico</w:t>
            </w:r>
            <w:proofErr w:type="spellEnd"/>
            <w:r w:rsidRPr="00217829">
              <w:rPr>
                <w:rFonts w:ascii="Calibri" w:hAnsi="Calibri" w:cs="Calibri"/>
                <w:color w:val="000000"/>
                <w:sz w:val="20"/>
                <w:szCs w:val="20"/>
              </w:rPr>
              <w:t xml:space="preserve"> para </w:t>
            </w:r>
            <w:proofErr w:type="spellStart"/>
            <w:r w:rsidRPr="00217829">
              <w:rPr>
                <w:rFonts w:ascii="Calibri" w:hAnsi="Calibri" w:cs="Calibri"/>
                <w:color w:val="000000"/>
                <w:sz w:val="20"/>
                <w:szCs w:val="20"/>
              </w:rPr>
              <w:t>solicitar</w:t>
            </w:r>
            <w:proofErr w:type="spellEnd"/>
            <w:r w:rsidRPr="00217829">
              <w:rPr>
                <w:rFonts w:ascii="Calibri" w:hAnsi="Calibri" w:cs="Calibri"/>
                <w:color w:val="000000"/>
                <w:sz w:val="20"/>
                <w:szCs w:val="20"/>
              </w:rPr>
              <w:t xml:space="preserve"> </w:t>
            </w:r>
            <w:proofErr w:type="spellStart"/>
            <w:r w:rsidRPr="00217829">
              <w:rPr>
                <w:rFonts w:ascii="Calibri" w:hAnsi="Calibri" w:cs="Calibri"/>
                <w:color w:val="000000"/>
                <w:sz w:val="20"/>
                <w:szCs w:val="20"/>
              </w:rPr>
              <w:t>materiales</w:t>
            </w:r>
            <w:proofErr w:type="spellEnd"/>
            <w:r w:rsidRPr="00217829">
              <w:rPr>
                <w:rFonts w:ascii="Calibri" w:hAnsi="Calibri" w:cs="Calibri"/>
                <w:color w:val="000000"/>
                <w:sz w:val="20"/>
                <w:szCs w:val="20"/>
              </w:rPr>
              <w:t xml:space="preserve"> </w:t>
            </w:r>
            <w:proofErr w:type="spellStart"/>
            <w:r w:rsidRPr="00217829">
              <w:rPr>
                <w:rFonts w:ascii="Calibri" w:hAnsi="Calibri" w:cs="Calibri"/>
                <w:color w:val="000000"/>
                <w:sz w:val="20"/>
                <w:szCs w:val="20"/>
              </w:rPr>
              <w:t>en</w:t>
            </w:r>
            <w:proofErr w:type="spellEnd"/>
            <w:r w:rsidRPr="00217829">
              <w:rPr>
                <w:rFonts w:ascii="Calibri" w:hAnsi="Calibri" w:cs="Calibri"/>
                <w:color w:val="000000"/>
                <w:sz w:val="20"/>
                <w:szCs w:val="20"/>
              </w:rPr>
              <w:t xml:space="preserve"> </w:t>
            </w:r>
            <w:proofErr w:type="spellStart"/>
            <w:r w:rsidRPr="00217829">
              <w:rPr>
                <w:rFonts w:ascii="Calibri" w:hAnsi="Calibri" w:cs="Calibri"/>
                <w:color w:val="000000"/>
                <w:sz w:val="20"/>
                <w:szCs w:val="20"/>
              </w:rPr>
              <w:t>español</w:t>
            </w:r>
            <w:proofErr w:type="spellEnd"/>
            <w:r w:rsidRPr="00217829">
              <w:rPr>
                <w:rFonts w:ascii="Calibri" w:hAnsi="Calibri" w:cs="Calibri"/>
                <w:color w:val="000000"/>
                <w:sz w:val="20"/>
                <w:szCs w:val="20"/>
              </w:rPr>
              <w:t xml:space="preserve">.  Para </w:t>
            </w:r>
            <w:proofErr w:type="spellStart"/>
            <w:r w:rsidRPr="00217829">
              <w:rPr>
                <w:rFonts w:ascii="Calibri" w:hAnsi="Calibri" w:cs="Calibri"/>
                <w:color w:val="000000"/>
                <w:sz w:val="20"/>
                <w:szCs w:val="20"/>
              </w:rPr>
              <w:t>solicitar</w:t>
            </w:r>
            <w:proofErr w:type="spellEnd"/>
            <w:r w:rsidRPr="00217829">
              <w:rPr>
                <w:rFonts w:ascii="Calibri" w:hAnsi="Calibri" w:cs="Calibri"/>
                <w:color w:val="000000"/>
                <w:sz w:val="20"/>
                <w:szCs w:val="20"/>
              </w:rPr>
              <w:t xml:space="preserve"> </w:t>
            </w:r>
            <w:proofErr w:type="spellStart"/>
            <w:r w:rsidRPr="00217829">
              <w:rPr>
                <w:rFonts w:ascii="Calibri" w:hAnsi="Calibri" w:cs="Calibri"/>
                <w:color w:val="000000"/>
                <w:sz w:val="20"/>
                <w:szCs w:val="20"/>
              </w:rPr>
              <w:t>materiales</w:t>
            </w:r>
            <w:proofErr w:type="spellEnd"/>
            <w:r w:rsidRPr="00217829">
              <w:rPr>
                <w:rFonts w:ascii="Calibri" w:hAnsi="Calibri" w:cs="Calibri"/>
                <w:color w:val="000000"/>
                <w:sz w:val="20"/>
                <w:szCs w:val="20"/>
              </w:rPr>
              <w:t xml:space="preserve"> de </w:t>
            </w:r>
            <w:proofErr w:type="spellStart"/>
            <w:r w:rsidRPr="00217829">
              <w:rPr>
                <w:rFonts w:ascii="Calibri" w:hAnsi="Calibri" w:cs="Calibri"/>
                <w:color w:val="000000"/>
                <w:sz w:val="20"/>
                <w:szCs w:val="20"/>
              </w:rPr>
              <w:t>contacto</w:t>
            </w:r>
            <w:proofErr w:type="spellEnd"/>
            <w:r w:rsidRPr="00217829">
              <w:rPr>
                <w:rFonts w:ascii="Calibri" w:hAnsi="Calibri" w:cs="Calibri"/>
                <w:color w:val="000000"/>
                <w:sz w:val="20"/>
                <w:szCs w:val="20"/>
              </w:rPr>
              <w:t xml:space="preserve"> </w:t>
            </w:r>
            <w:proofErr w:type="spellStart"/>
            <w:r w:rsidRPr="00217829">
              <w:rPr>
                <w:rFonts w:ascii="Calibri" w:hAnsi="Calibri" w:cs="Calibri"/>
                <w:color w:val="000000"/>
                <w:sz w:val="20"/>
                <w:szCs w:val="20"/>
              </w:rPr>
              <w:t>en</w:t>
            </w:r>
            <w:proofErr w:type="spellEnd"/>
            <w:r w:rsidRPr="00217829">
              <w:rPr>
                <w:rFonts w:ascii="Calibri" w:hAnsi="Calibri" w:cs="Calibri"/>
                <w:color w:val="000000"/>
                <w:sz w:val="20"/>
                <w:szCs w:val="20"/>
              </w:rPr>
              <w:t xml:space="preserve"> </w:t>
            </w:r>
            <w:proofErr w:type="spellStart"/>
            <w:r w:rsidRPr="00217829">
              <w:rPr>
                <w:rFonts w:ascii="Calibri" w:hAnsi="Calibri" w:cs="Calibri"/>
                <w:color w:val="000000"/>
                <w:sz w:val="20"/>
                <w:szCs w:val="20"/>
              </w:rPr>
              <w:t>español</w:t>
            </w:r>
            <w:proofErr w:type="spellEnd"/>
            <w:r w:rsidRPr="00217829">
              <w:rPr>
                <w:rFonts w:ascii="Calibri" w:hAnsi="Calibri" w:cs="Calibri"/>
                <w:color w:val="000000"/>
                <w:sz w:val="20"/>
                <w:szCs w:val="20"/>
              </w:rPr>
              <w:t xml:space="preserve"> </w:t>
            </w:r>
            <w:proofErr w:type="spellStart"/>
            <w:r w:rsidRPr="00217829">
              <w:rPr>
                <w:rFonts w:ascii="Calibri" w:hAnsi="Calibri" w:cs="Calibri"/>
                <w:color w:val="000000"/>
                <w:sz w:val="20"/>
                <w:szCs w:val="20"/>
              </w:rPr>
              <w:t>en</w:t>
            </w:r>
            <w:proofErr w:type="spellEnd"/>
            <w:r w:rsidRPr="00217829">
              <w:rPr>
                <w:rFonts w:ascii="Calibri" w:hAnsi="Calibri" w:cs="Calibri"/>
                <w:color w:val="000000"/>
                <w:sz w:val="20"/>
                <w:szCs w:val="20"/>
              </w:rPr>
              <w:t xml:space="preserve"> </w:t>
            </w:r>
            <w:proofErr w:type="spellStart"/>
            <w:r w:rsidRPr="00217829">
              <w:rPr>
                <w:rFonts w:ascii="Calibri" w:hAnsi="Calibri" w:cs="Calibri"/>
                <w:color w:val="000000"/>
                <w:sz w:val="20"/>
                <w:szCs w:val="20"/>
              </w:rPr>
              <w:t>el</w:t>
            </w:r>
            <w:proofErr w:type="spellEnd"/>
            <w:r w:rsidRPr="00217829">
              <w:rPr>
                <w:rFonts w:ascii="Calibri" w:hAnsi="Calibri" w:cs="Calibri"/>
                <w:color w:val="000000"/>
                <w:sz w:val="20"/>
                <w:szCs w:val="20"/>
              </w:rPr>
              <w:t xml:space="preserve"> </w:t>
            </w:r>
            <w:proofErr w:type="spellStart"/>
            <w:r w:rsidRPr="00217829">
              <w:rPr>
                <w:rFonts w:ascii="Calibri" w:hAnsi="Calibri" w:cs="Calibri"/>
                <w:color w:val="000000"/>
                <w:sz w:val="20"/>
                <w:szCs w:val="20"/>
              </w:rPr>
              <w:t>futuro</w:t>
            </w:r>
            <w:proofErr w:type="spellEnd"/>
            <w:r w:rsidRPr="00217829">
              <w:rPr>
                <w:rFonts w:ascii="Calibri" w:hAnsi="Calibri" w:cs="Calibri"/>
                <w:color w:val="000000"/>
                <w:sz w:val="20"/>
                <w:szCs w:val="20"/>
              </w:rPr>
              <w:t xml:space="preserve">, por favor llama al 800-247-6056 o </w:t>
            </w:r>
            <w:proofErr w:type="spellStart"/>
            <w:r w:rsidRPr="00217829">
              <w:rPr>
                <w:rFonts w:ascii="Calibri" w:hAnsi="Calibri" w:cs="Calibri"/>
                <w:color w:val="000000"/>
                <w:sz w:val="20"/>
                <w:szCs w:val="20"/>
              </w:rPr>
              <w:t>envia</w:t>
            </w:r>
            <w:proofErr w:type="spellEnd"/>
            <w:r w:rsidRPr="00217829">
              <w:rPr>
                <w:rFonts w:ascii="Calibri" w:hAnsi="Calibri" w:cs="Calibri"/>
                <w:color w:val="000000"/>
                <w:sz w:val="20"/>
                <w:szCs w:val="20"/>
              </w:rPr>
              <w:t xml:space="preserve"> un </w:t>
            </w:r>
            <w:proofErr w:type="spellStart"/>
            <w:r w:rsidRPr="00217829">
              <w:rPr>
                <w:rFonts w:ascii="Calibri" w:hAnsi="Calibri" w:cs="Calibri"/>
                <w:color w:val="000000"/>
                <w:sz w:val="20"/>
                <w:szCs w:val="20"/>
              </w:rPr>
              <w:t>correo</w:t>
            </w:r>
            <w:proofErr w:type="spellEnd"/>
            <w:r w:rsidRPr="00217829">
              <w:rPr>
                <w:rFonts w:ascii="Calibri" w:hAnsi="Calibri" w:cs="Calibri"/>
                <w:color w:val="000000"/>
                <w:sz w:val="20"/>
                <w:szCs w:val="20"/>
              </w:rPr>
              <w:t xml:space="preserve"> </w:t>
            </w:r>
            <w:proofErr w:type="spellStart"/>
            <w:r w:rsidRPr="00217829">
              <w:rPr>
                <w:rFonts w:ascii="Calibri" w:hAnsi="Calibri" w:cs="Calibri"/>
                <w:color w:val="000000"/>
                <w:sz w:val="20"/>
                <w:szCs w:val="20"/>
              </w:rPr>
              <w:t>electronico</w:t>
            </w:r>
            <w:proofErr w:type="spellEnd"/>
            <w:r w:rsidRPr="00217829">
              <w:rPr>
                <w:rFonts w:ascii="Calibri" w:hAnsi="Calibri" w:cs="Calibri"/>
                <w:color w:val="000000"/>
                <w:sz w:val="20"/>
                <w:szCs w:val="20"/>
              </w:rPr>
              <w:t xml:space="preserve"> a bps@rti.org.  </w:t>
            </w:r>
            <w:proofErr w:type="spellStart"/>
            <w:r w:rsidRPr="00217829">
              <w:rPr>
                <w:rFonts w:ascii="Calibri" w:hAnsi="Calibri" w:cs="Calibri"/>
                <w:color w:val="000000"/>
                <w:sz w:val="20"/>
                <w:szCs w:val="20"/>
              </w:rPr>
              <w:t>Responde</w:t>
            </w:r>
            <w:proofErr w:type="spellEnd"/>
            <w:r w:rsidRPr="00217829">
              <w:rPr>
                <w:rFonts w:ascii="Calibri" w:hAnsi="Calibri" w:cs="Calibri"/>
                <w:color w:val="000000"/>
                <w:sz w:val="20"/>
                <w:szCs w:val="20"/>
              </w:rPr>
              <w:t xml:space="preserve"> “</w:t>
            </w:r>
            <w:proofErr w:type="spellStart"/>
            <w:r w:rsidRPr="00217829">
              <w:rPr>
                <w:rFonts w:ascii="Calibri" w:hAnsi="Calibri" w:cs="Calibri"/>
                <w:color w:val="000000"/>
                <w:sz w:val="20"/>
                <w:szCs w:val="20"/>
              </w:rPr>
              <w:t>Español</w:t>
            </w:r>
            <w:proofErr w:type="spellEnd"/>
            <w:r w:rsidRPr="00217829">
              <w:rPr>
                <w:rFonts w:ascii="Calibri" w:hAnsi="Calibri" w:cs="Calibri"/>
                <w:color w:val="000000"/>
                <w:sz w:val="20"/>
                <w:szCs w:val="20"/>
              </w:rPr>
              <w:t xml:space="preserve">” para </w:t>
            </w:r>
            <w:proofErr w:type="spellStart"/>
            <w:r w:rsidRPr="00217829">
              <w:rPr>
                <w:rFonts w:ascii="Calibri" w:hAnsi="Calibri" w:cs="Calibri"/>
                <w:color w:val="000000"/>
                <w:sz w:val="20"/>
                <w:szCs w:val="20"/>
              </w:rPr>
              <w:t>solicitar</w:t>
            </w:r>
            <w:proofErr w:type="spellEnd"/>
            <w:r w:rsidRPr="00217829">
              <w:rPr>
                <w:rFonts w:ascii="Calibri" w:hAnsi="Calibri" w:cs="Calibri"/>
                <w:color w:val="000000"/>
                <w:sz w:val="20"/>
                <w:szCs w:val="20"/>
              </w:rPr>
              <w:t xml:space="preserve"> </w:t>
            </w:r>
            <w:proofErr w:type="spellStart"/>
            <w:r w:rsidRPr="00217829">
              <w:rPr>
                <w:rFonts w:ascii="Calibri" w:hAnsi="Calibri" w:cs="Calibri"/>
                <w:color w:val="000000"/>
                <w:sz w:val="20"/>
                <w:szCs w:val="20"/>
              </w:rPr>
              <w:t>este</w:t>
            </w:r>
            <w:proofErr w:type="spellEnd"/>
            <w:r w:rsidRPr="00217829">
              <w:rPr>
                <w:rFonts w:ascii="Calibri" w:hAnsi="Calibri" w:cs="Calibri"/>
                <w:color w:val="000000"/>
                <w:sz w:val="20"/>
                <w:szCs w:val="20"/>
              </w:rPr>
              <w:t xml:space="preserve"> </w:t>
            </w:r>
            <w:proofErr w:type="spellStart"/>
            <w:r w:rsidRPr="00217829">
              <w:rPr>
                <w:rFonts w:ascii="Calibri" w:hAnsi="Calibri" w:cs="Calibri"/>
                <w:color w:val="000000"/>
                <w:sz w:val="20"/>
                <w:szCs w:val="20"/>
              </w:rPr>
              <w:t>mensaje</w:t>
            </w:r>
            <w:proofErr w:type="spellEnd"/>
            <w:r w:rsidRPr="00217829">
              <w:rPr>
                <w:rFonts w:ascii="Calibri" w:hAnsi="Calibri" w:cs="Calibri"/>
                <w:color w:val="000000"/>
                <w:sz w:val="20"/>
                <w:szCs w:val="20"/>
              </w:rPr>
              <w:t xml:space="preserve"> </w:t>
            </w:r>
            <w:proofErr w:type="spellStart"/>
            <w:r w:rsidRPr="00217829">
              <w:rPr>
                <w:rFonts w:ascii="Calibri" w:hAnsi="Calibri" w:cs="Calibri"/>
                <w:color w:val="000000"/>
                <w:sz w:val="20"/>
                <w:szCs w:val="20"/>
              </w:rPr>
              <w:t>en</w:t>
            </w:r>
            <w:proofErr w:type="spellEnd"/>
            <w:r w:rsidRPr="00217829">
              <w:rPr>
                <w:rFonts w:ascii="Calibri" w:hAnsi="Calibri" w:cs="Calibri"/>
                <w:color w:val="000000"/>
                <w:sz w:val="20"/>
                <w:szCs w:val="20"/>
              </w:rPr>
              <w:t xml:space="preserve"> </w:t>
            </w:r>
            <w:proofErr w:type="spellStart"/>
            <w:r w:rsidRPr="00217829">
              <w:rPr>
                <w:rFonts w:ascii="Calibri" w:hAnsi="Calibri" w:cs="Calibri"/>
                <w:color w:val="000000"/>
                <w:sz w:val="20"/>
                <w:szCs w:val="20"/>
              </w:rPr>
              <w:t>español</w:t>
            </w:r>
            <w:proofErr w:type="spellEnd"/>
            <w:r w:rsidRPr="00217829">
              <w:rPr>
                <w:rFonts w:ascii="Calibri" w:hAnsi="Calibri" w:cs="Calibri"/>
                <w:color w:val="000000"/>
                <w:sz w:val="20"/>
                <w:szCs w:val="20"/>
              </w:rPr>
              <w:t xml:space="preserve">. </w:t>
            </w:r>
          </w:p>
        </w:tc>
      </w:tr>
      <w:tr w:rsidR="00217829" w:rsidRPr="00217829" w14:paraId="185579DE" w14:textId="77777777" w:rsidTr="00217829">
        <w:trPr>
          <w:trHeight w:val="600"/>
        </w:trPr>
        <w:tc>
          <w:tcPr>
            <w:tcW w:w="1762" w:type="dxa"/>
            <w:tcBorders>
              <w:top w:val="nil"/>
              <w:left w:val="single" w:sz="4" w:space="0" w:color="auto"/>
              <w:bottom w:val="single" w:sz="4" w:space="0" w:color="auto"/>
              <w:right w:val="single" w:sz="4" w:space="0" w:color="auto"/>
            </w:tcBorders>
            <w:shd w:val="clear" w:color="auto" w:fill="auto"/>
            <w:vAlign w:val="center"/>
            <w:hideMark/>
          </w:tcPr>
          <w:p w14:paraId="6866D42A" w14:textId="1C69167E"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Removed any reference to the field test reinterview</w:t>
            </w:r>
          </w:p>
        </w:tc>
        <w:tc>
          <w:tcPr>
            <w:tcW w:w="1176" w:type="dxa"/>
            <w:tcBorders>
              <w:top w:val="nil"/>
              <w:left w:val="nil"/>
              <w:bottom w:val="single" w:sz="4" w:space="0" w:color="auto"/>
              <w:right w:val="single" w:sz="4" w:space="0" w:color="auto"/>
            </w:tcBorders>
            <w:shd w:val="clear" w:color="auto" w:fill="auto"/>
            <w:vAlign w:val="center"/>
            <w:hideMark/>
          </w:tcPr>
          <w:p w14:paraId="4BE633BC"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Throughout</w:t>
            </w:r>
          </w:p>
        </w:tc>
        <w:tc>
          <w:tcPr>
            <w:tcW w:w="1287" w:type="dxa"/>
            <w:tcBorders>
              <w:top w:val="nil"/>
              <w:left w:val="nil"/>
              <w:bottom w:val="single" w:sz="4" w:space="0" w:color="auto"/>
              <w:right w:val="single" w:sz="4" w:space="0" w:color="auto"/>
            </w:tcBorders>
            <w:shd w:val="clear" w:color="auto" w:fill="auto"/>
            <w:vAlign w:val="center"/>
            <w:hideMark/>
          </w:tcPr>
          <w:p w14:paraId="595BA363"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Multiple pages</w:t>
            </w:r>
          </w:p>
        </w:tc>
        <w:tc>
          <w:tcPr>
            <w:tcW w:w="1710" w:type="dxa"/>
            <w:tcBorders>
              <w:top w:val="nil"/>
              <w:left w:val="nil"/>
              <w:bottom w:val="single" w:sz="4" w:space="0" w:color="auto"/>
              <w:right w:val="single" w:sz="4" w:space="0" w:color="auto"/>
            </w:tcBorders>
            <w:shd w:val="clear" w:color="auto" w:fill="auto"/>
            <w:vAlign w:val="center"/>
            <w:hideMark/>
          </w:tcPr>
          <w:p w14:paraId="2B9802FA" w14:textId="15D69380"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Removed any reference to the reinterview and </w:t>
            </w:r>
            <w:r w:rsidR="003D1395" w:rsidRPr="00217829">
              <w:rPr>
                <w:rFonts w:ascii="Calibri" w:hAnsi="Calibri" w:cs="Calibri"/>
                <w:color w:val="000000"/>
                <w:sz w:val="20"/>
                <w:szCs w:val="20"/>
              </w:rPr>
              <w:t>all reinterview</w:t>
            </w:r>
            <w:r w:rsidRPr="00217829">
              <w:rPr>
                <w:rFonts w:ascii="Calibri" w:hAnsi="Calibri" w:cs="Calibri"/>
                <w:color w:val="000000"/>
                <w:sz w:val="20"/>
                <w:szCs w:val="20"/>
              </w:rPr>
              <w:t xml:space="preserve"> materials.</w:t>
            </w:r>
          </w:p>
        </w:tc>
        <w:tc>
          <w:tcPr>
            <w:tcW w:w="2250" w:type="dxa"/>
            <w:tcBorders>
              <w:top w:val="nil"/>
              <w:left w:val="nil"/>
              <w:bottom w:val="single" w:sz="4" w:space="0" w:color="auto"/>
              <w:right w:val="single" w:sz="4" w:space="0" w:color="auto"/>
            </w:tcBorders>
            <w:shd w:val="clear" w:color="auto" w:fill="auto"/>
            <w:vAlign w:val="center"/>
            <w:hideMark/>
          </w:tcPr>
          <w:p w14:paraId="01B70DE3"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No reinterview collection during the FS</w:t>
            </w:r>
          </w:p>
        </w:tc>
        <w:tc>
          <w:tcPr>
            <w:tcW w:w="2970" w:type="dxa"/>
            <w:tcBorders>
              <w:top w:val="nil"/>
              <w:left w:val="nil"/>
              <w:bottom w:val="single" w:sz="4" w:space="0" w:color="auto"/>
              <w:right w:val="single" w:sz="4" w:space="0" w:color="auto"/>
            </w:tcBorders>
            <w:shd w:val="clear" w:color="auto" w:fill="auto"/>
            <w:vAlign w:val="center"/>
            <w:hideMark/>
          </w:tcPr>
          <w:p w14:paraId="669C6181"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55EA1319" w14:textId="77777777" w:rsidTr="00217829">
        <w:trPr>
          <w:trHeight w:val="870"/>
        </w:trPr>
        <w:tc>
          <w:tcPr>
            <w:tcW w:w="1762" w:type="dxa"/>
            <w:tcBorders>
              <w:top w:val="nil"/>
              <w:left w:val="single" w:sz="4" w:space="0" w:color="auto"/>
              <w:bottom w:val="single" w:sz="4" w:space="0" w:color="auto"/>
              <w:right w:val="single" w:sz="4" w:space="0" w:color="auto"/>
            </w:tcBorders>
            <w:shd w:val="clear" w:color="auto" w:fill="auto"/>
            <w:vAlign w:val="center"/>
            <w:hideMark/>
          </w:tcPr>
          <w:p w14:paraId="223108A0"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Added time fill associated with survey length</w:t>
            </w:r>
          </w:p>
        </w:tc>
        <w:tc>
          <w:tcPr>
            <w:tcW w:w="1176" w:type="dxa"/>
            <w:tcBorders>
              <w:top w:val="nil"/>
              <w:left w:val="nil"/>
              <w:bottom w:val="single" w:sz="4" w:space="0" w:color="auto"/>
              <w:right w:val="single" w:sz="4" w:space="0" w:color="auto"/>
            </w:tcBorders>
            <w:shd w:val="clear" w:color="auto" w:fill="auto"/>
            <w:vAlign w:val="center"/>
            <w:hideMark/>
          </w:tcPr>
          <w:p w14:paraId="4E24A6D5"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Throughout</w:t>
            </w:r>
          </w:p>
        </w:tc>
        <w:tc>
          <w:tcPr>
            <w:tcW w:w="1287" w:type="dxa"/>
            <w:tcBorders>
              <w:top w:val="nil"/>
              <w:left w:val="nil"/>
              <w:bottom w:val="single" w:sz="4" w:space="0" w:color="auto"/>
              <w:right w:val="single" w:sz="4" w:space="0" w:color="auto"/>
            </w:tcBorders>
            <w:shd w:val="clear" w:color="auto" w:fill="auto"/>
            <w:vAlign w:val="center"/>
            <w:hideMark/>
          </w:tcPr>
          <w:p w14:paraId="6F2128DF"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Multiple pages</w:t>
            </w:r>
          </w:p>
        </w:tc>
        <w:tc>
          <w:tcPr>
            <w:tcW w:w="1710" w:type="dxa"/>
            <w:tcBorders>
              <w:top w:val="nil"/>
              <w:left w:val="nil"/>
              <w:bottom w:val="single" w:sz="4" w:space="0" w:color="auto"/>
              <w:right w:val="single" w:sz="4" w:space="0" w:color="auto"/>
            </w:tcBorders>
            <w:shd w:val="clear" w:color="auto" w:fill="auto"/>
            <w:noWrap/>
            <w:vAlign w:val="bottom"/>
            <w:hideMark/>
          </w:tcPr>
          <w:p w14:paraId="6629D7A3"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Merge fill added</w:t>
            </w:r>
          </w:p>
        </w:tc>
        <w:tc>
          <w:tcPr>
            <w:tcW w:w="2250" w:type="dxa"/>
            <w:tcBorders>
              <w:top w:val="nil"/>
              <w:left w:val="nil"/>
              <w:bottom w:val="single" w:sz="4" w:space="0" w:color="auto"/>
              <w:right w:val="single" w:sz="4" w:space="0" w:color="auto"/>
            </w:tcBorders>
            <w:shd w:val="clear" w:color="auto" w:fill="auto"/>
            <w:vAlign w:val="center"/>
            <w:hideMark/>
          </w:tcPr>
          <w:p w14:paraId="6E428651" w14:textId="0351EA1B"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An abbreviated interview will be available in the full-scale.  Adding appropriate time fill </w:t>
            </w:r>
            <w:r w:rsidR="003D1395" w:rsidRPr="00217829">
              <w:rPr>
                <w:rFonts w:ascii="Calibri" w:hAnsi="Calibri" w:cs="Calibri"/>
                <w:color w:val="000000"/>
                <w:sz w:val="20"/>
                <w:szCs w:val="20"/>
              </w:rPr>
              <w:t>merges allows</w:t>
            </w:r>
            <w:r w:rsidRPr="00217829">
              <w:rPr>
                <w:rFonts w:ascii="Calibri" w:hAnsi="Calibri" w:cs="Calibri"/>
                <w:color w:val="000000"/>
                <w:sz w:val="20"/>
                <w:szCs w:val="20"/>
              </w:rPr>
              <w:t xml:space="preserve"> the contacts to be used with abbreviated interview offer, if applicable.</w:t>
            </w:r>
          </w:p>
        </w:tc>
        <w:tc>
          <w:tcPr>
            <w:tcW w:w="2970" w:type="dxa"/>
            <w:tcBorders>
              <w:top w:val="nil"/>
              <w:left w:val="nil"/>
              <w:bottom w:val="single" w:sz="4" w:space="0" w:color="auto"/>
              <w:right w:val="single" w:sz="4" w:space="0" w:color="auto"/>
            </w:tcBorders>
            <w:shd w:val="clear" w:color="auto" w:fill="auto"/>
            <w:vAlign w:val="center"/>
            <w:hideMark/>
          </w:tcPr>
          <w:p w14:paraId="0927C62B"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2F887575" w14:textId="77777777" w:rsidTr="00217829">
        <w:trPr>
          <w:trHeight w:val="1050"/>
        </w:trPr>
        <w:tc>
          <w:tcPr>
            <w:tcW w:w="1762" w:type="dxa"/>
            <w:tcBorders>
              <w:top w:val="nil"/>
              <w:left w:val="single" w:sz="4" w:space="0" w:color="auto"/>
              <w:bottom w:val="single" w:sz="4" w:space="0" w:color="auto"/>
              <w:right w:val="single" w:sz="4" w:space="0" w:color="auto"/>
            </w:tcBorders>
            <w:shd w:val="clear" w:color="auto" w:fill="auto"/>
            <w:vAlign w:val="bottom"/>
            <w:hideMark/>
          </w:tcPr>
          <w:p w14:paraId="0FEB77C2"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Added fills to emphasize that your unique experiences during coronavirus are important to BPS researchers.</w:t>
            </w:r>
          </w:p>
        </w:tc>
        <w:tc>
          <w:tcPr>
            <w:tcW w:w="1176" w:type="dxa"/>
            <w:tcBorders>
              <w:top w:val="nil"/>
              <w:left w:val="nil"/>
              <w:bottom w:val="single" w:sz="4" w:space="0" w:color="auto"/>
              <w:right w:val="single" w:sz="4" w:space="0" w:color="auto"/>
            </w:tcBorders>
            <w:shd w:val="clear" w:color="auto" w:fill="auto"/>
            <w:vAlign w:val="center"/>
            <w:hideMark/>
          </w:tcPr>
          <w:p w14:paraId="575E0080"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Throughout</w:t>
            </w:r>
          </w:p>
        </w:tc>
        <w:tc>
          <w:tcPr>
            <w:tcW w:w="1287" w:type="dxa"/>
            <w:tcBorders>
              <w:top w:val="nil"/>
              <w:left w:val="nil"/>
              <w:bottom w:val="single" w:sz="4" w:space="0" w:color="auto"/>
              <w:right w:val="single" w:sz="4" w:space="0" w:color="auto"/>
            </w:tcBorders>
            <w:shd w:val="clear" w:color="auto" w:fill="auto"/>
            <w:vAlign w:val="center"/>
            <w:hideMark/>
          </w:tcPr>
          <w:p w14:paraId="4C462317"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Multiple pages</w:t>
            </w:r>
          </w:p>
        </w:tc>
        <w:tc>
          <w:tcPr>
            <w:tcW w:w="1710" w:type="dxa"/>
            <w:tcBorders>
              <w:top w:val="nil"/>
              <w:left w:val="nil"/>
              <w:bottom w:val="single" w:sz="4" w:space="0" w:color="auto"/>
              <w:right w:val="single" w:sz="4" w:space="0" w:color="auto"/>
            </w:tcBorders>
            <w:shd w:val="clear" w:color="auto" w:fill="auto"/>
            <w:noWrap/>
            <w:vAlign w:val="bottom"/>
            <w:hideMark/>
          </w:tcPr>
          <w:p w14:paraId="39BCF51C"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Merge fill added</w:t>
            </w:r>
          </w:p>
        </w:tc>
        <w:tc>
          <w:tcPr>
            <w:tcW w:w="2250" w:type="dxa"/>
            <w:tcBorders>
              <w:top w:val="nil"/>
              <w:left w:val="nil"/>
              <w:bottom w:val="single" w:sz="4" w:space="0" w:color="auto"/>
              <w:right w:val="single" w:sz="4" w:space="0" w:color="auto"/>
            </w:tcBorders>
            <w:shd w:val="clear" w:color="auto" w:fill="auto"/>
            <w:vAlign w:val="center"/>
            <w:hideMark/>
          </w:tcPr>
          <w:p w14:paraId="2113FF27"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To emphasize that coronavirus impacts are unique and important to this study.</w:t>
            </w:r>
          </w:p>
        </w:tc>
        <w:tc>
          <w:tcPr>
            <w:tcW w:w="2970" w:type="dxa"/>
            <w:tcBorders>
              <w:top w:val="nil"/>
              <w:left w:val="nil"/>
              <w:bottom w:val="single" w:sz="4" w:space="0" w:color="auto"/>
              <w:right w:val="single" w:sz="4" w:space="0" w:color="auto"/>
            </w:tcBorders>
            <w:shd w:val="clear" w:color="auto" w:fill="auto"/>
            <w:noWrap/>
            <w:vAlign w:val="bottom"/>
            <w:hideMark/>
          </w:tcPr>
          <w:p w14:paraId="173035B1"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4F2CB357" w14:textId="77777777" w:rsidTr="00217829">
        <w:trPr>
          <w:trHeight w:val="795"/>
        </w:trPr>
        <w:tc>
          <w:tcPr>
            <w:tcW w:w="1762" w:type="dxa"/>
            <w:tcBorders>
              <w:top w:val="nil"/>
              <w:left w:val="single" w:sz="4" w:space="0" w:color="auto"/>
              <w:bottom w:val="single" w:sz="4" w:space="0" w:color="auto"/>
              <w:right w:val="single" w:sz="4" w:space="0" w:color="auto"/>
            </w:tcBorders>
            <w:shd w:val="clear" w:color="auto" w:fill="auto"/>
            <w:vAlign w:val="center"/>
            <w:hideMark/>
          </w:tcPr>
          <w:p w14:paraId="210EDF26" w14:textId="5EDC0C88"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Added fill to clarify we want to hear from both "current and former</w:t>
            </w:r>
            <w:r w:rsidR="003D1395" w:rsidRPr="00217829">
              <w:rPr>
                <w:rFonts w:ascii="Calibri" w:hAnsi="Calibri" w:cs="Calibri"/>
                <w:color w:val="000000"/>
                <w:sz w:val="20"/>
                <w:szCs w:val="20"/>
              </w:rPr>
              <w:t>” students</w:t>
            </w:r>
          </w:p>
        </w:tc>
        <w:tc>
          <w:tcPr>
            <w:tcW w:w="1176" w:type="dxa"/>
            <w:tcBorders>
              <w:top w:val="nil"/>
              <w:left w:val="nil"/>
              <w:bottom w:val="single" w:sz="4" w:space="0" w:color="auto"/>
              <w:right w:val="single" w:sz="4" w:space="0" w:color="auto"/>
            </w:tcBorders>
            <w:shd w:val="clear" w:color="auto" w:fill="auto"/>
            <w:vAlign w:val="center"/>
            <w:hideMark/>
          </w:tcPr>
          <w:p w14:paraId="52937FE2"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Throughout</w:t>
            </w:r>
          </w:p>
        </w:tc>
        <w:tc>
          <w:tcPr>
            <w:tcW w:w="1287" w:type="dxa"/>
            <w:tcBorders>
              <w:top w:val="nil"/>
              <w:left w:val="nil"/>
              <w:bottom w:val="single" w:sz="4" w:space="0" w:color="auto"/>
              <w:right w:val="single" w:sz="4" w:space="0" w:color="auto"/>
            </w:tcBorders>
            <w:shd w:val="clear" w:color="auto" w:fill="auto"/>
            <w:vAlign w:val="center"/>
            <w:hideMark/>
          </w:tcPr>
          <w:p w14:paraId="7F9DDB16"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Multiple pages</w:t>
            </w:r>
          </w:p>
        </w:tc>
        <w:tc>
          <w:tcPr>
            <w:tcW w:w="1710" w:type="dxa"/>
            <w:tcBorders>
              <w:top w:val="nil"/>
              <w:left w:val="nil"/>
              <w:bottom w:val="single" w:sz="4" w:space="0" w:color="auto"/>
              <w:right w:val="single" w:sz="4" w:space="0" w:color="auto"/>
            </w:tcBorders>
            <w:shd w:val="clear" w:color="auto" w:fill="auto"/>
            <w:noWrap/>
            <w:vAlign w:val="bottom"/>
            <w:hideMark/>
          </w:tcPr>
          <w:p w14:paraId="65EAE0F6"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Merge fill added</w:t>
            </w:r>
          </w:p>
        </w:tc>
        <w:tc>
          <w:tcPr>
            <w:tcW w:w="2250" w:type="dxa"/>
            <w:tcBorders>
              <w:top w:val="nil"/>
              <w:left w:val="nil"/>
              <w:bottom w:val="single" w:sz="4" w:space="0" w:color="auto"/>
              <w:right w:val="single" w:sz="4" w:space="0" w:color="auto"/>
            </w:tcBorders>
            <w:shd w:val="clear" w:color="auto" w:fill="auto"/>
            <w:vAlign w:val="center"/>
            <w:hideMark/>
          </w:tcPr>
          <w:p w14:paraId="7EC534E0" w14:textId="6F4F6D7D"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Assuring all sample </w:t>
            </w:r>
            <w:r w:rsidR="003D1395" w:rsidRPr="00217829">
              <w:rPr>
                <w:rFonts w:ascii="Calibri" w:hAnsi="Calibri" w:cs="Calibri"/>
                <w:color w:val="000000"/>
                <w:sz w:val="20"/>
                <w:szCs w:val="20"/>
              </w:rPr>
              <w:t>members</w:t>
            </w:r>
            <w:r w:rsidRPr="00217829">
              <w:rPr>
                <w:rFonts w:ascii="Calibri" w:hAnsi="Calibri" w:cs="Calibri"/>
                <w:color w:val="000000"/>
                <w:sz w:val="20"/>
                <w:szCs w:val="20"/>
              </w:rPr>
              <w:t xml:space="preserve"> we would like their participation, regardless of current enrollment status.</w:t>
            </w:r>
          </w:p>
        </w:tc>
        <w:tc>
          <w:tcPr>
            <w:tcW w:w="2970" w:type="dxa"/>
            <w:tcBorders>
              <w:top w:val="nil"/>
              <w:left w:val="nil"/>
              <w:bottom w:val="single" w:sz="4" w:space="0" w:color="auto"/>
              <w:right w:val="single" w:sz="4" w:space="0" w:color="auto"/>
            </w:tcBorders>
            <w:shd w:val="clear" w:color="auto" w:fill="auto"/>
            <w:vAlign w:val="center"/>
            <w:hideMark/>
          </w:tcPr>
          <w:p w14:paraId="6E8A6AB6"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Your personal circumstances are unique, and you cannot be replaced in this study.</w:t>
            </w:r>
          </w:p>
        </w:tc>
      </w:tr>
      <w:tr w:rsidR="00217829" w:rsidRPr="00217829" w14:paraId="53301272" w14:textId="77777777" w:rsidTr="00217829">
        <w:trPr>
          <w:trHeight w:val="795"/>
        </w:trPr>
        <w:tc>
          <w:tcPr>
            <w:tcW w:w="1762" w:type="dxa"/>
            <w:tcBorders>
              <w:top w:val="nil"/>
              <w:left w:val="single" w:sz="4" w:space="0" w:color="auto"/>
              <w:bottom w:val="single" w:sz="4" w:space="0" w:color="auto"/>
              <w:right w:val="single" w:sz="4" w:space="0" w:color="auto"/>
            </w:tcBorders>
            <w:shd w:val="clear" w:color="auto" w:fill="auto"/>
            <w:vAlign w:val="center"/>
            <w:hideMark/>
          </w:tcPr>
          <w:p w14:paraId="00E8E7C0"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lastRenderedPageBreak/>
              <w:t>Added fills to better tailor text to the full-scale sample groups (NPSAS:20 Resp, NPSAS:20 NR, NPSAS:20 Admin-only)</w:t>
            </w:r>
          </w:p>
        </w:tc>
        <w:tc>
          <w:tcPr>
            <w:tcW w:w="1176" w:type="dxa"/>
            <w:tcBorders>
              <w:top w:val="nil"/>
              <w:left w:val="nil"/>
              <w:bottom w:val="single" w:sz="4" w:space="0" w:color="auto"/>
              <w:right w:val="single" w:sz="4" w:space="0" w:color="auto"/>
            </w:tcBorders>
            <w:shd w:val="clear" w:color="auto" w:fill="auto"/>
            <w:vAlign w:val="center"/>
            <w:hideMark/>
          </w:tcPr>
          <w:p w14:paraId="020F6DBF"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Throughout</w:t>
            </w:r>
          </w:p>
        </w:tc>
        <w:tc>
          <w:tcPr>
            <w:tcW w:w="1287" w:type="dxa"/>
            <w:tcBorders>
              <w:top w:val="nil"/>
              <w:left w:val="nil"/>
              <w:bottom w:val="single" w:sz="4" w:space="0" w:color="auto"/>
              <w:right w:val="single" w:sz="4" w:space="0" w:color="auto"/>
            </w:tcBorders>
            <w:shd w:val="clear" w:color="auto" w:fill="auto"/>
            <w:vAlign w:val="center"/>
            <w:hideMark/>
          </w:tcPr>
          <w:p w14:paraId="24F1E652"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Multiple pages</w:t>
            </w:r>
          </w:p>
        </w:tc>
        <w:tc>
          <w:tcPr>
            <w:tcW w:w="1710" w:type="dxa"/>
            <w:tcBorders>
              <w:top w:val="nil"/>
              <w:left w:val="nil"/>
              <w:bottom w:val="single" w:sz="4" w:space="0" w:color="auto"/>
              <w:right w:val="single" w:sz="4" w:space="0" w:color="auto"/>
            </w:tcBorders>
            <w:shd w:val="clear" w:color="auto" w:fill="auto"/>
            <w:noWrap/>
            <w:vAlign w:val="bottom"/>
            <w:hideMark/>
          </w:tcPr>
          <w:p w14:paraId="6F1DA406"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Merge fill added</w:t>
            </w:r>
          </w:p>
        </w:tc>
        <w:tc>
          <w:tcPr>
            <w:tcW w:w="2250" w:type="dxa"/>
            <w:tcBorders>
              <w:top w:val="nil"/>
              <w:left w:val="nil"/>
              <w:bottom w:val="single" w:sz="4" w:space="0" w:color="auto"/>
              <w:right w:val="single" w:sz="4" w:space="0" w:color="auto"/>
            </w:tcBorders>
            <w:shd w:val="clear" w:color="auto" w:fill="auto"/>
            <w:vAlign w:val="center"/>
            <w:hideMark/>
          </w:tcPr>
          <w:p w14:paraId="5F2A6FA1" w14:textId="25BBAE71"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Tailor </w:t>
            </w:r>
            <w:r w:rsidR="003D1395" w:rsidRPr="00217829">
              <w:rPr>
                <w:rFonts w:ascii="Calibri" w:hAnsi="Calibri" w:cs="Calibri"/>
                <w:color w:val="000000"/>
                <w:sz w:val="20"/>
                <w:szCs w:val="20"/>
              </w:rPr>
              <w:t>language</w:t>
            </w:r>
            <w:r w:rsidRPr="00217829">
              <w:rPr>
                <w:rFonts w:ascii="Calibri" w:hAnsi="Calibri" w:cs="Calibri"/>
                <w:color w:val="000000"/>
                <w:sz w:val="20"/>
                <w:szCs w:val="20"/>
              </w:rPr>
              <w:t xml:space="preserve"> based on prior NPSAS:20 participation status.</w:t>
            </w:r>
          </w:p>
        </w:tc>
        <w:tc>
          <w:tcPr>
            <w:tcW w:w="2970" w:type="dxa"/>
            <w:tcBorders>
              <w:top w:val="nil"/>
              <w:left w:val="nil"/>
              <w:bottom w:val="single" w:sz="4" w:space="0" w:color="auto"/>
              <w:right w:val="single" w:sz="4" w:space="0" w:color="auto"/>
            </w:tcBorders>
            <w:shd w:val="clear" w:color="auto" w:fill="auto"/>
            <w:vAlign w:val="center"/>
            <w:hideMark/>
          </w:tcPr>
          <w:p w14:paraId="7A0955DE"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7BF749F1" w14:textId="77777777" w:rsidTr="00217829">
        <w:trPr>
          <w:trHeight w:val="600"/>
        </w:trPr>
        <w:tc>
          <w:tcPr>
            <w:tcW w:w="1762" w:type="dxa"/>
            <w:tcBorders>
              <w:top w:val="nil"/>
              <w:left w:val="single" w:sz="4" w:space="0" w:color="auto"/>
              <w:bottom w:val="single" w:sz="4" w:space="0" w:color="auto"/>
              <w:right w:val="single" w:sz="4" w:space="0" w:color="auto"/>
            </w:tcBorders>
            <w:shd w:val="clear" w:color="auto" w:fill="auto"/>
            <w:vAlign w:val="center"/>
            <w:hideMark/>
          </w:tcPr>
          <w:p w14:paraId="76406F5C" w14:textId="492B4766"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Added fill to insert NCES Letterhead design </w:t>
            </w:r>
            <w:r w:rsidR="003D1395" w:rsidRPr="00217829">
              <w:rPr>
                <w:rFonts w:ascii="Calibri" w:hAnsi="Calibri" w:cs="Calibri"/>
                <w:color w:val="000000"/>
                <w:sz w:val="20"/>
                <w:szCs w:val="20"/>
              </w:rPr>
              <w:t>in emails</w:t>
            </w:r>
          </w:p>
        </w:tc>
        <w:tc>
          <w:tcPr>
            <w:tcW w:w="1176" w:type="dxa"/>
            <w:tcBorders>
              <w:top w:val="nil"/>
              <w:left w:val="nil"/>
              <w:bottom w:val="single" w:sz="4" w:space="0" w:color="auto"/>
              <w:right w:val="single" w:sz="4" w:space="0" w:color="auto"/>
            </w:tcBorders>
            <w:shd w:val="clear" w:color="auto" w:fill="auto"/>
            <w:vAlign w:val="center"/>
            <w:hideMark/>
          </w:tcPr>
          <w:p w14:paraId="20FD155C"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Many emails</w:t>
            </w:r>
          </w:p>
        </w:tc>
        <w:tc>
          <w:tcPr>
            <w:tcW w:w="1287" w:type="dxa"/>
            <w:tcBorders>
              <w:top w:val="nil"/>
              <w:left w:val="nil"/>
              <w:bottom w:val="single" w:sz="4" w:space="0" w:color="auto"/>
              <w:right w:val="single" w:sz="4" w:space="0" w:color="auto"/>
            </w:tcBorders>
            <w:shd w:val="clear" w:color="auto" w:fill="auto"/>
            <w:vAlign w:val="center"/>
            <w:hideMark/>
          </w:tcPr>
          <w:p w14:paraId="2829247E"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Multiple pages</w:t>
            </w:r>
          </w:p>
        </w:tc>
        <w:tc>
          <w:tcPr>
            <w:tcW w:w="1710" w:type="dxa"/>
            <w:tcBorders>
              <w:top w:val="nil"/>
              <w:left w:val="nil"/>
              <w:bottom w:val="single" w:sz="4" w:space="0" w:color="auto"/>
              <w:right w:val="single" w:sz="4" w:space="0" w:color="auto"/>
            </w:tcBorders>
            <w:shd w:val="clear" w:color="auto" w:fill="auto"/>
            <w:noWrap/>
            <w:vAlign w:val="bottom"/>
            <w:hideMark/>
          </w:tcPr>
          <w:p w14:paraId="4D69C6D8"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Merge fill added</w:t>
            </w:r>
          </w:p>
        </w:tc>
        <w:tc>
          <w:tcPr>
            <w:tcW w:w="2250" w:type="dxa"/>
            <w:tcBorders>
              <w:top w:val="nil"/>
              <w:left w:val="nil"/>
              <w:bottom w:val="single" w:sz="4" w:space="0" w:color="auto"/>
              <w:right w:val="single" w:sz="4" w:space="0" w:color="auto"/>
            </w:tcBorders>
            <w:shd w:val="clear" w:color="auto" w:fill="auto"/>
            <w:vAlign w:val="center"/>
            <w:hideMark/>
          </w:tcPr>
          <w:p w14:paraId="6DFE3AD6" w14:textId="7E7AB726"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The addition of NCES </w:t>
            </w:r>
            <w:r w:rsidR="003D1395" w:rsidRPr="00217829">
              <w:rPr>
                <w:rFonts w:ascii="Calibri" w:hAnsi="Calibri" w:cs="Calibri"/>
                <w:color w:val="000000"/>
                <w:sz w:val="20"/>
                <w:szCs w:val="20"/>
              </w:rPr>
              <w:t>letterhead design</w:t>
            </w:r>
            <w:r w:rsidRPr="00217829">
              <w:rPr>
                <w:rFonts w:ascii="Calibri" w:hAnsi="Calibri" w:cs="Calibri"/>
                <w:color w:val="000000"/>
                <w:sz w:val="20"/>
                <w:szCs w:val="20"/>
              </w:rPr>
              <w:t xml:space="preserve"> in selected emails </w:t>
            </w:r>
            <w:proofErr w:type="gramStart"/>
            <w:r w:rsidRPr="00217829">
              <w:rPr>
                <w:rFonts w:ascii="Calibri" w:hAnsi="Calibri" w:cs="Calibri"/>
                <w:color w:val="000000"/>
                <w:sz w:val="20"/>
                <w:szCs w:val="20"/>
              </w:rPr>
              <w:t>could  increase</w:t>
            </w:r>
            <w:proofErr w:type="gramEnd"/>
            <w:r w:rsidRPr="00217829">
              <w:rPr>
                <w:rFonts w:ascii="Calibri" w:hAnsi="Calibri" w:cs="Calibri"/>
                <w:color w:val="000000"/>
                <w:sz w:val="20"/>
                <w:szCs w:val="20"/>
              </w:rPr>
              <w:t xml:space="preserve"> legitimacy of request.  </w:t>
            </w:r>
          </w:p>
        </w:tc>
        <w:tc>
          <w:tcPr>
            <w:tcW w:w="2970" w:type="dxa"/>
            <w:tcBorders>
              <w:top w:val="nil"/>
              <w:left w:val="nil"/>
              <w:bottom w:val="single" w:sz="4" w:space="0" w:color="auto"/>
              <w:right w:val="single" w:sz="4" w:space="0" w:color="auto"/>
            </w:tcBorders>
            <w:shd w:val="clear" w:color="auto" w:fill="auto"/>
            <w:vAlign w:val="center"/>
            <w:hideMark/>
          </w:tcPr>
          <w:p w14:paraId="4D2412EF"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21EEBB38" w14:textId="77777777" w:rsidTr="00217829">
        <w:trPr>
          <w:trHeight w:val="600"/>
        </w:trPr>
        <w:tc>
          <w:tcPr>
            <w:tcW w:w="1762" w:type="dxa"/>
            <w:tcBorders>
              <w:top w:val="nil"/>
              <w:left w:val="single" w:sz="4" w:space="0" w:color="auto"/>
              <w:bottom w:val="single" w:sz="4" w:space="0" w:color="auto"/>
              <w:right w:val="single" w:sz="4" w:space="0" w:color="auto"/>
            </w:tcBorders>
            <w:shd w:val="clear" w:color="auto" w:fill="auto"/>
            <w:vAlign w:val="center"/>
            <w:hideMark/>
          </w:tcPr>
          <w:p w14:paraId="58DC8AB3"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Revised Click Here button on all emails</w:t>
            </w:r>
          </w:p>
        </w:tc>
        <w:tc>
          <w:tcPr>
            <w:tcW w:w="1176" w:type="dxa"/>
            <w:tcBorders>
              <w:top w:val="nil"/>
              <w:left w:val="nil"/>
              <w:bottom w:val="single" w:sz="4" w:space="0" w:color="auto"/>
              <w:right w:val="single" w:sz="4" w:space="0" w:color="auto"/>
            </w:tcBorders>
            <w:shd w:val="clear" w:color="auto" w:fill="auto"/>
            <w:vAlign w:val="center"/>
            <w:hideMark/>
          </w:tcPr>
          <w:p w14:paraId="1FC1E173"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Many emails</w:t>
            </w:r>
          </w:p>
        </w:tc>
        <w:tc>
          <w:tcPr>
            <w:tcW w:w="1287" w:type="dxa"/>
            <w:tcBorders>
              <w:top w:val="nil"/>
              <w:left w:val="nil"/>
              <w:bottom w:val="single" w:sz="4" w:space="0" w:color="auto"/>
              <w:right w:val="single" w:sz="4" w:space="0" w:color="auto"/>
            </w:tcBorders>
            <w:shd w:val="clear" w:color="auto" w:fill="auto"/>
            <w:vAlign w:val="center"/>
            <w:hideMark/>
          </w:tcPr>
          <w:p w14:paraId="6BF2CC3F"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Multiple pages</w:t>
            </w:r>
          </w:p>
        </w:tc>
        <w:tc>
          <w:tcPr>
            <w:tcW w:w="1710" w:type="dxa"/>
            <w:tcBorders>
              <w:top w:val="nil"/>
              <w:left w:val="nil"/>
              <w:bottom w:val="single" w:sz="4" w:space="0" w:color="auto"/>
              <w:right w:val="single" w:sz="4" w:space="0" w:color="auto"/>
            </w:tcBorders>
            <w:shd w:val="clear" w:color="auto" w:fill="auto"/>
            <w:noWrap/>
            <w:vAlign w:val="bottom"/>
            <w:hideMark/>
          </w:tcPr>
          <w:p w14:paraId="5C927410"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c>
          <w:tcPr>
            <w:tcW w:w="2250" w:type="dxa"/>
            <w:tcBorders>
              <w:top w:val="nil"/>
              <w:left w:val="nil"/>
              <w:bottom w:val="single" w:sz="4" w:space="0" w:color="auto"/>
              <w:right w:val="single" w:sz="4" w:space="0" w:color="auto"/>
            </w:tcBorders>
            <w:shd w:val="clear" w:color="auto" w:fill="auto"/>
            <w:vAlign w:val="center"/>
            <w:hideMark/>
          </w:tcPr>
          <w:p w14:paraId="797B684B"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Per standards, the BPS logo will no longer be used, so a new click-here button will be developed.</w:t>
            </w:r>
          </w:p>
        </w:tc>
        <w:tc>
          <w:tcPr>
            <w:tcW w:w="2970" w:type="dxa"/>
            <w:tcBorders>
              <w:top w:val="nil"/>
              <w:left w:val="nil"/>
              <w:bottom w:val="single" w:sz="4" w:space="0" w:color="auto"/>
              <w:right w:val="single" w:sz="4" w:space="0" w:color="auto"/>
            </w:tcBorders>
            <w:shd w:val="clear" w:color="auto" w:fill="auto"/>
            <w:noWrap/>
            <w:vAlign w:val="bottom"/>
            <w:hideMark/>
          </w:tcPr>
          <w:p w14:paraId="0E5D0753"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bl>
    <w:p w14:paraId="6A3AEEBA" w14:textId="0249EA72" w:rsidR="00F834AD" w:rsidRDefault="00F834AD" w:rsidP="00F834AD">
      <w:pPr>
        <w:pStyle w:val="BodyText"/>
      </w:pPr>
    </w:p>
    <w:p w14:paraId="68B3DA79" w14:textId="56D1439A" w:rsidR="00F834AD" w:rsidRDefault="00F834AD" w:rsidP="00F834AD">
      <w:pPr>
        <w:pStyle w:val="BodyText"/>
      </w:pPr>
    </w:p>
    <w:p w14:paraId="351B4E27" w14:textId="7391F486" w:rsidR="00F834AD" w:rsidRDefault="00F834AD" w:rsidP="00F834AD">
      <w:pPr>
        <w:pStyle w:val="BodyText"/>
      </w:pPr>
    </w:p>
    <w:p w14:paraId="415EA806" w14:textId="6760C505" w:rsidR="00F834AD" w:rsidRDefault="00F834AD" w:rsidP="00F834AD">
      <w:pPr>
        <w:pStyle w:val="BodyText"/>
      </w:pPr>
    </w:p>
    <w:p w14:paraId="06733EAA" w14:textId="0E37BE2D" w:rsidR="00F834AD" w:rsidRDefault="00F834AD" w:rsidP="00F834AD">
      <w:pPr>
        <w:pStyle w:val="BodyText"/>
      </w:pPr>
    </w:p>
    <w:p w14:paraId="0B878397" w14:textId="68CFF705" w:rsidR="00F834AD" w:rsidRDefault="00F834AD" w:rsidP="00F834AD">
      <w:pPr>
        <w:pStyle w:val="BodyText"/>
      </w:pPr>
    </w:p>
    <w:p w14:paraId="0D445961" w14:textId="12259A8F" w:rsidR="00F834AD" w:rsidRDefault="00F834AD" w:rsidP="00F834AD">
      <w:pPr>
        <w:pStyle w:val="BodyText"/>
      </w:pPr>
    </w:p>
    <w:p w14:paraId="47A71BE4" w14:textId="70E5DFA7" w:rsidR="00F834AD" w:rsidRDefault="00F834AD" w:rsidP="00F834AD">
      <w:pPr>
        <w:pStyle w:val="BodyText"/>
      </w:pPr>
    </w:p>
    <w:p w14:paraId="3DC2041A" w14:textId="57242BCA" w:rsidR="00F834AD" w:rsidRDefault="00F834AD" w:rsidP="00F834AD">
      <w:pPr>
        <w:pStyle w:val="BodyText"/>
      </w:pPr>
    </w:p>
    <w:p w14:paraId="21B0D620" w14:textId="18135920" w:rsidR="00F834AD" w:rsidRDefault="00F834AD" w:rsidP="00F834AD">
      <w:pPr>
        <w:pStyle w:val="BodyText"/>
      </w:pPr>
    </w:p>
    <w:p w14:paraId="394EEFC0" w14:textId="24506B66" w:rsidR="00F834AD" w:rsidRDefault="00F834AD" w:rsidP="00F834AD">
      <w:pPr>
        <w:pStyle w:val="BodyText"/>
      </w:pPr>
    </w:p>
    <w:p w14:paraId="3C34E8F1" w14:textId="54D94AEE" w:rsidR="00F834AD" w:rsidRDefault="00F834AD" w:rsidP="00F834AD">
      <w:pPr>
        <w:pStyle w:val="BodyText"/>
      </w:pPr>
    </w:p>
    <w:p w14:paraId="2F1C5D16" w14:textId="77777777" w:rsidR="00F834AD" w:rsidRPr="00F834AD" w:rsidRDefault="00F834AD" w:rsidP="00F834AD">
      <w:pPr>
        <w:pStyle w:val="BodyText"/>
      </w:pPr>
    </w:p>
    <w:p w14:paraId="5BFFEF45" w14:textId="77777777" w:rsidR="00B84E3B" w:rsidRDefault="00B84E3B" w:rsidP="00B84E3B">
      <w:pPr>
        <w:pStyle w:val="BodyText"/>
      </w:pPr>
    </w:p>
    <w:p w14:paraId="7D8C621B" w14:textId="77777777" w:rsidR="005346A2" w:rsidRDefault="005346A2">
      <w:pPr>
        <w:spacing w:after="200" w:line="276" w:lineRule="auto"/>
        <w:rPr>
          <w:rFonts w:ascii="Arial" w:hAnsi="Arial" w:cs="Arial"/>
          <w:b/>
          <w:sz w:val="28"/>
          <w:szCs w:val="20"/>
        </w:rPr>
      </w:pPr>
      <w:r>
        <w:br w:type="page"/>
      </w:r>
    </w:p>
    <w:p w14:paraId="048AFF6A" w14:textId="1DCDDC62" w:rsidR="00227FE5" w:rsidRDefault="00227FE5" w:rsidP="0071603F">
      <w:pPr>
        <w:pStyle w:val="Heading1"/>
        <w:numPr>
          <w:ilvl w:val="0"/>
          <w:numId w:val="0"/>
        </w:numPr>
        <w:ind w:left="2340" w:hanging="2340"/>
      </w:pPr>
      <w:r>
        <w:lastRenderedPageBreak/>
        <w:t>Attachment 2b –</w:t>
      </w:r>
      <w:r w:rsidR="0071603F">
        <w:t xml:space="preserve"> </w:t>
      </w:r>
      <w:r>
        <w:t xml:space="preserve">Changes </w:t>
      </w:r>
      <w:r w:rsidR="0071603F">
        <w:t>to and additions of</w:t>
      </w:r>
      <w:r>
        <w:t xml:space="preserve"> specific full-scale c</w:t>
      </w:r>
      <w:r w:rsidR="00AC1DEA">
        <w:t>ontacting</w:t>
      </w:r>
      <w:r>
        <w:t xml:space="preserve"> materials</w:t>
      </w:r>
    </w:p>
    <w:p w14:paraId="30715BDA" w14:textId="07A68132" w:rsidR="00F834AD" w:rsidRDefault="00F834AD" w:rsidP="00A05C17">
      <w:pPr>
        <w:pStyle w:val="BodyText"/>
      </w:pPr>
    </w:p>
    <w:tbl>
      <w:tblPr>
        <w:tblW w:w="11240" w:type="dxa"/>
        <w:tblLook w:val="04A0" w:firstRow="1" w:lastRow="0" w:firstColumn="1" w:lastColumn="0" w:noHBand="0" w:noVBand="1"/>
      </w:tblPr>
      <w:tblGrid>
        <w:gridCol w:w="1790"/>
        <w:gridCol w:w="900"/>
        <w:gridCol w:w="900"/>
        <w:gridCol w:w="2520"/>
        <w:gridCol w:w="2610"/>
        <w:gridCol w:w="2520"/>
      </w:tblGrid>
      <w:tr w:rsidR="00217829" w:rsidRPr="00217829" w14:paraId="753B8C82" w14:textId="77777777" w:rsidTr="00217829">
        <w:trPr>
          <w:trHeight w:val="810"/>
        </w:trPr>
        <w:tc>
          <w:tcPr>
            <w:tcW w:w="179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92F99A" w14:textId="77777777" w:rsidR="00217829" w:rsidRPr="00217829" w:rsidRDefault="00217829" w:rsidP="00217829">
            <w:pPr>
              <w:rPr>
                <w:rFonts w:ascii="Calibri" w:hAnsi="Calibri" w:cs="Calibri"/>
                <w:b/>
                <w:bCs/>
                <w:color w:val="000000"/>
                <w:sz w:val="20"/>
                <w:szCs w:val="20"/>
              </w:rPr>
            </w:pPr>
            <w:r w:rsidRPr="00217829">
              <w:rPr>
                <w:rFonts w:ascii="Calibri" w:hAnsi="Calibri" w:cs="Calibri"/>
                <w:b/>
                <w:bCs/>
                <w:color w:val="000000"/>
                <w:sz w:val="20"/>
                <w:szCs w:val="20"/>
              </w:rPr>
              <w:t>Contact Material</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5B7E2CFC" w14:textId="77777777" w:rsidR="00217829" w:rsidRPr="00217829" w:rsidRDefault="00217829" w:rsidP="00217829">
            <w:pPr>
              <w:jc w:val="center"/>
              <w:rPr>
                <w:rFonts w:ascii="Calibri" w:hAnsi="Calibri" w:cs="Calibri"/>
                <w:b/>
                <w:bCs/>
                <w:color w:val="000000"/>
                <w:sz w:val="20"/>
                <w:szCs w:val="20"/>
              </w:rPr>
            </w:pPr>
            <w:r w:rsidRPr="00217829">
              <w:rPr>
                <w:rFonts w:ascii="Calibri" w:hAnsi="Calibri" w:cs="Calibri"/>
                <w:b/>
                <w:bCs/>
                <w:color w:val="000000"/>
                <w:sz w:val="20"/>
                <w:szCs w:val="20"/>
              </w:rPr>
              <w:t>Page in FT package</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1290A78E" w14:textId="77777777" w:rsidR="00217829" w:rsidRPr="00217829" w:rsidRDefault="00217829" w:rsidP="00217829">
            <w:pPr>
              <w:jc w:val="center"/>
              <w:rPr>
                <w:rFonts w:ascii="Calibri" w:hAnsi="Calibri" w:cs="Calibri"/>
                <w:b/>
                <w:bCs/>
                <w:color w:val="000000"/>
                <w:sz w:val="20"/>
                <w:szCs w:val="20"/>
              </w:rPr>
            </w:pPr>
            <w:r w:rsidRPr="00217829">
              <w:rPr>
                <w:rFonts w:ascii="Calibri" w:hAnsi="Calibri" w:cs="Calibri"/>
                <w:b/>
                <w:bCs/>
                <w:color w:val="000000"/>
                <w:sz w:val="20"/>
                <w:szCs w:val="20"/>
              </w:rPr>
              <w:t>Page in FS package</w:t>
            </w:r>
          </w:p>
        </w:tc>
        <w:tc>
          <w:tcPr>
            <w:tcW w:w="2520" w:type="dxa"/>
            <w:tcBorders>
              <w:top w:val="single" w:sz="8" w:space="0" w:color="auto"/>
              <w:left w:val="nil"/>
              <w:bottom w:val="single" w:sz="8" w:space="0" w:color="auto"/>
              <w:right w:val="single" w:sz="8" w:space="0" w:color="auto"/>
            </w:tcBorders>
            <w:shd w:val="clear" w:color="auto" w:fill="auto"/>
            <w:vAlign w:val="center"/>
            <w:hideMark/>
          </w:tcPr>
          <w:p w14:paraId="52789B32" w14:textId="77777777" w:rsidR="00217829" w:rsidRPr="00217829" w:rsidRDefault="00217829" w:rsidP="00217829">
            <w:pPr>
              <w:rPr>
                <w:rFonts w:ascii="Calibri" w:hAnsi="Calibri" w:cs="Calibri"/>
                <w:b/>
                <w:bCs/>
                <w:color w:val="000000"/>
                <w:sz w:val="20"/>
                <w:szCs w:val="20"/>
              </w:rPr>
            </w:pPr>
            <w:r w:rsidRPr="00217829">
              <w:rPr>
                <w:rFonts w:ascii="Calibri" w:hAnsi="Calibri" w:cs="Calibri"/>
                <w:b/>
                <w:bCs/>
                <w:color w:val="000000"/>
                <w:sz w:val="20"/>
                <w:szCs w:val="20"/>
              </w:rPr>
              <w:t>Type of change</w:t>
            </w:r>
          </w:p>
        </w:tc>
        <w:tc>
          <w:tcPr>
            <w:tcW w:w="2610" w:type="dxa"/>
            <w:tcBorders>
              <w:top w:val="single" w:sz="8" w:space="0" w:color="auto"/>
              <w:left w:val="nil"/>
              <w:bottom w:val="single" w:sz="8" w:space="0" w:color="auto"/>
              <w:right w:val="single" w:sz="8" w:space="0" w:color="auto"/>
            </w:tcBorders>
            <w:shd w:val="clear" w:color="auto" w:fill="auto"/>
            <w:vAlign w:val="center"/>
            <w:hideMark/>
          </w:tcPr>
          <w:p w14:paraId="77E6B83C" w14:textId="77777777" w:rsidR="00217829" w:rsidRPr="00217829" w:rsidRDefault="00217829" w:rsidP="00217829">
            <w:pPr>
              <w:rPr>
                <w:rFonts w:ascii="Calibri" w:hAnsi="Calibri" w:cs="Calibri"/>
                <w:b/>
                <w:bCs/>
                <w:color w:val="000000"/>
                <w:sz w:val="20"/>
                <w:szCs w:val="20"/>
              </w:rPr>
            </w:pPr>
            <w:r w:rsidRPr="00217829">
              <w:rPr>
                <w:rFonts w:ascii="Calibri" w:hAnsi="Calibri" w:cs="Calibri"/>
                <w:b/>
                <w:bCs/>
                <w:color w:val="000000"/>
                <w:sz w:val="20"/>
                <w:szCs w:val="20"/>
              </w:rPr>
              <w:t>Reason for change</w:t>
            </w:r>
          </w:p>
        </w:tc>
        <w:tc>
          <w:tcPr>
            <w:tcW w:w="2520" w:type="dxa"/>
            <w:tcBorders>
              <w:top w:val="single" w:sz="8" w:space="0" w:color="auto"/>
              <w:left w:val="nil"/>
              <w:bottom w:val="single" w:sz="8" w:space="0" w:color="auto"/>
              <w:right w:val="single" w:sz="8" w:space="0" w:color="auto"/>
            </w:tcBorders>
            <w:shd w:val="clear" w:color="auto" w:fill="auto"/>
            <w:vAlign w:val="center"/>
            <w:hideMark/>
          </w:tcPr>
          <w:p w14:paraId="6936C54A" w14:textId="77777777" w:rsidR="00217829" w:rsidRPr="00217829" w:rsidRDefault="00217829" w:rsidP="00217829">
            <w:pPr>
              <w:rPr>
                <w:rFonts w:ascii="Calibri" w:hAnsi="Calibri" w:cs="Calibri"/>
                <w:b/>
                <w:bCs/>
                <w:color w:val="000000"/>
                <w:sz w:val="20"/>
                <w:szCs w:val="20"/>
              </w:rPr>
            </w:pPr>
            <w:r w:rsidRPr="00217829">
              <w:rPr>
                <w:rFonts w:ascii="Calibri" w:hAnsi="Calibri" w:cs="Calibri"/>
                <w:b/>
                <w:bCs/>
                <w:color w:val="000000"/>
                <w:sz w:val="20"/>
                <w:szCs w:val="20"/>
              </w:rPr>
              <w:t>Notes</w:t>
            </w:r>
          </w:p>
        </w:tc>
      </w:tr>
      <w:tr w:rsidR="00217829" w:rsidRPr="00217829" w14:paraId="1BF7B366" w14:textId="77777777" w:rsidTr="00217829">
        <w:trPr>
          <w:trHeight w:val="600"/>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088A5542"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Tentative Schedule for Sample Member Contacts</w:t>
            </w:r>
          </w:p>
        </w:tc>
        <w:tc>
          <w:tcPr>
            <w:tcW w:w="900" w:type="dxa"/>
            <w:tcBorders>
              <w:top w:val="nil"/>
              <w:left w:val="nil"/>
              <w:bottom w:val="single" w:sz="8" w:space="0" w:color="auto"/>
              <w:right w:val="single" w:sz="8" w:space="0" w:color="auto"/>
            </w:tcBorders>
            <w:shd w:val="clear" w:color="auto" w:fill="auto"/>
            <w:vAlign w:val="center"/>
            <w:hideMark/>
          </w:tcPr>
          <w:p w14:paraId="3DF58C89"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C-3</w:t>
            </w:r>
          </w:p>
        </w:tc>
        <w:tc>
          <w:tcPr>
            <w:tcW w:w="900" w:type="dxa"/>
            <w:tcBorders>
              <w:top w:val="nil"/>
              <w:left w:val="nil"/>
              <w:bottom w:val="single" w:sz="8" w:space="0" w:color="auto"/>
              <w:right w:val="single" w:sz="8" w:space="0" w:color="auto"/>
            </w:tcBorders>
            <w:shd w:val="clear" w:color="auto" w:fill="auto"/>
            <w:vAlign w:val="center"/>
            <w:hideMark/>
          </w:tcPr>
          <w:p w14:paraId="101D2928" w14:textId="092E39AF" w:rsidR="00217829" w:rsidRPr="00217829" w:rsidRDefault="00C662E2"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-2</w:t>
            </w:r>
          </w:p>
        </w:tc>
        <w:tc>
          <w:tcPr>
            <w:tcW w:w="2520" w:type="dxa"/>
            <w:tcBorders>
              <w:top w:val="nil"/>
              <w:left w:val="nil"/>
              <w:bottom w:val="single" w:sz="8" w:space="0" w:color="auto"/>
              <w:right w:val="single" w:sz="8" w:space="0" w:color="auto"/>
            </w:tcBorders>
            <w:shd w:val="clear" w:color="auto" w:fill="auto"/>
            <w:vAlign w:val="center"/>
            <w:hideMark/>
          </w:tcPr>
          <w:p w14:paraId="49C09EA6" w14:textId="7F5A045A"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Updated list of contacts and tentative dates for full-scale data collection</w:t>
            </w:r>
          </w:p>
        </w:tc>
        <w:tc>
          <w:tcPr>
            <w:tcW w:w="2610" w:type="dxa"/>
            <w:tcBorders>
              <w:top w:val="nil"/>
              <w:left w:val="nil"/>
              <w:bottom w:val="single" w:sz="8" w:space="0" w:color="auto"/>
              <w:right w:val="single" w:sz="8" w:space="0" w:color="auto"/>
            </w:tcBorders>
            <w:shd w:val="clear" w:color="auto" w:fill="auto"/>
            <w:vAlign w:val="center"/>
            <w:hideMark/>
          </w:tcPr>
          <w:p w14:paraId="7D932C34"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c>
          <w:tcPr>
            <w:tcW w:w="2520" w:type="dxa"/>
            <w:tcBorders>
              <w:top w:val="nil"/>
              <w:left w:val="nil"/>
              <w:bottom w:val="single" w:sz="8" w:space="0" w:color="auto"/>
              <w:right w:val="single" w:sz="8" w:space="0" w:color="auto"/>
            </w:tcBorders>
            <w:shd w:val="clear" w:color="auto" w:fill="auto"/>
            <w:vAlign w:val="center"/>
            <w:hideMark/>
          </w:tcPr>
          <w:p w14:paraId="1213C84B"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5AF3AE19"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08AA14D8"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Draft Brochure Text</w:t>
            </w:r>
          </w:p>
        </w:tc>
        <w:tc>
          <w:tcPr>
            <w:tcW w:w="900" w:type="dxa"/>
            <w:tcBorders>
              <w:top w:val="nil"/>
              <w:left w:val="nil"/>
              <w:bottom w:val="single" w:sz="8" w:space="0" w:color="auto"/>
              <w:right w:val="single" w:sz="8" w:space="0" w:color="auto"/>
            </w:tcBorders>
            <w:shd w:val="clear" w:color="auto" w:fill="auto"/>
            <w:vAlign w:val="center"/>
            <w:hideMark/>
          </w:tcPr>
          <w:p w14:paraId="7FEE4C33"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C-8</w:t>
            </w:r>
          </w:p>
        </w:tc>
        <w:tc>
          <w:tcPr>
            <w:tcW w:w="900" w:type="dxa"/>
            <w:tcBorders>
              <w:top w:val="nil"/>
              <w:left w:val="nil"/>
              <w:bottom w:val="single" w:sz="8" w:space="0" w:color="auto"/>
              <w:right w:val="single" w:sz="8" w:space="0" w:color="auto"/>
            </w:tcBorders>
            <w:shd w:val="clear" w:color="auto" w:fill="auto"/>
            <w:vAlign w:val="center"/>
            <w:hideMark/>
          </w:tcPr>
          <w:p w14:paraId="73EE4765" w14:textId="37314094" w:rsidR="00217829" w:rsidRPr="00217829" w:rsidRDefault="00C662E2"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-7</w:t>
            </w:r>
          </w:p>
        </w:tc>
        <w:tc>
          <w:tcPr>
            <w:tcW w:w="2520" w:type="dxa"/>
            <w:tcBorders>
              <w:top w:val="nil"/>
              <w:left w:val="nil"/>
              <w:bottom w:val="single" w:sz="8" w:space="0" w:color="auto"/>
              <w:right w:val="single" w:sz="8" w:space="0" w:color="auto"/>
            </w:tcBorders>
            <w:shd w:val="clear" w:color="auto" w:fill="auto"/>
            <w:vAlign w:val="center"/>
            <w:hideMark/>
          </w:tcPr>
          <w:p w14:paraId="1735EC19"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Updated text for FS implementation, Editorial to improve readability and clarity, minor revisions to FAQs</w:t>
            </w:r>
          </w:p>
        </w:tc>
        <w:tc>
          <w:tcPr>
            <w:tcW w:w="2610" w:type="dxa"/>
            <w:tcBorders>
              <w:top w:val="nil"/>
              <w:left w:val="nil"/>
              <w:bottom w:val="single" w:sz="8" w:space="0" w:color="auto"/>
              <w:right w:val="single" w:sz="8" w:space="0" w:color="auto"/>
            </w:tcBorders>
            <w:shd w:val="clear" w:color="auto" w:fill="auto"/>
            <w:vAlign w:val="center"/>
            <w:hideMark/>
          </w:tcPr>
          <w:p w14:paraId="0AAF3F0C"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c>
          <w:tcPr>
            <w:tcW w:w="2520" w:type="dxa"/>
            <w:tcBorders>
              <w:top w:val="nil"/>
              <w:left w:val="nil"/>
              <w:bottom w:val="single" w:sz="8" w:space="0" w:color="auto"/>
              <w:right w:val="single" w:sz="8" w:space="0" w:color="auto"/>
            </w:tcBorders>
            <w:shd w:val="clear" w:color="auto" w:fill="auto"/>
            <w:vAlign w:val="center"/>
            <w:hideMark/>
          </w:tcPr>
          <w:p w14:paraId="0012592C"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"Why am I being asked to participate?" FAQ revised to include more detail.</w:t>
            </w:r>
          </w:p>
        </w:tc>
      </w:tr>
      <w:tr w:rsidR="00217829" w:rsidRPr="00217829" w14:paraId="7549420F" w14:textId="77777777" w:rsidTr="00217829">
        <w:trPr>
          <w:trHeight w:val="1470"/>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516AC901"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Draft Website Text</w:t>
            </w:r>
          </w:p>
        </w:tc>
        <w:tc>
          <w:tcPr>
            <w:tcW w:w="900" w:type="dxa"/>
            <w:tcBorders>
              <w:top w:val="nil"/>
              <w:left w:val="nil"/>
              <w:bottom w:val="single" w:sz="8" w:space="0" w:color="auto"/>
              <w:right w:val="single" w:sz="8" w:space="0" w:color="auto"/>
            </w:tcBorders>
            <w:shd w:val="clear" w:color="auto" w:fill="auto"/>
            <w:vAlign w:val="center"/>
            <w:hideMark/>
          </w:tcPr>
          <w:p w14:paraId="08ADFD43"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C-10</w:t>
            </w:r>
          </w:p>
        </w:tc>
        <w:tc>
          <w:tcPr>
            <w:tcW w:w="900" w:type="dxa"/>
            <w:tcBorders>
              <w:top w:val="nil"/>
              <w:left w:val="nil"/>
              <w:bottom w:val="single" w:sz="8" w:space="0" w:color="auto"/>
              <w:right w:val="single" w:sz="8" w:space="0" w:color="auto"/>
            </w:tcBorders>
            <w:shd w:val="clear" w:color="auto" w:fill="auto"/>
            <w:vAlign w:val="center"/>
            <w:hideMark/>
          </w:tcPr>
          <w:p w14:paraId="15D9BB46" w14:textId="715A7B18" w:rsidR="00217829" w:rsidRPr="00217829" w:rsidRDefault="00C662E2"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-9</w:t>
            </w:r>
          </w:p>
        </w:tc>
        <w:tc>
          <w:tcPr>
            <w:tcW w:w="2520" w:type="dxa"/>
            <w:tcBorders>
              <w:top w:val="nil"/>
              <w:left w:val="nil"/>
              <w:bottom w:val="single" w:sz="8" w:space="0" w:color="auto"/>
              <w:right w:val="single" w:sz="8" w:space="0" w:color="auto"/>
            </w:tcBorders>
            <w:shd w:val="clear" w:color="auto" w:fill="auto"/>
            <w:vAlign w:val="center"/>
            <w:hideMark/>
          </w:tcPr>
          <w:p w14:paraId="5CF22E4A" w14:textId="38C8671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Updated text for FS implementation, Editorial to improve readability and clarity, clarified fields on Login Help page, added text in Previous Results, added "unique experiences related to the coronavirus pandemic" to the list of topics included.</w:t>
            </w:r>
          </w:p>
        </w:tc>
        <w:tc>
          <w:tcPr>
            <w:tcW w:w="2610" w:type="dxa"/>
            <w:tcBorders>
              <w:top w:val="nil"/>
              <w:left w:val="nil"/>
              <w:bottom w:val="single" w:sz="8" w:space="0" w:color="auto"/>
              <w:right w:val="single" w:sz="8" w:space="0" w:color="auto"/>
            </w:tcBorders>
            <w:shd w:val="clear" w:color="auto" w:fill="auto"/>
            <w:vAlign w:val="center"/>
            <w:hideMark/>
          </w:tcPr>
          <w:p w14:paraId="51E6C01F"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c>
          <w:tcPr>
            <w:tcW w:w="2520" w:type="dxa"/>
            <w:tcBorders>
              <w:top w:val="nil"/>
              <w:left w:val="nil"/>
              <w:bottom w:val="single" w:sz="8" w:space="0" w:color="auto"/>
              <w:right w:val="single" w:sz="8" w:space="0" w:color="auto"/>
            </w:tcBorders>
            <w:shd w:val="clear" w:color="auto" w:fill="auto"/>
            <w:vAlign w:val="center"/>
            <w:hideMark/>
          </w:tcPr>
          <w:p w14:paraId="1C654D0A"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NCES authorization added to login screen, moved cell phone and email collection to the top of the Update Contact Info form, Previous Results section revised to include more clarity on selected findings.</w:t>
            </w:r>
          </w:p>
        </w:tc>
      </w:tr>
      <w:tr w:rsidR="00217829" w:rsidRPr="00217829" w14:paraId="48E49D14" w14:textId="77777777" w:rsidTr="00217829">
        <w:trPr>
          <w:trHeight w:val="1050"/>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167839F4"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Draft Consent Text</w:t>
            </w:r>
          </w:p>
        </w:tc>
        <w:tc>
          <w:tcPr>
            <w:tcW w:w="900" w:type="dxa"/>
            <w:tcBorders>
              <w:top w:val="nil"/>
              <w:left w:val="nil"/>
              <w:bottom w:val="single" w:sz="8" w:space="0" w:color="auto"/>
              <w:right w:val="single" w:sz="8" w:space="0" w:color="auto"/>
            </w:tcBorders>
            <w:shd w:val="clear" w:color="auto" w:fill="auto"/>
            <w:vAlign w:val="center"/>
            <w:hideMark/>
          </w:tcPr>
          <w:p w14:paraId="1D540CE6"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C-15</w:t>
            </w:r>
          </w:p>
        </w:tc>
        <w:tc>
          <w:tcPr>
            <w:tcW w:w="900" w:type="dxa"/>
            <w:tcBorders>
              <w:top w:val="nil"/>
              <w:left w:val="nil"/>
              <w:bottom w:val="single" w:sz="8" w:space="0" w:color="auto"/>
              <w:right w:val="single" w:sz="8" w:space="0" w:color="auto"/>
            </w:tcBorders>
            <w:shd w:val="clear" w:color="auto" w:fill="auto"/>
            <w:vAlign w:val="center"/>
            <w:hideMark/>
          </w:tcPr>
          <w:p w14:paraId="3C7FA36E" w14:textId="1BC197C2" w:rsidR="00217829" w:rsidRPr="00217829" w:rsidRDefault="00C662E2"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-14</w:t>
            </w:r>
          </w:p>
        </w:tc>
        <w:tc>
          <w:tcPr>
            <w:tcW w:w="2520" w:type="dxa"/>
            <w:tcBorders>
              <w:top w:val="nil"/>
              <w:left w:val="nil"/>
              <w:bottom w:val="single" w:sz="8" w:space="0" w:color="auto"/>
              <w:right w:val="single" w:sz="8" w:space="0" w:color="auto"/>
            </w:tcBorders>
            <w:shd w:val="clear" w:color="auto" w:fill="auto"/>
            <w:vAlign w:val="center"/>
            <w:hideMark/>
          </w:tcPr>
          <w:p w14:paraId="07AD7E91"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Updated text for FS implementation, Editorial to improve readability and clarity based on interviewer feedback, Added text for GDPR, better organized information on NOLET screen </w:t>
            </w:r>
          </w:p>
        </w:tc>
        <w:tc>
          <w:tcPr>
            <w:tcW w:w="2610" w:type="dxa"/>
            <w:tcBorders>
              <w:top w:val="nil"/>
              <w:left w:val="nil"/>
              <w:bottom w:val="single" w:sz="8" w:space="0" w:color="auto"/>
              <w:right w:val="single" w:sz="8" w:space="0" w:color="auto"/>
            </w:tcBorders>
            <w:shd w:val="clear" w:color="auto" w:fill="auto"/>
            <w:vAlign w:val="center"/>
            <w:hideMark/>
          </w:tcPr>
          <w:p w14:paraId="25DD3EB8" w14:textId="35B80E4A"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RTI required addition of GDPR language. Reorganized information on NOLET screen to make it more readable for interviewers.</w:t>
            </w:r>
          </w:p>
        </w:tc>
        <w:tc>
          <w:tcPr>
            <w:tcW w:w="2520" w:type="dxa"/>
            <w:tcBorders>
              <w:top w:val="nil"/>
              <w:left w:val="nil"/>
              <w:bottom w:val="single" w:sz="8" w:space="0" w:color="auto"/>
              <w:right w:val="single" w:sz="8" w:space="0" w:color="auto"/>
            </w:tcBorders>
            <w:shd w:val="clear" w:color="auto" w:fill="auto"/>
            <w:vAlign w:val="center"/>
            <w:hideMark/>
          </w:tcPr>
          <w:p w14:paraId="33BBDB9B"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Removed Web Consent text since included in the survey appendix</w:t>
            </w:r>
          </w:p>
        </w:tc>
      </w:tr>
      <w:tr w:rsidR="00217829" w:rsidRPr="00217829" w14:paraId="4F60E2F4" w14:textId="77777777" w:rsidTr="00217829">
        <w:trPr>
          <w:trHeight w:val="1050"/>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056AE4F5" w14:textId="77777777" w:rsidR="00217829" w:rsidRPr="00217829" w:rsidRDefault="00217829" w:rsidP="00217829">
            <w:pPr>
              <w:rPr>
                <w:rFonts w:ascii="Calibri" w:hAnsi="Calibri" w:cs="Calibri"/>
                <w:sz w:val="20"/>
                <w:szCs w:val="20"/>
              </w:rPr>
            </w:pPr>
            <w:r w:rsidRPr="00217829">
              <w:rPr>
                <w:rFonts w:ascii="Calibri" w:hAnsi="Calibri" w:cs="Calibri"/>
                <w:sz w:val="20"/>
                <w:szCs w:val="20"/>
              </w:rPr>
              <w:t>Greeting Card/Initial Contact</w:t>
            </w:r>
          </w:p>
        </w:tc>
        <w:tc>
          <w:tcPr>
            <w:tcW w:w="900" w:type="dxa"/>
            <w:tcBorders>
              <w:top w:val="nil"/>
              <w:left w:val="nil"/>
              <w:bottom w:val="single" w:sz="8" w:space="0" w:color="auto"/>
              <w:right w:val="single" w:sz="8" w:space="0" w:color="auto"/>
            </w:tcBorders>
            <w:shd w:val="clear" w:color="auto" w:fill="auto"/>
            <w:vAlign w:val="center"/>
            <w:hideMark/>
          </w:tcPr>
          <w:p w14:paraId="70DE3290" w14:textId="77777777" w:rsidR="00217829" w:rsidRPr="00217829" w:rsidRDefault="00217829" w:rsidP="00217829">
            <w:pPr>
              <w:jc w:val="center"/>
              <w:rPr>
                <w:rFonts w:ascii="Calibri" w:hAnsi="Calibri" w:cs="Calibri"/>
                <w:sz w:val="20"/>
                <w:szCs w:val="20"/>
              </w:rPr>
            </w:pPr>
            <w:r w:rsidRPr="00217829">
              <w:rPr>
                <w:rFonts w:ascii="Calibri" w:hAnsi="Calibri" w:cs="Calibri"/>
                <w:sz w:val="20"/>
                <w:szCs w:val="20"/>
              </w:rPr>
              <w:t>C-20</w:t>
            </w:r>
          </w:p>
        </w:tc>
        <w:tc>
          <w:tcPr>
            <w:tcW w:w="900" w:type="dxa"/>
            <w:tcBorders>
              <w:top w:val="nil"/>
              <w:left w:val="nil"/>
              <w:bottom w:val="single" w:sz="8" w:space="0" w:color="auto"/>
              <w:right w:val="single" w:sz="8" w:space="0" w:color="auto"/>
            </w:tcBorders>
            <w:shd w:val="clear" w:color="auto" w:fill="auto"/>
            <w:vAlign w:val="center"/>
            <w:hideMark/>
          </w:tcPr>
          <w:p w14:paraId="1746BAEC" w14:textId="10B9D86A" w:rsidR="00217829" w:rsidRPr="00217829" w:rsidRDefault="00C662E2" w:rsidP="00217829">
            <w:pPr>
              <w:jc w:val="center"/>
              <w:rPr>
                <w:rFonts w:ascii="Calibri" w:hAnsi="Calibri" w:cs="Calibri"/>
                <w:sz w:val="20"/>
                <w:szCs w:val="20"/>
              </w:rPr>
            </w:pPr>
            <w:r>
              <w:rPr>
                <w:rFonts w:ascii="Calibri" w:hAnsi="Calibri" w:cs="Calibri"/>
                <w:sz w:val="20"/>
                <w:szCs w:val="20"/>
              </w:rPr>
              <w:t>C</w:t>
            </w:r>
            <w:r w:rsidR="00217829" w:rsidRPr="00217829">
              <w:rPr>
                <w:rFonts w:ascii="Calibri" w:hAnsi="Calibri" w:cs="Calibri"/>
                <w:sz w:val="20"/>
                <w:szCs w:val="20"/>
              </w:rPr>
              <w:t>-105</w:t>
            </w:r>
          </w:p>
        </w:tc>
        <w:tc>
          <w:tcPr>
            <w:tcW w:w="2520" w:type="dxa"/>
            <w:tcBorders>
              <w:top w:val="nil"/>
              <w:left w:val="nil"/>
              <w:bottom w:val="single" w:sz="8" w:space="0" w:color="auto"/>
              <w:right w:val="single" w:sz="8" w:space="0" w:color="auto"/>
            </w:tcBorders>
            <w:shd w:val="clear" w:color="auto" w:fill="auto"/>
            <w:vAlign w:val="center"/>
            <w:hideMark/>
          </w:tcPr>
          <w:p w14:paraId="0F7DA5E9" w14:textId="1A2179B8" w:rsidR="00217829" w:rsidRPr="00217829" w:rsidRDefault="00217829" w:rsidP="00217829">
            <w:pPr>
              <w:rPr>
                <w:rFonts w:ascii="Calibri" w:hAnsi="Calibri" w:cs="Calibri"/>
                <w:sz w:val="20"/>
                <w:szCs w:val="20"/>
              </w:rPr>
            </w:pPr>
            <w:r w:rsidRPr="00217829">
              <w:rPr>
                <w:rFonts w:ascii="Calibri" w:hAnsi="Calibri" w:cs="Calibri"/>
                <w:sz w:val="20"/>
                <w:szCs w:val="20"/>
              </w:rPr>
              <w:t xml:space="preserve">This contact was initially deleted from file - added back with full-scale edits and included on page </w:t>
            </w:r>
            <w:r w:rsidR="00C26DB2">
              <w:rPr>
                <w:rFonts w:ascii="Calibri" w:hAnsi="Calibri" w:cs="Calibri"/>
                <w:sz w:val="20"/>
                <w:szCs w:val="20"/>
              </w:rPr>
              <w:t>C</w:t>
            </w:r>
            <w:r w:rsidRPr="00217829">
              <w:rPr>
                <w:rFonts w:ascii="Calibri" w:hAnsi="Calibri" w:cs="Calibri"/>
                <w:sz w:val="20"/>
                <w:szCs w:val="20"/>
              </w:rPr>
              <w:t>-105</w:t>
            </w:r>
          </w:p>
        </w:tc>
        <w:tc>
          <w:tcPr>
            <w:tcW w:w="2610" w:type="dxa"/>
            <w:tcBorders>
              <w:top w:val="nil"/>
              <w:left w:val="nil"/>
              <w:bottom w:val="single" w:sz="8" w:space="0" w:color="auto"/>
              <w:right w:val="single" w:sz="8" w:space="0" w:color="auto"/>
            </w:tcBorders>
            <w:shd w:val="clear" w:color="auto" w:fill="auto"/>
            <w:vAlign w:val="center"/>
            <w:hideMark/>
          </w:tcPr>
          <w:p w14:paraId="62529BA2" w14:textId="1147352E" w:rsidR="00217829" w:rsidRPr="00217829" w:rsidRDefault="00217829" w:rsidP="00217829">
            <w:pPr>
              <w:rPr>
                <w:rFonts w:ascii="Calibri" w:hAnsi="Calibri" w:cs="Calibri"/>
                <w:sz w:val="20"/>
                <w:szCs w:val="20"/>
              </w:rPr>
            </w:pPr>
            <w:r w:rsidRPr="00217829">
              <w:rPr>
                <w:rFonts w:ascii="Calibri" w:hAnsi="Calibri" w:cs="Calibri"/>
                <w:sz w:val="20"/>
                <w:szCs w:val="20"/>
              </w:rPr>
              <w:t xml:space="preserve">Initially deleted from file - added back with full-scale edits and included on page </w:t>
            </w:r>
            <w:r w:rsidR="00C26DB2">
              <w:rPr>
                <w:rFonts w:ascii="Calibri" w:hAnsi="Calibri" w:cs="Calibri"/>
                <w:sz w:val="20"/>
                <w:szCs w:val="20"/>
              </w:rPr>
              <w:t>C</w:t>
            </w:r>
            <w:r w:rsidRPr="00217829">
              <w:rPr>
                <w:rFonts w:ascii="Calibri" w:hAnsi="Calibri" w:cs="Calibri"/>
                <w:sz w:val="20"/>
                <w:szCs w:val="20"/>
              </w:rPr>
              <w:t>-105</w:t>
            </w:r>
          </w:p>
        </w:tc>
        <w:tc>
          <w:tcPr>
            <w:tcW w:w="2520" w:type="dxa"/>
            <w:tcBorders>
              <w:top w:val="nil"/>
              <w:left w:val="nil"/>
              <w:bottom w:val="single" w:sz="8" w:space="0" w:color="auto"/>
              <w:right w:val="single" w:sz="8" w:space="0" w:color="auto"/>
            </w:tcBorders>
            <w:shd w:val="clear" w:color="auto" w:fill="auto"/>
            <w:vAlign w:val="center"/>
            <w:hideMark/>
          </w:tcPr>
          <w:p w14:paraId="16297457" w14:textId="77777777" w:rsidR="00217829" w:rsidRPr="00217829" w:rsidRDefault="00217829" w:rsidP="00217829">
            <w:pPr>
              <w:rPr>
                <w:rFonts w:ascii="Calibri" w:hAnsi="Calibri" w:cs="Calibri"/>
                <w:sz w:val="20"/>
                <w:szCs w:val="20"/>
              </w:rPr>
            </w:pPr>
            <w:r w:rsidRPr="00217829">
              <w:rPr>
                <w:rFonts w:ascii="Calibri" w:hAnsi="Calibri" w:cs="Calibri"/>
                <w:sz w:val="20"/>
                <w:szCs w:val="20"/>
              </w:rPr>
              <w:t>Updated to account for different sample types, incentive offers, etc.</w:t>
            </w:r>
          </w:p>
        </w:tc>
      </w:tr>
      <w:tr w:rsidR="00217829" w:rsidRPr="00217829" w14:paraId="7E600234"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52EF9111"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Data Collection Announcement Letter</w:t>
            </w:r>
          </w:p>
        </w:tc>
        <w:tc>
          <w:tcPr>
            <w:tcW w:w="900" w:type="dxa"/>
            <w:tcBorders>
              <w:top w:val="nil"/>
              <w:left w:val="nil"/>
              <w:bottom w:val="single" w:sz="8" w:space="0" w:color="auto"/>
              <w:right w:val="single" w:sz="8" w:space="0" w:color="auto"/>
            </w:tcBorders>
            <w:shd w:val="clear" w:color="auto" w:fill="auto"/>
            <w:vAlign w:val="center"/>
            <w:hideMark/>
          </w:tcPr>
          <w:p w14:paraId="4B9D1EA1"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C-21</w:t>
            </w:r>
          </w:p>
        </w:tc>
        <w:tc>
          <w:tcPr>
            <w:tcW w:w="900" w:type="dxa"/>
            <w:tcBorders>
              <w:top w:val="nil"/>
              <w:left w:val="nil"/>
              <w:bottom w:val="single" w:sz="8" w:space="0" w:color="auto"/>
              <w:right w:val="single" w:sz="8" w:space="0" w:color="auto"/>
            </w:tcBorders>
            <w:shd w:val="clear" w:color="auto" w:fill="auto"/>
            <w:vAlign w:val="center"/>
            <w:hideMark/>
          </w:tcPr>
          <w:p w14:paraId="65ACDE14" w14:textId="322941CE" w:rsidR="00217829" w:rsidRPr="00217829" w:rsidRDefault="00C662E2"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-16</w:t>
            </w:r>
          </w:p>
        </w:tc>
        <w:tc>
          <w:tcPr>
            <w:tcW w:w="2520" w:type="dxa"/>
            <w:tcBorders>
              <w:top w:val="nil"/>
              <w:left w:val="nil"/>
              <w:bottom w:val="single" w:sz="8" w:space="0" w:color="auto"/>
              <w:right w:val="single" w:sz="8" w:space="0" w:color="auto"/>
            </w:tcBorders>
            <w:shd w:val="clear" w:color="auto" w:fill="auto"/>
            <w:vAlign w:val="center"/>
            <w:hideMark/>
          </w:tcPr>
          <w:p w14:paraId="33D08C11"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Updated text for FS implementation, Editorial to improve readability and clarity</w:t>
            </w:r>
          </w:p>
        </w:tc>
        <w:tc>
          <w:tcPr>
            <w:tcW w:w="2610" w:type="dxa"/>
            <w:tcBorders>
              <w:top w:val="nil"/>
              <w:left w:val="nil"/>
              <w:bottom w:val="single" w:sz="8" w:space="0" w:color="auto"/>
              <w:right w:val="single" w:sz="8" w:space="0" w:color="auto"/>
            </w:tcBorders>
            <w:shd w:val="clear" w:color="auto" w:fill="auto"/>
            <w:vAlign w:val="center"/>
            <w:hideMark/>
          </w:tcPr>
          <w:p w14:paraId="629A4A1B"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c>
          <w:tcPr>
            <w:tcW w:w="2520" w:type="dxa"/>
            <w:tcBorders>
              <w:top w:val="nil"/>
              <w:left w:val="nil"/>
              <w:bottom w:val="single" w:sz="8" w:space="0" w:color="auto"/>
              <w:right w:val="single" w:sz="8" w:space="0" w:color="auto"/>
            </w:tcBorders>
            <w:shd w:val="clear" w:color="auto" w:fill="auto"/>
            <w:vAlign w:val="center"/>
            <w:hideMark/>
          </w:tcPr>
          <w:p w14:paraId="5419D728" w14:textId="2B303371"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Most sample members in the aggressive protocol will receive $2 cash, only those that re</w:t>
            </w:r>
            <w:r>
              <w:rPr>
                <w:rFonts w:ascii="Calibri" w:hAnsi="Calibri" w:cs="Calibri"/>
                <w:color w:val="000000"/>
                <w:sz w:val="20"/>
                <w:szCs w:val="20"/>
              </w:rPr>
              <w:t>c</w:t>
            </w:r>
            <w:r w:rsidRPr="00217829">
              <w:rPr>
                <w:rFonts w:ascii="Calibri" w:hAnsi="Calibri" w:cs="Calibri"/>
                <w:color w:val="000000"/>
                <w:sz w:val="20"/>
                <w:szCs w:val="20"/>
              </w:rPr>
              <w:t xml:space="preserve">eive PayPal will get the index card. </w:t>
            </w:r>
          </w:p>
        </w:tc>
      </w:tr>
      <w:tr w:rsidR="00217829" w:rsidRPr="00217829" w14:paraId="488933F9" w14:textId="77777777" w:rsidTr="00217829">
        <w:trPr>
          <w:trHeight w:val="915"/>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44417B94"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Reminder Letter 1</w:t>
            </w:r>
          </w:p>
        </w:tc>
        <w:tc>
          <w:tcPr>
            <w:tcW w:w="900" w:type="dxa"/>
            <w:tcBorders>
              <w:top w:val="nil"/>
              <w:left w:val="nil"/>
              <w:bottom w:val="single" w:sz="8" w:space="0" w:color="auto"/>
              <w:right w:val="single" w:sz="8" w:space="0" w:color="auto"/>
            </w:tcBorders>
            <w:shd w:val="clear" w:color="auto" w:fill="auto"/>
            <w:vAlign w:val="center"/>
            <w:hideMark/>
          </w:tcPr>
          <w:p w14:paraId="1F2EABD1"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C-23</w:t>
            </w:r>
          </w:p>
        </w:tc>
        <w:tc>
          <w:tcPr>
            <w:tcW w:w="900" w:type="dxa"/>
            <w:tcBorders>
              <w:top w:val="nil"/>
              <w:left w:val="nil"/>
              <w:bottom w:val="single" w:sz="8" w:space="0" w:color="auto"/>
              <w:right w:val="single" w:sz="8" w:space="0" w:color="auto"/>
            </w:tcBorders>
            <w:shd w:val="clear" w:color="auto" w:fill="auto"/>
            <w:vAlign w:val="center"/>
            <w:hideMark/>
          </w:tcPr>
          <w:p w14:paraId="5C823C9A" w14:textId="4BDC74FD" w:rsidR="00217829" w:rsidRPr="00217829" w:rsidRDefault="00C662E2"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-18</w:t>
            </w:r>
          </w:p>
        </w:tc>
        <w:tc>
          <w:tcPr>
            <w:tcW w:w="2520" w:type="dxa"/>
            <w:tcBorders>
              <w:top w:val="nil"/>
              <w:left w:val="nil"/>
              <w:bottom w:val="single" w:sz="8" w:space="0" w:color="auto"/>
              <w:right w:val="single" w:sz="8" w:space="0" w:color="auto"/>
            </w:tcBorders>
            <w:shd w:val="clear" w:color="auto" w:fill="auto"/>
            <w:vAlign w:val="center"/>
            <w:hideMark/>
          </w:tcPr>
          <w:p w14:paraId="0B5BCB52"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Added merge fills for Spanish language speakers and boost offer (if applicable). </w:t>
            </w:r>
          </w:p>
        </w:tc>
        <w:tc>
          <w:tcPr>
            <w:tcW w:w="2610" w:type="dxa"/>
            <w:tcBorders>
              <w:top w:val="nil"/>
              <w:left w:val="nil"/>
              <w:bottom w:val="single" w:sz="8" w:space="0" w:color="auto"/>
              <w:right w:val="single" w:sz="8" w:space="0" w:color="auto"/>
            </w:tcBorders>
            <w:shd w:val="clear" w:color="auto" w:fill="auto"/>
            <w:vAlign w:val="center"/>
            <w:hideMark/>
          </w:tcPr>
          <w:p w14:paraId="5B93C76E"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Added a merge fill to appeal to Spanish language speakers, and, if applicable at the time of the mailing, a merge fill explaining the $10/$20 boost offer assures the sample member is informed of current incentive offer. .</w:t>
            </w:r>
          </w:p>
        </w:tc>
        <w:tc>
          <w:tcPr>
            <w:tcW w:w="2520" w:type="dxa"/>
            <w:tcBorders>
              <w:top w:val="nil"/>
              <w:left w:val="nil"/>
              <w:bottom w:val="single" w:sz="8" w:space="0" w:color="auto"/>
              <w:right w:val="single" w:sz="8" w:space="0" w:color="auto"/>
            </w:tcBorders>
            <w:shd w:val="clear" w:color="auto" w:fill="auto"/>
            <w:vAlign w:val="center"/>
            <w:hideMark/>
          </w:tcPr>
          <w:p w14:paraId="4F569B1B"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Boost offer ($10/$20) merge fill is added to many other contacts for the same reason.</w:t>
            </w:r>
          </w:p>
        </w:tc>
      </w:tr>
      <w:tr w:rsidR="00217829" w:rsidRPr="00217829" w14:paraId="6B9B70ED"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529BB724"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Reminder Letter 2</w:t>
            </w:r>
          </w:p>
        </w:tc>
        <w:tc>
          <w:tcPr>
            <w:tcW w:w="900" w:type="dxa"/>
            <w:tcBorders>
              <w:top w:val="nil"/>
              <w:left w:val="nil"/>
              <w:bottom w:val="single" w:sz="8" w:space="0" w:color="auto"/>
              <w:right w:val="single" w:sz="8" w:space="0" w:color="auto"/>
            </w:tcBorders>
            <w:shd w:val="clear" w:color="auto" w:fill="auto"/>
            <w:vAlign w:val="center"/>
            <w:hideMark/>
          </w:tcPr>
          <w:p w14:paraId="3ACDB832"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C-25</w:t>
            </w:r>
          </w:p>
        </w:tc>
        <w:tc>
          <w:tcPr>
            <w:tcW w:w="900" w:type="dxa"/>
            <w:tcBorders>
              <w:top w:val="nil"/>
              <w:left w:val="nil"/>
              <w:bottom w:val="single" w:sz="8" w:space="0" w:color="auto"/>
              <w:right w:val="single" w:sz="8" w:space="0" w:color="auto"/>
            </w:tcBorders>
            <w:shd w:val="clear" w:color="auto" w:fill="auto"/>
            <w:vAlign w:val="center"/>
            <w:hideMark/>
          </w:tcPr>
          <w:p w14:paraId="01202106" w14:textId="623F0E51" w:rsidR="00217829" w:rsidRPr="00217829" w:rsidRDefault="00C662E2"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 xml:space="preserve">-20 </w:t>
            </w:r>
          </w:p>
        </w:tc>
        <w:tc>
          <w:tcPr>
            <w:tcW w:w="2520" w:type="dxa"/>
            <w:tcBorders>
              <w:top w:val="nil"/>
              <w:left w:val="nil"/>
              <w:bottom w:val="single" w:sz="8" w:space="0" w:color="auto"/>
              <w:right w:val="single" w:sz="8" w:space="0" w:color="auto"/>
            </w:tcBorders>
            <w:shd w:val="clear" w:color="auto" w:fill="auto"/>
            <w:vAlign w:val="center"/>
            <w:hideMark/>
          </w:tcPr>
          <w:p w14:paraId="489F81E6"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Updated text for FS implementation, Editorial to improve readability and clarity.</w:t>
            </w:r>
          </w:p>
        </w:tc>
        <w:tc>
          <w:tcPr>
            <w:tcW w:w="2610" w:type="dxa"/>
            <w:tcBorders>
              <w:top w:val="nil"/>
              <w:left w:val="nil"/>
              <w:bottom w:val="single" w:sz="8" w:space="0" w:color="auto"/>
              <w:right w:val="single" w:sz="8" w:space="0" w:color="auto"/>
            </w:tcBorders>
            <w:shd w:val="clear" w:color="auto" w:fill="auto"/>
            <w:vAlign w:val="center"/>
            <w:hideMark/>
          </w:tcPr>
          <w:p w14:paraId="2A474087"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c>
          <w:tcPr>
            <w:tcW w:w="2520" w:type="dxa"/>
            <w:tcBorders>
              <w:top w:val="nil"/>
              <w:left w:val="nil"/>
              <w:bottom w:val="single" w:sz="8" w:space="0" w:color="auto"/>
              <w:right w:val="single" w:sz="8" w:space="0" w:color="auto"/>
            </w:tcBorders>
            <w:shd w:val="clear" w:color="auto" w:fill="auto"/>
            <w:vAlign w:val="center"/>
            <w:hideMark/>
          </w:tcPr>
          <w:p w14:paraId="0A835689"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21CE796C"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454825EA"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lastRenderedPageBreak/>
              <w:t>Incentive Change Letter ($10 Boost)</w:t>
            </w:r>
          </w:p>
        </w:tc>
        <w:tc>
          <w:tcPr>
            <w:tcW w:w="900" w:type="dxa"/>
            <w:tcBorders>
              <w:top w:val="nil"/>
              <w:left w:val="nil"/>
              <w:bottom w:val="single" w:sz="8" w:space="0" w:color="auto"/>
              <w:right w:val="single" w:sz="8" w:space="0" w:color="auto"/>
            </w:tcBorders>
            <w:shd w:val="clear" w:color="auto" w:fill="auto"/>
            <w:vAlign w:val="center"/>
            <w:hideMark/>
          </w:tcPr>
          <w:p w14:paraId="7BE3588C"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C-34</w:t>
            </w:r>
          </w:p>
        </w:tc>
        <w:tc>
          <w:tcPr>
            <w:tcW w:w="900" w:type="dxa"/>
            <w:tcBorders>
              <w:top w:val="nil"/>
              <w:left w:val="nil"/>
              <w:bottom w:val="single" w:sz="8" w:space="0" w:color="auto"/>
              <w:right w:val="single" w:sz="8" w:space="0" w:color="auto"/>
            </w:tcBorders>
            <w:shd w:val="clear" w:color="auto" w:fill="auto"/>
            <w:vAlign w:val="center"/>
            <w:hideMark/>
          </w:tcPr>
          <w:p w14:paraId="5BC8EB31" w14:textId="77777777" w:rsidR="00217829" w:rsidRPr="00217829" w:rsidRDefault="00217829" w:rsidP="00217829">
            <w:pPr>
              <w:jc w:val="center"/>
              <w:rPr>
                <w:rFonts w:ascii="Calibri" w:hAnsi="Calibri" w:cs="Calibri"/>
                <w:color w:val="FF0000"/>
                <w:sz w:val="20"/>
                <w:szCs w:val="20"/>
              </w:rPr>
            </w:pPr>
            <w:r w:rsidRPr="00217829">
              <w:rPr>
                <w:rFonts w:ascii="Calibri" w:hAnsi="Calibri" w:cs="Calibri"/>
                <w:color w:val="FF0000"/>
                <w:sz w:val="20"/>
                <w:szCs w:val="20"/>
              </w:rPr>
              <w:t>N/A</w:t>
            </w:r>
          </w:p>
        </w:tc>
        <w:tc>
          <w:tcPr>
            <w:tcW w:w="2520" w:type="dxa"/>
            <w:tcBorders>
              <w:top w:val="nil"/>
              <w:left w:val="nil"/>
              <w:bottom w:val="single" w:sz="8" w:space="0" w:color="auto"/>
              <w:right w:val="single" w:sz="8" w:space="0" w:color="auto"/>
            </w:tcBorders>
            <w:shd w:val="clear" w:color="auto" w:fill="auto"/>
            <w:vAlign w:val="center"/>
            <w:hideMark/>
          </w:tcPr>
          <w:p w14:paraId="45F3AC37"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Removed letter from FS contacts.</w:t>
            </w:r>
          </w:p>
        </w:tc>
        <w:tc>
          <w:tcPr>
            <w:tcW w:w="2610" w:type="dxa"/>
            <w:tcBorders>
              <w:top w:val="nil"/>
              <w:left w:val="nil"/>
              <w:bottom w:val="single" w:sz="8" w:space="0" w:color="auto"/>
              <w:right w:val="single" w:sz="8" w:space="0" w:color="auto"/>
            </w:tcBorders>
            <w:shd w:val="clear" w:color="auto" w:fill="auto"/>
            <w:vAlign w:val="center"/>
            <w:hideMark/>
          </w:tcPr>
          <w:p w14:paraId="302285A9" w14:textId="6BB4150F"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Letter not needed because we are not offering prepaid boosts.</w:t>
            </w:r>
          </w:p>
        </w:tc>
        <w:tc>
          <w:tcPr>
            <w:tcW w:w="2520" w:type="dxa"/>
            <w:tcBorders>
              <w:top w:val="nil"/>
              <w:left w:val="nil"/>
              <w:bottom w:val="single" w:sz="8" w:space="0" w:color="auto"/>
              <w:right w:val="single" w:sz="8" w:space="0" w:color="auto"/>
            </w:tcBorders>
            <w:shd w:val="clear" w:color="auto" w:fill="auto"/>
            <w:vAlign w:val="center"/>
            <w:hideMark/>
          </w:tcPr>
          <w:p w14:paraId="376E6968"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37053C5D"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0914F862"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Re-interview letter</w:t>
            </w:r>
          </w:p>
        </w:tc>
        <w:tc>
          <w:tcPr>
            <w:tcW w:w="900" w:type="dxa"/>
            <w:tcBorders>
              <w:top w:val="nil"/>
              <w:left w:val="nil"/>
              <w:bottom w:val="single" w:sz="8" w:space="0" w:color="auto"/>
              <w:right w:val="single" w:sz="8" w:space="0" w:color="auto"/>
            </w:tcBorders>
            <w:shd w:val="clear" w:color="auto" w:fill="auto"/>
            <w:vAlign w:val="center"/>
            <w:hideMark/>
          </w:tcPr>
          <w:p w14:paraId="04897A68"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C-36</w:t>
            </w:r>
          </w:p>
        </w:tc>
        <w:tc>
          <w:tcPr>
            <w:tcW w:w="900" w:type="dxa"/>
            <w:tcBorders>
              <w:top w:val="nil"/>
              <w:left w:val="nil"/>
              <w:bottom w:val="single" w:sz="8" w:space="0" w:color="auto"/>
              <w:right w:val="single" w:sz="8" w:space="0" w:color="auto"/>
            </w:tcBorders>
            <w:shd w:val="clear" w:color="auto" w:fill="auto"/>
            <w:vAlign w:val="center"/>
            <w:hideMark/>
          </w:tcPr>
          <w:p w14:paraId="2929A11A" w14:textId="77777777" w:rsidR="00217829" w:rsidRPr="00217829" w:rsidRDefault="00217829" w:rsidP="00217829">
            <w:pPr>
              <w:jc w:val="center"/>
              <w:rPr>
                <w:rFonts w:ascii="Calibri" w:hAnsi="Calibri" w:cs="Calibri"/>
                <w:color w:val="FF0000"/>
                <w:sz w:val="20"/>
                <w:szCs w:val="20"/>
              </w:rPr>
            </w:pPr>
            <w:r w:rsidRPr="00217829">
              <w:rPr>
                <w:rFonts w:ascii="Calibri" w:hAnsi="Calibri" w:cs="Calibri"/>
                <w:color w:val="FF0000"/>
                <w:sz w:val="20"/>
                <w:szCs w:val="20"/>
              </w:rPr>
              <w:t>N/A</w:t>
            </w:r>
          </w:p>
        </w:tc>
        <w:tc>
          <w:tcPr>
            <w:tcW w:w="2520" w:type="dxa"/>
            <w:tcBorders>
              <w:top w:val="nil"/>
              <w:left w:val="nil"/>
              <w:bottom w:val="single" w:sz="8" w:space="0" w:color="auto"/>
              <w:right w:val="single" w:sz="8" w:space="0" w:color="auto"/>
            </w:tcBorders>
            <w:shd w:val="clear" w:color="auto" w:fill="auto"/>
            <w:vAlign w:val="center"/>
            <w:hideMark/>
          </w:tcPr>
          <w:p w14:paraId="3D163A90"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Removed letter from FS contacts.</w:t>
            </w:r>
          </w:p>
        </w:tc>
        <w:tc>
          <w:tcPr>
            <w:tcW w:w="2610" w:type="dxa"/>
            <w:tcBorders>
              <w:top w:val="nil"/>
              <w:left w:val="nil"/>
              <w:bottom w:val="single" w:sz="8" w:space="0" w:color="auto"/>
              <w:right w:val="single" w:sz="8" w:space="0" w:color="auto"/>
            </w:tcBorders>
            <w:shd w:val="clear" w:color="auto" w:fill="auto"/>
            <w:vAlign w:val="center"/>
            <w:hideMark/>
          </w:tcPr>
          <w:p w14:paraId="18D1712B" w14:textId="6EFBB811"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Letter not needed because</w:t>
            </w:r>
            <w:r>
              <w:rPr>
                <w:rFonts w:ascii="Calibri" w:hAnsi="Calibri" w:cs="Calibri"/>
                <w:color w:val="000000"/>
                <w:sz w:val="20"/>
                <w:szCs w:val="20"/>
              </w:rPr>
              <w:t xml:space="preserve"> </w:t>
            </w:r>
            <w:r w:rsidRPr="00217829">
              <w:rPr>
                <w:rFonts w:ascii="Calibri" w:hAnsi="Calibri" w:cs="Calibri"/>
                <w:color w:val="000000"/>
                <w:sz w:val="20"/>
                <w:szCs w:val="20"/>
              </w:rPr>
              <w:t>we are not conducting reinterviews during FS.</w:t>
            </w:r>
          </w:p>
        </w:tc>
        <w:tc>
          <w:tcPr>
            <w:tcW w:w="2520" w:type="dxa"/>
            <w:tcBorders>
              <w:top w:val="nil"/>
              <w:left w:val="nil"/>
              <w:bottom w:val="single" w:sz="8" w:space="0" w:color="auto"/>
              <w:right w:val="single" w:sz="8" w:space="0" w:color="auto"/>
            </w:tcBorders>
            <w:shd w:val="clear" w:color="auto" w:fill="auto"/>
            <w:vAlign w:val="center"/>
            <w:hideMark/>
          </w:tcPr>
          <w:p w14:paraId="35EF43B5"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7AB650A2" w14:textId="77777777" w:rsidTr="00217829">
        <w:trPr>
          <w:trHeight w:val="1380"/>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5EE98BCF"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Reminder E-mail 1</w:t>
            </w:r>
          </w:p>
        </w:tc>
        <w:tc>
          <w:tcPr>
            <w:tcW w:w="900" w:type="dxa"/>
            <w:tcBorders>
              <w:top w:val="nil"/>
              <w:left w:val="nil"/>
              <w:bottom w:val="single" w:sz="8" w:space="0" w:color="auto"/>
              <w:right w:val="single" w:sz="8" w:space="0" w:color="auto"/>
            </w:tcBorders>
            <w:shd w:val="clear" w:color="auto" w:fill="auto"/>
            <w:vAlign w:val="center"/>
            <w:hideMark/>
          </w:tcPr>
          <w:p w14:paraId="40A55DBD"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C-39</w:t>
            </w:r>
          </w:p>
        </w:tc>
        <w:tc>
          <w:tcPr>
            <w:tcW w:w="900" w:type="dxa"/>
            <w:tcBorders>
              <w:top w:val="nil"/>
              <w:left w:val="nil"/>
              <w:bottom w:val="single" w:sz="8" w:space="0" w:color="auto"/>
              <w:right w:val="single" w:sz="8" w:space="0" w:color="auto"/>
            </w:tcBorders>
            <w:shd w:val="clear" w:color="auto" w:fill="auto"/>
            <w:vAlign w:val="center"/>
            <w:hideMark/>
          </w:tcPr>
          <w:p w14:paraId="2309F7D3" w14:textId="292298CA"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-31</w:t>
            </w:r>
          </w:p>
        </w:tc>
        <w:tc>
          <w:tcPr>
            <w:tcW w:w="2520" w:type="dxa"/>
            <w:tcBorders>
              <w:top w:val="nil"/>
              <w:left w:val="nil"/>
              <w:bottom w:val="single" w:sz="8" w:space="0" w:color="auto"/>
              <w:right w:val="single" w:sz="8" w:space="0" w:color="auto"/>
            </w:tcBorders>
            <w:shd w:val="clear" w:color="auto" w:fill="auto"/>
            <w:vAlign w:val="center"/>
            <w:hideMark/>
          </w:tcPr>
          <w:p w14:paraId="50751D29" w14:textId="006975F9"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Updated text for FS implementation, Editorial to improve readability and clarity, added text to emphasize importance of knowing how pandemic experiences affected postsecondary education. </w:t>
            </w:r>
          </w:p>
        </w:tc>
        <w:tc>
          <w:tcPr>
            <w:tcW w:w="2610" w:type="dxa"/>
            <w:tcBorders>
              <w:top w:val="nil"/>
              <w:left w:val="nil"/>
              <w:bottom w:val="single" w:sz="8" w:space="0" w:color="auto"/>
              <w:right w:val="single" w:sz="8" w:space="0" w:color="auto"/>
            </w:tcBorders>
            <w:shd w:val="clear" w:color="auto" w:fill="auto"/>
            <w:vAlign w:val="center"/>
            <w:hideMark/>
          </w:tcPr>
          <w:p w14:paraId="37ECA0FC"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c>
          <w:tcPr>
            <w:tcW w:w="2520" w:type="dxa"/>
            <w:tcBorders>
              <w:top w:val="nil"/>
              <w:left w:val="nil"/>
              <w:bottom w:val="single" w:sz="8" w:space="0" w:color="auto"/>
              <w:right w:val="single" w:sz="8" w:space="0" w:color="auto"/>
            </w:tcBorders>
            <w:shd w:val="clear" w:color="auto" w:fill="auto"/>
            <w:vAlign w:val="center"/>
            <w:hideMark/>
          </w:tcPr>
          <w:p w14:paraId="0BE8BD64"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6806AA97" w14:textId="77777777" w:rsidTr="00217829">
        <w:trPr>
          <w:trHeight w:val="1485"/>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3F40569B"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Reminder E-mail 5</w:t>
            </w:r>
          </w:p>
        </w:tc>
        <w:tc>
          <w:tcPr>
            <w:tcW w:w="900" w:type="dxa"/>
            <w:tcBorders>
              <w:top w:val="nil"/>
              <w:left w:val="nil"/>
              <w:bottom w:val="single" w:sz="8" w:space="0" w:color="auto"/>
              <w:right w:val="single" w:sz="8" w:space="0" w:color="auto"/>
            </w:tcBorders>
            <w:shd w:val="clear" w:color="auto" w:fill="auto"/>
            <w:vAlign w:val="center"/>
            <w:hideMark/>
          </w:tcPr>
          <w:p w14:paraId="2247469C"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C-43</w:t>
            </w:r>
          </w:p>
        </w:tc>
        <w:tc>
          <w:tcPr>
            <w:tcW w:w="900" w:type="dxa"/>
            <w:tcBorders>
              <w:top w:val="nil"/>
              <w:left w:val="nil"/>
              <w:bottom w:val="single" w:sz="8" w:space="0" w:color="auto"/>
              <w:right w:val="single" w:sz="8" w:space="0" w:color="auto"/>
            </w:tcBorders>
            <w:shd w:val="clear" w:color="auto" w:fill="auto"/>
            <w:vAlign w:val="center"/>
            <w:hideMark/>
          </w:tcPr>
          <w:p w14:paraId="236CA165" w14:textId="1D9004D5"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-35</w:t>
            </w:r>
          </w:p>
        </w:tc>
        <w:tc>
          <w:tcPr>
            <w:tcW w:w="2520" w:type="dxa"/>
            <w:tcBorders>
              <w:top w:val="nil"/>
              <w:left w:val="nil"/>
              <w:bottom w:val="single" w:sz="8" w:space="0" w:color="auto"/>
              <w:right w:val="single" w:sz="8" w:space="0" w:color="auto"/>
            </w:tcBorders>
            <w:shd w:val="clear" w:color="auto" w:fill="auto"/>
            <w:vAlign w:val="center"/>
            <w:hideMark/>
          </w:tcPr>
          <w:p w14:paraId="1978678D" w14:textId="61D07870"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Updated text for FS implementation, Editorial to improve readability and clarity, added text to emphasize importance of knowing how pandemic experiences affected postsecondary education and incentive boost offer, if applicable.</w:t>
            </w:r>
          </w:p>
        </w:tc>
        <w:tc>
          <w:tcPr>
            <w:tcW w:w="2610" w:type="dxa"/>
            <w:tcBorders>
              <w:top w:val="nil"/>
              <w:left w:val="nil"/>
              <w:bottom w:val="single" w:sz="8" w:space="0" w:color="auto"/>
              <w:right w:val="single" w:sz="8" w:space="0" w:color="auto"/>
            </w:tcBorders>
            <w:shd w:val="clear" w:color="auto" w:fill="auto"/>
            <w:vAlign w:val="center"/>
            <w:hideMark/>
          </w:tcPr>
          <w:p w14:paraId="3B29471E"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c>
          <w:tcPr>
            <w:tcW w:w="2520" w:type="dxa"/>
            <w:tcBorders>
              <w:top w:val="nil"/>
              <w:left w:val="nil"/>
              <w:bottom w:val="single" w:sz="8" w:space="0" w:color="auto"/>
              <w:right w:val="single" w:sz="8" w:space="0" w:color="auto"/>
            </w:tcBorders>
            <w:shd w:val="clear" w:color="auto" w:fill="auto"/>
            <w:vAlign w:val="center"/>
            <w:hideMark/>
          </w:tcPr>
          <w:p w14:paraId="399A1AE6"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4B05CA4B"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62CB562B"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Reminder E-mail 7</w:t>
            </w:r>
          </w:p>
        </w:tc>
        <w:tc>
          <w:tcPr>
            <w:tcW w:w="900" w:type="dxa"/>
            <w:tcBorders>
              <w:top w:val="nil"/>
              <w:left w:val="nil"/>
              <w:bottom w:val="single" w:sz="8" w:space="0" w:color="auto"/>
              <w:right w:val="single" w:sz="8" w:space="0" w:color="auto"/>
            </w:tcBorders>
            <w:shd w:val="clear" w:color="auto" w:fill="auto"/>
            <w:vAlign w:val="center"/>
            <w:hideMark/>
          </w:tcPr>
          <w:p w14:paraId="2DB59E5E"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C-45</w:t>
            </w:r>
          </w:p>
        </w:tc>
        <w:tc>
          <w:tcPr>
            <w:tcW w:w="900" w:type="dxa"/>
            <w:tcBorders>
              <w:top w:val="nil"/>
              <w:left w:val="nil"/>
              <w:bottom w:val="single" w:sz="8" w:space="0" w:color="auto"/>
              <w:right w:val="single" w:sz="8" w:space="0" w:color="auto"/>
            </w:tcBorders>
            <w:shd w:val="clear" w:color="auto" w:fill="auto"/>
            <w:vAlign w:val="center"/>
            <w:hideMark/>
          </w:tcPr>
          <w:p w14:paraId="2B894175" w14:textId="1FC9E2A1"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-37</w:t>
            </w:r>
          </w:p>
        </w:tc>
        <w:tc>
          <w:tcPr>
            <w:tcW w:w="2520" w:type="dxa"/>
            <w:tcBorders>
              <w:top w:val="nil"/>
              <w:left w:val="nil"/>
              <w:bottom w:val="single" w:sz="8" w:space="0" w:color="auto"/>
              <w:right w:val="single" w:sz="8" w:space="0" w:color="auto"/>
            </w:tcBorders>
            <w:shd w:val="clear" w:color="auto" w:fill="auto"/>
            <w:vAlign w:val="center"/>
            <w:hideMark/>
          </w:tcPr>
          <w:p w14:paraId="4BA10004"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Revised subject line</w:t>
            </w:r>
          </w:p>
        </w:tc>
        <w:tc>
          <w:tcPr>
            <w:tcW w:w="2610" w:type="dxa"/>
            <w:tcBorders>
              <w:top w:val="nil"/>
              <w:left w:val="nil"/>
              <w:bottom w:val="single" w:sz="8" w:space="0" w:color="auto"/>
              <w:right w:val="single" w:sz="8" w:space="0" w:color="auto"/>
            </w:tcBorders>
            <w:shd w:val="clear" w:color="auto" w:fill="auto"/>
            <w:vAlign w:val="center"/>
            <w:hideMark/>
          </w:tcPr>
          <w:p w14:paraId="7A8A8379"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Updated subject line to improve consistency with content of email (FAQs).</w:t>
            </w:r>
          </w:p>
        </w:tc>
        <w:tc>
          <w:tcPr>
            <w:tcW w:w="2520" w:type="dxa"/>
            <w:tcBorders>
              <w:top w:val="nil"/>
              <w:left w:val="nil"/>
              <w:bottom w:val="nil"/>
              <w:right w:val="single" w:sz="8" w:space="0" w:color="auto"/>
            </w:tcBorders>
            <w:shd w:val="clear" w:color="auto" w:fill="auto"/>
            <w:vAlign w:val="center"/>
            <w:hideMark/>
          </w:tcPr>
          <w:p w14:paraId="2EE2B9FC"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w:t>
            </w:r>
            <w:proofErr w:type="spellStart"/>
            <w:r w:rsidRPr="00217829">
              <w:rPr>
                <w:rFonts w:ascii="Calibri" w:hAnsi="Calibri" w:cs="Calibri"/>
                <w:color w:val="000000"/>
                <w:sz w:val="20"/>
                <w:szCs w:val="20"/>
              </w:rPr>
              <w:t>fname</w:t>
            </w:r>
            <w:proofErr w:type="spellEnd"/>
            <w:r w:rsidRPr="00217829">
              <w:rPr>
                <w:rFonts w:ascii="Calibri" w:hAnsi="Calibri" w:cs="Calibri"/>
                <w:color w:val="000000"/>
                <w:sz w:val="20"/>
                <w:szCs w:val="20"/>
              </w:rPr>
              <w:t>», What Questions do you Have About the BPS Study?"</w:t>
            </w:r>
          </w:p>
        </w:tc>
      </w:tr>
      <w:tr w:rsidR="00217829" w:rsidRPr="00217829" w14:paraId="30F344FB"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382E7F9B"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Reminder E-mail 9</w:t>
            </w:r>
          </w:p>
        </w:tc>
        <w:tc>
          <w:tcPr>
            <w:tcW w:w="900" w:type="dxa"/>
            <w:tcBorders>
              <w:top w:val="nil"/>
              <w:left w:val="nil"/>
              <w:bottom w:val="single" w:sz="8" w:space="0" w:color="auto"/>
              <w:right w:val="single" w:sz="8" w:space="0" w:color="auto"/>
            </w:tcBorders>
            <w:shd w:val="clear" w:color="auto" w:fill="auto"/>
            <w:vAlign w:val="center"/>
            <w:hideMark/>
          </w:tcPr>
          <w:p w14:paraId="6AE22769"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C-47</w:t>
            </w:r>
          </w:p>
        </w:tc>
        <w:tc>
          <w:tcPr>
            <w:tcW w:w="900" w:type="dxa"/>
            <w:tcBorders>
              <w:top w:val="nil"/>
              <w:left w:val="nil"/>
              <w:bottom w:val="single" w:sz="8" w:space="0" w:color="auto"/>
              <w:right w:val="single" w:sz="8" w:space="0" w:color="auto"/>
            </w:tcBorders>
            <w:shd w:val="clear" w:color="auto" w:fill="auto"/>
            <w:vAlign w:val="center"/>
            <w:hideMark/>
          </w:tcPr>
          <w:p w14:paraId="010ED9A4" w14:textId="0F496282"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-39</w:t>
            </w:r>
          </w:p>
        </w:tc>
        <w:tc>
          <w:tcPr>
            <w:tcW w:w="2520" w:type="dxa"/>
            <w:tcBorders>
              <w:top w:val="nil"/>
              <w:left w:val="nil"/>
              <w:bottom w:val="single" w:sz="8" w:space="0" w:color="auto"/>
              <w:right w:val="single" w:sz="8" w:space="0" w:color="auto"/>
            </w:tcBorders>
            <w:shd w:val="clear" w:color="auto" w:fill="auto"/>
            <w:vAlign w:val="center"/>
            <w:hideMark/>
          </w:tcPr>
          <w:p w14:paraId="31C00AAC"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Revised subject line</w:t>
            </w:r>
          </w:p>
        </w:tc>
        <w:tc>
          <w:tcPr>
            <w:tcW w:w="2610" w:type="dxa"/>
            <w:tcBorders>
              <w:top w:val="nil"/>
              <w:left w:val="nil"/>
              <w:bottom w:val="single" w:sz="8" w:space="0" w:color="auto"/>
              <w:right w:val="nil"/>
            </w:tcBorders>
            <w:shd w:val="clear" w:color="auto" w:fill="auto"/>
            <w:vAlign w:val="center"/>
            <w:hideMark/>
          </w:tcPr>
          <w:p w14:paraId="2F6634C4"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Minor edits to the subject line to improve readability.</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2FEBB" w14:textId="77777777" w:rsidR="00217829" w:rsidRPr="00217829" w:rsidRDefault="00217829" w:rsidP="00217829">
            <w:pPr>
              <w:rPr>
                <w:rFonts w:ascii="Garamond" w:hAnsi="Garamond" w:cs="Calibri"/>
                <w:color w:val="000000"/>
                <w:sz w:val="20"/>
                <w:szCs w:val="20"/>
              </w:rPr>
            </w:pPr>
            <w:r w:rsidRPr="00217829">
              <w:rPr>
                <w:rFonts w:ascii="Garamond" w:hAnsi="Garamond" w:cs="Calibri"/>
                <w:color w:val="000000"/>
                <w:sz w:val="20"/>
                <w:szCs w:val="20"/>
              </w:rPr>
              <w:t>"Your Participation in the BPS Study Matters"</w:t>
            </w:r>
          </w:p>
        </w:tc>
      </w:tr>
      <w:tr w:rsidR="00217829" w:rsidRPr="00217829" w14:paraId="78A26B20"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7FAA28C5"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Reminder E-mail 10</w:t>
            </w:r>
          </w:p>
        </w:tc>
        <w:tc>
          <w:tcPr>
            <w:tcW w:w="900" w:type="dxa"/>
            <w:tcBorders>
              <w:top w:val="nil"/>
              <w:left w:val="nil"/>
              <w:bottom w:val="single" w:sz="8" w:space="0" w:color="auto"/>
              <w:right w:val="single" w:sz="8" w:space="0" w:color="auto"/>
            </w:tcBorders>
            <w:shd w:val="clear" w:color="auto" w:fill="auto"/>
            <w:vAlign w:val="center"/>
            <w:hideMark/>
          </w:tcPr>
          <w:p w14:paraId="3DEB1ABB"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C-48</w:t>
            </w:r>
          </w:p>
        </w:tc>
        <w:tc>
          <w:tcPr>
            <w:tcW w:w="900" w:type="dxa"/>
            <w:tcBorders>
              <w:top w:val="nil"/>
              <w:left w:val="nil"/>
              <w:bottom w:val="single" w:sz="8" w:space="0" w:color="auto"/>
              <w:right w:val="single" w:sz="8" w:space="0" w:color="auto"/>
            </w:tcBorders>
            <w:shd w:val="clear" w:color="auto" w:fill="auto"/>
            <w:vAlign w:val="center"/>
            <w:hideMark/>
          </w:tcPr>
          <w:p w14:paraId="7F6D59DC" w14:textId="093FAC15"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-40</w:t>
            </w:r>
          </w:p>
        </w:tc>
        <w:tc>
          <w:tcPr>
            <w:tcW w:w="2520" w:type="dxa"/>
            <w:tcBorders>
              <w:top w:val="nil"/>
              <w:left w:val="nil"/>
              <w:bottom w:val="single" w:sz="8" w:space="0" w:color="auto"/>
              <w:right w:val="single" w:sz="8" w:space="0" w:color="auto"/>
            </w:tcBorders>
            <w:shd w:val="clear" w:color="auto" w:fill="auto"/>
            <w:vAlign w:val="center"/>
            <w:hideMark/>
          </w:tcPr>
          <w:p w14:paraId="211D5CA3"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Revised subject line</w:t>
            </w:r>
          </w:p>
        </w:tc>
        <w:tc>
          <w:tcPr>
            <w:tcW w:w="2610" w:type="dxa"/>
            <w:tcBorders>
              <w:top w:val="nil"/>
              <w:left w:val="nil"/>
              <w:bottom w:val="single" w:sz="8" w:space="0" w:color="auto"/>
              <w:right w:val="single" w:sz="8" w:space="0" w:color="auto"/>
            </w:tcBorders>
            <w:shd w:val="clear" w:color="auto" w:fill="auto"/>
            <w:vAlign w:val="center"/>
            <w:hideMark/>
          </w:tcPr>
          <w:p w14:paraId="7E779BAC"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Minor edits to the subject line to improve readability.</w:t>
            </w:r>
          </w:p>
        </w:tc>
        <w:tc>
          <w:tcPr>
            <w:tcW w:w="2520" w:type="dxa"/>
            <w:tcBorders>
              <w:top w:val="nil"/>
              <w:left w:val="nil"/>
              <w:bottom w:val="single" w:sz="8" w:space="0" w:color="auto"/>
              <w:right w:val="single" w:sz="8" w:space="0" w:color="auto"/>
            </w:tcBorders>
            <w:shd w:val="clear" w:color="auto" w:fill="auto"/>
            <w:vAlign w:val="center"/>
            <w:hideMark/>
          </w:tcPr>
          <w:p w14:paraId="4D9C1A1B"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Important Education Research - Participate in the BPS Study</w:t>
            </w:r>
          </w:p>
        </w:tc>
      </w:tr>
      <w:tr w:rsidR="00217829" w:rsidRPr="00217829" w14:paraId="0E05BDD9"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09F4AB5B"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Reminder E-mail 11</w:t>
            </w:r>
          </w:p>
        </w:tc>
        <w:tc>
          <w:tcPr>
            <w:tcW w:w="900" w:type="dxa"/>
            <w:tcBorders>
              <w:top w:val="nil"/>
              <w:left w:val="nil"/>
              <w:bottom w:val="single" w:sz="8" w:space="0" w:color="auto"/>
              <w:right w:val="single" w:sz="8" w:space="0" w:color="auto"/>
            </w:tcBorders>
            <w:shd w:val="clear" w:color="auto" w:fill="auto"/>
            <w:vAlign w:val="center"/>
            <w:hideMark/>
          </w:tcPr>
          <w:p w14:paraId="0A5E77F0"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C-49</w:t>
            </w:r>
          </w:p>
        </w:tc>
        <w:tc>
          <w:tcPr>
            <w:tcW w:w="900" w:type="dxa"/>
            <w:tcBorders>
              <w:top w:val="nil"/>
              <w:left w:val="nil"/>
              <w:bottom w:val="single" w:sz="8" w:space="0" w:color="auto"/>
              <w:right w:val="single" w:sz="8" w:space="0" w:color="auto"/>
            </w:tcBorders>
            <w:shd w:val="clear" w:color="auto" w:fill="auto"/>
            <w:vAlign w:val="center"/>
            <w:hideMark/>
          </w:tcPr>
          <w:p w14:paraId="652BD64D" w14:textId="6416B210"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-41</w:t>
            </w:r>
          </w:p>
        </w:tc>
        <w:tc>
          <w:tcPr>
            <w:tcW w:w="2520" w:type="dxa"/>
            <w:tcBorders>
              <w:top w:val="nil"/>
              <w:left w:val="nil"/>
              <w:bottom w:val="single" w:sz="8" w:space="0" w:color="auto"/>
              <w:right w:val="single" w:sz="8" w:space="0" w:color="auto"/>
            </w:tcBorders>
            <w:shd w:val="clear" w:color="auto" w:fill="auto"/>
            <w:vAlign w:val="center"/>
            <w:hideMark/>
          </w:tcPr>
          <w:p w14:paraId="5DC936F1"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Revised subject line</w:t>
            </w:r>
          </w:p>
        </w:tc>
        <w:tc>
          <w:tcPr>
            <w:tcW w:w="2610" w:type="dxa"/>
            <w:tcBorders>
              <w:top w:val="nil"/>
              <w:left w:val="nil"/>
              <w:bottom w:val="single" w:sz="8" w:space="0" w:color="auto"/>
              <w:right w:val="single" w:sz="8" w:space="0" w:color="auto"/>
            </w:tcBorders>
            <w:shd w:val="clear" w:color="auto" w:fill="auto"/>
            <w:vAlign w:val="center"/>
            <w:hideMark/>
          </w:tcPr>
          <w:p w14:paraId="0B4D95C5"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Minor edits to the subject line to improve readability.  Added clock emoji.</w:t>
            </w:r>
          </w:p>
        </w:tc>
        <w:tc>
          <w:tcPr>
            <w:tcW w:w="2520" w:type="dxa"/>
            <w:tcBorders>
              <w:top w:val="nil"/>
              <w:left w:val="nil"/>
              <w:bottom w:val="single" w:sz="8" w:space="0" w:color="auto"/>
              <w:right w:val="single" w:sz="8" w:space="0" w:color="auto"/>
            </w:tcBorders>
            <w:shd w:val="clear" w:color="auto" w:fill="auto"/>
            <w:vAlign w:val="center"/>
            <w:hideMark/>
          </w:tcPr>
          <w:p w14:paraId="3A774E5B"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&lt;&lt;Urgent: &gt;&gt;The BPS Survey is </w:t>
            </w:r>
            <w:proofErr w:type="gramStart"/>
            <w:r w:rsidRPr="00217829">
              <w:rPr>
                <w:rFonts w:ascii="Calibri" w:hAnsi="Calibri" w:cs="Calibri"/>
                <w:color w:val="000000"/>
                <w:sz w:val="20"/>
                <w:szCs w:val="20"/>
              </w:rPr>
              <w:t>Coming to a Close</w:t>
            </w:r>
            <w:proofErr w:type="gramEnd"/>
            <w:r w:rsidRPr="00217829">
              <w:rPr>
                <w:rFonts w:ascii="Calibri" w:hAnsi="Calibri" w:cs="Calibri"/>
                <w:color w:val="000000"/>
                <w:sz w:val="20"/>
                <w:szCs w:val="20"/>
              </w:rPr>
              <w:t xml:space="preserve"> &lt;&lt;</w:t>
            </w:r>
            <w:proofErr w:type="spellStart"/>
            <w:r w:rsidRPr="00217829">
              <w:rPr>
                <w:rFonts w:ascii="Calibri" w:hAnsi="Calibri" w:cs="Calibri"/>
                <w:color w:val="000000"/>
                <w:sz w:val="20"/>
                <w:szCs w:val="20"/>
              </w:rPr>
              <w:t>Clcck</w:t>
            </w:r>
            <w:proofErr w:type="spellEnd"/>
            <w:r w:rsidRPr="00217829">
              <w:rPr>
                <w:rFonts w:ascii="Calibri" w:hAnsi="Calibri" w:cs="Calibri"/>
                <w:color w:val="000000"/>
                <w:sz w:val="20"/>
                <w:szCs w:val="20"/>
              </w:rPr>
              <w:t xml:space="preserve"> emoji &gt;&gt;</w:t>
            </w:r>
          </w:p>
        </w:tc>
      </w:tr>
      <w:tr w:rsidR="00217829" w:rsidRPr="00217829" w14:paraId="3496F516"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0D50D792"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Reminder E-mail 12</w:t>
            </w:r>
          </w:p>
        </w:tc>
        <w:tc>
          <w:tcPr>
            <w:tcW w:w="900" w:type="dxa"/>
            <w:tcBorders>
              <w:top w:val="nil"/>
              <w:left w:val="nil"/>
              <w:bottom w:val="single" w:sz="8" w:space="0" w:color="auto"/>
              <w:right w:val="single" w:sz="8" w:space="0" w:color="auto"/>
            </w:tcBorders>
            <w:shd w:val="clear" w:color="auto" w:fill="auto"/>
            <w:vAlign w:val="center"/>
            <w:hideMark/>
          </w:tcPr>
          <w:p w14:paraId="716AB62E"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C-50</w:t>
            </w:r>
          </w:p>
        </w:tc>
        <w:tc>
          <w:tcPr>
            <w:tcW w:w="900" w:type="dxa"/>
            <w:tcBorders>
              <w:top w:val="nil"/>
              <w:left w:val="nil"/>
              <w:bottom w:val="single" w:sz="8" w:space="0" w:color="auto"/>
              <w:right w:val="single" w:sz="8" w:space="0" w:color="auto"/>
            </w:tcBorders>
            <w:shd w:val="clear" w:color="auto" w:fill="auto"/>
            <w:vAlign w:val="center"/>
            <w:hideMark/>
          </w:tcPr>
          <w:p w14:paraId="25DC011E" w14:textId="5C281097"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-42</w:t>
            </w:r>
          </w:p>
        </w:tc>
        <w:tc>
          <w:tcPr>
            <w:tcW w:w="2520" w:type="dxa"/>
            <w:tcBorders>
              <w:top w:val="nil"/>
              <w:left w:val="nil"/>
              <w:bottom w:val="single" w:sz="8" w:space="0" w:color="auto"/>
              <w:right w:val="single" w:sz="8" w:space="0" w:color="auto"/>
            </w:tcBorders>
            <w:shd w:val="clear" w:color="auto" w:fill="auto"/>
            <w:vAlign w:val="center"/>
            <w:hideMark/>
          </w:tcPr>
          <w:p w14:paraId="04239FDD"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Revised subject line, Coronavirus pandemic reference.</w:t>
            </w:r>
          </w:p>
        </w:tc>
        <w:tc>
          <w:tcPr>
            <w:tcW w:w="2610" w:type="dxa"/>
            <w:tcBorders>
              <w:top w:val="nil"/>
              <w:left w:val="nil"/>
              <w:bottom w:val="single" w:sz="8" w:space="0" w:color="auto"/>
              <w:right w:val="single" w:sz="8" w:space="0" w:color="auto"/>
            </w:tcBorders>
            <w:shd w:val="clear" w:color="auto" w:fill="auto"/>
            <w:vAlign w:val="center"/>
            <w:hideMark/>
          </w:tcPr>
          <w:p w14:paraId="65B88B18"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Minor edits to the subject line to improve readability.  Added coronavirus merge fill.</w:t>
            </w:r>
          </w:p>
        </w:tc>
        <w:tc>
          <w:tcPr>
            <w:tcW w:w="2520" w:type="dxa"/>
            <w:tcBorders>
              <w:top w:val="nil"/>
              <w:left w:val="nil"/>
              <w:bottom w:val="single" w:sz="8" w:space="0" w:color="auto"/>
              <w:right w:val="single" w:sz="8" w:space="0" w:color="auto"/>
            </w:tcBorders>
            <w:shd w:val="clear" w:color="auto" w:fill="auto"/>
            <w:vAlign w:val="center"/>
            <w:hideMark/>
          </w:tcPr>
          <w:p w14:paraId="73BCFF31"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The BPS Survey Ends Tomorrow–Help Us Learn About Your Experiences</w:t>
            </w:r>
          </w:p>
        </w:tc>
      </w:tr>
      <w:tr w:rsidR="00217829" w:rsidRPr="00217829" w14:paraId="4171B6B6"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1E451141"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Reminder E-mail 13</w:t>
            </w:r>
          </w:p>
        </w:tc>
        <w:tc>
          <w:tcPr>
            <w:tcW w:w="900" w:type="dxa"/>
            <w:tcBorders>
              <w:top w:val="nil"/>
              <w:left w:val="nil"/>
              <w:bottom w:val="single" w:sz="8" w:space="0" w:color="auto"/>
              <w:right w:val="single" w:sz="8" w:space="0" w:color="auto"/>
            </w:tcBorders>
            <w:shd w:val="clear" w:color="auto" w:fill="auto"/>
            <w:vAlign w:val="center"/>
            <w:hideMark/>
          </w:tcPr>
          <w:p w14:paraId="5AB3B04C"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C-51</w:t>
            </w:r>
          </w:p>
        </w:tc>
        <w:tc>
          <w:tcPr>
            <w:tcW w:w="900" w:type="dxa"/>
            <w:tcBorders>
              <w:top w:val="nil"/>
              <w:left w:val="nil"/>
              <w:bottom w:val="single" w:sz="8" w:space="0" w:color="auto"/>
              <w:right w:val="single" w:sz="8" w:space="0" w:color="auto"/>
            </w:tcBorders>
            <w:shd w:val="clear" w:color="auto" w:fill="auto"/>
            <w:vAlign w:val="center"/>
            <w:hideMark/>
          </w:tcPr>
          <w:p w14:paraId="3A7F2A9A" w14:textId="1F22AA05"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-43</w:t>
            </w:r>
          </w:p>
        </w:tc>
        <w:tc>
          <w:tcPr>
            <w:tcW w:w="2520" w:type="dxa"/>
            <w:tcBorders>
              <w:top w:val="nil"/>
              <w:left w:val="nil"/>
              <w:bottom w:val="single" w:sz="8" w:space="0" w:color="auto"/>
              <w:right w:val="single" w:sz="8" w:space="0" w:color="auto"/>
            </w:tcBorders>
            <w:shd w:val="clear" w:color="auto" w:fill="auto"/>
            <w:vAlign w:val="center"/>
            <w:hideMark/>
          </w:tcPr>
          <w:p w14:paraId="3B922B5D"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Revised subject line and text</w:t>
            </w:r>
          </w:p>
        </w:tc>
        <w:tc>
          <w:tcPr>
            <w:tcW w:w="2610" w:type="dxa"/>
            <w:tcBorders>
              <w:top w:val="nil"/>
              <w:left w:val="nil"/>
              <w:bottom w:val="single" w:sz="8" w:space="0" w:color="auto"/>
              <w:right w:val="single" w:sz="8" w:space="0" w:color="auto"/>
            </w:tcBorders>
            <w:shd w:val="clear" w:color="auto" w:fill="auto"/>
            <w:vAlign w:val="center"/>
            <w:hideMark/>
          </w:tcPr>
          <w:p w14:paraId="71966B52"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Minor edits to the subject line and text to improve readability. </w:t>
            </w:r>
          </w:p>
        </w:tc>
        <w:tc>
          <w:tcPr>
            <w:tcW w:w="2520" w:type="dxa"/>
            <w:tcBorders>
              <w:top w:val="nil"/>
              <w:left w:val="nil"/>
              <w:bottom w:val="single" w:sz="8" w:space="0" w:color="auto"/>
              <w:right w:val="single" w:sz="8" w:space="0" w:color="auto"/>
            </w:tcBorders>
            <w:shd w:val="clear" w:color="auto" w:fill="auto"/>
            <w:vAlign w:val="center"/>
            <w:hideMark/>
          </w:tcPr>
          <w:p w14:paraId="32A00F24"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&lt;&lt;</w:t>
            </w:r>
            <w:proofErr w:type="spellStart"/>
            <w:r w:rsidRPr="00217829">
              <w:rPr>
                <w:rFonts w:ascii="Calibri" w:hAnsi="Calibri" w:cs="Calibri"/>
                <w:color w:val="000000"/>
                <w:sz w:val="20"/>
                <w:szCs w:val="20"/>
              </w:rPr>
              <w:t>Fname</w:t>
            </w:r>
            <w:proofErr w:type="spellEnd"/>
            <w:r w:rsidRPr="00217829">
              <w:rPr>
                <w:rFonts w:ascii="Calibri" w:hAnsi="Calibri" w:cs="Calibri"/>
                <w:color w:val="000000"/>
                <w:sz w:val="20"/>
                <w:szCs w:val="20"/>
              </w:rPr>
              <w:t>&gt;&gt;, Your Last Chance to Participate… The BPS Survey Ends Today!</w:t>
            </w:r>
          </w:p>
        </w:tc>
      </w:tr>
      <w:tr w:rsidR="00217829" w:rsidRPr="00217829" w14:paraId="18DCEFA8"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427B4DC4"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As Needed Reminder E-mail 1</w:t>
            </w:r>
          </w:p>
        </w:tc>
        <w:tc>
          <w:tcPr>
            <w:tcW w:w="900" w:type="dxa"/>
            <w:tcBorders>
              <w:top w:val="nil"/>
              <w:left w:val="nil"/>
              <w:bottom w:val="single" w:sz="8" w:space="0" w:color="auto"/>
              <w:right w:val="single" w:sz="8" w:space="0" w:color="auto"/>
            </w:tcBorders>
            <w:shd w:val="clear" w:color="auto" w:fill="auto"/>
            <w:vAlign w:val="center"/>
            <w:hideMark/>
          </w:tcPr>
          <w:p w14:paraId="0F633664"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C-53</w:t>
            </w:r>
          </w:p>
        </w:tc>
        <w:tc>
          <w:tcPr>
            <w:tcW w:w="900" w:type="dxa"/>
            <w:tcBorders>
              <w:top w:val="nil"/>
              <w:left w:val="nil"/>
              <w:bottom w:val="single" w:sz="8" w:space="0" w:color="auto"/>
              <w:right w:val="single" w:sz="8" w:space="0" w:color="auto"/>
            </w:tcBorders>
            <w:shd w:val="clear" w:color="auto" w:fill="auto"/>
            <w:vAlign w:val="center"/>
            <w:hideMark/>
          </w:tcPr>
          <w:p w14:paraId="6C2A5A2A" w14:textId="52C8563D"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-45</w:t>
            </w:r>
          </w:p>
        </w:tc>
        <w:tc>
          <w:tcPr>
            <w:tcW w:w="2520" w:type="dxa"/>
            <w:tcBorders>
              <w:top w:val="nil"/>
              <w:left w:val="nil"/>
              <w:bottom w:val="single" w:sz="8" w:space="0" w:color="auto"/>
              <w:right w:val="single" w:sz="8" w:space="0" w:color="auto"/>
            </w:tcBorders>
            <w:shd w:val="clear" w:color="auto" w:fill="auto"/>
            <w:vAlign w:val="center"/>
            <w:hideMark/>
          </w:tcPr>
          <w:p w14:paraId="2FD1F42C"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Revised subject line</w:t>
            </w:r>
          </w:p>
        </w:tc>
        <w:tc>
          <w:tcPr>
            <w:tcW w:w="2610" w:type="dxa"/>
            <w:tcBorders>
              <w:top w:val="nil"/>
              <w:left w:val="nil"/>
              <w:bottom w:val="single" w:sz="8" w:space="0" w:color="auto"/>
              <w:right w:val="single" w:sz="8" w:space="0" w:color="auto"/>
            </w:tcBorders>
            <w:shd w:val="clear" w:color="auto" w:fill="auto"/>
            <w:vAlign w:val="center"/>
            <w:hideMark/>
          </w:tcPr>
          <w:p w14:paraId="2490F9A7"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Minor edits to the subject line to improve readability.</w:t>
            </w:r>
          </w:p>
        </w:tc>
        <w:tc>
          <w:tcPr>
            <w:tcW w:w="2520" w:type="dxa"/>
            <w:tcBorders>
              <w:top w:val="nil"/>
              <w:left w:val="nil"/>
              <w:bottom w:val="single" w:sz="8" w:space="0" w:color="auto"/>
              <w:right w:val="single" w:sz="8" w:space="0" w:color="auto"/>
            </w:tcBorders>
            <w:shd w:val="clear" w:color="auto" w:fill="auto"/>
            <w:vAlign w:val="center"/>
            <w:hideMark/>
          </w:tcPr>
          <w:p w14:paraId="68C641F3"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w:t>
            </w:r>
            <w:proofErr w:type="spellStart"/>
            <w:r w:rsidRPr="00217829">
              <w:rPr>
                <w:rFonts w:ascii="Calibri" w:hAnsi="Calibri" w:cs="Calibri"/>
                <w:color w:val="000000"/>
                <w:sz w:val="20"/>
                <w:szCs w:val="20"/>
              </w:rPr>
              <w:t>fname</w:t>
            </w:r>
            <w:proofErr w:type="spellEnd"/>
            <w:r w:rsidRPr="00217829">
              <w:rPr>
                <w:rFonts w:ascii="Calibri" w:hAnsi="Calibri" w:cs="Calibri"/>
                <w:color w:val="000000"/>
                <w:sz w:val="20"/>
                <w:szCs w:val="20"/>
              </w:rPr>
              <w:t>», Help Inform Education Policy: Participate in the BPS Study Today</w:t>
            </w:r>
          </w:p>
        </w:tc>
      </w:tr>
      <w:tr w:rsidR="00217829" w:rsidRPr="00217829" w14:paraId="5308C952"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6EE2B47B"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As Needed Reminder E-mail 6</w:t>
            </w:r>
          </w:p>
        </w:tc>
        <w:tc>
          <w:tcPr>
            <w:tcW w:w="900" w:type="dxa"/>
            <w:tcBorders>
              <w:top w:val="nil"/>
              <w:left w:val="nil"/>
              <w:bottom w:val="single" w:sz="8" w:space="0" w:color="auto"/>
              <w:right w:val="single" w:sz="8" w:space="0" w:color="auto"/>
            </w:tcBorders>
            <w:shd w:val="clear" w:color="auto" w:fill="auto"/>
            <w:vAlign w:val="center"/>
            <w:hideMark/>
          </w:tcPr>
          <w:p w14:paraId="0A32B239"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C-58</w:t>
            </w:r>
          </w:p>
        </w:tc>
        <w:tc>
          <w:tcPr>
            <w:tcW w:w="900" w:type="dxa"/>
            <w:tcBorders>
              <w:top w:val="nil"/>
              <w:left w:val="nil"/>
              <w:bottom w:val="single" w:sz="8" w:space="0" w:color="auto"/>
              <w:right w:val="single" w:sz="8" w:space="0" w:color="auto"/>
            </w:tcBorders>
            <w:shd w:val="clear" w:color="auto" w:fill="auto"/>
            <w:vAlign w:val="center"/>
            <w:hideMark/>
          </w:tcPr>
          <w:p w14:paraId="55EBD899" w14:textId="46FA9880"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-50</w:t>
            </w:r>
          </w:p>
        </w:tc>
        <w:tc>
          <w:tcPr>
            <w:tcW w:w="2520" w:type="dxa"/>
            <w:tcBorders>
              <w:top w:val="nil"/>
              <w:left w:val="nil"/>
              <w:bottom w:val="single" w:sz="8" w:space="0" w:color="auto"/>
              <w:right w:val="single" w:sz="8" w:space="0" w:color="auto"/>
            </w:tcBorders>
            <w:shd w:val="clear" w:color="auto" w:fill="auto"/>
            <w:vAlign w:val="center"/>
            <w:hideMark/>
          </w:tcPr>
          <w:p w14:paraId="53E13FA5"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Revised text</w:t>
            </w:r>
          </w:p>
        </w:tc>
        <w:tc>
          <w:tcPr>
            <w:tcW w:w="2610" w:type="dxa"/>
            <w:tcBorders>
              <w:top w:val="nil"/>
              <w:left w:val="nil"/>
              <w:bottom w:val="single" w:sz="8" w:space="0" w:color="auto"/>
              <w:right w:val="single" w:sz="8" w:space="0" w:color="auto"/>
            </w:tcBorders>
            <w:shd w:val="clear" w:color="auto" w:fill="auto"/>
            <w:vAlign w:val="center"/>
            <w:hideMark/>
          </w:tcPr>
          <w:p w14:paraId="03538386"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Minor edits to text to clarify we need responses from all types of students.</w:t>
            </w:r>
          </w:p>
        </w:tc>
        <w:tc>
          <w:tcPr>
            <w:tcW w:w="2520" w:type="dxa"/>
            <w:tcBorders>
              <w:top w:val="nil"/>
              <w:left w:val="nil"/>
              <w:bottom w:val="single" w:sz="8" w:space="0" w:color="auto"/>
              <w:right w:val="single" w:sz="8" w:space="0" w:color="auto"/>
            </w:tcBorders>
            <w:shd w:val="clear" w:color="auto" w:fill="auto"/>
            <w:vAlign w:val="center"/>
            <w:hideMark/>
          </w:tcPr>
          <w:p w14:paraId="35E95258"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7ED64C91"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132026FC" w14:textId="7912A56C" w:rsidR="00217829" w:rsidRPr="00217829" w:rsidRDefault="00217829" w:rsidP="00217829">
            <w:pPr>
              <w:rPr>
                <w:rFonts w:ascii="Calibri" w:hAnsi="Calibri" w:cs="Calibri"/>
                <w:sz w:val="20"/>
                <w:szCs w:val="20"/>
              </w:rPr>
            </w:pPr>
            <w:bookmarkStart w:id="13" w:name="RANGE!A36"/>
            <w:r w:rsidRPr="00217829">
              <w:rPr>
                <w:rFonts w:ascii="Calibri" w:hAnsi="Calibri" w:cs="Calibri"/>
                <w:sz w:val="20"/>
                <w:szCs w:val="20"/>
              </w:rPr>
              <w:t xml:space="preserve">Initial Contact E-mail (If time allows) </w:t>
            </w:r>
            <w:bookmarkEnd w:id="13"/>
          </w:p>
        </w:tc>
        <w:tc>
          <w:tcPr>
            <w:tcW w:w="900" w:type="dxa"/>
            <w:tcBorders>
              <w:top w:val="nil"/>
              <w:left w:val="nil"/>
              <w:bottom w:val="single" w:sz="8" w:space="0" w:color="auto"/>
              <w:right w:val="single" w:sz="8" w:space="0" w:color="auto"/>
            </w:tcBorders>
            <w:shd w:val="clear" w:color="auto" w:fill="auto"/>
            <w:vAlign w:val="center"/>
            <w:hideMark/>
          </w:tcPr>
          <w:p w14:paraId="53843D01" w14:textId="77777777" w:rsidR="00217829" w:rsidRPr="00217829" w:rsidRDefault="00217829" w:rsidP="00217829">
            <w:pPr>
              <w:jc w:val="center"/>
              <w:rPr>
                <w:rFonts w:ascii="Calibri" w:hAnsi="Calibri" w:cs="Calibri"/>
                <w:sz w:val="20"/>
                <w:szCs w:val="20"/>
              </w:rPr>
            </w:pPr>
            <w:r w:rsidRPr="00217829">
              <w:rPr>
                <w:rFonts w:ascii="Calibri" w:hAnsi="Calibri" w:cs="Calibri"/>
                <w:sz w:val="20"/>
                <w:szCs w:val="20"/>
              </w:rPr>
              <w:t>C-63</w:t>
            </w:r>
          </w:p>
        </w:tc>
        <w:tc>
          <w:tcPr>
            <w:tcW w:w="900" w:type="dxa"/>
            <w:tcBorders>
              <w:top w:val="nil"/>
              <w:left w:val="nil"/>
              <w:bottom w:val="single" w:sz="8" w:space="0" w:color="auto"/>
              <w:right w:val="single" w:sz="8" w:space="0" w:color="auto"/>
            </w:tcBorders>
            <w:shd w:val="clear" w:color="auto" w:fill="auto"/>
            <w:vAlign w:val="center"/>
            <w:hideMark/>
          </w:tcPr>
          <w:p w14:paraId="132536B1" w14:textId="28D093B2" w:rsidR="00217829" w:rsidRPr="00217829" w:rsidRDefault="00274A77" w:rsidP="00217829">
            <w:pPr>
              <w:jc w:val="center"/>
              <w:rPr>
                <w:rFonts w:ascii="Calibri" w:hAnsi="Calibri" w:cs="Calibri"/>
                <w:sz w:val="20"/>
                <w:szCs w:val="20"/>
              </w:rPr>
            </w:pPr>
            <w:r>
              <w:rPr>
                <w:rFonts w:ascii="Calibri" w:hAnsi="Calibri" w:cs="Calibri"/>
                <w:sz w:val="20"/>
                <w:szCs w:val="20"/>
              </w:rPr>
              <w:t>C-</w:t>
            </w:r>
            <w:r w:rsidR="00217829" w:rsidRPr="00217829">
              <w:rPr>
                <w:rFonts w:ascii="Calibri" w:hAnsi="Calibri" w:cs="Calibri"/>
                <w:sz w:val="20"/>
                <w:szCs w:val="20"/>
              </w:rPr>
              <w:t>109</w:t>
            </w:r>
          </w:p>
        </w:tc>
        <w:tc>
          <w:tcPr>
            <w:tcW w:w="2520" w:type="dxa"/>
            <w:tcBorders>
              <w:top w:val="nil"/>
              <w:left w:val="nil"/>
              <w:bottom w:val="single" w:sz="8" w:space="0" w:color="auto"/>
              <w:right w:val="single" w:sz="8" w:space="0" w:color="auto"/>
            </w:tcBorders>
            <w:shd w:val="clear" w:color="auto" w:fill="auto"/>
            <w:vAlign w:val="center"/>
            <w:hideMark/>
          </w:tcPr>
          <w:p w14:paraId="15AFEA49" w14:textId="73CFD510" w:rsidR="00217829" w:rsidRPr="00217829" w:rsidRDefault="00217829" w:rsidP="00217829">
            <w:pPr>
              <w:rPr>
                <w:rFonts w:ascii="Calibri" w:hAnsi="Calibri" w:cs="Calibri"/>
                <w:sz w:val="20"/>
                <w:szCs w:val="20"/>
              </w:rPr>
            </w:pPr>
            <w:r w:rsidRPr="00217829">
              <w:rPr>
                <w:rFonts w:ascii="Calibri" w:hAnsi="Calibri" w:cs="Calibri"/>
                <w:sz w:val="20"/>
                <w:szCs w:val="20"/>
              </w:rPr>
              <w:t xml:space="preserve">This contact was initially deleted from file - added back with full-scale edits and included on page </w:t>
            </w:r>
            <w:r w:rsidR="00C26DB2">
              <w:rPr>
                <w:rFonts w:ascii="Calibri" w:hAnsi="Calibri" w:cs="Calibri"/>
                <w:sz w:val="20"/>
                <w:szCs w:val="20"/>
              </w:rPr>
              <w:t>C</w:t>
            </w:r>
            <w:r w:rsidRPr="00217829">
              <w:rPr>
                <w:rFonts w:ascii="Calibri" w:hAnsi="Calibri" w:cs="Calibri"/>
                <w:sz w:val="20"/>
                <w:szCs w:val="20"/>
              </w:rPr>
              <w:t>-109</w:t>
            </w:r>
          </w:p>
        </w:tc>
        <w:tc>
          <w:tcPr>
            <w:tcW w:w="2610" w:type="dxa"/>
            <w:tcBorders>
              <w:top w:val="nil"/>
              <w:left w:val="nil"/>
              <w:bottom w:val="single" w:sz="8" w:space="0" w:color="auto"/>
              <w:right w:val="single" w:sz="8" w:space="0" w:color="auto"/>
            </w:tcBorders>
            <w:shd w:val="clear" w:color="auto" w:fill="auto"/>
            <w:vAlign w:val="center"/>
            <w:hideMark/>
          </w:tcPr>
          <w:p w14:paraId="18BBBF06" w14:textId="072DBF3A" w:rsidR="00217829" w:rsidRPr="00217829" w:rsidRDefault="00217829" w:rsidP="00217829">
            <w:pPr>
              <w:rPr>
                <w:rFonts w:ascii="Calibri" w:hAnsi="Calibri" w:cs="Calibri"/>
                <w:sz w:val="20"/>
                <w:szCs w:val="20"/>
              </w:rPr>
            </w:pPr>
            <w:r w:rsidRPr="00217829">
              <w:rPr>
                <w:rFonts w:ascii="Calibri" w:hAnsi="Calibri" w:cs="Calibri"/>
                <w:sz w:val="20"/>
                <w:szCs w:val="20"/>
              </w:rPr>
              <w:t xml:space="preserve">Initially deleted from file - added back with full-scale edits and included on page </w:t>
            </w:r>
            <w:r w:rsidR="00C26DB2">
              <w:rPr>
                <w:rFonts w:ascii="Calibri" w:hAnsi="Calibri" w:cs="Calibri"/>
                <w:sz w:val="20"/>
                <w:szCs w:val="20"/>
              </w:rPr>
              <w:t>C</w:t>
            </w:r>
            <w:r w:rsidRPr="00217829">
              <w:rPr>
                <w:rFonts w:ascii="Calibri" w:hAnsi="Calibri" w:cs="Calibri"/>
                <w:sz w:val="20"/>
                <w:szCs w:val="20"/>
              </w:rPr>
              <w:t>-109</w:t>
            </w:r>
          </w:p>
        </w:tc>
        <w:tc>
          <w:tcPr>
            <w:tcW w:w="2520" w:type="dxa"/>
            <w:tcBorders>
              <w:top w:val="nil"/>
              <w:left w:val="nil"/>
              <w:bottom w:val="single" w:sz="8" w:space="0" w:color="auto"/>
              <w:right w:val="single" w:sz="8" w:space="0" w:color="auto"/>
            </w:tcBorders>
            <w:shd w:val="clear" w:color="auto" w:fill="auto"/>
            <w:vAlign w:val="center"/>
            <w:hideMark/>
          </w:tcPr>
          <w:p w14:paraId="759C0E1C" w14:textId="77777777" w:rsidR="00217829" w:rsidRPr="00217829" w:rsidRDefault="00217829" w:rsidP="00217829">
            <w:pPr>
              <w:rPr>
                <w:rFonts w:ascii="Calibri" w:hAnsi="Calibri" w:cs="Calibri"/>
                <w:sz w:val="20"/>
                <w:szCs w:val="20"/>
              </w:rPr>
            </w:pPr>
            <w:r w:rsidRPr="00217829">
              <w:rPr>
                <w:rFonts w:ascii="Calibri" w:hAnsi="Calibri" w:cs="Calibri"/>
                <w:sz w:val="20"/>
                <w:szCs w:val="20"/>
              </w:rPr>
              <w:t>Updated to account for different sample types, incentive offers, etc.</w:t>
            </w:r>
          </w:p>
        </w:tc>
      </w:tr>
      <w:tr w:rsidR="00217829" w:rsidRPr="00217829" w14:paraId="27636B68"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7E445560"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Incentive Change E-mail (Boost) — (Incentive Eligible)</w:t>
            </w:r>
          </w:p>
        </w:tc>
        <w:tc>
          <w:tcPr>
            <w:tcW w:w="900" w:type="dxa"/>
            <w:tcBorders>
              <w:top w:val="nil"/>
              <w:left w:val="nil"/>
              <w:bottom w:val="single" w:sz="8" w:space="0" w:color="auto"/>
              <w:right w:val="single" w:sz="8" w:space="0" w:color="auto"/>
            </w:tcBorders>
            <w:shd w:val="clear" w:color="auto" w:fill="auto"/>
            <w:vAlign w:val="center"/>
            <w:hideMark/>
          </w:tcPr>
          <w:p w14:paraId="1E8C4A13"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C-64</w:t>
            </w:r>
          </w:p>
        </w:tc>
        <w:tc>
          <w:tcPr>
            <w:tcW w:w="900" w:type="dxa"/>
            <w:tcBorders>
              <w:top w:val="nil"/>
              <w:left w:val="nil"/>
              <w:bottom w:val="single" w:sz="8" w:space="0" w:color="auto"/>
              <w:right w:val="single" w:sz="8" w:space="0" w:color="auto"/>
            </w:tcBorders>
            <w:shd w:val="clear" w:color="auto" w:fill="auto"/>
            <w:vAlign w:val="center"/>
            <w:hideMark/>
          </w:tcPr>
          <w:p w14:paraId="07027AAC" w14:textId="77777777" w:rsidR="00217829" w:rsidRPr="00217829" w:rsidRDefault="00217829" w:rsidP="00217829">
            <w:pPr>
              <w:jc w:val="center"/>
              <w:rPr>
                <w:rFonts w:ascii="Calibri" w:hAnsi="Calibri" w:cs="Calibri"/>
                <w:color w:val="FF0000"/>
                <w:sz w:val="20"/>
                <w:szCs w:val="20"/>
              </w:rPr>
            </w:pPr>
            <w:r w:rsidRPr="00217829">
              <w:rPr>
                <w:rFonts w:ascii="Calibri" w:hAnsi="Calibri" w:cs="Calibri"/>
                <w:color w:val="FF0000"/>
                <w:sz w:val="20"/>
                <w:szCs w:val="20"/>
              </w:rPr>
              <w:t>N/A</w:t>
            </w:r>
          </w:p>
        </w:tc>
        <w:tc>
          <w:tcPr>
            <w:tcW w:w="2520" w:type="dxa"/>
            <w:tcBorders>
              <w:top w:val="nil"/>
              <w:left w:val="nil"/>
              <w:bottom w:val="single" w:sz="8" w:space="0" w:color="auto"/>
              <w:right w:val="single" w:sz="8" w:space="0" w:color="auto"/>
            </w:tcBorders>
            <w:shd w:val="clear" w:color="auto" w:fill="auto"/>
            <w:vAlign w:val="center"/>
            <w:hideMark/>
          </w:tcPr>
          <w:p w14:paraId="0528BBB4"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Deleted email</w:t>
            </w:r>
          </w:p>
        </w:tc>
        <w:tc>
          <w:tcPr>
            <w:tcW w:w="2610" w:type="dxa"/>
            <w:tcBorders>
              <w:top w:val="nil"/>
              <w:left w:val="nil"/>
              <w:bottom w:val="single" w:sz="8" w:space="0" w:color="auto"/>
              <w:right w:val="single" w:sz="8" w:space="0" w:color="auto"/>
            </w:tcBorders>
            <w:shd w:val="clear" w:color="auto" w:fill="auto"/>
            <w:vAlign w:val="center"/>
            <w:hideMark/>
          </w:tcPr>
          <w:p w14:paraId="06B5AA1B" w14:textId="1811C066"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We are not offering a prepaid boost </w:t>
            </w:r>
            <w:proofErr w:type="gramStart"/>
            <w:r w:rsidRPr="00217829">
              <w:rPr>
                <w:rFonts w:ascii="Calibri" w:hAnsi="Calibri" w:cs="Calibri"/>
                <w:color w:val="000000"/>
                <w:sz w:val="20"/>
                <w:szCs w:val="20"/>
              </w:rPr>
              <w:t>incentive</w:t>
            </w:r>
            <w:proofErr w:type="gramEnd"/>
            <w:r w:rsidRPr="00217829">
              <w:rPr>
                <w:rFonts w:ascii="Calibri" w:hAnsi="Calibri" w:cs="Calibri"/>
                <w:color w:val="000000"/>
                <w:sz w:val="20"/>
                <w:szCs w:val="20"/>
              </w:rPr>
              <w:t xml:space="preserve"> so email is no longer needed.</w:t>
            </w:r>
          </w:p>
        </w:tc>
        <w:tc>
          <w:tcPr>
            <w:tcW w:w="2520" w:type="dxa"/>
            <w:tcBorders>
              <w:top w:val="nil"/>
              <w:left w:val="nil"/>
              <w:bottom w:val="single" w:sz="8" w:space="0" w:color="auto"/>
              <w:right w:val="single" w:sz="8" w:space="0" w:color="auto"/>
            </w:tcBorders>
            <w:shd w:val="clear" w:color="auto" w:fill="auto"/>
            <w:vAlign w:val="center"/>
            <w:hideMark/>
          </w:tcPr>
          <w:p w14:paraId="024B8CC1"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424D25D9"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2C1C3D77"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lastRenderedPageBreak/>
              <w:t>Partial Complete E-mail</w:t>
            </w:r>
          </w:p>
        </w:tc>
        <w:tc>
          <w:tcPr>
            <w:tcW w:w="900" w:type="dxa"/>
            <w:tcBorders>
              <w:top w:val="nil"/>
              <w:left w:val="nil"/>
              <w:bottom w:val="single" w:sz="8" w:space="0" w:color="auto"/>
              <w:right w:val="single" w:sz="8" w:space="0" w:color="auto"/>
            </w:tcBorders>
            <w:shd w:val="clear" w:color="auto" w:fill="auto"/>
            <w:vAlign w:val="center"/>
            <w:hideMark/>
          </w:tcPr>
          <w:p w14:paraId="526ED00D"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C-66</w:t>
            </w:r>
          </w:p>
        </w:tc>
        <w:tc>
          <w:tcPr>
            <w:tcW w:w="900" w:type="dxa"/>
            <w:tcBorders>
              <w:top w:val="nil"/>
              <w:left w:val="nil"/>
              <w:bottom w:val="single" w:sz="8" w:space="0" w:color="auto"/>
              <w:right w:val="single" w:sz="8" w:space="0" w:color="auto"/>
            </w:tcBorders>
            <w:shd w:val="clear" w:color="auto" w:fill="auto"/>
            <w:vAlign w:val="center"/>
            <w:hideMark/>
          </w:tcPr>
          <w:p w14:paraId="00306A0E"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C-53</w:t>
            </w:r>
          </w:p>
        </w:tc>
        <w:tc>
          <w:tcPr>
            <w:tcW w:w="2520" w:type="dxa"/>
            <w:tcBorders>
              <w:top w:val="nil"/>
              <w:left w:val="nil"/>
              <w:bottom w:val="single" w:sz="8" w:space="0" w:color="auto"/>
              <w:right w:val="single" w:sz="8" w:space="0" w:color="auto"/>
            </w:tcBorders>
            <w:shd w:val="clear" w:color="auto" w:fill="auto"/>
            <w:vAlign w:val="center"/>
            <w:hideMark/>
          </w:tcPr>
          <w:p w14:paraId="5C613AB4"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Revised subject line</w:t>
            </w:r>
          </w:p>
        </w:tc>
        <w:tc>
          <w:tcPr>
            <w:tcW w:w="2610" w:type="dxa"/>
            <w:tcBorders>
              <w:top w:val="nil"/>
              <w:left w:val="nil"/>
              <w:bottom w:val="single" w:sz="8" w:space="0" w:color="auto"/>
              <w:right w:val="single" w:sz="8" w:space="0" w:color="auto"/>
            </w:tcBorders>
            <w:shd w:val="clear" w:color="auto" w:fill="auto"/>
            <w:vAlign w:val="center"/>
            <w:hideMark/>
          </w:tcPr>
          <w:p w14:paraId="1915FE43"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Minor edits to the subject line to improve readability.</w:t>
            </w:r>
          </w:p>
        </w:tc>
        <w:tc>
          <w:tcPr>
            <w:tcW w:w="2520" w:type="dxa"/>
            <w:tcBorders>
              <w:top w:val="nil"/>
              <w:left w:val="nil"/>
              <w:bottom w:val="single" w:sz="8" w:space="0" w:color="auto"/>
              <w:right w:val="single" w:sz="8" w:space="0" w:color="auto"/>
            </w:tcBorders>
            <w:shd w:val="clear" w:color="auto" w:fill="auto"/>
            <w:vAlign w:val="center"/>
            <w:hideMark/>
          </w:tcPr>
          <w:p w14:paraId="7BC7FD4B"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Important Reminder: «</w:t>
            </w:r>
            <w:proofErr w:type="spellStart"/>
            <w:r w:rsidRPr="00217829">
              <w:rPr>
                <w:rFonts w:ascii="Calibri" w:hAnsi="Calibri" w:cs="Calibri"/>
                <w:color w:val="000000"/>
                <w:sz w:val="20"/>
                <w:szCs w:val="20"/>
              </w:rPr>
              <w:t>fname</w:t>
            </w:r>
            <w:proofErr w:type="spellEnd"/>
            <w:r w:rsidRPr="00217829">
              <w:rPr>
                <w:rFonts w:ascii="Calibri" w:hAnsi="Calibri" w:cs="Calibri"/>
                <w:color w:val="000000"/>
                <w:sz w:val="20"/>
                <w:szCs w:val="20"/>
              </w:rPr>
              <w:t>», Finish Completing Your BPS Survey!</w:t>
            </w:r>
          </w:p>
        </w:tc>
      </w:tr>
      <w:tr w:rsidR="00217829" w:rsidRPr="00217829" w14:paraId="60392AC2"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24B1DC90"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Paired Contact E-mail</w:t>
            </w:r>
          </w:p>
        </w:tc>
        <w:tc>
          <w:tcPr>
            <w:tcW w:w="900" w:type="dxa"/>
            <w:tcBorders>
              <w:top w:val="nil"/>
              <w:left w:val="nil"/>
              <w:bottom w:val="single" w:sz="8" w:space="0" w:color="auto"/>
              <w:right w:val="single" w:sz="8" w:space="0" w:color="auto"/>
            </w:tcBorders>
            <w:shd w:val="clear" w:color="auto" w:fill="auto"/>
            <w:vAlign w:val="center"/>
            <w:hideMark/>
          </w:tcPr>
          <w:p w14:paraId="566734E9"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C-67</w:t>
            </w:r>
          </w:p>
        </w:tc>
        <w:tc>
          <w:tcPr>
            <w:tcW w:w="900" w:type="dxa"/>
            <w:tcBorders>
              <w:top w:val="nil"/>
              <w:left w:val="nil"/>
              <w:bottom w:val="single" w:sz="8" w:space="0" w:color="auto"/>
              <w:right w:val="single" w:sz="8" w:space="0" w:color="auto"/>
            </w:tcBorders>
            <w:shd w:val="clear" w:color="auto" w:fill="auto"/>
            <w:vAlign w:val="center"/>
            <w:hideMark/>
          </w:tcPr>
          <w:p w14:paraId="5065BC1D"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C-54</w:t>
            </w:r>
          </w:p>
        </w:tc>
        <w:tc>
          <w:tcPr>
            <w:tcW w:w="2520" w:type="dxa"/>
            <w:tcBorders>
              <w:top w:val="nil"/>
              <w:left w:val="nil"/>
              <w:bottom w:val="single" w:sz="8" w:space="0" w:color="auto"/>
              <w:right w:val="single" w:sz="8" w:space="0" w:color="auto"/>
            </w:tcBorders>
            <w:shd w:val="clear" w:color="auto" w:fill="auto"/>
            <w:vAlign w:val="center"/>
            <w:hideMark/>
          </w:tcPr>
          <w:p w14:paraId="69EE8CD5"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Alternate subject line added. Merge sentence added to remind of NPSAS participation, if applicable.</w:t>
            </w:r>
          </w:p>
        </w:tc>
        <w:tc>
          <w:tcPr>
            <w:tcW w:w="2610" w:type="dxa"/>
            <w:tcBorders>
              <w:top w:val="nil"/>
              <w:left w:val="nil"/>
              <w:bottom w:val="single" w:sz="8" w:space="0" w:color="auto"/>
              <w:right w:val="single" w:sz="8" w:space="0" w:color="auto"/>
            </w:tcBorders>
            <w:shd w:val="clear" w:color="auto" w:fill="auto"/>
            <w:vAlign w:val="center"/>
            <w:hideMark/>
          </w:tcPr>
          <w:p w14:paraId="7F9DC195"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c>
          <w:tcPr>
            <w:tcW w:w="2520" w:type="dxa"/>
            <w:tcBorders>
              <w:top w:val="nil"/>
              <w:left w:val="nil"/>
              <w:bottom w:val="single" w:sz="8" w:space="0" w:color="auto"/>
              <w:right w:val="single" w:sz="8" w:space="0" w:color="auto"/>
            </w:tcBorders>
            <w:shd w:val="clear" w:color="auto" w:fill="auto"/>
            <w:vAlign w:val="center"/>
            <w:hideMark/>
          </w:tcPr>
          <w:p w14:paraId="62187B25"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&lt;&lt;</w:t>
            </w:r>
            <w:proofErr w:type="spellStart"/>
            <w:r w:rsidRPr="00217829">
              <w:rPr>
                <w:rFonts w:ascii="Calibri" w:hAnsi="Calibri" w:cs="Calibri"/>
                <w:color w:val="000000"/>
                <w:sz w:val="20"/>
                <w:szCs w:val="20"/>
              </w:rPr>
              <w:t>fname</w:t>
            </w:r>
            <w:proofErr w:type="spellEnd"/>
            <w:r w:rsidRPr="00217829">
              <w:rPr>
                <w:rFonts w:ascii="Calibri" w:hAnsi="Calibri" w:cs="Calibri"/>
                <w:color w:val="000000"/>
                <w:sz w:val="20"/>
                <w:szCs w:val="20"/>
              </w:rPr>
              <w:t>&gt;&gt;, thank you for speaking with us about the BPS survey.</w:t>
            </w:r>
          </w:p>
        </w:tc>
      </w:tr>
      <w:tr w:rsidR="00217829" w:rsidRPr="00217829" w14:paraId="7E3FB43D"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0C2A3909"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Reviewed Pending Ineligible E-mail (Common Eligibility Issues)</w:t>
            </w:r>
          </w:p>
        </w:tc>
        <w:tc>
          <w:tcPr>
            <w:tcW w:w="900" w:type="dxa"/>
            <w:tcBorders>
              <w:top w:val="nil"/>
              <w:left w:val="nil"/>
              <w:bottom w:val="single" w:sz="8" w:space="0" w:color="auto"/>
              <w:right w:val="single" w:sz="8" w:space="0" w:color="auto"/>
            </w:tcBorders>
            <w:shd w:val="clear" w:color="auto" w:fill="auto"/>
            <w:vAlign w:val="center"/>
            <w:hideMark/>
          </w:tcPr>
          <w:p w14:paraId="4ADAB89B"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C-71</w:t>
            </w:r>
          </w:p>
        </w:tc>
        <w:tc>
          <w:tcPr>
            <w:tcW w:w="900" w:type="dxa"/>
            <w:tcBorders>
              <w:top w:val="nil"/>
              <w:left w:val="nil"/>
              <w:bottom w:val="single" w:sz="8" w:space="0" w:color="auto"/>
              <w:right w:val="single" w:sz="8" w:space="0" w:color="auto"/>
            </w:tcBorders>
            <w:shd w:val="clear" w:color="auto" w:fill="auto"/>
            <w:vAlign w:val="center"/>
            <w:hideMark/>
          </w:tcPr>
          <w:p w14:paraId="43E8DDD6" w14:textId="77777777" w:rsidR="00217829" w:rsidRPr="00217829" w:rsidRDefault="00217829" w:rsidP="00217829">
            <w:pPr>
              <w:jc w:val="center"/>
              <w:rPr>
                <w:rFonts w:ascii="Calibri" w:hAnsi="Calibri" w:cs="Calibri"/>
                <w:color w:val="FF0000"/>
                <w:sz w:val="20"/>
                <w:szCs w:val="20"/>
              </w:rPr>
            </w:pPr>
            <w:r w:rsidRPr="00217829">
              <w:rPr>
                <w:rFonts w:ascii="Calibri" w:hAnsi="Calibri" w:cs="Calibri"/>
                <w:color w:val="FF0000"/>
                <w:sz w:val="20"/>
                <w:szCs w:val="20"/>
              </w:rPr>
              <w:t>N/A</w:t>
            </w:r>
          </w:p>
        </w:tc>
        <w:tc>
          <w:tcPr>
            <w:tcW w:w="2520" w:type="dxa"/>
            <w:tcBorders>
              <w:top w:val="nil"/>
              <w:left w:val="nil"/>
              <w:bottom w:val="single" w:sz="8" w:space="0" w:color="auto"/>
              <w:right w:val="single" w:sz="8" w:space="0" w:color="auto"/>
            </w:tcBorders>
            <w:shd w:val="clear" w:color="auto" w:fill="auto"/>
            <w:vAlign w:val="center"/>
            <w:hideMark/>
          </w:tcPr>
          <w:p w14:paraId="5793382D"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Deleted email</w:t>
            </w:r>
          </w:p>
        </w:tc>
        <w:tc>
          <w:tcPr>
            <w:tcW w:w="2610" w:type="dxa"/>
            <w:tcBorders>
              <w:top w:val="nil"/>
              <w:left w:val="nil"/>
              <w:bottom w:val="single" w:sz="8" w:space="0" w:color="auto"/>
              <w:right w:val="single" w:sz="8" w:space="0" w:color="auto"/>
            </w:tcBorders>
            <w:shd w:val="clear" w:color="auto" w:fill="auto"/>
            <w:vAlign w:val="center"/>
            <w:hideMark/>
          </w:tcPr>
          <w:p w14:paraId="45DF0398"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Not needed for FS study</w:t>
            </w:r>
          </w:p>
        </w:tc>
        <w:tc>
          <w:tcPr>
            <w:tcW w:w="2520" w:type="dxa"/>
            <w:tcBorders>
              <w:top w:val="nil"/>
              <w:left w:val="nil"/>
              <w:bottom w:val="single" w:sz="8" w:space="0" w:color="auto"/>
              <w:right w:val="single" w:sz="8" w:space="0" w:color="auto"/>
            </w:tcBorders>
            <w:shd w:val="clear" w:color="auto" w:fill="auto"/>
            <w:vAlign w:val="center"/>
            <w:hideMark/>
          </w:tcPr>
          <w:p w14:paraId="1799B19E"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4399E94D"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6CF2910D"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Reviewed Pending Ineligible E-mail (Branch Campus Issue)</w:t>
            </w:r>
          </w:p>
        </w:tc>
        <w:tc>
          <w:tcPr>
            <w:tcW w:w="900" w:type="dxa"/>
            <w:tcBorders>
              <w:top w:val="nil"/>
              <w:left w:val="nil"/>
              <w:bottom w:val="single" w:sz="8" w:space="0" w:color="auto"/>
              <w:right w:val="single" w:sz="8" w:space="0" w:color="auto"/>
            </w:tcBorders>
            <w:shd w:val="clear" w:color="auto" w:fill="auto"/>
            <w:vAlign w:val="center"/>
            <w:hideMark/>
          </w:tcPr>
          <w:p w14:paraId="30B39A88"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C-72</w:t>
            </w:r>
          </w:p>
        </w:tc>
        <w:tc>
          <w:tcPr>
            <w:tcW w:w="900" w:type="dxa"/>
            <w:tcBorders>
              <w:top w:val="nil"/>
              <w:left w:val="nil"/>
              <w:bottom w:val="single" w:sz="8" w:space="0" w:color="auto"/>
              <w:right w:val="single" w:sz="8" w:space="0" w:color="auto"/>
            </w:tcBorders>
            <w:shd w:val="clear" w:color="auto" w:fill="auto"/>
            <w:vAlign w:val="center"/>
            <w:hideMark/>
          </w:tcPr>
          <w:p w14:paraId="753C2227" w14:textId="77777777" w:rsidR="00217829" w:rsidRPr="00217829" w:rsidRDefault="00217829" w:rsidP="00217829">
            <w:pPr>
              <w:jc w:val="center"/>
              <w:rPr>
                <w:rFonts w:ascii="Calibri" w:hAnsi="Calibri" w:cs="Calibri"/>
                <w:color w:val="FF0000"/>
                <w:sz w:val="20"/>
                <w:szCs w:val="20"/>
              </w:rPr>
            </w:pPr>
            <w:r w:rsidRPr="00217829">
              <w:rPr>
                <w:rFonts w:ascii="Calibri" w:hAnsi="Calibri" w:cs="Calibri"/>
                <w:color w:val="FF0000"/>
                <w:sz w:val="20"/>
                <w:szCs w:val="20"/>
              </w:rPr>
              <w:t>N/A</w:t>
            </w:r>
          </w:p>
        </w:tc>
        <w:tc>
          <w:tcPr>
            <w:tcW w:w="2520" w:type="dxa"/>
            <w:tcBorders>
              <w:top w:val="nil"/>
              <w:left w:val="nil"/>
              <w:bottom w:val="single" w:sz="8" w:space="0" w:color="auto"/>
              <w:right w:val="single" w:sz="8" w:space="0" w:color="auto"/>
            </w:tcBorders>
            <w:shd w:val="clear" w:color="auto" w:fill="auto"/>
            <w:vAlign w:val="center"/>
            <w:hideMark/>
          </w:tcPr>
          <w:p w14:paraId="1EF72EB3"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Deleted email</w:t>
            </w:r>
          </w:p>
        </w:tc>
        <w:tc>
          <w:tcPr>
            <w:tcW w:w="2610" w:type="dxa"/>
            <w:tcBorders>
              <w:top w:val="nil"/>
              <w:left w:val="nil"/>
              <w:bottom w:val="single" w:sz="8" w:space="0" w:color="auto"/>
              <w:right w:val="single" w:sz="8" w:space="0" w:color="auto"/>
            </w:tcBorders>
            <w:shd w:val="clear" w:color="auto" w:fill="auto"/>
            <w:vAlign w:val="center"/>
            <w:hideMark/>
          </w:tcPr>
          <w:p w14:paraId="0BC75EAD"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Not needed for FS study</w:t>
            </w:r>
          </w:p>
        </w:tc>
        <w:tc>
          <w:tcPr>
            <w:tcW w:w="2520" w:type="dxa"/>
            <w:tcBorders>
              <w:top w:val="nil"/>
              <w:left w:val="nil"/>
              <w:bottom w:val="single" w:sz="8" w:space="0" w:color="auto"/>
              <w:right w:val="single" w:sz="8" w:space="0" w:color="auto"/>
            </w:tcBorders>
            <w:shd w:val="clear" w:color="auto" w:fill="auto"/>
            <w:vAlign w:val="center"/>
            <w:hideMark/>
          </w:tcPr>
          <w:p w14:paraId="7A87B78F"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3CBB9EEE"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02980EA9"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No Contact E-mail</w:t>
            </w:r>
          </w:p>
        </w:tc>
        <w:tc>
          <w:tcPr>
            <w:tcW w:w="900" w:type="dxa"/>
            <w:tcBorders>
              <w:top w:val="nil"/>
              <w:left w:val="nil"/>
              <w:bottom w:val="single" w:sz="8" w:space="0" w:color="auto"/>
              <w:right w:val="single" w:sz="8" w:space="0" w:color="auto"/>
            </w:tcBorders>
            <w:shd w:val="clear" w:color="auto" w:fill="auto"/>
            <w:vAlign w:val="center"/>
            <w:hideMark/>
          </w:tcPr>
          <w:p w14:paraId="1E771B26"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C-77</w:t>
            </w:r>
          </w:p>
        </w:tc>
        <w:tc>
          <w:tcPr>
            <w:tcW w:w="900" w:type="dxa"/>
            <w:tcBorders>
              <w:top w:val="nil"/>
              <w:left w:val="nil"/>
              <w:bottom w:val="single" w:sz="8" w:space="0" w:color="auto"/>
              <w:right w:val="single" w:sz="8" w:space="0" w:color="auto"/>
            </w:tcBorders>
            <w:shd w:val="clear" w:color="auto" w:fill="auto"/>
            <w:vAlign w:val="center"/>
            <w:hideMark/>
          </w:tcPr>
          <w:p w14:paraId="5A594BA9" w14:textId="09C074CD"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-61</w:t>
            </w:r>
          </w:p>
        </w:tc>
        <w:tc>
          <w:tcPr>
            <w:tcW w:w="2520" w:type="dxa"/>
            <w:tcBorders>
              <w:top w:val="nil"/>
              <w:left w:val="nil"/>
              <w:bottom w:val="single" w:sz="8" w:space="0" w:color="auto"/>
              <w:right w:val="single" w:sz="8" w:space="0" w:color="auto"/>
            </w:tcBorders>
            <w:shd w:val="clear" w:color="auto" w:fill="auto"/>
            <w:vAlign w:val="center"/>
            <w:hideMark/>
          </w:tcPr>
          <w:p w14:paraId="2EB86E7C" w14:textId="2AC9F165"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Minor edit to subject line. </w:t>
            </w:r>
            <w:r w:rsidR="003D1395">
              <w:rPr>
                <w:rFonts w:ascii="Calibri" w:hAnsi="Calibri" w:cs="Calibri"/>
                <w:color w:val="000000"/>
                <w:sz w:val="20"/>
                <w:szCs w:val="20"/>
              </w:rPr>
              <w:t>m</w:t>
            </w:r>
            <w:r w:rsidRPr="00217829">
              <w:rPr>
                <w:rFonts w:ascii="Calibri" w:hAnsi="Calibri" w:cs="Calibri"/>
                <w:color w:val="000000"/>
                <w:sz w:val="20"/>
                <w:szCs w:val="20"/>
              </w:rPr>
              <w:t>erge sentence added to remind of NPSAS participation, if applicable.</w:t>
            </w:r>
          </w:p>
        </w:tc>
        <w:tc>
          <w:tcPr>
            <w:tcW w:w="2610" w:type="dxa"/>
            <w:tcBorders>
              <w:top w:val="nil"/>
              <w:left w:val="nil"/>
              <w:bottom w:val="single" w:sz="8" w:space="0" w:color="auto"/>
              <w:right w:val="single" w:sz="8" w:space="0" w:color="auto"/>
            </w:tcBorders>
            <w:shd w:val="clear" w:color="auto" w:fill="auto"/>
            <w:vAlign w:val="center"/>
            <w:hideMark/>
          </w:tcPr>
          <w:p w14:paraId="74734796"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c>
          <w:tcPr>
            <w:tcW w:w="2520" w:type="dxa"/>
            <w:tcBorders>
              <w:top w:val="nil"/>
              <w:left w:val="nil"/>
              <w:bottom w:val="single" w:sz="8" w:space="0" w:color="auto"/>
              <w:right w:val="single" w:sz="8" w:space="0" w:color="auto"/>
            </w:tcBorders>
            <w:shd w:val="clear" w:color="auto" w:fill="auto"/>
            <w:vAlign w:val="center"/>
            <w:hideMark/>
          </w:tcPr>
          <w:p w14:paraId="058E3CB5"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1FB8BEA1"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04CCECA0"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Data Collection Extension E-mail</w:t>
            </w:r>
          </w:p>
        </w:tc>
        <w:tc>
          <w:tcPr>
            <w:tcW w:w="900" w:type="dxa"/>
            <w:tcBorders>
              <w:top w:val="nil"/>
              <w:left w:val="nil"/>
              <w:bottom w:val="single" w:sz="8" w:space="0" w:color="auto"/>
              <w:right w:val="single" w:sz="8" w:space="0" w:color="auto"/>
            </w:tcBorders>
            <w:shd w:val="clear" w:color="auto" w:fill="auto"/>
            <w:vAlign w:val="center"/>
            <w:hideMark/>
          </w:tcPr>
          <w:p w14:paraId="449E79A3"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C-81</w:t>
            </w:r>
          </w:p>
        </w:tc>
        <w:tc>
          <w:tcPr>
            <w:tcW w:w="900" w:type="dxa"/>
            <w:tcBorders>
              <w:top w:val="nil"/>
              <w:left w:val="nil"/>
              <w:bottom w:val="single" w:sz="8" w:space="0" w:color="auto"/>
              <w:right w:val="single" w:sz="8" w:space="0" w:color="auto"/>
            </w:tcBorders>
            <w:shd w:val="clear" w:color="auto" w:fill="auto"/>
            <w:vAlign w:val="center"/>
            <w:hideMark/>
          </w:tcPr>
          <w:p w14:paraId="0EAD2EF2" w14:textId="3508756B"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-65</w:t>
            </w:r>
          </w:p>
        </w:tc>
        <w:tc>
          <w:tcPr>
            <w:tcW w:w="2520" w:type="dxa"/>
            <w:tcBorders>
              <w:top w:val="nil"/>
              <w:left w:val="nil"/>
              <w:bottom w:val="single" w:sz="8" w:space="0" w:color="auto"/>
              <w:right w:val="single" w:sz="8" w:space="0" w:color="auto"/>
            </w:tcBorders>
            <w:shd w:val="clear" w:color="auto" w:fill="auto"/>
            <w:vAlign w:val="center"/>
            <w:hideMark/>
          </w:tcPr>
          <w:p w14:paraId="24EEAD64"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Minor edit to subject line and text of email.</w:t>
            </w:r>
          </w:p>
        </w:tc>
        <w:tc>
          <w:tcPr>
            <w:tcW w:w="2610" w:type="dxa"/>
            <w:tcBorders>
              <w:top w:val="nil"/>
              <w:left w:val="nil"/>
              <w:bottom w:val="single" w:sz="8" w:space="0" w:color="auto"/>
              <w:right w:val="single" w:sz="8" w:space="0" w:color="auto"/>
            </w:tcBorders>
            <w:shd w:val="clear" w:color="auto" w:fill="auto"/>
            <w:vAlign w:val="center"/>
            <w:hideMark/>
          </w:tcPr>
          <w:p w14:paraId="737EA6FF"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Clarification that we have extended the deadline for participation in BPS </w:t>
            </w:r>
          </w:p>
        </w:tc>
        <w:tc>
          <w:tcPr>
            <w:tcW w:w="2520" w:type="dxa"/>
            <w:tcBorders>
              <w:top w:val="nil"/>
              <w:left w:val="nil"/>
              <w:bottom w:val="single" w:sz="8" w:space="0" w:color="auto"/>
              <w:right w:val="single" w:sz="8" w:space="0" w:color="auto"/>
            </w:tcBorders>
            <w:shd w:val="clear" w:color="auto" w:fill="auto"/>
            <w:vAlign w:val="center"/>
            <w:hideMark/>
          </w:tcPr>
          <w:p w14:paraId="5CD98463"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09FEFE36"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0D75F936"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Data Collection Staff Prompt E-mail</w:t>
            </w:r>
          </w:p>
        </w:tc>
        <w:tc>
          <w:tcPr>
            <w:tcW w:w="900" w:type="dxa"/>
            <w:tcBorders>
              <w:top w:val="nil"/>
              <w:left w:val="nil"/>
              <w:bottom w:val="single" w:sz="8" w:space="0" w:color="auto"/>
              <w:right w:val="single" w:sz="8" w:space="0" w:color="auto"/>
            </w:tcBorders>
            <w:shd w:val="clear" w:color="auto" w:fill="auto"/>
            <w:vAlign w:val="center"/>
            <w:hideMark/>
          </w:tcPr>
          <w:p w14:paraId="01E6547A"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C-82</w:t>
            </w:r>
          </w:p>
        </w:tc>
        <w:tc>
          <w:tcPr>
            <w:tcW w:w="900" w:type="dxa"/>
            <w:tcBorders>
              <w:top w:val="nil"/>
              <w:left w:val="nil"/>
              <w:bottom w:val="single" w:sz="8" w:space="0" w:color="auto"/>
              <w:right w:val="single" w:sz="8" w:space="0" w:color="auto"/>
            </w:tcBorders>
            <w:shd w:val="clear" w:color="auto" w:fill="auto"/>
            <w:vAlign w:val="center"/>
            <w:hideMark/>
          </w:tcPr>
          <w:p w14:paraId="7C438736" w14:textId="67883935"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-66</w:t>
            </w:r>
          </w:p>
        </w:tc>
        <w:tc>
          <w:tcPr>
            <w:tcW w:w="2520" w:type="dxa"/>
            <w:tcBorders>
              <w:top w:val="nil"/>
              <w:left w:val="nil"/>
              <w:bottom w:val="single" w:sz="8" w:space="0" w:color="auto"/>
              <w:right w:val="single" w:sz="8" w:space="0" w:color="auto"/>
            </w:tcBorders>
            <w:shd w:val="clear" w:color="auto" w:fill="auto"/>
            <w:vAlign w:val="center"/>
            <w:hideMark/>
          </w:tcPr>
          <w:p w14:paraId="45A719FB"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Merge sentence added to remind of NPSAS participation, if applicable.</w:t>
            </w:r>
          </w:p>
        </w:tc>
        <w:tc>
          <w:tcPr>
            <w:tcW w:w="2610" w:type="dxa"/>
            <w:tcBorders>
              <w:top w:val="nil"/>
              <w:left w:val="nil"/>
              <w:bottom w:val="single" w:sz="8" w:space="0" w:color="auto"/>
              <w:right w:val="single" w:sz="8" w:space="0" w:color="auto"/>
            </w:tcBorders>
            <w:shd w:val="clear" w:color="auto" w:fill="auto"/>
            <w:vAlign w:val="center"/>
            <w:hideMark/>
          </w:tcPr>
          <w:p w14:paraId="369C8A3A"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Merge sentence added to remind of NPSAS participation, if applicable.</w:t>
            </w:r>
          </w:p>
        </w:tc>
        <w:tc>
          <w:tcPr>
            <w:tcW w:w="2520" w:type="dxa"/>
            <w:tcBorders>
              <w:top w:val="nil"/>
              <w:left w:val="nil"/>
              <w:bottom w:val="single" w:sz="8" w:space="0" w:color="auto"/>
              <w:right w:val="single" w:sz="8" w:space="0" w:color="auto"/>
            </w:tcBorders>
            <w:shd w:val="clear" w:color="auto" w:fill="auto"/>
            <w:vAlign w:val="center"/>
            <w:hideMark/>
          </w:tcPr>
          <w:p w14:paraId="2E6F96F5"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4DD91832"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166B22DB"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Unclaimed Prepaid PayPal E-mail</w:t>
            </w:r>
          </w:p>
        </w:tc>
        <w:tc>
          <w:tcPr>
            <w:tcW w:w="900" w:type="dxa"/>
            <w:tcBorders>
              <w:top w:val="nil"/>
              <w:left w:val="nil"/>
              <w:bottom w:val="single" w:sz="8" w:space="0" w:color="auto"/>
              <w:right w:val="single" w:sz="8" w:space="0" w:color="auto"/>
            </w:tcBorders>
            <w:shd w:val="clear" w:color="auto" w:fill="auto"/>
            <w:vAlign w:val="center"/>
            <w:hideMark/>
          </w:tcPr>
          <w:p w14:paraId="2724D8BE"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C-88</w:t>
            </w:r>
          </w:p>
        </w:tc>
        <w:tc>
          <w:tcPr>
            <w:tcW w:w="900" w:type="dxa"/>
            <w:tcBorders>
              <w:top w:val="nil"/>
              <w:left w:val="nil"/>
              <w:bottom w:val="single" w:sz="8" w:space="0" w:color="auto"/>
              <w:right w:val="single" w:sz="8" w:space="0" w:color="auto"/>
            </w:tcBorders>
            <w:shd w:val="clear" w:color="auto" w:fill="auto"/>
            <w:vAlign w:val="center"/>
            <w:hideMark/>
          </w:tcPr>
          <w:p w14:paraId="4B9BB8CE" w14:textId="6C119BA5"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-72</w:t>
            </w:r>
          </w:p>
        </w:tc>
        <w:tc>
          <w:tcPr>
            <w:tcW w:w="2520" w:type="dxa"/>
            <w:tcBorders>
              <w:top w:val="nil"/>
              <w:left w:val="nil"/>
              <w:bottom w:val="single" w:sz="8" w:space="0" w:color="auto"/>
              <w:right w:val="single" w:sz="8" w:space="0" w:color="auto"/>
            </w:tcBorders>
            <w:shd w:val="clear" w:color="auto" w:fill="auto"/>
            <w:vAlign w:val="center"/>
            <w:hideMark/>
          </w:tcPr>
          <w:p w14:paraId="300D9120"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Added text to alert us "if this email has reached you in error".</w:t>
            </w:r>
          </w:p>
        </w:tc>
        <w:tc>
          <w:tcPr>
            <w:tcW w:w="2610" w:type="dxa"/>
            <w:tcBorders>
              <w:top w:val="nil"/>
              <w:left w:val="nil"/>
              <w:bottom w:val="single" w:sz="8" w:space="0" w:color="auto"/>
              <w:right w:val="single" w:sz="8" w:space="0" w:color="auto"/>
            </w:tcBorders>
            <w:shd w:val="clear" w:color="auto" w:fill="auto"/>
            <w:vAlign w:val="center"/>
            <w:hideMark/>
          </w:tcPr>
          <w:p w14:paraId="13854DBF"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Encourage response if the email was sent to the wrong person.</w:t>
            </w:r>
          </w:p>
        </w:tc>
        <w:tc>
          <w:tcPr>
            <w:tcW w:w="2520" w:type="dxa"/>
            <w:tcBorders>
              <w:top w:val="nil"/>
              <w:left w:val="nil"/>
              <w:bottom w:val="single" w:sz="8" w:space="0" w:color="auto"/>
              <w:right w:val="single" w:sz="8" w:space="0" w:color="auto"/>
            </w:tcBorders>
            <w:shd w:val="clear" w:color="auto" w:fill="auto"/>
            <w:vAlign w:val="center"/>
            <w:hideMark/>
          </w:tcPr>
          <w:p w14:paraId="7C04590C"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659D6F4A"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1C82134D"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BPS:20/25 FT Panel Maintenance E-mail</w:t>
            </w:r>
          </w:p>
        </w:tc>
        <w:tc>
          <w:tcPr>
            <w:tcW w:w="900" w:type="dxa"/>
            <w:tcBorders>
              <w:top w:val="nil"/>
              <w:left w:val="nil"/>
              <w:bottom w:val="single" w:sz="8" w:space="0" w:color="auto"/>
              <w:right w:val="single" w:sz="8" w:space="0" w:color="auto"/>
            </w:tcBorders>
            <w:shd w:val="clear" w:color="auto" w:fill="auto"/>
            <w:vAlign w:val="center"/>
            <w:hideMark/>
          </w:tcPr>
          <w:p w14:paraId="452B4258"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C-92</w:t>
            </w:r>
          </w:p>
        </w:tc>
        <w:tc>
          <w:tcPr>
            <w:tcW w:w="900" w:type="dxa"/>
            <w:tcBorders>
              <w:top w:val="nil"/>
              <w:left w:val="nil"/>
              <w:bottom w:val="single" w:sz="8" w:space="0" w:color="auto"/>
              <w:right w:val="single" w:sz="8" w:space="0" w:color="auto"/>
            </w:tcBorders>
            <w:shd w:val="clear" w:color="auto" w:fill="auto"/>
            <w:vAlign w:val="center"/>
            <w:hideMark/>
          </w:tcPr>
          <w:p w14:paraId="279D0DDA" w14:textId="0E293343"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-76</w:t>
            </w:r>
          </w:p>
        </w:tc>
        <w:tc>
          <w:tcPr>
            <w:tcW w:w="2520" w:type="dxa"/>
            <w:tcBorders>
              <w:top w:val="nil"/>
              <w:left w:val="nil"/>
              <w:bottom w:val="single" w:sz="8" w:space="0" w:color="auto"/>
              <w:right w:val="single" w:sz="8" w:space="0" w:color="auto"/>
            </w:tcBorders>
            <w:shd w:val="clear" w:color="auto" w:fill="auto"/>
            <w:vAlign w:val="center"/>
            <w:hideMark/>
          </w:tcPr>
          <w:p w14:paraId="4F291C8A"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Updated email and website for BPS:20/25 FT Panel Maintenance</w:t>
            </w:r>
          </w:p>
        </w:tc>
        <w:tc>
          <w:tcPr>
            <w:tcW w:w="2610" w:type="dxa"/>
            <w:tcBorders>
              <w:top w:val="nil"/>
              <w:left w:val="nil"/>
              <w:bottom w:val="single" w:sz="8" w:space="0" w:color="auto"/>
              <w:right w:val="single" w:sz="8" w:space="0" w:color="auto"/>
            </w:tcBorders>
            <w:shd w:val="clear" w:color="auto" w:fill="auto"/>
            <w:vAlign w:val="center"/>
            <w:hideMark/>
          </w:tcPr>
          <w:p w14:paraId="7738CABF"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Updated email for BPS:20/25 FT and minor updates needed for the website</w:t>
            </w:r>
          </w:p>
        </w:tc>
        <w:tc>
          <w:tcPr>
            <w:tcW w:w="2520" w:type="dxa"/>
            <w:tcBorders>
              <w:top w:val="nil"/>
              <w:left w:val="nil"/>
              <w:bottom w:val="single" w:sz="8" w:space="0" w:color="auto"/>
              <w:right w:val="single" w:sz="8" w:space="0" w:color="auto"/>
            </w:tcBorders>
            <w:shd w:val="clear" w:color="auto" w:fill="auto"/>
            <w:vAlign w:val="center"/>
            <w:hideMark/>
          </w:tcPr>
          <w:p w14:paraId="58C701D0" w14:textId="0FE7BC0E" w:rsidR="00217829" w:rsidRPr="00217829" w:rsidRDefault="00D12BF0" w:rsidP="00217829">
            <w:pPr>
              <w:rPr>
                <w:rFonts w:ascii="Calibri" w:hAnsi="Calibri" w:cs="Calibri"/>
                <w:color w:val="000000"/>
                <w:sz w:val="20"/>
                <w:szCs w:val="20"/>
              </w:rPr>
            </w:pPr>
            <w:r>
              <w:rPr>
                <w:rFonts w:ascii="Calibri" w:hAnsi="Calibri" w:cs="Calibri"/>
                <w:color w:val="000000"/>
                <w:sz w:val="20"/>
                <w:szCs w:val="20"/>
              </w:rPr>
              <w:t>Added additional minor update needed for the website.</w:t>
            </w:r>
          </w:p>
        </w:tc>
      </w:tr>
      <w:tr w:rsidR="00217829" w:rsidRPr="00217829" w14:paraId="5085A185"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63C344D8"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Reminder Postcard 3</w:t>
            </w:r>
          </w:p>
        </w:tc>
        <w:tc>
          <w:tcPr>
            <w:tcW w:w="900" w:type="dxa"/>
            <w:tcBorders>
              <w:top w:val="nil"/>
              <w:left w:val="nil"/>
              <w:bottom w:val="single" w:sz="8" w:space="0" w:color="auto"/>
              <w:right w:val="single" w:sz="8" w:space="0" w:color="auto"/>
            </w:tcBorders>
            <w:shd w:val="clear" w:color="auto" w:fill="auto"/>
            <w:vAlign w:val="center"/>
            <w:hideMark/>
          </w:tcPr>
          <w:p w14:paraId="5534FFF0"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C-94</w:t>
            </w:r>
          </w:p>
        </w:tc>
        <w:tc>
          <w:tcPr>
            <w:tcW w:w="900" w:type="dxa"/>
            <w:tcBorders>
              <w:top w:val="nil"/>
              <w:left w:val="nil"/>
              <w:bottom w:val="single" w:sz="8" w:space="0" w:color="auto"/>
              <w:right w:val="single" w:sz="8" w:space="0" w:color="auto"/>
            </w:tcBorders>
            <w:shd w:val="clear" w:color="auto" w:fill="auto"/>
            <w:vAlign w:val="center"/>
            <w:hideMark/>
          </w:tcPr>
          <w:p w14:paraId="6D4B827C" w14:textId="6A824051"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-80</w:t>
            </w:r>
          </w:p>
        </w:tc>
        <w:tc>
          <w:tcPr>
            <w:tcW w:w="2520" w:type="dxa"/>
            <w:tcBorders>
              <w:top w:val="nil"/>
              <w:left w:val="nil"/>
              <w:bottom w:val="single" w:sz="8" w:space="0" w:color="auto"/>
              <w:right w:val="single" w:sz="8" w:space="0" w:color="auto"/>
            </w:tcBorders>
            <w:shd w:val="clear" w:color="auto" w:fill="auto"/>
            <w:vAlign w:val="center"/>
            <w:hideMark/>
          </w:tcPr>
          <w:p w14:paraId="04D9C942"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Updated text of email</w:t>
            </w:r>
          </w:p>
        </w:tc>
        <w:tc>
          <w:tcPr>
            <w:tcW w:w="2610" w:type="dxa"/>
            <w:tcBorders>
              <w:top w:val="nil"/>
              <w:left w:val="nil"/>
              <w:bottom w:val="single" w:sz="8" w:space="0" w:color="auto"/>
              <w:right w:val="single" w:sz="8" w:space="0" w:color="auto"/>
            </w:tcBorders>
            <w:shd w:val="clear" w:color="auto" w:fill="auto"/>
            <w:vAlign w:val="center"/>
            <w:hideMark/>
          </w:tcPr>
          <w:p w14:paraId="320AA658"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Clarify that scanning the QR code provides access to the survey.</w:t>
            </w:r>
          </w:p>
        </w:tc>
        <w:tc>
          <w:tcPr>
            <w:tcW w:w="2520" w:type="dxa"/>
            <w:tcBorders>
              <w:top w:val="nil"/>
              <w:left w:val="nil"/>
              <w:bottom w:val="single" w:sz="8" w:space="0" w:color="auto"/>
              <w:right w:val="single" w:sz="8" w:space="0" w:color="auto"/>
            </w:tcBorders>
            <w:shd w:val="clear" w:color="auto" w:fill="auto"/>
            <w:vAlign w:val="center"/>
            <w:hideMark/>
          </w:tcPr>
          <w:p w14:paraId="5D9C4EBD"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4B830812"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319244A2"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As Needed Postcard 1 (Incentive Eligible)</w:t>
            </w:r>
          </w:p>
        </w:tc>
        <w:tc>
          <w:tcPr>
            <w:tcW w:w="900" w:type="dxa"/>
            <w:tcBorders>
              <w:top w:val="nil"/>
              <w:left w:val="nil"/>
              <w:bottom w:val="single" w:sz="8" w:space="0" w:color="auto"/>
              <w:right w:val="single" w:sz="8" w:space="0" w:color="auto"/>
            </w:tcBorders>
            <w:shd w:val="clear" w:color="auto" w:fill="auto"/>
            <w:vAlign w:val="center"/>
            <w:hideMark/>
          </w:tcPr>
          <w:p w14:paraId="535FC21C"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C-94</w:t>
            </w:r>
          </w:p>
        </w:tc>
        <w:tc>
          <w:tcPr>
            <w:tcW w:w="900" w:type="dxa"/>
            <w:tcBorders>
              <w:top w:val="nil"/>
              <w:left w:val="nil"/>
              <w:bottom w:val="single" w:sz="8" w:space="0" w:color="auto"/>
              <w:right w:val="single" w:sz="8" w:space="0" w:color="auto"/>
            </w:tcBorders>
            <w:shd w:val="clear" w:color="auto" w:fill="auto"/>
            <w:vAlign w:val="center"/>
            <w:hideMark/>
          </w:tcPr>
          <w:p w14:paraId="1BA67C0C" w14:textId="35FD402E"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-80</w:t>
            </w:r>
          </w:p>
        </w:tc>
        <w:tc>
          <w:tcPr>
            <w:tcW w:w="2520" w:type="dxa"/>
            <w:tcBorders>
              <w:top w:val="nil"/>
              <w:left w:val="nil"/>
              <w:bottom w:val="single" w:sz="8" w:space="0" w:color="auto"/>
              <w:right w:val="single" w:sz="8" w:space="0" w:color="auto"/>
            </w:tcBorders>
            <w:shd w:val="clear" w:color="auto" w:fill="auto"/>
            <w:vAlign w:val="center"/>
            <w:hideMark/>
          </w:tcPr>
          <w:p w14:paraId="5CF1A3F6"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Added merge fields so postcard can be sent to incentive ineligible cases.</w:t>
            </w:r>
          </w:p>
        </w:tc>
        <w:tc>
          <w:tcPr>
            <w:tcW w:w="2610" w:type="dxa"/>
            <w:tcBorders>
              <w:top w:val="nil"/>
              <w:left w:val="nil"/>
              <w:bottom w:val="single" w:sz="8" w:space="0" w:color="auto"/>
              <w:right w:val="single" w:sz="8" w:space="0" w:color="auto"/>
            </w:tcBorders>
            <w:shd w:val="clear" w:color="auto" w:fill="auto"/>
            <w:vAlign w:val="center"/>
            <w:hideMark/>
          </w:tcPr>
          <w:p w14:paraId="3D2BF8C6"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Update to make applicable to incentive ineligible cases.</w:t>
            </w:r>
          </w:p>
        </w:tc>
        <w:tc>
          <w:tcPr>
            <w:tcW w:w="2520" w:type="dxa"/>
            <w:tcBorders>
              <w:top w:val="nil"/>
              <w:left w:val="nil"/>
              <w:bottom w:val="single" w:sz="8" w:space="0" w:color="auto"/>
              <w:right w:val="single" w:sz="8" w:space="0" w:color="auto"/>
            </w:tcBorders>
            <w:shd w:val="clear" w:color="auto" w:fill="auto"/>
            <w:vAlign w:val="center"/>
            <w:hideMark/>
          </w:tcPr>
          <w:p w14:paraId="5AF386B1"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6FA48F5E"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7CD97739"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BPS:20/25 FT Panel Maintenance Postcard</w:t>
            </w:r>
          </w:p>
        </w:tc>
        <w:tc>
          <w:tcPr>
            <w:tcW w:w="900" w:type="dxa"/>
            <w:tcBorders>
              <w:top w:val="nil"/>
              <w:left w:val="nil"/>
              <w:bottom w:val="single" w:sz="8" w:space="0" w:color="auto"/>
              <w:right w:val="single" w:sz="8" w:space="0" w:color="auto"/>
            </w:tcBorders>
            <w:shd w:val="clear" w:color="auto" w:fill="auto"/>
            <w:vAlign w:val="center"/>
            <w:hideMark/>
          </w:tcPr>
          <w:p w14:paraId="3DBFB9FF"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C-101</w:t>
            </w:r>
          </w:p>
        </w:tc>
        <w:tc>
          <w:tcPr>
            <w:tcW w:w="900" w:type="dxa"/>
            <w:tcBorders>
              <w:top w:val="nil"/>
              <w:left w:val="nil"/>
              <w:bottom w:val="single" w:sz="8" w:space="0" w:color="auto"/>
              <w:right w:val="single" w:sz="8" w:space="0" w:color="auto"/>
            </w:tcBorders>
            <w:shd w:val="clear" w:color="auto" w:fill="auto"/>
            <w:vAlign w:val="center"/>
            <w:hideMark/>
          </w:tcPr>
          <w:p w14:paraId="7F4F41E0" w14:textId="7C3A31A6"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-87</w:t>
            </w:r>
          </w:p>
        </w:tc>
        <w:tc>
          <w:tcPr>
            <w:tcW w:w="2520" w:type="dxa"/>
            <w:tcBorders>
              <w:top w:val="nil"/>
              <w:left w:val="nil"/>
              <w:bottom w:val="single" w:sz="8" w:space="0" w:color="auto"/>
              <w:right w:val="single" w:sz="8" w:space="0" w:color="auto"/>
            </w:tcBorders>
            <w:shd w:val="clear" w:color="auto" w:fill="auto"/>
            <w:vAlign w:val="center"/>
            <w:hideMark/>
          </w:tcPr>
          <w:p w14:paraId="1E9F3134"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Updated postcard for BPS:20/25 FT Panel Maintenance</w:t>
            </w:r>
          </w:p>
        </w:tc>
        <w:tc>
          <w:tcPr>
            <w:tcW w:w="2610" w:type="dxa"/>
            <w:tcBorders>
              <w:top w:val="nil"/>
              <w:left w:val="nil"/>
              <w:bottom w:val="single" w:sz="8" w:space="0" w:color="auto"/>
              <w:right w:val="single" w:sz="8" w:space="0" w:color="auto"/>
            </w:tcBorders>
            <w:shd w:val="clear" w:color="auto" w:fill="auto"/>
            <w:vAlign w:val="center"/>
            <w:hideMark/>
          </w:tcPr>
          <w:p w14:paraId="5C2F510F" w14:textId="1A93938E"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Updated </w:t>
            </w:r>
            <w:r w:rsidR="003D1395" w:rsidRPr="00217829">
              <w:rPr>
                <w:rFonts w:ascii="Calibri" w:hAnsi="Calibri" w:cs="Calibri"/>
                <w:color w:val="000000"/>
                <w:sz w:val="20"/>
                <w:szCs w:val="20"/>
              </w:rPr>
              <w:t>postcard for</w:t>
            </w:r>
            <w:r w:rsidRPr="00217829">
              <w:rPr>
                <w:rFonts w:ascii="Calibri" w:hAnsi="Calibri" w:cs="Calibri"/>
                <w:color w:val="000000"/>
                <w:sz w:val="20"/>
                <w:szCs w:val="20"/>
              </w:rPr>
              <w:t xml:space="preserve"> BPS:20/25 FT </w:t>
            </w:r>
          </w:p>
        </w:tc>
        <w:tc>
          <w:tcPr>
            <w:tcW w:w="2520" w:type="dxa"/>
            <w:tcBorders>
              <w:top w:val="nil"/>
              <w:left w:val="nil"/>
              <w:bottom w:val="single" w:sz="8" w:space="0" w:color="auto"/>
              <w:right w:val="single" w:sz="8" w:space="0" w:color="auto"/>
            </w:tcBorders>
            <w:shd w:val="clear" w:color="auto" w:fill="auto"/>
            <w:vAlign w:val="center"/>
            <w:hideMark/>
          </w:tcPr>
          <w:p w14:paraId="1E459CFE"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1CC0A5B5"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171CF3D9"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End of Early Bird Text Reminder</w:t>
            </w:r>
          </w:p>
        </w:tc>
        <w:tc>
          <w:tcPr>
            <w:tcW w:w="900" w:type="dxa"/>
            <w:tcBorders>
              <w:top w:val="nil"/>
              <w:left w:val="nil"/>
              <w:bottom w:val="single" w:sz="8" w:space="0" w:color="auto"/>
              <w:right w:val="single" w:sz="8" w:space="0" w:color="auto"/>
            </w:tcBorders>
            <w:shd w:val="clear" w:color="auto" w:fill="auto"/>
            <w:vAlign w:val="center"/>
            <w:hideMark/>
          </w:tcPr>
          <w:p w14:paraId="4CC3987C"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C-105</w:t>
            </w:r>
          </w:p>
        </w:tc>
        <w:tc>
          <w:tcPr>
            <w:tcW w:w="900" w:type="dxa"/>
            <w:tcBorders>
              <w:top w:val="nil"/>
              <w:left w:val="nil"/>
              <w:bottom w:val="single" w:sz="8" w:space="0" w:color="auto"/>
              <w:right w:val="single" w:sz="8" w:space="0" w:color="auto"/>
            </w:tcBorders>
            <w:shd w:val="clear" w:color="auto" w:fill="auto"/>
            <w:vAlign w:val="center"/>
            <w:hideMark/>
          </w:tcPr>
          <w:p w14:paraId="06BD9FEC" w14:textId="77777777" w:rsidR="00217829" w:rsidRPr="00217829" w:rsidRDefault="00217829" w:rsidP="00217829">
            <w:pPr>
              <w:jc w:val="center"/>
              <w:rPr>
                <w:rFonts w:ascii="Calibri" w:hAnsi="Calibri" w:cs="Calibri"/>
                <w:color w:val="FF0000"/>
                <w:sz w:val="20"/>
                <w:szCs w:val="20"/>
              </w:rPr>
            </w:pPr>
            <w:r w:rsidRPr="00217829">
              <w:rPr>
                <w:rFonts w:ascii="Calibri" w:hAnsi="Calibri" w:cs="Calibri"/>
                <w:color w:val="FF0000"/>
                <w:sz w:val="20"/>
                <w:szCs w:val="20"/>
              </w:rPr>
              <w:t>N/A</w:t>
            </w:r>
          </w:p>
        </w:tc>
        <w:tc>
          <w:tcPr>
            <w:tcW w:w="2520" w:type="dxa"/>
            <w:tcBorders>
              <w:top w:val="nil"/>
              <w:left w:val="nil"/>
              <w:bottom w:val="single" w:sz="8" w:space="0" w:color="auto"/>
              <w:right w:val="single" w:sz="8" w:space="0" w:color="auto"/>
            </w:tcBorders>
            <w:shd w:val="clear" w:color="auto" w:fill="auto"/>
            <w:vAlign w:val="center"/>
            <w:hideMark/>
          </w:tcPr>
          <w:p w14:paraId="33ACD02A"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Deleted contact</w:t>
            </w:r>
          </w:p>
        </w:tc>
        <w:tc>
          <w:tcPr>
            <w:tcW w:w="2610" w:type="dxa"/>
            <w:tcBorders>
              <w:top w:val="nil"/>
              <w:left w:val="nil"/>
              <w:bottom w:val="single" w:sz="8" w:space="0" w:color="auto"/>
              <w:right w:val="single" w:sz="8" w:space="0" w:color="auto"/>
            </w:tcBorders>
            <w:shd w:val="clear" w:color="auto" w:fill="auto"/>
            <w:vAlign w:val="center"/>
            <w:hideMark/>
          </w:tcPr>
          <w:p w14:paraId="07BAB447"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No early bird incentive offered</w:t>
            </w:r>
          </w:p>
        </w:tc>
        <w:tc>
          <w:tcPr>
            <w:tcW w:w="2520" w:type="dxa"/>
            <w:tcBorders>
              <w:top w:val="nil"/>
              <w:left w:val="nil"/>
              <w:bottom w:val="single" w:sz="8" w:space="0" w:color="auto"/>
              <w:right w:val="single" w:sz="8" w:space="0" w:color="auto"/>
            </w:tcBorders>
            <w:shd w:val="clear" w:color="auto" w:fill="auto"/>
            <w:vAlign w:val="center"/>
            <w:hideMark/>
          </w:tcPr>
          <w:p w14:paraId="20A2B32E"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4DBDA496"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25A1DADC"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Prepaid Text Reminder</w:t>
            </w:r>
          </w:p>
        </w:tc>
        <w:tc>
          <w:tcPr>
            <w:tcW w:w="900" w:type="dxa"/>
            <w:tcBorders>
              <w:top w:val="nil"/>
              <w:left w:val="nil"/>
              <w:bottom w:val="single" w:sz="8" w:space="0" w:color="auto"/>
              <w:right w:val="single" w:sz="8" w:space="0" w:color="auto"/>
            </w:tcBorders>
            <w:shd w:val="clear" w:color="auto" w:fill="auto"/>
            <w:vAlign w:val="center"/>
            <w:hideMark/>
          </w:tcPr>
          <w:p w14:paraId="4D55F60C"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C-105</w:t>
            </w:r>
          </w:p>
        </w:tc>
        <w:tc>
          <w:tcPr>
            <w:tcW w:w="900" w:type="dxa"/>
            <w:tcBorders>
              <w:top w:val="nil"/>
              <w:left w:val="nil"/>
              <w:bottom w:val="single" w:sz="8" w:space="0" w:color="auto"/>
              <w:right w:val="single" w:sz="8" w:space="0" w:color="auto"/>
            </w:tcBorders>
            <w:shd w:val="clear" w:color="auto" w:fill="auto"/>
            <w:vAlign w:val="center"/>
            <w:hideMark/>
          </w:tcPr>
          <w:p w14:paraId="75CD192D" w14:textId="25D7E7C9"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-91</w:t>
            </w:r>
          </w:p>
        </w:tc>
        <w:tc>
          <w:tcPr>
            <w:tcW w:w="2520" w:type="dxa"/>
            <w:tcBorders>
              <w:top w:val="nil"/>
              <w:left w:val="nil"/>
              <w:bottom w:val="single" w:sz="8" w:space="0" w:color="auto"/>
              <w:right w:val="single" w:sz="8" w:space="0" w:color="auto"/>
            </w:tcBorders>
            <w:shd w:val="clear" w:color="auto" w:fill="auto"/>
            <w:vAlign w:val="center"/>
            <w:hideMark/>
          </w:tcPr>
          <w:p w14:paraId="584BC5FD"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Updated text to be applicable for $2 prepaid incentive</w:t>
            </w:r>
          </w:p>
        </w:tc>
        <w:tc>
          <w:tcPr>
            <w:tcW w:w="2610" w:type="dxa"/>
            <w:tcBorders>
              <w:top w:val="nil"/>
              <w:left w:val="nil"/>
              <w:bottom w:val="single" w:sz="8" w:space="0" w:color="auto"/>
              <w:right w:val="single" w:sz="8" w:space="0" w:color="auto"/>
            </w:tcBorders>
            <w:shd w:val="clear" w:color="auto" w:fill="auto"/>
            <w:vAlign w:val="center"/>
            <w:hideMark/>
          </w:tcPr>
          <w:p w14:paraId="6DF75173"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Removed reference to prepaid boost incentive. </w:t>
            </w:r>
          </w:p>
        </w:tc>
        <w:tc>
          <w:tcPr>
            <w:tcW w:w="2520" w:type="dxa"/>
            <w:tcBorders>
              <w:top w:val="nil"/>
              <w:left w:val="nil"/>
              <w:bottom w:val="single" w:sz="8" w:space="0" w:color="auto"/>
              <w:right w:val="single" w:sz="8" w:space="0" w:color="auto"/>
            </w:tcBorders>
            <w:shd w:val="clear" w:color="auto" w:fill="auto"/>
            <w:vAlign w:val="center"/>
            <w:hideMark/>
          </w:tcPr>
          <w:p w14:paraId="43FCA11D"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216DC2BA"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7F5FDA2B"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Re-Interview Texts</w:t>
            </w:r>
          </w:p>
        </w:tc>
        <w:tc>
          <w:tcPr>
            <w:tcW w:w="900" w:type="dxa"/>
            <w:tcBorders>
              <w:top w:val="nil"/>
              <w:left w:val="nil"/>
              <w:bottom w:val="single" w:sz="8" w:space="0" w:color="auto"/>
              <w:right w:val="single" w:sz="8" w:space="0" w:color="auto"/>
            </w:tcBorders>
            <w:shd w:val="clear" w:color="auto" w:fill="auto"/>
            <w:vAlign w:val="center"/>
            <w:hideMark/>
          </w:tcPr>
          <w:p w14:paraId="1B418EFF"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C-106</w:t>
            </w:r>
          </w:p>
        </w:tc>
        <w:tc>
          <w:tcPr>
            <w:tcW w:w="900" w:type="dxa"/>
            <w:tcBorders>
              <w:top w:val="nil"/>
              <w:left w:val="nil"/>
              <w:bottom w:val="single" w:sz="8" w:space="0" w:color="auto"/>
              <w:right w:val="single" w:sz="8" w:space="0" w:color="auto"/>
            </w:tcBorders>
            <w:shd w:val="clear" w:color="auto" w:fill="auto"/>
            <w:vAlign w:val="center"/>
            <w:hideMark/>
          </w:tcPr>
          <w:p w14:paraId="3D178B5A" w14:textId="77777777" w:rsidR="00217829" w:rsidRPr="00217829" w:rsidRDefault="00217829" w:rsidP="00217829">
            <w:pPr>
              <w:jc w:val="center"/>
              <w:rPr>
                <w:rFonts w:ascii="Calibri" w:hAnsi="Calibri" w:cs="Calibri"/>
                <w:color w:val="FF0000"/>
                <w:sz w:val="20"/>
                <w:szCs w:val="20"/>
              </w:rPr>
            </w:pPr>
            <w:r w:rsidRPr="00217829">
              <w:rPr>
                <w:rFonts w:ascii="Calibri" w:hAnsi="Calibri" w:cs="Calibri"/>
                <w:color w:val="FF0000"/>
                <w:sz w:val="20"/>
                <w:szCs w:val="20"/>
              </w:rPr>
              <w:t>N/A</w:t>
            </w:r>
          </w:p>
        </w:tc>
        <w:tc>
          <w:tcPr>
            <w:tcW w:w="2520" w:type="dxa"/>
            <w:tcBorders>
              <w:top w:val="nil"/>
              <w:left w:val="nil"/>
              <w:bottom w:val="single" w:sz="8" w:space="0" w:color="auto"/>
              <w:right w:val="single" w:sz="8" w:space="0" w:color="auto"/>
            </w:tcBorders>
            <w:shd w:val="clear" w:color="auto" w:fill="auto"/>
            <w:vAlign w:val="center"/>
            <w:hideMark/>
          </w:tcPr>
          <w:p w14:paraId="4B49D6CF"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Deleted contact</w:t>
            </w:r>
          </w:p>
        </w:tc>
        <w:tc>
          <w:tcPr>
            <w:tcW w:w="2610" w:type="dxa"/>
            <w:tcBorders>
              <w:top w:val="nil"/>
              <w:left w:val="nil"/>
              <w:bottom w:val="single" w:sz="8" w:space="0" w:color="auto"/>
              <w:right w:val="single" w:sz="8" w:space="0" w:color="auto"/>
            </w:tcBorders>
            <w:shd w:val="clear" w:color="auto" w:fill="auto"/>
            <w:vAlign w:val="center"/>
            <w:hideMark/>
          </w:tcPr>
          <w:p w14:paraId="6AC2983E" w14:textId="39B5C0A5"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Deleted Reinterview </w:t>
            </w:r>
            <w:r w:rsidR="003D1395" w:rsidRPr="00217829">
              <w:rPr>
                <w:rFonts w:ascii="Calibri" w:hAnsi="Calibri" w:cs="Calibri"/>
                <w:color w:val="000000"/>
                <w:sz w:val="20"/>
                <w:szCs w:val="20"/>
              </w:rPr>
              <w:t>Initial</w:t>
            </w:r>
            <w:r w:rsidRPr="00217829">
              <w:rPr>
                <w:rFonts w:ascii="Calibri" w:hAnsi="Calibri" w:cs="Calibri"/>
                <w:color w:val="000000"/>
                <w:sz w:val="20"/>
                <w:szCs w:val="20"/>
              </w:rPr>
              <w:t xml:space="preserve"> Text, Reminder 1, Reminder 2</w:t>
            </w:r>
          </w:p>
        </w:tc>
        <w:tc>
          <w:tcPr>
            <w:tcW w:w="2520" w:type="dxa"/>
            <w:tcBorders>
              <w:top w:val="nil"/>
              <w:left w:val="nil"/>
              <w:bottom w:val="single" w:sz="8" w:space="0" w:color="auto"/>
              <w:right w:val="single" w:sz="8" w:space="0" w:color="auto"/>
            </w:tcBorders>
            <w:shd w:val="clear" w:color="auto" w:fill="auto"/>
            <w:vAlign w:val="center"/>
            <w:hideMark/>
          </w:tcPr>
          <w:p w14:paraId="46576295"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265DDFA2"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0AD40FD2"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Data Collection Extension Text Reminder</w:t>
            </w:r>
          </w:p>
        </w:tc>
        <w:tc>
          <w:tcPr>
            <w:tcW w:w="900" w:type="dxa"/>
            <w:tcBorders>
              <w:top w:val="nil"/>
              <w:left w:val="nil"/>
              <w:bottom w:val="single" w:sz="8" w:space="0" w:color="auto"/>
              <w:right w:val="single" w:sz="8" w:space="0" w:color="auto"/>
            </w:tcBorders>
            <w:shd w:val="clear" w:color="auto" w:fill="auto"/>
            <w:vAlign w:val="center"/>
            <w:hideMark/>
          </w:tcPr>
          <w:p w14:paraId="046FB240"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C-106</w:t>
            </w:r>
          </w:p>
        </w:tc>
        <w:tc>
          <w:tcPr>
            <w:tcW w:w="900" w:type="dxa"/>
            <w:tcBorders>
              <w:top w:val="nil"/>
              <w:left w:val="nil"/>
              <w:bottom w:val="single" w:sz="8" w:space="0" w:color="auto"/>
              <w:right w:val="single" w:sz="8" w:space="0" w:color="auto"/>
            </w:tcBorders>
            <w:shd w:val="clear" w:color="auto" w:fill="auto"/>
            <w:vAlign w:val="center"/>
            <w:hideMark/>
          </w:tcPr>
          <w:p w14:paraId="4C15F540" w14:textId="4DC93631"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-92</w:t>
            </w:r>
          </w:p>
        </w:tc>
        <w:tc>
          <w:tcPr>
            <w:tcW w:w="2520" w:type="dxa"/>
            <w:tcBorders>
              <w:top w:val="nil"/>
              <w:left w:val="nil"/>
              <w:bottom w:val="single" w:sz="8" w:space="0" w:color="auto"/>
              <w:right w:val="single" w:sz="8" w:space="0" w:color="auto"/>
            </w:tcBorders>
            <w:shd w:val="clear" w:color="auto" w:fill="auto"/>
            <w:vAlign w:val="center"/>
            <w:hideMark/>
          </w:tcPr>
          <w:p w14:paraId="016E7457"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Minor wording update.</w:t>
            </w:r>
          </w:p>
        </w:tc>
        <w:tc>
          <w:tcPr>
            <w:tcW w:w="2610" w:type="dxa"/>
            <w:tcBorders>
              <w:top w:val="nil"/>
              <w:left w:val="nil"/>
              <w:bottom w:val="single" w:sz="8" w:space="0" w:color="auto"/>
              <w:right w:val="single" w:sz="8" w:space="0" w:color="auto"/>
            </w:tcBorders>
            <w:shd w:val="clear" w:color="auto" w:fill="auto"/>
            <w:vAlign w:val="center"/>
            <w:hideMark/>
          </w:tcPr>
          <w:p w14:paraId="0571EA27"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Clarification that we have extended the deadline for participation in BPS </w:t>
            </w:r>
          </w:p>
        </w:tc>
        <w:tc>
          <w:tcPr>
            <w:tcW w:w="2520" w:type="dxa"/>
            <w:tcBorders>
              <w:top w:val="nil"/>
              <w:left w:val="nil"/>
              <w:bottom w:val="single" w:sz="8" w:space="0" w:color="auto"/>
              <w:right w:val="single" w:sz="8" w:space="0" w:color="auto"/>
            </w:tcBorders>
            <w:shd w:val="clear" w:color="auto" w:fill="auto"/>
            <w:vAlign w:val="center"/>
            <w:hideMark/>
          </w:tcPr>
          <w:p w14:paraId="7E3084A6"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68D5B921"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7A58FFB9"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Interesting Facts—Trend Data </w:t>
            </w:r>
          </w:p>
        </w:tc>
        <w:tc>
          <w:tcPr>
            <w:tcW w:w="900" w:type="dxa"/>
            <w:tcBorders>
              <w:top w:val="nil"/>
              <w:left w:val="nil"/>
              <w:bottom w:val="single" w:sz="8" w:space="0" w:color="auto"/>
              <w:right w:val="single" w:sz="8" w:space="0" w:color="auto"/>
            </w:tcBorders>
            <w:shd w:val="clear" w:color="auto" w:fill="auto"/>
            <w:vAlign w:val="center"/>
            <w:hideMark/>
          </w:tcPr>
          <w:p w14:paraId="43574D0D"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C-109</w:t>
            </w:r>
          </w:p>
        </w:tc>
        <w:tc>
          <w:tcPr>
            <w:tcW w:w="900" w:type="dxa"/>
            <w:tcBorders>
              <w:top w:val="nil"/>
              <w:left w:val="nil"/>
              <w:bottom w:val="single" w:sz="8" w:space="0" w:color="auto"/>
              <w:right w:val="single" w:sz="8" w:space="0" w:color="auto"/>
            </w:tcBorders>
            <w:shd w:val="clear" w:color="auto" w:fill="auto"/>
            <w:vAlign w:val="center"/>
            <w:hideMark/>
          </w:tcPr>
          <w:p w14:paraId="0733B47B" w14:textId="010DC3A7"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-9</w:t>
            </w:r>
            <w:r w:rsidR="00A94EC4">
              <w:rPr>
                <w:rFonts w:ascii="Calibri" w:hAnsi="Calibri" w:cs="Calibri"/>
                <w:color w:val="000000"/>
                <w:sz w:val="20"/>
                <w:szCs w:val="20"/>
              </w:rPr>
              <w:t>4</w:t>
            </w:r>
          </w:p>
        </w:tc>
        <w:tc>
          <w:tcPr>
            <w:tcW w:w="2520" w:type="dxa"/>
            <w:tcBorders>
              <w:top w:val="nil"/>
              <w:left w:val="nil"/>
              <w:bottom w:val="single" w:sz="8" w:space="0" w:color="auto"/>
              <w:right w:val="single" w:sz="8" w:space="0" w:color="auto"/>
            </w:tcBorders>
            <w:shd w:val="clear" w:color="auto" w:fill="auto"/>
            <w:vAlign w:val="center"/>
            <w:hideMark/>
          </w:tcPr>
          <w:p w14:paraId="659F9478"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Rephrased fact 11 for clarity. </w:t>
            </w:r>
          </w:p>
        </w:tc>
        <w:tc>
          <w:tcPr>
            <w:tcW w:w="2610" w:type="dxa"/>
            <w:tcBorders>
              <w:top w:val="nil"/>
              <w:left w:val="nil"/>
              <w:bottom w:val="single" w:sz="8" w:space="0" w:color="auto"/>
              <w:right w:val="single" w:sz="8" w:space="0" w:color="auto"/>
            </w:tcBorders>
            <w:shd w:val="clear" w:color="auto" w:fill="auto"/>
            <w:vAlign w:val="center"/>
            <w:hideMark/>
          </w:tcPr>
          <w:p w14:paraId="360FABDE"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c>
          <w:tcPr>
            <w:tcW w:w="2520" w:type="dxa"/>
            <w:tcBorders>
              <w:top w:val="nil"/>
              <w:left w:val="nil"/>
              <w:bottom w:val="single" w:sz="8" w:space="0" w:color="auto"/>
              <w:right w:val="single" w:sz="8" w:space="0" w:color="auto"/>
            </w:tcBorders>
            <w:shd w:val="clear" w:color="auto" w:fill="auto"/>
            <w:vAlign w:val="center"/>
            <w:hideMark/>
          </w:tcPr>
          <w:p w14:paraId="1241292F"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On average, first-time beginning college students who entered postsecondary </w:t>
            </w:r>
            <w:r w:rsidRPr="00217829">
              <w:rPr>
                <w:rFonts w:ascii="Calibri" w:hAnsi="Calibri" w:cs="Calibri"/>
                <w:color w:val="000000"/>
                <w:sz w:val="20"/>
                <w:szCs w:val="20"/>
              </w:rPr>
              <w:lastRenderedPageBreak/>
              <w:t>education in 2011–12 attended 1.5 postsecondary institutions by June of 2014.</w:t>
            </w:r>
          </w:p>
        </w:tc>
      </w:tr>
      <w:tr w:rsidR="00217829" w:rsidRPr="00217829" w14:paraId="2E11A4D4" w14:textId="77777777" w:rsidTr="00217829">
        <w:trPr>
          <w:trHeight w:val="1260"/>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6A2C04A5"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lastRenderedPageBreak/>
              <w:t>Letter Merge Fields Interesting Facts</w:t>
            </w:r>
          </w:p>
        </w:tc>
        <w:tc>
          <w:tcPr>
            <w:tcW w:w="900" w:type="dxa"/>
            <w:tcBorders>
              <w:top w:val="nil"/>
              <w:left w:val="nil"/>
              <w:bottom w:val="single" w:sz="8" w:space="0" w:color="auto"/>
              <w:right w:val="single" w:sz="8" w:space="0" w:color="auto"/>
            </w:tcBorders>
            <w:shd w:val="clear" w:color="auto" w:fill="auto"/>
            <w:vAlign w:val="center"/>
            <w:hideMark/>
          </w:tcPr>
          <w:p w14:paraId="35BB3018"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C-110</w:t>
            </w:r>
          </w:p>
        </w:tc>
        <w:tc>
          <w:tcPr>
            <w:tcW w:w="900" w:type="dxa"/>
            <w:tcBorders>
              <w:top w:val="nil"/>
              <w:left w:val="nil"/>
              <w:bottom w:val="single" w:sz="8" w:space="0" w:color="auto"/>
              <w:right w:val="single" w:sz="8" w:space="0" w:color="auto"/>
            </w:tcBorders>
            <w:shd w:val="clear" w:color="auto" w:fill="auto"/>
            <w:vAlign w:val="center"/>
            <w:hideMark/>
          </w:tcPr>
          <w:p w14:paraId="6930CFC0" w14:textId="08179E43"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-9</w:t>
            </w:r>
            <w:r w:rsidR="00A94EC4">
              <w:rPr>
                <w:rFonts w:ascii="Calibri" w:hAnsi="Calibri" w:cs="Calibri"/>
                <w:color w:val="000000"/>
                <w:sz w:val="20"/>
                <w:szCs w:val="20"/>
              </w:rPr>
              <w:t>5</w:t>
            </w:r>
          </w:p>
        </w:tc>
        <w:tc>
          <w:tcPr>
            <w:tcW w:w="2520" w:type="dxa"/>
            <w:tcBorders>
              <w:top w:val="nil"/>
              <w:left w:val="nil"/>
              <w:bottom w:val="single" w:sz="8" w:space="0" w:color="auto"/>
              <w:right w:val="single" w:sz="8" w:space="0" w:color="auto"/>
            </w:tcBorders>
            <w:shd w:val="clear" w:color="auto" w:fill="auto"/>
            <w:vAlign w:val="center"/>
            <w:hideMark/>
          </w:tcPr>
          <w:p w14:paraId="109EDA16"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Rephrased Fact 11 for clarity, added Selected findings from the 2019–20 National Postsecondary Student Aid Study (NPSAS:20): First Look (COVID-19)</w:t>
            </w:r>
          </w:p>
        </w:tc>
        <w:tc>
          <w:tcPr>
            <w:tcW w:w="2610" w:type="dxa"/>
            <w:tcBorders>
              <w:top w:val="nil"/>
              <w:left w:val="nil"/>
              <w:bottom w:val="single" w:sz="8" w:space="0" w:color="auto"/>
              <w:right w:val="single" w:sz="8" w:space="0" w:color="auto"/>
            </w:tcBorders>
            <w:shd w:val="clear" w:color="auto" w:fill="auto"/>
            <w:vAlign w:val="center"/>
            <w:hideMark/>
          </w:tcPr>
          <w:p w14:paraId="39212F98"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Added Selected findings from the 2019–20 National Postsecondary Student Aid Study (NPSAS:20): First Look (COVID-19)</w:t>
            </w:r>
          </w:p>
        </w:tc>
        <w:tc>
          <w:tcPr>
            <w:tcW w:w="2520" w:type="dxa"/>
            <w:tcBorders>
              <w:top w:val="nil"/>
              <w:left w:val="nil"/>
              <w:bottom w:val="single" w:sz="8" w:space="0" w:color="auto"/>
              <w:right w:val="single" w:sz="8" w:space="0" w:color="auto"/>
            </w:tcBorders>
            <w:shd w:val="clear" w:color="auto" w:fill="auto"/>
            <w:vAlign w:val="center"/>
            <w:hideMark/>
          </w:tcPr>
          <w:p w14:paraId="492BBD80"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47A5731F"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75ED1DDF"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Reinterview type </w:t>
            </w:r>
          </w:p>
        </w:tc>
        <w:tc>
          <w:tcPr>
            <w:tcW w:w="900" w:type="dxa"/>
            <w:tcBorders>
              <w:top w:val="nil"/>
              <w:left w:val="nil"/>
              <w:bottom w:val="single" w:sz="8" w:space="0" w:color="auto"/>
              <w:right w:val="single" w:sz="8" w:space="0" w:color="auto"/>
            </w:tcBorders>
            <w:shd w:val="clear" w:color="auto" w:fill="auto"/>
            <w:vAlign w:val="center"/>
            <w:hideMark/>
          </w:tcPr>
          <w:p w14:paraId="249FF172"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C-111</w:t>
            </w:r>
          </w:p>
        </w:tc>
        <w:tc>
          <w:tcPr>
            <w:tcW w:w="900" w:type="dxa"/>
            <w:tcBorders>
              <w:top w:val="nil"/>
              <w:left w:val="nil"/>
              <w:bottom w:val="single" w:sz="8" w:space="0" w:color="auto"/>
              <w:right w:val="single" w:sz="8" w:space="0" w:color="auto"/>
            </w:tcBorders>
            <w:shd w:val="clear" w:color="auto" w:fill="auto"/>
            <w:vAlign w:val="center"/>
            <w:hideMark/>
          </w:tcPr>
          <w:p w14:paraId="26FE5897" w14:textId="77777777" w:rsidR="00217829" w:rsidRPr="00217829" w:rsidRDefault="00217829" w:rsidP="00217829">
            <w:pPr>
              <w:jc w:val="center"/>
              <w:rPr>
                <w:rFonts w:ascii="Calibri" w:hAnsi="Calibri" w:cs="Calibri"/>
                <w:color w:val="FF0000"/>
                <w:sz w:val="20"/>
                <w:szCs w:val="20"/>
              </w:rPr>
            </w:pPr>
            <w:r w:rsidRPr="00217829">
              <w:rPr>
                <w:rFonts w:ascii="Calibri" w:hAnsi="Calibri" w:cs="Calibri"/>
                <w:color w:val="FF0000"/>
                <w:sz w:val="20"/>
                <w:szCs w:val="20"/>
              </w:rPr>
              <w:t>N/A</w:t>
            </w:r>
          </w:p>
        </w:tc>
        <w:tc>
          <w:tcPr>
            <w:tcW w:w="2520" w:type="dxa"/>
            <w:tcBorders>
              <w:top w:val="nil"/>
              <w:left w:val="nil"/>
              <w:bottom w:val="single" w:sz="8" w:space="0" w:color="auto"/>
              <w:right w:val="single" w:sz="8" w:space="0" w:color="auto"/>
            </w:tcBorders>
            <w:shd w:val="clear" w:color="auto" w:fill="auto"/>
            <w:vAlign w:val="center"/>
            <w:hideMark/>
          </w:tcPr>
          <w:p w14:paraId="069958D9"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Deleted merge field</w:t>
            </w:r>
          </w:p>
        </w:tc>
        <w:tc>
          <w:tcPr>
            <w:tcW w:w="2610" w:type="dxa"/>
            <w:tcBorders>
              <w:top w:val="nil"/>
              <w:left w:val="nil"/>
              <w:bottom w:val="single" w:sz="8" w:space="0" w:color="auto"/>
              <w:right w:val="single" w:sz="8" w:space="0" w:color="auto"/>
            </w:tcBorders>
            <w:shd w:val="clear" w:color="auto" w:fill="auto"/>
            <w:vAlign w:val="center"/>
            <w:hideMark/>
          </w:tcPr>
          <w:p w14:paraId="43F234F4"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Not needed for FS study</w:t>
            </w:r>
          </w:p>
        </w:tc>
        <w:tc>
          <w:tcPr>
            <w:tcW w:w="2520" w:type="dxa"/>
            <w:tcBorders>
              <w:top w:val="nil"/>
              <w:left w:val="nil"/>
              <w:bottom w:val="single" w:sz="8" w:space="0" w:color="auto"/>
              <w:right w:val="single" w:sz="8" w:space="0" w:color="auto"/>
            </w:tcBorders>
            <w:shd w:val="clear" w:color="auto" w:fill="auto"/>
            <w:vAlign w:val="center"/>
            <w:hideMark/>
          </w:tcPr>
          <w:p w14:paraId="3DE6505A"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3CF51878"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313E51B7"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E-mail Merge Fields, Interesting Facts </w:t>
            </w:r>
          </w:p>
        </w:tc>
        <w:tc>
          <w:tcPr>
            <w:tcW w:w="900" w:type="dxa"/>
            <w:tcBorders>
              <w:top w:val="nil"/>
              <w:left w:val="nil"/>
              <w:bottom w:val="single" w:sz="8" w:space="0" w:color="auto"/>
              <w:right w:val="single" w:sz="8" w:space="0" w:color="auto"/>
            </w:tcBorders>
            <w:shd w:val="clear" w:color="auto" w:fill="auto"/>
            <w:vAlign w:val="center"/>
            <w:hideMark/>
          </w:tcPr>
          <w:p w14:paraId="3ED1B112"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C-113</w:t>
            </w:r>
          </w:p>
        </w:tc>
        <w:tc>
          <w:tcPr>
            <w:tcW w:w="900" w:type="dxa"/>
            <w:tcBorders>
              <w:top w:val="nil"/>
              <w:left w:val="nil"/>
              <w:bottom w:val="single" w:sz="8" w:space="0" w:color="auto"/>
              <w:right w:val="single" w:sz="8" w:space="0" w:color="auto"/>
            </w:tcBorders>
            <w:shd w:val="clear" w:color="auto" w:fill="auto"/>
            <w:vAlign w:val="center"/>
            <w:hideMark/>
          </w:tcPr>
          <w:p w14:paraId="0D82E658" w14:textId="0D1F137C"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-9</w:t>
            </w:r>
            <w:r w:rsidR="00A94EC4">
              <w:rPr>
                <w:rFonts w:ascii="Calibri" w:hAnsi="Calibri" w:cs="Calibri"/>
                <w:color w:val="000000"/>
                <w:sz w:val="20"/>
                <w:szCs w:val="20"/>
              </w:rPr>
              <w:t>8</w:t>
            </w:r>
          </w:p>
        </w:tc>
        <w:tc>
          <w:tcPr>
            <w:tcW w:w="2520" w:type="dxa"/>
            <w:tcBorders>
              <w:top w:val="nil"/>
              <w:left w:val="nil"/>
              <w:bottom w:val="single" w:sz="8" w:space="0" w:color="auto"/>
              <w:right w:val="single" w:sz="8" w:space="0" w:color="auto"/>
            </w:tcBorders>
            <w:shd w:val="clear" w:color="auto" w:fill="auto"/>
            <w:vAlign w:val="center"/>
            <w:hideMark/>
          </w:tcPr>
          <w:p w14:paraId="71CB7989"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Rephrased fact 11 for clarity. </w:t>
            </w:r>
          </w:p>
        </w:tc>
        <w:tc>
          <w:tcPr>
            <w:tcW w:w="2610" w:type="dxa"/>
            <w:tcBorders>
              <w:top w:val="nil"/>
              <w:left w:val="nil"/>
              <w:bottom w:val="single" w:sz="8" w:space="0" w:color="auto"/>
              <w:right w:val="single" w:sz="8" w:space="0" w:color="auto"/>
            </w:tcBorders>
            <w:shd w:val="clear" w:color="auto" w:fill="auto"/>
            <w:vAlign w:val="center"/>
            <w:hideMark/>
          </w:tcPr>
          <w:p w14:paraId="2602661F"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c>
          <w:tcPr>
            <w:tcW w:w="2520" w:type="dxa"/>
            <w:tcBorders>
              <w:top w:val="nil"/>
              <w:left w:val="nil"/>
              <w:bottom w:val="single" w:sz="8" w:space="0" w:color="auto"/>
              <w:right w:val="single" w:sz="8" w:space="0" w:color="auto"/>
            </w:tcBorders>
            <w:shd w:val="clear" w:color="auto" w:fill="auto"/>
            <w:vAlign w:val="center"/>
            <w:hideMark/>
          </w:tcPr>
          <w:p w14:paraId="451475B9"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On average, first-time beginning college students who entered postsecondary education in 2011–12 attended 1.5 postsecondary institutions by June of 2014.</w:t>
            </w:r>
          </w:p>
        </w:tc>
      </w:tr>
      <w:tr w:rsidR="00217829" w:rsidRPr="00217829" w14:paraId="39D760DB"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21B87A67"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Postcard Merge Fields, Interesting Facts </w:t>
            </w:r>
          </w:p>
        </w:tc>
        <w:tc>
          <w:tcPr>
            <w:tcW w:w="900" w:type="dxa"/>
            <w:tcBorders>
              <w:top w:val="nil"/>
              <w:left w:val="nil"/>
              <w:bottom w:val="single" w:sz="8" w:space="0" w:color="auto"/>
              <w:right w:val="single" w:sz="8" w:space="0" w:color="auto"/>
            </w:tcBorders>
            <w:shd w:val="clear" w:color="auto" w:fill="auto"/>
            <w:vAlign w:val="center"/>
            <w:hideMark/>
          </w:tcPr>
          <w:p w14:paraId="3D3C8DD8"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C-116</w:t>
            </w:r>
          </w:p>
        </w:tc>
        <w:tc>
          <w:tcPr>
            <w:tcW w:w="900" w:type="dxa"/>
            <w:tcBorders>
              <w:top w:val="nil"/>
              <w:left w:val="nil"/>
              <w:bottom w:val="single" w:sz="8" w:space="0" w:color="auto"/>
              <w:right w:val="single" w:sz="8" w:space="0" w:color="auto"/>
            </w:tcBorders>
            <w:shd w:val="clear" w:color="auto" w:fill="auto"/>
            <w:vAlign w:val="center"/>
            <w:hideMark/>
          </w:tcPr>
          <w:p w14:paraId="571A7BCC" w14:textId="7C3B424A"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-10</w:t>
            </w:r>
            <w:r w:rsidR="00A94EC4">
              <w:rPr>
                <w:rFonts w:ascii="Calibri" w:hAnsi="Calibri" w:cs="Calibri"/>
                <w:color w:val="000000"/>
                <w:sz w:val="20"/>
                <w:szCs w:val="20"/>
              </w:rPr>
              <w:t>1</w:t>
            </w:r>
          </w:p>
        </w:tc>
        <w:tc>
          <w:tcPr>
            <w:tcW w:w="2520" w:type="dxa"/>
            <w:tcBorders>
              <w:top w:val="nil"/>
              <w:left w:val="nil"/>
              <w:bottom w:val="single" w:sz="8" w:space="0" w:color="auto"/>
              <w:right w:val="single" w:sz="8" w:space="0" w:color="auto"/>
            </w:tcBorders>
            <w:shd w:val="clear" w:color="auto" w:fill="auto"/>
            <w:vAlign w:val="center"/>
            <w:hideMark/>
          </w:tcPr>
          <w:p w14:paraId="2E0C2344"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Rephrased fact 11 for clarity. </w:t>
            </w:r>
          </w:p>
        </w:tc>
        <w:tc>
          <w:tcPr>
            <w:tcW w:w="2610" w:type="dxa"/>
            <w:tcBorders>
              <w:top w:val="nil"/>
              <w:left w:val="nil"/>
              <w:bottom w:val="single" w:sz="8" w:space="0" w:color="auto"/>
              <w:right w:val="single" w:sz="8" w:space="0" w:color="auto"/>
            </w:tcBorders>
            <w:shd w:val="clear" w:color="auto" w:fill="auto"/>
            <w:vAlign w:val="center"/>
            <w:hideMark/>
          </w:tcPr>
          <w:p w14:paraId="22B1BF99"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c>
          <w:tcPr>
            <w:tcW w:w="2520" w:type="dxa"/>
            <w:tcBorders>
              <w:top w:val="nil"/>
              <w:left w:val="nil"/>
              <w:bottom w:val="single" w:sz="8" w:space="0" w:color="auto"/>
              <w:right w:val="single" w:sz="8" w:space="0" w:color="auto"/>
            </w:tcBorders>
            <w:shd w:val="clear" w:color="auto" w:fill="auto"/>
            <w:vAlign w:val="center"/>
            <w:hideMark/>
          </w:tcPr>
          <w:p w14:paraId="18100688"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On average, first-time beginning college students who entered postsecondary education in 2011–12 attended 1.5 postsecondary institutions by June of 2014.</w:t>
            </w:r>
          </w:p>
        </w:tc>
      </w:tr>
      <w:tr w:rsidR="00217829" w:rsidRPr="00217829" w14:paraId="752D117B"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16AB760C"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Incentive Text Outside</w:t>
            </w:r>
          </w:p>
        </w:tc>
        <w:tc>
          <w:tcPr>
            <w:tcW w:w="900" w:type="dxa"/>
            <w:tcBorders>
              <w:top w:val="nil"/>
              <w:left w:val="nil"/>
              <w:bottom w:val="single" w:sz="8" w:space="0" w:color="auto"/>
              <w:right w:val="single" w:sz="8" w:space="0" w:color="auto"/>
            </w:tcBorders>
            <w:shd w:val="clear" w:color="auto" w:fill="auto"/>
            <w:vAlign w:val="center"/>
            <w:hideMark/>
          </w:tcPr>
          <w:p w14:paraId="4ADC5E96"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C-116</w:t>
            </w:r>
          </w:p>
        </w:tc>
        <w:tc>
          <w:tcPr>
            <w:tcW w:w="900" w:type="dxa"/>
            <w:tcBorders>
              <w:top w:val="nil"/>
              <w:left w:val="nil"/>
              <w:bottom w:val="single" w:sz="8" w:space="0" w:color="auto"/>
              <w:right w:val="single" w:sz="8" w:space="0" w:color="auto"/>
            </w:tcBorders>
            <w:shd w:val="clear" w:color="auto" w:fill="auto"/>
            <w:vAlign w:val="center"/>
            <w:hideMark/>
          </w:tcPr>
          <w:p w14:paraId="03256B20" w14:textId="19C638E8"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-103</w:t>
            </w:r>
          </w:p>
        </w:tc>
        <w:tc>
          <w:tcPr>
            <w:tcW w:w="2520" w:type="dxa"/>
            <w:tcBorders>
              <w:top w:val="nil"/>
              <w:left w:val="nil"/>
              <w:bottom w:val="single" w:sz="8" w:space="0" w:color="auto"/>
              <w:right w:val="single" w:sz="8" w:space="0" w:color="auto"/>
            </w:tcBorders>
            <w:shd w:val="clear" w:color="auto" w:fill="auto"/>
            <w:vAlign w:val="center"/>
            <w:hideMark/>
          </w:tcPr>
          <w:p w14:paraId="4D8B5ACE"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Updated mere field</w:t>
            </w:r>
          </w:p>
        </w:tc>
        <w:tc>
          <w:tcPr>
            <w:tcW w:w="2610" w:type="dxa"/>
            <w:tcBorders>
              <w:top w:val="nil"/>
              <w:left w:val="nil"/>
              <w:bottom w:val="single" w:sz="8" w:space="0" w:color="auto"/>
              <w:right w:val="single" w:sz="8" w:space="0" w:color="auto"/>
            </w:tcBorders>
            <w:shd w:val="clear" w:color="auto" w:fill="auto"/>
            <w:vAlign w:val="center"/>
            <w:hideMark/>
          </w:tcPr>
          <w:p w14:paraId="762762CF"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Rephrased to apply to a promised boost incentive (instead of early bird incentive).</w:t>
            </w:r>
          </w:p>
        </w:tc>
        <w:tc>
          <w:tcPr>
            <w:tcW w:w="2520" w:type="dxa"/>
            <w:tcBorders>
              <w:top w:val="nil"/>
              <w:left w:val="nil"/>
              <w:bottom w:val="single" w:sz="8" w:space="0" w:color="auto"/>
              <w:right w:val="single" w:sz="8" w:space="0" w:color="auto"/>
            </w:tcBorders>
            <w:shd w:val="clear" w:color="auto" w:fill="auto"/>
            <w:vAlign w:val="center"/>
            <w:hideMark/>
          </w:tcPr>
          <w:p w14:paraId="6006851A"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75F05EF9"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5D04901F"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Incentive Group</w:t>
            </w:r>
          </w:p>
        </w:tc>
        <w:tc>
          <w:tcPr>
            <w:tcW w:w="900" w:type="dxa"/>
            <w:tcBorders>
              <w:top w:val="nil"/>
              <w:left w:val="nil"/>
              <w:bottom w:val="single" w:sz="8" w:space="0" w:color="auto"/>
              <w:right w:val="single" w:sz="8" w:space="0" w:color="auto"/>
            </w:tcBorders>
            <w:shd w:val="clear" w:color="auto" w:fill="auto"/>
            <w:vAlign w:val="center"/>
            <w:hideMark/>
          </w:tcPr>
          <w:p w14:paraId="1319D998" w14:textId="77777777" w:rsidR="00217829" w:rsidRPr="00217829" w:rsidRDefault="00217829" w:rsidP="00217829">
            <w:pPr>
              <w:jc w:val="center"/>
              <w:rPr>
                <w:rFonts w:ascii="Calibri" w:hAnsi="Calibri" w:cs="Calibri"/>
                <w:color w:val="000000"/>
                <w:sz w:val="20"/>
                <w:szCs w:val="20"/>
              </w:rPr>
            </w:pPr>
            <w:r w:rsidRPr="00217829">
              <w:rPr>
                <w:rFonts w:ascii="Calibri" w:hAnsi="Calibri" w:cs="Calibri"/>
                <w:color w:val="000000"/>
                <w:sz w:val="20"/>
                <w:szCs w:val="20"/>
              </w:rPr>
              <w:t>C-117</w:t>
            </w:r>
          </w:p>
        </w:tc>
        <w:tc>
          <w:tcPr>
            <w:tcW w:w="900" w:type="dxa"/>
            <w:tcBorders>
              <w:top w:val="nil"/>
              <w:left w:val="nil"/>
              <w:bottom w:val="single" w:sz="8" w:space="0" w:color="auto"/>
              <w:right w:val="single" w:sz="8" w:space="0" w:color="auto"/>
            </w:tcBorders>
            <w:shd w:val="clear" w:color="auto" w:fill="auto"/>
            <w:vAlign w:val="center"/>
            <w:hideMark/>
          </w:tcPr>
          <w:p w14:paraId="61BD5803" w14:textId="6223419F"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-104</w:t>
            </w:r>
          </w:p>
        </w:tc>
        <w:tc>
          <w:tcPr>
            <w:tcW w:w="2520" w:type="dxa"/>
            <w:tcBorders>
              <w:top w:val="nil"/>
              <w:left w:val="nil"/>
              <w:bottom w:val="single" w:sz="8" w:space="0" w:color="auto"/>
              <w:right w:val="single" w:sz="8" w:space="0" w:color="auto"/>
            </w:tcBorders>
            <w:shd w:val="clear" w:color="auto" w:fill="auto"/>
            <w:vAlign w:val="center"/>
            <w:hideMark/>
          </w:tcPr>
          <w:p w14:paraId="37E642FB"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Updated merge field</w:t>
            </w:r>
          </w:p>
        </w:tc>
        <w:tc>
          <w:tcPr>
            <w:tcW w:w="2610" w:type="dxa"/>
            <w:tcBorders>
              <w:top w:val="nil"/>
              <w:left w:val="nil"/>
              <w:bottom w:val="single" w:sz="8" w:space="0" w:color="auto"/>
              <w:right w:val="single" w:sz="8" w:space="0" w:color="auto"/>
            </w:tcBorders>
            <w:shd w:val="clear" w:color="auto" w:fill="auto"/>
            <w:vAlign w:val="center"/>
            <w:hideMark/>
          </w:tcPr>
          <w:p w14:paraId="17A4737F"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Rephrased to apply to a promised boost incentive (instead of early bird incentive and $10 prepaid incentive).</w:t>
            </w:r>
          </w:p>
        </w:tc>
        <w:tc>
          <w:tcPr>
            <w:tcW w:w="2520" w:type="dxa"/>
            <w:tcBorders>
              <w:top w:val="nil"/>
              <w:left w:val="nil"/>
              <w:bottom w:val="single" w:sz="8" w:space="0" w:color="auto"/>
              <w:right w:val="single" w:sz="8" w:space="0" w:color="auto"/>
            </w:tcBorders>
            <w:shd w:val="clear" w:color="auto" w:fill="auto"/>
            <w:vAlign w:val="center"/>
            <w:hideMark/>
          </w:tcPr>
          <w:p w14:paraId="1AEFA096"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3A02B333"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21787769"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xml:space="preserve">New letters </w:t>
            </w:r>
          </w:p>
        </w:tc>
        <w:tc>
          <w:tcPr>
            <w:tcW w:w="900" w:type="dxa"/>
            <w:tcBorders>
              <w:top w:val="nil"/>
              <w:left w:val="nil"/>
              <w:bottom w:val="single" w:sz="8" w:space="0" w:color="auto"/>
              <w:right w:val="single" w:sz="8" w:space="0" w:color="auto"/>
            </w:tcBorders>
            <w:shd w:val="clear" w:color="auto" w:fill="auto"/>
            <w:vAlign w:val="center"/>
            <w:hideMark/>
          </w:tcPr>
          <w:p w14:paraId="2589C1DA" w14:textId="77777777" w:rsidR="00217829" w:rsidRPr="00217829" w:rsidRDefault="00217829" w:rsidP="00217829">
            <w:pPr>
              <w:jc w:val="center"/>
              <w:rPr>
                <w:rFonts w:ascii="Calibri" w:hAnsi="Calibri" w:cs="Calibri"/>
                <w:color w:val="FF0000"/>
                <w:sz w:val="20"/>
                <w:szCs w:val="20"/>
              </w:rPr>
            </w:pPr>
            <w:r w:rsidRPr="00217829">
              <w:rPr>
                <w:rFonts w:ascii="Calibri" w:hAnsi="Calibri" w:cs="Calibri"/>
                <w:color w:val="FF0000"/>
                <w:sz w:val="20"/>
                <w:szCs w:val="20"/>
              </w:rPr>
              <w:t>N/A</w:t>
            </w:r>
          </w:p>
        </w:tc>
        <w:tc>
          <w:tcPr>
            <w:tcW w:w="900" w:type="dxa"/>
            <w:tcBorders>
              <w:top w:val="nil"/>
              <w:left w:val="nil"/>
              <w:bottom w:val="single" w:sz="8" w:space="0" w:color="auto"/>
              <w:right w:val="single" w:sz="8" w:space="0" w:color="auto"/>
            </w:tcBorders>
            <w:shd w:val="clear" w:color="auto" w:fill="auto"/>
            <w:vAlign w:val="center"/>
            <w:hideMark/>
          </w:tcPr>
          <w:p w14:paraId="30DE7F58" w14:textId="00C679F8"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-105</w:t>
            </w:r>
          </w:p>
        </w:tc>
        <w:tc>
          <w:tcPr>
            <w:tcW w:w="2520" w:type="dxa"/>
            <w:tcBorders>
              <w:top w:val="nil"/>
              <w:left w:val="nil"/>
              <w:bottom w:val="single" w:sz="8" w:space="0" w:color="auto"/>
              <w:right w:val="single" w:sz="8" w:space="0" w:color="auto"/>
            </w:tcBorders>
            <w:shd w:val="clear" w:color="auto" w:fill="auto"/>
            <w:vAlign w:val="center"/>
            <w:hideMark/>
          </w:tcPr>
          <w:p w14:paraId="62C820D1"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New contacts developed for full-scale study</w:t>
            </w:r>
          </w:p>
        </w:tc>
        <w:tc>
          <w:tcPr>
            <w:tcW w:w="2610" w:type="dxa"/>
            <w:tcBorders>
              <w:top w:val="nil"/>
              <w:left w:val="nil"/>
              <w:bottom w:val="single" w:sz="8" w:space="0" w:color="auto"/>
              <w:right w:val="single" w:sz="8" w:space="0" w:color="auto"/>
            </w:tcBorders>
            <w:shd w:val="clear" w:color="auto" w:fill="auto"/>
            <w:vAlign w:val="center"/>
            <w:hideMark/>
          </w:tcPr>
          <w:p w14:paraId="329FE790"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c>
          <w:tcPr>
            <w:tcW w:w="2520" w:type="dxa"/>
            <w:tcBorders>
              <w:top w:val="nil"/>
              <w:left w:val="nil"/>
              <w:bottom w:val="single" w:sz="8" w:space="0" w:color="auto"/>
              <w:right w:val="single" w:sz="8" w:space="0" w:color="auto"/>
            </w:tcBorders>
            <w:shd w:val="clear" w:color="auto" w:fill="auto"/>
            <w:vAlign w:val="center"/>
            <w:hideMark/>
          </w:tcPr>
          <w:p w14:paraId="3B835FE5"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Note that the Greeting Card—Initial Contact was updated from field test version on page C-20.</w:t>
            </w:r>
          </w:p>
        </w:tc>
      </w:tr>
      <w:tr w:rsidR="00217829" w:rsidRPr="00217829" w14:paraId="771687C1"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14A191A8"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New E-Mails</w:t>
            </w:r>
          </w:p>
        </w:tc>
        <w:tc>
          <w:tcPr>
            <w:tcW w:w="900" w:type="dxa"/>
            <w:tcBorders>
              <w:top w:val="nil"/>
              <w:left w:val="nil"/>
              <w:bottom w:val="single" w:sz="8" w:space="0" w:color="auto"/>
              <w:right w:val="single" w:sz="8" w:space="0" w:color="auto"/>
            </w:tcBorders>
            <w:shd w:val="clear" w:color="auto" w:fill="auto"/>
            <w:vAlign w:val="center"/>
            <w:hideMark/>
          </w:tcPr>
          <w:p w14:paraId="155DA39D" w14:textId="77777777" w:rsidR="00217829" w:rsidRPr="00217829" w:rsidRDefault="00217829" w:rsidP="00217829">
            <w:pPr>
              <w:jc w:val="center"/>
              <w:rPr>
                <w:rFonts w:ascii="Calibri" w:hAnsi="Calibri" w:cs="Calibri"/>
                <w:color w:val="FF0000"/>
                <w:sz w:val="20"/>
                <w:szCs w:val="20"/>
              </w:rPr>
            </w:pPr>
            <w:r w:rsidRPr="00217829">
              <w:rPr>
                <w:rFonts w:ascii="Calibri" w:hAnsi="Calibri" w:cs="Calibri"/>
                <w:color w:val="FF0000"/>
                <w:sz w:val="20"/>
                <w:szCs w:val="20"/>
              </w:rPr>
              <w:t>N/A</w:t>
            </w:r>
          </w:p>
        </w:tc>
        <w:tc>
          <w:tcPr>
            <w:tcW w:w="900" w:type="dxa"/>
            <w:tcBorders>
              <w:top w:val="nil"/>
              <w:left w:val="nil"/>
              <w:bottom w:val="single" w:sz="8" w:space="0" w:color="auto"/>
              <w:right w:val="single" w:sz="8" w:space="0" w:color="auto"/>
            </w:tcBorders>
            <w:shd w:val="clear" w:color="auto" w:fill="auto"/>
            <w:vAlign w:val="center"/>
            <w:hideMark/>
          </w:tcPr>
          <w:p w14:paraId="445A7FBF" w14:textId="4D9F780E"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-109</w:t>
            </w:r>
          </w:p>
        </w:tc>
        <w:tc>
          <w:tcPr>
            <w:tcW w:w="2520" w:type="dxa"/>
            <w:tcBorders>
              <w:top w:val="nil"/>
              <w:left w:val="nil"/>
              <w:bottom w:val="single" w:sz="8" w:space="0" w:color="auto"/>
              <w:right w:val="single" w:sz="8" w:space="0" w:color="auto"/>
            </w:tcBorders>
            <w:shd w:val="clear" w:color="auto" w:fill="auto"/>
            <w:vAlign w:val="center"/>
            <w:hideMark/>
          </w:tcPr>
          <w:p w14:paraId="5EE3A7B0"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New contacts developed for full-scale study</w:t>
            </w:r>
          </w:p>
        </w:tc>
        <w:tc>
          <w:tcPr>
            <w:tcW w:w="2610" w:type="dxa"/>
            <w:tcBorders>
              <w:top w:val="nil"/>
              <w:left w:val="nil"/>
              <w:bottom w:val="single" w:sz="8" w:space="0" w:color="auto"/>
              <w:right w:val="single" w:sz="8" w:space="0" w:color="auto"/>
            </w:tcBorders>
            <w:shd w:val="clear" w:color="auto" w:fill="auto"/>
            <w:vAlign w:val="center"/>
            <w:hideMark/>
          </w:tcPr>
          <w:p w14:paraId="5EA4FAF4"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c>
          <w:tcPr>
            <w:tcW w:w="2520" w:type="dxa"/>
            <w:tcBorders>
              <w:top w:val="nil"/>
              <w:left w:val="nil"/>
              <w:bottom w:val="single" w:sz="8" w:space="0" w:color="auto"/>
              <w:right w:val="single" w:sz="8" w:space="0" w:color="auto"/>
            </w:tcBorders>
            <w:shd w:val="clear" w:color="auto" w:fill="auto"/>
            <w:vAlign w:val="center"/>
            <w:hideMark/>
          </w:tcPr>
          <w:p w14:paraId="7A3C51AE"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Note that the Initial Contact E-mail was updated from field test version on page C-63.</w:t>
            </w:r>
          </w:p>
        </w:tc>
      </w:tr>
      <w:tr w:rsidR="00217829" w:rsidRPr="00217829" w14:paraId="3EE4A1A0"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3662E795"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New Postcards</w:t>
            </w:r>
          </w:p>
        </w:tc>
        <w:tc>
          <w:tcPr>
            <w:tcW w:w="900" w:type="dxa"/>
            <w:tcBorders>
              <w:top w:val="nil"/>
              <w:left w:val="nil"/>
              <w:bottom w:val="single" w:sz="8" w:space="0" w:color="auto"/>
              <w:right w:val="single" w:sz="8" w:space="0" w:color="auto"/>
            </w:tcBorders>
            <w:shd w:val="clear" w:color="auto" w:fill="auto"/>
            <w:vAlign w:val="center"/>
            <w:hideMark/>
          </w:tcPr>
          <w:p w14:paraId="0B5B0B56" w14:textId="77777777" w:rsidR="00217829" w:rsidRPr="00217829" w:rsidRDefault="00217829" w:rsidP="00217829">
            <w:pPr>
              <w:jc w:val="center"/>
              <w:rPr>
                <w:rFonts w:ascii="Calibri" w:hAnsi="Calibri" w:cs="Calibri"/>
                <w:color w:val="FF0000"/>
                <w:sz w:val="20"/>
                <w:szCs w:val="20"/>
              </w:rPr>
            </w:pPr>
            <w:r w:rsidRPr="00217829">
              <w:rPr>
                <w:rFonts w:ascii="Calibri" w:hAnsi="Calibri" w:cs="Calibri"/>
                <w:color w:val="FF0000"/>
                <w:sz w:val="20"/>
                <w:szCs w:val="20"/>
              </w:rPr>
              <w:t>N/A</w:t>
            </w:r>
          </w:p>
        </w:tc>
        <w:tc>
          <w:tcPr>
            <w:tcW w:w="900" w:type="dxa"/>
            <w:tcBorders>
              <w:top w:val="nil"/>
              <w:left w:val="nil"/>
              <w:bottom w:val="single" w:sz="8" w:space="0" w:color="auto"/>
              <w:right w:val="single" w:sz="8" w:space="0" w:color="auto"/>
            </w:tcBorders>
            <w:shd w:val="clear" w:color="auto" w:fill="auto"/>
            <w:vAlign w:val="center"/>
            <w:hideMark/>
          </w:tcPr>
          <w:p w14:paraId="3ECE8B4E" w14:textId="5FC17BF6" w:rsidR="00217829" w:rsidRPr="00217829" w:rsidRDefault="00274A77"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-128</w:t>
            </w:r>
          </w:p>
        </w:tc>
        <w:tc>
          <w:tcPr>
            <w:tcW w:w="2520" w:type="dxa"/>
            <w:tcBorders>
              <w:top w:val="nil"/>
              <w:left w:val="nil"/>
              <w:bottom w:val="single" w:sz="8" w:space="0" w:color="auto"/>
              <w:right w:val="single" w:sz="8" w:space="0" w:color="auto"/>
            </w:tcBorders>
            <w:shd w:val="clear" w:color="auto" w:fill="auto"/>
            <w:vAlign w:val="center"/>
            <w:hideMark/>
          </w:tcPr>
          <w:p w14:paraId="14C2F77F"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New contacts developed for full-scale study</w:t>
            </w:r>
          </w:p>
        </w:tc>
        <w:tc>
          <w:tcPr>
            <w:tcW w:w="2610" w:type="dxa"/>
            <w:tcBorders>
              <w:top w:val="nil"/>
              <w:left w:val="nil"/>
              <w:bottom w:val="single" w:sz="8" w:space="0" w:color="auto"/>
              <w:right w:val="single" w:sz="8" w:space="0" w:color="auto"/>
            </w:tcBorders>
            <w:shd w:val="clear" w:color="auto" w:fill="auto"/>
            <w:vAlign w:val="center"/>
            <w:hideMark/>
          </w:tcPr>
          <w:p w14:paraId="169D738B"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c>
          <w:tcPr>
            <w:tcW w:w="2520" w:type="dxa"/>
            <w:tcBorders>
              <w:top w:val="nil"/>
              <w:left w:val="nil"/>
              <w:bottom w:val="single" w:sz="8" w:space="0" w:color="auto"/>
              <w:right w:val="single" w:sz="8" w:space="0" w:color="auto"/>
            </w:tcBorders>
            <w:shd w:val="clear" w:color="auto" w:fill="auto"/>
            <w:vAlign w:val="center"/>
            <w:hideMark/>
          </w:tcPr>
          <w:p w14:paraId="31665C03"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7CB9B7D7"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64195C5A"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New Text Message Reminders</w:t>
            </w:r>
          </w:p>
        </w:tc>
        <w:tc>
          <w:tcPr>
            <w:tcW w:w="900" w:type="dxa"/>
            <w:tcBorders>
              <w:top w:val="nil"/>
              <w:left w:val="nil"/>
              <w:bottom w:val="single" w:sz="8" w:space="0" w:color="auto"/>
              <w:right w:val="single" w:sz="8" w:space="0" w:color="auto"/>
            </w:tcBorders>
            <w:shd w:val="clear" w:color="auto" w:fill="auto"/>
            <w:vAlign w:val="center"/>
            <w:hideMark/>
          </w:tcPr>
          <w:p w14:paraId="3BF8D1BF" w14:textId="77777777" w:rsidR="00217829" w:rsidRPr="00217829" w:rsidRDefault="00217829" w:rsidP="00217829">
            <w:pPr>
              <w:jc w:val="center"/>
              <w:rPr>
                <w:rFonts w:ascii="Calibri" w:hAnsi="Calibri" w:cs="Calibri"/>
                <w:color w:val="FF0000"/>
                <w:sz w:val="20"/>
                <w:szCs w:val="20"/>
              </w:rPr>
            </w:pPr>
            <w:r w:rsidRPr="00217829">
              <w:rPr>
                <w:rFonts w:ascii="Calibri" w:hAnsi="Calibri" w:cs="Calibri"/>
                <w:color w:val="FF0000"/>
                <w:sz w:val="20"/>
                <w:szCs w:val="20"/>
              </w:rPr>
              <w:t>N/A</w:t>
            </w:r>
          </w:p>
        </w:tc>
        <w:tc>
          <w:tcPr>
            <w:tcW w:w="900" w:type="dxa"/>
            <w:tcBorders>
              <w:top w:val="nil"/>
              <w:left w:val="nil"/>
              <w:bottom w:val="single" w:sz="8" w:space="0" w:color="auto"/>
              <w:right w:val="single" w:sz="8" w:space="0" w:color="auto"/>
            </w:tcBorders>
            <w:shd w:val="clear" w:color="auto" w:fill="auto"/>
            <w:vAlign w:val="center"/>
            <w:hideMark/>
          </w:tcPr>
          <w:p w14:paraId="53935930" w14:textId="4934C08C" w:rsidR="00217829" w:rsidRPr="00217829" w:rsidRDefault="003D0BFF"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-129</w:t>
            </w:r>
          </w:p>
        </w:tc>
        <w:tc>
          <w:tcPr>
            <w:tcW w:w="2520" w:type="dxa"/>
            <w:tcBorders>
              <w:top w:val="nil"/>
              <w:left w:val="nil"/>
              <w:bottom w:val="single" w:sz="8" w:space="0" w:color="auto"/>
              <w:right w:val="single" w:sz="8" w:space="0" w:color="auto"/>
            </w:tcBorders>
            <w:shd w:val="clear" w:color="auto" w:fill="auto"/>
            <w:vAlign w:val="center"/>
            <w:hideMark/>
          </w:tcPr>
          <w:p w14:paraId="56D1673E"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New contacts developed for full-scale study</w:t>
            </w:r>
          </w:p>
        </w:tc>
        <w:tc>
          <w:tcPr>
            <w:tcW w:w="2610" w:type="dxa"/>
            <w:tcBorders>
              <w:top w:val="nil"/>
              <w:left w:val="nil"/>
              <w:bottom w:val="single" w:sz="8" w:space="0" w:color="auto"/>
              <w:right w:val="single" w:sz="8" w:space="0" w:color="auto"/>
            </w:tcBorders>
            <w:shd w:val="clear" w:color="auto" w:fill="auto"/>
            <w:vAlign w:val="center"/>
            <w:hideMark/>
          </w:tcPr>
          <w:p w14:paraId="3A72A970"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c>
          <w:tcPr>
            <w:tcW w:w="2520" w:type="dxa"/>
            <w:tcBorders>
              <w:top w:val="nil"/>
              <w:left w:val="nil"/>
              <w:bottom w:val="single" w:sz="8" w:space="0" w:color="auto"/>
              <w:right w:val="single" w:sz="8" w:space="0" w:color="auto"/>
            </w:tcBorders>
            <w:shd w:val="clear" w:color="auto" w:fill="auto"/>
            <w:vAlign w:val="center"/>
            <w:hideMark/>
          </w:tcPr>
          <w:p w14:paraId="5BDB0773"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r>
      <w:tr w:rsidR="00217829" w:rsidRPr="00217829" w14:paraId="665759E5" w14:textId="77777777" w:rsidTr="00217829">
        <w:trPr>
          <w:trHeight w:val="762"/>
        </w:trPr>
        <w:tc>
          <w:tcPr>
            <w:tcW w:w="1790" w:type="dxa"/>
            <w:tcBorders>
              <w:top w:val="nil"/>
              <w:left w:val="single" w:sz="8" w:space="0" w:color="auto"/>
              <w:bottom w:val="single" w:sz="8" w:space="0" w:color="auto"/>
              <w:right w:val="single" w:sz="8" w:space="0" w:color="auto"/>
            </w:tcBorders>
            <w:shd w:val="clear" w:color="auto" w:fill="auto"/>
            <w:vAlign w:val="center"/>
            <w:hideMark/>
          </w:tcPr>
          <w:p w14:paraId="7BCEB6FA"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Communication Materials Translated into Spanish</w:t>
            </w:r>
          </w:p>
        </w:tc>
        <w:tc>
          <w:tcPr>
            <w:tcW w:w="900" w:type="dxa"/>
            <w:tcBorders>
              <w:top w:val="nil"/>
              <w:left w:val="nil"/>
              <w:bottom w:val="single" w:sz="8" w:space="0" w:color="auto"/>
              <w:right w:val="single" w:sz="8" w:space="0" w:color="auto"/>
            </w:tcBorders>
            <w:shd w:val="clear" w:color="auto" w:fill="auto"/>
            <w:vAlign w:val="center"/>
            <w:hideMark/>
          </w:tcPr>
          <w:p w14:paraId="444E8909" w14:textId="77777777" w:rsidR="00217829" w:rsidRPr="00217829" w:rsidRDefault="00217829" w:rsidP="00217829">
            <w:pPr>
              <w:jc w:val="center"/>
              <w:rPr>
                <w:rFonts w:ascii="Calibri" w:hAnsi="Calibri" w:cs="Calibri"/>
                <w:color w:val="FF0000"/>
                <w:sz w:val="20"/>
                <w:szCs w:val="20"/>
              </w:rPr>
            </w:pPr>
            <w:r w:rsidRPr="00217829">
              <w:rPr>
                <w:rFonts w:ascii="Calibri" w:hAnsi="Calibri" w:cs="Calibri"/>
                <w:color w:val="FF0000"/>
                <w:sz w:val="20"/>
                <w:szCs w:val="20"/>
              </w:rPr>
              <w:t>N/A</w:t>
            </w:r>
          </w:p>
        </w:tc>
        <w:tc>
          <w:tcPr>
            <w:tcW w:w="900" w:type="dxa"/>
            <w:tcBorders>
              <w:top w:val="nil"/>
              <w:left w:val="nil"/>
              <w:bottom w:val="single" w:sz="8" w:space="0" w:color="auto"/>
              <w:right w:val="single" w:sz="8" w:space="0" w:color="auto"/>
            </w:tcBorders>
            <w:shd w:val="clear" w:color="auto" w:fill="auto"/>
            <w:vAlign w:val="center"/>
            <w:hideMark/>
          </w:tcPr>
          <w:p w14:paraId="13EBED9F" w14:textId="25B3041E" w:rsidR="00217829" w:rsidRPr="00217829" w:rsidRDefault="003D0BFF" w:rsidP="00217829">
            <w:pPr>
              <w:jc w:val="center"/>
              <w:rPr>
                <w:rFonts w:ascii="Calibri" w:hAnsi="Calibri" w:cs="Calibri"/>
                <w:color w:val="000000"/>
                <w:sz w:val="20"/>
                <w:szCs w:val="20"/>
              </w:rPr>
            </w:pPr>
            <w:r>
              <w:rPr>
                <w:rFonts w:ascii="Calibri" w:hAnsi="Calibri" w:cs="Calibri"/>
                <w:color w:val="000000"/>
                <w:sz w:val="20"/>
                <w:szCs w:val="20"/>
              </w:rPr>
              <w:t>C</w:t>
            </w:r>
            <w:r w:rsidR="00217829" w:rsidRPr="00217829">
              <w:rPr>
                <w:rFonts w:ascii="Calibri" w:hAnsi="Calibri" w:cs="Calibri"/>
                <w:color w:val="000000"/>
                <w:sz w:val="20"/>
                <w:szCs w:val="20"/>
              </w:rPr>
              <w:t>-130</w:t>
            </w:r>
          </w:p>
        </w:tc>
        <w:tc>
          <w:tcPr>
            <w:tcW w:w="2520" w:type="dxa"/>
            <w:tcBorders>
              <w:top w:val="nil"/>
              <w:left w:val="nil"/>
              <w:bottom w:val="single" w:sz="8" w:space="0" w:color="auto"/>
              <w:right w:val="single" w:sz="8" w:space="0" w:color="auto"/>
            </w:tcBorders>
            <w:shd w:val="clear" w:color="auto" w:fill="auto"/>
            <w:vAlign w:val="center"/>
            <w:hideMark/>
          </w:tcPr>
          <w:p w14:paraId="5D07ADF3"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New contacts developed for full-scale study</w:t>
            </w:r>
          </w:p>
        </w:tc>
        <w:tc>
          <w:tcPr>
            <w:tcW w:w="2610" w:type="dxa"/>
            <w:tcBorders>
              <w:top w:val="nil"/>
              <w:left w:val="nil"/>
              <w:bottom w:val="single" w:sz="8" w:space="0" w:color="auto"/>
              <w:right w:val="single" w:sz="8" w:space="0" w:color="auto"/>
            </w:tcBorders>
            <w:shd w:val="clear" w:color="auto" w:fill="auto"/>
            <w:vAlign w:val="center"/>
            <w:hideMark/>
          </w:tcPr>
          <w:p w14:paraId="0AA91E2B" w14:textId="77777777" w:rsidR="00217829" w:rsidRPr="00217829" w:rsidRDefault="00217829" w:rsidP="00217829">
            <w:pPr>
              <w:rPr>
                <w:rFonts w:ascii="Calibri" w:hAnsi="Calibri" w:cs="Calibri"/>
                <w:color w:val="000000"/>
                <w:sz w:val="20"/>
                <w:szCs w:val="20"/>
              </w:rPr>
            </w:pPr>
            <w:r w:rsidRPr="00217829">
              <w:rPr>
                <w:rFonts w:ascii="Calibri" w:hAnsi="Calibri" w:cs="Calibri"/>
                <w:color w:val="000000"/>
                <w:sz w:val="20"/>
                <w:szCs w:val="20"/>
              </w:rPr>
              <w:t> </w:t>
            </w:r>
          </w:p>
        </w:tc>
        <w:tc>
          <w:tcPr>
            <w:tcW w:w="2520" w:type="dxa"/>
            <w:tcBorders>
              <w:top w:val="nil"/>
              <w:left w:val="nil"/>
              <w:bottom w:val="single" w:sz="8" w:space="0" w:color="auto"/>
              <w:right w:val="single" w:sz="8" w:space="0" w:color="auto"/>
            </w:tcBorders>
            <w:shd w:val="clear" w:color="auto" w:fill="auto"/>
            <w:vAlign w:val="center"/>
            <w:hideMark/>
          </w:tcPr>
          <w:p w14:paraId="14F717C3" w14:textId="426F0C07" w:rsidR="00217829" w:rsidRPr="00217829" w:rsidRDefault="00D12BF0" w:rsidP="00217829">
            <w:pPr>
              <w:rPr>
                <w:rFonts w:ascii="Calibri" w:hAnsi="Calibri" w:cs="Calibri"/>
                <w:color w:val="000000"/>
                <w:sz w:val="20"/>
                <w:szCs w:val="20"/>
              </w:rPr>
            </w:pPr>
            <w:r>
              <w:rPr>
                <w:rFonts w:ascii="Calibri" w:hAnsi="Calibri" w:cs="Calibri"/>
                <w:color w:val="000000"/>
                <w:sz w:val="20"/>
                <w:szCs w:val="20"/>
              </w:rPr>
              <w:t>Added Spanish website text.</w:t>
            </w:r>
          </w:p>
        </w:tc>
      </w:tr>
    </w:tbl>
    <w:p w14:paraId="19B7160F" w14:textId="77777777" w:rsidR="00217829" w:rsidRDefault="00217829" w:rsidP="00A05C17">
      <w:pPr>
        <w:pStyle w:val="BodyText"/>
      </w:pPr>
    </w:p>
    <w:sectPr w:rsidR="00217829" w:rsidSect="008C18B9">
      <w:footerReference w:type="default" r:id="rId11"/>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484BD" w14:textId="77777777" w:rsidR="00630584" w:rsidRDefault="00630584" w:rsidP="006F33B8">
      <w:r>
        <w:separator/>
      </w:r>
    </w:p>
  </w:endnote>
  <w:endnote w:type="continuationSeparator" w:id="0">
    <w:p w14:paraId="6B1AFB45" w14:textId="77777777" w:rsidR="00630584" w:rsidRDefault="00630584" w:rsidP="006F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689549"/>
      <w:docPartObj>
        <w:docPartGallery w:val="Page Numbers (Bottom of Page)"/>
        <w:docPartUnique/>
      </w:docPartObj>
    </w:sdtPr>
    <w:sdtEndPr/>
    <w:sdtContent>
      <w:p w14:paraId="62A99C92" w14:textId="77777777" w:rsidR="00A55D7A" w:rsidRDefault="00A55D7A" w:rsidP="00C1209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6106F" w14:textId="77777777" w:rsidR="00630584" w:rsidRDefault="00630584" w:rsidP="006F33B8">
      <w:r>
        <w:separator/>
      </w:r>
    </w:p>
  </w:footnote>
  <w:footnote w:type="continuationSeparator" w:id="0">
    <w:p w14:paraId="6BA3110A" w14:textId="77777777" w:rsidR="00630584" w:rsidRDefault="00630584" w:rsidP="006F3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072A5AC6"/>
    <w:lvl w:ilvl="0">
      <w:start w:val="1"/>
      <w:numFmt w:val="lowerLetter"/>
      <w:pStyle w:val="ListNumber"/>
      <w:lvlText w:val="%1."/>
      <w:lvlJc w:val="left"/>
      <w:pPr>
        <w:tabs>
          <w:tab w:val="num" w:pos="3240"/>
        </w:tabs>
        <w:ind w:left="3240" w:hanging="360"/>
      </w:pPr>
      <w:rPr>
        <w:rFonts w:hint="default"/>
      </w:rPr>
    </w:lvl>
    <w:lvl w:ilvl="1">
      <w:start w:val="1"/>
      <w:numFmt w:val="bullet"/>
      <w:lvlText w:val=""/>
      <w:lvlJc w:val="left"/>
      <w:pPr>
        <w:tabs>
          <w:tab w:val="num" w:pos="3600"/>
        </w:tabs>
        <w:ind w:left="3600" w:hanging="360"/>
      </w:pPr>
      <w:rPr>
        <w:rFonts w:ascii="Symbol" w:hAnsi="Symbol"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
      <w:lvlJc w:val="left"/>
      <w:pPr>
        <w:tabs>
          <w:tab w:val="num" w:pos="4680"/>
        </w:tabs>
        <w:ind w:left="4680" w:hanging="360"/>
      </w:pPr>
      <w:rPr>
        <w:rFonts w:ascii="Symbol" w:hAnsi="Symbo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400"/>
        </w:tabs>
        <w:ind w:left="5400" w:hanging="360"/>
      </w:pPr>
      <w:rPr>
        <w:rFonts w:ascii="Wingdings" w:hAnsi="Wingdings"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120"/>
        </w:tabs>
        <w:ind w:left="6120" w:hanging="360"/>
      </w:pPr>
      <w:rPr>
        <w:rFonts w:ascii="Symbol" w:hAnsi="Symbol" w:hint="default"/>
      </w:rPr>
    </w:lvl>
  </w:abstractNum>
  <w:abstractNum w:abstractNumId="1" w15:restartNumberingAfterBreak="0">
    <w:nsid w:val="04B36863"/>
    <w:multiLevelType w:val="hybridMultilevel"/>
    <w:tmpl w:val="4BC05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C57C7"/>
    <w:multiLevelType w:val="hybridMultilevel"/>
    <w:tmpl w:val="64AA2D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B974A0"/>
    <w:multiLevelType w:val="hybridMultilevel"/>
    <w:tmpl w:val="E962D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D09FD"/>
    <w:multiLevelType w:val="hybridMultilevel"/>
    <w:tmpl w:val="C608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A0127"/>
    <w:multiLevelType w:val="hybridMultilevel"/>
    <w:tmpl w:val="C2BAE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345A76"/>
    <w:multiLevelType w:val="hybridMultilevel"/>
    <w:tmpl w:val="6B287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660C5"/>
    <w:multiLevelType w:val="multilevel"/>
    <w:tmpl w:val="176E3C6C"/>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2EA22ABC"/>
    <w:multiLevelType w:val="hybridMultilevel"/>
    <w:tmpl w:val="40567406"/>
    <w:lvl w:ilvl="0" w:tplc="AF32C62C">
      <w:start w:val="1"/>
      <w:numFmt w:val="bullet"/>
      <w:pStyle w:val="bulletround"/>
      <w:lvlText w:val=""/>
      <w:lvlJc w:val="left"/>
      <w:pPr>
        <w:ind w:left="720" w:hanging="360"/>
      </w:pPr>
      <w:rPr>
        <w:rFonts w:ascii="Symbol" w:hAnsi="Symbol" w:hint="default"/>
      </w:rPr>
    </w:lvl>
    <w:lvl w:ilvl="1" w:tplc="8E1C6708">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1CC0037"/>
    <w:multiLevelType w:val="hybridMultilevel"/>
    <w:tmpl w:val="DEEA3FDC"/>
    <w:lvl w:ilvl="0" w:tplc="8460CAE2">
      <w:start w:val="1"/>
      <w:numFmt w:val="lowerLetter"/>
      <w:lvlText w:val="%1."/>
      <w:lvlJc w:val="left"/>
      <w:pPr>
        <w:tabs>
          <w:tab w:val="num" w:pos="360"/>
        </w:tabs>
        <w:ind w:left="360" w:hanging="360"/>
      </w:pPr>
      <w:rPr>
        <w:rFonts w:hint="default"/>
        <w:sz w:val="24"/>
      </w:rPr>
    </w:lvl>
    <w:lvl w:ilvl="1" w:tplc="04090003">
      <w:start w:val="1"/>
      <w:numFmt w:val="bullet"/>
      <w:pStyle w:val="bullet2ndlevel"/>
      <w:lvlText w:val=""/>
      <w:lvlJc w:val="left"/>
      <w:pPr>
        <w:tabs>
          <w:tab w:val="num" w:pos="720"/>
        </w:tabs>
        <w:ind w:left="720" w:hanging="360"/>
      </w:pPr>
      <w:rPr>
        <w:rFonts w:ascii="Symbol" w:hAnsi="Symbol" w:hint="default"/>
        <w:sz w:val="24"/>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43DE6B1A"/>
    <w:multiLevelType w:val="hybridMultilevel"/>
    <w:tmpl w:val="185271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8134CAA"/>
    <w:multiLevelType w:val="hybridMultilevel"/>
    <w:tmpl w:val="D7F6A488"/>
    <w:lvl w:ilvl="0" w:tplc="74C2CA7A">
      <w:start w:val="1"/>
      <w:numFmt w:val="bullet"/>
      <w:lvlText w:val="•"/>
      <w:lvlJc w:val="left"/>
      <w:pPr>
        <w:tabs>
          <w:tab w:val="num" w:pos="720"/>
        </w:tabs>
        <w:ind w:left="720" w:hanging="360"/>
      </w:pPr>
      <w:rPr>
        <w:rFonts w:ascii="Arial" w:hAnsi="Arial" w:cs="Times New Roman" w:hint="default"/>
      </w:rPr>
    </w:lvl>
    <w:lvl w:ilvl="1" w:tplc="58BEE3FE">
      <w:start w:val="1"/>
      <w:numFmt w:val="bullet"/>
      <w:lvlText w:val="•"/>
      <w:lvlJc w:val="left"/>
      <w:pPr>
        <w:tabs>
          <w:tab w:val="num" w:pos="1440"/>
        </w:tabs>
        <w:ind w:left="1440" w:hanging="360"/>
      </w:pPr>
      <w:rPr>
        <w:rFonts w:ascii="Arial" w:hAnsi="Arial" w:cs="Times New Roman" w:hint="default"/>
      </w:rPr>
    </w:lvl>
    <w:lvl w:ilvl="2" w:tplc="05780D2C">
      <w:start w:val="1"/>
      <w:numFmt w:val="bullet"/>
      <w:lvlText w:val="•"/>
      <w:lvlJc w:val="left"/>
      <w:pPr>
        <w:tabs>
          <w:tab w:val="num" w:pos="2160"/>
        </w:tabs>
        <w:ind w:left="2160" w:hanging="360"/>
      </w:pPr>
      <w:rPr>
        <w:rFonts w:ascii="Arial" w:hAnsi="Arial" w:cs="Times New Roman" w:hint="default"/>
      </w:rPr>
    </w:lvl>
    <w:lvl w:ilvl="3" w:tplc="A5345B84">
      <w:start w:val="1"/>
      <w:numFmt w:val="bullet"/>
      <w:lvlText w:val="•"/>
      <w:lvlJc w:val="left"/>
      <w:pPr>
        <w:tabs>
          <w:tab w:val="num" w:pos="2880"/>
        </w:tabs>
        <w:ind w:left="2880" w:hanging="360"/>
      </w:pPr>
      <w:rPr>
        <w:rFonts w:ascii="Arial" w:hAnsi="Arial" w:cs="Times New Roman" w:hint="default"/>
      </w:rPr>
    </w:lvl>
    <w:lvl w:ilvl="4" w:tplc="6C542C66">
      <w:start w:val="1"/>
      <w:numFmt w:val="bullet"/>
      <w:lvlText w:val="•"/>
      <w:lvlJc w:val="left"/>
      <w:pPr>
        <w:tabs>
          <w:tab w:val="num" w:pos="3600"/>
        </w:tabs>
        <w:ind w:left="3600" w:hanging="360"/>
      </w:pPr>
      <w:rPr>
        <w:rFonts w:ascii="Arial" w:hAnsi="Arial" w:cs="Times New Roman" w:hint="default"/>
      </w:rPr>
    </w:lvl>
    <w:lvl w:ilvl="5" w:tplc="91CA5BE4">
      <w:start w:val="1"/>
      <w:numFmt w:val="bullet"/>
      <w:lvlText w:val="•"/>
      <w:lvlJc w:val="left"/>
      <w:pPr>
        <w:tabs>
          <w:tab w:val="num" w:pos="4320"/>
        </w:tabs>
        <w:ind w:left="4320" w:hanging="360"/>
      </w:pPr>
      <w:rPr>
        <w:rFonts w:ascii="Arial" w:hAnsi="Arial" w:cs="Times New Roman" w:hint="default"/>
      </w:rPr>
    </w:lvl>
    <w:lvl w:ilvl="6" w:tplc="BC7C7478">
      <w:start w:val="1"/>
      <w:numFmt w:val="bullet"/>
      <w:lvlText w:val="•"/>
      <w:lvlJc w:val="left"/>
      <w:pPr>
        <w:tabs>
          <w:tab w:val="num" w:pos="5040"/>
        </w:tabs>
        <w:ind w:left="5040" w:hanging="360"/>
      </w:pPr>
      <w:rPr>
        <w:rFonts w:ascii="Arial" w:hAnsi="Arial" w:cs="Times New Roman" w:hint="default"/>
      </w:rPr>
    </w:lvl>
    <w:lvl w:ilvl="7" w:tplc="A14A187C">
      <w:start w:val="1"/>
      <w:numFmt w:val="bullet"/>
      <w:lvlText w:val="•"/>
      <w:lvlJc w:val="left"/>
      <w:pPr>
        <w:tabs>
          <w:tab w:val="num" w:pos="5760"/>
        </w:tabs>
        <w:ind w:left="5760" w:hanging="360"/>
      </w:pPr>
      <w:rPr>
        <w:rFonts w:ascii="Arial" w:hAnsi="Arial" w:cs="Times New Roman" w:hint="default"/>
      </w:rPr>
    </w:lvl>
    <w:lvl w:ilvl="8" w:tplc="9F3E948C">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488676B7"/>
    <w:multiLevelType w:val="hybridMultilevel"/>
    <w:tmpl w:val="51AE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35635A"/>
    <w:multiLevelType w:val="hybridMultilevel"/>
    <w:tmpl w:val="54B4D4CA"/>
    <w:lvl w:ilvl="0" w:tplc="04090019">
      <w:start w:val="1"/>
      <w:numFmt w:val="lowerLetter"/>
      <w:lvlText w:val="%1."/>
      <w:lvlJc w:val="left"/>
      <w:pPr>
        <w:ind w:left="1440" w:hanging="360"/>
      </w:pPr>
      <w:rPr>
        <w:rFonts w:hint="default"/>
        <w:b/>
      </w:rPr>
    </w:lvl>
    <w:lvl w:ilvl="1" w:tplc="E500C300" w:tentative="1">
      <w:start w:val="1"/>
      <w:numFmt w:val="lowerLetter"/>
      <w:lvlText w:val="%2."/>
      <w:lvlJc w:val="left"/>
      <w:pPr>
        <w:ind w:left="2160" w:hanging="360"/>
      </w:pPr>
    </w:lvl>
    <w:lvl w:ilvl="2" w:tplc="4CA0E354" w:tentative="1">
      <w:start w:val="1"/>
      <w:numFmt w:val="lowerRoman"/>
      <w:lvlText w:val="%3."/>
      <w:lvlJc w:val="right"/>
      <w:pPr>
        <w:ind w:left="2880" w:hanging="180"/>
      </w:pPr>
    </w:lvl>
    <w:lvl w:ilvl="3" w:tplc="B89E221E" w:tentative="1">
      <w:start w:val="1"/>
      <w:numFmt w:val="decimal"/>
      <w:lvlText w:val="%4."/>
      <w:lvlJc w:val="left"/>
      <w:pPr>
        <w:ind w:left="3600" w:hanging="360"/>
      </w:pPr>
    </w:lvl>
    <w:lvl w:ilvl="4" w:tplc="5F769654" w:tentative="1">
      <w:start w:val="1"/>
      <w:numFmt w:val="lowerLetter"/>
      <w:lvlText w:val="%5."/>
      <w:lvlJc w:val="left"/>
      <w:pPr>
        <w:ind w:left="4320" w:hanging="360"/>
      </w:pPr>
    </w:lvl>
    <w:lvl w:ilvl="5" w:tplc="91201F88" w:tentative="1">
      <w:start w:val="1"/>
      <w:numFmt w:val="lowerRoman"/>
      <w:lvlText w:val="%6."/>
      <w:lvlJc w:val="right"/>
      <w:pPr>
        <w:ind w:left="5040" w:hanging="180"/>
      </w:pPr>
    </w:lvl>
    <w:lvl w:ilvl="6" w:tplc="2E524F4A" w:tentative="1">
      <w:start w:val="1"/>
      <w:numFmt w:val="decimal"/>
      <w:lvlText w:val="%7."/>
      <w:lvlJc w:val="left"/>
      <w:pPr>
        <w:ind w:left="5760" w:hanging="360"/>
      </w:pPr>
    </w:lvl>
    <w:lvl w:ilvl="7" w:tplc="21A4F826" w:tentative="1">
      <w:start w:val="1"/>
      <w:numFmt w:val="lowerLetter"/>
      <w:lvlText w:val="%8."/>
      <w:lvlJc w:val="left"/>
      <w:pPr>
        <w:ind w:left="6480" w:hanging="360"/>
      </w:pPr>
    </w:lvl>
    <w:lvl w:ilvl="8" w:tplc="75D4B268" w:tentative="1">
      <w:start w:val="1"/>
      <w:numFmt w:val="lowerRoman"/>
      <w:lvlText w:val="%9."/>
      <w:lvlJc w:val="right"/>
      <w:pPr>
        <w:ind w:left="7200" w:hanging="180"/>
      </w:pPr>
    </w:lvl>
  </w:abstractNum>
  <w:abstractNum w:abstractNumId="14" w15:restartNumberingAfterBreak="0">
    <w:nsid w:val="5B330D57"/>
    <w:multiLevelType w:val="multilevel"/>
    <w:tmpl w:val="15106D86"/>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5FB03221"/>
    <w:multiLevelType w:val="hybridMultilevel"/>
    <w:tmpl w:val="4BC05694"/>
    <w:lvl w:ilvl="0" w:tplc="6AF0D1E6">
      <w:start w:val="1"/>
      <w:numFmt w:val="lowerLetter"/>
      <w:lvlText w:val="%1."/>
      <w:lvlJc w:val="left"/>
      <w:pPr>
        <w:ind w:left="720" w:hanging="360"/>
      </w:pPr>
      <w:rPr>
        <w:rFonts w:hint="default"/>
      </w:rPr>
    </w:lvl>
    <w:lvl w:ilvl="1" w:tplc="E0F6DCB8" w:tentative="1">
      <w:start w:val="1"/>
      <w:numFmt w:val="lowerLetter"/>
      <w:lvlText w:val="%2."/>
      <w:lvlJc w:val="left"/>
      <w:pPr>
        <w:ind w:left="1440" w:hanging="360"/>
      </w:pPr>
    </w:lvl>
    <w:lvl w:ilvl="2" w:tplc="0C4625C2" w:tentative="1">
      <w:start w:val="1"/>
      <w:numFmt w:val="lowerRoman"/>
      <w:lvlText w:val="%3."/>
      <w:lvlJc w:val="right"/>
      <w:pPr>
        <w:ind w:left="2160" w:hanging="180"/>
      </w:pPr>
    </w:lvl>
    <w:lvl w:ilvl="3" w:tplc="EE5006BE" w:tentative="1">
      <w:start w:val="1"/>
      <w:numFmt w:val="decimal"/>
      <w:lvlText w:val="%4."/>
      <w:lvlJc w:val="left"/>
      <w:pPr>
        <w:ind w:left="2880" w:hanging="360"/>
      </w:pPr>
    </w:lvl>
    <w:lvl w:ilvl="4" w:tplc="23446F60" w:tentative="1">
      <w:start w:val="1"/>
      <w:numFmt w:val="lowerLetter"/>
      <w:lvlText w:val="%5."/>
      <w:lvlJc w:val="left"/>
      <w:pPr>
        <w:ind w:left="3600" w:hanging="360"/>
      </w:pPr>
    </w:lvl>
    <w:lvl w:ilvl="5" w:tplc="4F16531A" w:tentative="1">
      <w:start w:val="1"/>
      <w:numFmt w:val="lowerRoman"/>
      <w:lvlText w:val="%6."/>
      <w:lvlJc w:val="right"/>
      <w:pPr>
        <w:ind w:left="4320" w:hanging="180"/>
      </w:pPr>
    </w:lvl>
    <w:lvl w:ilvl="6" w:tplc="9F76E924" w:tentative="1">
      <w:start w:val="1"/>
      <w:numFmt w:val="decimal"/>
      <w:lvlText w:val="%7."/>
      <w:lvlJc w:val="left"/>
      <w:pPr>
        <w:ind w:left="5040" w:hanging="360"/>
      </w:pPr>
    </w:lvl>
    <w:lvl w:ilvl="7" w:tplc="D0BC7758" w:tentative="1">
      <w:start w:val="1"/>
      <w:numFmt w:val="lowerLetter"/>
      <w:lvlText w:val="%8."/>
      <w:lvlJc w:val="left"/>
      <w:pPr>
        <w:ind w:left="5760" w:hanging="360"/>
      </w:pPr>
    </w:lvl>
    <w:lvl w:ilvl="8" w:tplc="035AE7AE" w:tentative="1">
      <w:start w:val="1"/>
      <w:numFmt w:val="lowerRoman"/>
      <w:lvlText w:val="%9."/>
      <w:lvlJc w:val="right"/>
      <w:pPr>
        <w:ind w:left="6480" w:hanging="180"/>
      </w:pPr>
    </w:lvl>
  </w:abstractNum>
  <w:abstractNum w:abstractNumId="16" w15:restartNumberingAfterBreak="0">
    <w:nsid w:val="612E72DF"/>
    <w:multiLevelType w:val="hybridMultilevel"/>
    <w:tmpl w:val="CCE404B2"/>
    <w:lvl w:ilvl="0" w:tplc="04090019">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E679B8"/>
    <w:multiLevelType w:val="hybridMultilevel"/>
    <w:tmpl w:val="5D90EE3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570AD8"/>
    <w:multiLevelType w:val="hybridMultilevel"/>
    <w:tmpl w:val="2326C91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6"/>
  </w:num>
  <w:num w:numId="4">
    <w:abstractNumId w:val="13"/>
  </w:num>
  <w:num w:numId="5">
    <w:abstractNumId w:val="15"/>
  </w:num>
  <w:num w:numId="6">
    <w:abstractNumId w:val="1"/>
  </w:num>
  <w:num w:numId="7">
    <w:abstractNumId w:val="9"/>
  </w:num>
  <w:num w:numId="8">
    <w:abstractNumId w:val="14"/>
  </w:num>
  <w:num w:numId="9">
    <w:abstractNumId w:val="14"/>
  </w:num>
  <w:num w:numId="10">
    <w:abstractNumId w:val="0"/>
  </w:num>
  <w:num w:numId="1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4"/>
    <w:lvlOverride w:ilvl="0">
      <w:startOverride w:val="2"/>
    </w:lvlOverride>
    <w:lvlOverride w:ilvl="1">
      <w:startOverride w:val="1"/>
    </w:lvlOverride>
    <w:lvlOverride w:ilvl="2">
      <w:startOverride w:val="5"/>
    </w:lvlOverride>
  </w:num>
  <w:num w:numId="14">
    <w:abstractNumId w:val="8"/>
  </w:num>
  <w:num w:numId="1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2"/>
    </w:lvlOverride>
    <w:lvlOverride w:ilvl="1">
      <w:startOverride w:val="4"/>
    </w:lvlOverride>
  </w:num>
  <w:num w:numId="17">
    <w:abstractNumId w:val="8"/>
  </w:num>
  <w:num w:numId="18">
    <w:abstractNumId w:val="10"/>
  </w:num>
  <w:num w:numId="19">
    <w:abstractNumId w:val="8"/>
  </w:num>
  <w:num w:numId="20">
    <w:abstractNumId w:val="4"/>
  </w:num>
  <w:num w:numId="21">
    <w:abstractNumId w:val="17"/>
  </w:num>
  <w:num w:numId="22">
    <w:abstractNumId w:val="18"/>
  </w:num>
  <w:num w:numId="23">
    <w:abstractNumId w:val="5"/>
  </w:num>
  <w:num w:numId="24">
    <w:abstractNumId w:val="6"/>
  </w:num>
  <w:num w:numId="25">
    <w:abstractNumId w:val="2"/>
  </w:num>
  <w:num w:numId="26">
    <w:abstractNumId w:val="3"/>
  </w:num>
  <w:num w:numId="27">
    <w:abstractNumId w:val="12"/>
  </w:num>
  <w:num w:numId="28">
    <w:abstractNumId w:val="11"/>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36"/>
    <w:rsid w:val="000028A2"/>
    <w:rsid w:val="00010B36"/>
    <w:rsid w:val="000228B0"/>
    <w:rsid w:val="00045495"/>
    <w:rsid w:val="00047E1B"/>
    <w:rsid w:val="00053DDC"/>
    <w:rsid w:val="00056503"/>
    <w:rsid w:val="00060298"/>
    <w:rsid w:val="00082A4F"/>
    <w:rsid w:val="00090A70"/>
    <w:rsid w:val="00093E08"/>
    <w:rsid w:val="000A4DD2"/>
    <w:rsid w:val="000A5579"/>
    <w:rsid w:val="000A6861"/>
    <w:rsid w:val="000C1883"/>
    <w:rsid w:val="000D4838"/>
    <w:rsid w:val="000E710D"/>
    <w:rsid w:val="00105D3A"/>
    <w:rsid w:val="0011543A"/>
    <w:rsid w:val="00121E0F"/>
    <w:rsid w:val="00124F39"/>
    <w:rsid w:val="00131A96"/>
    <w:rsid w:val="0014227A"/>
    <w:rsid w:val="00145CFD"/>
    <w:rsid w:val="00147412"/>
    <w:rsid w:val="00170D31"/>
    <w:rsid w:val="00171A20"/>
    <w:rsid w:val="00180A31"/>
    <w:rsid w:val="0018592A"/>
    <w:rsid w:val="001A004C"/>
    <w:rsid w:val="001C0AEA"/>
    <w:rsid w:val="001C42C7"/>
    <w:rsid w:val="001E7594"/>
    <w:rsid w:val="001E765D"/>
    <w:rsid w:val="001F1553"/>
    <w:rsid w:val="001F5516"/>
    <w:rsid w:val="00217829"/>
    <w:rsid w:val="00227FE5"/>
    <w:rsid w:val="00246B61"/>
    <w:rsid w:val="00262ADD"/>
    <w:rsid w:val="002730F3"/>
    <w:rsid w:val="00274A77"/>
    <w:rsid w:val="00274FF7"/>
    <w:rsid w:val="0027609D"/>
    <w:rsid w:val="00284BFE"/>
    <w:rsid w:val="00297D28"/>
    <w:rsid w:val="002E2484"/>
    <w:rsid w:val="002E4BAF"/>
    <w:rsid w:val="002F723A"/>
    <w:rsid w:val="0030596F"/>
    <w:rsid w:val="00311355"/>
    <w:rsid w:val="00315D51"/>
    <w:rsid w:val="003205E2"/>
    <w:rsid w:val="003352A9"/>
    <w:rsid w:val="00375162"/>
    <w:rsid w:val="0039033B"/>
    <w:rsid w:val="00397F20"/>
    <w:rsid w:val="003B4F7E"/>
    <w:rsid w:val="003D0BFF"/>
    <w:rsid w:val="003D1395"/>
    <w:rsid w:val="003D4349"/>
    <w:rsid w:val="003F0691"/>
    <w:rsid w:val="00417853"/>
    <w:rsid w:val="00451EA9"/>
    <w:rsid w:val="0045347B"/>
    <w:rsid w:val="004875F4"/>
    <w:rsid w:val="004A3232"/>
    <w:rsid w:val="004B19FE"/>
    <w:rsid w:val="004C10CC"/>
    <w:rsid w:val="004E0A2F"/>
    <w:rsid w:val="004E356C"/>
    <w:rsid w:val="00505281"/>
    <w:rsid w:val="00521C28"/>
    <w:rsid w:val="00522D74"/>
    <w:rsid w:val="00530A74"/>
    <w:rsid w:val="00530C90"/>
    <w:rsid w:val="00532D84"/>
    <w:rsid w:val="005346A2"/>
    <w:rsid w:val="00537E78"/>
    <w:rsid w:val="00550CFF"/>
    <w:rsid w:val="005575A1"/>
    <w:rsid w:val="00580493"/>
    <w:rsid w:val="00597BE9"/>
    <w:rsid w:val="005B1398"/>
    <w:rsid w:val="005C4003"/>
    <w:rsid w:val="005D3144"/>
    <w:rsid w:val="005F2D44"/>
    <w:rsid w:val="006133A1"/>
    <w:rsid w:val="0061541C"/>
    <w:rsid w:val="00630584"/>
    <w:rsid w:val="006433B2"/>
    <w:rsid w:val="006A0D43"/>
    <w:rsid w:val="006A2F9A"/>
    <w:rsid w:val="006B6674"/>
    <w:rsid w:val="006C34E0"/>
    <w:rsid w:val="006E1D9F"/>
    <w:rsid w:val="006E6572"/>
    <w:rsid w:val="006F33B8"/>
    <w:rsid w:val="007013C9"/>
    <w:rsid w:val="00704383"/>
    <w:rsid w:val="00712880"/>
    <w:rsid w:val="00714DC1"/>
    <w:rsid w:val="0071603F"/>
    <w:rsid w:val="0072103D"/>
    <w:rsid w:val="00747116"/>
    <w:rsid w:val="0075007F"/>
    <w:rsid w:val="00755813"/>
    <w:rsid w:val="00772C39"/>
    <w:rsid w:val="00791428"/>
    <w:rsid w:val="007A476B"/>
    <w:rsid w:val="007D5888"/>
    <w:rsid w:val="007E6373"/>
    <w:rsid w:val="00805C71"/>
    <w:rsid w:val="0081123B"/>
    <w:rsid w:val="00811D1F"/>
    <w:rsid w:val="0082097F"/>
    <w:rsid w:val="00820A40"/>
    <w:rsid w:val="00843875"/>
    <w:rsid w:val="008439D6"/>
    <w:rsid w:val="00852AD3"/>
    <w:rsid w:val="00853006"/>
    <w:rsid w:val="00855DE6"/>
    <w:rsid w:val="00882E59"/>
    <w:rsid w:val="00886DCA"/>
    <w:rsid w:val="00896D8B"/>
    <w:rsid w:val="00897220"/>
    <w:rsid w:val="008C18B9"/>
    <w:rsid w:val="008D4678"/>
    <w:rsid w:val="008F0530"/>
    <w:rsid w:val="008F3397"/>
    <w:rsid w:val="008F487B"/>
    <w:rsid w:val="0092036D"/>
    <w:rsid w:val="0096132B"/>
    <w:rsid w:val="0097593F"/>
    <w:rsid w:val="00994CC9"/>
    <w:rsid w:val="009D2B54"/>
    <w:rsid w:val="009D3DFC"/>
    <w:rsid w:val="009F6F55"/>
    <w:rsid w:val="00A02D2D"/>
    <w:rsid w:val="00A041C0"/>
    <w:rsid w:val="00A05C17"/>
    <w:rsid w:val="00A257AB"/>
    <w:rsid w:val="00A31422"/>
    <w:rsid w:val="00A335A6"/>
    <w:rsid w:val="00A4396F"/>
    <w:rsid w:val="00A515FD"/>
    <w:rsid w:val="00A55D7A"/>
    <w:rsid w:val="00A80083"/>
    <w:rsid w:val="00A929E7"/>
    <w:rsid w:val="00A94EC4"/>
    <w:rsid w:val="00AA0569"/>
    <w:rsid w:val="00AB4FE9"/>
    <w:rsid w:val="00AB6BF2"/>
    <w:rsid w:val="00AC14B7"/>
    <w:rsid w:val="00AC1DEA"/>
    <w:rsid w:val="00AD05B2"/>
    <w:rsid w:val="00AD6E58"/>
    <w:rsid w:val="00AE53D4"/>
    <w:rsid w:val="00AE6BDC"/>
    <w:rsid w:val="00B16505"/>
    <w:rsid w:val="00B261DB"/>
    <w:rsid w:val="00B41338"/>
    <w:rsid w:val="00B47E9C"/>
    <w:rsid w:val="00B502E2"/>
    <w:rsid w:val="00B50C17"/>
    <w:rsid w:val="00B60692"/>
    <w:rsid w:val="00B63560"/>
    <w:rsid w:val="00B70D9B"/>
    <w:rsid w:val="00B84E3B"/>
    <w:rsid w:val="00B855C7"/>
    <w:rsid w:val="00BC0D93"/>
    <w:rsid w:val="00BD21B4"/>
    <w:rsid w:val="00BD53EE"/>
    <w:rsid w:val="00BD5622"/>
    <w:rsid w:val="00BE293A"/>
    <w:rsid w:val="00C00F7E"/>
    <w:rsid w:val="00C01874"/>
    <w:rsid w:val="00C12094"/>
    <w:rsid w:val="00C26DB2"/>
    <w:rsid w:val="00C36F2C"/>
    <w:rsid w:val="00C45C5F"/>
    <w:rsid w:val="00C62EE3"/>
    <w:rsid w:val="00C662E2"/>
    <w:rsid w:val="00C935FD"/>
    <w:rsid w:val="00CA24A2"/>
    <w:rsid w:val="00CC1157"/>
    <w:rsid w:val="00CD33EC"/>
    <w:rsid w:val="00CF2C08"/>
    <w:rsid w:val="00D0039E"/>
    <w:rsid w:val="00D12BF0"/>
    <w:rsid w:val="00D15676"/>
    <w:rsid w:val="00D35080"/>
    <w:rsid w:val="00D72803"/>
    <w:rsid w:val="00D90798"/>
    <w:rsid w:val="00D93111"/>
    <w:rsid w:val="00DB4342"/>
    <w:rsid w:val="00DD05AA"/>
    <w:rsid w:val="00E06303"/>
    <w:rsid w:val="00E07D03"/>
    <w:rsid w:val="00E15ED2"/>
    <w:rsid w:val="00E37A4E"/>
    <w:rsid w:val="00E44860"/>
    <w:rsid w:val="00E67B79"/>
    <w:rsid w:val="00EA02F7"/>
    <w:rsid w:val="00EA1503"/>
    <w:rsid w:val="00EA3EE9"/>
    <w:rsid w:val="00EB535F"/>
    <w:rsid w:val="00EC3292"/>
    <w:rsid w:val="00ED28B6"/>
    <w:rsid w:val="00F27E57"/>
    <w:rsid w:val="00F3091E"/>
    <w:rsid w:val="00F42337"/>
    <w:rsid w:val="00F557F5"/>
    <w:rsid w:val="00F64408"/>
    <w:rsid w:val="00F65823"/>
    <w:rsid w:val="00F834AD"/>
    <w:rsid w:val="00F848A2"/>
    <w:rsid w:val="00F861DC"/>
    <w:rsid w:val="00F902CC"/>
    <w:rsid w:val="00F91954"/>
    <w:rsid w:val="00FA5CD1"/>
    <w:rsid w:val="00FC60F4"/>
    <w:rsid w:val="00FF3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B2C1"/>
  <w15:docId w15:val="{DBD6098E-B149-4B30-911A-B32CA17F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B36"/>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F33B8"/>
    <w:pPr>
      <w:keepNext/>
      <w:numPr>
        <w:numId w:val="1"/>
      </w:numPr>
      <w:tabs>
        <w:tab w:val="left" w:pos="540"/>
      </w:tabs>
      <w:spacing w:after="120"/>
      <w:outlineLvl w:val="0"/>
    </w:pPr>
    <w:rPr>
      <w:rFonts w:ascii="Arial" w:hAnsi="Arial" w:cs="Arial"/>
      <w:b/>
      <w:sz w:val="28"/>
      <w:szCs w:val="20"/>
    </w:rPr>
  </w:style>
  <w:style w:type="paragraph" w:styleId="Heading2">
    <w:name w:val="heading 2"/>
    <w:basedOn w:val="Normal"/>
    <w:next w:val="BodyText"/>
    <w:link w:val="Heading2Char"/>
    <w:uiPriority w:val="99"/>
    <w:qFormat/>
    <w:rsid w:val="006F33B8"/>
    <w:pPr>
      <w:keepNext/>
      <w:numPr>
        <w:ilvl w:val="1"/>
        <w:numId w:val="1"/>
      </w:numPr>
      <w:overflowPunct w:val="0"/>
      <w:autoSpaceDE w:val="0"/>
      <w:autoSpaceDN w:val="0"/>
      <w:adjustRightInd w:val="0"/>
      <w:spacing w:before="120" w:after="120" w:line="320" w:lineRule="atLeast"/>
      <w:textAlignment w:val="baseline"/>
      <w:outlineLvl w:val="1"/>
    </w:pPr>
    <w:rPr>
      <w:rFonts w:ascii="Arial" w:hAnsi="Arial" w:cs="Arial"/>
      <w:b/>
      <w:bCs/>
      <w:iCs/>
      <w:szCs w:val="28"/>
    </w:rPr>
  </w:style>
  <w:style w:type="paragraph" w:styleId="Heading3">
    <w:name w:val="heading 3"/>
    <w:basedOn w:val="Heading2"/>
    <w:next w:val="Normal"/>
    <w:link w:val="Heading3Char"/>
    <w:uiPriority w:val="99"/>
    <w:qFormat/>
    <w:rsid w:val="006F33B8"/>
    <w:pPr>
      <w:numPr>
        <w:ilvl w:val="2"/>
      </w:numPr>
      <w:tabs>
        <w:tab w:val="left" w:pos="1627"/>
      </w:tabs>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5495"/>
    <w:pPr>
      <w:spacing w:before="120" w:after="120"/>
    </w:pPr>
    <w:rPr>
      <w:rFonts w:ascii="Garamond" w:hAnsi="Garamond"/>
      <w:kern w:val="16"/>
      <w:szCs w:val="20"/>
    </w:rPr>
  </w:style>
  <w:style w:type="character" w:customStyle="1" w:styleId="BodyTextChar">
    <w:name w:val="Body Text Char"/>
    <w:basedOn w:val="DefaultParagraphFont"/>
    <w:link w:val="BodyText"/>
    <w:rsid w:val="00045495"/>
    <w:rPr>
      <w:rFonts w:ascii="Garamond" w:eastAsia="Times New Roman" w:hAnsi="Garamond" w:cs="Times New Roman"/>
      <w:kern w:val="16"/>
      <w:sz w:val="24"/>
      <w:szCs w:val="20"/>
    </w:rPr>
  </w:style>
  <w:style w:type="paragraph" w:customStyle="1" w:styleId="TableTitle">
    <w:name w:val="Table Title"/>
    <w:basedOn w:val="Normal"/>
    <w:link w:val="TableTitleChar"/>
    <w:uiPriority w:val="99"/>
    <w:qFormat/>
    <w:rsid w:val="00045495"/>
    <w:pPr>
      <w:keepNext/>
      <w:spacing w:before="240" w:after="80"/>
      <w:ind w:left="994" w:hanging="994"/>
      <w:outlineLvl w:val="3"/>
    </w:pPr>
    <w:rPr>
      <w:rFonts w:ascii="Arial" w:hAnsi="Arial"/>
      <w:b/>
      <w:kern w:val="16"/>
      <w:sz w:val="20"/>
      <w:szCs w:val="20"/>
    </w:rPr>
  </w:style>
  <w:style w:type="character" w:customStyle="1" w:styleId="TableTitleChar">
    <w:name w:val="Table Title Char"/>
    <w:basedOn w:val="DefaultParagraphFont"/>
    <w:link w:val="TableTitle"/>
    <w:uiPriority w:val="99"/>
    <w:locked/>
    <w:rsid w:val="00045495"/>
    <w:rPr>
      <w:rFonts w:ascii="Arial" w:eastAsia="Times New Roman" w:hAnsi="Arial" w:cs="Times New Roman"/>
      <w:b/>
      <w:kern w:val="16"/>
      <w:sz w:val="20"/>
      <w:szCs w:val="20"/>
    </w:rPr>
  </w:style>
  <w:style w:type="table" w:styleId="TableGrid">
    <w:name w:val="Table Grid"/>
    <w:aliases w:val="RTI NCES Table"/>
    <w:basedOn w:val="TableNormal"/>
    <w:rsid w:val="00045495"/>
    <w:pPr>
      <w:spacing w:before="20" w:after="20" w:line="240" w:lineRule="auto"/>
      <w:jc w:val="right"/>
    </w:pPr>
    <w:rPr>
      <w:rFonts w:ascii="Arial" w:eastAsia="Times New Roman" w:hAnsi="Arial" w:cs="Times New Roman"/>
      <w:sz w:val="18"/>
      <w:szCs w:val="20"/>
    </w:rPr>
    <w:tblPr>
      <w:tblBorders>
        <w:top w:val="single" w:sz="12" w:space="0" w:color="auto"/>
        <w:bottom w:val="single" w:sz="12" w:space="0" w:color="auto"/>
      </w:tblBorders>
      <w:tblCellMar>
        <w:left w:w="72" w:type="dxa"/>
        <w:right w:w="72" w:type="dxa"/>
      </w:tblCellMar>
    </w:tblPr>
    <w:trPr>
      <w:cantSplit/>
    </w:trPr>
    <w:tcPr>
      <w:vAlign w:val="bottom"/>
    </w:tc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045495"/>
    <w:pPr>
      <w:keepNext/>
      <w:spacing w:before="20" w:after="20"/>
    </w:pPr>
    <w:rPr>
      <w:rFonts w:ascii="Arial" w:hAnsi="Arial"/>
      <w:kern w:val="16"/>
      <w:sz w:val="18"/>
      <w:szCs w:val="20"/>
    </w:rPr>
  </w:style>
  <w:style w:type="character" w:customStyle="1" w:styleId="TabletextChar">
    <w:name w:val="Table text Char"/>
    <w:basedOn w:val="DefaultParagraphFont"/>
    <w:link w:val="Tabletext"/>
    <w:locked/>
    <w:rsid w:val="00045495"/>
    <w:rPr>
      <w:rFonts w:ascii="Arial" w:eastAsia="Times New Roman" w:hAnsi="Arial" w:cs="Times New Roman"/>
      <w:kern w:val="16"/>
      <w:sz w:val="18"/>
      <w:szCs w:val="20"/>
    </w:rPr>
  </w:style>
  <w:style w:type="paragraph" w:customStyle="1" w:styleId="3ensptotalnosubgroup">
    <w:name w:val="3 en sp (total no subgroup)"/>
    <w:basedOn w:val="Normal"/>
    <w:rsid w:val="00045495"/>
    <w:pPr>
      <w:keepNext/>
      <w:spacing w:before="20" w:after="20"/>
      <w:ind w:left="675" w:hanging="342"/>
    </w:pPr>
    <w:rPr>
      <w:rFonts w:ascii="Arial" w:eastAsia="Arial Unicode MS" w:hAnsi="Arial"/>
      <w:kern w:val="2"/>
      <w:sz w:val="18"/>
      <w:szCs w:val="20"/>
    </w:rPr>
  </w:style>
  <w:style w:type="paragraph" w:customStyle="1" w:styleId="Tableheading">
    <w:name w:val="Table heading"/>
    <w:basedOn w:val="Tabletext"/>
    <w:link w:val="TableheadingChar"/>
    <w:rsid w:val="00045495"/>
    <w:pPr>
      <w:jc w:val="right"/>
    </w:pPr>
  </w:style>
  <w:style w:type="character" w:customStyle="1" w:styleId="TableheadingChar">
    <w:name w:val="Table heading Char"/>
    <w:basedOn w:val="TabletextChar"/>
    <w:link w:val="Tableheading"/>
    <w:locked/>
    <w:rsid w:val="00045495"/>
    <w:rPr>
      <w:rFonts w:ascii="Arial" w:eastAsia="Times New Roman" w:hAnsi="Arial" w:cs="Times New Roman"/>
      <w:kern w:val="16"/>
      <w:sz w:val="18"/>
      <w:szCs w:val="20"/>
    </w:rPr>
  </w:style>
  <w:style w:type="table" w:customStyle="1" w:styleId="TableGrid11">
    <w:name w:val="Table Grid11"/>
    <w:basedOn w:val="TableNormal"/>
    <w:next w:val="TableGrid"/>
    <w:uiPriority w:val="59"/>
    <w:rsid w:val="00045495"/>
    <w:pPr>
      <w:spacing w:after="0" w:line="240" w:lineRule="auto"/>
    </w:pPr>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rsid w:val="00045495"/>
    <w:pPr>
      <w:keepNext/>
      <w:spacing w:before="40" w:after="40" w:line="240" w:lineRule="auto"/>
      <w:jc w:val="right"/>
    </w:pPr>
    <w:rPr>
      <w:rFonts w:ascii="Arial" w:eastAsia="Times New Roman" w:hAnsi="Arial" w:cs="Times New Roman"/>
      <w:sz w:val="20"/>
      <w:szCs w:val="20"/>
    </w:rPr>
  </w:style>
  <w:style w:type="paragraph" w:customStyle="1" w:styleId="Tabletextindent1">
    <w:name w:val="Table text indent 1"/>
    <w:basedOn w:val="Tabletext"/>
    <w:qFormat/>
    <w:rsid w:val="00045495"/>
    <w:pPr>
      <w:ind w:left="346" w:hanging="173"/>
    </w:pPr>
  </w:style>
  <w:style w:type="paragraph" w:styleId="BalloonText">
    <w:name w:val="Balloon Text"/>
    <w:basedOn w:val="Normal"/>
    <w:link w:val="BalloonTextChar"/>
    <w:uiPriority w:val="99"/>
    <w:semiHidden/>
    <w:unhideWhenUsed/>
    <w:rsid w:val="00045495"/>
    <w:rPr>
      <w:rFonts w:ascii="Tahoma" w:hAnsi="Tahoma" w:cs="Tahoma"/>
      <w:sz w:val="16"/>
      <w:szCs w:val="16"/>
    </w:rPr>
  </w:style>
  <w:style w:type="character" w:customStyle="1" w:styleId="BalloonTextChar">
    <w:name w:val="Balloon Text Char"/>
    <w:basedOn w:val="DefaultParagraphFont"/>
    <w:link w:val="BalloonText"/>
    <w:uiPriority w:val="99"/>
    <w:semiHidden/>
    <w:rsid w:val="00045495"/>
    <w:rPr>
      <w:rFonts w:ascii="Tahoma" w:eastAsia="Times New Roman" w:hAnsi="Tahoma" w:cs="Tahoma"/>
      <w:sz w:val="16"/>
      <w:szCs w:val="16"/>
    </w:rPr>
  </w:style>
  <w:style w:type="paragraph" w:customStyle="1" w:styleId="Tablenotes">
    <w:name w:val="Table notes"/>
    <w:link w:val="TablenotesChar"/>
    <w:rsid w:val="00F557F5"/>
    <w:pPr>
      <w:spacing w:after="240" w:line="200" w:lineRule="atLeast"/>
      <w:contextualSpacing/>
    </w:pPr>
    <w:rPr>
      <w:rFonts w:ascii="Arial" w:eastAsia="Times New Roman" w:hAnsi="Arial" w:cs="Times New Roman"/>
      <w:noProof/>
      <w:sz w:val="16"/>
      <w:szCs w:val="18"/>
    </w:rPr>
  </w:style>
  <w:style w:type="character" w:customStyle="1" w:styleId="TablenotesChar">
    <w:name w:val="Table notes Char"/>
    <w:basedOn w:val="DefaultParagraphFont"/>
    <w:link w:val="Tablenotes"/>
    <w:locked/>
    <w:rsid w:val="00F557F5"/>
    <w:rPr>
      <w:rFonts w:ascii="Arial" w:eastAsia="Times New Roman" w:hAnsi="Arial" w:cs="Times New Roman"/>
      <w:noProof/>
      <w:sz w:val="16"/>
      <w:szCs w:val="18"/>
    </w:rPr>
  </w:style>
  <w:style w:type="character" w:customStyle="1" w:styleId="Heading1Char">
    <w:name w:val="Heading 1 Char"/>
    <w:basedOn w:val="DefaultParagraphFont"/>
    <w:link w:val="Heading1"/>
    <w:uiPriority w:val="9"/>
    <w:rsid w:val="006F33B8"/>
    <w:rPr>
      <w:rFonts w:ascii="Arial" w:eastAsia="Times New Roman" w:hAnsi="Arial" w:cs="Arial"/>
      <w:b/>
      <w:sz w:val="28"/>
      <w:szCs w:val="20"/>
    </w:rPr>
  </w:style>
  <w:style w:type="character" w:customStyle="1" w:styleId="Heading2Char">
    <w:name w:val="Heading 2 Char"/>
    <w:basedOn w:val="DefaultParagraphFont"/>
    <w:link w:val="Heading2"/>
    <w:uiPriority w:val="99"/>
    <w:rsid w:val="006F33B8"/>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6F33B8"/>
    <w:rPr>
      <w:rFonts w:ascii="Arial" w:eastAsia="Times New Roman" w:hAnsi="Arial" w:cs="Arial"/>
      <w:b/>
      <w:bCs/>
      <w:iCs/>
      <w:sz w:val="24"/>
      <w:szCs w:val="28"/>
    </w:rPr>
  </w:style>
  <w:style w:type="paragraph" w:customStyle="1" w:styleId="bullet3rdlevel">
    <w:name w:val="bullet 3rd level"/>
    <w:basedOn w:val="Normal"/>
    <w:qFormat/>
    <w:rsid w:val="006F33B8"/>
    <w:pPr>
      <w:numPr>
        <w:ilvl w:val="2"/>
        <w:numId w:val="2"/>
      </w:numPr>
      <w:spacing w:before="120" w:line="280" w:lineRule="atLeast"/>
    </w:pPr>
    <w:rPr>
      <w:rFonts w:ascii="Garamond" w:hAnsi="Garamond"/>
      <w:kern w:val="16"/>
    </w:rPr>
  </w:style>
  <w:style w:type="paragraph" w:styleId="ListParagraph">
    <w:name w:val="List Paragraph"/>
    <w:aliases w:val="Probes"/>
    <w:basedOn w:val="Normal"/>
    <w:link w:val="ListParagraphChar"/>
    <w:uiPriority w:val="34"/>
    <w:qFormat/>
    <w:rsid w:val="006F33B8"/>
    <w:pPr>
      <w:ind w:left="720"/>
      <w:contextualSpacing/>
    </w:pPr>
  </w:style>
  <w:style w:type="paragraph" w:styleId="ListBullet">
    <w:name w:val="List Bullet"/>
    <w:basedOn w:val="Normal"/>
    <w:autoRedefine/>
    <w:uiPriority w:val="99"/>
    <w:rsid w:val="0018592A"/>
    <w:pPr>
      <w:widowControl w:val="0"/>
      <w:tabs>
        <w:tab w:val="left" w:pos="270"/>
      </w:tabs>
      <w:spacing w:before="120"/>
      <w:ind w:left="360"/>
    </w:pPr>
    <w:rPr>
      <w:color w:val="FF0000"/>
      <w:kern w:val="16"/>
    </w:rPr>
  </w:style>
  <w:style w:type="paragraph" w:customStyle="1" w:styleId="bullet2ndlevel">
    <w:name w:val="bullet 2nd level"/>
    <w:basedOn w:val="BodyText"/>
    <w:rsid w:val="006F33B8"/>
    <w:pPr>
      <w:numPr>
        <w:ilvl w:val="1"/>
        <w:numId w:val="7"/>
      </w:numPr>
      <w:spacing w:after="0" w:line="280" w:lineRule="atLeast"/>
    </w:pPr>
  </w:style>
  <w:style w:type="character" w:styleId="FootnoteReference">
    <w:name w:val="footnote reference"/>
    <w:aliases w:val="fr,footnote reference"/>
    <w:basedOn w:val="DefaultParagraphFont"/>
    <w:uiPriority w:val="99"/>
    <w:rsid w:val="006F33B8"/>
    <w:rPr>
      <w:szCs w:val="24"/>
      <w:vertAlign w:val="superscript"/>
    </w:rPr>
  </w:style>
  <w:style w:type="paragraph" w:styleId="FootnoteText">
    <w:name w:val="footnote text"/>
    <w:aliases w:val="ft,fo,footnote text Char,footnote text,ft1,fo1"/>
    <w:basedOn w:val="Normal"/>
    <w:link w:val="FootnoteTextChar"/>
    <w:uiPriority w:val="99"/>
    <w:qFormat/>
    <w:rsid w:val="006F33B8"/>
    <w:pPr>
      <w:keepLines/>
      <w:ind w:left="115" w:hanging="115"/>
    </w:pPr>
    <w:rPr>
      <w:rFonts w:ascii="Garamond" w:hAnsi="Garamond"/>
      <w:kern w:val="16"/>
      <w:sz w:val="20"/>
      <w:szCs w:val="20"/>
    </w:rPr>
  </w:style>
  <w:style w:type="character" w:customStyle="1" w:styleId="FootnoteTextChar">
    <w:name w:val="Footnote Text Char"/>
    <w:aliases w:val="ft Char,fo Char,footnote text Char Char,footnote text Char1,ft1 Char,fo1 Char"/>
    <w:basedOn w:val="DefaultParagraphFont"/>
    <w:link w:val="FootnoteText"/>
    <w:uiPriority w:val="99"/>
    <w:rsid w:val="006F33B8"/>
    <w:rPr>
      <w:rFonts w:ascii="Garamond" w:eastAsia="Times New Roman" w:hAnsi="Garamond" w:cs="Times New Roman"/>
      <w:kern w:val="16"/>
      <w:sz w:val="20"/>
      <w:szCs w:val="20"/>
    </w:rPr>
  </w:style>
  <w:style w:type="paragraph" w:styleId="ListNumber">
    <w:name w:val="List Number"/>
    <w:basedOn w:val="Normal"/>
    <w:qFormat/>
    <w:rsid w:val="003352A9"/>
    <w:pPr>
      <w:numPr>
        <w:numId w:val="10"/>
      </w:numPr>
      <w:contextualSpacing/>
    </w:pPr>
    <w:rPr>
      <w:rFonts w:ascii="Garamond" w:hAnsi="Garamond"/>
      <w:kern w:val="16"/>
      <w:szCs w:val="20"/>
    </w:rPr>
  </w:style>
  <w:style w:type="paragraph" w:customStyle="1" w:styleId="bulletround">
    <w:name w:val="bullet round"/>
    <w:basedOn w:val="Normal"/>
    <w:link w:val="bulletroundChar"/>
    <w:uiPriority w:val="99"/>
    <w:rsid w:val="00E44860"/>
    <w:pPr>
      <w:numPr>
        <w:numId w:val="14"/>
      </w:numPr>
      <w:spacing w:after="60" w:line="280" w:lineRule="atLeast"/>
    </w:pPr>
    <w:rPr>
      <w:rFonts w:ascii="Garamond" w:hAnsi="Garamond" w:cs="Arial"/>
      <w:szCs w:val="20"/>
    </w:rPr>
  </w:style>
  <w:style w:type="character" w:customStyle="1" w:styleId="bulletroundChar">
    <w:name w:val="bullet round Char"/>
    <w:basedOn w:val="DefaultParagraphFont"/>
    <w:link w:val="bulletround"/>
    <w:uiPriority w:val="99"/>
    <w:locked/>
    <w:rsid w:val="00E44860"/>
    <w:rPr>
      <w:rFonts w:ascii="Garamond" w:eastAsia="Times New Roman" w:hAnsi="Garamond" w:cs="Arial"/>
      <w:sz w:val="24"/>
      <w:szCs w:val="20"/>
    </w:rPr>
  </w:style>
  <w:style w:type="paragraph" w:customStyle="1" w:styleId="Bulletblocked">
    <w:name w:val="Bullet blocked"/>
    <w:basedOn w:val="BodyText"/>
    <w:rsid w:val="00E44860"/>
    <w:pPr>
      <w:spacing w:line="280" w:lineRule="atLeast"/>
      <w:ind w:left="1080"/>
    </w:pPr>
  </w:style>
  <w:style w:type="character" w:customStyle="1" w:styleId="ListParagraphChar">
    <w:name w:val="List Paragraph Char"/>
    <w:aliases w:val="Probes Char"/>
    <w:basedOn w:val="DefaultParagraphFont"/>
    <w:link w:val="ListParagraph"/>
    <w:uiPriority w:val="34"/>
    <w:locked/>
    <w:rsid w:val="008439D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7BE9"/>
    <w:pPr>
      <w:tabs>
        <w:tab w:val="center" w:pos="4680"/>
        <w:tab w:val="right" w:pos="9360"/>
      </w:tabs>
    </w:pPr>
  </w:style>
  <w:style w:type="character" w:customStyle="1" w:styleId="HeaderChar">
    <w:name w:val="Header Char"/>
    <w:basedOn w:val="DefaultParagraphFont"/>
    <w:link w:val="Header"/>
    <w:uiPriority w:val="99"/>
    <w:rsid w:val="00597B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7BE9"/>
    <w:pPr>
      <w:tabs>
        <w:tab w:val="center" w:pos="4680"/>
        <w:tab w:val="right" w:pos="9360"/>
      </w:tabs>
    </w:pPr>
  </w:style>
  <w:style w:type="character" w:customStyle="1" w:styleId="FooterChar">
    <w:name w:val="Footer Char"/>
    <w:basedOn w:val="DefaultParagraphFont"/>
    <w:link w:val="Footer"/>
    <w:uiPriority w:val="99"/>
    <w:rsid w:val="00597BE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902CC"/>
    <w:rPr>
      <w:sz w:val="16"/>
      <w:szCs w:val="16"/>
    </w:rPr>
  </w:style>
  <w:style w:type="paragraph" w:styleId="CommentText">
    <w:name w:val="annotation text"/>
    <w:basedOn w:val="Normal"/>
    <w:link w:val="CommentTextChar"/>
    <w:uiPriority w:val="99"/>
    <w:unhideWhenUsed/>
    <w:rsid w:val="00F902CC"/>
    <w:rPr>
      <w:sz w:val="20"/>
      <w:szCs w:val="20"/>
    </w:rPr>
  </w:style>
  <w:style w:type="character" w:customStyle="1" w:styleId="CommentTextChar">
    <w:name w:val="Comment Text Char"/>
    <w:basedOn w:val="DefaultParagraphFont"/>
    <w:link w:val="CommentText"/>
    <w:uiPriority w:val="99"/>
    <w:rsid w:val="00F902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02CC"/>
    <w:rPr>
      <w:b/>
      <w:bCs/>
    </w:rPr>
  </w:style>
  <w:style w:type="character" w:customStyle="1" w:styleId="CommentSubjectChar">
    <w:name w:val="Comment Subject Char"/>
    <w:basedOn w:val="CommentTextChar"/>
    <w:link w:val="CommentSubject"/>
    <w:uiPriority w:val="99"/>
    <w:semiHidden/>
    <w:rsid w:val="00F902CC"/>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0D483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83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F2C08"/>
    <w:rPr>
      <w:color w:val="0000FF" w:themeColor="hyperlink"/>
      <w:u w:val="single"/>
    </w:rPr>
  </w:style>
  <w:style w:type="paragraph" w:customStyle="1" w:styleId="Tabletextsubhead">
    <w:name w:val="Table text subhead"/>
    <w:basedOn w:val="Tabletext"/>
    <w:qFormat/>
    <w:rsid w:val="0072103D"/>
    <w:pPr>
      <w:keepNext w:val="0"/>
      <w:spacing w:before="120"/>
      <w:ind w:left="317" w:hanging="317"/>
    </w:pPr>
    <w:rPr>
      <w:rFonts w:eastAsiaTheme="minorHAnsi" w:cs="Arial"/>
      <w:kern w:val="0"/>
      <w:szCs w:val="22"/>
    </w:rPr>
  </w:style>
  <w:style w:type="paragraph" w:customStyle="1" w:styleId="Bodytextnoindent">
    <w:name w:val="Body text no indent"/>
    <w:basedOn w:val="BodyText"/>
    <w:rsid w:val="003F0691"/>
    <w:rPr>
      <w:rFonts w:ascii="Times New Roman" w:hAnsi="Times New Roman"/>
      <w:kern w:val="0"/>
    </w:rPr>
  </w:style>
  <w:style w:type="paragraph" w:styleId="NormalWeb">
    <w:name w:val="Normal (Web)"/>
    <w:basedOn w:val="Normal"/>
    <w:uiPriority w:val="99"/>
    <w:unhideWhenUsed/>
    <w:rsid w:val="00BC0D93"/>
    <w:pPr>
      <w:spacing w:before="150" w:after="150"/>
    </w:pPr>
  </w:style>
  <w:style w:type="character" w:styleId="UnresolvedMention">
    <w:name w:val="Unresolved Mention"/>
    <w:basedOn w:val="DefaultParagraphFont"/>
    <w:uiPriority w:val="99"/>
    <w:semiHidden/>
    <w:unhideWhenUsed/>
    <w:rsid w:val="00AB6BF2"/>
    <w:rPr>
      <w:color w:val="605E5C"/>
      <w:shd w:val="clear" w:color="auto" w:fill="E1DFDD"/>
    </w:rPr>
  </w:style>
  <w:style w:type="paragraph" w:customStyle="1" w:styleId="2enspsubgroup1">
    <w:name w:val="2 en sp (subgroup 1)"/>
    <w:basedOn w:val="Tabletext"/>
    <w:link w:val="2enspsubgroup1Char"/>
    <w:rsid w:val="0045347B"/>
    <w:pPr>
      <w:keepNext w:val="0"/>
      <w:ind w:left="576" w:hanging="346"/>
    </w:pPr>
    <w:rPr>
      <w:kern w:val="2"/>
      <w:sz w:val="16"/>
    </w:rPr>
  </w:style>
  <w:style w:type="paragraph" w:customStyle="1" w:styleId="Tablenumbers">
    <w:name w:val="Table numbers"/>
    <w:rsid w:val="0045347B"/>
    <w:pPr>
      <w:keepNext/>
      <w:spacing w:before="20" w:after="20" w:line="240" w:lineRule="auto"/>
      <w:jc w:val="right"/>
    </w:pPr>
    <w:rPr>
      <w:rFonts w:ascii="Arial" w:eastAsia="Times New Roman" w:hAnsi="Arial" w:cs="Arial"/>
      <w:snapToGrid w:val="0"/>
      <w:sz w:val="16"/>
      <w:szCs w:val="20"/>
    </w:rPr>
  </w:style>
  <w:style w:type="character" w:customStyle="1" w:styleId="2enspsubgroup1Char">
    <w:name w:val="2 en sp (subgroup 1) Char"/>
    <w:basedOn w:val="TabletextChar"/>
    <w:link w:val="2enspsubgroup1"/>
    <w:locked/>
    <w:rsid w:val="0045347B"/>
    <w:rPr>
      <w:rFonts w:ascii="Arial" w:eastAsia="Times New Roman" w:hAnsi="Arial" w:cs="Times New Roman"/>
      <w:kern w:val="2"/>
      <w:sz w:val="16"/>
      <w:szCs w:val="20"/>
    </w:rPr>
  </w:style>
  <w:style w:type="paragraph" w:customStyle="1" w:styleId="Source-8pt">
    <w:name w:val="Source - 8pt"/>
    <w:basedOn w:val="Normal"/>
    <w:qFormat/>
    <w:rsid w:val="0045347B"/>
    <w:rPr>
      <w:rFonts w:ascii="Arial" w:hAnsi="Arial"/>
      <w:sz w:val="16"/>
      <w:szCs w:val="16"/>
    </w:rPr>
  </w:style>
  <w:style w:type="character" w:customStyle="1" w:styleId="entry-placeholder1">
    <w:name w:val="entry-placeholder1"/>
    <w:basedOn w:val="DefaultParagraphFont"/>
    <w:rsid w:val="00BD53EE"/>
    <w:rPr>
      <w:color w:val="FF0000"/>
      <w:shd w:val="clear" w:color="auto" w:fill="EFEFEF"/>
    </w:rPr>
  </w:style>
  <w:style w:type="paragraph" w:customStyle="1" w:styleId="5ensptotal">
    <w:name w:val="5 en sp (total)"/>
    <w:basedOn w:val="Normal"/>
    <w:uiPriority w:val="99"/>
    <w:rsid w:val="00BD53EE"/>
    <w:pPr>
      <w:spacing w:before="20" w:after="20"/>
      <w:ind w:left="908" w:hanging="346"/>
    </w:pPr>
    <w:rPr>
      <w:rFonts w:ascii="Arial" w:hAnsi="Arial" w:cs="Arial"/>
      <w:kern w:val="2"/>
      <w:sz w:val="16"/>
      <w:szCs w:val="20"/>
    </w:rPr>
  </w:style>
  <w:style w:type="paragraph" w:customStyle="1" w:styleId="4enspsubgroup2">
    <w:name w:val="4 en sp (subgroup 2)"/>
    <w:basedOn w:val="2enspsubgroup1"/>
    <w:rsid w:val="006E6572"/>
    <w:pPr>
      <w:ind w:left="794" w:hanging="351"/>
    </w:pPr>
  </w:style>
  <w:style w:type="table" w:styleId="TableGridLight">
    <w:name w:val="Grid Table Light"/>
    <w:basedOn w:val="TableNormal"/>
    <w:uiPriority w:val="40"/>
    <w:rsid w:val="000228B0"/>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D12BF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7788">
      <w:bodyDiv w:val="1"/>
      <w:marLeft w:val="0"/>
      <w:marRight w:val="0"/>
      <w:marTop w:val="0"/>
      <w:marBottom w:val="0"/>
      <w:divBdr>
        <w:top w:val="none" w:sz="0" w:space="0" w:color="auto"/>
        <w:left w:val="none" w:sz="0" w:space="0" w:color="auto"/>
        <w:bottom w:val="none" w:sz="0" w:space="0" w:color="auto"/>
        <w:right w:val="none" w:sz="0" w:space="0" w:color="auto"/>
      </w:divBdr>
    </w:div>
    <w:div w:id="39598726">
      <w:bodyDiv w:val="1"/>
      <w:marLeft w:val="0"/>
      <w:marRight w:val="0"/>
      <w:marTop w:val="0"/>
      <w:marBottom w:val="0"/>
      <w:divBdr>
        <w:top w:val="none" w:sz="0" w:space="0" w:color="auto"/>
        <w:left w:val="none" w:sz="0" w:space="0" w:color="auto"/>
        <w:bottom w:val="none" w:sz="0" w:space="0" w:color="auto"/>
        <w:right w:val="none" w:sz="0" w:space="0" w:color="auto"/>
      </w:divBdr>
    </w:div>
    <w:div w:id="176581706">
      <w:bodyDiv w:val="1"/>
      <w:marLeft w:val="0"/>
      <w:marRight w:val="0"/>
      <w:marTop w:val="0"/>
      <w:marBottom w:val="0"/>
      <w:divBdr>
        <w:top w:val="none" w:sz="0" w:space="0" w:color="auto"/>
        <w:left w:val="none" w:sz="0" w:space="0" w:color="auto"/>
        <w:bottom w:val="none" w:sz="0" w:space="0" w:color="auto"/>
        <w:right w:val="none" w:sz="0" w:space="0" w:color="auto"/>
      </w:divBdr>
    </w:div>
    <w:div w:id="247928843">
      <w:bodyDiv w:val="1"/>
      <w:marLeft w:val="0"/>
      <w:marRight w:val="0"/>
      <w:marTop w:val="0"/>
      <w:marBottom w:val="0"/>
      <w:divBdr>
        <w:top w:val="none" w:sz="0" w:space="0" w:color="auto"/>
        <w:left w:val="none" w:sz="0" w:space="0" w:color="auto"/>
        <w:bottom w:val="none" w:sz="0" w:space="0" w:color="auto"/>
        <w:right w:val="none" w:sz="0" w:space="0" w:color="auto"/>
      </w:divBdr>
    </w:div>
    <w:div w:id="421878644">
      <w:bodyDiv w:val="1"/>
      <w:marLeft w:val="0"/>
      <w:marRight w:val="0"/>
      <w:marTop w:val="0"/>
      <w:marBottom w:val="0"/>
      <w:divBdr>
        <w:top w:val="none" w:sz="0" w:space="0" w:color="auto"/>
        <w:left w:val="none" w:sz="0" w:space="0" w:color="auto"/>
        <w:bottom w:val="none" w:sz="0" w:space="0" w:color="auto"/>
        <w:right w:val="none" w:sz="0" w:space="0" w:color="auto"/>
      </w:divBdr>
    </w:div>
    <w:div w:id="442655666">
      <w:bodyDiv w:val="1"/>
      <w:marLeft w:val="0"/>
      <w:marRight w:val="0"/>
      <w:marTop w:val="0"/>
      <w:marBottom w:val="0"/>
      <w:divBdr>
        <w:top w:val="none" w:sz="0" w:space="0" w:color="auto"/>
        <w:left w:val="none" w:sz="0" w:space="0" w:color="auto"/>
        <w:bottom w:val="none" w:sz="0" w:space="0" w:color="auto"/>
        <w:right w:val="none" w:sz="0" w:space="0" w:color="auto"/>
      </w:divBdr>
    </w:div>
    <w:div w:id="449980131">
      <w:bodyDiv w:val="1"/>
      <w:marLeft w:val="0"/>
      <w:marRight w:val="0"/>
      <w:marTop w:val="0"/>
      <w:marBottom w:val="0"/>
      <w:divBdr>
        <w:top w:val="none" w:sz="0" w:space="0" w:color="auto"/>
        <w:left w:val="none" w:sz="0" w:space="0" w:color="auto"/>
        <w:bottom w:val="none" w:sz="0" w:space="0" w:color="auto"/>
        <w:right w:val="none" w:sz="0" w:space="0" w:color="auto"/>
      </w:divBdr>
    </w:div>
    <w:div w:id="495267196">
      <w:bodyDiv w:val="1"/>
      <w:marLeft w:val="0"/>
      <w:marRight w:val="0"/>
      <w:marTop w:val="0"/>
      <w:marBottom w:val="0"/>
      <w:divBdr>
        <w:top w:val="none" w:sz="0" w:space="0" w:color="auto"/>
        <w:left w:val="none" w:sz="0" w:space="0" w:color="auto"/>
        <w:bottom w:val="none" w:sz="0" w:space="0" w:color="auto"/>
        <w:right w:val="none" w:sz="0" w:space="0" w:color="auto"/>
      </w:divBdr>
    </w:div>
    <w:div w:id="557782749">
      <w:bodyDiv w:val="1"/>
      <w:marLeft w:val="0"/>
      <w:marRight w:val="0"/>
      <w:marTop w:val="0"/>
      <w:marBottom w:val="0"/>
      <w:divBdr>
        <w:top w:val="none" w:sz="0" w:space="0" w:color="auto"/>
        <w:left w:val="none" w:sz="0" w:space="0" w:color="auto"/>
        <w:bottom w:val="none" w:sz="0" w:space="0" w:color="auto"/>
        <w:right w:val="none" w:sz="0" w:space="0" w:color="auto"/>
      </w:divBdr>
    </w:div>
    <w:div w:id="894048346">
      <w:bodyDiv w:val="1"/>
      <w:marLeft w:val="0"/>
      <w:marRight w:val="0"/>
      <w:marTop w:val="0"/>
      <w:marBottom w:val="0"/>
      <w:divBdr>
        <w:top w:val="none" w:sz="0" w:space="0" w:color="auto"/>
        <w:left w:val="none" w:sz="0" w:space="0" w:color="auto"/>
        <w:bottom w:val="none" w:sz="0" w:space="0" w:color="auto"/>
        <w:right w:val="none" w:sz="0" w:space="0" w:color="auto"/>
      </w:divBdr>
    </w:div>
    <w:div w:id="921140205">
      <w:bodyDiv w:val="1"/>
      <w:marLeft w:val="0"/>
      <w:marRight w:val="0"/>
      <w:marTop w:val="0"/>
      <w:marBottom w:val="0"/>
      <w:divBdr>
        <w:top w:val="none" w:sz="0" w:space="0" w:color="auto"/>
        <w:left w:val="none" w:sz="0" w:space="0" w:color="auto"/>
        <w:bottom w:val="none" w:sz="0" w:space="0" w:color="auto"/>
        <w:right w:val="none" w:sz="0" w:space="0" w:color="auto"/>
      </w:divBdr>
    </w:div>
    <w:div w:id="958679227">
      <w:bodyDiv w:val="1"/>
      <w:marLeft w:val="0"/>
      <w:marRight w:val="0"/>
      <w:marTop w:val="0"/>
      <w:marBottom w:val="0"/>
      <w:divBdr>
        <w:top w:val="none" w:sz="0" w:space="0" w:color="auto"/>
        <w:left w:val="none" w:sz="0" w:space="0" w:color="auto"/>
        <w:bottom w:val="none" w:sz="0" w:space="0" w:color="auto"/>
        <w:right w:val="none" w:sz="0" w:space="0" w:color="auto"/>
      </w:divBdr>
    </w:div>
    <w:div w:id="1011571101">
      <w:bodyDiv w:val="1"/>
      <w:marLeft w:val="0"/>
      <w:marRight w:val="0"/>
      <w:marTop w:val="0"/>
      <w:marBottom w:val="0"/>
      <w:divBdr>
        <w:top w:val="none" w:sz="0" w:space="0" w:color="auto"/>
        <w:left w:val="none" w:sz="0" w:space="0" w:color="auto"/>
        <w:bottom w:val="none" w:sz="0" w:space="0" w:color="auto"/>
        <w:right w:val="none" w:sz="0" w:space="0" w:color="auto"/>
      </w:divBdr>
    </w:div>
    <w:div w:id="1103525888">
      <w:bodyDiv w:val="1"/>
      <w:marLeft w:val="0"/>
      <w:marRight w:val="0"/>
      <w:marTop w:val="0"/>
      <w:marBottom w:val="0"/>
      <w:divBdr>
        <w:top w:val="none" w:sz="0" w:space="0" w:color="auto"/>
        <w:left w:val="none" w:sz="0" w:space="0" w:color="auto"/>
        <w:bottom w:val="none" w:sz="0" w:space="0" w:color="auto"/>
        <w:right w:val="none" w:sz="0" w:space="0" w:color="auto"/>
      </w:divBdr>
    </w:div>
    <w:div w:id="1106267260">
      <w:bodyDiv w:val="1"/>
      <w:marLeft w:val="0"/>
      <w:marRight w:val="0"/>
      <w:marTop w:val="0"/>
      <w:marBottom w:val="0"/>
      <w:divBdr>
        <w:top w:val="none" w:sz="0" w:space="0" w:color="auto"/>
        <w:left w:val="none" w:sz="0" w:space="0" w:color="auto"/>
        <w:bottom w:val="none" w:sz="0" w:space="0" w:color="auto"/>
        <w:right w:val="none" w:sz="0" w:space="0" w:color="auto"/>
      </w:divBdr>
    </w:div>
    <w:div w:id="1118375698">
      <w:bodyDiv w:val="1"/>
      <w:marLeft w:val="0"/>
      <w:marRight w:val="0"/>
      <w:marTop w:val="0"/>
      <w:marBottom w:val="0"/>
      <w:divBdr>
        <w:top w:val="none" w:sz="0" w:space="0" w:color="auto"/>
        <w:left w:val="none" w:sz="0" w:space="0" w:color="auto"/>
        <w:bottom w:val="none" w:sz="0" w:space="0" w:color="auto"/>
        <w:right w:val="none" w:sz="0" w:space="0" w:color="auto"/>
      </w:divBdr>
    </w:div>
    <w:div w:id="1144662894">
      <w:bodyDiv w:val="1"/>
      <w:marLeft w:val="0"/>
      <w:marRight w:val="0"/>
      <w:marTop w:val="0"/>
      <w:marBottom w:val="0"/>
      <w:divBdr>
        <w:top w:val="none" w:sz="0" w:space="0" w:color="auto"/>
        <w:left w:val="none" w:sz="0" w:space="0" w:color="auto"/>
        <w:bottom w:val="none" w:sz="0" w:space="0" w:color="auto"/>
        <w:right w:val="none" w:sz="0" w:space="0" w:color="auto"/>
      </w:divBdr>
    </w:div>
    <w:div w:id="1261183605">
      <w:bodyDiv w:val="1"/>
      <w:marLeft w:val="0"/>
      <w:marRight w:val="0"/>
      <w:marTop w:val="0"/>
      <w:marBottom w:val="0"/>
      <w:divBdr>
        <w:top w:val="none" w:sz="0" w:space="0" w:color="auto"/>
        <w:left w:val="none" w:sz="0" w:space="0" w:color="auto"/>
        <w:bottom w:val="none" w:sz="0" w:space="0" w:color="auto"/>
        <w:right w:val="none" w:sz="0" w:space="0" w:color="auto"/>
      </w:divBdr>
    </w:div>
    <w:div w:id="1476868943">
      <w:bodyDiv w:val="1"/>
      <w:marLeft w:val="0"/>
      <w:marRight w:val="0"/>
      <w:marTop w:val="0"/>
      <w:marBottom w:val="0"/>
      <w:divBdr>
        <w:top w:val="none" w:sz="0" w:space="0" w:color="auto"/>
        <w:left w:val="none" w:sz="0" w:space="0" w:color="auto"/>
        <w:bottom w:val="none" w:sz="0" w:space="0" w:color="auto"/>
        <w:right w:val="none" w:sz="0" w:space="0" w:color="auto"/>
      </w:divBdr>
    </w:div>
    <w:div w:id="1525359566">
      <w:bodyDiv w:val="1"/>
      <w:marLeft w:val="0"/>
      <w:marRight w:val="0"/>
      <w:marTop w:val="0"/>
      <w:marBottom w:val="0"/>
      <w:divBdr>
        <w:top w:val="none" w:sz="0" w:space="0" w:color="auto"/>
        <w:left w:val="none" w:sz="0" w:space="0" w:color="auto"/>
        <w:bottom w:val="none" w:sz="0" w:space="0" w:color="auto"/>
        <w:right w:val="none" w:sz="0" w:space="0" w:color="auto"/>
      </w:divBdr>
    </w:div>
    <w:div w:id="1544560682">
      <w:bodyDiv w:val="1"/>
      <w:marLeft w:val="0"/>
      <w:marRight w:val="0"/>
      <w:marTop w:val="0"/>
      <w:marBottom w:val="0"/>
      <w:divBdr>
        <w:top w:val="none" w:sz="0" w:space="0" w:color="auto"/>
        <w:left w:val="none" w:sz="0" w:space="0" w:color="auto"/>
        <w:bottom w:val="none" w:sz="0" w:space="0" w:color="auto"/>
        <w:right w:val="none" w:sz="0" w:space="0" w:color="auto"/>
      </w:divBdr>
    </w:div>
    <w:div w:id="1547568662">
      <w:bodyDiv w:val="1"/>
      <w:marLeft w:val="0"/>
      <w:marRight w:val="0"/>
      <w:marTop w:val="0"/>
      <w:marBottom w:val="0"/>
      <w:divBdr>
        <w:top w:val="none" w:sz="0" w:space="0" w:color="auto"/>
        <w:left w:val="none" w:sz="0" w:space="0" w:color="auto"/>
        <w:bottom w:val="none" w:sz="0" w:space="0" w:color="auto"/>
        <w:right w:val="none" w:sz="0" w:space="0" w:color="auto"/>
      </w:divBdr>
    </w:div>
    <w:div w:id="1568612397">
      <w:bodyDiv w:val="1"/>
      <w:marLeft w:val="0"/>
      <w:marRight w:val="0"/>
      <w:marTop w:val="0"/>
      <w:marBottom w:val="0"/>
      <w:divBdr>
        <w:top w:val="none" w:sz="0" w:space="0" w:color="auto"/>
        <w:left w:val="none" w:sz="0" w:space="0" w:color="auto"/>
        <w:bottom w:val="none" w:sz="0" w:space="0" w:color="auto"/>
        <w:right w:val="none" w:sz="0" w:space="0" w:color="auto"/>
      </w:divBdr>
    </w:div>
    <w:div w:id="1708408488">
      <w:bodyDiv w:val="1"/>
      <w:marLeft w:val="0"/>
      <w:marRight w:val="0"/>
      <w:marTop w:val="0"/>
      <w:marBottom w:val="0"/>
      <w:divBdr>
        <w:top w:val="none" w:sz="0" w:space="0" w:color="auto"/>
        <w:left w:val="none" w:sz="0" w:space="0" w:color="auto"/>
        <w:bottom w:val="none" w:sz="0" w:space="0" w:color="auto"/>
        <w:right w:val="none" w:sz="0" w:space="0" w:color="auto"/>
      </w:divBdr>
    </w:div>
    <w:div w:id="1724980034">
      <w:bodyDiv w:val="1"/>
      <w:marLeft w:val="0"/>
      <w:marRight w:val="0"/>
      <w:marTop w:val="0"/>
      <w:marBottom w:val="0"/>
      <w:divBdr>
        <w:top w:val="none" w:sz="0" w:space="0" w:color="auto"/>
        <w:left w:val="none" w:sz="0" w:space="0" w:color="auto"/>
        <w:bottom w:val="none" w:sz="0" w:space="0" w:color="auto"/>
        <w:right w:val="none" w:sz="0" w:space="0" w:color="auto"/>
      </w:divBdr>
    </w:div>
    <w:div w:id="1780101000">
      <w:bodyDiv w:val="1"/>
      <w:marLeft w:val="0"/>
      <w:marRight w:val="0"/>
      <w:marTop w:val="0"/>
      <w:marBottom w:val="0"/>
      <w:divBdr>
        <w:top w:val="none" w:sz="0" w:space="0" w:color="auto"/>
        <w:left w:val="none" w:sz="0" w:space="0" w:color="auto"/>
        <w:bottom w:val="none" w:sz="0" w:space="0" w:color="auto"/>
        <w:right w:val="none" w:sz="0" w:space="0" w:color="auto"/>
      </w:divBdr>
    </w:div>
    <w:div w:id="1884170260">
      <w:bodyDiv w:val="1"/>
      <w:marLeft w:val="0"/>
      <w:marRight w:val="0"/>
      <w:marTop w:val="0"/>
      <w:marBottom w:val="0"/>
      <w:divBdr>
        <w:top w:val="none" w:sz="0" w:space="0" w:color="auto"/>
        <w:left w:val="none" w:sz="0" w:space="0" w:color="auto"/>
        <w:bottom w:val="none" w:sz="0" w:space="0" w:color="auto"/>
        <w:right w:val="none" w:sz="0" w:space="0" w:color="auto"/>
      </w:divBdr>
    </w:div>
    <w:div w:id="1893734697">
      <w:bodyDiv w:val="1"/>
      <w:marLeft w:val="0"/>
      <w:marRight w:val="0"/>
      <w:marTop w:val="0"/>
      <w:marBottom w:val="0"/>
      <w:divBdr>
        <w:top w:val="none" w:sz="0" w:space="0" w:color="auto"/>
        <w:left w:val="none" w:sz="0" w:space="0" w:color="auto"/>
        <w:bottom w:val="none" w:sz="0" w:space="0" w:color="auto"/>
        <w:right w:val="none" w:sz="0" w:space="0" w:color="auto"/>
      </w:divBdr>
    </w:div>
    <w:div w:id="1944874305">
      <w:bodyDiv w:val="1"/>
      <w:marLeft w:val="0"/>
      <w:marRight w:val="0"/>
      <w:marTop w:val="0"/>
      <w:marBottom w:val="0"/>
      <w:divBdr>
        <w:top w:val="none" w:sz="0" w:space="0" w:color="auto"/>
        <w:left w:val="none" w:sz="0" w:space="0" w:color="auto"/>
        <w:bottom w:val="none" w:sz="0" w:space="0" w:color="auto"/>
        <w:right w:val="none" w:sz="0" w:space="0" w:color="auto"/>
      </w:divBdr>
    </w:div>
    <w:div w:id="2001540779">
      <w:bodyDiv w:val="1"/>
      <w:marLeft w:val="0"/>
      <w:marRight w:val="0"/>
      <w:marTop w:val="0"/>
      <w:marBottom w:val="0"/>
      <w:divBdr>
        <w:top w:val="none" w:sz="0" w:space="0" w:color="auto"/>
        <w:left w:val="none" w:sz="0" w:space="0" w:color="auto"/>
        <w:bottom w:val="none" w:sz="0" w:space="0" w:color="auto"/>
        <w:right w:val="none" w:sz="0" w:space="0" w:color="auto"/>
      </w:divBdr>
    </w:div>
    <w:div w:id="2008744241">
      <w:bodyDiv w:val="1"/>
      <w:marLeft w:val="0"/>
      <w:marRight w:val="0"/>
      <w:marTop w:val="0"/>
      <w:marBottom w:val="0"/>
      <w:divBdr>
        <w:top w:val="none" w:sz="0" w:space="0" w:color="auto"/>
        <w:left w:val="none" w:sz="0" w:space="0" w:color="auto"/>
        <w:bottom w:val="none" w:sz="0" w:space="0" w:color="auto"/>
        <w:right w:val="none" w:sz="0" w:space="0" w:color="auto"/>
      </w:divBdr>
    </w:div>
    <w:div w:id="2015188176">
      <w:bodyDiv w:val="1"/>
      <w:marLeft w:val="0"/>
      <w:marRight w:val="0"/>
      <w:marTop w:val="0"/>
      <w:marBottom w:val="0"/>
      <w:divBdr>
        <w:top w:val="none" w:sz="0" w:space="0" w:color="auto"/>
        <w:left w:val="none" w:sz="0" w:space="0" w:color="auto"/>
        <w:bottom w:val="none" w:sz="0" w:space="0" w:color="auto"/>
        <w:right w:val="none" w:sz="0" w:space="0" w:color="auto"/>
      </w:divBdr>
    </w:div>
    <w:div w:id="2048990244">
      <w:bodyDiv w:val="1"/>
      <w:marLeft w:val="0"/>
      <w:marRight w:val="0"/>
      <w:marTop w:val="0"/>
      <w:marBottom w:val="0"/>
      <w:divBdr>
        <w:top w:val="none" w:sz="0" w:space="0" w:color="auto"/>
        <w:left w:val="none" w:sz="0" w:space="0" w:color="auto"/>
        <w:bottom w:val="none" w:sz="0" w:space="0" w:color="auto"/>
        <w:right w:val="none" w:sz="0" w:space="0" w:color="auto"/>
      </w:divBdr>
    </w:div>
    <w:div w:id="2072144703">
      <w:bodyDiv w:val="1"/>
      <w:marLeft w:val="0"/>
      <w:marRight w:val="0"/>
      <w:marTop w:val="0"/>
      <w:marBottom w:val="0"/>
      <w:divBdr>
        <w:top w:val="none" w:sz="0" w:space="0" w:color="auto"/>
        <w:left w:val="none" w:sz="0" w:space="0" w:color="auto"/>
        <w:bottom w:val="none" w:sz="0" w:space="0" w:color="auto"/>
        <w:right w:val="none" w:sz="0" w:space="0" w:color="auto"/>
      </w:divBdr>
    </w:div>
    <w:div w:id="211821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ps@rti.org,%20800-844-8959,%20%20800-247-6056" TargetMode="External"/><Relationship Id="rId4" Type="http://schemas.openxmlformats.org/officeDocument/2006/relationships/settings" Target="settings.xml"/><Relationship Id="rId9" Type="http://schemas.openxmlformats.org/officeDocument/2006/relationships/hyperlink" Target="https://nces.ed.gov/pubsearch/pubsinfo.asp?pubid=20204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F3B9C-DAC8-48D6-8203-71CEE84ED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11029</Words>
  <Characters>62870</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dc:creator>
  <cp:lastModifiedBy>Clarady, Carrie</cp:lastModifiedBy>
  <cp:revision>11</cp:revision>
  <cp:lastPrinted>2018-02-26T14:50:00Z</cp:lastPrinted>
  <dcterms:created xsi:type="dcterms:W3CDTF">2021-12-06T17:01:00Z</dcterms:created>
  <dcterms:modified xsi:type="dcterms:W3CDTF">2021-12-08T19:37:00Z</dcterms:modified>
</cp:coreProperties>
</file>