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0458" w:rsidP="00780458" w:rsidRDefault="00A87996" w14:paraId="548589C5" w14:textId="77777777">
      <w:pPr>
        <w:pStyle w:val="Cov-Title"/>
        <w:outlineLvl w:val="0"/>
      </w:pPr>
      <w:bookmarkStart w:name="_Toc146530948" w:id="0"/>
      <w:bookmarkStart w:name="_Toc152499748" w:id="1"/>
      <w:r>
        <w:t>20</w:t>
      </w:r>
      <w:r w:rsidR="0051664E">
        <w:t>20</w:t>
      </w:r>
      <w:r>
        <w:t>/</w:t>
      </w:r>
      <w:r w:rsidR="0051664E">
        <w:t>22</w:t>
      </w:r>
      <w:r w:rsidRPr="0017533B">
        <w:t xml:space="preserve"> </w:t>
      </w:r>
      <w:r>
        <w:t>B</w:t>
      </w:r>
      <w:r w:rsidR="00780458">
        <w:t>EGINNING POSTSECONDARY STUDENTS LONGITUDINAL STUDY</w:t>
      </w:r>
    </w:p>
    <w:p w:rsidR="0051664E" w:rsidP="00780458" w:rsidRDefault="0051664E" w14:paraId="2AF555FA" w14:textId="4BBAB383">
      <w:pPr>
        <w:pStyle w:val="Cov-Title"/>
        <w:outlineLvl w:val="0"/>
      </w:pPr>
      <w:r>
        <w:t xml:space="preserve"> (BPS:20/22) </w:t>
      </w:r>
    </w:p>
    <w:p w:rsidRPr="00122355" w:rsidR="00E0558D" w:rsidP="0051664E" w:rsidRDefault="0051664E" w14:paraId="71A048AF" w14:textId="7FF5E609">
      <w:pPr>
        <w:pStyle w:val="Cov-Title"/>
        <w:spacing w:before="100" w:beforeAutospacing="1"/>
        <w:outlineLvl w:val="0"/>
      </w:pPr>
      <w:bookmarkStart w:name="_Hlk46148807" w:id="2"/>
      <w:r>
        <w:t>F</w:t>
      </w:r>
      <w:r w:rsidR="00921E99">
        <w:t>ull-scale</w:t>
      </w:r>
      <w:bookmarkEnd w:id="2"/>
    </w:p>
    <w:p w:rsidRPr="00CD167A" w:rsidR="00122355" w:rsidP="00122355" w:rsidRDefault="00122355" w14:paraId="46EACF7F" w14:textId="77777777">
      <w:pPr>
        <w:pStyle w:val="Cov-Date"/>
      </w:pPr>
    </w:p>
    <w:p w:rsidRPr="00CD167A" w:rsidR="00122355" w:rsidP="00122355" w:rsidRDefault="00122355" w14:paraId="392706AA" w14:textId="77777777">
      <w:pPr>
        <w:pStyle w:val="Cov-Date"/>
      </w:pPr>
    </w:p>
    <w:p w:rsidRPr="007269D7" w:rsidR="00A87996" w:rsidP="007269D7" w:rsidRDefault="006269D6" w14:paraId="38B2E68D" w14:textId="505D491E">
      <w:pPr>
        <w:pStyle w:val="Cov-Subtitle"/>
        <w:outlineLvl w:val="1"/>
      </w:pPr>
      <w:r>
        <w:t xml:space="preserve">Appendix </w:t>
      </w:r>
      <w:r w:rsidR="00142FDA">
        <w:t>D</w:t>
      </w:r>
    </w:p>
    <w:p w:rsidRPr="00CD167A" w:rsidR="00A87996" w:rsidP="00A87996" w:rsidRDefault="00A87996" w14:paraId="42438E75" w14:textId="77777777">
      <w:pPr>
        <w:tabs>
          <w:tab w:val="left" w:pos="720"/>
          <w:tab w:val="center" w:pos="4680"/>
        </w:tabs>
        <w:autoSpaceDE w:val="0"/>
        <w:autoSpaceDN w:val="0"/>
        <w:adjustRightInd w:val="0"/>
        <w:spacing w:before="180"/>
        <w:rPr>
          <w:b/>
          <w:bCs/>
        </w:rPr>
      </w:pPr>
    </w:p>
    <w:p w:rsidRPr="007E0D74" w:rsidR="006269D6" w:rsidP="006269D6" w:rsidRDefault="006269D6" w14:paraId="5FAEDFED" w14:textId="1CEACA7F">
      <w:pPr>
        <w:pStyle w:val="Cov-Subtitle"/>
        <w:outlineLvl w:val="1"/>
      </w:pPr>
      <w:r w:rsidRPr="007E0D74">
        <w:t xml:space="preserve">Results of the </w:t>
      </w:r>
      <w:r>
        <w:t>BPS</w:t>
      </w:r>
      <w:r w:rsidRPr="007E0D74">
        <w:t>:</w:t>
      </w:r>
      <w:r>
        <w:t>20/22</w:t>
      </w:r>
      <w:r w:rsidRPr="007E0D74">
        <w:t xml:space="preserve"> Field Test Experiments</w:t>
      </w:r>
    </w:p>
    <w:p w:rsidR="00A87996" w:rsidP="00A87996" w:rsidRDefault="00A87996" w14:paraId="34BCF32D" w14:textId="3B5A2073">
      <w:pPr>
        <w:tabs>
          <w:tab w:val="left" w:pos="720"/>
          <w:tab w:val="center" w:pos="4680"/>
        </w:tabs>
        <w:autoSpaceDE w:val="0"/>
        <w:autoSpaceDN w:val="0"/>
        <w:adjustRightInd w:val="0"/>
        <w:spacing w:before="180"/>
        <w:rPr>
          <w:b/>
          <w:bCs/>
        </w:rPr>
      </w:pPr>
    </w:p>
    <w:p w:rsidR="00E0558D" w:rsidP="00A87996" w:rsidRDefault="00E0558D" w14:paraId="0B9BA416" w14:textId="77777777">
      <w:pPr>
        <w:tabs>
          <w:tab w:val="left" w:pos="720"/>
          <w:tab w:val="center" w:pos="4680"/>
        </w:tabs>
        <w:autoSpaceDE w:val="0"/>
        <w:autoSpaceDN w:val="0"/>
        <w:adjustRightInd w:val="0"/>
        <w:spacing w:before="180"/>
        <w:rPr>
          <w:b/>
          <w:bCs/>
        </w:rPr>
      </w:pPr>
    </w:p>
    <w:p w:rsidRPr="00CD167A" w:rsidR="00A87996" w:rsidP="00A87996" w:rsidRDefault="00A87996" w14:paraId="4FC9C290" w14:textId="77777777">
      <w:pPr>
        <w:tabs>
          <w:tab w:val="left" w:pos="720"/>
          <w:tab w:val="center" w:pos="4680"/>
        </w:tabs>
        <w:autoSpaceDE w:val="0"/>
        <w:autoSpaceDN w:val="0"/>
        <w:adjustRightInd w:val="0"/>
        <w:spacing w:before="180"/>
        <w:rPr>
          <w:b/>
          <w:bCs/>
        </w:rPr>
      </w:pPr>
    </w:p>
    <w:p w:rsidRPr="007269D7" w:rsidR="007269D7" w:rsidP="00A87996" w:rsidRDefault="007269D7" w14:paraId="64D27E2F" w14:textId="05C22072">
      <w:pPr>
        <w:pStyle w:val="Cov-Address"/>
        <w:rPr>
          <w:rFonts w:ascii="Arial Black" w:hAnsi="Arial Black"/>
          <w:sz w:val="28"/>
          <w:szCs w:val="28"/>
        </w:rPr>
      </w:pPr>
      <w:r w:rsidRPr="007269D7">
        <w:rPr>
          <w:rFonts w:ascii="Arial Black" w:hAnsi="Arial Black"/>
          <w:sz w:val="28"/>
          <w:szCs w:val="28"/>
        </w:rPr>
        <w:t>OMB # 1850-0631 v.</w:t>
      </w:r>
      <w:r w:rsidR="0035428B">
        <w:rPr>
          <w:rFonts w:ascii="Arial Black" w:hAnsi="Arial Black"/>
          <w:sz w:val="28"/>
          <w:szCs w:val="28"/>
        </w:rPr>
        <w:t>19</w:t>
      </w:r>
    </w:p>
    <w:p w:rsidR="007269D7" w:rsidP="00A87996" w:rsidRDefault="007269D7" w14:paraId="4FA5C8B3" w14:textId="77777777">
      <w:pPr>
        <w:pStyle w:val="Cov-Address"/>
        <w:rPr>
          <w:b/>
        </w:rPr>
      </w:pPr>
    </w:p>
    <w:p w:rsidRPr="00363BC6" w:rsidR="00A87996" w:rsidP="00A87996" w:rsidRDefault="00A87996" w14:paraId="0A39F784" w14:textId="2B0B1FDF">
      <w:pPr>
        <w:pStyle w:val="Cov-Address"/>
        <w:rPr>
          <w:b/>
        </w:rPr>
      </w:pPr>
      <w:r w:rsidRPr="00363BC6">
        <w:rPr>
          <w:b/>
        </w:rPr>
        <w:t>Submitted by</w:t>
      </w:r>
    </w:p>
    <w:p w:rsidRPr="00363BC6" w:rsidR="00A87996" w:rsidP="00A87996" w:rsidRDefault="00A87996" w14:paraId="6CD93753" w14:textId="77777777">
      <w:pPr>
        <w:pStyle w:val="Cov-Address"/>
        <w:rPr>
          <w:b/>
        </w:rPr>
      </w:pPr>
      <w:r w:rsidRPr="00363BC6">
        <w:rPr>
          <w:b/>
        </w:rPr>
        <w:t>National Center for Education Statistics</w:t>
      </w:r>
    </w:p>
    <w:p w:rsidR="00A87996" w:rsidP="00A87996" w:rsidRDefault="00A87996" w14:paraId="642C6A14" w14:textId="77777777">
      <w:pPr>
        <w:pStyle w:val="Cov-Address"/>
        <w:rPr>
          <w:b/>
          <w:bCs/>
        </w:rPr>
      </w:pPr>
      <w:r w:rsidRPr="00363BC6">
        <w:rPr>
          <w:b/>
        </w:rPr>
        <w:t>U.S. Department of Education</w:t>
      </w:r>
    </w:p>
    <w:p w:rsidR="00A87996" w:rsidP="00A87996" w:rsidRDefault="00A87996" w14:paraId="16EE7615" w14:textId="77777777">
      <w:pPr>
        <w:pStyle w:val="Cov-Address"/>
        <w:rPr>
          <w:b/>
          <w:bCs/>
        </w:rPr>
      </w:pPr>
    </w:p>
    <w:p w:rsidR="00A87996" w:rsidP="00A87996" w:rsidRDefault="00A87996" w14:paraId="5534BDEC" w14:textId="77777777">
      <w:pPr>
        <w:pStyle w:val="Cov-Address"/>
        <w:rPr>
          <w:b/>
          <w:bCs/>
        </w:rPr>
      </w:pPr>
    </w:p>
    <w:p w:rsidR="00A87996" w:rsidP="00A87996" w:rsidRDefault="00A87996" w14:paraId="6366ECB6" w14:textId="77777777">
      <w:pPr>
        <w:pStyle w:val="Cov-Address"/>
        <w:rPr>
          <w:b/>
          <w:bCs/>
        </w:rPr>
      </w:pPr>
    </w:p>
    <w:p w:rsidR="00A87996" w:rsidP="00A87996" w:rsidRDefault="00A87996" w14:paraId="7E93E41F" w14:textId="77777777">
      <w:pPr>
        <w:pStyle w:val="Cov-Address"/>
        <w:rPr>
          <w:b/>
          <w:bCs/>
        </w:rPr>
      </w:pPr>
    </w:p>
    <w:p w:rsidR="00A87996" w:rsidP="00A87996" w:rsidRDefault="00A87996" w14:paraId="0AA36995" w14:textId="77777777">
      <w:pPr>
        <w:pStyle w:val="Cov-Address"/>
        <w:rPr>
          <w:b/>
          <w:bCs/>
        </w:rPr>
      </w:pPr>
    </w:p>
    <w:p w:rsidR="00A87996" w:rsidP="00A87996" w:rsidRDefault="00A87996" w14:paraId="3A163765" w14:textId="77777777">
      <w:pPr>
        <w:pStyle w:val="Cov-Address"/>
        <w:rPr>
          <w:b/>
          <w:bCs/>
        </w:rPr>
      </w:pPr>
    </w:p>
    <w:p w:rsidR="00A87996" w:rsidP="00A87996" w:rsidRDefault="00A87996" w14:paraId="0157F55D" w14:textId="77777777">
      <w:pPr>
        <w:pStyle w:val="Cov-Address"/>
        <w:rPr>
          <w:b/>
          <w:bCs/>
        </w:rPr>
      </w:pPr>
    </w:p>
    <w:p w:rsidR="00A87996" w:rsidP="00A87996" w:rsidRDefault="00A87996" w14:paraId="266C91D5" w14:textId="77777777">
      <w:pPr>
        <w:pStyle w:val="Cov-Address"/>
        <w:rPr>
          <w:b/>
          <w:bCs/>
        </w:rPr>
      </w:pPr>
    </w:p>
    <w:p w:rsidRPr="007269D7" w:rsidR="00A87996" w:rsidP="00A87996" w:rsidRDefault="00832DA5" w14:paraId="2E234FD4" w14:textId="04FDB57F">
      <w:pPr>
        <w:pStyle w:val="Cov-Address"/>
        <w:rPr>
          <w:rFonts w:ascii="Arial Black" w:hAnsi="Arial Black"/>
          <w:b/>
          <w:bCs/>
          <w:sz w:val="28"/>
          <w:szCs w:val="28"/>
        </w:rPr>
      </w:pPr>
      <w:r>
        <w:rPr>
          <w:rFonts w:ascii="Arial Black" w:hAnsi="Arial Black"/>
          <w:b/>
          <w:bCs/>
          <w:sz w:val="28"/>
          <w:szCs w:val="28"/>
        </w:rPr>
        <w:t>December</w:t>
      </w:r>
      <w:r w:rsidRPr="0035428B" w:rsidR="00921E99">
        <w:rPr>
          <w:rFonts w:ascii="Arial Black" w:hAnsi="Arial Black"/>
          <w:b/>
          <w:bCs/>
          <w:sz w:val="28"/>
          <w:szCs w:val="28"/>
        </w:rPr>
        <w:t xml:space="preserve"> 2021</w:t>
      </w:r>
    </w:p>
    <w:p w:rsidR="00A87996" w:rsidP="00A87996" w:rsidRDefault="00A87996" w14:paraId="1BBA46E1" w14:textId="77777777">
      <w:pPr>
        <w:pStyle w:val="Cov-Address"/>
        <w:rPr>
          <w:b/>
          <w:bCs/>
        </w:rPr>
      </w:pPr>
    </w:p>
    <w:p w:rsidR="00A87996" w:rsidP="00A87996" w:rsidRDefault="00A87996" w14:paraId="543DF32D" w14:textId="77777777">
      <w:pPr>
        <w:pStyle w:val="Cov-Address"/>
        <w:jc w:val="left"/>
        <w:rPr>
          <w:b/>
          <w:bCs/>
        </w:rPr>
      </w:pPr>
    </w:p>
    <w:p w:rsidR="00A87996" w:rsidP="00A87996" w:rsidRDefault="00A87996" w14:paraId="67A6E7D7" w14:textId="77777777">
      <w:pPr>
        <w:pStyle w:val="Cov-Address"/>
        <w:jc w:val="left"/>
        <w:rPr>
          <w:b/>
          <w:bCs/>
        </w:rPr>
      </w:pPr>
    </w:p>
    <w:p w:rsidR="00A87996" w:rsidP="00A87996" w:rsidRDefault="00A87996" w14:paraId="09190737" w14:textId="77777777">
      <w:pPr>
        <w:pStyle w:val="Cov-Address"/>
        <w:jc w:val="left"/>
        <w:rPr>
          <w:b/>
          <w:bCs/>
        </w:rPr>
      </w:pPr>
    </w:p>
    <w:p w:rsidRPr="005F5ED6" w:rsidR="00A87996" w:rsidP="00A87996" w:rsidRDefault="00A87996" w14:paraId="20366FDF" w14:textId="77777777"/>
    <w:p w:rsidRPr="00122355" w:rsidR="00A87996" w:rsidP="00A87996" w:rsidRDefault="00A87996" w14:paraId="6ED36FD1" w14:textId="77777777"/>
    <w:p w:rsidRPr="00122355" w:rsidR="00A87996" w:rsidP="00A87996" w:rsidRDefault="00A87996" w14:paraId="4075A73A" w14:textId="5A894F5C"/>
    <w:p w:rsidR="003D28B5" w:rsidP="003D28B5" w:rsidRDefault="003D28B5" w14:paraId="4CD36598" w14:textId="77777777">
      <w:pPr>
        <w:sectPr w:rsidR="003D28B5" w:rsidSect="00E0558D">
          <w:footerReference w:type="default" r:id="rId8"/>
          <w:pgSz w:w="12240" w:h="15840" w:code="1"/>
          <w:pgMar w:top="864" w:right="864" w:bottom="720" w:left="864" w:header="432" w:footer="288" w:gutter="0"/>
          <w:cols w:space="432" w:sep="1"/>
          <w:titlePg/>
          <w:docGrid w:linePitch="360"/>
        </w:sectPr>
      </w:pPr>
      <w:bookmarkStart w:name="_Toc399856641" w:id="3"/>
      <w:bookmarkStart w:name="_Toc401059624" w:id="4"/>
      <w:bookmarkStart w:name="_Toc401842152" w:id="5"/>
      <w:bookmarkStart w:name="_Toc401842391" w:id="6"/>
      <w:bookmarkStart w:name="_Toc404262919" w:id="7"/>
      <w:bookmarkStart w:name="_Toc404344504" w:id="8"/>
      <w:bookmarkStart w:name="_Toc440012751" w:id="9"/>
      <w:bookmarkStart w:name="_Toc440012952" w:id="10"/>
      <w:bookmarkStart w:name="_Toc440022493" w:id="11"/>
      <w:bookmarkStart w:name="_Toc440030738" w:id="12"/>
      <w:bookmarkStart w:name="_Toc440269787" w:id="13"/>
      <w:bookmarkStart w:name="_Toc440271300" w:id="14"/>
      <w:bookmarkStart w:name="_Toc440271449" w:id="15"/>
      <w:bookmarkStart w:name="_Toc440272126" w:id="16"/>
      <w:bookmarkStart w:name="_Toc440635988" w:id="17"/>
      <w:bookmarkStart w:name="_Toc417388792" w:id="18"/>
      <w:bookmarkStart w:name="_Toc431371485" w:id="19"/>
      <w:bookmarkStart w:name="_Toc438628080" w:id="20"/>
      <w:bookmarkStart w:name="_Toc438633820" w:id="21"/>
      <w:bookmarkStart w:name="_Toc146530943" w:id="22"/>
      <w:bookmarkStart w:name="_Toc152499743" w:id="23"/>
      <w:bookmarkEnd w:id="0"/>
      <w:bookmarkEnd w:id="1"/>
    </w:p>
    <w:p w:rsidR="00A87996" w:rsidP="003D28B5" w:rsidRDefault="00A87996" w14:paraId="7C9D311C" w14:textId="15E6A84E"/>
    <w:p w:rsidRPr="005D3517" w:rsidR="00813277" w:rsidP="00813277" w:rsidRDefault="00813277" w14:paraId="35720598" w14:textId="760830E6">
      <w:pPr>
        <w:pStyle w:val="AppendixTitle"/>
        <w:pBdr>
          <w:bottom w:val="thinThickSmallGap" w:color="auto" w:sz="24" w:space="2"/>
        </w:pBdr>
      </w:pPr>
      <w:r w:rsidRPr="005D3517">
        <w:t xml:space="preserve">Appendix </w:t>
      </w:r>
      <w:r w:rsidR="00330775">
        <w:t>D</w:t>
      </w:r>
      <w:r w:rsidRPr="005D3517">
        <w:br/>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6269D6" w:rsidR="006269D6">
        <w:t xml:space="preserve">Results of the </w:t>
      </w:r>
      <w:r w:rsidR="00DF44D1">
        <w:t xml:space="preserve">BPS:20/22 </w:t>
      </w:r>
      <w:r w:rsidRPr="006269D6" w:rsidR="006269D6">
        <w:t>Field Test Experiments</w:t>
      </w:r>
    </w:p>
    <w:bookmarkEnd w:id="18"/>
    <w:bookmarkEnd w:id="19"/>
    <w:bookmarkEnd w:id="20"/>
    <w:bookmarkEnd w:id="21"/>
    <w:bookmarkEnd w:id="22"/>
    <w:bookmarkEnd w:id="23"/>
    <w:p w:rsidR="00287221" w:rsidRDefault="00287221" w14:paraId="2F726BA9" w14:textId="10C34667">
      <w:pPr>
        <w:spacing w:after="160" w:line="259" w:lineRule="auto"/>
      </w:pPr>
      <w:r>
        <w:br w:type="page"/>
      </w:r>
    </w:p>
    <w:p w:rsidRPr="00FD20C4" w:rsidR="00287221" w:rsidP="00287221" w:rsidRDefault="00287221" w14:paraId="6706F96F" w14:textId="0C112FC7">
      <w:pPr>
        <w:spacing w:after="120"/>
        <w:rPr>
          <w:rFonts w:cstheme="minorHAnsi"/>
          <w:szCs w:val="24"/>
        </w:rPr>
      </w:pPr>
      <w:r w:rsidRPr="00FD20C4">
        <w:rPr>
          <w:rFonts w:cstheme="minorHAnsi"/>
          <w:szCs w:val="24"/>
        </w:rPr>
        <w:lastRenderedPageBreak/>
        <w:t xml:space="preserve">The BPS:20/22 field test included two sets of experiments: data collection experiments focused on survey participation to reduce nonresponse error and the potential for nonresponse bias (Section </w:t>
      </w:r>
      <w:r w:rsidR="00A3046F">
        <w:rPr>
          <w:rFonts w:cstheme="minorHAnsi"/>
          <w:szCs w:val="24"/>
        </w:rPr>
        <w:t>D</w:t>
      </w:r>
      <w:r w:rsidRPr="00FD20C4">
        <w:rPr>
          <w:rFonts w:cstheme="minorHAnsi"/>
          <w:szCs w:val="24"/>
        </w:rPr>
        <w:t xml:space="preserve">.1) and questionnaire design experiments focused on minimizing measurement error to improve data quality (Section </w:t>
      </w:r>
      <w:r w:rsidR="00A3046F">
        <w:rPr>
          <w:rFonts w:cstheme="minorHAnsi"/>
          <w:szCs w:val="24"/>
        </w:rPr>
        <w:t>D</w:t>
      </w:r>
      <w:r w:rsidRPr="00FD20C4">
        <w:rPr>
          <w:rFonts w:cstheme="minorHAnsi"/>
          <w:szCs w:val="24"/>
        </w:rPr>
        <w:t>.2). Full details of the experiments were described and approved in BPS:20/22 Field Test Supporting Statement Part B (OMB# 1850-0631 v.18).</w:t>
      </w:r>
    </w:p>
    <w:p w:rsidRPr="00FD5576" w:rsidR="00287221" w:rsidP="00287221" w:rsidRDefault="00A3046F" w14:paraId="119BF4B0" w14:textId="02A87976">
      <w:pPr>
        <w:pStyle w:val="Heading2"/>
      </w:pPr>
      <w:r>
        <w:t>D</w:t>
      </w:r>
      <w:r w:rsidR="00287221">
        <w:t xml:space="preserve">.1 </w:t>
      </w:r>
      <w:r w:rsidRPr="00FD5576" w:rsidR="00287221">
        <w:t>Evaluation of Data Collection Experiments</w:t>
      </w:r>
    </w:p>
    <w:p w:rsidRPr="00FD20C4" w:rsidR="00287221" w:rsidP="00287221" w:rsidRDefault="00287221" w14:paraId="2706C3DA" w14:textId="77777777">
      <w:pPr>
        <w:autoSpaceDE w:val="0"/>
        <w:autoSpaceDN w:val="0"/>
        <w:adjustRightInd w:val="0"/>
        <w:spacing w:after="120"/>
        <w:rPr>
          <w:rFonts w:cstheme="minorHAnsi"/>
          <w:color w:val="000000"/>
          <w:szCs w:val="24"/>
        </w:rPr>
      </w:pPr>
      <w:r w:rsidRPr="00FD20C4">
        <w:rPr>
          <w:rFonts w:cstheme="minorHAnsi"/>
          <w:szCs w:val="24"/>
        </w:rPr>
        <w:t>Decreasing response rates have long been a threat to survey data quality (e.g., Massey and Tourangeau 2012) since lower response rates can increase the potential for nonresponse bias, increase survey costs, and decrease sample sizes. Two data collection experiments were designed for the BPS:20/22 field test to investigate the effects of: a</w:t>
      </w:r>
      <w:r w:rsidRPr="00FD20C4">
        <w:rPr>
          <w:rFonts w:cstheme="minorHAnsi"/>
          <w:color w:val="000000"/>
          <w:szCs w:val="24"/>
        </w:rPr>
        <w:t xml:space="preserve">) an “early bird” incentive experiment where respondents receive an additional $5 incentive if they complete the survey within the first three weeks of data collection, and b) a survey reminder mode experiment where text message reminders exclusively used for a limited period of time during data collection instead of using telephone call reminders. </w:t>
      </w:r>
    </w:p>
    <w:p w:rsidRPr="00FD20C4" w:rsidR="00287221" w:rsidP="00287221" w:rsidRDefault="00287221" w14:paraId="499459B6" w14:textId="77777777">
      <w:pPr>
        <w:autoSpaceDE w:val="0"/>
        <w:autoSpaceDN w:val="0"/>
        <w:adjustRightInd w:val="0"/>
        <w:spacing w:after="120"/>
        <w:rPr>
          <w:rFonts w:cstheme="minorHAnsi"/>
          <w:szCs w:val="24"/>
        </w:rPr>
      </w:pPr>
      <w:r w:rsidRPr="00FD20C4">
        <w:rPr>
          <w:rFonts w:cstheme="minorHAnsi"/>
          <w:color w:val="000000"/>
          <w:szCs w:val="24"/>
        </w:rPr>
        <w:t xml:space="preserve">Three indicators were identified to test the effectiveness of these experiments: survey response, sample representativeness, and data collection efficiency. </w:t>
      </w:r>
      <w:r w:rsidRPr="00FD20C4">
        <w:rPr>
          <w:rFonts w:cstheme="minorHAnsi"/>
          <w:szCs w:val="24"/>
        </w:rPr>
        <w:t xml:space="preserve">Survey response was evaluated for both experiments using response rates. Pearson chi-squared tests assessed whether the experimental treatments significantly increased survey response. </w:t>
      </w:r>
    </w:p>
    <w:p w:rsidRPr="00FD20C4" w:rsidR="00287221" w:rsidP="00287221" w:rsidRDefault="00287221" w14:paraId="5B427AF3" w14:textId="77777777">
      <w:pPr>
        <w:autoSpaceDE w:val="0"/>
        <w:autoSpaceDN w:val="0"/>
        <w:adjustRightInd w:val="0"/>
        <w:spacing w:after="120"/>
        <w:rPr>
          <w:rFonts w:cstheme="minorHAnsi"/>
          <w:szCs w:val="24"/>
        </w:rPr>
      </w:pPr>
      <w:r w:rsidRPr="00FD20C4">
        <w:rPr>
          <w:rFonts w:cstheme="minorHAnsi"/>
          <w:szCs w:val="24"/>
        </w:rPr>
        <w:t xml:space="preserve">Next, </w:t>
      </w:r>
      <w:r w:rsidRPr="00FD20C4">
        <w:rPr>
          <w:rFonts w:cstheme="minorHAnsi"/>
          <w:szCs w:val="24"/>
          <w:shd w:val="clear" w:color="auto" w:fill="FFFFFF"/>
        </w:rPr>
        <w:t>using administrative frame data, sample representativeness was assessed across age, sex, ethnicity, race, and institutional control (i.e., public institutions; private nonprofit institutions; and private for-profit institutions).</w:t>
      </w:r>
      <w:r w:rsidRPr="00FD20C4">
        <w:rPr>
          <w:rFonts w:cstheme="minorHAnsi"/>
          <w:szCs w:val="24"/>
        </w:rPr>
        <w:t xml:space="preserve"> Similar variables were used to evaluate sample composition in previous NCES studies (e.g., B&amp;B:16/20). Estimates for these characteristics were compared across respondents and nonrespondents within each of the experimental and control groups (i.e., do the experimental manipulations encourage survey participation from different kinds of sample members than the control condition?). Two-sided t-tests</w:t>
      </w:r>
      <w:r w:rsidRPr="00FD20C4">
        <w:rPr>
          <w:rStyle w:val="FootnoteReference"/>
          <w:rFonts w:cstheme="minorHAnsi"/>
          <w:szCs w:val="24"/>
        </w:rPr>
        <w:footnoteReference w:id="1"/>
      </w:r>
      <w:r w:rsidRPr="00FD20C4">
        <w:rPr>
          <w:rFonts w:cstheme="minorHAnsi"/>
          <w:szCs w:val="24"/>
        </w:rPr>
        <w:t xml:space="preserve"> were used assess continuous respondent characteristics (i.e., age), and Pearson chi-squared tests to assess categorical respondent characteristics (i.e., sex, ethnicity, race, and institutional control). </w:t>
      </w:r>
    </w:p>
    <w:p w:rsidRPr="00FD20C4" w:rsidR="00287221" w:rsidP="00287221" w:rsidRDefault="00287221" w14:paraId="2073A255" w14:textId="33465F6F">
      <w:pPr>
        <w:autoSpaceDE w:val="0"/>
        <w:autoSpaceDN w:val="0"/>
        <w:adjustRightInd w:val="0"/>
        <w:spacing w:after="120"/>
        <w:rPr>
          <w:rFonts w:cstheme="minorHAnsi"/>
          <w:szCs w:val="24"/>
        </w:rPr>
      </w:pPr>
      <w:r w:rsidRPr="00FD20C4">
        <w:rPr>
          <w:rFonts w:cstheme="minorHAnsi"/>
          <w:szCs w:val="24"/>
        </w:rPr>
        <w:t>Finally, data collection efficiency is operationalized as the number of the days between the start of the experiment and survey completion. One-sided t-tests</w:t>
      </w:r>
      <w:r w:rsidRPr="00FD20C4">
        <w:rPr>
          <w:rFonts w:cstheme="minorHAnsi"/>
          <w:szCs w:val="24"/>
          <w:vertAlign w:val="superscript"/>
        </w:rPr>
        <w:t>1</w:t>
      </w:r>
      <w:r w:rsidRPr="00FD20C4">
        <w:rPr>
          <w:rFonts w:cstheme="minorHAnsi"/>
          <w:szCs w:val="24"/>
        </w:rPr>
        <w:t xml:space="preserve"> were used to explore whether the experimental treatments significantly reduce the number of days from the start of the experiment it takes respondents to complete the survey.</w:t>
      </w:r>
      <w:r w:rsidRPr="00FD20C4">
        <w:rPr>
          <w:szCs w:val="24"/>
        </w:rPr>
        <w:t xml:space="preserve"> </w:t>
      </w:r>
      <w:r w:rsidRPr="00FD20C4">
        <w:rPr>
          <w:rFonts w:cstheme="minorHAnsi"/>
          <w:szCs w:val="24"/>
        </w:rPr>
        <w:fldChar w:fldCharType="begin"/>
      </w:r>
      <w:r w:rsidRPr="00FD20C4">
        <w:rPr>
          <w:rFonts w:cstheme="minorHAnsi"/>
          <w:szCs w:val="24"/>
        </w:rPr>
        <w:instrText xml:space="preserve"> REF _Ref79565408 \h  \* MERGEFORMAT </w:instrText>
      </w:r>
      <w:r w:rsidRPr="00FD20C4">
        <w:rPr>
          <w:rFonts w:cstheme="minorHAnsi"/>
          <w:szCs w:val="24"/>
        </w:rPr>
      </w:r>
      <w:r w:rsidRPr="00FD20C4">
        <w:rPr>
          <w:rFonts w:cstheme="minorHAnsi"/>
          <w:szCs w:val="24"/>
        </w:rPr>
        <w:fldChar w:fldCharType="separate"/>
      </w:r>
      <w:r w:rsidRPr="009A22ED">
        <w:rPr>
          <w:szCs w:val="24"/>
        </w:rPr>
        <w:t xml:space="preserve">Table </w:t>
      </w:r>
      <w:r w:rsidR="00A3046F">
        <w:rPr>
          <w:szCs w:val="24"/>
        </w:rPr>
        <w:t>D</w:t>
      </w:r>
      <w:r>
        <w:rPr>
          <w:szCs w:val="24"/>
        </w:rPr>
        <w:t>.</w:t>
      </w:r>
      <w:r w:rsidRPr="009A22ED">
        <w:rPr>
          <w:noProof/>
          <w:szCs w:val="24"/>
        </w:rPr>
        <w:t>1</w:t>
      </w:r>
      <w:r w:rsidRPr="00FD20C4">
        <w:rPr>
          <w:rFonts w:cstheme="minorHAnsi"/>
          <w:szCs w:val="24"/>
        </w:rPr>
        <w:fldChar w:fldCharType="end"/>
      </w:r>
      <w:r w:rsidRPr="00FD20C4">
        <w:rPr>
          <w:rFonts w:cstheme="minorHAnsi"/>
          <w:szCs w:val="24"/>
        </w:rPr>
        <w:t xml:space="preserve"> summarizes these indicators, their operationalization, and the analytic approaches.</w:t>
      </w:r>
    </w:p>
    <w:p w:rsidRPr="00FD5576" w:rsidR="00287221" w:rsidP="00287221" w:rsidRDefault="00287221" w14:paraId="0F27597E" w14:textId="699DE212">
      <w:pPr>
        <w:pStyle w:val="TableTitle"/>
      </w:pPr>
      <w:bookmarkStart w:name="_Ref79565408" w:id="24"/>
      <w:r w:rsidRPr="00B5781B">
        <w:rPr>
          <w:bCs/>
        </w:rPr>
        <w:t xml:space="preserve">Table </w:t>
      </w:r>
      <w:r w:rsidR="00A3046F">
        <w:rPr>
          <w:bCs/>
        </w:rPr>
        <w:t>D</w:t>
      </w:r>
      <w:r>
        <w:rPr>
          <w:bCs/>
        </w:rPr>
        <w:t>.</w:t>
      </w:r>
      <w:r w:rsidRPr="00B5781B">
        <w:rPr>
          <w:bCs/>
        </w:rPr>
        <w:fldChar w:fldCharType="begin"/>
      </w:r>
      <w:r w:rsidRPr="00B5781B">
        <w:rPr>
          <w:bCs/>
        </w:rPr>
        <w:instrText xml:space="preserve"> SEQ Table \* ARABIC </w:instrText>
      </w:r>
      <w:r w:rsidRPr="00B5781B">
        <w:rPr>
          <w:bCs/>
        </w:rPr>
        <w:fldChar w:fldCharType="separate"/>
      </w:r>
      <w:r>
        <w:rPr>
          <w:bCs/>
          <w:noProof/>
        </w:rPr>
        <w:t>1</w:t>
      </w:r>
      <w:r w:rsidRPr="00B5781B">
        <w:rPr>
          <w:bCs/>
        </w:rPr>
        <w:fldChar w:fldCharType="end"/>
      </w:r>
      <w:bookmarkEnd w:id="24"/>
      <w:r w:rsidRPr="00B5781B">
        <w:rPr>
          <w:bCs/>
        </w:rPr>
        <w:t>.</w:t>
      </w:r>
      <w:r w:rsidRPr="00FD5576">
        <w:t xml:space="preserve"> </w:t>
      </w:r>
      <w:r w:rsidRPr="007C0F4D">
        <w:t>2020/22 Beginning Postsecondary Students Field Test</w:t>
      </w:r>
      <w:r>
        <w:t xml:space="preserve">: </w:t>
      </w:r>
      <w:r w:rsidRPr="00FD5576">
        <w:t>Overview of indicators, operationalizations and analytic approaches</w:t>
      </w:r>
      <w:r>
        <w:t xml:space="preserve"> for data collection experiments</w:t>
      </w:r>
    </w:p>
    <w:tbl>
      <w:tblPr>
        <w:tblStyle w:val="TableGrid"/>
        <w:tblW w:w="5000" w:type="pct"/>
        <w:tblLayout w:type="fixed"/>
        <w:tblLook w:val="04A0" w:firstRow="1" w:lastRow="0" w:firstColumn="1" w:lastColumn="0" w:noHBand="0" w:noVBand="1"/>
      </w:tblPr>
      <w:tblGrid>
        <w:gridCol w:w="2834"/>
        <w:gridCol w:w="5059"/>
        <w:gridCol w:w="2619"/>
      </w:tblGrid>
      <w:tr w:rsidRPr="006A67FD" w:rsidR="00287221" w:rsidTr="00287084" w14:paraId="0A1F7068" w14:textId="77777777">
        <w:trPr>
          <w:trHeight w:val="144"/>
        </w:trPr>
        <w:tc>
          <w:tcPr>
            <w:tcW w:w="2523" w:type="dxa"/>
            <w:tcBorders>
              <w:top w:val="single" w:color="auto" w:sz="12" w:space="0"/>
              <w:left w:val="nil"/>
              <w:bottom w:val="nil"/>
              <w:right w:val="nil"/>
            </w:tcBorders>
            <w:vAlign w:val="bottom"/>
          </w:tcPr>
          <w:p w:rsidRPr="006A67FD" w:rsidR="00287221" w:rsidP="00287084" w:rsidRDefault="00287221" w14:paraId="73A0FC9B" w14:textId="77777777">
            <w:pPr>
              <w:rPr>
                <w:rFonts w:ascii="Arial" w:hAnsi="Arial" w:cs="Arial"/>
                <w:b/>
                <w:sz w:val="18"/>
                <w:szCs w:val="18"/>
              </w:rPr>
            </w:pPr>
            <w:r w:rsidRPr="006A67FD">
              <w:rPr>
                <w:rFonts w:ascii="Arial" w:hAnsi="Arial" w:cs="Arial"/>
                <w:b/>
                <w:sz w:val="18"/>
                <w:szCs w:val="18"/>
              </w:rPr>
              <w:t>Indicator</w:t>
            </w:r>
          </w:p>
        </w:tc>
        <w:tc>
          <w:tcPr>
            <w:tcW w:w="4505" w:type="dxa"/>
            <w:tcBorders>
              <w:top w:val="single" w:color="auto" w:sz="12" w:space="0"/>
              <w:left w:val="nil"/>
              <w:bottom w:val="nil"/>
              <w:right w:val="nil"/>
            </w:tcBorders>
            <w:vAlign w:val="bottom"/>
          </w:tcPr>
          <w:p w:rsidRPr="006A67FD" w:rsidR="00287221" w:rsidP="00287084" w:rsidRDefault="00287221" w14:paraId="0207AB3E" w14:textId="77777777">
            <w:pPr>
              <w:rPr>
                <w:rFonts w:ascii="Arial" w:hAnsi="Arial" w:cs="Arial"/>
                <w:b/>
                <w:sz w:val="18"/>
                <w:szCs w:val="18"/>
              </w:rPr>
            </w:pPr>
            <w:r w:rsidRPr="006A67FD">
              <w:rPr>
                <w:rFonts w:ascii="Arial" w:hAnsi="Arial" w:cs="Arial"/>
                <w:b/>
                <w:sz w:val="18"/>
                <w:szCs w:val="18"/>
              </w:rPr>
              <w:t>Operationalization</w:t>
            </w:r>
          </w:p>
        </w:tc>
        <w:tc>
          <w:tcPr>
            <w:tcW w:w="2332" w:type="dxa"/>
            <w:tcBorders>
              <w:top w:val="single" w:color="auto" w:sz="12" w:space="0"/>
              <w:left w:val="nil"/>
              <w:bottom w:val="nil"/>
              <w:right w:val="nil"/>
            </w:tcBorders>
            <w:vAlign w:val="bottom"/>
          </w:tcPr>
          <w:p w:rsidRPr="006A67FD" w:rsidR="00287221" w:rsidP="00287084" w:rsidRDefault="00287221" w14:paraId="7B411068" w14:textId="77777777">
            <w:pPr>
              <w:jc w:val="center"/>
              <w:rPr>
                <w:rFonts w:ascii="Arial" w:hAnsi="Arial" w:cs="Arial"/>
                <w:b/>
                <w:sz w:val="18"/>
                <w:szCs w:val="18"/>
              </w:rPr>
            </w:pPr>
            <w:r w:rsidRPr="006A67FD">
              <w:rPr>
                <w:rFonts w:ascii="Arial" w:hAnsi="Arial" w:cs="Arial"/>
                <w:b/>
                <w:sz w:val="18"/>
                <w:szCs w:val="18"/>
              </w:rPr>
              <w:t>Analytic Approach</w:t>
            </w:r>
          </w:p>
        </w:tc>
      </w:tr>
      <w:tr w:rsidRPr="006A67FD" w:rsidR="00287221" w:rsidTr="00287084" w14:paraId="74A4642C" w14:textId="77777777">
        <w:trPr>
          <w:trHeight w:val="144"/>
        </w:trPr>
        <w:tc>
          <w:tcPr>
            <w:tcW w:w="2523" w:type="dxa"/>
            <w:tcBorders>
              <w:top w:val="nil"/>
              <w:left w:val="nil"/>
              <w:bottom w:val="nil"/>
              <w:right w:val="nil"/>
            </w:tcBorders>
            <w:vAlign w:val="bottom"/>
          </w:tcPr>
          <w:p w:rsidRPr="006A67FD" w:rsidR="00287221" w:rsidP="00287084" w:rsidRDefault="00287221" w14:paraId="7327EB51" w14:textId="77777777">
            <w:pPr>
              <w:rPr>
                <w:rFonts w:ascii="Arial" w:hAnsi="Arial" w:cs="Arial"/>
                <w:sz w:val="18"/>
                <w:szCs w:val="18"/>
              </w:rPr>
            </w:pPr>
            <w:r w:rsidRPr="006A67FD">
              <w:rPr>
                <w:rFonts w:ascii="Arial" w:hAnsi="Arial" w:cs="Arial"/>
                <w:sz w:val="18"/>
                <w:szCs w:val="18"/>
              </w:rPr>
              <w:t>Survey response</w:t>
            </w:r>
          </w:p>
        </w:tc>
        <w:tc>
          <w:tcPr>
            <w:tcW w:w="4505" w:type="dxa"/>
            <w:tcBorders>
              <w:top w:val="nil"/>
              <w:left w:val="nil"/>
              <w:bottom w:val="nil"/>
              <w:right w:val="nil"/>
            </w:tcBorders>
            <w:vAlign w:val="bottom"/>
          </w:tcPr>
          <w:p w:rsidRPr="006A67FD" w:rsidR="00287221" w:rsidP="00287084" w:rsidRDefault="00287221" w14:paraId="5D7B82B4" w14:textId="77777777">
            <w:pPr>
              <w:rPr>
                <w:rFonts w:ascii="Arial" w:hAnsi="Arial" w:cs="Arial"/>
                <w:sz w:val="18"/>
                <w:szCs w:val="18"/>
              </w:rPr>
            </w:pPr>
            <w:r w:rsidRPr="006A67FD">
              <w:rPr>
                <w:rFonts w:ascii="Arial" w:hAnsi="Arial" w:cs="Arial"/>
                <w:sz w:val="18"/>
                <w:szCs w:val="18"/>
              </w:rPr>
              <w:t>Response rates (eligible sample members only, including partial completions)</w:t>
            </w:r>
          </w:p>
        </w:tc>
        <w:tc>
          <w:tcPr>
            <w:tcW w:w="2332" w:type="dxa"/>
            <w:tcBorders>
              <w:top w:val="nil"/>
              <w:left w:val="nil"/>
              <w:bottom w:val="nil"/>
              <w:right w:val="nil"/>
            </w:tcBorders>
            <w:vAlign w:val="bottom"/>
          </w:tcPr>
          <w:p w:rsidRPr="006A67FD" w:rsidR="00287221" w:rsidP="00287084" w:rsidRDefault="00287221" w14:paraId="66520C07" w14:textId="77777777">
            <w:pPr>
              <w:jc w:val="center"/>
              <w:rPr>
                <w:rFonts w:ascii="Arial" w:hAnsi="Arial" w:cs="Arial"/>
                <w:sz w:val="18"/>
                <w:szCs w:val="18"/>
              </w:rPr>
            </w:pPr>
            <m:oMath>
              <m:r>
                <w:rPr>
                  <w:rFonts w:ascii="Cambria Math" w:hAnsi="Cambria Math" w:cs="Arial"/>
                  <w:sz w:val="18"/>
                  <w:szCs w:val="18"/>
                </w:rPr>
                <m:t>χ</m:t>
              </m:r>
            </m:oMath>
            <w:r w:rsidRPr="006A67FD">
              <w:rPr>
                <w:rFonts w:ascii="Arial" w:hAnsi="Arial" w:cs="Arial" w:eastAsiaTheme="minorEastAsia"/>
                <w:sz w:val="18"/>
                <w:szCs w:val="18"/>
                <w:vertAlign w:val="superscript"/>
              </w:rPr>
              <w:t>2</w:t>
            </w:r>
            <w:r w:rsidRPr="006A67FD">
              <w:rPr>
                <w:rFonts w:ascii="Arial" w:hAnsi="Arial" w:cs="Arial" w:eastAsiaTheme="minorEastAsia"/>
                <w:sz w:val="18"/>
                <w:szCs w:val="18"/>
              </w:rPr>
              <w:t xml:space="preserve"> </w:t>
            </w:r>
            <w:proofErr w:type="gramStart"/>
            <w:r w:rsidRPr="006A67FD">
              <w:rPr>
                <w:rFonts w:ascii="Arial" w:hAnsi="Arial" w:cs="Arial" w:eastAsiaTheme="minorEastAsia"/>
                <w:sz w:val="18"/>
                <w:szCs w:val="18"/>
              </w:rPr>
              <w:t>test</w:t>
            </w:r>
            <w:proofErr w:type="gramEnd"/>
          </w:p>
        </w:tc>
      </w:tr>
      <w:tr w:rsidRPr="006A67FD" w:rsidR="00287221" w:rsidTr="00287084" w14:paraId="3A2ACB08" w14:textId="77777777">
        <w:trPr>
          <w:trHeight w:val="144"/>
        </w:trPr>
        <w:tc>
          <w:tcPr>
            <w:tcW w:w="2523" w:type="dxa"/>
            <w:tcBorders>
              <w:top w:val="nil"/>
              <w:left w:val="nil"/>
              <w:bottom w:val="nil"/>
              <w:right w:val="nil"/>
            </w:tcBorders>
            <w:vAlign w:val="bottom"/>
          </w:tcPr>
          <w:p w:rsidRPr="006A67FD" w:rsidR="00287221" w:rsidP="00287084" w:rsidRDefault="00287221" w14:paraId="61A3E0F2" w14:textId="77777777">
            <w:pPr>
              <w:rPr>
                <w:rFonts w:ascii="Arial" w:hAnsi="Arial" w:cs="Arial"/>
                <w:sz w:val="18"/>
                <w:szCs w:val="18"/>
              </w:rPr>
            </w:pPr>
            <w:r w:rsidRPr="006A67FD">
              <w:rPr>
                <w:rFonts w:ascii="Arial" w:hAnsi="Arial" w:cs="Arial"/>
                <w:sz w:val="18"/>
                <w:szCs w:val="18"/>
              </w:rPr>
              <w:t xml:space="preserve">Sample representativeness </w:t>
            </w:r>
          </w:p>
        </w:tc>
        <w:tc>
          <w:tcPr>
            <w:tcW w:w="4505" w:type="dxa"/>
            <w:tcBorders>
              <w:top w:val="nil"/>
              <w:left w:val="nil"/>
              <w:bottom w:val="nil"/>
              <w:right w:val="nil"/>
            </w:tcBorders>
            <w:vAlign w:val="bottom"/>
          </w:tcPr>
          <w:p w:rsidRPr="006A67FD" w:rsidR="00287221" w:rsidP="00287084" w:rsidRDefault="00287221" w14:paraId="66F99295" w14:textId="77777777">
            <w:pPr>
              <w:rPr>
                <w:rFonts w:ascii="Arial" w:hAnsi="Arial" w:cs="Arial"/>
                <w:sz w:val="18"/>
                <w:szCs w:val="18"/>
              </w:rPr>
            </w:pPr>
            <w:r w:rsidRPr="006A67FD">
              <w:rPr>
                <w:rFonts w:ascii="Arial" w:hAnsi="Arial" w:cs="Arial"/>
                <w:sz w:val="18"/>
                <w:szCs w:val="18"/>
              </w:rPr>
              <w:t>Compare estimates for respondents to estimates of nonrespondents</w:t>
            </w:r>
          </w:p>
        </w:tc>
        <w:tc>
          <w:tcPr>
            <w:tcW w:w="2332" w:type="dxa"/>
            <w:tcBorders>
              <w:top w:val="nil"/>
              <w:left w:val="nil"/>
              <w:bottom w:val="nil"/>
              <w:right w:val="nil"/>
            </w:tcBorders>
            <w:vAlign w:val="bottom"/>
          </w:tcPr>
          <w:p w:rsidRPr="006A67FD" w:rsidR="00287221" w:rsidP="00287084" w:rsidRDefault="00287221" w14:paraId="0F7942D6" w14:textId="77777777">
            <w:pPr>
              <w:jc w:val="center"/>
              <w:rPr>
                <w:rFonts w:ascii="Arial" w:hAnsi="Arial" w:cs="Arial"/>
                <w:sz w:val="18"/>
                <w:szCs w:val="18"/>
              </w:rPr>
            </w:pPr>
            <w:r w:rsidRPr="006A67FD">
              <w:rPr>
                <w:rFonts w:ascii="Arial" w:hAnsi="Arial" w:cs="Arial"/>
                <w:sz w:val="18"/>
                <w:szCs w:val="18"/>
              </w:rPr>
              <w:t>descriptive</w:t>
            </w:r>
            <w:r w:rsidRPr="006A67FD">
              <w:rPr>
                <w:rFonts w:ascii="Arial" w:hAnsi="Arial" w:cs="Arial"/>
                <w:sz w:val="18"/>
                <w:szCs w:val="18"/>
              </w:rPr>
              <w:br/>
            </w:r>
          </w:p>
          <w:p w:rsidRPr="006A67FD" w:rsidR="00287221" w:rsidP="00287084" w:rsidRDefault="00287221" w14:paraId="3A05C404" w14:textId="77777777">
            <w:pPr>
              <w:jc w:val="center"/>
              <w:rPr>
                <w:rFonts w:ascii="Arial" w:hAnsi="Arial" w:cs="Arial"/>
                <w:sz w:val="18"/>
                <w:szCs w:val="18"/>
              </w:rPr>
            </w:pPr>
            <w:r w:rsidRPr="00003321">
              <w:rPr>
                <w:rFonts w:ascii="Arial" w:hAnsi="Arial" w:cs="Arial"/>
                <w:i/>
                <w:sz w:val="18"/>
                <w:szCs w:val="18"/>
              </w:rPr>
              <w:t>t</w:t>
            </w:r>
            <w:r w:rsidRPr="006A67FD">
              <w:rPr>
                <w:rFonts w:ascii="Arial" w:hAnsi="Arial" w:cs="Arial"/>
                <w:iCs/>
                <w:sz w:val="18"/>
                <w:szCs w:val="18"/>
              </w:rPr>
              <w:t>-</w:t>
            </w:r>
            <w:r w:rsidRPr="006A67FD">
              <w:rPr>
                <w:rFonts w:ascii="Arial" w:hAnsi="Arial" w:cs="Arial"/>
                <w:sz w:val="18"/>
                <w:szCs w:val="18"/>
              </w:rPr>
              <w:t>test - continuous variables</w:t>
            </w:r>
          </w:p>
          <w:p w:rsidRPr="006A67FD" w:rsidR="00287221" w:rsidP="00287084" w:rsidRDefault="00287221" w14:paraId="0A3D90BE" w14:textId="77777777">
            <w:pPr>
              <w:jc w:val="center"/>
              <w:rPr>
                <w:rFonts w:ascii="Arial" w:hAnsi="Arial" w:cs="Arial"/>
                <w:sz w:val="18"/>
                <w:szCs w:val="18"/>
              </w:rPr>
            </w:pPr>
          </w:p>
          <w:p w:rsidRPr="006A67FD" w:rsidR="00287221" w:rsidP="00287084" w:rsidRDefault="00287221" w14:paraId="76E680D8" w14:textId="77777777">
            <w:pPr>
              <w:jc w:val="center"/>
              <w:rPr>
                <w:rFonts w:ascii="Arial" w:hAnsi="Arial" w:cs="Arial"/>
                <w:sz w:val="18"/>
                <w:szCs w:val="18"/>
              </w:rPr>
            </w:pPr>
            <m:oMath>
              <m:r>
                <w:rPr>
                  <w:rFonts w:ascii="Cambria Math" w:hAnsi="Cambria Math" w:cs="Arial"/>
                  <w:sz w:val="18"/>
                  <w:szCs w:val="18"/>
                </w:rPr>
                <m:t>χ</m:t>
              </m:r>
            </m:oMath>
            <w:r w:rsidRPr="006A67FD">
              <w:rPr>
                <w:rFonts w:ascii="Arial" w:hAnsi="Arial" w:cs="Arial" w:eastAsiaTheme="minorEastAsia"/>
                <w:sz w:val="18"/>
                <w:szCs w:val="18"/>
                <w:vertAlign w:val="superscript"/>
              </w:rPr>
              <w:t>2</w:t>
            </w:r>
            <w:r w:rsidRPr="006A67FD">
              <w:rPr>
                <w:rFonts w:ascii="Arial" w:hAnsi="Arial" w:cs="Arial" w:eastAsiaTheme="minorEastAsia"/>
                <w:sz w:val="18"/>
                <w:szCs w:val="18"/>
              </w:rPr>
              <w:t xml:space="preserve"> test – categorical variables</w:t>
            </w:r>
          </w:p>
          <w:p w:rsidRPr="006A67FD" w:rsidR="00287221" w:rsidP="00287084" w:rsidRDefault="00287221" w14:paraId="03E9C4AD" w14:textId="77777777">
            <w:pPr>
              <w:jc w:val="center"/>
              <w:rPr>
                <w:rFonts w:ascii="Arial" w:hAnsi="Arial" w:cs="Arial"/>
                <w:sz w:val="18"/>
                <w:szCs w:val="18"/>
              </w:rPr>
            </w:pPr>
          </w:p>
        </w:tc>
      </w:tr>
      <w:tr w:rsidRPr="006A67FD" w:rsidR="00287221" w:rsidTr="00287084" w14:paraId="1EB0B9B5" w14:textId="77777777">
        <w:trPr>
          <w:trHeight w:val="144"/>
        </w:trPr>
        <w:tc>
          <w:tcPr>
            <w:tcW w:w="2523" w:type="dxa"/>
            <w:tcBorders>
              <w:top w:val="nil"/>
              <w:left w:val="nil"/>
              <w:bottom w:val="single" w:color="auto" w:sz="12" w:space="0"/>
              <w:right w:val="nil"/>
            </w:tcBorders>
            <w:vAlign w:val="bottom"/>
          </w:tcPr>
          <w:p w:rsidRPr="006A67FD" w:rsidR="00287221" w:rsidP="00287084" w:rsidRDefault="00287221" w14:paraId="16BBD5DD" w14:textId="77777777">
            <w:pPr>
              <w:rPr>
                <w:rFonts w:ascii="Arial" w:hAnsi="Arial" w:cs="Arial"/>
                <w:sz w:val="18"/>
                <w:szCs w:val="18"/>
              </w:rPr>
            </w:pPr>
            <w:r w:rsidRPr="006A67FD">
              <w:rPr>
                <w:rFonts w:ascii="Arial" w:hAnsi="Arial" w:cs="Arial"/>
                <w:sz w:val="18"/>
                <w:szCs w:val="18"/>
              </w:rPr>
              <w:t>Data collection efficiency</w:t>
            </w:r>
          </w:p>
        </w:tc>
        <w:tc>
          <w:tcPr>
            <w:tcW w:w="4505" w:type="dxa"/>
            <w:tcBorders>
              <w:top w:val="nil"/>
              <w:left w:val="nil"/>
              <w:bottom w:val="single" w:color="auto" w:sz="12" w:space="0"/>
              <w:right w:val="nil"/>
            </w:tcBorders>
            <w:vAlign w:val="bottom"/>
          </w:tcPr>
          <w:p w:rsidRPr="006A67FD" w:rsidR="00287221" w:rsidP="00287084" w:rsidRDefault="00287221" w14:paraId="3F083E9A" w14:textId="77777777">
            <w:pPr>
              <w:rPr>
                <w:rFonts w:ascii="Arial" w:hAnsi="Arial" w:cs="Arial"/>
                <w:sz w:val="18"/>
                <w:szCs w:val="18"/>
              </w:rPr>
            </w:pPr>
            <w:r w:rsidRPr="006A67FD">
              <w:rPr>
                <w:rFonts w:ascii="Arial" w:hAnsi="Arial" w:cs="Arial"/>
                <w:sz w:val="18"/>
                <w:szCs w:val="18"/>
              </w:rPr>
              <w:t>Number of days from start of experiment to survey completion</w:t>
            </w:r>
          </w:p>
        </w:tc>
        <w:tc>
          <w:tcPr>
            <w:tcW w:w="2332" w:type="dxa"/>
            <w:tcBorders>
              <w:top w:val="nil"/>
              <w:left w:val="nil"/>
              <w:bottom w:val="single" w:color="auto" w:sz="12" w:space="0"/>
              <w:right w:val="nil"/>
            </w:tcBorders>
            <w:vAlign w:val="bottom"/>
          </w:tcPr>
          <w:p w:rsidRPr="006A67FD" w:rsidR="00287221" w:rsidP="00287084" w:rsidRDefault="00287221" w14:paraId="3A566014" w14:textId="77777777">
            <w:pPr>
              <w:jc w:val="center"/>
              <w:rPr>
                <w:rFonts w:ascii="Arial" w:hAnsi="Arial" w:cs="Arial"/>
                <w:sz w:val="18"/>
                <w:szCs w:val="18"/>
              </w:rPr>
            </w:pPr>
            <w:r w:rsidRPr="00003321">
              <w:rPr>
                <w:rFonts w:ascii="Arial" w:hAnsi="Arial" w:cs="Arial"/>
                <w:i/>
                <w:sz w:val="18"/>
                <w:szCs w:val="18"/>
              </w:rPr>
              <w:t>t</w:t>
            </w:r>
            <w:r w:rsidRPr="006A67FD">
              <w:rPr>
                <w:rFonts w:ascii="Arial" w:hAnsi="Arial" w:cs="Arial"/>
                <w:sz w:val="18"/>
                <w:szCs w:val="18"/>
              </w:rPr>
              <w:t>-test</w:t>
            </w:r>
          </w:p>
        </w:tc>
      </w:tr>
      <w:tr w:rsidRPr="006A67FD" w:rsidR="00287221" w:rsidTr="00287084" w14:paraId="7B972132" w14:textId="77777777">
        <w:trPr>
          <w:trHeight w:val="144"/>
        </w:trPr>
        <w:tc>
          <w:tcPr>
            <w:tcW w:w="9360" w:type="dxa"/>
            <w:gridSpan w:val="3"/>
            <w:tcBorders>
              <w:top w:val="single" w:color="auto" w:sz="12" w:space="0"/>
              <w:left w:val="nil"/>
              <w:bottom w:val="nil"/>
              <w:right w:val="nil"/>
            </w:tcBorders>
          </w:tcPr>
          <w:p w:rsidRPr="006E1DF2" w:rsidR="00287221" w:rsidP="00287084" w:rsidRDefault="00287221" w14:paraId="7CD11171" w14:textId="77777777">
            <w:pPr>
              <w:rPr>
                <w:rFonts w:ascii="Arial" w:hAnsi="Arial" w:cs="Arial"/>
                <w:i/>
                <w:sz w:val="16"/>
                <w:szCs w:val="16"/>
              </w:rPr>
            </w:pPr>
            <w:r w:rsidRPr="006E1DF2">
              <w:rPr>
                <w:rFonts w:ascii="Arial" w:hAnsi="Arial" w:cs="Arial"/>
                <w:sz w:val="16"/>
                <w:szCs w:val="16"/>
              </w:rPr>
              <w:t>SOURCE: U.S. Department of Education, National Center for Education Statistics, 2020/22 Beginning Postsecondary Students (BPS:20/22) Field Test.</w:t>
            </w:r>
          </w:p>
        </w:tc>
      </w:tr>
    </w:tbl>
    <w:p w:rsidRPr="006A67FD" w:rsidR="00287221" w:rsidP="00287221" w:rsidRDefault="00287221" w14:paraId="6FE172D2" w14:textId="77777777">
      <w:pPr>
        <w:pStyle w:val="tabfigsource"/>
        <w:rPr>
          <w:rFonts w:cs="Arial"/>
          <w:szCs w:val="16"/>
        </w:rPr>
      </w:pPr>
    </w:p>
    <w:p w:rsidRPr="00FD20C4" w:rsidR="00287221" w:rsidP="00287221" w:rsidRDefault="00287221" w14:paraId="36FEE5A4" w14:textId="48D5F530">
      <w:pPr>
        <w:autoSpaceDE w:val="0"/>
        <w:autoSpaceDN w:val="0"/>
        <w:adjustRightInd w:val="0"/>
        <w:spacing w:after="120"/>
        <w:rPr>
          <w:rFonts w:cstheme="minorHAnsi"/>
          <w:szCs w:val="24"/>
        </w:rPr>
      </w:pPr>
      <w:r w:rsidRPr="00FD20C4">
        <w:rPr>
          <w:rFonts w:cstheme="minorHAnsi"/>
          <w:szCs w:val="24"/>
        </w:rPr>
        <w:t>The overall response rate for the BPS:20/22 field test sample</w:t>
      </w:r>
      <w:r w:rsidRPr="00FD20C4" w:rsidR="005C00BA">
        <w:rPr>
          <w:rStyle w:val="FootnoteReference"/>
          <w:rFonts w:cstheme="minorHAnsi"/>
          <w:szCs w:val="24"/>
        </w:rPr>
        <w:footnoteReference w:id="2"/>
      </w:r>
      <w:r w:rsidRPr="00FD20C4">
        <w:rPr>
          <w:rFonts w:cstheme="minorHAnsi"/>
          <w:szCs w:val="24"/>
        </w:rPr>
        <w:t xml:space="preserve"> (n = 3,520) is 63.7 percent (n = 2,240). This total includes respondents who completed the full interview (n = 2,150) and those who completed part of the interview (i.e., partial completions; n = 90). </w:t>
      </w:r>
    </w:p>
    <w:p w:rsidRPr="00FD5576" w:rsidR="00287221" w:rsidP="00EE3E0D" w:rsidRDefault="00287221" w14:paraId="6BBC8816" w14:textId="74DEFDC5">
      <w:pPr>
        <w:pStyle w:val="Heading4"/>
        <w:numPr>
          <w:ilvl w:val="0"/>
          <w:numId w:val="17"/>
        </w:numPr>
        <w:rPr>
          <w:rFonts w:asciiTheme="minorHAnsi" w:hAnsiTheme="minorHAnsi" w:cstheme="minorHAnsi"/>
        </w:rPr>
      </w:pPr>
      <w:r w:rsidRPr="00FD5576">
        <w:rPr>
          <w:rFonts w:asciiTheme="minorHAnsi" w:hAnsiTheme="minorHAnsi" w:cstheme="minorHAnsi"/>
        </w:rPr>
        <w:lastRenderedPageBreak/>
        <w:t xml:space="preserve">Experiment #1, Data Collection: Early Bird Incentives </w:t>
      </w:r>
    </w:p>
    <w:p w:rsidRPr="00FD20C4" w:rsidR="00287221" w:rsidP="00287221" w:rsidRDefault="00287221" w14:paraId="3ABDA715" w14:textId="532C0083">
      <w:pPr>
        <w:autoSpaceDE w:val="0"/>
        <w:autoSpaceDN w:val="0"/>
        <w:adjustRightInd w:val="0"/>
        <w:spacing w:after="120"/>
        <w:rPr>
          <w:rFonts w:cstheme="minorHAnsi"/>
          <w:szCs w:val="24"/>
        </w:rPr>
      </w:pPr>
      <w:r w:rsidRPr="00FD20C4">
        <w:rPr>
          <w:rFonts w:cstheme="minorHAnsi"/>
          <w:szCs w:val="24"/>
        </w:rPr>
        <w:t xml:space="preserve">Offering time-limited incentives for early responders (i.e., “early bird” incentives) can lead to faster responses and increased participation rates within a specified incentive period (e.g., LeClere et al. 2012; Ward et al. 2014; </w:t>
      </w:r>
      <w:r w:rsidRPr="00FD20C4" w:rsidR="002870EB">
        <w:rPr>
          <w:rFonts w:cstheme="minorHAnsi"/>
          <w:szCs w:val="24"/>
        </w:rPr>
        <w:t>Co</w:t>
      </w:r>
      <w:r w:rsidR="002870EB">
        <w:rPr>
          <w:rFonts w:cstheme="minorHAnsi"/>
          <w:szCs w:val="24"/>
        </w:rPr>
        <w:t>o</w:t>
      </w:r>
      <w:r w:rsidRPr="00FD20C4" w:rsidR="002870EB">
        <w:rPr>
          <w:rFonts w:cstheme="minorHAnsi"/>
          <w:szCs w:val="24"/>
        </w:rPr>
        <w:t xml:space="preserve">persmith </w:t>
      </w:r>
      <w:r w:rsidRPr="00FD20C4">
        <w:rPr>
          <w:rFonts w:cstheme="minorHAnsi"/>
          <w:szCs w:val="24"/>
        </w:rPr>
        <w:t>et al. 2016). To investigate the effects of an “early bird” incentive, the BPS:20/22 field test sample members (n = 3,520</w:t>
      </w:r>
      <w:r w:rsidRPr="00537D6A">
        <w:rPr>
          <w:rFonts w:cstheme="minorHAnsi"/>
          <w:szCs w:val="24"/>
          <w:vertAlign w:val="superscript"/>
        </w:rPr>
        <w:t>2</w:t>
      </w:r>
      <w:r w:rsidRPr="00FD20C4">
        <w:rPr>
          <w:rFonts w:cstheme="minorHAnsi"/>
          <w:szCs w:val="24"/>
        </w:rPr>
        <w:t xml:space="preserve">) were randomly assigned to one of two groups: a control group (n = 1,760) who received the baseline incentive, or a treatment group (n = 1,760) who received a $5 early bird incentive offer in addition to the baseline incentive if they completed the survey within the first three weeks of data collection. </w:t>
      </w:r>
    </w:p>
    <w:p w:rsidRPr="00FD20C4" w:rsidR="00287221" w:rsidP="00287221" w:rsidRDefault="00287221" w14:paraId="18BFAA78" w14:textId="77777777">
      <w:pPr>
        <w:spacing w:after="120"/>
        <w:rPr>
          <w:rFonts w:cstheme="minorHAnsi"/>
          <w:b/>
          <w:bCs/>
          <w:szCs w:val="24"/>
        </w:rPr>
      </w:pPr>
      <w:r w:rsidRPr="00FD20C4">
        <w:rPr>
          <w:rFonts w:cstheme="minorHAnsi"/>
          <w:b/>
          <w:bCs/>
          <w:szCs w:val="24"/>
        </w:rPr>
        <w:t xml:space="preserve">Results. </w:t>
      </w:r>
    </w:p>
    <w:p w:rsidRPr="00FD20C4" w:rsidR="00287221" w:rsidP="00287221" w:rsidRDefault="00287221" w14:paraId="0BFB8F45" w14:textId="788626DA">
      <w:pPr>
        <w:spacing w:after="120"/>
        <w:rPr>
          <w:rFonts w:cstheme="minorHAnsi"/>
          <w:szCs w:val="24"/>
        </w:rPr>
      </w:pPr>
      <w:r w:rsidRPr="00FD20C4">
        <w:rPr>
          <w:rFonts w:cstheme="minorHAnsi"/>
          <w:i/>
          <w:iCs/>
          <w:szCs w:val="24"/>
        </w:rPr>
        <w:t xml:space="preserve">Survey response. </w:t>
      </w:r>
      <w:r w:rsidRPr="00FD20C4">
        <w:rPr>
          <w:rFonts w:cstheme="minorHAnsi"/>
          <w:szCs w:val="24"/>
        </w:rPr>
        <w:t xml:space="preserve">Response rates were observed at two time points during data collection: at the end of the three-week early bird period (i.e., 3 weeks into data collection) and at the end of data collection (17 weeks in the field). </w:t>
      </w:r>
      <w:r w:rsidRPr="00FD20C4">
        <w:rPr>
          <w:rFonts w:cstheme="minorHAnsi"/>
          <w:szCs w:val="24"/>
          <w:highlight w:val="yellow"/>
        </w:rPr>
        <w:fldChar w:fldCharType="begin"/>
      </w:r>
      <w:r w:rsidRPr="00FD20C4">
        <w:rPr>
          <w:rFonts w:cstheme="minorHAnsi"/>
          <w:szCs w:val="24"/>
        </w:rPr>
        <w:instrText xml:space="preserve"> REF _Ref79565474 \h </w:instrText>
      </w:r>
      <w:r w:rsidRPr="00FD20C4">
        <w:rPr>
          <w:rFonts w:cstheme="minorHAnsi"/>
          <w:szCs w:val="24"/>
          <w:highlight w:val="yellow"/>
        </w:rPr>
        <w:instrText xml:space="preserve"> \* MERGEFORMAT </w:instrText>
      </w:r>
      <w:r w:rsidRPr="00FD20C4">
        <w:rPr>
          <w:rFonts w:cstheme="minorHAnsi"/>
          <w:szCs w:val="24"/>
          <w:highlight w:val="yellow"/>
        </w:rPr>
      </w:r>
      <w:r w:rsidRPr="00FD20C4">
        <w:rPr>
          <w:rFonts w:cstheme="minorHAnsi"/>
          <w:szCs w:val="24"/>
          <w:highlight w:val="yellow"/>
        </w:rPr>
        <w:fldChar w:fldCharType="separate"/>
      </w:r>
      <w:r w:rsidRPr="00A3046F" w:rsidR="00A3046F">
        <w:rPr>
          <w:szCs w:val="24"/>
        </w:rPr>
        <w:t>Table D.</w:t>
      </w:r>
      <w:r w:rsidRPr="00A3046F" w:rsidR="00A3046F">
        <w:rPr>
          <w:noProof/>
          <w:szCs w:val="24"/>
        </w:rPr>
        <w:t>2</w:t>
      </w:r>
      <w:r w:rsidRPr="00FD20C4">
        <w:rPr>
          <w:rFonts w:cstheme="minorHAnsi"/>
          <w:szCs w:val="24"/>
          <w:highlight w:val="yellow"/>
        </w:rPr>
        <w:fldChar w:fldCharType="end"/>
      </w:r>
      <w:r w:rsidRPr="00FD20C4">
        <w:rPr>
          <w:rFonts w:cstheme="minorHAnsi"/>
          <w:szCs w:val="24"/>
        </w:rPr>
        <w:t xml:space="preserve"> summarizes the response rates for the control and early bird groups at these two time points. </w:t>
      </w:r>
    </w:p>
    <w:p w:rsidR="002E34C1" w:rsidP="00287221" w:rsidRDefault="00287221" w14:paraId="306D0194" w14:textId="5A1C85C5">
      <w:pPr>
        <w:spacing w:after="120"/>
        <w:rPr>
          <w:rFonts w:cstheme="minorHAnsi"/>
          <w:szCs w:val="24"/>
        </w:rPr>
      </w:pPr>
      <w:r w:rsidRPr="00FD20C4">
        <w:rPr>
          <w:rFonts w:cstheme="minorHAnsi"/>
          <w:szCs w:val="24"/>
        </w:rPr>
        <w:t xml:space="preserve">At the end of the three-week early bird period, the response rate for the experimental early bird group (42.6 percent) was significantly higher than the control group (37.2 percent; </w:t>
      </w:r>
      <m:oMath>
        <m:r>
          <w:rPr>
            <w:rFonts w:ascii="Cambria Math" w:hAnsi="Cambria Math" w:cstheme="minorHAnsi"/>
            <w:szCs w:val="24"/>
          </w:rPr>
          <m:t>χ</m:t>
        </m:r>
      </m:oMath>
      <w:r w:rsidRPr="00FD20C4">
        <w:rPr>
          <w:rFonts w:eastAsiaTheme="minorEastAsia" w:cstheme="minorHAnsi"/>
          <w:szCs w:val="24"/>
          <w:vertAlign w:val="superscript"/>
        </w:rPr>
        <w:t>2</w:t>
      </w:r>
      <w:r w:rsidRPr="00FD20C4">
        <w:rPr>
          <w:rFonts w:cstheme="minorHAnsi"/>
          <w:szCs w:val="24"/>
        </w:rPr>
        <w:t xml:space="preserve"> = 10.53, </w:t>
      </w:r>
      <w:r w:rsidRPr="00003321">
        <w:rPr>
          <w:rFonts w:cstheme="minorHAnsi"/>
          <w:i/>
          <w:iCs/>
          <w:szCs w:val="24"/>
        </w:rPr>
        <w:t>p</w:t>
      </w:r>
      <w:r w:rsidRPr="00FD20C4">
        <w:rPr>
          <w:rFonts w:cstheme="minorHAnsi"/>
          <w:szCs w:val="24"/>
        </w:rPr>
        <w:t xml:space="preserve"> &lt; .01). However, at the end of data collection, response rates for the control group (6</w:t>
      </w:r>
      <w:r>
        <w:rPr>
          <w:rFonts w:cstheme="minorHAnsi"/>
          <w:szCs w:val="24"/>
        </w:rPr>
        <w:t>3</w:t>
      </w:r>
      <w:r w:rsidRPr="00FD20C4">
        <w:rPr>
          <w:rFonts w:cstheme="minorHAnsi"/>
          <w:szCs w:val="24"/>
        </w:rPr>
        <w:t>.</w:t>
      </w:r>
      <w:r>
        <w:rPr>
          <w:rFonts w:cstheme="minorHAnsi"/>
          <w:szCs w:val="24"/>
        </w:rPr>
        <w:t>4</w:t>
      </w:r>
      <w:r w:rsidRPr="00FD20C4">
        <w:rPr>
          <w:rFonts w:cstheme="minorHAnsi"/>
          <w:szCs w:val="24"/>
        </w:rPr>
        <w:t xml:space="preserve"> percent) and the experimental group (6</w:t>
      </w:r>
      <w:r>
        <w:rPr>
          <w:rFonts w:cstheme="minorHAnsi"/>
          <w:szCs w:val="24"/>
        </w:rPr>
        <w:t>3</w:t>
      </w:r>
      <w:r w:rsidRPr="00FD20C4">
        <w:rPr>
          <w:rFonts w:cstheme="minorHAnsi"/>
          <w:szCs w:val="24"/>
        </w:rPr>
        <w:t>.</w:t>
      </w:r>
      <w:r>
        <w:rPr>
          <w:rFonts w:cstheme="minorHAnsi"/>
          <w:szCs w:val="24"/>
        </w:rPr>
        <w:t>9</w:t>
      </w:r>
      <w:r w:rsidRPr="00FD20C4">
        <w:rPr>
          <w:rFonts w:cstheme="minorHAnsi"/>
          <w:szCs w:val="24"/>
        </w:rPr>
        <w:t xml:space="preserve"> percent) did not significantly differ (</w:t>
      </w:r>
      <m:oMath>
        <m:r>
          <w:rPr>
            <w:rFonts w:ascii="Cambria Math" w:hAnsi="Cambria Math" w:cstheme="minorHAnsi"/>
            <w:szCs w:val="24"/>
          </w:rPr>
          <m:t>χ</m:t>
        </m:r>
      </m:oMath>
      <w:r w:rsidRPr="00FD20C4">
        <w:rPr>
          <w:rFonts w:eastAsiaTheme="minorEastAsia" w:cstheme="minorHAnsi"/>
          <w:szCs w:val="24"/>
          <w:vertAlign w:val="superscript"/>
        </w:rPr>
        <w:t>2</w:t>
      </w:r>
      <w:r w:rsidRPr="00FD20C4">
        <w:rPr>
          <w:rFonts w:cstheme="minorHAnsi"/>
          <w:szCs w:val="24"/>
        </w:rPr>
        <w:t xml:space="preserve"> = 0.08, </w:t>
      </w:r>
      <w:r w:rsidRPr="00FD20C4">
        <w:rPr>
          <w:rFonts w:cstheme="minorHAnsi"/>
          <w:i/>
          <w:iCs/>
          <w:szCs w:val="24"/>
        </w:rPr>
        <w:t>p</w:t>
      </w:r>
      <w:r w:rsidRPr="00FD20C4">
        <w:rPr>
          <w:rFonts w:cstheme="minorHAnsi"/>
          <w:szCs w:val="24"/>
        </w:rPr>
        <w:t xml:space="preserve"> = .78). </w:t>
      </w:r>
      <w:r w:rsidR="002E34C1">
        <w:rPr>
          <w:rFonts w:cstheme="minorHAnsi"/>
          <w:szCs w:val="24"/>
        </w:rPr>
        <w:t>Notably, these results diverge from past research that finds increased survey participation</w:t>
      </w:r>
      <w:r w:rsidRPr="00FD20C4" w:rsidR="002E34C1">
        <w:rPr>
          <w:rFonts w:cstheme="minorHAnsi"/>
          <w:szCs w:val="24"/>
        </w:rPr>
        <w:t xml:space="preserve"> </w:t>
      </w:r>
      <w:r w:rsidR="002E34C1">
        <w:rPr>
          <w:rFonts w:cstheme="minorHAnsi"/>
          <w:szCs w:val="24"/>
        </w:rPr>
        <w:t xml:space="preserve">with early bird incentives (e.g., </w:t>
      </w:r>
      <w:r w:rsidRPr="00FD20C4" w:rsidR="002E34C1">
        <w:rPr>
          <w:rFonts w:cstheme="minorHAnsi"/>
          <w:szCs w:val="24"/>
        </w:rPr>
        <w:t xml:space="preserve">LeClere et al. 2012; </w:t>
      </w:r>
      <w:r w:rsidRPr="00FD20C4" w:rsidR="002870EB">
        <w:rPr>
          <w:rFonts w:cstheme="minorHAnsi"/>
          <w:szCs w:val="24"/>
        </w:rPr>
        <w:t>Co</w:t>
      </w:r>
      <w:r w:rsidR="002870EB">
        <w:rPr>
          <w:rFonts w:cstheme="minorHAnsi"/>
          <w:szCs w:val="24"/>
        </w:rPr>
        <w:t>o</w:t>
      </w:r>
      <w:r w:rsidRPr="00FD20C4" w:rsidR="002870EB">
        <w:rPr>
          <w:rFonts w:cstheme="minorHAnsi"/>
          <w:szCs w:val="24"/>
        </w:rPr>
        <w:t xml:space="preserve">persmith </w:t>
      </w:r>
      <w:r w:rsidRPr="00FD20C4" w:rsidR="002E34C1">
        <w:rPr>
          <w:rFonts w:cstheme="minorHAnsi"/>
          <w:szCs w:val="24"/>
        </w:rPr>
        <w:t>et al. 2016</w:t>
      </w:r>
      <w:r w:rsidR="002E34C1">
        <w:rPr>
          <w:rFonts w:cstheme="minorHAnsi"/>
          <w:szCs w:val="24"/>
        </w:rPr>
        <w:t xml:space="preserve">). This difference may have occurred because these past studies offered larger early bird incentives ($20 or more) than the </w:t>
      </w:r>
      <w:r w:rsidRPr="00FD20C4" w:rsidR="002E34C1">
        <w:rPr>
          <w:rFonts w:cstheme="minorHAnsi"/>
          <w:szCs w:val="24"/>
        </w:rPr>
        <w:t>BPS:20/22</w:t>
      </w:r>
      <w:r w:rsidR="002E34C1">
        <w:rPr>
          <w:rFonts w:cstheme="minorHAnsi"/>
          <w:szCs w:val="24"/>
        </w:rPr>
        <w:t xml:space="preserve"> field test ($5).</w:t>
      </w:r>
    </w:p>
    <w:p w:rsidRPr="00FD20C4" w:rsidR="00287221" w:rsidP="00287221" w:rsidRDefault="00287221" w14:paraId="4CB3FD18" w14:textId="5A5A36C2">
      <w:pPr>
        <w:spacing w:after="120"/>
        <w:rPr>
          <w:rFonts w:cstheme="minorHAnsi"/>
          <w:szCs w:val="24"/>
        </w:rPr>
      </w:pPr>
      <w:r w:rsidRPr="00FD20C4">
        <w:rPr>
          <w:rFonts w:cstheme="minorHAnsi"/>
          <w:szCs w:val="24"/>
        </w:rPr>
        <w:t xml:space="preserve">The results </w:t>
      </w:r>
      <w:r w:rsidR="002E34C1">
        <w:rPr>
          <w:rFonts w:cstheme="minorHAnsi"/>
          <w:szCs w:val="24"/>
        </w:rPr>
        <w:t xml:space="preserve">from this study therefore </w:t>
      </w:r>
      <w:r w:rsidRPr="00FD20C4">
        <w:rPr>
          <w:rFonts w:cstheme="minorHAnsi"/>
          <w:szCs w:val="24"/>
        </w:rPr>
        <w:t xml:space="preserve">indicate that a </w:t>
      </w:r>
      <w:r w:rsidR="002E34C1">
        <w:rPr>
          <w:rFonts w:cstheme="minorHAnsi"/>
          <w:szCs w:val="24"/>
        </w:rPr>
        <w:t xml:space="preserve">$5 </w:t>
      </w:r>
      <w:r w:rsidRPr="00FD20C4">
        <w:rPr>
          <w:rFonts w:cstheme="minorHAnsi"/>
          <w:szCs w:val="24"/>
        </w:rPr>
        <w:t>early bird incentive may be effective at increasing response at the beginning of data collection, but these differences disappear as time in the field increases. This limits the utility of an early bird incentive for surveys with a longer field period, like the BPS:20/22 full-scale survey.</w:t>
      </w:r>
    </w:p>
    <w:p w:rsidRPr="00FD5576" w:rsidR="00287221" w:rsidP="00287221" w:rsidRDefault="00287221" w14:paraId="30014FF2" w14:textId="399964FC">
      <w:pPr>
        <w:pStyle w:val="TableTitle"/>
        <w:rPr>
          <w:shd w:val="clear" w:color="auto" w:fill="FFFFFF"/>
        </w:rPr>
      </w:pPr>
      <w:bookmarkStart w:name="_Ref79565474" w:id="25"/>
      <w:r>
        <w:t xml:space="preserve">Table </w:t>
      </w:r>
      <w:r w:rsidR="00A3046F">
        <w:t>D</w:t>
      </w:r>
      <w:r w:rsidR="00EE3E0D">
        <w:t>.</w:t>
      </w:r>
      <w:r>
        <w:fldChar w:fldCharType="begin"/>
      </w:r>
      <w:r>
        <w:instrText xml:space="preserve"> SEQ Table \* ARABIC </w:instrText>
      </w:r>
      <w:r>
        <w:fldChar w:fldCharType="separate"/>
      </w:r>
      <w:r>
        <w:rPr>
          <w:noProof/>
        </w:rPr>
        <w:t>2</w:t>
      </w:r>
      <w:r>
        <w:fldChar w:fldCharType="end"/>
      </w:r>
      <w:bookmarkEnd w:id="25"/>
      <w:r>
        <w:t xml:space="preserve">. </w:t>
      </w:r>
      <w:r w:rsidRPr="007C0F4D">
        <w:t>2020/22 Beginning Postsecondary Students Field Tes</w:t>
      </w:r>
      <w:r>
        <w:t>t r</w:t>
      </w:r>
      <w:r w:rsidRPr="00FD5576">
        <w:t xml:space="preserve">esponse rates by </w:t>
      </w:r>
      <w:r w:rsidR="002E34C1">
        <w:t xml:space="preserve">early bird </w:t>
      </w:r>
      <w:r w:rsidRPr="00FD5576">
        <w:t>experimental condition and evaluation period</w:t>
      </w:r>
      <w:r>
        <w:t>: 2021</w:t>
      </w:r>
    </w:p>
    <w:tbl>
      <w:tblPr>
        <w:tblStyle w:val="TableGrid"/>
        <w:tblW w:w="5000" w:type="pct"/>
        <w:jc w:val="right"/>
        <w:tblLook w:val="04A0" w:firstRow="1" w:lastRow="0" w:firstColumn="1" w:lastColumn="0" w:noHBand="0" w:noVBand="1"/>
      </w:tblPr>
      <w:tblGrid>
        <w:gridCol w:w="4132"/>
        <w:gridCol w:w="1594"/>
        <w:gridCol w:w="1596"/>
        <w:gridCol w:w="1596"/>
        <w:gridCol w:w="1594"/>
      </w:tblGrid>
      <w:tr w:rsidRPr="00003321" w:rsidR="00287221" w:rsidTr="00287084" w14:paraId="6E4012D3" w14:textId="77777777">
        <w:trPr>
          <w:trHeight w:val="144"/>
          <w:tblHeader/>
          <w:jc w:val="right"/>
        </w:trPr>
        <w:tc>
          <w:tcPr>
            <w:tcW w:w="1966" w:type="pct"/>
            <w:tcBorders>
              <w:top w:val="single" w:color="auto" w:sz="12" w:space="0"/>
              <w:left w:val="nil"/>
              <w:bottom w:val="single" w:color="auto" w:sz="6" w:space="0"/>
              <w:right w:val="nil"/>
            </w:tcBorders>
            <w:vAlign w:val="bottom"/>
          </w:tcPr>
          <w:p w:rsidRPr="00003321" w:rsidR="00287221" w:rsidP="00287084" w:rsidRDefault="00287221" w14:paraId="3D64C2AB" w14:textId="77777777">
            <w:pPr>
              <w:autoSpaceDE w:val="0"/>
              <w:autoSpaceDN w:val="0"/>
              <w:adjustRightInd w:val="0"/>
              <w:rPr>
                <w:rFonts w:ascii="Arial" w:hAnsi="Arial" w:cs="Arial"/>
                <w:b/>
                <w:sz w:val="18"/>
                <w:szCs w:val="18"/>
              </w:rPr>
            </w:pPr>
          </w:p>
        </w:tc>
        <w:tc>
          <w:tcPr>
            <w:tcW w:w="758" w:type="pct"/>
            <w:tcBorders>
              <w:top w:val="single" w:color="auto" w:sz="12" w:space="0"/>
              <w:left w:val="nil"/>
              <w:bottom w:val="single" w:color="auto" w:sz="6" w:space="0"/>
              <w:right w:val="nil"/>
            </w:tcBorders>
            <w:vAlign w:val="bottom"/>
          </w:tcPr>
          <w:p w:rsidRPr="00003321" w:rsidR="00287221" w:rsidP="00287084" w:rsidRDefault="00287221" w14:paraId="5D8CE619" w14:textId="77777777">
            <w:pPr>
              <w:keepNext/>
              <w:jc w:val="right"/>
              <w:rPr>
                <w:rFonts w:ascii="Arial" w:hAnsi="Arial" w:cs="Arial"/>
                <w:b/>
                <w:sz w:val="18"/>
                <w:szCs w:val="18"/>
              </w:rPr>
            </w:pPr>
            <w:r w:rsidRPr="00003321">
              <w:rPr>
                <w:rFonts w:ascii="Arial" w:hAnsi="Arial" w:cs="Arial"/>
                <w:b/>
                <w:sz w:val="18"/>
                <w:szCs w:val="18"/>
              </w:rPr>
              <w:t>Control Group</w:t>
            </w:r>
          </w:p>
          <w:p w:rsidRPr="00003321" w:rsidR="00287221" w:rsidP="00287084" w:rsidRDefault="00287221" w14:paraId="01642DF8" w14:textId="77777777">
            <w:pPr>
              <w:autoSpaceDE w:val="0"/>
              <w:autoSpaceDN w:val="0"/>
              <w:adjustRightInd w:val="0"/>
              <w:jc w:val="right"/>
              <w:rPr>
                <w:rFonts w:ascii="Arial" w:hAnsi="Arial" w:cs="Arial"/>
                <w:b/>
                <w:sz w:val="18"/>
                <w:szCs w:val="18"/>
              </w:rPr>
            </w:pPr>
            <w:r w:rsidRPr="00003321">
              <w:rPr>
                <w:rFonts w:ascii="Arial" w:hAnsi="Arial" w:cs="Arial"/>
                <w:bCs/>
                <w:sz w:val="18"/>
                <w:szCs w:val="18"/>
              </w:rPr>
              <w:t xml:space="preserve">Baseline Incentive </w:t>
            </w:r>
          </w:p>
        </w:tc>
        <w:tc>
          <w:tcPr>
            <w:tcW w:w="759" w:type="pct"/>
            <w:tcBorders>
              <w:top w:val="single" w:color="auto" w:sz="12" w:space="0"/>
              <w:left w:val="nil"/>
              <w:bottom w:val="single" w:color="auto" w:sz="6" w:space="0"/>
              <w:right w:val="nil"/>
            </w:tcBorders>
            <w:vAlign w:val="bottom"/>
          </w:tcPr>
          <w:p w:rsidRPr="00003321" w:rsidR="00287221" w:rsidP="00287084" w:rsidRDefault="00287221" w14:paraId="7B44313F" w14:textId="77777777">
            <w:pPr>
              <w:keepNext/>
              <w:jc w:val="right"/>
              <w:rPr>
                <w:rFonts w:ascii="Arial" w:hAnsi="Arial" w:cs="Arial"/>
                <w:b/>
                <w:sz w:val="18"/>
                <w:szCs w:val="18"/>
              </w:rPr>
            </w:pPr>
            <w:r w:rsidRPr="00003321">
              <w:rPr>
                <w:rFonts w:ascii="Arial" w:hAnsi="Arial" w:cs="Arial"/>
                <w:b/>
                <w:sz w:val="18"/>
                <w:szCs w:val="18"/>
              </w:rPr>
              <w:t>Treatment Group</w:t>
            </w:r>
          </w:p>
          <w:p w:rsidRPr="00003321" w:rsidR="00287221" w:rsidP="00287084" w:rsidRDefault="00287221" w14:paraId="022239E6" w14:textId="77777777">
            <w:pPr>
              <w:autoSpaceDE w:val="0"/>
              <w:autoSpaceDN w:val="0"/>
              <w:adjustRightInd w:val="0"/>
              <w:jc w:val="right"/>
              <w:rPr>
                <w:rFonts w:ascii="Arial" w:hAnsi="Arial" w:cs="Arial"/>
                <w:b/>
                <w:sz w:val="18"/>
                <w:szCs w:val="18"/>
              </w:rPr>
            </w:pPr>
            <w:r w:rsidRPr="00003321">
              <w:rPr>
                <w:rFonts w:ascii="Arial" w:hAnsi="Arial" w:cs="Arial"/>
                <w:bCs/>
                <w:sz w:val="18"/>
                <w:szCs w:val="18"/>
              </w:rPr>
              <w:t xml:space="preserve">Early Bird Plus Baseline </w:t>
            </w:r>
          </w:p>
        </w:tc>
        <w:tc>
          <w:tcPr>
            <w:tcW w:w="759" w:type="pct"/>
            <w:tcBorders>
              <w:top w:val="single" w:color="auto" w:sz="12" w:space="0"/>
              <w:left w:val="nil"/>
              <w:bottom w:val="single" w:color="auto" w:sz="6" w:space="0"/>
              <w:right w:val="nil"/>
            </w:tcBorders>
            <w:vAlign w:val="bottom"/>
          </w:tcPr>
          <w:p w:rsidRPr="00003321" w:rsidR="00287221" w:rsidP="00287084" w:rsidRDefault="00287221" w14:paraId="7613DCE1" w14:textId="77777777">
            <w:pPr>
              <w:autoSpaceDE w:val="0"/>
              <w:autoSpaceDN w:val="0"/>
              <w:adjustRightInd w:val="0"/>
              <w:jc w:val="right"/>
              <w:rPr>
                <w:rFonts w:ascii="Arial" w:hAnsi="Arial" w:cs="Arial"/>
                <w:sz w:val="18"/>
                <w:szCs w:val="18"/>
                <w:vertAlign w:val="superscript"/>
              </w:rPr>
            </w:pPr>
            <m:oMath>
              <m:r>
                <w:rPr>
                  <w:rFonts w:ascii="Cambria Math" w:hAnsi="Cambria Math" w:cs="Arial"/>
                  <w:sz w:val="18"/>
                  <w:szCs w:val="18"/>
                </w:rPr>
                <m:t>χ</m:t>
              </m:r>
            </m:oMath>
            <w:r w:rsidRPr="00003321">
              <w:rPr>
                <w:rFonts w:ascii="Arial" w:hAnsi="Arial" w:cs="Arial" w:eastAsiaTheme="minorEastAsia"/>
                <w:sz w:val="18"/>
                <w:szCs w:val="18"/>
                <w:vertAlign w:val="superscript"/>
              </w:rPr>
              <w:t>2</w:t>
            </w:r>
          </w:p>
        </w:tc>
        <w:tc>
          <w:tcPr>
            <w:tcW w:w="758" w:type="pct"/>
            <w:tcBorders>
              <w:top w:val="single" w:color="auto" w:sz="12" w:space="0"/>
              <w:left w:val="nil"/>
              <w:bottom w:val="single" w:color="auto" w:sz="6" w:space="0"/>
              <w:right w:val="nil"/>
            </w:tcBorders>
            <w:vAlign w:val="bottom"/>
          </w:tcPr>
          <w:p w:rsidRPr="00003321" w:rsidR="00287221" w:rsidP="00287084" w:rsidRDefault="00287221" w14:paraId="730DAA02" w14:textId="77777777">
            <w:pPr>
              <w:autoSpaceDE w:val="0"/>
              <w:autoSpaceDN w:val="0"/>
              <w:adjustRightInd w:val="0"/>
              <w:jc w:val="right"/>
              <w:rPr>
                <w:rFonts w:ascii="Arial" w:hAnsi="Arial" w:cs="Arial"/>
                <w:sz w:val="18"/>
                <w:szCs w:val="18"/>
              </w:rPr>
            </w:pPr>
            <w:r w:rsidRPr="00003321">
              <w:rPr>
                <w:rFonts w:ascii="Arial" w:hAnsi="Arial" w:cs="Arial"/>
                <w:i/>
                <w:iCs/>
                <w:sz w:val="18"/>
                <w:szCs w:val="18"/>
              </w:rPr>
              <w:t>p</w:t>
            </w:r>
            <w:r w:rsidRPr="00003321">
              <w:rPr>
                <w:rFonts w:ascii="Arial" w:hAnsi="Arial" w:cs="Arial"/>
                <w:sz w:val="18"/>
                <w:szCs w:val="18"/>
              </w:rPr>
              <w:t>-value</w:t>
            </w:r>
          </w:p>
        </w:tc>
      </w:tr>
      <w:tr w:rsidRPr="00003321" w:rsidR="00287221" w:rsidTr="00287084" w14:paraId="3519FFCC" w14:textId="77777777">
        <w:trPr>
          <w:trHeight w:val="144"/>
          <w:jc w:val="right"/>
        </w:trPr>
        <w:tc>
          <w:tcPr>
            <w:tcW w:w="1966" w:type="pct"/>
            <w:tcBorders>
              <w:top w:val="single" w:color="auto" w:sz="6" w:space="0"/>
              <w:left w:val="nil"/>
              <w:bottom w:val="nil"/>
              <w:right w:val="nil"/>
            </w:tcBorders>
          </w:tcPr>
          <w:p w:rsidRPr="00003321" w:rsidR="00287221" w:rsidP="00287084" w:rsidRDefault="00287221" w14:paraId="2B1F0B7C" w14:textId="77777777">
            <w:pPr>
              <w:autoSpaceDE w:val="0"/>
              <w:autoSpaceDN w:val="0"/>
              <w:adjustRightInd w:val="0"/>
              <w:rPr>
                <w:rFonts w:ascii="Arial" w:hAnsi="Arial" w:cs="Arial"/>
                <w:sz w:val="18"/>
                <w:szCs w:val="18"/>
              </w:rPr>
            </w:pPr>
            <w:r w:rsidRPr="00003321">
              <w:rPr>
                <w:rFonts w:ascii="Arial" w:hAnsi="Arial" w:cs="Arial"/>
                <w:sz w:val="18"/>
                <w:szCs w:val="18"/>
              </w:rPr>
              <w:t>End of early bird period</w:t>
            </w:r>
          </w:p>
        </w:tc>
        <w:tc>
          <w:tcPr>
            <w:tcW w:w="758" w:type="pct"/>
            <w:tcBorders>
              <w:top w:val="single" w:color="auto" w:sz="6" w:space="0"/>
              <w:left w:val="nil"/>
              <w:bottom w:val="nil"/>
              <w:right w:val="nil"/>
            </w:tcBorders>
          </w:tcPr>
          <w:p w:rsidRPr="00003321" w:rsidR="00287221" w:rsidP="00287084" w:rsidRDefault="00287221" w14:paraId="61085E00" w14:textId="77777777">
            <w:pPr>
              <w:autoSpaceDE w:val="0"/>
              <w:autoSpaceDN w:val="0"/>
              <w:adjustRightInd w:val="0"/>
              <w:jc w:val="right"/>
              <w:rPr>
                <w:rFonts w:ascii="Arial" w:hAnsi="Arial" w:cs="Arial"/>
                <w:color w:val="000000"/>
                <w:sz w:val="18"/>
                <w:szCs w:val="18"/>
              </w:rPr>
            </w:pPr>
            <w:r w:rsidRPr="00003321">
              <w:rPr>
                <w:rFonts w:ascii="Arial" w:hAnsi="Arial" w:cs="Arial"/>
                <w:color w:val="000000"/>
                <w:sz w:val="18"/>
                <w:szCs w:val="18"/>
              </w:rPr>
              <w:t>37.2</w:t>
            </w:r>
          </w:p>
        </w:tc>
        <w:tc>
          <w:tcPr>
            <w:tcW w:w="759" w:type="pct"/>
            <w:tcBorders>
              <w:top w:val="single" w:color="auto" w:sz="6" w:space="0"/>
              <w:left w:val="nil"/>
              <w:bottom w:val="nil"/>
              <w:right w:val="nil"/>
            </w:tcBorders>
          </w:tcPr>
          <w:p w:rsidRPr="00003321" w:rsidR="00287221" w:rsidP="00287084" w:rsidRDefault="00287221" w14:paraId="190B0A8E" w14:textId="77777777">
            <w:pPr>
              <w:autoSpaceDE w:val="0"/>
              <w:autoSpaceDN w:val="0"/>
              <w:adjustRightInd w:val="0"/>
              <w:jc w:val="right"/>
              <w:rPr>
                <w:rFonts w:ascii="Arial" w:hAnsi="Arial" w:cs="Arial"/>
                <w:color w:val="000000"/>
                <w:sz w:val="18"/>
                <w:szCs w:val="18"/>
              </w:rPr>
            </w:pPr>
            <w:r w:rsidRPr="00003321">
              <w:rPr>
                <w:rFonts w:ascii="Arial" w:hAnsi="Arial" w:cs="Arial"/>
                <w:color w:val="000000"/>
                <w:sz w:val="18"/>
                <w:szCs w:val="18"/>
              </w:rPr>
              <w:t>42.6</w:t>
            </w:r>
          </w:p>
        </w:tc>
        <w:tc>
          <w:tcPr>
            <w:tcW w:w="759" w:type="pct"/>
            <w:tcBorders>
              <w:top w:val="single" w:color="auto" w:sz="6" w:space="0"/>
              <w:left w:val="nil"/>
              <w:bottom w:val="nil"/>
              <w:right w:val="nil"/>
            </w:tcBorders>
          </w:tcPr>
          <w:p w:rsidRPr="00003321" w:rsidR="00287221" w:rsidP="00287084" w:rsidRDefault="00287221" w14:paraId="57A0BA48" w14:textId="77777777">
            <w:pPr>
              <w:autoSpaceDE w:val="0"/>
              <w:autoSpaceDN w:val="0"/>
              <w:adjustRightInd w:val="0"/>
              <w:jc w:val="right"/>
              <w:rPr>
                <w:rFonts w:ascii="Arial" w:hAnsi="Arial" w:cs="Arial"/>
                <w:color w:val="000000"/>
                <w:sz w:val="18"/>
                <w:szCs w:val="18"/>
              </w:rPr>
            </w:pPr>
            <w:r w:rsidRPr="00003321">
              <w:rPr>
                <w:rFonts w:ascii="Arial" w:hAnsi="Arial" w:cs="Arial"/>
                <w:color w:val="000000"/>
                <w:sz w:val="18"/>
                <w:szCs w:val="18"/>
              </w:rPr>
              <w:t>10.53</w:t>
            </w:r>
          </w:p>
        </w:tc>
        <w:tc>
          <w:tcPr>
            <w:tcW w:w="758" w:type="pct"/>
            <w:tcBorders>
              <w:top w:val="single" w:color="auto" w:sz="6" w:space="0"/>
              <w:left w:val="nil"/>
              <w:bottom w:val="nil"/>
              <w:right w:val="nil"/>
            </w:tcBorders>
          </w:tcPr>
          <w:p w:rsidRPr="00003321" w:rsidR="00287221" w:rsidP="00287084" w:rsidRDefault="002E34C1" w14:paraId="4C174E0C" w14:textId="51F3A789">
            <w:pPr>
              <w:autoSpaceDE w:val="0"/>
              <w:autoSpaceDN w:val="0"/>
              <w:adjustRightInd w:val="0"/>
              <w:jc w:val="right"/>
              <w:rPr>
                <w:rFonts w:ascii="Arial" w:hAnsi="Arial" w:cs="Arial"/>
                <w:color w:val="000000"/>
                <w:sz w:val="18"/>
                <w:szCs w:val="18"/>
              </w:rPr>
            </w:pPr>
            <w:r>
              <w:rPr>
                <w:rFonts w:ascii="Arial" w:hAnsi="Arial" w:cs="Arial"/>
                <w:color w:val="000000"/>
                <w:sz w:val="18"/>
                <w:szCs w:val="18"/>
              </w:rPr>
              <w:t>&lt; 0.01</w:t>
            </w:r>
          </w:p>
        </w:tc>
      </w:tr>
      <w:tr w:rsidRPr="00003321" w:rsidR="00287221" w:rsidTr="00287084" w14:paraId="36A920A4" w14:textId="77777777">
        <w:trPr>
          <w:trHeight w:val="144"/>
          <w:jc w:val="right"/>
        </w:trPr>
        <w:tc>
          <w:tcPr>
            <w:tcW w:w="1966" w:type="pct"/>
            <w:tcBorders>
              <w:top w:val="nil"/>
              <w:left w:val="nil"/>
              <w:bottom w:val="single" w:color="auto" w:sz="12" w:space="0"/>
              <w:right w:val="nil"/>
            </w:tcBorders>
          </w:tcPr>
          <w:p w:rsidRPr="00003321" w:rsidR="00287221" w:rsidP="00287084" w:rsidRDefault="00287221" w14:paraId="4176FBFE" w14:textId="77777777">
            <w:pPr>
              <w:autoSpaceDE w:val="0"/>
              <w:autoSpaceDN w:val="0"/>
              <w:adjustRightInd w:val="0"/>
              <w:rPr>
                <w:rFonts w:ascii="Arial" w:hAnsi="Arial" w:cs="Arial"/>
                <w:sz w:val="18"/>
                <w:szCs w:val="18"/>
              </w:rPr>
            </w:pPr>
            <w:r w:rsidRPr="00003321">
              <w:rPr>
                <w:rFonts w:ascii="Arial" w:hAnsi="Arial" w:cs="Arial"/>
                <w:sz w:val="18"/>
                <w:szCs w:val="18"/>
              </w:rPr>
              <w:t>End of data collection</w:t>
            </w:r>
          </w:p>
        </w:tc>
        <w:tc>
          <w:tcPr>
            <w:tcW w:w="758" w:type="pct"/>
            <w:tcBorders>
              <w:top w:val="nil"/>
              <w:left w:val="nil"/>
              <w:bottom w:val="single" w:color="auto" w:sz="12" w:space="0"/>
              <w:right w:val="nil"/>
            </w:tcBorders>
          </w:tcPr>
          <w:p w:rsidRPr="00003321" w:rsidR="00287221" w:rsidP="00287084" w:rsidRDefault="00287221" w14:paraId="0CAE12AC" w14:textId="77777777">
            <w:pPr>
              <w:autoSpaceDE w:val="0"/>
              <w:autoSpaceDN w:val="0"/>
              <w:adjustRightInd w:val="0"/>
              <w:jc w:val="right"/>
              <w:rPr>
                <w:rFonts w:ascii="Arial" w:hAnsi="Arial" w:cs="Arial"/>
                <w:color w:val="000000"/>
                <w:sz w:val="18"/>
                <w:szCs w:val="18"/>
              </w:rPr>
            </w:pPr>
            <w:r w:rsidRPr="00003321">
              <w:rPr>
                <w:rFonts w:ascii="Arial" w:hAnsi="Arial" w:cs="Arial"/>
                <w:color w:val="000000"/>
                <w:sz w:val="18"/>
                <w:szCs w:val="18"/>
              </w:rPr>
              <w:t>63.4</w:t>
            </w:r>
          </w:p>
        </w:tc>
        <w:tc>
          <w:tcPr>
            <w:tcW w:w="759" w:type="pct"/>
            <w:tcBorders>
              <w:top w:val="nil"/>
              <w:left w:val="nil"/>
              <w:bottom w:val="single" w:color="auto" w:sz="12" w:space="0"/>
              <w:right w:val="nil"/>
            </w:tcBorders>
          </w:tcPr>
          <w:p w:rsidRPr="00003321" w:rsidR="00287221" w:rsidP="00287084" w:rsidRDefault="00287221" w14:paraId="0D0F0A55" w14:textId="77777777">
            <w:pPr>
              <w:autoSpaceDE w:val="0"/>
              <w:autoSpaceDN w:val="0"/>
              <w:adjustRightInd w:val="0"/>
              <w:jc w:val="right"/>
              <w:rPr>
                <w:rFonts w:ascii="Arial" w:hAnsi="Arial" w:cs="Arial"/>
                <w:color w:val="000000"/>
                <w:sz w:val="18"/>
                <w:szCs w:val="18"/>
              </w:rPr>
            </w:pPr>
            <w:r w:rsidRPr="00003321">
              <w:rPr>
                <w:rFonts w:ascii="Arial" w:hAnsi="Arial" w:cs="Arial"/>
                <w:color w:val="000000"/>
                <w:sz w:val="18"/>
                <w:szCs w:val="18"/>
              </w:rPr>
              <w:t>63.9</w:t>
            </w:r>
          </w:p>
        </w:tc>
        <w:tc>
          <w:tcPr>
            <w:tcW w:w="759" w:type="pct"/>
            <w:tcBorders>
              <w:top w:val="nil"/>
              <w:left w:val="nil"/>
              <w:bottom w:val="single" w:color="auto" w:sz="12" w:space="0"/>
              <w:right w:val="nil"/>
            </w:tcBorders>
          </w:tcPr>
          <w:p w:rsidRPr="00003321" w:rsidR="00287221" w:rsidP="00287084" w:rsidRDefault="00287221" w14:paraId="150C1B0D" w14:textId="77777777">
            <w:pPr>
              <w:autoSpaceDE w:val="0"/>
              <w:autoSpaceDN w:val="0"/>
              <w:adjustRightInd w:val="0"/>
              <w:jc w:val="right"/>
              <w:rPr>
                <w:rFonts w:ascii="Arial" w:hAnsi="Arial" w:cs="Arial"/>
                <w:color w:val="000000"/>
                <w:sz w:val="18"/>
                <w:szCs w:val="18"/>
              </w:rPr>
            </w:pPr>
            <w:r w:rsidRPr="00003321">
              <w:rPr>
                <w:rFonts w:ascii="Arial" w:hAnsi="Arial" w:cs="Arial"/>
                <w:color w:val="000000"/>
                <w:sz w:val="18"/>
                <w:szCs w:val="18"/>
              </w:rPr>
              <w:t>0.08</w:t>
            </w:r>
          </w:p>
        </w:tc>
        <w:tc>
          <w:tcPr>
            <w:tcW w:w="758" w:type="pct"/>
            <w:tcBorders>
              <w:top w:val="nil"/>
              <w:left w:val="nil"/>
              <w:bottom w:val="single" w:color="auto" w:sz="12" w:space="0"/>
              <w:right w:val="nil"/>
            </w:tcBorders>
          </w:tcPr>
          <w:p w:rsidRPr="00003321" w:rsidR="00287221" w:rsidP="00287084" w:rsidRDefault="00287221" w14:paraId="0C766FBB" w14:textId="77777777">
            <w:pPr>
              <w:autoSpaceDE w:val="0"/>
              <w:autoSpaceDN w:val="0"/>
              <w:adjustRightInd w:val="0"/>
              <w:jc w:val="right"/>
              <w:rPr>
                <w:rFonts w:ascii="Arial" w:hAnsi="Arial" w:cs="Arial"/>
                <w:color w:val="000000"/>
                <w:sz w:val="18"/>
                <w:szCs w:val="18"/>
              </w:rPr>
            </w:pPr>
            <w:r w:rsidRPr="00003321">
              <w:rPr>
                <w:rFonts w:ascii="Arial" w:hAnsi="Arial" w:cs="Arial"/>
                <w:color w:val="000000"/>
                <w:sz w:val="18"/>
                <w:szCs w:val="18"/>
              </w:rPr>
              <w:t>0.78</w:t>
            </w:r>
          </w:p>
        </w:tc>
      </w:tr>
      <w:tr w:rsidRPr="00003321" w:rsidR="00287221" w:rsidTr="00287084" w14:paraId="1A341867" w14:textId="77777777">
        <w:trPr>
          <w:trHeight w:val="144"/>
          <w:jc w:val="right"/>
        </w:trPr>
        <w:tc>
          <w:tcPr>
            <w:tcW w:w="5000" w:type="pct"/>
            <w:gridSpan w:val="5"/>
            <w:tcBorders>
              <w:top w:val="single" w:color="auto" w:sz="12" w:space="0"/>
              <w:left w:val="nil"/>
              <w:bottom w:val="nil"/>
              <w:right w:val="nil"/>
            </w:tcBorders>
          </w:tcPr>
          <w:p w:rsidRPr="00003321" w:rsidR="00287221" w:rsidP="00287084" w:rsidRDefault="00287221" w14:paraId="115606E7" w14:textId="77777777">
            <w:pPr>
              <w:pStyle w:val="tabfigsource"/>
              <w:spacing w:after="0"/>
              <w:rPr>
                <w:rFonts w:cs="Arial"/>
              </w:rPr>
            </w:pPr>
            <w:r w:rsidRPr="00003321">
              <w:rPr>
                <w:rFonts w:cs="Arial"/>
              </w:rPr>
              <w:t xml:space="preserve">NOTE: Results exclude ineligible cases. </w:t>
            </w:r>
          </w:p>
          <w:p w:rsidRPr="00003321" w:rsidR="00287221" w:rsidP="00287084" w:rsidRDefault="00287221" w14:paraId="2C537ECC" w14:textId="77777777">
            <w:pPr>
              <w:pStyle w:val="tabfigsource"/>
              <w:spacing w:after="0"/>
              <w:rPr>
                <w:rFonts w:cs="Arial"/>
                <w:color w:val="000000"/>
                <w:sz w:val="18"/>
                <w:szCs w:val="18"/>
              </w:rPr>
            </w:pPr>
            <w:r w:rsidRPr="00003321">
              <w:rPr>
                <w:rFonts w:cs="Arial"/>
              </w:rPr>
              <w:t>SOURCE: U.S. Department of Education, National Center for Education Statistics, 2020/22 Beginning Postsecondary Students (BPS:20/22) Field Test.</w:t>
            </w:r>
          </w:p>
        </w:tc>
      </w:tr>
    </w:tbl>
    <w:p w:rsidR="00287221" w:rsidP="00287221" w:rsidRDefault="00287221" w14:paraId="5B98D50C" w14:textId="77777777">
      <w:pPr>
        <w:rPr>
          <w:rFonts w:cstheme="minorHAnsi"/>
          <w:i/>
          <w:iCs/>
          <w:szCs w:val="24"/>
        </w:rPr>
      </w:pPr>
    </w:p>
    <w:p w:rsidRPr="00FD20C4" w:rsidR="00287221" w:rsidP="00287221" w:rsidRDefault="00287221" w14:paraId="11321EF4" w14:textId="199F7ECD">
      <w:pPr>
        <w:spacing w:after="120"/>
        <w:rPr>
          <w:rFonts w:cstheme="minorHAnsi"/>
          <w:szCs w:val="24"/>
        </w:rPr>
      </w:pPr>
      <w:r w:rsidRPr="00FD20C4">
        <w:rPr>
          <w:rFonts w:cstheme="minorHAnsi"/>
          <w:i/>
          <w:iCs/>
          <w:szCs w:val="24"/>
        </w:rPr>
        <w:t xml:space="preserve">Representativeness. </w:t>
      </w:r>
      <w:r w:rsidRPr="00FD20C4">
        <w:rPr>
          <w:rFonts w:cstheme="minorHAnsi"/>
          <w:szCs w:val="24"/>
        </w:rPr>
        <w:t xml:space="preserve">Sample representativeness of respondents was investigated at the end of data collection. </w:t>
      </w:r>
      <w:r w:rsidRPr="00FD20C4">
        <w:rPr>
          <w:rFonts w:cstheme="minorHAnsi"/>
          <w:szCs w:val="24"/>
        </w:rPr>
        <w:fldChar w:fldCharType="begin"/>
      </w:r>
      <w:r w:rsidRPr="00FD20C4">
        <w:rPr>
          <w:rFonts w:cstheme="minorHAnsi"/>
          <w:szCs w:val="24"/>
        </w:rPr>
        <w:instrText xml:space="preserve"> REF _Ref79565532 \h  \* MERGEFORMAT </w:instrText>
      </w:r>
      <w:r w:rsidRPr="00FD20C4">
        <w:rPr>
          <w:rFonts w:cstheme="minorHAnsi"/>
          <w:szCs w:val="24"/>
        </w:rPr>
      </w:r>
      <w:r w:rsidRPr="00FD20C4">
        <w:rPr>
          <w:rFonts w:cstheme="minorHAnsi"/>
          <w:szCs w:val="24"/>
        </w:rPr>
        <w:fldChar w:fldCharType="separate"/>
      </w:r>
      <w:r w:rsidRPr="00A3046F" w:rsidR="00A3046F">
        <w:rPr>
          <w:szCs w:val="24"/>
        </w:rPr>
        <w:t>Table D.</w:t>
      </w:r>
      <w:r w:rsidRPr="00A3046F" w:rsidR="00A3046F">
        <w:rPr>
          <w:noProof/>
          <w:szCs w:val="24"/>
        </w:rPr>
        <w:t>3</w:t>
      </w:r>
      <w:r w:rsidRPr="00FD20C4">
        <w:rPr>
          <w:rFonts w:cstheme="minorHAnsi"/>
          <w:szCs w:val="24"/>
        </w:rPr>
        <w:fldChar w:fldCharType="end"/>
      </w:r>
      <w:r w:rsidRPr="00FD20C4">
        <w:rPr>
          <w:rFonts w:cstheme="minorHAnsi"/>
          <w:szCs w:val="24"/>
        </w:rPr>
        <w:t xml:space="preserve"> below displays sample composition for each of respondent characteristic by experimental condition. </w:t>
      </w:r>
    </w:p>
    <w:p w:rsidRPr="00FD20C4" w:rsidR="00287221" w:rsidP="00287221" w:rsidRDefault="00287221" w14:paraId="4ADA3834" w14:textId="77777777">
      <w:pPr>
        <w:spacing w:after="120"/>
        <w:rPr>
          <w:rFonts w:cstheme="minorHAnsi"/>
          <w:szCs w:val="24"/>
        </w:rPr>
      </w:pPr>
      <w:r w:rsidRPr="00FD20C4">
        <w:rPr>
          <w:rFonts w:cstheme="minorHAnsi"/>
          <w:szCs w:val="24"/>
        </w:rPr>
        <w:t>BPS:20/22 field test respondents were significantly younger than nonrespondents in both the experimental early bird group (</w:t>
      </w:r>
      <w:r w:rsidRPr="00FD20C4">
        <w:rPr>
          <w:rFonts w:cstheme="minorHAnsi"/>
          <w:i/>
          <w:iCs/>
          <w:szCs w:val="24"/>
        </w:rPr>
        <w:t>t</w:t>
      </w:r>
      <w:r w:rsidRPr="00FD20C4">
        <w:rPr>
          <w:rFonts w:cstheme="minorHAnsi"/>
          <w:szCs w:val="24"/>
        </w:rPr>
        <w:t xml:space="preserve">(981.2) = 7.55, </w:t>
      </w:r>
      <w:r w:rsidRPr="00FD20C4">
        <w:rPr>
          <w:rFonts w:cstheme="minorHAnsi"/>
          <w:i/>
          <w:iCs/>
          <w:szCs w:val="24"/>
        </w:rPr>
        <w:t>p</w:t>
      </w:r>
      <w:r w:rsidRPr="00FD20C4">
        <w:rPr>
          <w:rFonts w:cstheme="minorHAnsi"/>
          <w:szCs w:val="24"/>
        </w:rPr>
        <w:t xml:space="preserve"> &lt; 0.001) and the control group (</w:t>
      </w:r>
      <w:r w:rsidRPr="00FD20C4">
        <w:rPr>
          <w:rFonts w:cstheme="minorHAnsi"/>
          <w:i/>
          <w:iCs/>
          <w:szCs w:val="24"/>
        </w:rPr>
        <w:t>t</w:t>
      </w:r>
      <w:r w:rsidRPr="00FD20C4">
        <w:rPr>
          <w:rFonts w:cstheme="minorHAnsi"/>
          <w:szCs w:val="24"/>
        </w:rPr>
        <w:t xml:space="preserve">(1,012.0) = 6.92, </w:t>
      </w:r>
      <w:r w:rsidRPr="00FD20C4">
        <w:rPr>
          <w:rFonts w:cstheme="minorHAnsi"/>
          <w:i/>
          <w:iCs/>
          <w:szCs w:val="24"/>
        </w:rPr>
        <w:t>p</w:t>
      </w:r>
      <w:r w:rsidRPr="00FD20C4">
        <w:rPr>
          <w:rFonts w:cstheme="minorHAnsi"/>
          <w:szCs w:val="24"/>
        </w:rPr>
        <w:t xml:space="preserve"> &lt; 0.001). This indicates that younger respondents were similarly overrepresented in both the experimental and control groups; the experimental group did not better represent the overall sample in terms of age than the control group. There was not, however, a significant difference between the sex of respondents and nonrespondents in both the experimental early bird group (</w:t>
      </w:r>
      <m:oMath>
        <m:r>
          <w:rPr>
            <w:rFonts w:ascii="Cambria Math" w:hAnsi="Cambria Math" w:cstheme="minorHAnsi"/>
            <w:szCs w:val="24"/>
          </w:rPr>
          <m:t>χ</m:t>
        </m:r>
      </m:oMath>
      <w:r w:rsidRPr="00FD20C4">
        <w:rPr>
          <w:rFonts w:eastAsiaTheme="minorEastAsia" w:cstheme="minorHAnsi"/>
          <w:szCs w:val="24"/>
          <w:vertAlign w:val="superscript"/>
        </w:rPr>
        <w:t>2</w:t>
      </w:r>
      <w:r w:rsidRPr="00FD20C4">
        <w:rPr>
          <w:rFonts w:cstheme="minorHAnsi"/>
          <w:szCs w:val="24"/>
        </w:rPr>
        <w:t xml:space="preserve"> = 0.32, </w:t>
      </w:r>
      <w:r w:rsidRPr="00FD20C4">
        <w:rPr>
          <w:rFonts w:cstheme="minorHAnsi"/>
          <w:i/>
          <w:iCs/>
          <w:szCs w:val="24"/>
        </w:rPr>
        <w:t>p</w:t>
      </w:r>
      <w:r w:rsidRPr="00FD20C4">
        <w:rPr>
          <w:rFonts w:cstheme="minorHAnsi"/>
          <w:szCs w:val="24"/>
        </w:rPr>
        <w:t xml:space="preserve"> = 0.57) and the control group (</w:t>
      </w:r>
      <m:oMath>
        <m:r>
          <w:rPr>
            <w:rFonts w:ascii="Cambria Math" w:hAnsi="Cambria Math" w:cstheme="minorHAnsi"/>
            <w:szCs w:val="24"/>
          </w:rPr>
          <m:t>χ</m:t>
        </m:r>
      </m:oMath>
      <w:r w:rsidRPr="00FD20C4">
        <w:rPr>
          <w:rFonts w:eastAsiaTheme="minorEastAsia" w:cstheme="minorHAnsi"/>
          <w:szCs w:val="24"/>
          <w:vertAlign w:val="superscript"/>
        </w:rPr>
        <w:t>2</w:t>
      </w:r>
      <w:r w:rsidRPr="00FD20C4">
        <w:rPr>
          <w:rFonts w:cstheme="minorHAnsi"/>
          <w:szCs w:val="24"/>
        </w:rPr>
        <w:t xml:space="preserve"> = 0.57, </w:t>
      </w:r>
      <w:r w:rsidRPr="00FD20C4">
        <w:rPr>
          <w:rFonts w:cstheme="minorHAnsi"/>
          <w:i/>
          <w:iCs/>
          <w:szCs w:val="24"/>
        </w:rPr>
        <w:t>p</w:t>
      </w:r>
      <w:r w:rsidRPr="00FD20C4">
        <w:rPr>
          <w:rFonts w:cstheme="minorHAnsi"/>
          <w:szCs w:val="24"/>
        </w:rPr>
        <w:t xml:space="preserve"> = 0.45). These results indicate that the percentage of female respondents in both groups was similar to the overall sample. </w:t>
      </w:r>
    </w:p>
    <w:p w:rsidRPr="00FD20C4" w:rsidR="00287221" w:rsidP="00287221" w:rsidRDefault="00287221" w14:paraId="30AAFA42" w14:textId="77777777">
      <w:pPr>
        <w:spacing w:after="120"/>
        <w:rPr>
          <w:rFonts w:cstheme="minorHAnsi"/>
          <w:szCs w:val="24"/>
        </w:rPr>
      </w:pPr>
      <w:r w:rsidRPr="00FD20C4">
        <w:rPr>
          <w:rFonts w:cstheme="minorHAnsi"/>
          <w:szCs w:val="24"/>
        </w:rPr>
        <w:t>White respondents were overrepresented in both the early bird group (</w:t>
      </w:r>
      <m:oMath>
        <m:r>
          <w:rPr>
            <w:rFonts w:ascii="Cambria Math" w:hAnsi="Cambria Math" w:cstheme="minorHAnsi"/>
            <w:szCs w:val="24"/>
          </w:rPr>
          <m:t>χ</m:t>
        </m:r>
      </m:oMath>
      <w:r w:rsidRPr="00FD20C4">
        <w:rPr>
          <w:rFonts w:eastAsiaTheme="minorEastAsia" w:cstheme="minorHAnsi"/>
          <w:szCs w:val="24"/>
          <w:vertAlign w:val="superscript"/>
        </w:rPr>
        <w:t>2</w:t>
      </w:r>
      <w:r w:rsidRPr="00FD20C4">
        <w:rPr>
          <w:rFonts w:cstheme="minorHAnsi"/>
          <w:szCs w:val="24"/>
        </w:rPr>
        <w:t xml:space="preserve"> = 5.24, </w:t>
      </w:r>
      <w:r w:rsidRPr="00FD20C4">
        <w:rPr>
          <w:rFonts w:cstheme="minorHAnsi"/>
          <w:i/>
          <w:iCs/>
          <w:szCs w:val="24"/>
        </w:rPr>
        <w:t>p</w:t>
      </w:r>
      <w:r w:rsidRPr="00FD20C4">
        <w:rPr>
          <w:rFonts w:cstheme="minorHAnsi"/>
          <w:szCs w:val="24"/>
        </w:rPr>
        <w:t xml:space="preserve"> &lt; .05) and the control group (</w:t>
      </w:r>
      <m:oMath>
        <m:r>
          <w:rPr>
            <w:rFonts w:ascii="Cambria Math" w:hAnsi="Cambria Math" w:cstheme="minorHAnsi"/>
            <w:szCs w:val="24"/>
          </w:rPr>
          <m:t>χ</m:t>
        </m:r>
      </m:oMath>
      <w:r w:rsidRPr="00FD20C4">
        <w:rPr>
          <w:rFonts w:eastAsiaTheme="minorEastAsia" w:cstheme="minorHAnsi"/>
          <w:szCs w:val="24"/>
          <w:vertAlign w:val="superscript"/>
        </w:rPr>
        <w:t>2</w:t>
      </w:r>
      <w:r w:rsidRPr="00FD20C4">
        <w:rPr>
          <w:rFonts w:cstheme="minorHAnsi"/>
          <w:szCs w:val="24"/>
        </w:rPr>
        <w:t xml:space="preserve"> = 9.98, </w:t>
      </w:r>
      <w:r w:rsidRPr="00FD20C4">
        <w:rPr>
          <w:rFonts w:cstheme="minorHAnsi"/>
          <w:i/>
          <w:iCs/>
          <w:szCs w:val="24"/>
        </w:rPr>
        <w:t>p</w:t>
      </w:r>
      <w:r w:rsidRPr="00FD20C4">
        <w:rPr>
          <w:rFonts w:cstheme="minorHAnsi"/>
          <w:szCs w:val="24"/>
        </w:rPr>
        <w:t xml:space="preserve"> &lt; 0.01), but there was not a significant difference between percentage of Hispanic</w:t>
      </w:r>
      <w:r>
        <w:rPr>
          <w:rFonts w:cstheme="minorHAnsi"/>
          <w:szCs w:val="24"/>
        </w:rPr>
        <w:t xml:space="preserve"> or Latino</w:t>
      </w:r>
      <w:r w:rsidRPr="00FD20C4">
        <w:rPr>
          <w:rFonts w:cstheme="minorHAnsi"/>
          <w:szCs w:val="24"/>
        </w:rPr>
        <w:t xml:space="preserve"> respondents and nonrespondents in the early bird group (</w:t>
      </w:r>
      <m:oMath>
        <m:r>
          <w:rPr>
            <w:rFonts w:ascii="Cambria Math" w:hAnsi="Cambria Math" w:cstheme="minorHAnsi"/>
            <w:szCs w:val="24"/>
          </w:rPr>
          <m:t>χ</m:t>
        </m:r>
      </m:oMath>
      <w:r w:rsidRPr="00FD20C4">
        <w:rPr>
          <w:rFonts w:eastAsiaTheme="minorEastAsia" w:cstheme="minorHAnsi"/>
          <w:szCs w:val="24"/>
          <w:vertAlign w:val="superscript"/>
        </w:rPr>
        <w:t>2</w:t>
      </w:r>
      <w:r w:rsidRPr="00FD20C4">
        <w:rPr>
          <w:rFonts w:cstheme="minorHAnsi"/>
          <w:szCs w:val="24"/>
        </w:rPr>
        <w:t xml:space="preserve"> = 0.31, </w:t>
      </w:r>
      <w:r w:rsidRPr="00FD20C4">
        <w:rPr>
          <w:rFonts w:cstheme="minorHAnsi"/>
          <w:i/>
          <w:iCs/>
          <w:szCs w:val="24"/>
        </w:rPr>
        <w:t>p</w:t>
      </w:r>
      <w:r w:rsidRPr="00FD20C4">
        <w:rPr>
          <w:rFonts w:cstheme="minorHAnsi"/>
          <w:szCs w:val="24"/>
        </w:rPr>
        <w:t xml:space="preserve"> = 0.58) or the control group (</w:t>
      </w:r>
      <m:oMath>
        <m:r>
          <w:rPr>
            <w:rFonts w:ascii="Cambria Math" w:hAnsi="Cambria Math" w:cstheme="minorHAnsi"/>
            <w:szCs w:val="24"/>
          </w:rPr>
          <m:t>χ</m:t>
        </m:r>
      </m:oMath>
      <w:r w:rsidRPr="00FD20C4">
        <w:rPr>
          <w:rFonts w:eastAsiaTheme="minorEastAsia" w:cstheme="minorHAnsi"/>
          <w:szCs w:val="24"/>
          <w:vertAlign w:val="superscript"/>
        </w:rPr>
        <w:t>2</w:t>
      </w:r>
      <w:r w:rsidRPr="00FD20C4">
        <w:rPr>
          <w:rFonts w:cstheme="minorHAnsi"/>
          <w:szCs w:val="24"/>
        </w:rPr>
        <w:t xml:space="preserve"> = 0.54, </w:t>
      </w:r>
      <w:r w:rsidRPr="00FD20C4">
        <w:rPr>
          <w:rFonts w:cstheme="minorHAnsi"/>
          <w:i/>
          <w:iCs/>
          <w:szCs w:val="24"/>
        </w:rPr>
        <w:t>p</w:t>
      </w:r>
      <w:r w:rsidRPr="00FD20C4">
        <w:rPr>
          <w:rFonts w:cstheme="minorHAnsi"/>
          <w:szCs w:val="24"/>
        </w:rPr>
        <w:t xml:space="preserve"> = 0.46). This again indicates that the experimental group did not better represent the overall sample in terms of race or ethnicity than the control group.</w:t>
      </w:r>
    </w:p>
    <w:p w:rsidRPr="00FD20C4" w:rsidR="00287221" w:rsidP="00287221" w:rsidRDefault="00287221" w14:paraId="2A4F87E0" w14:textId="77777777">
      <w:pPr>
        <w:spacing w:after="120"/>
        <w:rPr>
          <w:rFonts w:cstheme="minorHAnsi"/>
          <w:szCs w:val="24"/>
        </w:rPr>
      </w:pPr>
      <w:r w:rsidRPr="00FD20C4">
        <w:rPr>
          <w:rFonts w:cstheme="minorHAnsi"/>
          <w:szCs w:val="24"/>
        </w:rPr>
        <w:t>There was not a significant difference between the percentage of respondents and nonrespondents from public institutions in either the early bird group (</w:t>
      </w:r>
      <m:oMath>
        <m:r>
          <w:rPr>
            <w:rFonts w:ascii="Cambria Math" w:hAnsi="Cambria Math" w:cstheme="minorHAnsi"/>
            <w:szCs w:val="24"/>
          </w:rPr>
          <m:t>χ</m:t>
        </m:r>
      </m:oMath>
      <w:r w:rsidRPr="00FD20C4">
        <w:rPr>
          <w:rFonts w:eastAsiaTheme="minorEastAsia" w:cstheme="minorHAnsi"/>
          <w:szCs w:val="24"/>
          <w:vertAlign w:val="superscript"/>
        </w:rPr>
        <w:t>2</w:t>
      </w:r>
      <w:r w:rsidRPr="00FD20C4">
        <w:rPr>
          <w:rFonts w:cstheme="minorHAnsi"/>
          <w:szCs w:val="24"/>
        </w:rPr>
        <w:t xml:space="preserve"> = 0.09, </w:t>
      </w:r>
      <w:r w:rsidRPr="00FD20C4">
        <w:rPr>
          <w:rFonts w:cstheme="minorHAnsi"/>
          <w:i/>
          <w:iCs/>
          <w:szCs w:val="24"/>
        </w:rPr>
        <w:t>p</w:t>
      </w:r>
      <w:r w:rsidRPr="00FD20C4">
        <w:rPr>
          <w:rFonts w:cstheme="minorHAnsi"/>
          <w:szCs w:val="24"/>
        </w:rPr>
        <w:t xml:space="preserve"> = 0.78) or the control group (</w:t>
      </w:r>
      <m:oMath>
        <m:r>
          <w:rPr>
            <w:rFonts w:ascii="Cambria Math" w:hAnsi="Cambria Math" w:cstheme="minorHAnsi"/>
            <w:szCs w:val="24"/>
          </w:rPr>
          <m:t>χ</m:t>
        </m:r>
      </m:oMath>
      <w:r w:rsidRPr="00FD20C4">
        <w:rPr>
          <w:rFonts w:eastAsiaTheme="minorEastAsia" w:cstheme="minorHAnsi"/>
          <w:szCs w:val="24"/>
          <w:vertAlign w:val="superscript"/>
        </w:rPr>
        <w:t>2</w:t>
      </w:r>
      <w:r w:rsidRPr="00FD20C4">
        <w:rPr>
          <w:rFonts w:cstheme="minorHAnsi"/>
          <w:szCs w:val="24"/>
        </w:rPr>
        <w:t xml:space="preserve"> = 0.67, </w:t>
      </w:r>
      <w:r w:rsidRPr="00FD20C4">
        <w:rPr>
          <w:rFonts w:cstheme="minorHAnsi"/>
          <w:i/>
          <w:iCs/>
          <w:szCs w:val="24"/>
        </w:rPr>
        <w:t>p</w:t>
      </w:r>
      <w:r w:rsidRPr="00FD20C4">
        <w:rPr>
          <w:rFonts w:cstheme="minorHAnsi"/>
          <w:szCs w:val="24"/>
        </w:rPr>
        <w:t xml:space="preserve"> = 0.41). </w:t>
      </w:r>
      <w:r w:rsidRPr="00FD20C4">
        <w:rPr>
          <w:rFonts w:cstheme="minorHAnsi"/>
          <w:szCs w:val="24"/>
        </w:rPr>
        <w:lastRenderedPageBreak/>
        <w:t>Respondents in both groups were therefore representative of the overall sample. Respondents from private nonprofit institutions were overrepresented in both the early bird group (</w:t>
      </w:r>
      <m:oMath>
        <m:r>
          <w:rPr>
            <w:rFonts w:ascii="Cambria Math" w:hAnsi="Cambria Math" w:cstheme="minorHAnsi"/>
            <w:szCs w:val="24"/>
          </w:rPr>
          <m:t>χ</m:t>
        </m:r>
      </m:oMath>
      <w:r w:rsidRPr="00FD20C4">
        <w:rPr>
          <w:rFonts w:eastAsiaTheme="minorEastAsia" w:cstheme="minorHAnsi"/>
          <w:szCs w:val="24"/>
          <w:vertAlign w:val="superscript"/>
        </w:rPr>
        <w:t>2</w:t>
      </w:r>
      <w:r w:rsidRPr="00FD20C4">
        <w:rPr>
          <w:rFonts w:cstheme="minorHAnsi"/>
          <w:szCs w:val="24"/>
        </w:rPr>
        <w:t xml:space="preserve"> = 25.93, </w:t>
      </w:r>
      <w:r w:rsidRPr="00FD20C4">
        <w:rPr>
          <w:rFonts w:cstheme="minorHAnsi"/>
          <w:i/>
          <w:iCs/>
          <w:szCs w:val="24"/>
        </w:rPr>
        <w:t>p</w:t>
      </w:r>
      <w:r w:rsidRPr="00FD20C4">
        <w:rPr>
          <w:rFonts w:cstheme="minorHAnsi"/>
          <w:szCs w:val="24"/>
        </w:rPr>
        <w:t xml:space="preserve"> &lt; .001) and the control group (</w:t>
      </w:r>
      <m:oMath>
        <m:r>
          <w:rPr>
            <w:rFonts w:ascii="Cambria Math" w:hAnsi="Cambria Math" w:cstheme="minorHAnsi"/>
            <w:szCs w:val="24"/>
          </w:rPr>
          <m:t>χ</m:t>
        </m:r>
      </m:oMath>
      <w:r w:rsidRPr="00FD20C4">
        <w:rPr>
          <w:rFonts w:eastAsiaTheme="minorEastAsia" w:cstheme="minorHAnsi"/>
          <w:szCs w:val="24"/>
          <w:vertAlign w:val="superscript"/>
        </w:rPr>
        <w:t>2</w:t>
      </w:r>
      <w:r w:rsidRPr="00FD20C4">
        <w:rPr>
          <w:rFonts w:cstheme="minorHAnsi"/>
          <w:szCs w:val="24"/>
        </w:rPr>
        <w:t xml:space="preserve"> = 27.54, </w:t>
      </w:r>
      <w:r w:rsidRPr="00FD20C4">
        <w:rPr>
          <w:rFonts w:cstheme="minorHAnsi"/>
          <w:i/>
          <w:iCs/>
          <w:szCs w:val="24"/>
        </w:rPr>
        <w:t>p</w:t>
      </w:r>
      <w:r w:rsidRPr="00FD20C4">
        <w:rPr>
          <w:rFonts w:cstheme="minorHAnsi"/>
          <w:szCs w:val="24"/>
        </w:rPr>
        <w:t xml:space="preserve"> &lt; 0.001). In turn, respondents from private for-profit institutions were underrepresented in the early bird group (</w:t>
      </w:r>
      <m:oMath>
        <m:r>
          <w:rPr>
            <w:rFonts w:ascii="Cambria Math" w:hAnsi="Cambria Math" w:cstheme="minorHAnsi"/>
            <w:szCs w:val="24"/>
          </w:rPr>
          <m:t>χ</m:t>
        </m:r>
      </m:oMath>
      <w:r w:rsidRPr="00FD20C4">
        <w:rPr>
          <w:rFonts w:eastAsiaTheme="minorEastAsia" w:cstheme="minorHAnsi"/>
          <w:szCs w:val="24"/>
          <w:vertAlign w:val="superscript"/>
        </w:rPr>
        <w:t>2</w:t>
      </w:r>
      <w:r w:rsidRPr="00FD20C4">
        <w:rPr>
          <w:rFonts w:cstheme="minorHAnsi"/>
          <w:szCs w:val="24"/>
        </w:rPr>
        <w:t xml:space="preserve"> = 37.29, </w:t>
      </w:r>
      <w:r w:rsidRPr="00FD20C4">
        <w:rPr>
          <w:rFonts w:cstheme="minorHAnsi"/>
          <w:i/>
          <w:iCs/>
          <w:szCs w:val="24"/>
        </w:rPr>
        <w:t>p</w:t>
      </w:r>
      <w:r w:rsidRPr="00FD20C4">
        <w:rPr>
          <w:rFonts w:cstheme="minorHAnsi"/>
          <w:szCs w:val="24"/>
        </w:rPr>
        <w:t xml:space="preserve"> &lt; .001) and the control group (</w:t>
      </w:r>
      <m:oMath>
        <m:r>
          <w:rPr>
            <w:rFonts w:ascii="Cambria Math" w:hAnsi="Cambria Math" w:cstheme="minorHAnsi"/>
            <w:szCs w:val="24"/>
          </w:rPr>
          <m:t>χ</m:t>
        </m:r>
      </m:oMath>
      <w:r w:rsidRPr="00FD20C4">
        <w:rPr>
          <w:rFonts w:eastAsiaTheme="minorEastAsia" w:cstheme="minorHAnsi"/>
          <w:szCs w:val="24"/>
          <w:vertAlign w:val="superscript"/>
        </w:rPr>
        <w:t>2</w:t>
      </w:r>
      <w:r w:rsidRPr="00FD20C4">
        <w:rPr>
          <w:rFonts w:cstheme="minorHAnsi"/>
          <w:szCs w:val="24"/>
        </w:rPr>
        <w:t xml:space="preserve"> = 23.53, </w:t>
      </w:r>
      <w:r w:rsidRPr="00FD20C4">
        <w:rPr>
          <w:rFonts w:cstheme="minorHAnsi"/>
          <w:i/>
          <w:iCs/>
          <w:szCs w:val="24"/>
        </w:rPr>
        <w:t>p</w:t>
      </w:r>
      <w:r w:rsidRPr="00FD20C4">
        <w:rPr>
          <w:rFonts w:cstheme="minorHAnsi"/>
          <w:szCs w:val="24"/>
        </w:rPr>
        <w:t xml:space="preserve"> &lt; 0.001).</w:t>
      </w:r>
    </w:p>
    <w:p w:rsidRPr="00FD20C4" w:rsidR="00287221" w:rsidP="00287221" w:rsidRDefault="00287221" w14:paraId="481C644E" w14:textId="77777777">
      <w:pPr>
        <w:spacing w:after="120"/>
        <w:rPr>
          <w:rFonts w:cstheme="minorHAnsi"/>
          <w:szCs w:val="24"/>
        </w:rPr>
      </w:pPr>
      <w:r w:rsidRPr="00FD20C4">
        <w:rPr>
          <w:rFonts w:cstheme="minorHAnsi"/>
          <w:szCs w:val="24"/>
        </w:rPr>
        <w:t>Taken together, these results indicate that offering an early bird incentive encouraged response from the same types of sample members as the baseline incentive alone.</w:t>
      </w:r>
    </w:p>
    <w:p w:rsidR="00287221" w:rsidP="00287221" w:rsidRDefault="00287221" w14:paraId="0440EC91" w14:textId="158E8370">
      <w:pPr>
        <w:pStyle w:val="TableTitle"/>
      </w:pPr>
      <w:bookmarkStart w:name="_Ref79565532" w:id="26"/>
      <w:r>
        <w:t xml:space="preserve">Table </w:t>
      </w:r>
      <w:r w:rsidR="00A3046F">
        <w:t>D</w:t>
      </w:r>
      <w:r w:rsidR="00EE3E0D">
        <w:t>.</w:t>
      </w:r>
      <w:r>
        <w:fldChar w:fldCharType="begin"/>
      </w:r>
      <w:r>
        <w:instrText xml:space="preserve"> SEQ Table \* ARABIC </w:instrText>
      </w:r>
      <w:r>
        <w:fldChar w:fldCharType="separate"/>
      </w:r>
      <w:r>
        <w:rPr>
          <w:noProof/>
        </w:rPr>
        <w:t>3</w:t>
      </w:r>
      <w:r>
        <w:fldChar w:fldCharType="end"/>
      </w:r>
      <w:bookmarkEnd w:id="26"/>
      <w:r>
        <w:t xml:space="preserve">. </w:t>
      </w:r>
      <w:r w:rsidRPr="007C0F4D">
        <w:t>2020/22 Beginning Postsecondary Students Field Test</w:t>
      </w:r>
      <w:r>
        <w:t xml:space="preserve"> sample composition by </w:t>
      </w:r>
      <w:r w:rsidR="002E34C1">
        <w:t xml:space="preserve">early bird </w:t>
      </w:r>
      <w:r>
        <w:t>experimental condition: 2021</w:t>
      </w:r>
    </w:p>
    <w:tbl>
      <w:tblPr>
        <w:tblStyle w:val="TableGridLight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2" w:type="dxa"/>
          <w:right w:w="72" w:type="dxa"/>
        </w:tblCellMar>
        <w:tblLook w:val="04A0" w:firstRow="1" w:lastRow="0" w:firstColumn="1" w:lastColumn="0" w:noHBand="0" w:noVBand="1"/>
      </w:tblPr>
      <w:tblGrid>
        <w:gridCol w:w="4335"/>
        <w:gridCol w:w="3088"/>
        <w:gridCol w:w="3089"/>
      </w:tblGrid>
      <w:tr w:rsidRPr="0046235F" w:rsidR="00287221" w:rsidTr="00287084" w14:paraId="639E684B" w14:textId="77777777">
        <w:trPr>
          <w:trHeight w:val="144"/>
        </w:trPr>
        <w:tc>
          <w:tcPr>
            <w:tcW w:w="4045" w:type="dxa"/>
            <w:tcBorders>
              <w:top w:val="single" w:color="auto" w:sz="12" w:space="0"/>
              <w:bottom w:val="single" w:color="auto" w:sz="6" w:space="0"/>
            </w:tcBorders>
          </w:tcPr>
          <w:p w:rsidRPr="0046235F" w:rsidR="00287221" w:rsidP="00287084" w:rsidRDefault="00287221" w14:paraId="49C01D30" w14:textId="77777777">
            <w:pPr>
              <w:keepNext/>
              <w:autoSpaceDE w:val="0"/>
              <w:autoSpaceDN w:val="0"/>
              <w:adjustRightInd w:val="0"/>
              <w:rPr>
                <w:rFonts w:ascii="Arial" w:hAnsi="Arial" w:cs="Arial"/>
                <w:b/>
                <w:sz w:val="18"/>
                <w:szCs w:val="18"/>
              </w:rPr>
            </w:pPr>
          </w:p>
        </w:tc>
        <w:tc>
          <w:tcPr>
            <w:tcW w:w="2882" w:type="dxa"/>
            <w:tcBorders>
              <w:top w:val="single" w:color="auto" w:sz="12" w:space="0"/>
              <w:bottom w:val="single" w:color="auto" w:sz="6" w:space="0"/>
            </w:tcBorders>
          </w:tcPr>
          <w:p w:rsidRPr="0046235F" w:rsidR="00287221" w:rsidP="00287084" w:rsidRDefault="00287221" w14:paraId="6A2CA236" w14:textId="77777777">
            <w:pPr>
              <w:keepNext/>
              <w:jc w:val="right"/>
              <w:rPr>
                <w:rFonts w:ascii="Arial" w:hAnsi="Arial" w:cs="Arial"/>
                <w:b/>
                <w:sz w:val="18"/>
                <w:szCs w:val="18"/>
              </w:rPr>
            </w:pPr>
            <w:r w:rsidRPr="0046235F">
              <w:rPr>
                <w:rFonts w:ascii="Arial" w:hAnsi="Arial" w:cs="Arial"/>
                <w:b/>
                <w:sz w:val="18"/>
                <w:szCs w:val="18"/>
              </w:rPr>
              <w:t>Control Group</w:t>
            </w:r>
          </w:p>
          <w:p w:rsidRPr="0046235F" w:rsidR="00287221" w:rsidP="00287084" w:rsidRDefault="00287221" w14:paraId="4D57E169" w14:textId="77777777">
            <w:pPr>
              <w:keepNext/>
              <w:jc w:val="right"/>
              <w:rPr>
                <w:rFonts w:ascii="Arial" w:hAnsi="Arial" w:cs="Arial"/>
                <w:bCs/>
                <w:sz w:val="18"/>
                <w:szCs w:val="18"/>
              </w:rPr>
            </w:pPr>
            <w:r w:rsidRPr="0046235F">
              <w:rPr>
                <w:rFonts w:ascii="Arial" w:hAnsi="Arial" w:cs="Arial"/>
                <w:bCs/>
                <w:sz w:val="18"/>
                <w:szCs w:val="18"/>
              </w:rPr>
              <w:t>Baseline Incentive</w:t>
            </w:r>
          </w:p>
        </w:tc>
        <w:tc>
          <w:tcPr>
            <w:tcW w:w="2883" w:type="dxa"/>
            <w:tcBorders>
              <w:top w:val="single" w:color="auto" w:sz="12" w:space="0"/>
              <w:bottom w:val="single" w:color="auto" w:sz="6" w:space="0"/>
            </w:tcBorders>
          </w:tcPr>
          <w:p w:rsidRPr="0046235F" w:rsidR="00287221" w:rsidP="00287084" w:rsidRDefault="00287221" w14:paraId="3F6F5349" w14:textId="77777777">
            <w:pPr>
              <w:keepNext/>
              <w:jc w:val="right"/>
              <w:rPr>
                <w:rFonts w:ascii="Arial" w:hAnsi="Arial" w:cs="Arial"/>
                <w:b/>
                <w:sz w:val="18"/>
                <w:szCs w:val="18"/>
              </w:rPr>
            </w:pPr>
            <w:r w:rsidRPr="0046235F">
              <w:rPr>
                <w:rFonts w:ascii="Arial" w:hAnsi="Arial" w:cs="Arial"/>
                <w:b/>
                <w:sz w:val="18"/>
                <w:szCs w:val="18"/>
              </w:rPr>
              <w:t>Treatment Group</w:t>
            </w:r>
          </w:p>
          <w:p w:rsidRPr="0046235F" w:rsidR="00287221" w:rsidP="00287084" w:rsidRDefault="00287221" w14:paraId="2CDADEB4" w14:textId="77777777">
            <w:pPr>
              <w:keepNext/>
              <w:jc w:val="right"/>
              <w:rPr>
                <w:rFonts w:ascii="Arial" w:hAnsi="Arial" w:cs="Arial"/>
                <w:bCs/>
                <w:sz w:val="18"/>
                <w:szCs w:val="18"/>
              </w:rPr>
            </w:pPr>
            <w:r w:rsidRPr="0046235F">
              <w:rPr>
                <w:rFonts w:ascii="Arial" w:hAnsi="Arial" w:cs="Arial"/>
                <w:bCs/>
                <w:sz w:val="18"/>
                <w:szCs w:val="18"/>
              </w:rPr>
              <w:t xml:space="preserve">Early Bird Plus Baseline </w:t>
            </w:r>
          </w:p>
        </w:tc>
      </w:tr>
      <w:tr w:rsidRPr="0046235F" w:rsidR="00287221" w:rsidTr="00287084" w14:paraId="4C9DCFE8" w14:textId="77777777">
        <w:trPr>
          <w:trHeight w:val="144"/>
        </w:trPr>
        <w:tc>
          <w:tcPr>
            <w:tcW w:w="9810" w:type="dxa"/>
            <w:gridSpan w:val="3"/>
            <w:tcBorders>
              <w:top w:val="single" w:color="auto" w:sz="6" w:space="0"/>
            </w:tcBorders>
          </w:tcPr>
          <w:p w:rsidRPr="0046235F" w:rsidR="00287221" w:rsidP="00287084" w:rsidRDefault="00287221" w14:paraId="4F13FB55" w14:textId="77777777">
            <w:pPr>
              <w:keepNext/>
              <w:autoSpaceDE w:val="0"/>
              <w:autoSpaceDN w:val="0"/>
              <w:adjustRightInd w:val="0"/>
              <w:rPr>
                <w:rFonts w:ascii="Arial" w:hAnsi="Arial" w:cs="Arial"/>
                <w:sz w:val="18"/>
                <w:szCs w:val="18"/>
              </w:rPr>
            </w:pPr>
            <w:r w:rsidRPr="0046235F">
              <w:rPr>
                <w:rFonts w:ascii="Arial" w:hAnsi="Arial" w:cs="Arial"/>
                <w:b/>
                <w:bCs/>
                <w:sz w:val="18"/>
                <w:szCs w:val="18"/>
              </w:rPr>
              <w:t>Age</w:t>
            </w:r>
            <w:r w:rsidRPr="0046235F">
              <w:rPr>
                <w:rFonts w:ascii="Arial" w:hAnsi="Arial" w:cs="Arial"/>
                <w:sz w:val="18"/>
                <w:szCs w:val="18"/>
              </w:rPr>
              <w:t xml:space="preserve"> (mean)</w:t>
            </w:r>
          </w:p>
        </w:tc>
      </w:tr>
      <w:tr w:rsidRPr="0046235F" w:rsidR="00287221" w:rsidTr="00287084" w14:paraId="00222C1B" w14:textId="77777777">
        <w:trPr>
          <w:trHeight w:val="144"/>
        </w:trPr>
        <w:tc>
          <w:tcPr>
            <w:tcW w:w="4045" w:type="dxa"/>
          </w:tcPr>
          <w:p w:rsidRPr="0046235F" w:rsidR="00287221" w:rsidP="00287084" w:rsidRDefault="00287221" w14:paraId="5D3DE3ED" w14:textId="77777777">
            <w:pPr>
              <w:keepNext/>
              <w:autoSpaceDE w:val="0"/>
              <w:autoSpaceDN w:val="0"/>
              <w:adjustRightInd w:val="0"/>
              <w:ind w:left="155"/>
              <w:rPr>
                <w:rFonts w:ascii="Arial" w:hAnsi="Arial" w:cs="Arial"/>
                <w:sz w:val="18"/>
                <w:szCs w:val="18"/>
              </w:rPr>
            </w:pPr>
            <w:r w:rsidRPr="0046235F">
              <w:rPr>
                <w:rFonts w:ascii="Arial" w:hAnsi="Arial" w:cs="Arial"/>
                <w:sz w:val="18"/>
                <w:szCs w:val="18"/>
              </w:rPr>
              <w:t>Respondents</w:t>
            </w:r>
          </w:p>
        </w:tc>
        <w:tc>
          <w:tcPr>
            <w:tcW w:w="2882" w:type="dxa"/>
          </w:tcPr>
          <w:p w:rsidRPr="0046235F" w:rsidR="00287221" w:rsidP="00287084" w:rsidRDefault="00287221" w14:paraId="2A5DE379"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21.6</w:t>
            </w:r>
          </w:p>
        </w:tc>
        <w:tc>
          <w:tcPr>
            <w:tcW w:w="2883" w:type="dxa"/>
          </w:tcPr>
          <w:p w:rsidRPr="0046235F" w:rsidR="00287221" w:rsidP="00287084" w:rsidRDefault="00287221" w14:paraId="6EEC73C5"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21.5</w:t>
            </w:r>
          </w:p>
        </w:tc>
      </w:tr>
      <w:tr w:rsidRPr="0046235F" w:rsidR="00287221" w:rsidTr="00287084" w14:paraId="37DDA905" w14:textId="77777777">
        <w:trPr>
          <w:trHeight w:val="144"/>
        </w:trPr>
        <w:tc>
          <w:tcPr>
            <w:tcW w:w="4045" w:type="dxa"/>
          </w:tcPr>
          <w:p w:rsidRPr="0046235F" w:rsidR="00287221" w:rsidP="00287084" w:rsidRDefault="00287221" w14:paraId="3A02ABB3" w14:textId="77777777">
            <w:pPr>
              <w:keepNext/>
              <w:autoSpaceDE w:val="0"/>
              <w:autoSpaceDN w:val="0"/>
              <w:adjustRightInd w:val="0"/>
              <w:ind w:left="155"/>
              <w:rPr>
                <w:rFonts w:ascii="Arial" w:hAnsi="Arial" w:cs="Arial"/>
                <w:sz w:val="18"/>
                <w:szCs w:val="18"/>
              </w:rPr>
            </w:pPr>
            <w:r w:rsidRPr="0046235F">
              <w:rPr>
                <w:rFonts w:ascii="Arial" w:hAnsi="Arial" w:cs="Arial"/>
                <w:sz w:val="18"/>
                <w:szCs w:val="18"/>
              </w:rPr>
              <w:t>Nonrespondents</w:t>
            </w:r>
          </w:p>
        </w:tc>
        <w:tc>
          <w:tcPr>
            <w:tcW w:w="2882" w:type="dxa"/>
          </w:tcPr>
          <w:p w:rsidRPr="0046235F" w:rsidR="00287221" w:rsidP="00287084" w:rsidRDefault="00287221" w14:paraId="1381CC18"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23.4</w:t>
            </w:r>
          </w:p>
        </w:tc>
        <w:tc>
          <w:tcPr>
            <w:tcW w:w="2883" w:type="dxa"/>
          </w:tcPr>
          <w:p w:rsidRPr="0046235F" w:rsidR="00287221" w:rsidP="00287084" w:rsidRDefault="00287221" w14:paraId="757F8351"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23.6</w:t>
            </w:r>
          </w:p>
        </w:tc>
      </w:tr>
      <w:tr w:rsidRPr="0046235F" w:rsidR="00287221" w:rsidTr="00287084" w14:paraId="196ABF6E" w14:textId="77777777">
        <w:trPr>
          <w:trHeight w:val="144"/>
        </w:trPr>
        <w:tc>
          <w:tcPr>
            <w:tcW w:w="4045" w:type="dxa"/>
          </w:tcPr>
          <w:p w:rsidRPr="0046235F" w:rsidR="00287221" w:rsidP="00287084" w:rsidRDefault="00287221" w14:paraId="4DAA028D" w14:textId="77777777">
            <w:pPr>
              <w:keepNext/>
              <w:autoSpaceDE w:val="0"/>
              <w:autoSpaceDN w:val="0"/>
              <w:adjustRightInd w:val="0"/>
              <w:ind w:left="158"/>
              <w:rPr>
                <w:rFonts w:ascii="Arial" w:hAnsi="Arial" w:cs="Arial"/>
                <w:sz w:val="18"/>
                <w:szCs w:val="18"/>
              </w:rPr>
            </w:pPr>
            <w:r w:rsidRPr="0046235F">
              <w:rPr>
                <w:rFonts w:ascii="Arial" w:hAnsi="Arial" w:cs="Arial"/>
                <w:sz w:val="18"/>
                <w:szCs w:val="18"/>
              </w:rPr>
              <w:t>Respondents – Nonrespondents</w:t>
            </w:r>
          </w:p>
        </w:tc>
        <w:tc>
          <w:tcPr>
            <w:tcW w:w="2882" w:type="dxa"/>
          </w:tcPr>
          <w:p w:rsidRPr="0046235F" w:rsidR="00287221" w:rsidP="00287084" w:rsidRDefault="00287221" w14:paraId="0E30BDFB"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-1.8***</w:t>
            </w:r>
          </w:p>
        </w:tc>
        <w:tc>
          <w:tcPr>
            <w:tcW w:w="2883" w:type="dxa"/>
          </w:tcPr>
          <w:p w:rsidRPr="0046235F" w:rsidR="00287221" w:rsidP="00287084" w:rsidRDefault="00287221" w14:paraId="7EF50917"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-2.1***</w:t>
            </w:r>
          </w:p>
        </w:tc>
      </w:tr>
      <w:tr w:rsidRPr="0046235F" w:rsidR="00287221" w:rsidTr="00287084" w14:paraId="29A70931" w14:textId="77777777">
        <w:trPr>
          <w:trHeight w:val="144"/>
        </w:trPr>
        <w:tc>
          <w:tcPr>
            <w:tcW w:w="4045" w:type="dxa"/>
          </w:tcPr>
          <w:p w:rsidRPr="0046235F" w:rsidR="00287221" w:rsidP="00287084" w:rsidRDefault="00287221" w14:paraId="2F3E8D0B" w14:textId="77777777">
            <w:pPr>
              <w:keepNext/>
              <w:autoSpaceDE w:val="0"/>
              <w:autoSpaceDN w:val="0"/>
              <w:adjustRightInd w:val="0"/>
              <w:ind w:left="155"/>
              <w:rPr>
                <w:rFonts w:ascii="Arial" w:hAnsi="Arial" w:cs="Arial"/>
                <w:sz w:val="18"/>
                <w:szCs w:val="18"/>
              </w:rPr>
            </w:pPr>
            <w:r w:rsidRPr="0046235F">
              <w:rPr>
                <w:rFonts w:ascii="Arial" w:hAnsi="Arial" w:cs="Arial"/>
                <w:sz w:val="18"/>
                <w:szCs w:val="18"/>
              </w:rPr>
              <w:t>Overall Sample (</w:t>
            </w:r>
            <w:r w:rsidRPr="0046235F">
              <w:rPr>
                <w:rFonts w:ascii="Arial" w:hAnsi="Arial" w:cs="Arial"/>
                <w:i/>
                <w:iCs/>
                <w:sz w:val="18"/>
                <w:szCs w:val="18"/>
              </w:rPr>
              <w:t>n</w:t>
            </w:r>
            <w:r w:rsidRPr="0046235F">
              <w:rPr>
                <w:rFonts w:ascii="Arial" w:hAnsi="Arial" w:cs="Arial"/>
                <w:sz w:val="18"/>
                <w:szCs w:val="18"/>
              </w:rPr>
              <w:t xml:space="preserve"> = 3,510)</w:t>
            </w:r>
            <w:r w:rsidRPr="0046235F">
              <w:rPr>
                <w:rFonts w:ascii="Arial" w:hAnsi="Arial" w:cs="Arial"/>
                <w:sz w:val="18"/>
                <w:szCs w:val="18"/>
                <w:vertAlign w:val="superscript"/>
              </w:rPr>
              <w:t>1</w:t>
            </w:r>
          </w:p>
        </w:tc>
        <w:tc>
          <w:tcPr>
            <w:tcW w:w="2882" w:type="dxa"/>
          </w:tcPr>
          <w:p w:rsidRPr="0046235F" w:rsidR="00287221" w:rsidP="00287084" w:rsidRDefault="00287221" w14:paraId="0DB5ADAD"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22.3</w:t>
            </w:r>
          </w:p>
        </w:tc>
        <w:tc>
          <w:tcPr>
            <w:tcW w:w="2883" w:type="dxa"/>
          </w:tcPr>
          <w:p w:rsidRPr="0046235F" w:rsidR="00287221" w:rsidP="00287084" w:rsidRDefault="00287221" w14:paraId="0DD46EB0"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22.2</w:t>
            </w:r>
          </w:p>
        </w:tc>
      </w:tr>
      <w:tr w:rsidRPr="0046235F" w:rsidR="00287221" w:rsidTr="00287084" w14:paraId="2930F56E" w14:textId="77777777">
        <w:tblPrEx>
          <w:tblCellMar>
            <w:left w:w="108" w:type="dxa"/>
            <w:right w:w="108" w:type="dxa"/>
          </w:tblCellMar>
        </w:tblPrEx>
        <w:trPr>
          <w:trHeight w:val="144"/>
        </w:trPr>
        <w:tc>
          <w:tcPr>
            <w:tcW w:w="9810" w:type="dxa"/>
            <w:gridSpan w:val="3"/>
          </w:tcPr>
          <w:p w:rsidRPr="0046235F" w:rsidR="00287221" w:rsidP="00287084" w:rsidRDefault="00287221" w14:paraId="08185992" w14:textId="77777777">
            <w:pPr>
              <w:keepNext/>
              <w:tabs>
                <w:tab w:val="decimal" w:pos="609"/>
              </w:tabs>
              <w:autoSpaceDE w:val="0"/>
              <w:autoSpaceDN w:val="0"/>
              <w:adjustRightInd w:val="0"/>
              <w:rPr>
                <w:rFonts w:ascii="Arial" w:hAnsi="Arial" w:cs="Arial"/>
                <w:sz w:val="18"/>
                <w:szCs w:val="18"/>
              </w:rPr>
            </w:pPr>
            <w:r w:rsidRPr="0046235F">
              <w:rPr>
                <w:rFonts w:ascii="Arial" w:hAnsi="Arial" w:cs="Arial"/>
                <w:b/>
                <w:bCs/>
                <w:sz w:val="18"/>
                <w:szCs w:val="18"/>
              </w:rPr>
              <w:t>Female</w:t>
            </w:r>
            <w:r w:rsidRPr="0046235F">
              <w:rPr>
                <w:rFonts w:ascii="Arial" w:hAnsi="Arial" w:cs="Arial"/>
                <w:sz w:val="18"/>
                <w:szCs w:val="18"/>
              </w:rPr>
              <w:t xml:space="preserve"> (in percent)</w:t>
            </w:r>
          </w:p>
        </w:tc>
      </w:tr>
      <w:tr w:rsidRPr="0046235F" w:rsidR="00287221" w:rsidTr="00287084" w14:paraId="5F9CD322" w14:textId="77777777">
        <w:tblPrEx>
          <w:tblCellMar>
            <w:left w:w="108" w:type="dxa"/>
            <w:right w:w="108" w:type="dxa"/>
          </w:tblCellMar>
        </w:tblPrEx>
        <w:trPr>
          <w:trHeight w:val="144"/>
        </w:trPr>
        <w:tc>
          <w:tcPr>
            <w:tcW w:w="4045" w:type="dxa"/>
          </w:tcPr>
          <w:p w:rsidRPr="0046235F" w:rsidR="00287221" w:rsidP="00287084" w:rsidRDefault="00287221" w14:paraId="56444A10" w14:textId="77777777">
            <w:pPr>
              <w:keepNext/>
              <w:autoSpaceDE w:val="0"/>
              <w:autoSpaceDN w:val="0"/>
              <w:adjustRightInd w:val="0"/>
              <w:ind w:left="155"/>
              <w:rPr>
                <w:rFonts w:ascii="Arial" w:hAnsi="Arial" w:cs="Arial"/>
                <w:sz w:val="18"/>
                <w:szCs w:val="18"/>
              </w:rPr>
            </w:pPr>
            <w:r w:rsidRPr="0046235F">
              <w:rPr>
                <w:rFonts w:ascii="Arial" w:hAnsi="Arial" w:cs="Arial"/>
                <w:sz w:val="18"/>
                <w:szCs w:val="18"/>
              </w:rPr>
              <w:t>Respondents</w:t>
            </w:r>
          </w:p>
        </w:tc>
        <w:tc>
          <w:tcPr>
            <w:tcW w:w="2882" w:type="dxa"/>
          </w:tcPr>
          <w:p w:rsidRPr="0046235F" w:rsidR="00287221" w:rsidP="00287084" w:rsidRDefault="00287221" w14:paraId="14DA1E22"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58.0</w:t>
            </w:r>
          </w:p>
        </w:tc>
        <w:tc>
          <w:tcPr>
            <w:tcW w:w="2883" w:type="dxa"/>
          </w:tcPr>
          <w:p w:rsidRPr="0046235F" w:rsidR="00287221" w:rsidP="00287084" w:rsidRDefault="00287221" w14:paraId="0EC2BB6C"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57.4</w:t>
            </w:r>
          </w:p>
        </w:tc>
      </w:tr>
      <w:tr w:rsidRPr="0046235F" w:rsidR="00287221" w:rsidTr="00287084" w14:paraId="676BBA4B" w14:textId="77777777">
        <w:tblPrEx>
          <w:tblCellMar>
            <w:left w:w="108" w:type="dxa"/>
            <w:right w:w="108" w:type="dxa"/>
          </w:tblCellMar>
        </w:tblPrEx>
        <w:trPr>
          <w:trHeight w:val="144"/>
        </w:trPr>
        <w:tc>
          <w:tcPr>
            <w:tcW w:w="4045" w:type="dxa"/>
          </w:tcPr>
          <w:p w:rsidRPr="0046235F" w:rsidR="00287221" w:rsidP="00287084" w:rsidRDefault="00287221" w14:paraId="1E5CA256" w14:textId="77777777">
            <w:pPr>
              <w:keepNext/>
              <w:autoSpaceDE w:val="0"/>
              <w:autoSpaceDN w:val="0"/>
              <w:adjustRightInd w:val="0"/>
              <w:ind w:left="155"/>
              <w:rPr>
                <w:rFonts w:ascii="Arial" w:hAnsi="Arial" w:cs="Arial"/>
                <w:sz w:val="18"/>
                <w:szCs w:val="18"/>
              </w:rPr>
            </w:pPr>
            <w:r w:rsidRPr="0046235F">
              <w:rPr>
                <w:rFonts w:ascii="Arial" w:hAnsi="Arial" w:cs="Arial"/>
                <w:sz w:val="18"/>
                <w:szCs w:val="18"/>
              </w:rPr>
              <w:t>Nonrespondents</w:t>
            </w:r>
          </w:p>
        </w:tc>
        <w:tc>
          <w:tcPr>
            <w:tcW w:w="2882" w:type="dxa"/>
          </w:tcPr>
          <w:p w:rsidRPr="0046235F" w:rsidR="00287221" w:rsidP="00287084" w:rsidRDefault="00287221" w14:paraId="62CC6EB1"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56.1</w:t>
            </w:r>
          </w:p>
        </w:tc>
        <w:tc>
          <w:tcPr>
            <w:tcW w:w="2883" w:type="dxa"/>
          </w:tcPr>
          <w:p w:rsidRPr="0046235F" w:rsidR="00287221" w:rsidP="00287084" w:rsidRDefault="00287221" w14:paraId="57BF7802"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56.0</w:t>
            </w:r>
          </w:p>
        </w:tc>
      </w:tr>
      <w:tr w:rsidRPr="0046235F" w:rsidR="00287221" w:rsidTr="00287084" w14:paraId="21C7460C" w14:textId="77777777">
        <w:tblPrEx>
          <w:tblCellMar>
            <w:left w:w="108" w:type="dxa"/>
            <w:right w:w="108" w:type="dxa"/>
          </w:tblCellMar>
        </w:tblPrEx>
        <w:trPr>
          <w:trHeight w:val="144"/>
        </w:trPr>
        <w:tc>
          <w:tcPr>
            <w:tcW w:w="4045" w:type="dxa"/>
          </w:tcPr>
          <w:p w:rsidRPr="0046235F" w:rsidR="00287221" w:rsidP="00287084" w:rsidRDefault="00287221" w14:paraId="2AD6B9B9" w14:textId="77777777">
            <w:pPr>
              <w:keepNext/>
              <w:autoSpaceDE w:val="0"/>
              <w:autoSpaceDN w:val="0"/>
              <w:adjustRightInd w:val="0"/>
              <w:ind w:left="155"/>
              <w:rPr>
                <w:rFonts w:ascii="Arial" w:hAnsi="Arial" w:cs="Arial"/>
                <w:sz w:val="18"/>
                <w:szCs w:val="18"/>
              </w:rPr>
            </w:pPr>
            <w:r w:rsidRPr="0046235F">
              <w:rPr>
                <w:rFonts w:ascii="Arial" w:hAnsi="Arial" w:cs="Arial"/>
                <w:sz w:val="18"/>
                <w:szCs w:val="18"/>
              </w:rPr>
              <w:t>Respondents – Nonrespondents</w:t>
            </w:r>
          </w:p>
        </w:tc>
        <w:tc>
          <w:tcPr>
            <w:tcW w:w="2882" w:type="dxa"/>
          </w:tcPr>
          <w:p w:rsidRPr="0046235F" w:rsidR="00287221" w:rsidP="00287084" w:rsidRDefault="00287221" w14:paraId="0A9FA5F5"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1.9</w:t>
            </w:r>
          </w:p>
        </w:tc>
        <w:tc>
          <w:tcPr>
            <w:tcW w:w="2883" w:type="dxa"/>
          </w:tcPr>
          <w:p w:rsidRPr="0046235F" w:rsidR="00287221" w:rsidP="00287084" w:rsidRDefault="00287221" w14:paraId="29AE60E0"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1.4</w:t>
            </w:r>
          </w:p>
        </w:tc>
      </w:tr>
      <w:tr w:rsidRPr="0046235F" w:rsidR="00287221" w:rsidTr="00287084" w14:paraId="4451CB37" w14:textId="77777777">
        <w:tblPrEx>
          <w:tblCellMar>
            <w:left w:w="108" w:type="dxa"/>
            <w:right w:w="108" w:type="dxa"/>
          </w:tblCellMar>
        </w:tblPrEx>
        <w:trPr>
          <w:trHeight w:val="144"/>
        </w:trPr>
        <w:tc>
          <w:tcPr>
            <w:tcW w:w="4045" w:type="dxa"/>
          </w:tcPr>
          <w:p w:rsidRPr="0046235F" w:rsidR="00287221" w:rsidP="00287084" w:rsidRDefault="00287221" w14:paraId="74D6F793" w14:textId="77777777">
            <w:pPr>
              <w:keepNext/>
              <w:autoSpaceDE w:val="0"/>
              <w:autoSpaceDN w:val="0"/>
              <w:adjustRightInd w:val="0"/>
              <w:ind w:left="155"/>
              <w:rPr>
                <w:rFonts w:ascii="Arial" w:hAnsi="Arial" w:cs="Arial"/>
                <w:sz w:val="18"/>
                <w:szCs w:val="18"/>
              </w:rPr>
            </w:pPr>
            <w:r w:rsidRPr="0046235F">
              <w:rPr>
                <w:rFonts w:ascii="Arial" w:hAnsi="Arial" w:cs="Arial"/>
                <w:sz w:val="18"/>
                <w:szCs w:val="18"/>
              </w:rPr>
              <w:t>Overall Sample (n = 3,360)</w:t>
            </w:r>
            <w:r w:rsidRPr="0046235F">
              <w:rPr>
                <w:rFonts w:ascii="Arial" w:hAnsi="Arial" w:cs="Arial"/>
                <w:sz w:val="18"/>
                <w:szCs w:val="18"/>
                <w:vertAlign w:val="superscript"/>
              </w:rPr>
              <w:t>1</w:t>
            </w:r>
          </w:p>
        </w:tc>
        <w:tc>
          <w:tcPr>
            <w:tcW w:w="2882" w:type="dxa"/>
          </w:tcPr>
          <w:p w:rsidRPr="0046235F" w:rsidR="00287221" w:rsidP="00287084" w:rsidRDefault="00287221" w14:paraId="75E4AB99"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57.3</w:t>
            </w:r>
          </w:p>
        </w:tc>
        <w:tc>
          <w:tcPr>
            <w:tcW w:w="2883" w:type="dxa"/>
          </w:tcPr>
          <w:p w:rsidRPr="0046235F" w:rsidR="00287221" w:rsidP="00287084" w:rsidRDefault="00287221" w14:paraId="60980DAF"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56.9</w:t>
            </w:r>
          </w:p>
        </w:tc>
      </w:tr>
      <w:tr w:rsidRPr="0046235F" w:rsidR="00287221" w:rsidTr="00287084" w14:paraId="0EA7AFDA" w14:textId="77777777">
        <w:tblPrEx>
          <w:tblCellMar>
            <w:left w:w="108" w:type="dxa"/>
            <w:right w:w="108" w:type="dxa"/>
          </w:tblCellMar>
        </w:tblPrEx>
        <w:trPr>
          <w:trHeight w:val="144"/>
        </w:trPr>
        <w:tc>
          <w:tcPr>
            <w:tcW w:w="9810" w:type="dxa"/>
            <w:gridSpan w:val="3"/>
          </w:tcPr>
          <w:p w:rsidRPr="0046235F" w:rsidR="00287221" w:rsidP="00287084" w:rsidRDefault="00287221" w14:paraId="10EDD241" w14:textId="77777777">
            <w:pPr>
              <w:keepNext/>
              <w:autoSpaceDE w:val="0"/>
              <w:autoSpaceDN w:val="0"/>
              <w:adjustRightInd w:val="0"/>
              <w:rPr>
                <w:rFonts w:ascii="Arial" w:hAnsi="Arial" w:cs="Arial"/>
                <w:sz w:val="18"/>
                <w:szCs w:val="18"/>
              </w:rPr>
            </w:pPr>
            <w:r w:rsidRPr="0046235F">
              <w:rPr>
                <w:rFonts w:ascii="Arial" w:hAnsi="Arial" w:cs="Arial"/>
                <w:b/>
                <w:bCs/>
                <w:sz w:val="18"/>
                <w:szCs w:val="18"/>
              </w:rPr>
              <w:t>White</w:t>
            </w:r>
            <w:r w:rsidRPr="00E73AF7">
              <w:rPr>
                <w:rFonts w:ascii="Arial" w:hAnsi="Arial" w:cs="Arial"/>
                <w:sz w:val="18"/>
                <w:szCs w:val="18"/>
                <w:vertAlign w:val="superscript"/>
              </w:rPr>
              <w:t>2</w:t>
            </w:r>
            <w:r w:rsidRPr="0046235F">
              <w:rPr>
                <w:rFonts w:ascii="Arial" w:hAnsi="Arial" w:cs="Arial"/>
                <w:sz w:val="18"/>
                <w:szCs w:val="18"/>
              </w:rPr>
              <w:t xml:space="preserve"> (in percent)</w:t>
            </w:r>
          </w:p>
        </w:tc>
      </w:tr>
      <w:tr w:rsidRPr="0046235F" w:rsidR="00287221" w:rsidTr="00287084" w14:paraId="47AC1C20" w14:textId="77777777">
        <w:tblPrEx>
          <w:tblCellMar>
            <w:left w:w="108" w:type="dxa"/>
            <w:right w:w="108" w:type="dxa"/>
          </w:tblCellMar>
        </w:tblPrEx>
        <w:trPr>
          <w:trHeight w:val="144"/>
        </w:trPr>
        <w:tc>
          <w:tcPr>
            <w:tcW w:w="4045" w:type="dxa"/>
          </w:tcPr>
          <w:p w:rsidRPr="0046235F" w:rsidR="00287221" w:rsidP="00287084" w:rsidRDefault="00287221" w14:paraId="5212066D" w14:textId="77777777">
            <w:pPr>
              <w:keepNext/>
              <w:autoSpaceDE w:val="0"/>
              <w:autoSpaceDN w:val="0"/>
              <w:adjustRightInd w:val="0"/>
              <w:ind w:left="155"/>
              <w:rPr>
                <w:rFonts w:ascii="Arial" w:hAnsi="Arial" w:cs="Arial"/>
                <w:sz w:val="18"/>
                <w:szCs w:val="18"/>
              </w:rPr>
            </w:pPr>
            <w:r w:rsidRPr="0046235F">
              <w:rPr>
                <w:rFonts w:ascii="Arial" w:hAnsi="Arial" w:cs="Arial"/>
                <w:sz w:val="18"/>
                <w:szCs w:val="18"/>
              </w:rPr>
              <w:t>Respondents</w:t>
            </w:r>
          </w:p>
        </w:tc>
        <w:tc>
          <w:tcPr>
            <w:tcW w:w="2882" w:type="dxa"/>
          </w:tcPr>
          <w:p w:rsidRPr="0046235F" w:rsidR="00287221" w:rsidP="00287084" w:rsidRDefault="00287221" w14:paraId="188D6156"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70.2</w:t>
            </w:r>
          </w:p>
        </w:tc>
        <w:tc>
          <w:tcPr>
            <w:tcW w:w="2883" w:type="dxa"/>
          </w:tcPr>
          <w:p w:rsidRPr="0046235F" w:rsidR="00287221" w:rsidP="00287084" w:rsidRDefault="00287221" w14:paraId="02DBDCA3"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71.2</w:t>
            </w:r>
          </w:p>
        </w:tc>
      </w:tr>
      <w:tr w:rsidRPr="0046235F" w:rsidR="00287221" w:rsidTr="00287084" w14:paraId="77642CA5" w14:textId="77777777">
        <w:tblPrEx>
          <w:tblCellMar>
            <w:left w:w="108" w:type="dxa"/>
            <w:right w:w="108" w:type="dxa"/>
          </w:tblCellMar>
        </w:tblPrEx>
        <w:trPr>
          <w:trHeight w:val="144"/>
        </w:trPr>
        <w:tc>
          <w:tcPr>
            <w:tcW w:w="4045" w:type="dxa"/>
          </w:tcPr>
          <w:p w:rsidRPr="0046235F" w:rsidR="00287221" w:rsidP="00287084" w:rsidRDefault="00287221" w14:paraId="30BFD956" w14:textId="77777777">
            <w:pPr>
              <w:keepNext/>
              <w:autoSpaceDE w:val="0"/>
              <w:autoSpaceDN w:val="0"/>
              <w:adjustRightInd w:val="0"/>
              <w:ind w:left="155"/>
              <w:rPr>
                <w:rFonts w:ascii="Arial" w:hAnsi="Arial" w:cs="Arial"/>
                <w:sz w:val="18"/>
                <w:szCs w:val="18"/>
              </w:rPr>
            </w:pPr>
            <w:r w:rsidRPr="0046235F">
              <w:rPr>
                <w:rFonts w:ascii="Arial" w:hAnsi="Arial" w:cs="Arial"/>
                <w:sz w:val="18"/>
                <w:szCs w:val="18"/>
              </w:rPr>
              <w:t>Nonrespondents</w:t>
            </w:r>
          </w:p>
        </w:tc>
        <w:tc>
          <w:tcPr>
            <w:tcW w:w="2882" w:type="dxa"/>
          </w:tcPr>
          <w:p w:rsidRPr="0046235F" w:rsidR="00287221" w:rsidP="00287084" w:rsidRDefault="00287221" w14:paraId="4B017D53"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62.3</w:t>
            </w:r>
          </w:p>
        </w:tc>
        <w:tc>
          <w:tcPr>
            <w:tcW w:w="2883" w:type="dxa"/>
          </w:tcPr>
          <w:p w:rsidRPr="0046235F" w:rsidR="00287221" w:rsidP="00287084" w:rsidRDefault="00287221" w14:paraId="1331C521"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65.6</w:t>
            </w:r>
          </w:p>
        </w:tc>
      </w:tr>
      <w:tr w:rsidRPr="0046235F" w:rsidR="00287221" w:rsidTr="00287084" w14:paraId="2766DB67" w14:textId="77777777">
        <w:tblPrEx>
          <w:tblCellMar>
            <w:left w:w="108" w:type="dxa"/>
            <w:right w:w="108" w:type="dxa"/>
          </w:tblCellMar>
        </w:tblPrEx>
        <w:trPr>
          <w:trHeight w:val="144"/>
        </w:trPr>
        <w:tc>
          <w:tcPr>
            <w:tcW w:w="4045" w:type="dxa"/>
          </w:tcPr>
          <w:p w:rsidRPr="0046235F" w:rsidR="00287221" w:rsidP="00287084" w:rsidRDefault="00287221" w14:paraId="5911B5D8" w14:textId="77777777">
            <w:pPr>
              <w:keepNext/>
              <w:autoSpaceDE w:val="0"/>
              <w:autoSpaceDN w:val="0"/>
              <w:adjustRightInd w:val="0"/>
              <w:ind w:left="155"/>
              <w:rPr>
                <w:rFonts w:ascii="Arial" w:hAnsi="Arial" w:cs="Arial"/>
                <w:sz w:val="18"/>
                <w:szCs w:val="18"/>
              </w:rPr>
            </w:pPr>
            <w:r w:rsidRPr="0046235F">
              <w:rPr>
                <w:rFonts w:ascii="Arial" w:hAnsi="Arial" w:cs="Arial"/>
                <w:sz w:val="18"/>
                <w:szCs w:val="18"/>
              </w:rPr>
              <w:t>Respondents – Nonrespondents</w:t>
            </w:r>
          </w:p>
        </w:tc>
        <w:tc>
          <w:tcPr>
            <w:tcW w:w="2882" w:type="dxa"/>
          </w:tcPr>
          <w:p w:rsidRPr="0046235F" w:rsidR="00287221" w:rsidP="00287084" w:rsidRDefault="00287221" w14:paraId="1779FBB5"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7.9**</w:t>
            </w:r>
          </w:p>
        </w:tc>
        <w:tc>
          <w:tcPr>
            <w:tcW w:w="2883" w:type="dxa"/>
          </w:tcPr>
          <w:p w:rsidRPr="0046235F" w:rsidR="00287221" w:rsidP="00287084" w:rsidRDefault="00287221" w14:paraId="3DBA193C"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5.6*</w:t>
            </w:r>
          </w:p>
        </w:tc>
      </w:tr>
      <w:tr w:rsidRPr="0046235F" w:rsidR="00287221" w:rsidTr="00287084" w14:paraId="6DEF960D" w14:textId="77777777">
        <w:tblPrEx>
          <w:tblCellMar>
            <w:left w:w="108" w:type="dxa"/>
            <w:right w:w="108" w:type="dxa"/>
          </w:tblCellMar>
        </w:tblPrEx>
        <w:trPr>
          <w:trHeight w:val="144"/>
        </w:trPr>
        <w:tc>
          <w:tcPr>
            <w:tcW w:w="4045" w:type="dxa"/>
          </w:tcPr>
          <w:p w:rsidRPr="0046235F" w:rsidR="00287221" w:rsidP="00287084" w:rsidRDefault="00287221" w14:paraId="2FFBD8A2" w14:textId="77777777">
            <w:pPr>
              <w:keepNext/>
              <w:autoSpaceDE w:val="0"/>
              <w:autoSpaceDN w:val="0"/>
              <w:adjustRightInd w:val="0"/>
              <w:ind w:left="155"/>
              <w:rPr>
                <w:rFonts w:ascii="Arial" w:hAnsi="Arial" w:cs="Arial"/>
                <w:sz w:val="18"/>
                <w:szCs w:val="18"/>
              </w:rPr>
            </w:pPr>
            <w:r w:rsidRPr="0046235F">
              <w:rPr>
                <w:rFonts w:ascii="Arial" w:hAnsi="Arial" w:cs="Arial"/>
                <w:sz w:val="18"/>
                <w:szCs w:val="18"/>
              </w:rPr>
              <w:t>Overall Sample (n = 3,180)</w:t>
            </w:r>
            <w:r w:rsidRPr="0046235F">
              <w:rPr>
                <w:rFonts w:ascii="Arial" w:hAnsi="Arial" w:cs="Arial"/>
                <w:sz w:val="18"/>
                <w:szCs w:val="18"/>
                <w:vertAlign w:val="superscript"/>
              </w:rPr>
              <w:t>1</w:t>
            </w:r>
          </w:p>
        </w:tc>
        <w:tc>
          <w:tcPr>
            <w:tcW w:w="2882" w:type="dxa"/>
          </w:tcPr>
          <w:p w:rsidRPr="0046235F" w:rsidR="00287221" w:rsidP="00287084" w:rsidRDefault="00287221" w14:paraId="6BB28D00"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67.6</w:t>
            </w:r>
          </w:p>
        </w:tc>
        <w:tc>
          <w:tcPr>
            <w:tcW w:w="2883" w:type="dxa"/>
          </w:tcPr>
          <w:p w:rsidRPr="0046235F" w:rsidR="00287221" w:rsidP="00287084" w:rsidRDefault="00287221" w14:paraId="3BD82426"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69.4</w:t>
            </w:r>
          </w:p>
        </w:tc>
      </w:tr>
      <w:tr w:rsidRPr="0046235F" w:rsidR="00287221" w:rsidTr="00287084" w14:paraId="5B70E79C" w14:textId="77777777">
        <w:tblPrEx>
          <w:tblCellMar>
            <w:left w:w="108" w:type="dxa"/>
            <w:right w:w="108" w:type="dxa"/>
          </w:tblCellMar>
        </w:tblPrEx>
        <w:trPr>
          <w:trHeight w:val="144"/>
        </w:trPr>
        <w:tc>
          <w:tcPr>
            <w:tcW w:w="9810" w:type="dxa"/>
            <w:gridSpan w:val="3"/>
          </w:tcPr>
          <w:p w:rsidRPr="005F78CC" w:rsidR="00287221" w:rsidP="00287084" w:rsidRDefault="00287221" w14:paraId="1B5C5F2B" w14:textId="77777777">
            <w:pPr>
              <w:keepNext/>
              <w:autoSpaceDE w:val="0"/>
              <w:autoSpaceDN w:val="0"/>
              <w:adjustRightInd w:val="0"/>
              <w:rPr>
                <w:rFonts w:ascii="Arial" w:hAnsi="Arial" w:cs="Arial"/>
                <w:b/>
                <w:bCs/>
                <w:sz w:val="18"/>
                <w:szCs w:val="18"/>
              </w:rPr>
            </w:pPr>
            <w:r w:rsidRPr="005F78CC">
              <w:rPr>
                <w:rFonts w:ascii="Arial" w:hAnsi="Arial" w:cs="Arial"/>
                <w:b/>
                <w:bCs/>
                <w:sz w:val="18"/>
                <w:szCs w:val="18"/>
              </w:rPr>
              <w:t xml:space="preserve">Hispanic or </w:t>
            </w:r>
          </w:p>
          <w:p w:rsidRPr="0046235F" w:rsidR="00287221" w:rsidP="00287084" w:rsidRDefault="00287221" w14:paraId="41BBC492" w14:textId="77777777">
            <w:pPr>
              <w:keepNext/>
              <w:tabs>
                <w:tab w:val="decimal" w:pos="609"/>
              </w:tabs>
              <w:autoSpaceDE w:val="0"/>
              <w:autoSpaceDN w:val="0"/>
              <w:adjustRightInd w:val="0"/>
              <w:rPr>
                <w:rFonts w:ascii="Arial" w:hAnsi="Arial" w:cs="Arial"/>
                <w:sz w:val="18"/>
                <w:szCs w:val="18"/>
              </w:rPr>
            </w:pPr>
            <w:r w:rsidRPr="005F78CC">
              <w:rPr>
                <w:rFonts w:ascii="Arial" w:hAnsi="Arial" w:cs="Arial"/>
                <w:b/>
                <w:bCs/>
                <w:sz w:val="18"/>
                <w:szCs w:val="18"/>
              </w:rPr>
              <w:t>Latino</w:t>
            </w:r>
            <w:r w:rsidRPr="0046235F" w:rsidDel="005F78CC">
              <w:rPr>
                <w:rFonts w:ascii="Arial" w:hAnsi="Arial" w:cs="Arial"/>
                <w:b/>
                <w:bCs/>
                <w:sz w:val="18"/>
                <w:szCs w:val="18"/>
              </w:rPr>
              <w:t xml:space="preserve"> </w:t>
            </w:r>
            <w:r w:rsidRPr="0046235F">
              <w:rPr>
                <w:rFonts w:ascii="Arial" w:hAnsi="Arial" w:cs="Arial"/>
                <w:sz w:val="18"/>
                <w:szCs w:val="18"/>
              </w:rPr>
              <w:t>(in percent)</w:t>
            </w:r>
          </w:p>
        </w:tc>
      </w:tr>
      <w:tr w:rsidRPr="0046235F" w:rsidR="00287221" w:rsidTr="00287084" w14:paraId="19524099" w14:textId="77777777">
        <w:tblPrEx>
          <w:tblCellMar>
            <w:left w:w="108" w:type="dxa"/>
            <w:right w:w="108" w:type="dxa"/>
          </w:tblCellMar>
        </w:tblPrEx>
        <w:trPr>
          <w:trHeight w:val="144"/>
        </w:trPr>
        <w:tc>
          <w:tcPr>
            <w:tcW w:w="4045" w:type="dxa"/>
          </w:tcPr>
          <w:p w:rsidRPr="0046235F" w:rsidR="00287221" w:rsidP="00287084" w:rsidRDefault="00287221" w14:paraId="15722BF5" w14:textId="77777777">
            <w:pPr>
              <w:keepNext/>
              <w:autoSpaceDE w:val="0"/>
              <w:autoSpaceDN w:val="0"/>
              <w:adjustRightInd w:val="0"/>
              <w:ind w:left="155"/>
              <w:rPr>
                <w:rFonts w:ascii="Arial" w:hAnsi="Arial" w:cs="Arial"/>
                <w:sz w:val="18"/>
                <w:szCs w:val="18"/>
              </w:rPr>
            </w:pPr>
            <w:r w:rsidRPr="0046235F">
              <w:rPr>
                <w:rFonts w:ascii="Arial" w:hAnsi="Arial" w:cs="Arial"/>
                <w:sz w:val="18"/>
                <w:szCs w:val="18"/>
              </w:rPr>
              <w:t>Respondents</w:t>
            </w:r>
          </w:p>
        </w:tc>
        <w:tc>
          <w:tcPr>
            <w:tcW w:w="2882" w:type="dxa"/>
          </w:tcPr>
          <w:p w:rsidRPr="0046235F" w:rsidR="00287221" w:rsidP="00287084" w:rsidRDefault="00287221" w14:paraId="580D1923"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21.7</w:t>
            </w:r>
          </w:p>
        </w:tc>
        <w:tc>
          <w:tcPr>
            <w:tcW w:w="2883" w:type="dxa"/>
          </w:tcPr>
          <w:p w:rsidRPr="0046235F" w:rsidR="00287221" w:rsidP="00287084" w:rsidRDefault="00287221" w14:paraId="098A4A54"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21.9</w:t>
            </w:r>
          </w:p>
        </w:tc>
      </w:tr>
      <w:tr w:rsidRPr="0046235F" w:rsidR="00287221" w:rsidTr="00287084" w14:paraId="49A4C58A" w14:textId="77777777">
        <w:tblPrEx>
          <w:tblCellMar>
            <w:left w:w="108" w:type="dxa"/>
            <w:right w:w="108" w:type="dxa"/>
          </w:tblCellMar>
        </w:tblPrEx>
        <w:trPr>
          <w:trHeight w:val="144"/>
        </w:trPr>
        <w:tc>
          <w:tcPr>
            <w:tcW w:w="4045" w:type="dxa"/>
          </w:tcPr>
          <w:p w:rsidRPr="0046235F" w:rsidR="00287221" w:rsidP="00287084" w:rsidRDefault="00287221" w14:paraId="0384FD62" w14:textId="77777777">
            <w:pPr>
              <w:keepNext/>
              <w:autoSpaceDE w:val="0"/>
              <w:autoSpaceDN w:val="0"/>
              <w:adjustRightInd w:val="0"/>
              <w:ind w:left="155"/>
              <w:rPr>
                <w:rFonts w:ascii="Arial" w:hAnsi="Arial" w:cs="Arial"/>
                <w:sz w:val="18"/>
                <w:szCs w:val="18"/>
              </w:rPr>
            </w:pPr>
            <w:r w:rsidRPr="0046235F">
              <w:rPr>
                <w:rFonts w:ascii="Arial" w:hAnsi="Arial" w:cs="Arial"/>
                <w:sz w:val="18"/>
                <w:szCs w:val="18"/>
              </w:rPr>
              <w:t>Nonrespondents</w:t>
            </w:r>
          </w:p>
        </w:tc>
        <w:tc>
          <w:tcPr>
            <w:tcW w:w="2882" w:type="dxa"/>
          </w:tcPr>
          <w:p w:rsidRPr="0046235F" w:rsidR="00287221" w:rsidP="00287084" w:rsidRDefault="00287221" w14:paraId="1FF95D3D"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23.3</w:t>
            </w:r>
          </w:p>
        </w:tc>
        <w:tc>
          <w:tcPr>
            <w:tcW w:w="2883" w:type="dxa"/>
          </w:tcPr>
          <w:p w:rsidRPr="0046235F" w:rsidR="00287221" w:rsidP="00287084" w:rsidRDefault="00287221" w14:paraId="3C7AAF53"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23.1</w:t>
            </w:r>
          </w:p>
        </w:tc>
      </w:tr>
      <w:tr w:rsidRPr="0046235F" w:rsidR="00287221" w:rsidTr="00287084" w14:paraId="68EF9991" w14:textId="77777777">
        <w:tblPrEx>
          <w:tblCellMar>
            <w:left w:w="108" w:type="dxa"/>
            <w:right w:w="108" w:type="dxa"/>
          </w:tblCellMar>
        </w:tblPrEx>
        <w:trPr>
          <w:trHeight w:val="144"/>
        </w:trPr>
        <w:tc>
          <w:tcPr>
            <w:tcW w:w="4045" w:type="dxa"/>
          </w:tcPr>
          <w:p w:rsidRPr="0046235F" w:rsidR="00287221" w:rsidP="00287084" w:rsidRDefault="00287221" w14:paraId="513B166C" w14:textId="77777777">
            <w:pPr>
              <w:keepNext/>
              <w:autoSpaceDE w:val="0"/>
              <w:autoSpaceDN w:val="0"/>
              <w:adjustRightInd w:val="0"/>
              <w:ind w:left="155"/>
              <w:rPr>
                <w:rFonts w:ascii="Arial" w:hAnsi="Arial" w:cs="Arial"/>
                <w:sz w:val="18"/>
                <w:szCs w:val="18"/>
              </w:rPr>
            </w:pPr>
            <w:r w:rsidRPr="0046235F">
              <w:rPr>
                <w:rFonts w:ascii="Arial" w:hAnsi="Arial" w:cs="Arial"/>
                <w:sz w:val="18"/>
                <w:szCs w:val="18"/>
              </w:rPr>
              <w:t>Respondents – Nonrespondents</w:t>
            </w:r>
          </w:p>
        </w:tc>
        <w:tc>
          <w:tcPr>
            <w:tcW w:w="2882" w:type="dxa"/>
          </w:tcPr>
          <w:p w:rsidRPr="0046235F" w:rsidR="00287221" w:rsidP="00287084" w:rsidRDefault="00287221" w14:paraId="62D81E86"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-1.6</w:t>
            </w:r>
          </w:p>
        </w:tc>
        <w:tc>
          <w:tcPr>
            <w:tcW w:w="2883" w:type="dxa"/>
          </w:tcPr>
          <w:p w:rsidRPr="0046235F" w:rsidR="00287221" w:rsidP="00287084" w:rsidRDefault="00287221" w14:paraId="1817ED19"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-1.2</w:t>
            </w:r>
          </w:p>
        </w:tc>
      </w:tr>
      <w:tr w:rsidRPr="0046235F" w:rsidR="00287221" w:rsidTr="00287084" w14:paraId="25E91973" w14:textId="77777777">
        <w:tblPrEx>
          <w:tblCellMar>
            <w:left w:w="108" w:type="dxa"/>
            <w:right w:w="108" w:type="dxa"/>
          </w:tblCellMar>
        </w:tblPrEx>
        <w:trPr>
          <w:trHeight w:val="144"/>
        </w:trPr>
        <w:tc>
          <w:tcPr>
            <w:tcW w:w="4045" w:type="dxa"/>
          </w:tcPr>
          <w:p w:rsidRPr="0046235F" w:rsidR="00287221" w:rsidP="00287084" w:rsidRDefault="00287221" w14:paraId="4AE34670" w14:textId="77777777">
            <w:pPr>
              <w:keepNext/>
              <w:autoSpaceDE w:val="0"/>
              <w:autoSpaceDN w:val="0"/>
              <w:adjustRightInd w:val="0"/>
              <w:ind w:left="155"/>
              <w:rPr>
                <w:rFonts w:ascii="Arial" w:hAnsi="Arial" w:cs="Arial"/>
                <w:sz w:val="18"/>
                <w:szCs w:val="18"/>
              </w:rPr>
            </w:pPr>
            <w:r w:rsidRPr="0046235F">
              <w:rPr>
                <w:rFonts w:ascii="Arial" w:hAnsi="Arial" w:cs="Arial"/>
                <w:sz w:val="18"/>
                <w:szCs w:val="18"/>
              </w:rPr>
              <w:t>Overall Sample (n = 3,190)</w:t>
            </w:r>
            <w:r w:rsidRPr="0046235F">
              <w:rPr>
                <w:rFonts w:ascii="Arial" w:hAnsi="Arial" w:cs="Arial"/>
                <w:sz w:val="18"/>
                <w:szCs w:val="18"/>
                <w:vertAlign w:val="superscript"/>
              </w:rPr>
              <w:t>1</w:t>
            </w:r>
          </w:p>
        </w:tc>
        <w:tc>
          <w:tcPr>
            <w:tcW w:w="2882" w:type="dxa"/>
          </w:tcPr>
          <w:p w:rsidRPr="0046235F" w:rsidR="00287221" w:rsidP="00287084" w:rsidRDefault="00287221" w14:paraId="0C120CB5"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22.2</w:t>
            </w:r>
          </w:p>
        </w:tc>
        <w:tc>
          <w:tcPr>
            <w:tcW w:w="2883" w:type="dxa"/>
          </w:tcPr>
          <w:p w:rsidRPr="0046235F" w:rsidR="00287221" w:rsidP="00287084" w:rsidRDefault="00287221" w14:paraId="2B7E4350"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22.2</w:t>
            </w:r>
          </w:p>
        </w:tc>
      </w:tr>
      <w:tr w:rsidRPr="0046235F" w:rsidR="00287221" w:rsidTr="00287084" w14:paraId="2C050D8E" w14:textId="77777777">
        <w:tblPrEx>
          <w:tblCellMar>
            <w:left w:w="108" w:type="dxa"/>
            <w:right w:w="108" w:type="dxa"/>
          </w:tblCellMar>
        </w:tblPrEx>
        <w:trPr>
          <w:trHeight w:val="144"/>
        </w:trPr>
        <w:tc>
          <w:tcPr>
            <w:tcW w:w="4045" w:type="dxa"/>
          </w:tcPr>
          <w:p w:rsidRPr="0046235F" w:rsidR="00287221" w:rsidP="00287084" w:rsidRDefault="00287221" w14:paraId="7A820BE4" w14:textId="33BDDB8D">
            <w:pPr>
              <w:keepNext/>
              <w:autoSpaceDE w:val="0"/>
              <w:autoSpaceDN w:val="0"/>
              <w:adjustRightInd w:val="0"/>
              <w:ind w:left="-19"/>
              <w:rPr>
                <w:rFonts w:ascii="Arial" w:hAnsi="Arial" w:cs="Arial"/>
                <w:b/>
                <w:bCs/>
                <w:sz w:val="18"/>
                <w:szCs w:val="18"/>
              </w:rPr>
            </w:pPr>
            <w:r w:rsidRPr="0046235F">
              <w:rPr>
                <w:rFonts w:ascii="Arial" w:hAnsi="Arial" w:cs="Arial"/>
                <w:b/>
                <w:bCs/>
                <w:sz w:val="18"/>
                <w:szCs w:val="18"/>
              </w:rPr>
              <w:t>Institution Control</w:t>
            </w:r>
            <w:r w:rsidR="002E34C1">
              <w:rPr>
                <w:rFonts w:ascii="Arial" w:hAnsi="Arial" w:cs="Arial"/>
                <w:b/>
                <w:bCs/>
                <w:sz w:val="18"/>
                <w:szCs w:val="18"/>
              </w:rPr>
              <w:t xml:space="preserve"> (in percent)</w:t>
            </w:r>
          </w:p>
        </w:tc>
        <w:tc>
          <w:tcPr>
            <w:tcW w:w="2882" w:type="dxa"/>
          </w:tcPr>
          <w:p w:rsidRPr="0046235F" w:rsidR="00287221" w:rsidP="00287084" w:rsidRDefault="00287221" w14:paraId="6A0F3617" w14:textId="77777777">
            <w:pPr>
              <w:keepNext/>
              <w:tabs>
                <w:tab w:val="decimal" w:pos="609"/>
              </w:tabs>
              <w:autoSpaceDE w:val="0"/>
              <w:autoSpaceDN w:val="0"/>
              <w:adjustRightInd w:val="0"/>
              <w:jc w:val="center"/>
              <w:rPr>
                <w:rFonts w:ascii="Arial" w:hAnsi="Arial" w:cs="Arial"/>
                <w:sz w:val="18"/>
                <w:szCs w:val="18"/>
              </w:rPr>
            </w:pPr>
          </w:p>
        </w:tc>
        <w:tc>
          <w:tcPr>
            <w:tcW w:w="2883" w:type="dxa"/>
          </w:tcPr>
          <w:p w:rsidRPr="0046235F" w:rsidR="00287221" w:rsidP="00287084" w:rsidRDefault="00287221" w14:paraId="649B11C1" w14:textId="77777777">
            <w:pPr>
              <w:keepNext/>
              <w:tabs>
                <w:tab w:val="decimal" w:pos="609"/>
              </w:tabs>
              <w:autoSpaceDE w:val="0"/>
              <w:autoSpaceDN w:val="0"/>
              <w:adjustRightInd w:val="0"/>
              <w:jc w:val="center"/>
              <w:rPr>
                <w:rFonts w:ascii="Arial" w:hAnsi="Arial" w:cs="Arial"/>
                <w:sz w:val="18"/>
                <w:szCs w:val="18"/>
              </w:rPr>
            </w:pPr>
          </w:p>
        </w:tc>
      </w:tr>
      <w:tr w:rsidRPr="0046235F" w:rsidR="00287221" w:rsidTr="00287084" w14:paraId="77A97BE4" w14:textId="77777777">
        <w:tblPrEx>
          <w:tblCellMar>
            <w:left w:w="108" w:type="dxa"/>
            <w:right w:w="108" w:type="dxa"/>
          </w:tblCellMar>
        </w:tblPrEx>
        <w:trPr>
          <w:trHeight w:val="144"/>
        </w:trPr>
        <w:tc>
          <w:tcPr>
            <w:tcW w:w="4045" w:type="dxa"/>
          </w:tcPr>
          <w:p w:rsidRPr="0046235F" w:rsidR="00287221" w:rsidP="00287084" w:rsidRDefault="00287221" w14:paraId="58E5BE67" w14:textId="77777777">
            <w:pPr>
              <w:keepNext/>
              <w:autoSpaceDE w:val="0"/>
              <w:autoSpaceDN w:val="0"/>
              <w:adjustRightInd w:val="0"/>
              <w:ind w:left="161"/>
              <w:rPr>
                <w:rFonts w:ascii="Arial" w:hAnsi="Arial" w:cs="Arial"/>
                <w:sz w:val="18"/>
                <w:szCs w:val="18"/>
              </w:rPr>
            </w:pPr>
            <w:r w:rsidRPr="0046235F">
              <w:rPr>
                <w:rFonts w:ascii="Arial" w:hAnsi="Arial" w:cs="Arial"/>
                <w:sz w:val="18"/>
                <w:szCs w:val="18"/>
              </w:rPr>
              <w:t>Public</w:t>
            </w:r>
          </w:p>
        </w:tc>
        <w:tc>
          <w:tcPr>
            <w:tcW w:w="2882" w:type="dxa"/>
          </w:tcPr>
          <w:p w:rsidRPr="0046235F" w:rsidR="00287221" w:rsidP="00287084" w:rsidRDefault="00287221" w14:paraId="00C649A4" w14:textId="77777777">
            <w:pPr>
              <w:keepNext/>
              <w:tabs>
                <w:tab w:val="decimal" w:pos="609"/>
              </w:tabs>
              <w:autoSpaceDE w:val="0"/>
              <w:autoSpaceDN w:val="0"/>
              <w:adjustRightInd w:val="0"/>
              <w:jc w:val="center"/>
              <w:rPr>
                <w:rFonts w:ascii="Arial" w:hAnsi="Arial" w:cs="Arial"/>
                <w:sz w:val="18"/>
                <w:szCs w:val="18"/>
              </w:rPr>
            </w:pPr>
          </w:p>
        </w:tc>
        <w:tc>
          <w:tcPr>
            <w:tcW w:w="2883" w:type="dxa"/>
          </w:tcPr>
          <w:p w:rsidRPr="0046235F" w:rsidR="00287221" w:rsidP="00287084" w:rsidRDefault="00287221" w14:paraId="5203D259" w14:textId="77777777">
            <w:pPr>
              <w:keepNext/>
              <w:tabs>
                <w:tab w:val="decimal" w:pos="609"/>
              </w:tabs>
              <w:autoSpaceDE w:val="0"/>
              <w:autoSpaceDN w:val="0"/>
              <w:adjustRightInd w:val="0"/>
              <w:jc w:val="center"/>
              <w:rPr>
                <w:rFonts w:ascii="Arial" w:hAnsi="Arial" w:cs="Arial"/>
                <w:sz w:val="18"/>
                <w:szCs w:val="18"/>
              </w:rPr>
            </w:pPr>
          </w:p>
        </w:tc>
      </w:tr>
      <w:tr w:rsidRPr="0046235F" w:rsidR="00287221" w:rsidTr="00287084" w14:paraId="6AF4DCE9" w14:textId="77777777">
        <w:tblPrEx>
          <w:tblCellMar>
            <w:left w:w="108" w:type="dxa"/>
            <w:right w:w="108" w:type="dxa"/>
          </w:tblCellMar>
        </w:tblPrEx>
        <w:trPr>
          <w:trHeight w:val="144"/>
        </w:trPr>
        <w:tc>
          <w:tcPr>
            <w:tcW w:w="4045" w:type="dxa"/>
          </w:tcPr>
          <w:p w:rsidRPr="0046235F" w:rsidR="00287221" w:rsidP="00287084" w:rsidRDefault="00287221" w14:paraId="3C02E425" w14:textId="77777777">
            <w:pPr>
              <w:keepNext/>
              <w:autoSpaceDE w:val="0"/>
              <w:autoSpaceDN w:val="0"/>
              <w:adjustRightInd w:val="0"/>
              <w:ind w:left="521"/>
              <w:rPr>
                <w:rFonts w:ascii="Arial" w:hAnsi="Arial" w:cs="Arial"/>
                <w:sz w:val="18"/>
                <w:szCs w:val="18"/>
              </w:rPr>
            </w:pPr>
            <w:r w:rsidRPr="0046235F">
              <w:rPr>
                <w:rFonts w:ascii="Arial" w:hAnsi="Arial" w:cs="Arial"/>
                <w:sz w:val="18"/>
                <w:szCs w:val="18"/>
              </w:rPr>
              <w:t>Respondents</w:t>
            </w:r>
          </w:p>
        </w:tc>
        <w:tc>
          <w:tcPr>
            <w:tcW w:w="2882" w:type="dxa"/>
          </w:tcPr>
          <w:p w:rsidRPr="0046235F" w:rsidR="00287221" w:rsidP="00287084" w:rsidRDefault="00287221" w14:paraId="55F74545"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57.9</w:t>
            </w:r>
          </w:p>
        </w:tc>
        <w:tc>
          <w:tcPr>
            <w:tcW w:w="2883" w:type="dxa"/>
          </w:tcPr>
          <w:p w:rsidRPr="0046235F" w:rsidR="00287221" w:rsidP="00287084" w:rsidRDefault="00287221" w14:paraId="0A293C24"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59.7</w:t>
            </w:r>
          </w:p>
        </w:tc>
      </w:tr>
      <w:tr w:rsidRPr="0046235F" w:rsidR="00287221" w:rsidTr="00287084" w14:paraId="7EE23923" w14:textId="77777777">
        <w:tblPrEx>
          <w:tblCellMar>
            <w:left w:w="108" w:type="dxa"/>
            <w:right w:w="108" w:type="dxa"/>
          </w:tblCellMar>
        </w:tblPrEx>
        <w:trPr>
          <w:trHeight w:val="144"/>
        </w:trPr>
        <w:tc>
          <w:tcPr>
            <w:tcW w:w="4045" w:type="dxa"/>
          </w:tcPr>
          <w:p w:rsidRPr="0046235F" w:rsidR="00287221" w:rsidP="00287084" w:rsidRDefault="00287221" w14:paraId="4ECBBA73" w14:textId="77777777">
            <w:pPr>
              <w:keepNext/>
              <w:autoSpaceDE w:val="0"/>
              <w:autoSpaceDN w:val="0"/>
              <w:adjustRightInd w:val="0"/>
              <w:ind w:left="521"/>
              <w:rPr>
                <w:rFonts w:ascii="Arial" w:hAnsi="Arial" w:cs="Arial"/>
                <w:sz w:val="18"/>
                <w:szCs w:val="18"/>
              </w:rPr>
            </w:pPr>
            <w:r w:rsidRPr="0046235F">
              <w:rPr>
                <w:rFonts w:ascii="Arial" w:hAnsi="Arial" w:cs="Arial"/>
                <w:sz w:val="18"/>
                <w:szCs w:val="18"/>
              </w:rPr>
              <w:t>Nonrespondents</w:t>
            </w:r>
          </w:p>
        </w:tc>
        <w:tc>
          <w:tcPr>
            <w:tcW w:w="2882" w:type="dxa"/>
          </w:tcPr>
          <w:p w:rsidRPr="0046235F" w:rsidR="00287221" w:rsidP="00287084" w:rsidRDefault="00287221" w14:paraId="78BCA584"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59.9</w:t>
            </w:r>
          </w:p>
        </w:tc>
        <w:tc>
          <w:tcPr>
            <w:tcW w:w="2883" w:type="dxa"/>
          </w:tcPr>
          <w:p w:rsidRPr="0046235F" w:rsidR="00287221" w:rsidP="00287084" w:rsidRDefault="00287221" w14:paraId="7826ADB0"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59.0</w:t>
            </w:r>
          </w:p>
        </w:tc>
      </w:tr>
      <w:tr w:rsidRPr="0046235F" w:rsidR="00287221" w:rsidTr="00287084" w14:paraId="44152B2F" w14:textId="77777777">
        <w:tblPrEx>
          <w:tblCellMar>
            <w:left w:w="108" w:type="dxa"/>
            <w:right w:w="108" w:type="dxa"/>
          </w:tblCellMar>
        </w:tblPrEx>
        <w:trPr>
          <w:trHeight w:val="144"/>
        </w:trPr>
        <w:tc>
          <w:tcPr>
            <w:tcW w:w="4045" w:type="dxa"/>
          </w:tcPr>
          <w:p w:rsidRPr="0046235F" w:rsidR="00287221" w:rsidP="00287084" w:rsidRDefault="00287221" w14:paraId="47B6EBD3" w14:textId="77777777">
            <w:pPr>
              <w:keepNext/>
              <w:autoSpaceDE w:val="0"/>
              <w:autoSpaceDN w:val="0"/>
              <w:adjustRightInd w:val="0"/>
              <w:ind w:left="521"/>
              <w:rPr>
                <w:rFonts w:ascii="Arial" w:hAnsi="Arial" w:cs="Arial"/>
                <w:sz w:val="18"/>
                <w:szCs w:val="18"/>
              </w:rPr>
            </w:pPr>
            <w:r w:rsidRPr="0046235F">
              <w:rPr>
                <w:rFonts w:ascii="Arial" w:hAnsi="Arial" w:cs="Arial"/>
                <w:sz w:val="18"/>
                <w:szCs w:val="18"/>
              </w:rPr>
              <w:t>Respondents – Nonrespondents</w:t>
            </w:r>
          </w:p>
        </w:tc>
        <w:tc>
          <w:tcPr>
            <w:tcW w:w="2882" w:type="dxa"/>
          </w:tcPr>
          <w:p w:rsidRPr="0046235F" w:rsidR="00287221" w:rsidP="00287084" w:rsidRDefault="00287221" w14:paraId="4F81DE16"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-2.0</w:t>
            </w:r>
          </w:p>
        </w:tc>
        <w:tc>
          <w:tcPr>
            <w:tcW w:w="2883" w:type="dxa"/>
          </w:tcPr>
          <w:p w:rsidRPr="0046235F" w:rsidR="00287221" w:rsidP="00287084" w:rsidRDefault="00287221" w14:paraId="4431C311"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0.7</w:t>
            </w:r>
          </w:p>
        </w:tc>
      </w:tr>
      <w:tr w:rsidRPr="0046235F" w:rsidR="00287221" w:rsidTr="00287084" w14:paraId="1A326104" w14:textId="77777777">
        <w:tblPrEx>
          <w:tblCellMar>
            <w:left w:w="108" w:type="dxa"/>
            <w:right w:w="108" w:type="dxa"/>
          </w:tblCellMar>
        </w:tblPrEx>
        <w:trPr>
          <w:trHeight w:val="144"/>
        </w:trPr>
        <w:tc>
          <w:tcPr>
            <w:tcW w:w="4045" w:type="dxa"/>
          </w:tcPr>
          <w:p w:rsidRPr="0046235F" w:rsidR="00287221" w:rsidP="00287084" w:rsidRDefault="00287221" w14:paraId="7B2672E7" w14:textId="77777777">
            <w:pPr>
              <w:keepNext/>
              <w:autoSpaceDE w:val="0"/>
              <w:autoSpaceDN w:val="0"/>
              <w:adjustRightInd w:val="0"/>
              <w:ind w:left="521"/>
              <w:rPr>
                <w:rFonts w:ascii="Arial" w:hAnsi="Arial" w:cs="Arial"/>
                <w:sz w:val="18"/>
                <w:szCs w:val="18"/>
              </w:rPr>
            </w:pPr>
            <w:r w:rsidRPr="0046235F">
              <w:rPr>
                <w:rFonts w:ascii="Arial" w:hAnsi="Arial" w:cs="Arial"/>
                <w:sz w:val="18"/>
                <w:szCs w:val="18"/>
              </w:rPr>
              <w:t>Overall Sample (n = 3,520)</w:t>
            </w:r>
          </w:p>
        </w:tc>
        <w:tc>
          <w:tcPr>
            <w:tcW w:w="2882" w:type="dxa"/>
          </w:tcPr>
          <w:p w:rsidRPr="0046235F" w:rsidR="00287221" w:rsidP="00287084" w:rsidRDefault="00287221" w14:paraId="0D12F70A"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58.6</w:t>
            </w:r>
          </w:p>
        </w:tc>
        <w:tc>
          <w:tcPr>
            <w:tcW w:w="2883" w:type="dxa"/>
          </w:tcPr>
          <w:p w:rsidRPr="0046235F" w:rsidR="00287221" w:rsidP="00287084" w:rsidRDefault="00287221" w14:paraId="2B9BFC7F"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59.5</w:t>
            </w:r>
          </w:p>
        </w:tc>
      </w:tr>
      <w:tr w:rsidRPr="0046235F" w:rsidR="00287221" w:rsidTr="00287084" w14:paraId="7F4E22F6" w14:textId="77777777">
        <w:tblPrEx>
          <w:tblCellMar>
            <w:left w:w="108" w:type="dxa"/>
            <w:right w:w="108" w:type="dxa"/>
          </w:tblCellMar>
        </w:tblPrEx>
        <w:trPr>
          <w:trHeight w:val="144"/>
        </w:trPr>
        <w:tc>
          <w:tcPr>
            <w:tcW w:w="4045" w:type="dxa"/>
          </w:tcPr>
          <w:p w:rsidRPr="0046235F" w:rsidR="00287221" w:rsidP="00287084" w:rsidRDefault="00287221" w14:paraId="19C097DE" w14:textId="77777777">
            <w:pPr>
              <w:keepNext/>
              <w:autoSpaceDE w:val="0"/>
              <w:autoSpaceDN w:val="0"/>
              <w:adjustRightInd w:val="0"/>
              <w:ind w:left="161"/>
              <w:rPr>
                <w:rFonts w:ascii="Arial" w:hAnsi="Arial" w:cs="Arial"/>
                <w:sz w:val="18"/>
                <w:szCs w:val="18"/>
              </w:rPr>
            </w:pPr>
            <w:r w:rsidRPr="0046235F">
              <w:rPr>
                <w:rFonts w:ascii="Arial" w:hAnsi="Arial" w:cs="Arial"/>
                <w:sz w:val="18"/>
                <w:szCs w:val="18"/>
              </w:rPr>
              <w:t>Private nonprofit</w:t>
            </w:r>
          </w:p>
        </w:tc>
        <w:tc>
          <w:tcPr>
            <w:tcW w:w="2882" w:type="dxa"/>
          </w:tcPr>
          <w:p w:rsidRPr="0046235F" w:rsidR="00287221" w:rsidP="00287084" w:rsidRDefault="00287221" w14:paraId="0C8EE915" w14:textId="77777777">
            <w:pPr>
              <w:keepNext/>
              <w:tabs>
                <w:tab w:val="decimal" w:pos="609"/>
              </w:tabs>
              <w:autoSpaceDE w:val="0"/>
              <w:autoSpaceDN w:val="0"/>
              <w:adjustRightInd w:val="0"/>
              <w:jc w:val="center"/>
              <w:rPr>
                <w:rFonts w:ascii="Arial" w:hAnsi="Arial" w:cs="Arial"/>
                <w:sz w:val="18"/>
                <w:szCs w:val="18"/>
              </w:rPr>
            </w:pPr>
          </w:p>
        </w:tc>
        <w:tc>
          <w:tcPr>
            <w:tcW w:w="2883" w:type="dxa"/>
          </w:tcPr>
          <w:p w:rsidRPr="0046235F" w:rsidR="00287221" w:rsidP="00287084" w:rsidRDefault="00287221" w14:paraId="61907E67" w14:textId="77777777">
            <w:pPr>
              <w:keepNext/>
              <w:tabs>
                <w:tab w:val="decimal" w:pos="609"/>
              </w:tabs>
              <w:autoSpaceDE w:val="0"/>
              <w:autoSpaceDN w:val="0"/>
              <w:adjustRightInd w:val="0"/>
              <w:jc w:val="center"/>
              <w:rPr>
                <w:rFonts w:ascii="Arial" w:hAnsi="Arial" w:cs="Arial"/>
                <w:sz w:val="18"/>
                <w:szCs w:val="18"/>
              </w:rPr>
            </w:pPr>
          </w:p>
        </w:tc>
      </w:tr>
      <w:tr w:rsidRPr="0046235F" w:rsidR="00287221" w:rsidTr="00287084" w14:paraId="6DF8DD63" w14:textId="77777777">
        <w:tblPrEx>
          <w:tblCellMar>
            <w:left w:w="108" w:type="dxa"/>
            <w:right w:w="108" w:type="dxa"/>
          </w:tblCellMar>
        </w:tblPrEx>
        <w:trPr>
          <w:trHeight w:val="144"/>
        </w:trPr>
        <w:tc>
          <w:tcPr>
            <w:tcW w:w="4045" w:type="dxa"/>
          </w:tcPr>
          <w:p w:rsidRPr="0046235F" w:rsidR="00287221" w:rsidP="00287084" w:rsidRDefault="00287221" w14:paraId="73A026A2" w14:textId="77777777">
            <w:pPr>
              <w:keepNext/>
              <w:autoSpaceDE w:val="0"/>
              <w:autoSpaceDN w:val="0"/>
              <w:adjustRightInd w:val="0"/>
              <w:ind w:left="521"/>
              <w:rPr>
                <w:rFonts w:ascii="Arial" w:hAnsi="Arial" w:cs="Arial"/>
                <w:sz w:val="18"/>
                <w:szCs w:val="18"/>
              </w:rPr>
            </w:pPr>
            <w:r w:rsidRPr="0046235F">
              <w:rPr>
                <w:rFonts w:ascii="Arial" w:hAnsi="Arial" w:cs="Arial"/>
                <w:sz w:val="18"/>
                <w:szCs w:val="18"/>
              </w:rPr>
              <w:t>Respondents</w:t>
            </w:r>
          </w:p>
        </w:tc>
        <w:tc>
          <w:tcPr>
            <w:tcW w:w="2882" w:type="dxa"/>
          </w:tcPr>
          <w:p w:rsidRPr="0046235F" w:rsidR="00287221" w:rsidP="00287084" w:rsidRDefault="00287221" w14:paraId="61F70B03"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28.0</w:t>
            </w:r>
          </w:p>
        </w:tc>
        <w:tc>
          <w:tcPr>
            <w:tcW w:w="2883" w:type="dxa"/>
          </w:tcPr>
          <w:p w:rsidRPr="0046235F" w:rsidR="00287221" w:rsidP="00287084" w:rsidRDefault="00287221" w14:paraId="5D6E5D29"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27.3</w:t>
            </w:r>
          </w:p>
        </w:tc>
      </w:tr>
      <w:tr w:rsidRPr="0046235F" w:rsidR="00287221" w:rsidTr="00287084" w14:paraId="60286E95" w14:textId="77777777">
        <w:tblPrEx>
          <w:tblCellMar>
            <w:left w:w="108" w:type="dxa"/>
            <w:right w:w="108" w:type="dxa"/>
          </w:tblCellMar>
        </w:tblPrEx>
        <w:trPr>
          <w:trHeight w:val="144"/>
        </w:trPr>
        <w:tc>
          <w:tcPr>
            <w:tcW w:w="4045" w:type="dxa"/>
          </w:tcPr>
          <w:p w:rsidRPr="0046235F" w:rsidR="00287221" w:rsidP="00287084" w:rsidRDefault="00287221" w14:paraId="7F520397" w14:textId="77777777">
            <w:pPr>
              <w:keepNext/>
              <w:autoSpaceDE w:val="0"/>
              <w:autoSpaceDN w:val="0"/>
              <w:adjustRightInd w:val="0"/>
              <w:ind w:left="521"/>
              <w:rPr>
                <w:rFonts w:ascii="Arial" w:hAnsi="Arial" w:cs="Arial"/>
                <w:sz w:val="18"/>
                <w:szCs w:val="18"/>
              </w:rPr>
            </w:pPr>
            <w:r w:rsidRPr="0046235F">
              <w:rPr>
                <w:rFonts w:ascii="Arial" w:hAnsi="Arial" w:cs="Arial"/>
                <w:sz w:val="18"/>
                <w:szCs w:val="18"/>
              </w:rPr>
              <w:t>Nonrespondents</w:t>
            </w:r>
          </w:p>
        </w:tc>
        <w:tc>
          <w:tcPr>
            <w:tcW w:w="2882" w:type="dxa"/>
          </w:tcPr>
          <w:p w:rsidRPr="0046235F" w:rsidR="00287221" w:rsidP="00287084" w:rsidRDefault="00287221" w14:paraId="0860B5F7"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17.0</w:t>
            </w:r>
          </w:p>
        </w:tc>
        <w:tc>
          <w:tcPr>
            <w:tcW w:w="2883" w:type="dxa"/>
          </w:tcPr>
          <w:p w:rsidRPr="0046235F" w:rsidR="00287221" w:rsidP="00287084" w:rsidRDefault="00287221" w14:paraId="01316CD2"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16.6</w:t>
            </w:r>
          </w:p>
        </w:tc>
      </w:tr>
      <w:tr w:rsidRPr="0046235F" w:rsidR="00287221" w:rsidTr="00287084" w14:paraId="60D2B990" w14:textId="77777777">
        <w:tblPrEx>
          <w:tblCellMar>
            <w:left w:w="108" w:type="dxa"/>
            <w:right w:w="108" w:type="dxa"/>
          </w:tblCellMar>
        </w:tblPrEx>
        <w:trPr>
          <w:trHeight w:val="144"/>
        </w:trPr>
        <w:tc>
          <w:tcPr>
            <w:tcW w:w="4045" w:type="dxa"/>
          </w:tcPr>
          <w:p w:rsidRPr="0046235F" w:rsidR="00287221" w:rsidP="00287084" w:rsidRDefault="00287221" w14:paraId="0A27301C" w14:textId="77777777">
            <w:pPr>
              <w:keepNext/>
              <w:autoSpaceDE w:val="0"/>
              <w:autoSpaceDN w:val="0"/>
              <w:adjustRightInd w:val="0"/>
              <w:ind w:left="521"/>
              <w:rPr>
                <w:rFonts w:ascii="Arial" w:hAnsi="Arial" w:cs="Arial"/>
                <w:sz w:val="18"/>
                <w:szCs w:val="18"/>
              </w:rPr>
            </w:pPr>
            <w:r w:rsidRPr="0046235F">
              <w:rPr>
                <w:rFonts w:ascii="Arial" w:hAnsi="Arial" w:cs="Arial"/>
                <w:sz w:val="18"/>
                <w:szCs w:val="18"/>
              </w:rPr>
              <w:t>Respondents – Nonrespondents</w:t>
            </w:r>
          </w:p>
        </w:tc>
        <w:tc>
          <w:tcPr>
            <w:tcW w:w="2882" w:type="dxa"/>
          </w:tcPr>
          <w:p w:rsidRPr="0046235F" w:rsidR="00287221" w:rsidP="00287084" w:rsidRDefault="00287221" w14:paraId="1C6D6948"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11.0***</w:t>
            </w:r>
          </w:p>
        </w:tc>
        <w:tc>
          <w:tcPr>
            <w:tcW w:w="2883" w:type="dxa"/>
          </w:tcPr>
          <w:p w:rsidRPr="0046235F" w:rsidR="00287221" w:rsidP="00287084" w:rsidRDefault="00287221" w14:paraId="2C6CB118"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10.7***</w:t>
            </w:r>
          </w:p>
        </w:tc>
      </w:tr>
      <w:tr w:rsidRPr="0046235F" w:rsidR="00287221" w:rsidTr="00287084" w14:paraId="0691EDEE" w14:textId="77777777">
        <w:tblPrEx>
          <w:tblCellMar>
            <w:left w:w="108" w:type="dxa"/>
            <w:right w:w="108" w:type="dxa"/>
          </w:tblCellMar>
        </w:tblPrEx>
        <w:trPr>
          <w:trHeight w:val="144"/>
        </w:trPr>
        <w:tc>
          <w:tcPr>
            <w:tcW w:w="4045" w:type="dxa"/>
          </w:tcPr>
          <w:p w:rsidRPr="0046235F" w:rsidR="00287221" w:rsidP="00287084" w:rsidRDefault="00287221" w14:paraId="0F25ACF8" w14:textId="77777777">
            <w:pPr>
              <w:keepNext/>
              <w:autoSpaceDE w:val="0"/>
              <w:autoSpaceDN w:val="0"/>
              <w:adjustRightInd w:val="0"/>
              <w:ind w:left="521"/>
              <w:rPr>
                <w:rFonts w:ascii="Arial" w:hAnsi="Arial" w:cs="Arial"/>
                <w:sz w:val="18"/>
                <w:szCs w:val="18"/>
              </w:rPr>
            </w:pPr>
            <w:r w:rsidRPr="0046235F">
              <w:rPr>
                <w:rFonts w:ascii="Arial" w:hAnsi="Arial" w:cs="Arial"/>
                <w:sz w:val="18"/>
                <w:szCs w:val="18"/>
              </w:rPr>
              <w:t>Overall Sample (n = 3,520)</w:t>
            </w:r>
          </w:p>
        </w:tc>
        <w:tc>
          <w:tcPr>
            <w:tcW w:w="2882" w:type="dxa"/>
          </w:tcPr>
          <w:p w:rsidRPr="0046235F" w:rsidR="00287221" w:rsidP="00287084" w:rsidRDefault="00287221" w14:paraId="33696FE6"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24.0</w:t>
            </w:r>
          </w:p>
        </w:tc>
        <w:tc>
          <w:tcPr>
            <w:tcW w:w="2883" w:type="dxa"/>
          </w:tcPr>
          <w:p w:rsidRPr="0046235F" w:rsidR="00287221" w:rsidP="00287084" w:rsidRDefault="00287221" w14:paraId="6EF6A12B"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23.4</w:t>
            </w:r>
          </w:p>
        </w:tc>
      </w:tr>
      <w:tr w:rsidRPr="0046235F" w:rsidR="00287221" w:rsidTr="00287084" w14:paraId="743165BB" w14:textId="77777777">
        <w:tblPrEx>
          <w:tblCellMar>
            <w:left w:w="108" w:type="dxa"/>
            <w:right w:w="108" w:type="dxa"/>
          </w:tblCellMar>
        </w:tblPrEx>
        <w:trPr>
          <w:trHeight w:val="144"/>
        </w:trPr>
        <w:tc>
          <w:tcPr>
            <w:tcW w:w="4045" w:type="dxa"/>
          </w:tcPr>
          <w:p w:rsidRPr="0046235F" w:rsidR="00287221" w:rsidP="00287084" w:rsidRDefault="00287221" w14:paraId="276167F4" w14:textId="77777777">
            <w:pPr>
              <w:keepNext/>
              <w:autoSpaceDE w:val="0"/>
              <w:autoSpaceDN w:val="0"/>
              <w:adjustRightInd w:val="0"/>
              <w:ind w:left="150"/>
              <w:rPr>
                <w:rFonts w:ascii="Arial" w:hAnsi="Arial" w:cs="Arial"/>
                <w:sz w:val="18"/>
                <w:szCs w:val="18"/>
              </w:rPr>
            </w:pPr>
            <w:r w:rsidRPr="0046235F">
              <w:rPr>
                <w:rFonts w:ascii="Arial" w:hAnsi="Arial" w:cs="Arial"/>
                <w:sz w:val="18"/>
                <w:szCs w:val="18"/>
              </w:rPr>
              <w:t>Private for-profit</w:t>
            </w:r>
          </w:p>
        </w:tc>
        <w:tc>
          <w:tcPr>
            <w:tcW w:w="2882" w:type="dxa"/>
          </w:tcPr>
          <w:p w:rsidRPr="0046235F" w:rsidR="00287221" w:rsidP="00287084" w:rsidRDefault="00287221" w14:paraId="5EDDC0B9" w14:textId="77777777">
            <w:pPr>
              <w:keepNext/>
              <w:tabs>
                <w:tab w:val="decimal" w:pos="609"/>
              </w:tabs>
              <w:autoSpaceDE w:val="0"/>
              <w:autoSpaceDN w:val="0"/>
              <w:adjustRightInd w:val="0"/>
              <w:jc w:val="center"/>
              <w:rPr>
                <w:rFonts w:ascii="Arial" w:hAnsi="Arial" w:cs="Arial"/>
                <w:sz w:val="18"/>
                <w:szCs w:val="18"/>
              </w:rPr>
            </w:pPr>
          </w:p>
        </w:tc>
        <w:tc>
          <w:tcPr>
            <w:tcW w:w="2883" w:type="dxa"/>
          </w:tcPr>
          <w:p w:rsidRPr="0046235F" w:rsidR="00287221" w:rsidP="00287084" w:rsidRDefault="00287221" w14:paraId="7C37652D" w14:textId="77777777">
            <w:pPr>
              <w:keepNext/>
              <w:tabs>
                <w:tab w:val="decimal" w:pos="609"/>
              </w:tabs>
              <w:autoSpaceDE w:val="0"/>
              <w:autoSpaceDN w:val="0"/>
              <w:adjustRightInd w:val="0"/>
              <w:jc w:val="center"/>
              <w:rPr>
                <w:rFonts w:ascii="Arial" w:hAnsi="Arial" w:cs="Arial"/>
                <w:sz w:val="18"/>
                <w:szCs w:val="18"/>
              </w:rPr>
            </w:pPr>
          </w:p>
        </w:tc>
      </w:tr>
      <w:tr w:rsidRPr="0046235F" w:rsidR="00287221" w:rsidTr="00287084" w14:paraId="5AAA505D" w14:textId="77777777">
        <w:tblPrEx>
          <w:tblCellMar>
            <w:left w:w="108" w:type="dxa"/>
            <w:right w:w="108" w:type="dxa"/>
          </w:tblCellMar>
        </w:tblPrEx>
        <w:trPr>
          <w:trHeight w:val="144"/>
        </w:trPr>
        <w:tc>
          <w:tcPr>
            <w:tcW w:w="4045" w:type="dxa"/>
          </w:tcPr>
          <w:p w:rsidRPr="0046235F" w:rsidR="00287221" w:rsidP="00287084" w:rsidRDefault="00287221" w14:paraId="2618B6D7" w14:textId="77777777">
            <w:pPr>
              <w:keepNext/>
              <w:autoSpaceDE w:val="0"/>
              <w:autoSpaceDN w:val="0"/>
              <w:adjustRightInd w:val="0"/>
              <w:ind w:left="521"/>
              <w:rPr>
                <w:rFonts w:ascii="Arial" w:hAnsi="Arial" w:cs="Arial"/>
                <w:sz w:val="18"/>
                <w:szCs w:val="18"/>
              </w:rPr>
            </w:pPr>
            <w:r w:rsidRPr="0046235F">
              <w:rPr>
                <w:rFonts w:ascii="Arial" w:hAnsi="Arial" w:cs="Arial"/>
                <w:sz w:val="18"/>
                <w:szCs w:val="18"/>
              </w:rPr>
              <w:t>Respondents</w:t>
            </w:r>
          </w:p>
        </w:tc>
        <w:tc>
          <w:tcPr>
            <w:tcW w:w="2882" w:type="dxa"/>
          </w:tcPr>
          <w:p w:rsidRPr="0046235F" w:rsidR="00287221" w:rsidP="00287084" w:rsidRDefault="00287221" w14:paraId="1D2B0BFB"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14.1</w:t>
            </w:r>
          </w:p>
        </w:tc>
        <w:tc>
          <w:tcPr>
            <w:tcW w:w="2883" w:type="dxa"/>
          </w:tcPr>
          <w:p w:rsidRPr="0046235F" w:rsidR="00287221" w:rsidP="00287084" w:rsidRDefault="00287221" w14:paraId="177766AA"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13.0</w:t>
            </w:r>
          </w:p>
        </w:tc>
      </w:tr>
      <w:tr w:rsidRPr="0046235F" w:rsidR="00287221" w:rsidTr="00287084" w14:paraId="15D10CBE" w14:textId="77777777">
        <w:tblPrEx>
          <w:tblCellMar>
            <w:left w:w="108" w:type="dxa"/>
            <w:right w:w="108" w:type="dxa"/>
          </w:tblCellMar>
        </w:tblPrEx>
        <w:trPr>
          <w:trHeight w:val="144"/>
        </w:trPr>
        <w:tc>
          <w:tcPr>
            <w:tcW w:w="4045" w:type="dxa"/>
          </w:tcPr>
          <w:p w:rsidRPr="0046235F" w:rsidR="00287221" w:rsidP="00287084" w:rsidRDefault="00287221" w14:paraId="52D9D9FF" w14:textId="77777777">
            <w:pPr>
              <w:keepNext/>
              <w:autoSpaceDE w:val="0"/>
              <w:autoSpaceDN w:val="0"/>
              <w:adjustRightInd w:val="0"/>
              <w:ind w:left="521"/>
              <w:rPr>
                <w:rFonts w:ascii="Arial" w:hAnsi="Arial" w:cs="Arial"/>
                <w:sz w:val="18"/>
                <w:szCs w:val="18"/>
              </w:rPr>
            </w:pPr>
            <w:r w:rsidRPr="0046235F">
              <w:rPr>
                <w:rFonts w:ascii="Arial" w:hAnsi="Arial" w:cs="Arial"/>
                <w:sz w:val="18"/>
                <w:szCs w:val="18"/>
              </w:rPr>
              <w:t>Nonrespondents</w:t>
            </w:r>
          </w:p>
        </w:tc>
        <w:tc>
          <w:tcPr>
            <w:tcW w:w="2882" w:type="dxa"/>
          </w:tcPr>
          <w:p w:rsidRPr="0046235F" w:rsidR="00287221" w:rsidP="00287084" w:rsidRDefault="00287221" w14:paraId="0A8D0027"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23.2</w:t>
            </w:r>
          </w:p>
        </w:tc>
        <w:tc>
          <w:tcPr>
            <w:tcW w:w="2883" w:type="dxa"/>
          </w:tcPr>
          <w:p w:rsidRPr="0046235F" w:rsidR="00287221" w:rsidP="00287084" w:rsidRDefault="00287221" w14:paraId="5E4B9CF3"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24.4</w:t>
            </w:r>
          </w:p>
        </w:tc>
      </w:tr>
      <w:tr w:rsidRPr="0046235F" w:rsidR="00287221" w:rsidTr="00287084" w14:paraId="4745C826" w14:textId="77777777">
        <w:tblPrEx>
          <w:tblCellMar>
            <w:left w:w="108" w:type="dxa"/>
            <w:right w:w="108" w:type="dxa"/>
          </w:tblCellMar>
        </w:tblPrEx>
        <w:trPr>
          <w:trHeight w:val="144"/>
        </w:trPr>
        <w:tc>
          <w:tcPr>
            <w:tcW w:w="4045" w:type="dxa"/>
          </w:tcPr>
          <w:p w:rsidRPr="0046235F" w:rsidR="00287221" w:rsidP="00287084" w:rsidRDefault="00287221" w14:paraId="0FE28F2C" w14:textId="77777777">
            <w:pPr>
              <w:keepNext/>
              <w:autoSpaceDE w:val="0"/>
              <w:autoSpaceDN w:val="0"/>
              <w:adjustRightInd w:val="0"/>
              <w:ind w:left="521"/>
              <w:rPr>
                <w:rFonts w:ascii="Arial" w:hAnsi="Arial" w:cs="Arial"/>
                <w:sz w:val="18"/>
                <w:szCs w:val="18"/>
              </w:rPr>
            </w:pPr>
            <w:r w:rsidRPr="0046235F">
              <w:rPr>
                <w:rFonts w:ascii="Arial" w:hAnsi="Arial" w:cs="Arial"/>
                <w:sz w:val="18"/>
                <w:szCs w:val="18"/>
              </w:rPr>
              <w:t>Respondents – Nonrespondents</w:t>
            </w:r>
          </w:p>
        </w:tc>
        <w:tc>
          <w:tcPr>
            <w:tcW w:w="2882" w:type="dxa"/>
          </w:tcPr>
          <w:p w:rsidRPr="0046235F" w:rsidR="00287221" w:rsidP="00287084" w:rsidRDefault="00287221" w14:paraId="019B3CAA"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-9.1***</w:t>
            </w:r>
          </w:p>
        </w:tc>
        <w:tc>
          <w:tcPr>
            <w:tcW w:w="2883" w:type="dxa"/>
          </w:tcPr>
          <w:p w:rsidRPr="0046235F" w:rsidR="00287221" w:rsidP="00287084" w:rsidRDefault="00287221" w14:paraId="3B7309A5"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-11.4***</w:t>
            </w:r>
          </w:p>
        </w:tc>
      </w:tr>
      <w:tr w:rsidRPr="0046235F" w:rsidR="00287221" w:rsidTr="00287084" w14:paraId="60B3ED15" w14:textId="77777777">
        <w:tblPrEx>
          <w:tblCellMar>
            <w:left w:w="108" w:type="dxa"/>
            <w:right w:w="108" w:type="dxa"/>
          </w:tblCellMar>
        </w:tblPrEx>
        <w:trPr>
          <w:trHeight w:val="144"/>
        </w:trPr>
        <w:tc>
          <w:tcPr>
            <w:tcW w:w="4045" w:type="dxa"/>
            <w:tcBorders>
              <w:bottom w:val="single" w:color="auto" w:sz="12" w:space="0"/>
            </w:tcBorders>
          </w:tcPr>
          <w:p w:rsidRPr="0046235F" w:rsidR="00287221" w:rsidP="00287084" w:rsidRDefault="00287221" w14:paraId="5B1C2A80" w14:textId="77777777">
            <w:pPr>
              <w:keepNext/>
              <w:autoSpaceDE w:val="0"/>
              <w:autoSpaceDN w:val="0"/>
              <w:adjustRightInd w:val="0"/>
              <w:ind w:left="521"/>
              <w:rPr>
                <w:rFonts w:ascii="Arial" w:hAnsi="Arial" w:cs="Arial"/>
                <w:sz w:val="18"/>
                <w:szCs w:val="18"/>
              </w:rPr>
            </w:pPr>
            <w:r w:rsidRPr="0046235F">
              <w:rPr>
                <w:rFonts w:ascii="Arial" w:hAnsi="Arial" w:cs="Arial"/>
                <w:sz w:val="18"/>
                <w:szCs w:val="18"/>
              </w:rPr>
              <w:t>Overall Sample (n = 3,520)</w:t>
            </w:r>
          </w:p>
        </w:tc>
        <w:tc>
          <w:tcPr>
            <w:tcW w:w="2882" w:type="dxa"/>
            <w:tcBorders>
              <w:bottom w:val="single" w:color="auto" w:sz="12" w:space="0"/>
            </w:tcBorders>
          </w:tcPr>
          <w:p w:rsidRPr="0046235F" w:rsidR="00287221" w:rsidP="00287084" w:rsidRDefault="00287221" w14:paraId="62976264"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17.4</w:t>
            </w:r>
          </w:p>
        </w:tc>
        <w:tc>
          <w:tcPr>
            <w:tcW w:w="2883" w:type="dxa"/>
            <w:tcBorders>
              <w:bottom w:val="single" w:color="auto" w:sz="12" w:space="0"/>
            </w:tcBorders>
          </w:tcPr>
          <w:p w:rsidRPr="0046235F" w:rsidR="00287221" w:rsidP="00287084" w:rsidRDefault="00287221" w14:paraId="64A673C3" w14:textId="77777777">
            <w:pPr>
              <w:keepNext/>
              <w:tabs>
                <w:tab w:val="decimal" w:pos="609"/>
              </w:tabs>
              <w:autoSpaceDE w:val="0"/>
              <w:autoSpaceDN w:val="0"/>
              <w:adjustRightInd w:val="0"/>
              <w:jc w:val="right"/>
              <w:rPr>
                <w:rFonts w:ascii="Arial" w:hAnsi="Arial" w:cs="Arial"/>
                <w:sz w:val="18"/>
                <w:szCs w:val="18"/>
              </w:rPr>
            </w:pPr>
            <w:r w:rsidRPr="0046235F">
              <w:rPr>
                <w:rFonts w:ascii="Arial" w:hAnsi="Arial" w:cs="Arial"/>
                <w:sz w:val="18"/>
                <w:szCs w:val="18"/>
              </w:rPr>
              <w:t>17.1</w:t>
            </w:r>
          </w:p>
        </w:tc>
      </w:tr>
    </w:tbl>
    <w:p w:rsidRPr="00E73AF7" w:rsidR="00287221" w:rsidP="00287221" w:rsidRDefault="00287221" w14:paraId="719B3862" w14:textId="77777777">
      <w:pPr>
        <w:pStyle w:val="tabfigsource"/>
        <w:rPr>
          <w:rFonts w:cs="Arial"/>
          <w:szCs w:val="16"/>
        </w:rPr>
      </w:pPr>
      <w:r w:rsidRPr="00E73AF7">
        <w:rPr>
          <w:rFonts w:cs="Arial"/>
          <w:szCs w:val="16"/>
        </w:rPr>
        <w:t>* p &lt; .05, ** p &lt; .01, *** p &lt; .001</w:t>
      </w:r>
    </w:p>
    <w:p w:rsidRPr="00E73AF7" w:rsidR="00287221" w:rsidP="00287221" w:rsidRDefault="00287221" w14:paraId="6ACF0E2C" w14:textId="77777777">
      <w:pPr>
        <w:pStyle w:val="tabfigsource"/>
        <w:rPr>
          <w:rFonts w:cs="Arial"/>
          <w:szCs w:val="16"/>
        </w:rPr>
      </w:pPr>
      <w:r w:rsidRPr="00E73AF7">
        <w:rPr>
          <w:rFonts w:cs="Arial"/>
          <w:szCs w:val="16"/>
        </w:rPr>
        <w:t>1 Sample sizes for the overall sample differ due to missing data.</w:t>
      </w:r>
    </w:p>
    <w:p w:rsidR="00287221" w:rsidP="00287221" w:rsidRDefault="00287221" w14:paraId="245F9084" w14:textId="77777777">
      <w:pPr>
        <w:pStyle w:val="tabfigsource"/>
        <w:rPr>
          <w:rFonts w:cs="Arial"/>
          <w:szCs w:val="16"/>
        </w:rPr>
      </w:pPr>
      <w:r w:rsidRPr="00E73AF7">
        <w:rPr>
          <w:rFonts w:cs="Arial"/>
          <w:szCs w:val="16"/>
        </w:rPr>
        <w:t xml:space="preserve">2 </w:t>
      </w:r>
      <w:r w:rsidRPr="00E52FF1">
        <w:rPr>
          <w:rFonts w:cs="Arial"/>
          <w:szCs w:val="16"/>
        </w:rPr>
        <w:t>"White" includes those who are and are not of Hispanic or Latino background. Hispanic or Latino is considered an ethnicity rather than a race. People of Hispanic or Latino origin may be of any race.</w:t>
      </w:r>
    </w:p>
    <w:p w:rsidRPr="00E73AF7" w:rsidR="00287221" w:rsidP="00287221" w:rsidRDefault="00287221" w14:paraId="0137EC67" w14:textId="77777777">
      <w:pPr>
        <w:pStyle w:val="tabfigsource"/>
        <w:rPr>
          <w:rFonts w:cs="Arial"/>
          <w:szCs w:val="16"/>
        </w:rPr>
      </w:pPr>
      <w:r w:rsidRPr="00E73AF7">
        <w:rPr>
          <w:rFonts w:cs="Arial"/>
          <w:szCs w:val="16"/>
        </w:rPr>
        <w:t xml:space="preserve">NOTE: Results exclude ineligible cases. </w:t>
      </w:r>
    </w:p>
    <w:p w:rsidRPr="00E73AF7" w:rsidR="00287221" w:rsidP="00287221" w:rsidRDefault="00287221" w14:paraId="5974D3BA" w14:textId="77777777">
      <w:pPr>
        <w:pStyle w:val="tabfigsource"/>
        <w:rPr>
          <w:rFonts w:cs="Arial"/>
          <w:szCs w:val="16"/>
        </w:rPr>
      </w:pPr>
      <w:r w:rsidRPr="00E73AF7">
        <w:rPr>
          <w:rFonts w:cs="Arial"/>
          <w:szCs w:val="16"/>
        </w:rPr>
        <w:t>SOURCE: U.S. Department of Education, National Center for Education Statistics, 2020/22 Beginning Postsecondary Students (BPS:20/22) Field Test.</w:t>
      </w:r>
    </w:p>
    <w:p w:rsidRPr="009B6118" w:rsidR="00287221" w:rsidP="00287221" w:rsidRDefault="00287221" w14:paraId="71EB7C22" w14:textId="1F77692C">
      <w:pPr>
        <w:spacing w:after="120"/>
        <w:rPr>
          <w:rFonts w:cstheme="minorHAnsi"/>
          <w:szCs w:val="24"/>
        </w:rPr>
      </w:pPr>
      <w:r w:rsidRPr="009B6118">
        <w:rPr>
          <w:rFonts w:cstheme="minorHAnsi"/>
          <w:i/>
          <w:iCs/>
          <w:szCs w:val="24"/>
        </w:rPr>
        <w:t xml:space="preserve">Efficiency. </w:t>
      </w:r>
      <w:r w:rsidRPr="009B6118">
        <w:rPr>
          <w:rFonts w:cstheme="minorHAnsi"/>
          <w:szCs w:val="24"/>
        </w:rPr>
        <w:t>Data collection efficiency was examined (i.e., the average number of days it took respondents to complete the survey) at two time points during data collection: the end of the three-week early bird period (3 weeks into data collection), and 2) at the end of data collection (17 weeks in the field).</w:t>
      </w:r>
      <w:r w:rsidR="0021411C">
        <w:rPr>
          <w:rFonts w:cstheme="minorHAnsi"/>
          <w:szCs w:val="24"/>
        </w:rPr>
        <w:t xml:space="preserve"> </w:t>
      </w:r>
      <w:r w:rsidRPr="009B6118">
        <w:rPr>
          <w:rFonts w:cstheme="minorHAnsi"/>
          <w:szCs w:val="24"/>
        </w:rPr>
        <w:fldChar w:fldCharType="begin"/>
      </w:r>
      <w:r w:rsidRPr="009B6118">
        <w:rPr>
          <w:rFonts w:cstheme="minorHAnsi"/>
          <w:szCs w:val="24"/>
        </w:rPr>
        <w:instrText xml:space="preserve"> REF _Ref79565699 \h  \* MERGEFORMAT </w:instrText>
      </w:r>
      <w:r w:rsidRPr="009B6118">
        <w:rPr>
          <w:rFonts w:cstheme="minorHAnsi"/>
          <w:szCs w:val="24"/>
        </w:rPr>
      </w:r>
      <w:r w:rsidRPr="009B6118">
        <w:rPr>
          <w:rFonts w:cstheme="minorHAnsi"/>
          <w:szCs w:val="24"/>
        </w:rPr>
        <w:fldChar w:fldCharType="separate"/>
      </w:r>
      <w:r w:rsidRPr="00A3046F" w:rsidR="00A3046F">
        <w:rPr>
          <w:szCs w:val="24"/>
        </w:rPr>
        <w:t>Table D.</w:t>
      </w:r>
      <w:r w:rsidRPr="00A3046F" w:rsidR="00A3046F">
        <w:rPr>
          <w:noProof/>
          <w:szCs w:val="24"/>
        </w:rPr>
        <w:t>4</w:t>
      </w:r>
      <w:r w:rsidRPr="009B6118">
        <w:rPr>
          <w:rFonts w:cstheme="minorHAnsi"/>
          <w:szCs w:val="24"/>
        </w:rPr>
        <w:fldChar w:fldCharType="end"/>
      </w:r>
      <w:r w:rsidRPr="009B6118">
        <w:rPr>
          <w:rFonts w:cstheme="minorHAnsi"/>
          <w:szCs w:val="24"/>
        </w:rPr>
        <w:t xml:space="preserve"> summarizes the average number of days to survey completion for the control and early bird groups at these two time points. </w:t>
      </w:r>
    </w:p>
    <w:p w:rsidRPr="009B6118" w:rsidR="00287221" w:rsidP="00287221" w:rsidRDefault="00287221" w14:paraId="7206096D" w14:textId="77777777">
      <w:pPr>
        <w:spacing w:after="120"/>
        <w:rPr>
          <w:rFonts w:cstheme="minorHAnsi"/>
          <w:szCs w:val="24"/>
        </w:rPr>
      </w:pPr>
      <w:r w:rsidRPr="009B6118">
        <w:rPr>
          <w:rFonts w:cstheme="minorHAnsi"/>
          <w:szCs w:val="24"/>
        </w:rPr>
        <w:t xml:space="preserve">At the end of the early bird period, the average number of days that it took respondents in the early bird group to complete the survey (10.2 days) was not significantly lower than the control group (8.8 days; </w:t>
      </w:r>
      <w:r w:rsidRPr="009B6118">
        <w:rPr>
          <w:rFonts w:cstheme="minorHAnsi"/>
          <w:i/>
          <w:iCs/>
          <w:szCs w:val="24"/>
        </w:rPr>
        <w:t>t</w:t>
      </w:r>
      <w:r w:rsidRPr="009B6118">
        <w:rPr>
          <w:rFonts w:cstheme="minorHAnsi"/>
          <w:szCs w:val="24"/>
        </w:rPr>
        <w:t xml:space="preserve">(1,400.7) = -4.02, </w:t>
      </w:r>
      <w:r w:rsidRPr="009B6118">
        <w:rPr>
          <w:rFonts w:cstheme="minorHAnsi"/>
          <w:i/>
          <w:iCs/>
          <w:szCs w:val="24"/>
        </w:rPr>
        <w:t>p</w:t>
      </w:r>
      <w:r w:rsidRPr="009B6118">
        <w:rPr>
          <w:rFonts w:cstheme="minorHAnsi"/>
          <w:szCs w:val="24"/>
        </w:rPr>
        <w:t xml:space="preserve"> = 1.00). At the end of data collection, respondents in the experimental group took significantly fewer days </w:t>
      </w:r>
      <w:r w:rsidRPr="009B6118">
        <w:rPr>
          <w:rFonts w:cstheme="minorHAnsi"/>
          <w:szCs w:val="24"/>
        </w:rPr>
        <w:lastRenderedPageBreak/>
        <w:t>(28.1 days) than respondents in the control group (30.9 days) to complete the survey (</w:t>
      </w:r>
      <w:r w:rsidRPr="009B6118">
        <w:rPr>
          <w:rFonts w:cstheme="minorHAnsi"/>
          <w:i/>
          <w:iCs/>
          <w:szCs w:val="24"/>
        </w:rPr>
        <w:t>t</w:t>
      </w:r>
      <w:r w:rsidRPr="009B6118">
        <w:rPr>
          <w:rFonts w:cstheme="minorHAnsi"/>
          <w:szCs w:val="24"/>
        </w:rPr>
        <w:t xml:space="preserve">(2,231.7) = 2.09, </w:t>
      </w:r>
      <w:r w:rsidRPr="009B6118">
        <w:rPr>
          <w:rFonts w:cstheme="minorHAnsi"/>
          <w:i/>
          <w:iCs/>
          <w:szCs w:val="24"/>
        </w:rPr>
        <w:t>p</w:t>
      </w:r>
      <w:r w:rsidRPr="009B6118">
        <w:rPr>
          <w:rFonts w:cstheme="minorHAnsi"/>
          <w:szCs w:val="24"/>
        </w:rPr>
        <w:t xml:space="preserve"> &lt; 0.05). However, this difference is small (2.8 days), and not long enough to allow for any cost savings in the data collection process (e.g., via fewer reminder calls, texts, or mailings). Thus, while these differences are statistically significant, they are not practically significant. </w:t>
      </w:r>
    </w:p>
    <w:p w:rsidRPr="00FD5576" w:rsidR="00287221" w:rsidP="00287221" w:rsidRDefault="00287221" w14:paraId="6CA49C25" w14:textId="439FFC08">
      <w:pPr>
        <w:pStyle w:val="TableTitle"/>
        <w:rPr>
          <w:shd w:val="clear" w:color="auto" w:fill="FFFFFF"/>
        </w:rPr>
      </w:pPr>
      <w:bookmarkStart w:name="_Ref79565699" w:id="27"/>
      <w:r>
        <w:t xml:space="preserve">Table </w:t>
      </w:r>
      <w:r w:rsidR="00A3046F">
        <w:t>D</w:t>
      </w:r>
      <w:r w:rsidR="00EE3E0D">
        <w:t>.</w:t>
      </w:r>
      <w:r>
        <w:fldChar w:fldCharType="begin"/>
      </w:r>
      <w:r>
        <w:instrText xml:space="preserve"> SEQ Table \* ARABIC </w:instrText>
      </w:r>
      <w:r>
        <w:fldChar w:fldCharType="separate"/>
      </w:r>
      <w:r>
        <w:rPr>
          <w:noProof/>
        </w:rPr>
        <w:t>4</w:t>
      </w:r>
      <w:r>
        <w:fldChar w:fldCharType="end"/>
      </w:r>
      <w:bookmarkEnd w:id="27"/>
      <w:r>
        <w:t xml:space="preserve">. </w:t>
      </w:r>
      <w:r w:rsidRPr="007C0F4D">
        <w:t>2020/22 Beginning Postsecondary Students Field Test</w:t>
      </w:r>
      <w:r>
        <w:t xml:space="preserve"> average number of days to complete</w:t>
      </w:r>
      <w:r w:rsidRPr="00FD5576">
        <w:t xml:space="preserve"> by </w:t>
      </w:r>
      <w:r w:rsidR="002E34C1">
        <w:t xml:space="preserve">early bird </w:t>
      </w:r>
      <w:r w:rsidRPr="00FD5576">
        <w:t>experimental condition and evaluation period</w:t>
      </w:r>
      <w:r>
        <w:t>: 2021</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32"/>
        <w:gridCol w:w="1594"/>
        <w:gridCol w:w="1596"/>
        <w:gridCol w:w="1596"/>
        <w:gridCol w:w="1594"/>
      </w:tblGrid>
      <w:tr w:rsidRPr="006E53EC" w:rsidR="00287221" w:rsidTr="00287084" w14:paraId="2CDFFD5F" w14:textId="77777777">
        <w:trPr>
          <w:trHeight w:val="144"/>
          <w:tblHeader/>
        </w:trPr>
        <w:tc>
          <w:tcPr>
            <w:tcW w:w="1966" w:type="pct"/>
            <w:tcBorders>
              <w:top w:val="single" w:color="auto" w:sz="12" w:space="0"/>
              <w:bottom w:val="single" w:color="auto" w:sz="6" w:space="0"/>
            </w:tcBorders>
          </w:tcPr>
          <w:p w:rsidRPr="006E53EC" w:rsidR="00287221" w:rsidP="00287084" w:rsidRDefault="00287221" w14:paraId="020739E5" w14:textId="77777777">
            <w:pPr>
              <w:autoSpaceDE w:val="0"/>
              <w:autoSpaceDN w:val="0"/>
              <w:adjustRightInd w:val="0"/>
              <w:rPr>
                <w:rFonts w:ascii="Arial" w:hAnsi="Arial" w:cs="Arial"/>
                <w:b/>
                <w:sz w:val="18"/>
                <w:szCs w:val="18"/>
              </w:rPr>
            </w:pPr>
          </w:p>
        </w:tc>
        <w:tc>
          <w:tcPr>
            <w:tcW w:w="758" w:type="pct"/>
            <w:tcBorders>
              <w:top w:val="single" w:color="auto" w:sz="12" w:space="0"/>
              <w:bottom w:val="single" w:color="auto" w:sz="6" w:space="0"/>
            </w:tcBorders>
            <w:vAlign w:val="bottom"/>
          </w:tcPr>
          <w:p w:rsidRPr="006E53EC" w:rsidR="00287221" w:rsidP="00287084" w:rsidRDefault="00287221" w14:paraId="6A44C2CE" w14:textId="77777777">
            <w:pPr>
              <w:keepNext/>
              <w:jc w:val="right"/>
              <w:rPr>
                <w:rFonts w:ascii="Arial" w:hAnsi="Arial" w:cs="Arial"/>
                <w:b/>
                <w:sz w:val="18"/>
                <w:szCs w:val="18"/>
              </w:rPr>
            </w:pPr>
            <w:r w:rsidRPr="006E53EC">
              <w:rPr>
                <w:rFonts w:ascii="Arial" w:hAnsi="Arial" w:cs="Arial"/>
                <w:b/>
                <w:sz w:val="18"/>
                <w:szCs w:val="18"/>
              </w:rPr>
              <w:t>Control Group</w:t>
            </w:r>
          </w:p>
          <w:p w:rsidRPr="006E53EC" w:rsidR="00287221" w:rsidP="00287084" w:rsidRDefault="00287221" w14:paraId="6AF25704" w14:textId="77777777">
            <w:pPr>
              <w:autoSpaceDE w:val="0"/>
              <w:autoSpaceDN w:val="0"/>
              <w:adjustRightInd w:val="0"/>
              <w:jc w:val="right"/>
              <w:rPr>
                <w:rFonts w:ascii="Arial" w:hAnsi="Arial" w:cs="Arial"/>
                <w:b/>
                <w:sz w:val="18"/>
                <w:szCs w:val="18"/>
              </w:rPr>
            </w:pPr>
            <w:r w:rsidRPr="006E53EC">
              <w:rPr>
                <w:rFonts w:ascii="Arial" w:hAnsi="Arial" w:cs="Arial"/>
                <w:bCs/>
                <w:sz w:val="18"/>
                <w:szCs w:val="18"/>
              </w:rPr>
              <w:t xml:space="preserve">Baseline Incentive </w:t>
            </w:r>
          </w:p>
        </w:tc>
        <w:tc>
          <w:tcPr>
            <w:tcW w:w="759" w:type="pct"/>
            <w:tcBorders>
              <w:top w:val="single" w:color="auto" w:sz="12" w:space="0"/>
              <w:bottom w:val="single" w:color="auto" w:sz="6" w:space="0"/>
            </w:tcBorders>
            <w:vAlign w:val="bottom"/>
          </w:tcPr>
          <w:p w:rsidRPr="006E53EC" w:rsidR="00287221" w:rsidP="00287084" w:rsidRDefault="00287221" w14:paraId="6E0120CC" w14:textId="77777777">
            <w:pPr>
              <w:keepNext/>
              <w:jc w:val="right"/>
              <w:rPr>
                <w:rFonts w:ascii="Arial" w:hAnsi="Arial" w:cs="Arial"/>
                <w:b/>
                <w:sz w:val="18"/>
                <w:szCs w:val="18"/>
              </w:rPr>
            </w:pPr>
            <w:r w:rsidRPr="006E53EC">
              <w:rPr>
                <w:rFonts w:ascii="Arial" w:hAnsi="Arial" w:cs="Arial"/>
                <w:b/>
                <w:sz w:val="18"/>
                <w:szCs w:val="18"/>
              </w:rPr>
              <w:t>Treatment Group</w:t>
            </w:r>
          </w:p>
          <w:p w:rsidRPr="006E53EC" w:rsidR="00287221" w:rsidP="00287084" w:rsidRDefault="00287221" w14:paraId="3C542520" w14:textId="77777777">
            <w:pPr>
              <w:autoSpaceDE w:val="0"/>
              <w:autoSpaceDN w:val="0"/>
              <w:adjustRightInd w:val="0"/>
              <w:jc w:val="right"/>
              <w:rPr>
                <w:rFonts w:ascii="Arial" w:hAnsi="Arial" w:cs="Arial"/>
                <w:b/>
                <w:sz w:val="18"/>
                <w:szCs w:val="18"/>
              </w:rPr>
            </w:pPr>
            <w:r w:rsidRPr="006E53EC">
              <w:rPr>
                <w:rFonts w:ascii="Arial" w:hAnsi="Arial" w:cs="Arial"/>
                <w:bCs/>
                <w:sz w:val="18"/>
                <w:szCs w:val="18"/>
              </w:rPr>
              <w:t xml:space="preserve">Early Bird Plus Baseline </w:t>
            </w:r>
          </w:p>
        </w:tc>
        <w:tc>
          <w:tcPr>
            <w:tcW w:w="759" w:type="pct"/>
            <w:tcBorders>
              <w:top w:val="single" w:color="auto" w:sz="12" w:space="0"/>
              <w:bottom w:val="single" w:color="auto" w:sz="6" w:space="0"/>
            </w:tcBorders>
            <w:vAlign w:val="bottom"/>
          </w:tcPr>
          <w:p w:rsidRPr="007A15C5" w:rsidR="00287221" w:rsidP="00287084" w:rsidRDefault="00287221" w14:paraId="03210F93" w14:textId="77777777">
            <w:pPr>
              <w:autoSpaceDE w:val="0"/>
              <w:autoSpaceDN w:val="0"/>
              <w:adjustRightInd w:val="0"/>
              <w:jc w:val="right"/>
              <w:rPr>
                <w:rFonts w:ascii="Arial" w:hAnsi="Arial" w:cs="Arial"/>
                <w:sz w:val="18"/>
                <w:szCs w:val="18"/>
              </w:rPr>
            </w:pPr>
            <m:oMathPara>
              <m:oMathParaPr>
                <m:jc m:val="right"/>
              </m:oMathParaPr>
              <m:oMath>
                <m:r>
                  <w:rPr>
                    <w:rFonts w:ascii="Cambria Math" w:hAnsi="Cambria Math" w:cs="Arial"/>
                    <w:sz w:val="18"/>
                    <w:szCs w:val="18"/>
                  </w:rPr>
                  <m:t>t</m:t>
                </m:r>
              </m:oMath>
            </m:oMathPara>
          </w:p>
        </w:tc>
        <w:tc>
          <w:tcPr>
            <w:tcW w:w="758" w:type="pct"/>
            <w:tcBorders>
              <w:top w:val="single" w:color="auto" w:sz="12" w:space="0"/>
              <w:bottom w:val="single" w:color="auto" w:sz="6" w:space="0"/>
            </w:tcBorders>
            <w:vAlign w:val="bottom"/>
          </w:tcPr>
          <w:p w:rsidRPr="006E53EC" w:rsidR="00287221" w:rsidP="00287084" w:rsidRDefault="00287221" w14:paraId="265F30CD" w14:textId="77777777">
            <w:pPr>
              <w:autoSpaceDE w:val="0"/>
              <w:autoSpaceDN w:val="0"/>
              <w:adjustRightInd w:val="0"/>
              <w:jc w:val="right"/>
              <w:rPr>
                <w:rFonts w:ascii="Arial" w:hAnsi="Arial" w:cs="Arial"/>
                <w:sz w:val="18"/>
                <w:szCs w:val="18"/>
              </w:rPr>
            </w:pPr>
            <w:r w:rsidRPr="006E53EC">
              <w:rPr>
                <w:rFonts w:ascii="Arial" w:hAnsi="Arial" w:cs="Arial"/>
                <w:i/>
                <w:iCs/>
                <w:sz w:val="18"/>
                <w:szCs w:val="18"/>
              </w:rPr>
              <w:t>p</w:t>
            </w:r>
            <w:r w:rsidRPr="006E53EC">
              <w:rPr>
                <w:rFonts w:ascii="Arial" w:hAnsi="Arial" w:cs="Arial"/>
                <w:sz w:val="18"/>
                <w:szCs w:val="18"/>
              </w:rPr>
              <w:t>-value</w:t>
            </w:r>
          </w:p>
        </w:tc>
      </w:tr>
      <w:tr w:rsidRPr="006E53EC" w:rsidR="00287221" w:rsidTr="00287084" w14:paraId="1A6CF425" w14:textId="77777777">
        <w:trPr>
          <w:trHeight w:val="144"/>
        </w:trPr>
        <w:tc>
          <w:tcPr>
            <w:tcW w:w="1966" w:type="pct"/>
            <w:tcBorders>
              <w:top w:val="single" w:color="auto" w:sz="6" w:space="0"/>
            </w:tcBorders>
          </w:tcPr>
          <w:p w:rsidRPr="006E53EC" w:rsidR="00287221" w:rsidP="00287084" w:rsidRDefault="00287221" w14:paraId="2807E846" w14:textId="77777777">
            <w:pPr>
              <w:autoSpaceDE w:val="0"/>
              <w:autoSpaceDN w:val="0"/>
              <w:adjustRightInd w:val="0"/>
              <w:rPr>
                <w:rFonts w:ascii="Arial" w:hAnsi="Arial" w:cs="Arial"/>
                <w:sz w:val="18"/>
                <w:szCs w:val="18"/>
              </w:rPr>
            </w:pPr>
            <w:r w:rsidRPr="006E53EC">
              <w:rPr>
                <w:rFonts w:ascii="Arial" w:hAnsi="Arial" w:cs="Arial"/>
                <w:sz w:val="18"/>
                <w:szCs w:val="18"/>
              </w:rPr>
              <w:t>End of early bird period</w:t>
            </w:r>
          </w:p>
        </w:tc>
        <w:tc>
          <w:tcPr>
            <w:tcW w:w="758" w:type="pct"/>
            <w:tcBorders>
              <w:top w:val="single" w:color="auto" w:sz="6" w:space="0"/>
            </w:tcBorders>
          </w:tcPr>
          <w:p w:rsidRPr="006E53EC" w:rsidR="00287221" w:rsidP="00287084" w:rsidRDefault="00287221" w14:paraId="52669933" w14:textId="77777777">
            <w:pPr>
              <w:autoSpaceDE w:val="0"/>
              <w:autoSpaceDN w:val="0"/>
              <w:adjustRightInd w:val="0"/>
              <w:jc w:val="right"/>
              <w:rPr>
                <w:rFonts w:ascii="Arial" w:hAnsi="Arial" w:cs="Arial"/>
                <w:color w:val="000000"/>
                <w:sz w:val="18"/>
                <w:szCs w:val="18"/>
              </w:rPr>
            </w:pPr>
            <w:r w:rsidRPr="006E53EC">
              <w:rPr>
                <w:rFonts w:ascii="Arial" w:hAnsi="Arial" w:cs="Arial"/>
                <w:color w:val="000000"/>
                <w:sz w:val="18"/>
                <w:szCs w:val="18"/>
              </w:rPr>
              <w:t>8.8</w:t>
            </w:r>
          </w:p>
        </w:tc>
        <w:tc>
          <w:tcPr>
            <w:tcW w:w="759" w:type="pct"/>
            <w:tcBorders>
              <w:top w:val="single" w:color="auto" w:sz="6" w:space="0"/>
            </w:tcBorders>
          </w:tcPr>
          <w:p w:rsidRPr="006E53EC" w:rsidR="00287221" w:rsidP="00287084" w:rsidRDefault="00287221" w14:paraId="45101637" w14:textId="77777777">
            <w:pPr>
              <w:autoSpaceDE w:val="0"/>
              <w:autoSpaceDN w:val="0"/>
              <w:adjustRightInd w:val="0"/>
              <w:jc w:val="right"/>
              <w:rPr>
                <w:rFonts w:ascii="Arial" w:hAnsi="Arial" w:cs="Arial"/>
                <w:color w:val="000000"/>
                <w:sz w:val="18"/>
                <w:szCs w:val="18"/>
              </w:rPr>
            </w:pPr>
            <w:r w:rsidRPr="006E53EC">
              <w:rPr>
                <w:rFonts w:ascii="Arial" w:hAnsi="Arial" w:cs="Arial"/>
                <w:color w:val="000000"/>
                <w:sz w:val="18"/>
                <w:szCs w:val="18"/>
              </w:rPr>
              <w:t>10.2</w:t>
            </w:r>
          </w:p>
        </w:tc>
        <w:tc>
          <w:tcPr>
            <w:tcW w:w="759" w:type="pct"/>
            <w:tcBorders>
              <w:top w:val="single" w:color="auto" w:sz="6" w:space="0"/>
            </w:tcBorders>
          </w:tcPr>
          <w:p w:rsidRPr="006E53EC" w:rsidR="00287221" w:rsidP="00287084" w:rsidRDefault="00287221" w14:paraId="153109E9" w14:textId="77777777">
            <w:pPr>
              <w:autoSpaceDE w:val="0"/>
              <w:autoSpaceDN w:val="0"/>
              <w:adjustRightInd w:val="0"/>
              <w:jc w:val="right"/>
              <w:rPr>
                <w:rFonts w:ascii="Arial" w:hAnsi="Arial" w:cs="Arial"/>
                <w:color w:val="000000"/>
                <w:sz w:val="18"/>
                <w:szCs w:val="18"/>
              </w:rPr>
            </w:pPr>
            <w:r w:rsidRPr="006E53EC">
              <w:rPr>
                <w:rFonts w:ascii="Arial" w:hAnsi="Arial" w:cs="Arial"/>
                <w:color w:val="000000"/>
                <w:sz w:val="18"/>
                <w:szCs w:val="18"/>
              </w:rPr>
              <w:t>-4.02</w:t>
            </w:r>
          </w:p>
        </w:tc>
        <w:tc>
          <w:tcPr>
            <w:tcW w:w="758" w:type="pct"/>
            <w:tcBorders>
              <w:top w:val="single" w:color="auto" w:sz="6" w:space="0"/>
            </w:tcBorders>
          </w:tcPr>
          <w:p w:rsidRPr="006E53EC" w:rsidR="00287221" w:rsidP="00287084" w:rsidRDefault="00287221" w14:paraId="1555DF87" w14:textId="77777777">
            <w:pPr>
              <w:autoSpaceDE w:val="0"/>
              <w:autoSpaceDN w:val="0"/>
              <w:adjustRightInd w:val="0"/>
              <w:jc w:val="right"/>
              <w:rPr>
                <w:rFonts w:ascii="Arial" w:hAnsi="Arial" w:cs="Arial"/>
                <w:color w:val="000000"/>
                <w:sz w:val="18"/>
                <w:szCs w:val="18"/>
              </w:rPr>
            </w:pPr>
            <w:r w:rsidRPr="006E53EC">
              <w:rPr>
                <w:rFonts w:ascii="Arial" w:hAnsi="Arial" w:cs="Arial"/>
                <w:color w:val="000000"/>
                <w:sz w:val="18"/>
                <w:szCs w:val="18"/>
              </w:rPr>
              <w:t>1.00</w:t>
            </w:r>
          </w:p>
        </w:tc>
      </w:tr>
      <w:tr w:rsidRPr="006E53EC" w:rsidR="00287221" w:rsidTr="00287084" w14:paraId="0EA1F3A5" w14:textId="77777777">
        <w:trPr>
          <w:trHeight w:val="144"/>
        </w:trPr>
        <w:tc>
          <w:tcPr>
            <w:tcW w:w="1966" w:type="pct"/>
            <w:tcBorders>
              <w:bottom w:val="single" w:color="auto" w:sz="12" w:space="0"/>
            </w:tcBorders>
          </w:tcPr>
          <w:p w:rsidRPr="006E53EC" w:rsidR="00287221" w:rsidP="00287084" w:rsidRDefault="00287221" w14:paraId="60DEE876" w14:textId="77777777">
            <w:pPr>
              <w:autoSpaceDE w:val="0"/>
              <w:autoSpaceDN w:val="0"/>
              <w:adjustRightInd w:val="0"/>
              <w:rPr>
                <w:rFonts w:ascii="Arial" w:hAnsi="Arial" w:cs="Arial"/>
                <w:sz w:val="18"/>
                <w:szCs w:val="18"/>
              </w:rPr>
            </w:pPr>
            <w:r w:rsidRPr="006E53EC">
              <w:rPr>
                <w:rFonts w:ascii="Arial" w:hAnsi="Arial" w:cs="Arial"/>
                <w:sz w:val="18"/>
                <w:szCs w:val="18"/>
              </w:rPr>
              <w:t>End of data collection</w:t>
            </w:r>
          </w:p>
        </w:tc>
        <w:tc>
          <w:tcPr>
            <w:tcW w:w="758" w:type="pct"/>
            <w:tcBorders>
              <w:bottom w:val="single" w:color="auto" w:sz="12" w:space="0"/>
            </w:tcBorders>
          </w:tcPr>
          <w:p w:rsidRPr="006E53EC" w:rsidR="00287221" w:rsidP="00287084" w:rsidRDefault="00287221" w14:paraId="6288D979" w14:textId="77777777">
            <w:pPr>
              <w:autoSpaceDE w:val="0"/>
              <w:autoSpaceDN w:val="0"/>
              <w:adjustRightInd w:val="0"/>
              <w:jc w:val="right"/>
              <w:rPr>
                <w:rFonts w:ascii="Arial" w:hAnsi="Arial" w:cs="Arial"/>
                <w:color w:val="000000"/>
                <w:sz w:val="18"/>
                <w:szCs w:val="18"/>
              </w:rPr>
            </w:pPr>
            <w:r w:rsidRPr="006E53EC">
              <w:rPr>
                <w:rFonts w:ascii="Arial" w:hAnsi="Arial" w:cs="Arial"/>
                <w:color w:val="000000"/>
                <w:sz w:val="18"/>
                <w:szCs w:val="18"/>
              </w:rPr>
              <w:t>30.9</w:t>
            </w:r>
          </w:p>
        </w:tc>
        <w:tc>
          <w:tcPr>
            <w:tcW w:w="759" w:type="pct"/>
            <w:tcBorders>
              <w:bottom w:val="single" w:color="auto" w:sz="12" w:space="0"/>
            </w:tcBorders>
          </w:tcPr>
          <w:p w:rsidRPr="006E53EC" w:rsidR="00287221" w:rsidP="00287084" w:rsidRDefault="00287221" w14:paraId="370BD24C" w14:textId="77777777">
            <w:pPr>
              <w:autoSpaceDE w:val="0"/>
              <w:autoSpaceDN w:val="0"/>
              <w:adjustRightInd w:val="0"/>
              <w:jc w:val="right"/>
              <w:rPr>
                <w:rFonts w:ascii="Arial" w:hAnsi="Arial" w:cs="Arial"/>
                <w:color w:val="000000"/>
                <w:sz w:val="18"/>
                <w:szCs w:val="18"/>
              </w:rPr>
            </w:pPr>
            <w:r w:rsidRPr="006E53EC">
              <w:rPr>
                <w:rFonts w:ascii="Arial" w:hAnsi="Arial" w:cs="Arial"/>
                <w:color w:val="000000"/>
                <w:sz w:val="18"/>
                <w:szCs w:val="18"/>
              </w:rPr>
              <w:t>28.1</w:t>
            </w:r>
          </w:p>
        </w:tc>
        <w:tc>
          <w:tcPr>
            <w:tcW w:w="759" w:type="pct"/>
            <w:tcBorders>
              <w:bottom w:val="single" w:color="auto" w:sz="12" w:space="0"/>
            </w:tcBorders>
          </w:tcPr>
          <w:p w:rsidRPr="006E53EC" w:rsidR="00287221" w:rsidP="00287084" w:rsidRDefault="00287221" w14:paraId="5B8F7131" w14:textId="77777777">
            <w:pPr>
              <w:autoSpaceDE w:val="0"/>
              <w:autoSpaceDN w:val="0"/>
              <w:adjustRightInd w:val="0"/>
              <w:jc w:val="right"/>
              <w:rPr>
                <w:rFonts w:ascii="Arial" w:hAnsi="Arial" w:cs="Arial"/>
                <w:color w:val="000000"/>
                <w:sz w:val="18"/>
                <w:szCs w:val="18"/>
              </w:rPr>
            </w:pPr>
            <w:r w:rsidRPr="006E53EC">
              <w:rPr>
                <w:rFonts w:ascii="Arial" w:hAnsi="Arial" w:cs="Arial"/>
                <w:color w:val="000000"/>
                <w:sz w:val="18"/>
                <w:szCs w:val="18"/>
              </w:rPr>
              <w:t>2.09</w:t>
            </w:r>
          </w:p>
        </w:tc>
        <w:tc>
          <w:tcPr>
            <w:tcW w:w="758" w:type="pct"/>
            <w:tcBorders>
              <w:bottom w:val="single" w:color="auto" w:sz="12" w:space="0"/>
            </w:tcBorders>
          </w:tcPr>
          <w:p w:rsidRPr="006E53EC" w:rsidR="00287221" w:rsidP="00287084" w:rsidRDefault="00287221" w14:paraId="28F65EDC" w14:textId="77777777">
            <w:pPr>
              <w:autoSpaceDE w:val="0"/>
              <w:autoSpaceDN w:val="0"/>
              <w:adjustRightInd w:val="0"/>
              <w:jc w:val="right"/>
              <w:rPr>
                <w:rFonts w:ascii="Arial" w:hAnsi="Arial" w:cs="Arial"/>
                <w:color w:val="000000"/>
                <w:sz w:val="18"/>
                <w:szCs w:val="18"/>
              </w:rPr>
            </w:pPr>
            <w:r w:rsidRPr="006E53EC">
              <w:rPr>
                <w:rFonts w:ascii="Arial" w:hAnsi="Arial" w:cs="Arial"/>
                <w:color w:val="000000"/>
                <w:sz w:val="18"/>
                <w:szCs w:val="18"/>
              </w:rPr>
              <w:t>0.02</w:t>
            </w:r>
          </w:p>
        </w:tc>
      </w:tr>
    </w:tbl>
    <w:p w:rsidRPr="006E53EC" w:rsidR="00287221" w:rsidP="00287221" w:rsidRDefault="00287221" w14:paraId="760CAC9F" w14:textId="77777777">
      <w:pPr>
        <w:pStyle w:val="tabfigsource"/>
        <w:rPr>
          <w:rFonts w:cs="Arial"/>
          <w:szCs w:val="16"/>
        </w:rPr>
      </w:pPr>
      <w:r w:rsidRPr="006E53EC">
        <w:rPr>
          <w:rFonts w:cs="Arial"/>
          <w:szCs w:val="16"/>
        </w:rPr>
        <w:t>SOURCE: U.S. Department of Education, National Center for Education Statistics, 2020/22 Beginning Postsecondary Students (BPS:20/22) Field Test.</w:t>
      </w:r>
    </w:p>
    <w:p w:rsidRPr="00E77AFE" w:rsidR="00E77AFE" w:rsidP="00287221" w:rsidRDefault="00E77AFE" w14:paraId="057B7320" w14:textId="392BB472">
      <w:pPr>
        <w:spacing w:after="120"/>
        <w:rPr>
          <w:rFonts w:cstheme="minorHAnsi"/>
          <w:b/>
          <w:bCs/>
        </w:rPr>
      </w:pPr>
      <w:r w:rsidRPr="00E77AFE">
        <w:rPr>
          <w:rFonts w:cstheme="minorHAnsi"/>
          <w:b/>
          <w:bCs/>
          <w:szCs w:val="24"/>
        </w:rPr>
        <w:t>Recommendations for the full-scale study</w:t>
      </w:r>
    </w:p>
    <w:p w:rsidRPr="009B6118" w:rsidR="00287221" w:rsidP="00287221" w:rsidRDefault="00287221" w14:paraId="5F474BFE" w14:textId="67E63490">
      <w:pPr>
        <w:spacing w:after="120"/>
        <w:rPr>
          <w:rFonts w:cstheme="minorHAnsi"/>
          <w:szCs w:val="24"/>
        </w:rPr>
      </w:pPr>
      <w:r w:rsidRPr="00537D6A">
        <w:rPr>
          <w:rFonts w:cstheme="minorHAnsi"/>
          <w:szCs w:val="24"/>
        </w:rPr>
        <w:t xml:space="preserve">Offering sample members an early bird incentive did not significantly improve response </w:t>
      </w:r>
      <w:r w:rsidRPr="009B6118">
        <w:rPr>
          <w:rFonts w:cstheme="minorHAnsi"/>
          <w:szCs w:val="24"/>
        </w:rPr>
        <w:t>rates or representativeness by the end of data collection. Further, while offering an early bird incentive did bring in responses a few days sooner than offering the baseline incentive alone, this small gain in efficiency did not justify the cost of the early bird. Therefore, the use of an early bird incentive in the BPS:20/22 full-scale data collection is not recommended.</w:t>
      </w:r>
    </w:p>
    <w:p w:rsidRPr="00FD5576" w:rsidR="00287221" w:rsidP="00EE3E0D" w:rsidRDefault="00287221" w14:paraId="4D3B2F68" w14:textId="324EB1C3">
      <w:pPr>
        <w:pStyle w:val="Heading4"/>
        <w:numPr>
          <w:ilvl w:val="0"/>
          <w:numId w:val="17"/>
        </w:numPr>
        <w:rPr>
          <w:rFonts w:asciiTheme="minorHAnsi" w:hAnsiTheme="minorHAnsi" w:cstheme="minorHAnsi"/>
        </w:rPr>
      </w:pPr>
      <w:r w:rsidRPr="00FD5576">
        <w:rPr>
          <w:rFonts w:asciiTheme="minorHAnsi" w:hAnsiTheme="minorHAnsi" w:cstheme="minorHAnsi"/>
        </w:rPr>
        <w:t>Experiment #</w:t>
      </w:r>
      <w:r>
        <w:rPr>
          <w:rFonts w:asciiTheme="minorHAnsi" w:hAnsiTheme="minorHAnsi" w:cstheme="minorHAnsi"/>
        </w:rPr>
        <w:t>2</w:t>
      </w:r>
      <w:r w:rsidRPr="00FD5576">
        <w:rPr>
          <w:rFonts w:asciiTheme="minorHAnsi" w:hAnsiTheme="minorHAnsi" w:cstheme="minorHAnsi"/>
        </w:rPr>
        <w:t>, Data Collection: Reminder Modes</w:t>
      </w:r>
    </w:p>
    <w:p w:rsidRPr="009B6118" w:rsidR="00287221" w:rsidP="00287221" w:rsidRDefault="00287221" w14:paraId="72968457" w14:textId="77777777">
      <w:pPr>
        <w:spacing w:after="120"/>
        <w:rPr>
          <w:rFonts w:cstheme="minorHAnsi"/>
          <w:color w:val="000000"/>
          <w:szCs w:val="24"/>
        </w:rPr>
      </w:pPr>
      <w:r w:rsidRPr="009B6118">
        <w:rPr>
          <w:rFonts w:cstheme="minorHAnsi"/>
          <w:color w:val="000000"/>
          <w:szCs w:val="24"/>
        </w:rPr>
        <w:t xml:space="preserve">Text message advance notifications and reminders have been shown to significantly increase response rates (e.g., Callegaro et al. 2011; Schober et al. 2015). Further, National Postsecondary Student Aid Study (NPSAS) focus group (n = 50 overall; including n = 20 FTB) results suggest that text messaging is the preferred mode of communication for most focus group participants (21 mentions). E-mails were mentioned as the preferred mode 11 times, and telephone 6 times. Text messaging was also used in NPSAS:20 to prompt sample members to complete the survey. When compared to prompting using telephone calls, these text message reminders have comparable rates of survey completes, a higher absolute number of completes, and are more cost efficient. </w:t>
      </w:r>
    </w:p>
    <w:p w:rsidRPr="009B6118" w:rsidR="00287221" w:rsidP="00287221" w:rsidRDefault="00287221" w14:paraId="135FFC76" w14:textId="5DC6F261">
      <w:pPr>
        <w:spacing w:after="120"/>
        <w:rPr>
          <w:rFonts w:cstheme="minorHAnsi"/>
          <w:color w:val="000000"/>
          <w:szCs w:val="24"/>
        </w:rPr>
      </w:pPr>
      <w:r w:rsidRPr="009B6118">
        <w:rPr>
          <w:rFonts w:cstheme="minorHAnsi"/>
          <w:color w:val="000000"/>
          <w:szCs w:val="24"/>
        </w:rPr>
        <w:t xml:space="preserve">After two months of data collection, all nonresponding BPS:20/22 field test sample members </w:t>
      </w:r>
      <w:r w:rsidRPr="009B6118">
        <w:rPr>
          <w:rFonts w:cstheme="minorHAnsi"/>
          <w:szCs w:val="24"/>
        </w:rPr>
        <w:t>(n = 1,840</w:t>
      </w:r>
      <w:r w:rsidRPr="009B6118">
        <w:rPr>
          <w:rStyle w:val="FootnoteReference"/>
          <w:rFonts w:cstheme="minorHAnsi"/>
          <w:szCs w:val="24"/>
        </w:rPr>
        <w:footnoteReference w:id="3"/>
      </w:r>
      <w:r w:rsidRPr="009B6118">
        <w:rPr>
          <w:rFonts w:cstheme="minorHAnsi"/>
          <w:szCs w:val="24"/>
        </w:rPr>
        <w:t xml:space="preserve">) were randomly assigned </w:t>
      </w:r>
      <w:r w:rsidRPr="009B6118">
        <w:rPr>
          <w:rFonts w:cstheme="minorHAnsi"/>
          <w:color w:val="000000"/>
          <w:szCs w:val="24"/>
        </w:rPr>
        <w:t>to one of two groups: a control group that received only telephone call reminder prompts (n = 930), and an experimental group that received only text message reminder prompts (n = 910). Sample members received reminders in their assigned mode for three weeks. During this three-week reminder period, all other data collection activities (e.g., reminder e-mails</w:t>
      </w:r>
      <w:r w:rsidR="00422DCD">
        <w:rPr>
          <w:rFonts w:cstheme="minorHAnsi"/>
          <w:color w:val="000000"/>
          <w:szCs w:val="24"/>
        </w:rPr>
        <w:t>, hardcopy mailings</w:t>
      </w:r>
      <w:r w:rsidRPr="009B6118">
        <w:rPr>
          <w:rFonts w:cstheme="minorHAnsi"/>
          <w:color w:val="000000"/>
          <w:szCs w:val="24"/>
        </w:rPr>
        <w:t>) continued for both groups.</w:t>
      </w:r>
    </w:p>
    <w:p w:rsidRPr="009B6118" w:rsidR="00287221" w:rsidP="00287221" w:rsidRDefault="00287221" w14:paraId="64650246" w14:textId="77777777">
      <w:pPr>
        <w:spacing w:after="120"/>
        <w:rPr>
          <w:rFonts w:cstheme="minorHAnsi"/>
          <w:b/>
          <w:bCs/>
          <w:szCs w:val="24"/>
        </w:rPr>
      </w:pPr>
      <w:r w:rsidRPr="009B6118">
        <w:rPr>
          <w:rFonts w:cstheme="minorHAnsi"/>
          <w:b/>
          <w:bCs/>
          <w:szCs w:val="24"/>
        </w:rPr>
        <w:t xml:space="preserve">Results. </w:t>
      </w:r>
    </w:p>
    <w:p w:rsidRPr="009B6118" w:rsidR="00287221" w:rsidP="00287221" w:rsidRDefault="00287221" w14:paraId="1215153E" w14:textId="13BF1C2C">
      <w:pPr>
        <w:spacing w:after="120"/>
        <w:rPr>
          <w:rFonts w:cstheme="minorHAnsi"/>
          <w:b/>
          <w:bCs/>
          <w:szCs w:val="24"/>
        </w:rPr>
      </w:pPr>
      <w:r w:rsidRPr="009B6118">
        <w:rPr>
          <w:rFonts w:cstheme="minorHAnsi"/>
          <w:i/>
          <w:iCs/>
          <w:szCs w:val="24"/>
        </w:rPr>
        <w:t xml:space="preserve">Survey response. </w:t>
      </w:r>
      <w:r w:rsidRPr="009B6118">
        <w:rPr>
          <w:rFonts w:cstheme="minorHAnsi"/>
          <w:szCs w:val="24"/>
        </w:rPr>
        <w:t xml:space="preserve">Response rates were examined at two time points during data collection: 1) at the end of the three-week reminder period (10 weeks in the field), and 2) at the end of data collection (17 weeks in the field). </w:t>
      </w:r>
      <w:r w:rsidRPr="009B6118">
        <w:rPr>
          <w:rFonts w:cstheme="minorHAnsi"/>
          <w:szCs w:val="24"/>
        </w:rPr>
        <w:fldChar w:fldCharType="begin"/>
      </w:r>
      <w:r w:rsidRPr="009B6118">
        <w:rPr>
          <w:rFonts w:cstheme="minorHAnsi"/>
          <w:szCs w:val="24"/>
        </w:rPr>
        <w:instrText xml:space="preserve"> REF _Ref79565738 \h  \* MERGEFORMAT </w:instrText>
      </w:r>
      <w:r w:rsidRPr="009B6118">
        <w:rPr>
          <w:rFonts w:cstheme="minorHAnsi"/>
          <w:szCs w:val="24"/>
        </w:rPr>
      </w:r>
      <w:r w:rsidRPr="009B6118">
        <w:rPr>
          <w:rFonts w:cstheme="minorHAnsi"/>
          <w:szCs w:val="24"/>
        </w:rPr>
        <w:fldChar w:fldCharType="separate"/>
      </w:r>
      <w:r w:rsidRPr="00A3046F" w:rsidR="00A3046F">
        <w:rPr>
          <w:szCs w:val="24"/>
        </w:rPr>
        <w:t>Table D.</w:t>
      </w:r>
      <w:r w:rsidRPr="00A3046F" w:rsidR="00A3046F">
        <w:rPr>
          <w:noProof/>
          <w:szCs w:val="24"/>
        </w:rPr>
        <w:t>5</w:t>
      </w:r>
      <w:r w:rsidRPr="009B6118">
        <w:rPr>
          <w:rFonts w:cstheme="minorHAnsi"/>
          <w:szCs w:val="24"/>
        </w:rPr>
        <w:fldChar w:fldCharType="end"/>
      </w:r>
      <w:r w:rsidRPr="009B6118">
        <w:rPr>
          <w:rFonts w:cstheme="minorHAnsi"/>
          <w:szCs w:val="24"/>
        </w:rPr>
        <w:t xml:space="preserve"> summarizes the response rates for the telephone reminder control group and the text message reminder experimental group at these two time points. </w:t>
      </w:r>
    </w:p>
    <w:p w:rsidRPr="009B6118" w:rsidR="00287221" w:rsidP="00287221" w:rsidRDefault="00287221" w14:paraId="4DDCAEE2" w14:textId="77777777">
      <w:pPr>
        <w:spacing w:after="120"/>
        <w:rPr>
          <w:rFonts w:cstheme="minorHAnsi"/>
          <w:szCs w:val="24"/>
        </w:rPr>
      </w:pPr>
      <w:r w:rsidRPr="009B6118">
        <w:rPr>
          <w:rFonts w:cstheme="minorHAnsi"/>
          <w:szCs w:val="24"/>
        </w:rPr>
        <w:t xml:space="preserve">At the end of the reminder period, the response rate for the experimental text message group (13.6 percent) did not significantly differ from the control group who received only telephone reminders (14.2 percent; </w:t>
      </w:r>
      <m:oMath>
        <m:r>
          <w:rPr>
            <w:rFonts w:ascii="Cambria Math" w:hAnsi="Cambria Math" w:cstheme="minorHAnsi"/>
            <w:szCs w:val="24"/>
          </w:rPr>
          <m:t>χ</m:t>
        </m:r>
      </m:oMath>
      <w:r w:rsidRPr="009B6118">
        <w:rPr>
          <w:rFonts w:eastAsiaTheme="minorEastAsia" w:cstheme="minorHAnsi"/>
          <w:szCs w:val="24"/>
          <w:vertAlign w:val="superscript"/>
        </w:rPr>
        <w:t>2</w:t>
      </w:r>
      <w:r w:rsidRPr="009B6118">
        <w:rPr>
          <w:rFonts w:cstheme="minorHAnsi"/>
          <w:szCs w:val="24"/>
        </w:rPr>
        <w:t xml:space="preserve"> = 0.12, </w:t>
      </w:r>
      <w:r w:rsidRPr="009B6118">
        <w:rPr>
          <w:rFonts w:cstheme="minorHAnsi"/>
          <w:i/>
          <w:iCs/>
          <w:szCs w:val="24"/>
        </w:rPr>
        <w:t>p</w:t>
      </w:r>
      <w:r w:rsidRPr="009B6118">
        <w:rPr>
          <w:rFonts w:cstheme="minorHAnsi"/>
          <w:szCs w:val="24"/>
        </w:rPr>
        <w:t xml:space="preserve"> = 0.73). Similarly, at the end of data collection, response rates for the control group (31.5 percent) and the experimental group (29.6 percent) did not significantly differ (</w:t>
      </w:r>
      <m:oMath>
        <m:r>
          <w:rPr>
            <w:rFonts w:ascii="Cambria Math" w:hAnsi="Cambria Math" w:cstheme="minorHAnsi"/>
            <w:szCs w:val="24"/>
          </w:rPr>
          <m:t>χ</m:t>
        </m:r>
      </m:oMath>
      <w:r w:rsidRPr="009B6118">
        <w:rPr>
          <w:rFonts w:eastAsiaTheme="minorEastAsia" w:cstheme="minorHAnsi"/>
          <w:szCs w:val="24"/>
          <w:vertAlign w:val="superscript"/>
        </w:rPr>
        <w:t>2</w:t>
      </w:r>
      <w:r w:rsidRPr="009B6118">
        <w:rPr>
          <w:rFonts w:cstheme="minorHAnsi"/>
          <w:szCs w:val="24"/>
        </w:rPr>
        <w:t xml:space="preserve"> = 0.83, </w:t>
      </w:r>
      <w:r w:rsidRPr="009B6118">
        <w:rPr>
          <w:rFonts w:cstheme="minorHAnsi"/>
          <w:i/>
          <w:iCs/>
          <w:szCs w:val="24"/>
        </w:rPr>
        <w:t>p</w:t>
      </w:r>
      <w:r w:rsidRPr="009B6118">
        <w:rPr>
          <w:rFonts w:cstheme="minorHAnsi"/>
          <w:szCs w:val="24"/>
        </w:rPr>
        <w:t xml:space="preserve"> = 0.36). These results indicate that the less expensive text messaging method of sending reminders was just as effective as telephone reminders at prompting survey response.</w:t>
      </w:r>
    </w:p>
    <w:p w:rsidRPr="00FD5576" w:rsidR="00287221" w:rsidP="00287221" w:rsidRDefault="00287221" w14:paraId="262DF942" w14:textId="05E1CA01">
      <w:pPr>
        <w:pStyle w:val="TableTitle"/>
        <w:rPr>
          <w:shd w:val="clear" w:color="auto" w:fill="FFFFFF"/>
        </w:rPr>
      </w:pPr>
      <w:bookmarkStart w:name="_Ref79565738" w:id="28"/>
      <w:r>
        <w:lastRenderedPageBreak/>
        <w:t xml:space="preserve">Table </w:t>
      </w:r>
      <w:r w:rsidR="00A3046F">
        <w:t>D</w:t>
      </w:r>
      <w:r w:rsidR="00EE3E0D">
        <w:t>.</w:t>
      </w:r>
      <w:r>
        <w:fldChar w:fldCharType="begin"/>
      </w:r>
      <w:r>
        <w:instrText xml:space="preserve"> SEQ Table \* ARABIC </w:instrText>
      </w:r>
      <w:r>
        <w:fldChar w:fldCharType="separate"/>
      </w:r>
      <w:r>
        <w:rPr>
          <w:noProof/>
        </w:rPr>
        <w:t>5</w:t>
      </w:r>
      <w:r>
        <w:fldChar w:fldCharType="end"/>
      </w:r>
      <w:bookmarkEnd w:id="28"/>
      <w:r>
        <w:t xml:space="preserve">. </w:t>
      </w:r>
      <w:r w:rsidRPr="007C0F4D">
        <w:t>2020/22 Beginning Postsecondary Students Field Test</w:t>
      </w:r>
      <w:r>
        <w:t xml:space="preserve"> r</w:t>
      </w:r>
      <w:r w:rsidRPr="00FD5576">
        <w:t xml:space="preserve">esponse rates by </w:t>
      </w:r>
      <w:r w:rsidR="002E34C1">
        <w:t xml:space="preserve">reminder mode </w:t>
      </w:r>
      <w:r w:rsidRPr="00FD5576">
        <w:t>experimental condition and evaluation period</w:t>
      </w:r>
      <w:r>
        <w:t>: 2021</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32"/>
        <w:gridCol w:w="1594"/>
        <w:gridCol w:w="1596"/>
        <w:gridCol w:w="1596"/>
        <w:gridCol w:w="1594"/>
      </w:tblGrid>
      <w:tr w:rsidRPr="00834995" w:rsidR="00287221" w:rsidTr="00287084" w14:paraId="5B72F79D" w14:textId="77777777">
        <w:trPr>
          <w:trHeight w:val="144"/>
          <w:tblHeader/>
        </w:trPr>
        <w:tc>
          <w:tcPr>
            <w:tcW w:w="1966" w:type="pct"/>
            <w:tcBorders>
              <w:top w:val="single" w:color="auto" w:sz="12" w:space="0"/>
              <w:bottom w:val="single" w:color="auto" w:sz="6" w:space="0"/>
            </w:tcBorders>
            <w:vAlign w:val="bottom"/>
          </w:tcPr>
          <w:p w:rsidRPr="00834995" w:rsidR="00287221" w:rsidP="00287084" w:rsidRDefault="00287221" w14:paraId="4CC014B2" w14:textId="77777777">
            <w:pPr>
              <w:autoSpaceDE w:val="0"/>
              <w:autoSpaceDN w:val="0"/>
              <w:adjustRightInd w:val="0"/>
              <w:rPr>
                <w:rFonts w:ascii="Arial" w:hAnsi="Arial" w:cs="Arial"/>
                <w:b/>
                <w:sz w:val="18"/>
                <w:szCs w:val="18"/>
              </w:rPr>
            </w:pPr>
          </w:p>
        </w:tc>
        <w:tc>
          <w:tcPr>
            <w:tcW w:w="758" w:type="pct"/>
            <w:tcBorders>
              <w:top w:val="single" w:color="auto" w:sz="12" w:space="0"/>
              <w:bottom w:val="single" w:color="auto" w:sz="6" w:space="0"/>
            </w:tcBorders>
            <w:vAlign w:val="bottom"/>
          </w:tcPr>
          <w:p w:rsidRPr="00834995" w:rsidR="00287221" w:rsidP="00287084" w:rsidRDefault="00287221" w14:paraId="7FE6C195" w14:textId="77777777">
            <w:pPr>
              <w:keepNext/>
              <w:jc w:val="right"/>
              <w:rPr>
                <w:rFonts w:ascii="Arial" w:hAnsi="Arial" w:cs="Arial"/>
                <w:b/>
                <w:sz w:val="18"/>
                <w:szCs w:val="18"/>
              </w:rPr>
            </w:pPr>
            <w:r w:rsidRPr="00834995">
              <w:rPr>
                <w:rFonts w:ascii="Arial" w:hAnsi="Arial" w:cs="Arial"/>
                <w:b/>
                <w:sz w:val="18"/>
                <w:szCs w:val="18"/>
              </w:rPr>
              <w:t>Control Group</w:t>
            </w:r>
          </w:p>
          <w:p w:rsidRPr="00834995" w:rsidR="00287221" w:rsidP="00287084" w:rsidRDefault="00287221" w14:paraId="529D77ED" w14:textId="77777777">
            <w:pPr>
              <w:autoSpaceDE w:val="0"/>
              <w:autoSpaceDN w:val="0"/>
              <w:adjustRightInd w:val="0"/>
              <w:jc w:val="right"/>
              <w:rPr>
                <w:rFonts w:ascii="Arial" w:hAnsi="Arial" w:cs="Arial"/>
                <w:b/>
                <w:sz w:val="18"/>
                <w:szCs w:val="18"/>
              </w:rPr>
            </w:pPr>
            <w:r w:rsidRPr="00834995">
              <w:rPr>
                <w:rFonts w:ascii="Arial" w:hAnsi="Arial" w:cs="Arial"/>
                <w:bCs/>
                <w:sz w:val="18"/>
                <w:szCs w:val="18"/>
              </w:rPr>
              <w:t>Telephone Reminders</w:t>
            </w:r>
          </w:p>
        </w:tc>
        <w:tc>
          <w:tcPr>
            <w:tcW w:w="759" w:type="pct"/>
            <w:tcBorders>
              <w:top w:val="single" w:color="auto" w:sz="12" w:space="0"/>
              <w:bottom w:val="single" w:color="auto" w:sz="6" w:space="0"/>
            </w:tcBorders>
            <w:vAlign w:val="bottom"/>
          </w:tcPr>
          <w:p w:rsidRPr="00834995" w:rsidR="00287221" w:rsidP="00287084" w:rsidRDefault="00287221" w14:paraId="7E0E903E" w14:textId="77777777">
            <w:pPr>
              <w:keepNext/>
              <w:jc w:val="right"/>
              <w:rPr>
                <w:rFonts w:ascii="Arial" w:hAnsi="Arial" w:cs="Arial"/>
                <w:b/>
                <w:sz w:val="18"/>
                <w:szCs w:val="18"/>
              </w:rPr>
            </w:pPr>
            <w:r w:rsidRPr="00834995">
              <w:rPr>
                <w:rFonts w:ascii="Arial" w:hAnsi="Arial" w:cs="Arial"/>
                <w:b/>
                <w:sz w:val="18"/>
                <w:szCs w:val="18"/>
              </w:rPr>
              <w:t>Treatment Group</w:t>
            </w:r>
          </w:p>
          <w:p w:rsidRPr="00834995" w:rsidR="00287221" w:rsidP="00287084" w:rsidRDefault="00287221" w14:paraId="0FC08FDD" w14:textId="77777777">
            <w:pPr>
              <w:autoSpaceDE w:val="0"/>
              <w:autoSpaceDN w:val="0"/>
              <w:adjustRightInd w:val="0"/>
              <w:jc w:val="right"/>
              <w:rPr>
                <w:rFonts w:ascii="Arial" w:hAnsi="Arial" w:cs="Arial"/>
                <w:b/>
                <w:sz w:val="18"/>
                <w:szCs w:val="18"/>
              </w:rPr>
            </w:pPr>
            <w:r w:rsidRPr="00834995">
              <w:rPr>
                <w:rFonts w:ascii="Arial" w:hAnsi="Arial" w:cs="Arial"/>
                <w:bCs/>
                <w:sz w:val="18"/>
                <w:szCs w:val="18"/>
              </w:rPr>
              <w:t>Text Reminders</w:t>
            </w:r>
          </w:p>
        </w:tc>
        <w:tc>
          <w:tcPr>
            <w:tcW w:w="759" w:type="pct"/>
            <w:tcBorders>
              <w:top w:val="single" w:color="auto" w:sz="12" w:space="0"/>
              <w:bottom w:val="single" w:color="auto" w:sz="6" w:space="0"/>
            </w:tcBorders>
            <w:vAlign w:val="bottom"/>
          </w:tcPr>
          <w:p w:rsidRPr="00834995" w:rsidR="00287221" w:rsidP="00287084" w:rsidRDefault="00287221" w14:paraId="695BD624" w14:textId="77777777">
            <w:pPr>
              <w:autoSpaceDE w:val="0"/>
              <w:autoSpaceDN w:val="0"/>
              <w:adjustRightInd w:val="0"/>
              <w:jc w:val="right"/>
              <w:rPr>
                <w:rFonts w:ascii="Arial" w:hAnsi="Arial" w:cs="Arial"/>
                <w:sz w:val="18"/>
                <w:szCs w:val="18"/>
              </w:rPr>
            </w:pPr>
            <m:oMath>
              <m:r>
                <w:rPr>
                  <w:rFonts w:ascii="Cambria Math" w:hAnsi="Cambria Math" w:cs="Arial"/>
                  <w:sz w:val="18"/>
                  <w:szCs w:val="18"/>
                </w:rPr>
                <m:t>χ</m:t>
              </m:r>
            </m:oMath>
            <w:r w:rsidRPr="00834995">
              <w:rPr>
                <w:rFonts w:ascii="Arial" w:hAnsi="Arial" w:cs="Arial" w:eastAsiaTheme="minorEastAsia"/>
                <w:sz w:val="18"/>
                <w:szCs w:val="18"/>
                <w:vertAlign w:val="superscript"/>
              </w:rPr>
              <w:t>2</w:t>
            </w:r>
          </w:p>
        </w:tc>
        <w:tc>
          <w:tcPr>
            <w:tcW w:w="758" w:type="pct"/>
            <w:tcBorders>
              <w:top w:val="single" w:color="auto" w:sz="12" w:space="0"/>
              <w:bottom w:val="single" w:color="auto" w:sz="6" w:space="0"/>
            </w:tcBorders>
            <w:vAlign w:val="bottom"/>
          </w:tcPr>
          <w:p w:rsidRPr="00834995" w:rsidR="00287221" w:rsidP="00287084" w:rsidRDefault="00287221" w14:paraId="03332083" w14:textId="77777777">
            <w:pPr>
              <w:autoSpaceDE w:val="0"/>
              <w:autoSpaceDN w:val="0"/>
              <w:adjustRightInd w:val="0"/>
              <w:jc w:val="right"/>
              <w:rPr>
                <w:rFonts w:ascii="Arial" w:hAnsi="Arial" w:cs="Arial"/>
                <w:sz w:val="18"/>
                <w:szCs w:val="18"/>
              </w:rPr>
            </w:pPr>
            <w:r w:rsidRPr="00834995">
              <w:rPr>
                <w:rFonts w:ascii="Arial" w:hAnsi="Arial" w:cs="Arial"/>
                <w:i/>
                <w:iCs/>
                <w:sz w:val="18"/>
                <w:szCs w:val="18"/>
              </w:rPr>
              <w:t>p</w:t>
            </w:r>
            <w:r w:rsidRPr="00834995">
              <w:rPr>
                <w:rFonts w:ascii="Arial" w:hAnsi="Arial" w:cs="Arial"/>
                <w:sz w:val="18"/>
                <w:szCs w:val="18"/>
              </w:rPr>
              <w:t>-value</w:t>
            </w:r>
          </w:p>
        </w:tc>
      </w:tr>
      <w:tr w:rsidRPr="00834995" w:rsidR="00287221" w:rsidTr="00287084" w14:paraId="2AA39284" w14:textId="77777777">
        <w:trPr>
          <w:trHeight w:val="144"/>
        </w:trPr>
        <w:tc>
          <w:tcPr>
            <w:tcW w:w="1966" w:type="pct"/>
            <w:tcBorders>
              <w:top w:val="single" w:color="auto" w:sz="6" w:space="0"/>
            </w:tcBorders>
          </w:tcPr>
          <w:p w:rsidRPr="00834995" w:rsidR="00287221" w:rsidP="00287084" w:rsidRDefault="00287221" w14:paraId="64921A73" w14:textId="77777777">
            <w:pPr>
              <w:autoSpaceDE w:val="0"/>
              <w:autoSpaceDN w:val="0"/>
              <w:adjustRightInd w:val="0"/>
              <w:rPr>
                <w:rFonts w:ascii="Arial" w:hAnsi="Arial" w:cs="Arial"/>
                <w:sz w:val="18"/>
                <w:szCs w:val="18"/>
              </w:rPr>
            </w:pPr>
            <w:r w:rsidRPr="00834995">
              <w:rPr>
                <w:rFonts w:ascii="Arial" w:hAnsi="Arial" w:cs="Arial"/>
                <w:sz w:val="18"/>
                <w:szCs w:val="18"/>
              </w:rPr>
              <w:t>End of reminder period</w:t>
            </w:r>
          </w:p>
        </w:tc>
        <w:tc>
          <w:tcPr>
            <w:tcW w:w="758" w:type="pct"/>
            <w:tcBorders>
              <w:top w:val="single" w:color="auto" w:sz="6" w:space="0"/>
            </w:tcBorders>
          </w:tcPr>
          <w:p w:rsidRPr="00834995" w:rsidR="00287221" w:rsidP="00287084" w:rsidRDefault="00287221" w14:paraId="540DAB82" w14:textId="77777777">
            <w:pPr>
              <w:autoSpaceDE w:val="0"/>
              <w:autoSpaceDN w:val="0"/>
              <w:adjustRightInd w:val="0"/>
              <w:jc w:val="right"/>
              <w:rPr>
                <w:rFonts w:ascii="Arial" w:hAnsi="Arial" w:cs="Arial"/>
                <w:color w:val="000000"/>
                <w:sz w:val="18"/>
                <w:szCs w:val="18"/>
              </w:rPr>
            </w:pPr>
            <w:r w:rsidRPr="00834995">
              <w:rPr>
                <w:rFonts w:ascii="Arial" w:hAnsi="Arial" w:cs="Arial"/>
                <w:color w:val="000000"/>
                <w:sz w:val="18"/>
                <w:szCs w:val="18"/>
              </w:rPr>
              <w:t>14.2</w:t>
            </w:r>
          </w:p>
        </w:tc>
        <w:tc>
          <w:tcPr>
            <w:tcW w:w="759" w:type="pct"/>
            <w:tcBorders>
              <w:top w:val="single" w:color="auto" w:sz="6" w:space="0"/>
            </w:tcBorders>
          </w:tcPr>
          <w:p w:rsidRPr="00834995" w:rsidR="00287221" w:rsidP="00287084" w:rsidRDefault="00287221" w14:paraId="2B796C20" w14:textId="77777777">
            <w:pPr>
              <w:autoSpaceDE w:val="0"/>
              <w:autoSpaceDN w:val="0"/>
              <w:adjustRightInd w:val="0"/>
              <w:jc w:val="right"/>
              <w:rPr>
                <w:rFonts w:ascii="Arial" w:hAnsi="Arial" w:cs="Arial"/>
                <w:color w:val="000000"/>
                <w:sz w:val="18"/>
                <w:szCs w:val="18"/>
              </w:rPr>
            </w:pPr>
            <w:r w:rsidRPr="00834995">
              <w:rPr>
                <w:rFonts w:ascii="Arial" w:hAnsi="Arial" w:cs="Arial"/>
                <w:color w:val="000000"/>
                <w:sz w:val="18"/>
                <w:szCs w:val="18"/>
              </w:rPr>
              <w:t>13.6</w:t>
            </w:r>
          </w:p>
        </w:tc>
        <w:tc>
          <w:tcPr>
            <w:tcW w:w="759" w:type="pct"/>
            <w:tcBorders>
              <w:top w:val="single" w:color="auto" w:sz="6" w:space="0"/>
            </w:tcBorders>
          </w:tcPr>
          <w:p w:rsidRPr="00834995" w:rsidR="00287221" w:rsidP="00287084" w:rsidRDefault="00287221" w14:paraId="6C35CF8E" w14:textId="77777777">
            <w:pPr>
              <w:autoSpaceDE w:val="0"/>
              <w:autoSpaceDN w:val="0"/>
              <w:adjustRightInd w:val="0"/>
              <w:jc w:val="right"/>
              <w:rPr>
                <w:rFonts w:ascii="Arial" w:hAnsi="Arial" w:cs="Arial"/>
                <w:color w:val="000000"/>
                <w:sz w:val="18"/>
                <w:szCs w:val="18"/>
              </w:rPr>
            </w:pPr>
            <w:r w:rsidRPr="00834995">
              <w:rPr>
                <w:rFonts w:ascii="Arial" w:hAnsi="Arial" w:cs="Arial"/>
                <w:color w:val="000000"/>
                <w:sz w:val="18"/>
                <w:szCs w:val="18"/>
              </w:rPr>
              <w:t>0.12</w:t>
            </w:r>
          </w:p>
        </w:tc>
        <w:tc>
          <w:tcPr>
            <w:tcW w:w="758" w:type="pct"/>
            <w:tcBorders>
              <w:top w:val="single" w:color="auto" w:sz="6" w:space="0"/>
            </w:tcBorders>
          </w:tcPr>
          <w:p w:rsidRPr="00834995" w:rsidR="00287221" w:rsidP="00287084" w:rsidRDefault="00287221" w14:paraId="676862CF" w14:textId="77777777">
            <w:pPr>
              <w:autoSpaceDE w:val="0"/>
              <w:autoSpaceDN w:val="0"/>
              <w:adjustRightInd w:val="0"/>
              <w:jc w:val="right"/>
              <w:rPr>
                <w:rFonts w:ascii="Arial" w:hAnsi="Arial" w:cs="Arial"/>
                <w:color w:val="000000"/>
                <w:sz w:val="18"/>
                <w:szCs w:val="18"/>
              </w:rPr>
            </w:pPr>
            <w:r w:rsidRPr="00834995">
              <w:rPr>
                <w:rFonts w:ascii="Arial" w:hAnsi="Arial" w:cs="Arial"/>
                <w:color w:val="000000"/>
                <w:sz w:val="18"/>
                <w:szCs w:val="18"/>
              </w:rPr>
              <w:t>0.73</w:t>
            </w:r>
          </w:p>
        </w:tc>
      </w:tr>
      <w:tr w:rsidRPr="00834995" w:rsidR="00287221" w:rsidTr="00287084" w14:paraId="79E60E9B" w14:textId="77777777">
        <w:trPr>
          <w:trHeight w:val="144"/>
        </w:trPr>
        <w:tc>
          <w:tcPr>
            <w:tcW w:w="1966" w:type="pct"/>
            <w:tcBorders>
              <w:bottom w:val="single" w:color="auto" w:sz="12" w:space="0"/>
            </w:tcBorders>
          </w:tcPr>
          <w:p w:rsidRPr="00834995" w:rsidR="00287221" w:rsidP="00287084" w:rsidRDefault="00287221" w14:paraId="60389A55" w14:textId="77777777">
            <w:pPr>
              <w:autoSpaceDE w:val="0"/>
              <w:autoSpaceDN w:val="0"/>
              <w:adjustRightInd w:val="0"/>
              <w:rPr>
                <w:rFonts w:ascii="Arial" w:hAnsi="Arial" w:cs="Arial"/>
                <w:sz w:val="18"/>
                <w:szCs w:val="18"/>
              </w:rPr>
            </w:pPr>
            <w:r w:rsidRPr="00834995">
              <w:rPr>
                <w:rFonts w:ascii="Arial" w:hAnsi="Arial" w:cs="Arial"/>
                <w:sz w:val="18"/>
                <w:szCs w:val="18"/>
              </w:rPr>
              <w:t>End of data collection</w:t>
            </w:r>
          </w:p>
        </w:tc>
        <w:tc>
          <w:tcPr>
            <w:tcW w:w="758" w:type="pct"/>
            <w:tcBorders>
              <w:bottom w:val="single" w:color="auto" w:sz="12" w:space="0"/>
            </w:tcBorders>
          </w:tcPr>
          <w:p w:rsidRPr="00834995" w:rsidR="00287221" w:rsidP="00287084" w:rsidRDefault="00287221" w14:paraId="76859A8C" w14:textId="77777777">
            <w:pPr>
              <w:autoSpaceDE w:val="0"/>
              <w:autoSpaceDN w:val="0"/>
              <w:adjustRightInd w:val="0"/>
              <w:jc w:val="right"/>
              <w:rPr>
                <w:rFonts w:ascii="Arial" w:hAnsi="Arial" w:cs="Arial"/>
                <w:color w:val="000000"/>
                <w:sz w:val="18"/>
                <w:szCs w:val="18"/>
              </w:rPr>
            </w:pPr>
            <w:r w:rsidRPr="00834995">
              <w:rPr>
                <w:rFonts w:ascii="Arial" w:hAnsi="Arial" w:cs="Arial"/>
                <w:color w:val="000000"/>
                <w:sz w:val="18"/>
                <w:szCs w:val="18"/>
              </w:rPr>
              <w:t>31.5</w:t>
            </w:r>
          </w:p>
        </w:tc>
        <w:tc>
          <w:tcPr>
            <w:tcW w:w="759" w:type="pct"/>
            <w:tcBorders>
              <w:bottom w:val="single" w:color="auto" w:sz="12" w:space="0"/>
            </w:tcBorders>
          </w:tcPr>
          <w:p w:rsidRPr="00834995" w:rsidR="00287221" w:rsidP="00287084" w:rsidRDefault="00287221" w14:paraId="7E86EDBC" w14:textId="77777777">
            <w:pPr>
              <w:autoSpaceDE w:val="0"/>
              <w:autoSpaceDN w:val="0"/>
              <w:adjustRightInd w:val="0"/>
              <w:jc w:val="right"/>
              <w:rPr>
                <w:rFonts w:ascii="Arial" w:hAnsi="Arial" w:cs="Arial"/>
                <w:color w:val="000000"/>
                <w:sz w:val="18"/>
                <w:szCs w:val="18"/>
              </w:rPr>
            </w:pPr>
            <w:r w:rsidRPr="00834995">
              <w:rPr>
                <w:rFonts w:ascii="Arial" w:hAnsi="Arial" w:cs="Arial"/>
                <w:color w:val="000000"/>
                <w:sz w:val="18"/>
                <w:szCs w:val="18"/>
              </w:rPr>
              <w:t>29.6</w:t>
            </w:r>
          </w:p>
        </w:tc>
        <w:tc>
          <w:tcPr>
            <w:tcW w:w="759" w:type="pct"/>
            <w:tcBorders>
              <w:bottom w:val="single" w:color="auto" w:sz="12" w:space="0"/>
            </w:tcBorders>
          </w:tcPr>
          <w:p w:rsidRPr="00834995" w:rsidR="00287221" w:rsidP="00287084" w:rsidRDefault="00287221" w14:paraId="195B2F53" w14:textId="77777777">
            <w:pPr>
              <w:autoSpaceDE w:val="0"/>
              <w:autoSpaceDN w:val="0"/>
              <w:adjustRightInd w:val="0"/>
              <w:jc w:val="right"/>
              <w:rPr>
                <w:rFonts w:ascii="Arial" w:hAnsi="Arial" w:cs="Arial"/>
                <w:color w:val="000000"/>
                <w:sz w:val="18"/>
                <w:szCs w:val="18"/>
              </w:rPr>
            </w:pPr>
            <w:r w:rsidRPr="00834995">
              <w:rPr>
                <w:rFonts w:ascii="Arial" w:hAnsi="Arial" w:cs="Arial"/>
                <w:color w:val="000000"/>
                <w:sz w:val="18"/>
                <w:szCs w:val="18"/>
              </w:rPr>
              <w:t>0.83</w:t>
            </w:r>
          </w:p>
        </w:tc>
        <w:tc>
          <w:tcPr>
            <w:tcW w:w="758" w:type="pct"/>
            <w:tcBorders>
              <w:bottom w:val="single" w:color="auto" w:sz="12" w:space="0"/>
            </w:tcBorders>
          </w:tcPr>
          <w:p w:rsidRPr="00834995" w:rsidR="00287221" w:rsidP="00287084" w:rsidRDefault="00287221" w14:paraId="5A333787" w14:textId="77777777">
            <w:pPr>
              <w:autoSpaceDE w:val="0"/>
              <w:autoSpaceDN w:val="0"/>
              <w:adjustRightInd w:val="0"/>
              <w:jc w:val="right"/>
              <w:rPr>
                <w:rFonts w:ascii="Arial" w:hAnsi="Arial" w:cs="Arial"/>
                <w:color w:val="000000"/>
                <w:sz w:val="18"/>
                <w:szCs w:val="18"/>
              </w:rPr>
            </w:pPr>
            <w:r w:rsidRPr="00834995">
              <w:rPr>
                <w:rFonts w:ascii="Arial" w:hAnsi="Arial" w:cs="Arial"/>
                <w:color w:val="000000"/>
                <w:sz w:val="18"/>
                <w:szCs w:val="18"/>
              </w:rPr>
              <w:t>0.36</w:t>
            </w:r>
          </w:p>
        </w:tc>
      </w:tr>
    </w:tbl>
    <w:p w:rsidRPr="0081158E" w:rsidR="00287221" w:rsidP="00287221" w:rsidRDefault="00287221" w14:paraId="09CB44FA" w14:textId="77777777">
      <w:pPr>
        <w:keepNext/>
        <w:autoSpaceDE w:val="0"/>
        <w:autoSpaceDN w:val="0"/>
        <w:adjustRightInd w:val="0"/>
        <w:rPr>
          <w:rFonts w:ascii="Arial" w:hAnsi="Arial" w:cs="Arial"/>
          <w:sz w:val="16"/>
          <w:szCs w:val="16"/>
        </w:rPr>
      </w:pPr>
      <w:r w:rsidRPr="0081158E">
        <w:rPr>
          <w:rFonts w:ascii="Arial" w:hAnsi="Arial" w:cs="Arial"/>
          <w:sz w:val="16"/>
          <w:szCs w:val="16"/>
        </w:rPr>
        <w:t xml:space="preserve">NOTE: Results exclude ineligible cases. </w:t>
      </w:r>
    </w:p>
    <w:p w:rsidRPr="0081158E" w:rsidR="00287221" w:rsidP="00287221" w:rsidRDefault="00287221" w14:paraId="5621D740" w14:textId="77777777">
      <w:pPr>
        <w:pStyle w:val="tabfigsource"/>
        <w:rPr>
          <w:rFonts w:cs="Arial"/>
          <w:szCs w:val="16"/>
        </w:rPr>
      </w:pPr>
      <w:r w:rsidRPr="0081158E">
        <w:rPr>
          <w:rFonts w:cs="Arial"/>
          <w:szCs w:val="16"/>
        </w:rPr>
        <w:t>SOURCE: U.S. Department of Education, National Center for Education Statistics, 2020/22 Beginning Postsecondary Students (BPS:20/22) Field Test.</w:t>
      </w:r>
    </w:p>
    <w:p w:rsidRPr="009B6118" w:rsidR="00287221" w:rsidP="009A36F8" w:rsidRDefault="00287221" w14:paraId="6B4BA76F" w14:textId="288BAB3E">
      <w:pPr>
        <w:spacing w:after="120"/>
        <w:rPr>
          <w:rFonts w:cstheme="minorHAnsi"/>
          <w:szCs w:val="24"/>
        </w:rPr>
      </w:pPr>
      <w:r w:rsidRPr="009B6118">
        <w:rPr>
          <w:rFonts w:cstheme="minorHAnsi"/>
          <w:i/>
          <w:iCs/>
          <w:szCs w:val="24"/>
        </w:rPr>
        <w:t xml:space="preserve">Representativeness. </w:t>
      </w:r>
      <w:r w:rsidRPr="009B6118">
        <w:rPr>
          <w:rFonts w:cstheme="minorHAnsi"/>
          <w:szCs w:val="24"/>
        </w:rPr>
        <w:t xml:space="preserve">Respondent sample representativeness was investigated at the end of data collection. </w:t>
      </w:r>
      <w:r w:rsidRPr="009B6118">
        <w:rPr>
          <w:rFonts w:cstheme="minorHAnsi"/>
          <w:szCs w:val="24"/>
        </w:rPr>
        <w:fldChar w:fldCharType="begin"/>
      </w:r>
      <w:r w:rsidRPr="009B6118">
        <w:rPr>
          <w:rFonts w:cstheme="minorHAnsi"/>
          <w:szCs w:val="24"/>
        </w:rPr>
        <w:instrText xml:space="preserve"> REF _Ref79565789 \h  \* MERGEFORMAT </w:instrText>
      </w:r>
      <w:r w:rsidRPr="009B6118">
        <w:rPr>
          <w:rFonts w:cstheme="minorHAnsi"/>
          <w:szCs w:val="24"/>
        </w:rPr>
      </w:r>
      <w:r w:rsidRPr="009B6118">
        <w:rPr>
          <w:rFonts w:cstheme="minorHAnsi"/>
          <w:szCs w:val="24"/>
        </w:rPr>
        <w:fldChar w:fldCharType="separate"/>
      </w:r>
      <w:r w:rsidRPr="00A3046F" w:rsidR="00A3046F">
        <w:rPr>
          <w:rFonts w:cstheme="minorHAnsi"/>
          <w:szCs w:val="24"/>
        </w:rPr>
        <w:t>Table D.</w:t>
      </w:r>
      <w:r w:rsidRPr="00A3046F" w:rsidR="00A3046F">
        <w:rPr>
          <w:rFonts w:cstheme="minorHAnsi"/>
          <w:noProof/>
          <w:szCs w:val="24"/>
        </w:rPr>
        <w:t>6</w:t>
      </w:r>
      <w:r w:rsidRPr="009B6118">
        <w:rPr>
          <w:rFonts w:cstheme="minorHAnsi"/>
          <w:szCs w:val="24"/>
        </w:rPr>
        <w:fldChar w:fldCharType="end"/>
      </w:r>
      <w:r w:rsidRPr="009B6118">
        <w:rPr>
          <w:rFonts w:cstheme="minorHAnsi"/>
          <w:szCs w:val="24"/>
        </w:rPr>
        <w:t xml:space="preserve"> below displays sample composition for each of the respondent characteristics by experimental condition. </w:t>
      </w:r>
    </w:p>
    <w:p w:rsidRPr="009B6118" w:rsidR="00287221" w:rsidP="009A36F8" w:rsidRDefault="00287221" w14:paraId="506350D3" w14:textId="77777777">
      <w:pPr>
        <w:spacing w:after="120"/>
        <w:rPr>
          <w:rFonts w:cstheme="minorHAnsi"/>
          <w:szCs w:val="24"/>
        </w:rPr>
      </w:pPr>
      <w:r w:rsidRPr="009B6118">
        <w:rPr>
          <w:rFonts w:cstheme="minorHAnsi"/>
          <w:szCs w:val="24"/>
        </w:rPr>
        <w:t>BPS:20/22 field test respondents were significantly younger than nonrespondents in both the experimental text message reminder group (</w:t>
      </w:r>
      <w:r w:rsidRPr="009B6118">
        <w:rPr>
          <w:rFonts w:cstheme="minorHAnsi"/>
          <w:i/>
          <w:iCs/>
          <w:szCs w:val="24"/>
        </w:rPr>
        <w:t>t</w:t>
      </w:r>
      <w:r w:rsidRPr="009B6118">
        <w:rPr>
          <w:rFonts w:cstheme="minorHAnsi"/>
          <w:szCs w:val="24"/>
        </w:rPr>
        <w:t xml:space="preserve">(602.6) = 3.87, </w:t>
      </w:r>
      <w:r w:rsidRPr="00B024D4">
        <w:rPr>
          <w:rFonts w:cstheme="minorHAnsi"/>
          <w:i/>
          <w:iCs/>
          <w:szCs w:val="24"/>
        </w:rPr>
        <w:t>p</w:t>
      </w:r>
      <w:r w:rsidRPr="009B6118">
        <w:rPr>
          <w:rFonts w:cstheme="minorHAnsi"/>
          <w:szCs w:val="24"/>
        </w:rPr>
        <w:t xml:space="preserve"> &lt; 0.001) and the control telephone reminder group (</w:t>
      </w:r>
      <w:r w:rsidRPr="009B6118">
        <w:rPr>
          <w:rFonts w:cstheme="minorHAnsi"/>
          <w:i/>
          <w:iCs/>
          <w:szCs w:val="24"/>
        </w:rPr>
        <w:t>t</w:t>
      </w:r>
      <w:r w:rsidRPr="009B6118">
        <w:rPr>
          <w:rFonts w:cstheme="minorHAnsi"/>
          <w:szCs w:val="24"/>
        </w:rPr>
        <w:t xml:space="preserve">(813.5) = 6.72, </w:t>
      </w:r>
      <w:r w:rsidRPr="00B024D4">
        <w:rPr>
          <w:rFonts w:cstheme="minorHAnsi"/>
          <w:i/>
          <w:iCs/>
          <w:szCs w:val="24"/>
        </w:rPr>
        <w:t>p</w:t>
      </w:r>
      <w:r w:rsidRPr="009B6118">
        <w:rPr>
          <w:rFonts w:cstheme="minorHAnsi"/>
          <w:szCs w:val="24"/>
        </w:rPr>
        <w:t xml:space="preserve"> &lt; 0.001). This indicates that younger respondents were similarly overrepresented in both the experimental and control groups. There was not, however, a significant difference between the sex of respondents and nonrespondents in both the text message group (</w:t>
      </w:r>
      <m:oMath>
        <m:r>
          <w:rPr>
            <w:rFonts w:ascii="Cambria Math" w:hAnsi="Cambria Math" w:cstheme="minorHAnsi"/>
            <w:szCs w:val="24"/>
          </w:rPr>
          <m:t>χ</m:t>
        </m:r>
      </m:oMath>
      <w:r w:rsidRPr="009B6118">
        <w:rPr>
          <w:rFonts w:eastAsiaTheme="minorEastAsia" w:cstheme="minorHAnsi"/>
          <w:szCs w:val="24"/>
          <w:vertAlign w:val="superscript"/>
        </w:rPr>
        <w:t>2</w:t>
      </w:r>
      <w:r w:rsidRPr="009B6118">
        <w:rPr>
          <w:rFonts w:cstheme="minorHAnsi"/>
          <w:szCs w:val="24"/>
        </w:rPr>
        <w:t xml:space="preserve"> = 0.91, </w:t>
      </w:r>
      <w:r w:rsidRPr="009B6118">
        <w:rPr>
          <w:rFonts w:cstheme="minorHAnsi"/>
          <w:i/>
          <w:iCs/>
          <w:szCs w:val="24"/>
        </w:rPr>
        <w:t>p</w:t>
      </w:r>
      <w:r w:rsidRPr="009B6118">
        <w:rPr>
          <w:rFonts w:cstheme="minorHAnsi"/>
          <w:szCs w:val="24"/>
        </w:rPr>
        <w:t xml:space="preserve"> = 0.34) and the telephone group (</w:t>
      </w:r>
      <m:oMath>
        <m:r>
          <w:rPr>
            <w:rFonts w:ascii="Cambria Math" w:hAnsi="Cambria Math" w:cstheme="minorHAnsi"/>
            <w:szCs w:val="24"/>
          </w:rPr>
          <m:t>χ</m:t>
        </m:r>
      </m:oMath>
      <w:r w:rsidRPr="009B6118">
        <w:rPr>
          <w:rFonts w:eastAsiaTheme="minorEastAsia" w:cstheme="minorHAnsi"/>
          <w:szCs w:val="24"/>
          <w:vertAlign w:val="superscript"/>
        </w:rPr>
        <w:t>2</w:t>
      </w:r>
      <w:r w:rsidRPr="009B6118">
        <w:rPr>
          <w:rFonts w:cstheme="minorHAnsi"/>
          <w:szCs w:val="24"/>
        </w:rPr>
        <w:t xml:space="preserve"> = 0.01, </w:t>
      </w:r>
      <w:r w:rsidRPr="009B6118">
        <w:rPr>
          <w:rFonts w:cstheme="minorHAnsi"/>
          <w:i/>
          <w:iCs/>
          <w:szCs w:val="24"/>
        </w:rPr>
        <w:t>p</w:t>
      </w:r>
      <w:r w:rsidRPr="009B6118">
        <w:rPr>
          <w:rFonts w:cstheme="minorHAnsi"/>
          <w:szCs w:val="24"/>
        </w:rPr>
        <w:t xml:space="preserve"> = 0.92). These results indicate that the percentage of female respondents in both groups was similar to the overall sample. </w:t>
      </w:r>
    </w:p>
    <w:p w:rsidRPr="009B6118" w:rsidR="00287221" w:rsidP="009A36F8" w:rsidRDefault="00287221" w14:paraId="0D20801A" w14:textId="77777777">
      <w:pPr>
        <w:spacing w:after="120"/>
        <w:rPr>
          <w:rFonts w:cstheme="minorHAnsi"/>
          <w:szCs w:val="24"/>
        </w:rPr>
      </w:pPr>
      <w:r w:rsidRPr="009B6118">
        <w:rPr>
          <w:rFonts w:cstheme="minorHAnsi"/>
          <w:szCs w:val="24"/>
        </w:rPr>
        <w:t>White respondents were overrepresented in the control group (</w:t>
      </w:r>
      <m:oMath>
        <m:r>
          <w:rPr>
            <w:rFonts w:ascii="Cambria Math" w:hAnsi="Cambria Math" w:cstheme="minorHAnsi"/>
            <w:szCs w:val="24"/>
          </w:rPr>
          <m:t>χ</m:t>
        </m:r>
      </m:oMath>
      <w:r w:rsidRPr="009B6118">
        <w:rPr>
          <w:rFonts w:eastAsiaTheme="minorEastAsia" w:cstheme="minorHAnsi"/>
          <w:szCs w:val="24"/>
          <w:vertAlign w:val="superscript"/>
        </w:rPr>
        <w:t>2</w:t>
      </w:r>
      <w:r w:rsidRPr="009B6118">
        <w:rPr>
          <w:rFonts w:cstheme="minorHAnsi"/>
          <w:szCs w:val="24"/>
        </w:rPr>
        <w:t xml:space="preserve"> = 7.40, </w:t>
      </w:r>
      <w:r w:rsidRPr="009B6118">
        <w:rPr>
          <w:rFonts w:cstheme="minorHAnsi"/>
          <w:i/>
          <w:iCs/>
          <w:szCs w:val="24"/>
        </w:rPr>
        <w:t>p</w:t>
      </w:r>
      <w:r w:rsidRPr="009B6118">
        <w:rPr>
          <w:rFonts w:cstheme="minorHAnsi"/>
          <w:szCs w:val="24"/>
        </w:rPr>
        <w:t xml:space="preserve"> &lt; 0.01). However, there was not a significant difference between the percentage of </w:t>
      </w:r>
      <w:r>
        <w:rPr>
          <w:rFonts w:cstheme="minorHAnsi"/>
          <w:szCs w:val="24"/>
        </w:rPr>
        <w:t>W</w:t>
      </w:r>
      <w:r w:rsidRPr="009B6118">
        <w:rPr>
          <w:rFonts w:cstheme="minorHAnsi"/>
          <w:szCs w:val="24"/>
        </w:rPr>
        <w:t>hite respondents and nonrespondents in the text message group (</w:t>
      </w:r>
      <m:oMath>
        <m:r>
          <w:rPr>
            <w:rFonts w:ascii="Cambria Math" w:hAnsi="Cambria Math" w:cstheme="minorHAnsi"/>
            <w:szCs w:val="24"/>
          </w:rPr>
          <m:t>χ</m:t>
        </m:r>
      </m:oMath>
      <w:r w:rsidRPr="009B6118">
        <w:rPr>
          <w:rFonts w:eastAsiaTheme="minorEastAsia" w:cstheme="minorHAnsi"/>
          <w:szCs w:val="24"/>
          <w:vertAlign w:val="superscript"/>
        </w:rPr>
        <w:t>2</w:t>
      </w:r>
      <w:r w:rsidRPr="009B6118">
        <w:rPr>
          <w:rFonts w:cstheme="minorHAnsi"/>
          <w:szCs w:val="24"/>
        </w:rPr>
        <w:t xml:space="preserve"> = 0.28, </w:t>
      </w:r>
      <w:r w:rsidRPr="009B6118">
        <w:rPr>
          <w:rFonts w:cstheme="minorHAnsi"/>
          <w:i/>
          <w:iCs/>
          <w:szCs w:val="24"/>
        </w:rPr>
        <w:t>p</w:t>
      </w:r>
      <w:r w:rsidRPr="009B6118">
        <w:rPr>
          <w:rFonts w:cstheme="minorHAnsi"/>
          <w:szCs w:val="24"/>
        </w:rPr>
        <w:t xml:space="preserve"> = 0.60). This indicates that the text message reminders were more effective than telephone reminders at encouraging participation from respondents</w:t>
      </w:r>
      <w:r>
        <w:rPr>
          <w:rFonts w:cstheme="minorHAnsi"/>
          <w:szCs w:val="24"/>
        </w:rPr>
        <w:t xml:space="preserve"> of</w:t>
      </w:r>
      <w:r w:rsidRPr="001B1CE4">
        <w:t xml:space="preserve"> </w:t>
      </w:r>
      <w:r w:rsidRPr="001B1CE4">
        <w:rPr>
          <w:rFonts w:cstheme="minorHAnsi"/>
          <w:szCs w:val="24"/>
        </w:rPr>
        <w:t>races other than White</w:t>
      </w:r>
      <w:r w:rsidRPr="009B6118">
        <w:rPr>
          <w:rFonts w:cstheme="minorHAnsi"/>
          <w:szCs w:val="24"/>
        </w:rPr>
        <w:t xml:space="preserve">. There was not, however, a significant difference between percentage of Hispanic </w:t>
      </w:r>
      <w:r>
        <w:rPr>
          <w:rFonts w:cstheme="minorHAnsi"/>
          <w:szCs w:val="24"/>
        </w:rPr>
        <w:t xml:space="preserve">or Latino </w:t>
      </w:r>
      <w:r w:rsidRPr="009B6118">
        <w:rPr>
          <w:rFonts w:cstheme="minorHAnsi"/>
          <w:szCs w:val="24"/>
        </w:rPr>
        <w:t>respondents and nonrespondents in the text group (</w:t>
      </w:r>
      <m:oMath>
        <m:r>
          <w:rPr>
            <w:rFonts w:ascii="Cambria Math" w:hAnsi="Cambria Math" w:cstheme="minorHAnsi"/>
            <w:szCs w:val="24"/>
          </w:rPr>
          <m:t>χ</m:t>
        </m:r>
      </m:oMath>
      <w:r w:rsidRPr="009B6118">
        <w:rPr>
          <w:rFonts w:eastAsiaTheme="minorEastAsia" w:cstheme="minorHAnsi"/>
          <w:szCs w:val="24"/>
          <w:vertAlign w:val="superscript"/>
        </w:rPr>
        <w:t>2</w:t>
      </w:r>
      <w:r w:rsidRPr="009B6118">
        <w:rPr>
          <w:rFonts w:cstheme="minorHAnsi"/>
          <w:szCs w:val="24"/>
        </w:rPr>
        <w:t xml:space="preserve"> = 0.87, </w:t>
      </w:r>
      <w:r w:rsidRPr="009B6118">
        <w:rPr>
          <w:rFonts w:cstheme="minorHAnsi"/>
          <w:i/>
          <w:iCs/>
          <w:szCs w:val="24"/>
        </w:rPr>
        <w:t>p</w:t>
      </w:r>
      <w:r w:rsidRPr="009B6118">
        <w:rPr>
          <w:rFonts w:cstheme="minorHAnsi"/>
          <w:szCs w:val="24"/>
        </w:rPr>
        <w:t xml:space="preserve"> = 0.35) or the telephone group (</w:t>
      </w:r>
      <m:oMath>
        <m:r>
          <w:rPr>
            <w:rFonts w:ascii="Cambria Math" w:hAnsi="Cambria Math" w:cstheme="minorHAnsi"/>
            <w:szCs w:val="24"/>
          </w:rPr>
          <m:t>χ</m:t>
        </m:r>
      </m:oMath>
      <w:r w:rsidRPr="009B6118">
        <w:rPr>
          <w:rFonts w:eastAsiaTheme="minorEastAsia" w:cstheme="minorHAnsi"/>
          <w:szCs w:val="24"/>
          <w:vertAlign w:val="superscript"/>
        </w:rPr>
        <w:t>2</w:t>
      </w:r>
      <w:r w:rsidRPr="009B6118">
        <w:rPr>
          <w:rFonts w:cstheme="minorHAnsi"/>
          <w:szCs w:val="24"/>
        </w:rPr>
        <w:t xml:space="preserve"> = 1.92, </w:t>
      </w:r>
      <w:r w:rsidRPr="009B6118">
        <w:rPr>
          <w:rFonts w:cstheme="minorHAnsi"/>
          <w:i/>
          <w:iCs/>
          <w:szCs w:val="24"/>
        </w:rPr>
        <w:t>p</w:t>
      </w:r>
      <w:r w:rsidRPr="009B6118">
        <w:rPr>
          <w:rFonts w:cstheme="minorHAnsi"/>
          <w:szCs w:val="24"/>
        </w:rPr>
        <w:t xml:space="preserve"> = 0.17); the percentage of Hispanic </w:t>
      </w:r>
      <w:r>
        <w:rPr>
          <w:rFonts w:cstheme="minorHAnsi"/>
          <w:szCs w:val="24"/>
        </w:rPr>
        <w:t>or Latino</w:t>
      </w:r>
      <w:r w:rsidRPr="00FD20C4">
        <w:rPr>
          <w:rFonts w:cstheme="minorHAnsi"/>
          <w:szCs w:val="24"/>
        </w:rPr>
        <w:t xml:space="preserve"> </w:t>
      </w:r>
      <w:r w:rsidRPr="009B6118">
        <w:rPr>
          <w:rFonts w:cstheme="minorHAnsi"/>
          <w:szCs w:val="24"/>
        </w:rPr>
        <w:t>respondents in both groups was similar to the overall sample.</w:t>
      </w:r>
    </w:p>
    <w:p w:rsidRPr="009B6118" w:rsidR="00287221" w:rsidP="009A36F8" w:rsidRDefault="00287221" w14:paraId="32DF29EE" w14:textId="77777777">
      <w:pPr>
        <w:spacing w:after="120"/>
        <w:rPr>
          <w:rFonts w:cstheme="minorHAnsi"/>
          <w:szCs w:val="24"/>
        </w:rPr>
      </w:pPr>
      <w:r w:rsidRPr="009B6118">
        <w:rPr>
          <w:rFonts w:cstheme="minorHAnsi"/>
          <w:szCs w:val="24"/>
        </w:rPr>
        <w:t>There was not a significant difference between the percentage of respondents and nonrespondents from public institutions in either the text group (</w:t>
      </w:r>
      <m:oMath>
        <m:r>
          <w:rPr>
            <w:rFonts w:ascii="Cambria Math" w:hAnsi="Cambria Math" w:cstheme="minorHAnsi"/>
            <w:szCs w:val="24"/>
          </w:rPr>
          <m:t>χ</m:t>
        </m:r>
      </m:oMath>
      <w:r w:rsidRPr="009B6118">
        <w:rPr>
          <w:rFonts w:eastAsiaTheme="minorEastAsia" w:cstheme="minorHAnsi"/>
          <w:szCs w:val="24"/>
          <w:vertAlign w:val="superscript"/>
        </w:rPr>
        <w:t>2</w:t>
      </w:r>
      <w:r w:rsidRPr="009B6118">
        <w:rPr>
          <w:rFonts w:cstheme="minorHAnsi"/>
          <w:szCs w:val="24"/>
        </w:rPr>
        <w:t xml:space="preserve"> = 1.53, </w:t>
      </w:r>
      <w:r w:rsidRPr="009B6118">
        <w:rPr>
          <w:rFonts w:cstheme="minorHAnsi"/>
          <w:i/>
          <w:iCs/>
          <w:szCs w:val="24"/>
        </w:rPr>
        <w:t>p</w:t>
      </w:r>
      <w:r w:rsidRPr="009B6118">
        <w:rPr>
          <w:rFonts w:cstheme="minorHAnsi"/>
          <w:szCs w:val="24"/>
        </w:rPr>
        <w:t xml:space="preserve"> = 0.22) or the telephone group (</w:t>
      </w:r>
      <m:oMath>
        <m:r>
          <w:rPr>
            <w:rFonts w:ascii="Cambria Math" w:hAnsi="Cambria Math" w:cstheme="minorHAnsi"/>
            <w:szCs w:val="24"/>
          </w:rPr>
          <m:t>χ</m:t>
        </m:r>
      </m:oMath>
      <w:r w:rsidRPr="009B6118">
        <w:rPr>
          <w:rFonts w:eastAsiaTheme="minorEastAsia" w:cstheme="minorHAnsi"/>
          <w:szCs w:val="24"/>
          <w:vertAlign w:val="superscript"/>
        </w:rPr>
        <w:t>2</w:t>
      </w:r>
      <w:r w:rsidRPr="009B6118">
        <w:rPr>
          <w:rFonts w:cstheme="minorHAnsi"/>
          <w:szCs w:val="24"/>
        </w:rPr>
        <w:t xml:space="preserve"> = 0.16, </w:t>
      </w:r>
      <w:r w:rsidRPr="009B6118">
        <w:rPr>
          <w:rFonts w:cstheme="minorHAnsi"/>
          <w:i/>
          <w:iCs/>
          <w:szCs w:val="24"/>
        </w:rPr>
        <w:t>p</w:t>
      </w:r>
      <w:r w:rsidRPr="009B6118">
        <w:rPr>
          <w:rFonts w:cstheme="minorHAnsi"/>
          <w:szCs w:val="24"/>
        </w:rPr>
        <w:t xml:space="preserve"> = 0.69). Respondents in both groups were representative of the overall sample. Respondents from private nonprofit institutions were overrepresented in both the text message reminder group (</w:t>
      </w:r>
      <m:oMath>
        <m:r>
          <w:rPr>
            <w:rFonts w:ascii="Cambria Math" w:hAnsi="Cambria Math" w:cstheme="minorHAnsi"/>
            <w:szCs w:val="24"/>
          </w:rPr>
          <m:t>χ</m:t>
        </m:r>
      </m:oMath>
      <w:r w:rsidRPr="009B6118">
        <w:rPr>
          <w:rFonts w:eastAsiaTheme="minorEastAsia" w:cstheme="minorHAnsi"/>
          <w:szCs w:val="24"/>
          <w:vertAlign w:val="superscript"/>
        </w:rPr>
        <w:t>2</w:t>
      </w:r>
      <w:r w:rsidRPr="009B6118">
        <w:rPr>
          <w:rFonts w:cstheme="minorHAnsi"/>
          <w:szCs w:val="24"/>
        </w:rPr>
        <w:t xml:space="preserve"> = 4.05, </w:t>
      </w:r>
      <w:r w:rsidRPr="009B6118">
        <w:rPr>
          <w:rFonts w:cstheme="minorHAnsi"/>
          <w:i/>
          <w:iCs/>
          <w:szCs w:val="24"/>
        </w:rPr>
        <w:t>p</w:t>
      </w:r>
      <w:r w:rsidRPr="009B6118">
        <w:rPr>
          <w:rFonts w:cstheme="minorHAnsi"/>
          <w:szCs w:val="24"/>
        </w:rPr>
        <w:t xml:space="preserve"> &lt; .05) and the telephone reminder group (</w:t>
      </w:r>
      <m:oMath>
        <m:r>
          <w:rPr>
            <w:rFonts w:ascii="Cambria Math" w:hAnsi="Cambria Math" w:cstheme="minorHAnsi"/>
            <w:szCs w:val="24"/>
          </w:rPr>
          <m:t>χ</m:t>
        </m:r>
      </m:oMath>
      <w:r w:rsidRPr="009B6118">
        <w:rPr>
          <w:rFonts w:eastAsiaTheme="minorEastAsia" w:cstheme="minorHAnsi"/>
          <w:szCs w:val="24"/>
          <w:vertAlign w:val="superscript"/>
        </w:rPr>
        <w:t>2</w:t>
      </w:r>
      <w:r w:rsidRPr="009B6118">
        <w:rPr>
          <w:rFonts w:cstheme="minorHAnsi"/>
          <w:szCs w:val="24"/>
        </w:rPr>
        <w:t xml:space="preserve"> = 13.18, </w:t>
      </w:r>
      <w:r w:rsidRPr="009B6118">
        <w:rPr>
          <w:rFonts w:cstheme="minorHAnsi"/>
          <w:i/>
          <w:iCs/>
          <w:szCs w:val="24"/>
        </w:rPr>
        <w:t>p</w:t>
      </w:r>
      <w:r w:rsidRPr="009B6118">
        <w:rPr>
          <w:rFonts w:cstheme="minorHAnsi"/>
          <w:szCs w:val="24"/>
        </w:rPr>
        <w:t xml:space="preserve"> &lt; 0.001). Respondents from private for-profit institutions were underrepresented in the text message group (</w:t>
      </w:r>
      <m:oMath>
        <m:r>
          <w:rPr>
            <w:rFonts w:ascii="Cambria Math" w:hAnsi="Cambria Math" w:cstheme="minorHAnsi"/>
            <w:szCs w:val="24"/>
          </w:rPr>
          <m:t>χ</m:t>
        </m:r>
      </m:oMath>
      <w:r w:rsidRPr="009B6118">
        <w:rPr>
          <w:rFonts w:eastAsiaTheme="minorEastAsia" w:cstheme="minorHAnsi"/>
          <w:szCs w:val="24"/>
          <w:vertAlign w:val="superscript"/>
        </w:rPr>
        <w:t>2</w:t>
      </w:r>
      <w:r w:rsidRPr="009B6118">
        <w:rPr>
          <w:rFonts w:cstheme="minorHAnsi"/>
          <w:szCs w:val="24"/>
        </w:rPr>
        <w:t xml:space="preserve"> = 12.03, </w:t>
      </w:r>
      <w:r w:rsidRPr="009B6118">
        <w:rPr>
          <w:rFonts w:cstheme="minorHAnsi"/>
          <w:i/>
          <w:iCs/>
          <w:szCs w:val="24"/>
        </w:rPr>
        <w:t>p</w:t>
      </w:r>
      <w:r w:rsidRPr="009B6118">
        <w:rPr>
          <w:rFonts w:cstheme="minorHAnsi"/>
          <w:szCs w:val="24"/>
        </w:rPr>
        <w:t xml:space="preserve"> &lt; .01) and the telephone group (</w:t>
      </w:r>
      <m:oMath>
        <m:r>
          <w:rPr>
            <w:rFonts w:ascii="Cambria Math" w:hAnsi="Cambria Math" w:cstheme="minorHAnsi"/>
            <w:szCs w:val="24"/>
          </w:rPr>
          <m:t>χ</m:t>
        </m:r>
      </m:oMath>
      <w:r w:rsidRPr="009B6118">
        <w:rPr>
          <w:rFonts w:eastAsiaTheme="minorEastAsia" w:cstheme="minorHAnsi"/>
          <w:szCs w:val="24"/>
          <w:vertAlign w:val="superscript"/>
        </w:rPr>
        <w:t>2</w:t>
      </w:r>
      <w:r w:rsidRPr="009B6118">
        <w:rPr>
          <w:rFonts w:cstheme="minorHAnsi"/>
          <w:szCs w:val="24"/>
        </w:rPr>
        <w:t xml:space="preserve"> = 9.05, </w:t>
      </w:r>
      <w:r w:rsidRPr="009B6118">
        <w:rPr>
          <w:rFonts w:cstheme="minorHAnsi"/>
          <w:i/>
          <w:iCs/>
          <w:szCs w:val="24"/>
        </w:rPr>
        <w:t>p</w:t>
      </w:r>
      <w:r w:rsidRPr="009B6118">
        <w:rPr>
          <w:rFonts w:cstheme="minorHAnsi"/>
          <w:szCs w:val="24"/>
        </w:rPr>
        <w:t xml:space="preserve"> &lt; 0.01).</w:t>
      </w:r>
    </w:p>
    <w:p w:rsidRPr="009B6118" w:rsidR="00287221" w:rsidP="009A36F8" w:rsidRDefault="00287221" w14:paraId="36586A0D" w14:textId="77777777">
      <w:pPr>
        <w:spacing w:after="120"/>
        <w:rPr>
          <w:rFonts w:cstheme="minorHAnsi"/>
          <w:szCs w:val="24"/>
        </w:rPr>
      </w:pPr>
      <w:r w:rsidRPr="009B6118">
        <w:rPr>
          <w:rFonts w:cstheme="minorHAnsi"/>
          <w:szCs w:val="24"/>
        </w:rPr>
        <w:t>Taken together, these results indicate that generally, text message reminders encouraged response from the same types of sample members as telephone reminders. However, text message reminders have the added benefit of recruiting more respondents</w:t>
      </w:r>
      <w:r>
        <w:rPr>
          <w:rFonts w:cstheme="minorHAnsi"/>
          <w:szCs w:val="24"/>
        </w:rPr>
        <w:t xml:space="preserve"> of</w:t>
      </w:r>
      <w:r w:rsidRPr="001B1CE4">
        <w:t xml:space="preserve"> </w:t>
      </w:r>
      <w:r w:rsidRPr="001B1CE4">
        <w:rPr>
          <w:rFonts w:cstheme="minorHAnsi"/>
          <w:szCs w:val="24"/>
        </w:rPr>
        <w:t>races other than White</w:t>
      </w:r>
      <w:r w:rsidRPr="009B6118">
        <w:rPr>
          <w:rFonts w:cstheme="minorHAnsi"/>
          <w:szCs w:val="24"/>
        </w:rPr>
        <w:t xml:space="preserve"> than telephone reminders, making the resultant respondent sample more like the overall sample.</w:t>
      </w:r>
    </w:p>
    <w:p w:rsidRPr="00FD5576" w:rsidR="00287221" w:rsidP="00287221" w:rsidRDefault="00287221" w14:paraId="78E93F59" w14:textId="4E7113B5">
      <w:pPr>
        <w:pStyle w:val="TableTitle"/>
      </w:pPr>
      <w:bookmarkStart w:name="_Ref79565789" w:id="29"/>
      <w:r>
        <w:lastRenderedPageBreak/>
        <w:t xml:space="preserve">Table </w:t>
      </w:r>
      <w:r w:rsidR="00A3046F">
        <w:t>D</w:t>
      </w:r>
      <w:r w:rsidR="00EE3E0D">
        <w:t>.</w:t>
      </w:r>
      <w:r>
        <w:fldChar w:fldCharType="begin"/>
      </w:r>
      <w:r>
        <w:instrText xml:space="preserve"> SEQ Table \* ARABIC </w:instrText>
      </w:r>
      <w:r>
        <w:fldChar w:fldCharType="separate"/>
      </w:r>
      <w:r>
        <w:rPr>
          <w:noProof/>
        </w:rPr>
        <w:t>6</w:t>
      </w:r>
      <w:r>
        <w:fldChar w:fldCharType="end"/>
      </w:r>
      <w:bookmarkEnd w:id="29"/>
      <w:r>
        <w:t>.</w:t>
      </w:r>
      <w:r w:rsidR="0021411C">
        <w:t xml:space="preserve"> </w:t>
      </w:r>
      <w:r w:rsidRPr="007C0F4D">
        <w:t>2020/22 Beginning Postsecondary Students Field Test</w:t>
      </w:r>
      <w:r>
        <w:t xml:space="preserve"> sample composition by </w:t>
      </w:r>
      <w:r w:rsidR="002E34C1">
        <w:t xml:space="preserve">reminder mode </w:t>
      </w:r>
      <w:r>
        <w:t>experimental condition: 2021</w:t>
      </w:r>
    </w:p>
    <w:tbl>
      <w:tblPr>
        <w:tblStyle w:val="TableGridLight1"/>
        <w:tblW w:w="9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2" w:type="dxa"/>
          <w:right w:w="72" w:type="dxa"/>
        </w:tblCellMar>
        <w:tblLook w:val="04A0" w:firstRow="1" w:lastRow="0" w:firstColumn="1" w:lastColumn="0" w:noHBand="0" w:noVBand="1"/>
      </w:tblPr>
      <w:tblGrid>
        <w:gridCol w:w="4045"/>
        <w:gridCol w:w="2882"/>
        <w:gridCol w:w="2883"/>
      </w:tblGrid>
      <w:tr w:rsidRPr="00B024D4" w:rsidR="00287221" w:rsidTr="00287084" w14:paraId="64FA0040" w14:textId="77777777">
        <w:trPr>
          <w:trHeight w:val="431"/>
        </w:trPr>
        <w:tc>
          <w:tcPr>
            <w:tcW w:w="4045" w:type="dxa"/>
            <w:tcBorders>
              <w:top w:val="single" w:color="auto" w:sz="12" w:space="0"/>
              <w:bottom w:val="single" w:color="auto" w:sz="6" w:space="0"/>
            </w:tcBorders>
          </w:tcPr>
          <w:p w:rsidRPr="00B024D4" w:rsidR="00287221" w:rsidP="00287084" w:rsidRDefault="00287221" w14:paraId="2730363D" w14:textId="77777777">
            <w:pPr>
              <w:keepNext/>
              <w:autoSpaceDE w:val="0"/>
              <w:autoSpaceDN w:val="0"/>
              <w:adjustRightInd w:val="0"/>
              <w:rPr>
                <w:rFonts w:ascii="Arial" w:hAnsi="Arial" w:cs="Arial"/>
                <w:b/>
                <w:sz w:val="18"/>
                <w:szCs w:val="18"/>
              </w:rPr>
            </w:pPr>
            <w:bookmarkStart w:name="_Hlk79991371" w:id="30"/>
          </w:p>
        </w:tc>
        <w:tc>
          <w:tcPr>
            <w:tcW w:w="2882" w:type="dxa"/>
            <w:tcBorders>
              <w:top w:val="single" w:color="auto" w:sz="12" w:space="0"/>
              <w:bottom w:val="single" w:color="auto" w:sz="6" w:space="0"/>
            </w:tcBorders>
          </w:tcPr>
          <w:p w:rsidRPr="00B024D4" w:rsidR="00287221" w:rsidP="00287084" w:rsidRDefault="00287221" w14:paraId="7F9D9434" w14:textId="77777777">
            <w:pPr>
              <w:keepNext/>
              <w:jc w:val="right"/>
              <w:rPr>
                <w:rFonts w:ascii="Arial" w:hAnsi="Arial" w:cs="Arial"/>
                <w:b/>
                <w:sz w:val="18"/>
                <w:szCs w:val="18"/>
              </w:rPr>
            </w:pPr>
            <w:r w:rsidRPr="00B024D4">
              <w:rPr>
                <w:rFonts w:ascii="Arial" w:hAnsi="Arial" w:cs="Arial"/>
                <w:b/>
                <w:sz w:val="18"/>
                <w:szCs w:val="18"/>
              </w:rPr>
              <w:t>Control Group</w:t>
            </w:r>
          </w:p>
          <w:p w:rsidRPr="00B024D4" w:rsidR="00287221" w:rsidP="00287084" w:rsidRDefault="00287221" w14:paraId="5B4B8B1F" w14:textId="77777777">
            <w:pPr>
              <w:keepNext/>
              <w:jc w:val="right"/>
              <w:rPr>
                <w:rFonts w:ascii="Arial" w:hAnsi="Arial" w:cs="Arial"/>
                <w:bCs/>
                <w:sz w:val="18"/>
                <w:szCs w:val="18"/>
              </w:rPr>
            </w:pPr>
            <w:r w:rsidRPr="00B024D4">
              <w:rPr>
                <w:rFonts w:ascii="Arial" w:hAnsi="Arial" w:cs="Arial"/>
                <w:bCs/>
                <w:sz w:val="18"/>
                <w:szCs w:val="18"/>
              </w:rPr>
              <w:t>Telephone Reminders</w:t>
            </w:r>
          </w:p>
        </w:tc>
        <w:tc>
          <w:tcPr>
            <w:tcW w:w="2883" w:type="dxa"/>
            <w:tcBorders>
              <w:top w:val="single" w:color="auto" w:sz="12" w:space="0"/>
              <w:bottom w:val="single" w:color="auto" w:sz="6" w:space="0"/>
            </w:tcBorders>
          </w:tcPr>
          <w:p w:rsidRPr="00B024D4" w:rsidR="00287221" w:rsidP="00287084" w:rsidRDefault="00287221" w14:paraId="7C250464" w14:textId="77777777">
            <w:pPr>
              <w:keepNext/>
              <w:jc w:val="right"/>
              <w:rPr>
                <w:rFonts w:ascii="Arial" w:hAnsi="Arial" w:cs="Arial"/>
                <w:b/>
                <w:sz w:val="18"/>
                <w:szCs w:val="18"/>
              </w:rPr>
            </w:pPr>
            <w:r w:rsidRPr="00B024D4">
              <w:rPr>
                <w:rFonts w:ascii="Arial" w:hAnsi="Arial" w:cs="Arial"/>
                <w:b/>
                <w:sz w:val="18"/>
                <w:szCs w:val="18"/>
              </w:rPr>
              <w:t>Treatment Group</w:t>
            </w:r>
          </w:p>
          <w:p w:rsidRPr="00B024D4" w:rsidR="00287221" w:rsidP="00287084" w:rsidRDefault="00287221" w14:paraId="33267241" w14:textId="77777777">
            <w:pPr>
              <w:keepNext/>
              <w:jc w:val="right"/>
              <w:rPr>
                <w:rFonts w:ascii="Arial" w:hAnsi="Arial" w:cs="Arial"/>
                <w:bCs/>
                <w:sz w:val="18"/>
                <w:szCs w:val="18"/>
              </w:rPr>
            </w:pPr>
            <w:r w:rsidRPr="00B024D4">
              <w:rPr>
                <w:rFonts w:ascii="Arial" w:hAnsi="Arial" w:cs="Arial"/>
                <w:bCs/>
                <w:sz w:val="18"/>
                <w:szCs w:val="18"/>
              </w:rPr>
              <w:t>Text Reminders</w:t>
            </w:r>
          </w:p>
        </w:tc>
      </w:tr>
      <w:tr w:rsidRPr="00B024D4" w:rsidR="00287221" w:rsidTr="00287084" w14:paraId="2657B6B4" w14:textId="77777777">
        <w:tc>
          <w:tcPr>
            <w:tcW w:w="9810" w:type="dxa"/>
            <w:gridSpan w:val="3"/>
            <w:tcBorders>
              <w:top w:val="single" w:color="auto" w:sz="6" w:space="0"/>
            </w:tcBorders>
          </w:tcPr>
          <w:p w:rsidRPr="00B024D4" w:rsidR="00287221" w:rsidP="00287084" w:rsidRDefault="00287221" w14:paraId="65E892E1" w14:textId="77777777">
            <w:pPr>
              <w:keepNext/>
              <w:autoSpaceDE w:val="0"/>
              <w:autoSpaceDN w:val="0"/>
              <w:adjustRightInd w:val="0"/>
              <w:rPr>
                <w:rFonts w:ascii="Arial" w:hAnsi="Arial" w:cs="Arial"/>
                <w:sz w:val="18"/>
                <w:szCs w:val="18"/>
              </w:rPr>
            </w:pPr>
            <w:r w:rsidRPr="00B024D4">
              <w:rPr>
                <w:rFonts w:ascii="Arial" w:hAnsi="Arial" w:cs="Arial"/>
                <w:b/>
                <w:bCs/>
                <w:sz w:val="18"/>
                <w:szCs w:val="18"/>
              </w:rPr>
              <w:t>Age</w:t>
            </w:r>
            <w:r w:rsidRPr="00B024D4">
              <w:rPr>
                <w:rFonts w:ascii="Arial" w:hAnsi="Arial" w:cs="Arial"/>
                <w:sz w:val="18"/>
                <w:szCs w:val="18"/>
              </w:rPr>
              <w:t xml:space="preserve"> (mean)</w:t>
            </w:r>
          </w:p>
        </w:tc>
      </w:tr>
      <w:tr w:rsidRPr="00B024D4" w:rsidR="00287221" w:rsidTr="00287084" w14:paraId="29636A1B" w14:textId="77777777">
        <w:tc>
          <w:tcPr>
            <w:tcW w:w="4045" w:type="dxa"/>
          </w:tcPr>
          <w:p w:rsidRPr="00B024D4" w:rsidR="00287221" w:rsidP="00287084" w:rsidRDefault="00287221" w14:paraId="0E08DFA0" w14:textId="77777777">
            <w:pPr>
              <w:keepNext/>
              <w:autoSpaceDE w:val="0"/>
              <w:autoSpaceDN w:val="0"/>
              <w:adjustRightInd w:val="0"/>
              <w:ind w:left="155"/>
              <w:rPr>
                <w:rFonts w:ascii="Arial" w:hAnsi="Arial" w:cs="Arial"/>
                <w:sz w:val="18"/>
                <w:szCs w:val="18"/>
              </w:rPr>
            </w:pPr>
            <w:r w:rsidRPr="00B024D4">
              <w:rPr>
                <w:rFonts w:ascii="Arial" w:hAnsi="Arial" w:cs="Arial"/>
                <w:sz w:val="18"/>
                <w:szCs w:val="18"/>
              </w:rPr>
              <w:t>Respondents</w:t>
            </w:r>
          </w:p>
        </w:tc>
        <w:tc>
          <w:tcPr>
            <w:tcW w:w="2882" w:type="dxa"/>
          </w:tcPr>
          <w:p w:rsidRPr="00B024D4" w:rsidR="00287221" w:rsidP="00287084" w:rsidRDefault="00287221" w14:paraId="0577B480"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21.4</w:t>
            </w:r>
          </w:p>
        </w:tc>
        <w:tc>
          <w:tcPr>
            <w:tcW w:w="2883" w:type="dxa"/>
          </w:tcPr>
          <w:p w:rsidRPr="00B024D4" w:rsidR="00287221" w:rsidP="00287084" w:rsidRDefault="00287221" w14:paraId="5C544EE4"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21.8</w:t>
            </w:r>
          </w:p>
        </w:tc>
      </w:tr>
      <w:tr w:rsidRPr="00B024D4" w:rsidR="00287221" w:rsidTr="00287084" w14:paraId="6C396F50" w14:textId="77777777">
        <w:tc>
          <w:tcPr>
            <w:tcW w:w="4045" w:type="dxa"/>
          </w:tcPr>
          <w:p w:rsidRPr="00B024D4" w:rsidR="00287221" w:rsidP="00287084" w:rsidRDefault="00287221" w14:paraId="65EA4926" w14:textId="77777777">
            <w:pPr>
              <w:keepNext/>
              <w:autoSpaceDE w:val="0"/>
              <w:autoSpaceDN w:val="0"/>
              <w:adjustRightInd w:val="0"/>
              <w:ind w:left="155"/>
              <w:rPr>
                <w:rFonts w:ascii="Arial" w:hAnsi="Arial" w:cs="Arial"/>
                <w:sz w:val="18"/>
                <w:szCs w:val="18"/>
              </w:rPr>
            </w:pPr>
            <w:r w:rsidRPr="00B024D4">
              <w:rPr>
                <w:rFonts w:ascii="Arial" w:hAnsi="Arial" w:cs="Arial"/>
                <w:sz w:val="18"/>
                <w:szCs w:val="18"/>
              </w:rPr>
              <w:t>Nonrespondents</w:t>
            </w:r>
          </w:p>
        </w:tc>
        <w:tc>
          <w:tcPr>
            <w:tcW w:w="2882" w:type="dxa"/>
          </w:tcPr>
          <w:p w:rsidRPr="00B024D4" w:rsidR="00287221" w:rsidP="00287084" w:rsidRDefault="00287221" w14:paraId="6805319C"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23.8</w:t>
            </w:r>
          </w:p>
        </w:tc>
        <w:tc>
          <w:tcPr>
            <w:tcW w:w="2883" w:type="dxa"/>
          </w:tcPr>
          <w:p w:rsidRPr="00B024D4" w:rsidR="00287221" w:rsidP="00287084" w:rsidRDefault="00287221" w14:paraId="2A4D22B6"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23.2</w:t>
            </w:r>
          </w:p>
        </w:tc>
      </w:tr>
      <w:tr w:rsidRPr="00B024D4" w:rsidR="00287221" w:rsidTr="00287084" w14:paraId="1F3DDC31" w14:textId="77777777">
        <w:tc>
          <w:tcPr>
            <w:tcW w:w="4045" w:type="dxa"/>
          </w:tcPr>
          <w:p w:rsidRPr="00B024D4" w:rsidR="00287221" w:rsidP="00287084" w:rsidRDefault="00287221" w14:paraId="7270500A" w14:textId="77777777">
            <w:pPr>
              <w:keepNext/>
              <w:autoSpaceDE w:val="0"/>
              <w:autoSpaceDN w:val="0"/>
              <w:adjustRightInd w:val="0"/>
              <w:ind w:left="158"/>
              <w:rPr>
                <w:rFonts w:ascii="Arial" w:hAnsi="Arial" w:cs="Arial"/>
                <w:sz w:val="18"/>
                <w:szCs w:val="18"/>
              </w:rPr>
            </w:pPr>
            <w:r w:rsidRPr="00B024D4">
              <w:rPr>
                <w:rFonts w:ascii="Arial" w:hAnsi="Arial" w:cs="Arial"/>
                <w:sz w:val="18"/>
                <w:szCs w:val="18"/>
              </w:rPr>
              <w:t>Respondents – Nonrespondents</w:t>
            </w:r>
          </w:p>
        </w:tc>
        <w:tc>
          <w:tcPr>
            <w:tcW w:w="2882" w:type="dxa"/>
          </w:tcPr>
          <w:p w:rsidRPr="00B024D4" w:rsidR="00287221" w:rsidP="00287084" w:rsidRDefault="00287221" w14:paraId="59BB72C3"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-2.4***</w:t>
            </w:r>
          </w:p>
        </w:tc>
        <w:tc>
          <w:tcPr>
            <w:tcW w:w="2883" w:type="dxa"/>
          </w:tcPr>
          <w:p w:rsidRPr="00B024D4" w:rsidR="00287221" w:rsidP="00287084" w:rsidRDefault="00287221" w14:paraId="072E88AC"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-1.4***</w:t>
            </w:r>
          </w:p>
        </w:tc>
      </w:tr>
      <w:tr w:rsidRPr="00B024D4" w:rsidR="00287221" w:rsidTr="00287084" w14:paraId="5322FB1F" w14:textId="77777777">
        <w:tc>
          <w:tcPr>
            <w:tcW w:w="4045" w:type="dxa"/>
          </w:tcPr>
          <w:p w:rsidRPr="00B024D4" w:rsidR="00287221" w:rsidP="00287084" w:rsidRDefault="00287221" w14:paraId="23351600" w14:textId="77777777">
            <w:pPr>
              <w:keepNext/>
              <w:autoSpaceDE w:val="0"/>
              <w:autoSpaceDN w:val="0"/>
              <w:adjustRightInd w:val="0"/>
              <w:ind w:left="155"/>
              <w:rPr>
                <w:rFonts w:ascii="Arial" w:hAnsi="Arial" w:cs="Arial"/>
                <w:sz w:val="18"/>
                <w:szCs w:val="18"/>
              </w:rPr>
            </w:pPr>
            <w:r w:rsidRPr="00B024D4">
              <w:rPr>
                <w:rFonts w:ascii="Arial" w:hAnsi="Arial" w:cs="Arial"/>
                <w:sz w:val="18"/>
                <w:szCs w:val="18"/>
              </w:rPr>
              <w:t>Overall Sample (n = 1,830)</w:t>
            </w:r>
            <w:r w:rsidRPr="00B024D4">
              <w:rPr>
                <w:rFonts w:ascii="Arial" w:hAnsi="Arial" w:cs="Arial"/>
                <w:sz w:val="18"/>
                <w:szCs w:val="18"/>
                <w:vertAlign w:val="superscript"/>
              </w:rPr>
              <w:t>1</w:t>
            </w:r>
          </w:p>
        </w:tc>
        <w:tc>
          <w:tcPr>
            <w:tcW w:w="2882" w:type="dxa"/>
          </w:tcPr>
          <w:p w:rsidRPr="00B024D4" w:rsidR="00287221" w:rsidP="00287084" w:rsidRDefault="00287221" w14:paraId="4699BB71"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23.0</w:t>
            </w:r>
          </w:p>
        </w:tc>
        <w:tc>
          <w:tcPr>
            <w:tcW w:w="2883" w:type="dxa"/>
          </w:tcPr>
          <w:p w:rsidRPr="00B024D4" w:rsidR="00287221" w:rsidP="00287084" w:rsidRDefault="00287221" w14:paraId="12B8B5CB"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22.8</w:t>
            </w:r>
          </w:p>
        </w:tc>
      </w:tr>
      <w:tr w:rsidRPr="00B024D4" w:rsidR="00287221" w:rsidTr="00287084" w14:paraId="68062D60" w14:textId="77777777">
        <w:tblPrEx>
          <w:tblCellMar>
            <w:left w:w="108" w:type="dxa"/>
            <w:right w:w="108" w:type="dxa"/>
          </w:tblCellMar>
        </w:tblPrEx>
        <w:tc>
          <w:tcPr>
            <w:tcW w:w="9810" w:type="dxa"/>
            <w:gridSpan w:val="3"/>
          </w:tcPr>
          <w:p w:rsidRPr="00B024D4" w:rsidR="00287221" w:rsidP="00287084" w:rsidRDefault="00287221" w14:paraId="0008ADF5" w14:textId="77777777">
            <w:pPr>
              <w:keepNext/>
              <w:tabs>
                <w:tab w:val="decimal" w:pos="609"/>
              </w:tabs>
              <w:autoSpaceDE w:val="0"/>
              <w:autoSpaceDN w:val="0"/>
              <w:adjustRightInd w:val="0"/>
              <w:rPr>
                <w:rFonts w:ascii="Arial" w:hAnsi="Arial" w:cs="Arial"/>
                <w:sz w:val="18"/>
                <w:szCs w:val="18"/>
              </w:rPr>
            </w:pPr>
            <w:r w:rsidRPr="00B024D4">
              <w:rPr>
                <w:rFonts w:ascii="Arial" w:hAnsi="Arial" w:cs="Arial"/>
                <w:b/>
                <w:bCs/>
                <w:sz w:val="18"/>
                <w:szCs w:val="18"/>
              </w:rPr>
              <w:t>Female</w:t>
            </w:r>
            <w:r w:rsidRPr="00B024D4">
              <w:rPr>
                <w:rFonts w:ascii="Arial" w:hAnsi="Arial" w:cs="Arial"/>
                <w:sz w:val="18"/>
                <w:szCs w:val="18"/>
              </w:rPr>
              <w:t xml:space="preserve"> (in percent)</w:t>
            </w:r>
          </w:p>
        </w:tc>
      </w:tr>
      <w:tr w:rsidRPr="00B024D4" w:rsidR="00287221" w:rsidTr="00287084" w14:paraId="0A2EFD5E" w14:textId="77777777">
        <w:tblPrEx>
          <w:tblCellMar>
            <w:left w:w="108" w:type="dxa"/>
            <w:right w:w="108" w:type="dxa"/>
          </w:tblCellMar>
        </w:tblPrEx>
        <w:tc>
          <w:tcPr>
            <w:tcW w:w="4045" w:type="dxa"/>
          </w:tcPr>
          <w:p w:rsidRPr="00B024D4" w:rsidR="00287221" w:rsidP="00287084" w:rsidRDefault="00287221" w14:paraId="50079D82" w14:textId="77777777">
            <w:pPr>
              <w:keepNext/>
              <w:autoSpaceDE w:val="0"/>
              <w:autoSpaceDN w:val="0"/>
              <w:adjustRightInd w:val="0"/>
              <w:ind w:left="155"/>
              <w:rPr>
                <w:rFonts w:ascii="Arial" w:hAnsi="Arial" w:cs="Arial"/>
                <w:sz w:val="18"/>
                <w:szCs w:val="18"/>
              </w:rPr>
            </w:pPr>
            <w:r w:rsidRPr="00B024D4">
              <w:rPr>
                <w:rFonts w:ascii="Arial" w:hAnsi="Arial" w:cs="Arial"/>
                <w:sz w:val="18"/>
                <w:szCs w:val="18"/>
              </w:rPr>
              <w:t>Respondents</w:t>
            </w:r>
          </w:p>
        </w:tc>
        <w:tc>
          <w:tcPr>
            <w:tcW w:w="2882" w:type="dxa"/>
          </w:tcPr>
          <w:p w:rsidRPr="00B024D4" w:rsidR="00287221" w:rsidP="00287084" w:rsidRDefault="00287221" w14:paraId="4F325F57"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55.2</w:t>
            </w:r>
          </w:p>
        </w:tc>
        <w:tc>
          <w:tcPr>
            <w:tcW w:w="2883" w:type="dxa"/>
          </w:tcPr>
          <w:p w:rsidRPr="00B024D4" w:rsidR="00287221" w:rsidP="00287084" w:rsidRDefault="00287221" w14:paraId="5A8061A6"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53.0</w:t>
            </w:r>
          </w:p>
        </w:tc>
      </w:tr>
      <w:tr w:rsidRPr="00B024D4" w:rsidR="00287221" w:rsidTr="00287084" w14:paraId="6B61CA87" w14:textId="77777777">
        <w:tblPrEx>
          <w:tblCellMar>
            <w:left w:w="108" w:type="dxa"/>
            <w:right w:w="108" w:type="dxa"/>
          </w:tblCellMar>
        </w:tblPrEx>
        <w:tc>
          <w:tcPr>
            <w:tcW w:w="4045" w:type="dxa"/>
          </w:tcPr>
          <w:p w:rsidRPr="00B024D4" w:rsidR="00287221" w:rsidP="00287084" w:rsidRDefault="00287221" w14:paraId="47BAAD61" w14:textId="77777777">
            <w:pPr>
              <w:keepNext/>
              <w:autoSpaceDE w:val="0"/>
              <w:autoSpaceDN w:val="0"/>
              <w:adjustRightInd w:val="0"/>
              <w:ind w:left="155"/>
              <w:rPr>
                <w:rFonts w:ascii="Arial" w:hAnsi="Arial" w:cs="Arial"/>
                <w:sz w:val="18"/>
                <w:szCs w:val="18"/>
              </w:rPr>
            </w:pPr>
            <w:r w:rsidRPr="00B024D4">
              <w:rPr>
                <w:rFonts w:ascii="Arial" w:hAnsi="Arial" w:cs="Arial"/>
                <w:sz w:val="18"/>
                <w:szCs w:val="18"/>
              </w:rPr>
              <w:t>Nonrespondents</w:t>
            </w:r>
          </w:p>
        </w:tc>
        <w:tc>
          <w:tcPr>
            <w:tcW w:w="2882" w:type="dxa"/>
          </w:tcPr>
          <w:p w:rsidRPr="00B024D4" w:rsidR="00287221" w:rsidP="00287084" w:rsidRDefault="00287221" w14:paraId="5F9A3ED9"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55.5</w:t>
            </w:r>
          </w:p>
        </w:tc>
        <w:tc>
          <w:tcPr>
            <w:tcW w:w="2883" w:type="dxa"/>
          </w:tcPr>
          <w:p w:rsidRPr="00B024D4" w:rsidR="00287221" w:rsidP="00287084" w:rsidRDefault="00287221" w14:paraId="3B69F827"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56.5</w:t>
            </w:r>
          </w:p>
        </w:tc>
      </w:tr>
      <w:tr w:rsidRPr="00B024D4" w:rsidR="00287221" w:rsidTr="00287084" w14:paraId="315D55CE" w14:textId="77777777">
        <w:tblPrEx>
          <w:tblCellMar>
            <w:left w:w="108" w:type="dxa"/>
            <w:right w:w="108" w:type="dxa"/>
          </w:tblCellMar>
        </w:tblPrEx>
        <w:tc>
          <w:tcPr>
            <w:tcW w:w="4045" w:type="dxa"/>
          </w:tcPr>
          <w:p w:rsidRPr="00B024D4" w:rsidR="00287221" w:rsidP="00287084" w:rsidRDefault="00287221" w14:paraId="21A39F7F" w14:textId="77777777">
            <w:pPr>
              <w:keepNext/>
              <w:autoSpaceDE w:val="0"/>
              <w:autoSpaceDN w:val="0"/>
              <w:adjustRightInd w:val="0"/>
              <w:ind w:left="155"/>
              <w:rPr>
                <w:rFonts w:ascii="Arial" w:hAnsi="Arial" w:cs="Arial"/>
                <w:sz w:val="18"/>
                <w:szCs w:val="18"/>
              </w:rPr>
            </w:pPr>
            <w:r w:rsidRPr="00B024D4">
              <w:rPr>
                <w:rFonts w:ascii="Arial" w:hAnsi="Arial" w:cs="Arial"/>
                <w:sz w:val="18"/>
                <w:szCs w:val="18"/>
              </w:rPr>
              <w:t>Respondents – Nonrespondents</w:t>
            </w:r>
          </w:p>
        </w:tc>
        <w:tc>
          <w:tcPr>
            <w:tcW w:w="2882" w:type="dxa"/>
          </w:tcPr>
          <w:p w:rsidRPr="00B024D4" w:rsidR="00287221" w:rsidP="00287084" w:rsidRDefault="00287221" w14:paraId="1D2A87C2"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-0.3</w:t>
            </w:r>
          </w:p>
        </w:tc>
        <w:tc>
          <w:tcPr>
            <w:tcW w:w="2883" w:type="dxa"/>
          </w:tcPr>
          <w:p w:rsidRPr="00B024D4" w:rsidR="00287221" w:rsidP="00287084" w:rsidRDefault="00287221" w14:paraId="03A6CEEF"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-3.5</w:t>
            </w:r>
          </w:p>
        </w:tc>
      </w:tr>
      <w:tr w:rsidRPr="00B024D4" w:rsidR="00287221" w:rsidTr="00287084" w14:paraId="174D886D" w14:textId="77777777">
        <w:tblPrEx>
          <w:tblCellMar>
            <w:left w:w="108" w:type="dxa"/>
            <w:right w:w="108" w:type="dxa"/>
          </w:tblCellMar>
        </w:tblPrEx>
        <w:tc>
          <w:tcPr>
            <w:tcW w:w="4045" w:type="dxa"/>
          </w:tcPr>
          <w:p w:rsidRPr="00B024D4" w:rsidR="00287221" w:rsidP="00287084" w:rsidRDefault="00287221" w14:paraId="64B19567" w14:textId="77777777">
            <w:pPr>
              <w:keepNext/>
              <w:autoSpaceDE w:val="0"/>
              <w:autoSpaceDN w:val="0"/>
              <w:adjustRightInd w:val="0"/>
              <w:ind w:left="155"/>
              <w:rPr>
                <w:rFonts w:ascii="Arial" w:hAnsi="Arial" w:cs="Arial"/>
                <w:sz w:val="18"/>
                <w:szCs w:val="18"/>
              </w:rPr>
            </w:pPr>
            <w:r w:rsidRPr="00B024D4">
              <w:rPr>
                <w:rFonts w:ascii="Arial" w:hAnsi="Arial" w:cs="Arial"/>
                <w:sz w:val="18"/>
                <w:szCs w:val="18"/>
              </w:rPr>
              <w:t>Overall Sample (n = 1,690)</w:t>
            </w:r>
            <w:r w:rsidRPr="00B024D4">
              <w:rPr>
                <w:rFonts w:ascii="Arial" w:hAnsi="Arial" w:cs="Arial"/>
                <w:sz w:val="18"/>
                <w:szCs w:val="18"/>
                <w:vertAlign w:val="superscript"/>
              </w:rPr>
              <w:t>1</w:t>
            </w:r>
          </w:p>
        </w:tc>
        <w:tc>
          <w:tcPr>
            <w:tcW w:w="2882" w:type="dxa"/>
          </w:tcPr>
          <w:p w:rsidRPr="00B024D4" w:rsidR="00287221" w:rsidP="00287084" w:rsidRDefault="00287221" w14:paraId="0BBD7AE5"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55.4</w:t>
            </w:r>
          </w:p>
        </w:tc>
        <w:tc>
          <w:tcPr>
            <w:tcW w:w="2883" w:type="dxa"/>
          </w:tcPr>
          <w:p w:rsidRPr="00B024D4" w:rsidR="00287221" w:rsidP="00287084" w:rsidRDefault="00287221" w14:paraId="7F205AEF"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55.4</w:t>
            </w:r>
          </w:p>
        </w:tc>
      </w:tr>
      <w:bookmarkEnd w:id="30"/>
      <w:tr w:rsidRPr="00B024D4" w:rsidR="00287221" w:rsidTr="00287084" w14:paraId="4476405E" w14:textId="77777777">
        <w:tblPrEx>
          <w:tblCellMar>
            <w:left w:w="108" w:type="dxa"/>
            <w:right w:w="108" w:type="dxa"/>
          </w:tblCellMar>
        </w:tblPrEx>
        <w:tc>
          <w:tcPr>
            <w:tcW w:w="9810" w:type="dxa"/>
            <w:gridSpan w:val="3"/>
          </w:tcPr>
          <w:p w:rsidRPr="00B024D4" w:rsidR="00287221" w:rsidP="00287084" w:rsidRDefault="00287221" w14:paraId="14776BFB" w14:textId="77777777">
            <w:pPr>
              <w:keepNext/>
              <w:autoSpaceDE w:val="0"/>
              <w:autoSpaceDN w:val="0"/>
              <w:adjustRightInd w:val="0"/>
              <w:rPr>
                <w:rFonts w:ascii="Arial" w:hAnsi="Arial" w:cs="Arial"/>
                <w:sz w:val="18"/>
                <w:szCs w:val="18"/>
              </w:rPr>
            </w:pPr>
            <w:r w:rsidRPr="00B024D4">
              <w:rPr>
                <w:rFonts w:ascii="Arial" w:hAnsi="Arial" w:cs="Arial"/>
                <w:b/>
                <w:bCs/>
                <w:sz w:val="18"/>
                <w:szCs w:val="18"/>
              </w:rPr>
              <w:t>White</w:t>
            </w:r>
            <w:r w:rsidRPr="00591A08">
              <w:rPr>
                <w:rFonts w:ascii="Arial" w:hAnsi="Arial" w:cs="Arial"/>
                <w:sz w:val="18"/>
                <w:szCs w:val="18"/>
                <w:vertAlign w:val="superscript"/>
              </w:rPr>
              <w:t>2</w:t>
            </w:r>
            <w:r w:rsidRPr="00B024D4">
              <w:rPr>
                <w:rFonts w:ascii="Arial" w:hAnsi="Arial" w:cs="Arial"/>
                <w:sz w:val="18"/>
                <w:szCs w:val="18"/>
              </w:rPr>
              <w:t xml:space="preserve"> (in percent)</w:t>
            </w:r>
          </w:p>
        </w:tc>
      </w:tr>
      <w:tr w:rsidRPr="00B024D4" w:rsidR="00287221" w:rsidTr="00287084" w14:paraId="79B9D1F4" w14:textId="77777777">
        <w:tblPrEx>
          <w:tblCellMar>
            <w:left w:w="108" w:type="dxa"/>
            <w:right w:w="108" w:type="dxa"/>
          </w:tblCellMar>
        </w:tblPrEx>
        <w:tc>
          <w:tcPr>
            <w:tcW w:w="4045" w:type="dxa"/>
          </w:tcPr>
          <w:p w:rsidRPr="00B024D4" w:rsidR="00287221" w:rsidP="00287084" w:rsidRDefault="00287221" w14:paraId="07903B3B" w14:textId="77777777">
            <w:pPr>
              <w:keepNext/>
              <w:autoSpaceDE w:val="0"/>
              <w:autoSpaceDN w:val="0"/>
              <w:adjustRightInd w:val="0"/>
              <w:ind w:left="155"/>
              <w:rPr>
                <w:rFonts w:ascii="Arial" w:hAnsi="Arial" w:cs="Arial"/>
                <w:sz w:val="18"/>
                <w:szCs w:val="18"/>
              </w:rPr>
            </w:pPr>
            <w:r w:rsidRPr="00B024D4">
              <w:rPr>
                <w:rFonts w:ascii="Arial" w:hAnsi="Arial" w:cs="Arial"/>
                <w:sz w:val="18"/>
                <w:szCs w:val="18"/>
              </w:rPr>
              <w:t>Respondents</w:t>
            </w:r>
          </w:p>
        </w:tc>
        <w:tc>
          <w:tcPr>
            <w:tcW w:w="2882" w:type="dxa"/>
          </w:tcPr>
          <w:p w:rsidRPr="00B024D4" w:rsidR="00287221" w:rsidP="00287084" w:rsidRDefault="00287221" w14:paraId="433CFB2F"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74.1</w:t>
            </w:r>
          </w:p>
        </w:tc>
        <w:tc>
          <w:tcPr>
            <w:tcW w:w="2883" w:type="dxa"/>
          </w:tcPr>
          <w:p w:rsidRPr="00B024D4" w:rsidR="00287221" w:rsidP="00287084" w:rsidRDefault="00287221" w14:paraId="157D0F1F"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65.3</w:t>
            </w:r>
          </w:p>
        </w:tc>
      </w:tr>
      <w:tr w:rsidRPr="00B024D4" w:rsidR="00287221" w:rsidTr="00287084" w14:paraId="6488EC84" w14:textId="77777777">
        <w:tblPrEx>
          <w:tblCellMar>
            <w:left w:w="108" w:type="dxa"/>
            <w:right w:w="108" w:type="dxa"/>
          </w:tblCellMar>
        </w:tblPrEx>
        <w:tc>
          <w:tcPr>
            <w:tcW w:w="4045" w:type="dxa"/>
          </w:tcPr>
          <w:p w:rsidRPr="00B024D4" w:rsidR="00287221" w:rsidP="00287084" w:rsidRDefault="00287221" w14:paraId="68B87899" w14:textId="77777777">
            <w:pPr>
              <w:keepNext/>
              <w:autoSpaceDE w:val="0"/>
              <w:autoSpaceDN w:val="0"/>
              <w:adjustRightInd w:val="0"/>
              <w:ind w:left="155"/>
              <w:rPr>
                <w:rFonts w:ascii="Arial" w:hAnsi="Arial" w:cs="Arial"/>
                <w:sz w:val="18"/>
                <w:szCs w:val="18"/>
              </w:rPr>
            </w:pPr>
            <w:r w:rsidRPr="00B024D4">
              <w:rPr>
                <w:rFonts w:ascii="Arial" w:hAnsi="Arial" w:cs="Arial"/>
                <w:sz w:val="18"/>
                <w:szCs w:val="18"/>
              </w:rPr>
              <w:t>Nonrespondents</w:t>
            </w:r>
          </w:p>
        </w:tc>
        <w:tc>
          <w:tcPr>
            <w:tcW w:w="2882" w:type="dxa"/>
          </w:tcPr>
          <w:p w:rsidRPr="00B024D4" w:rsidR="00287221" w:rsidP="00287084" w:rsidRDefault="00287221" w14:paraId="07F76246"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64.5</w:t>
            </w:r>
          </w:p>
        </w:tc>
        <w:tc>
          <w:tcPr>
            <w:tcW w:w="2883" w:type="dxa"/>
          </w:tcPr>
          <w:p w:rsidRPr="00B024D4" w:rsidR="00287221" w:rsidP="00287084" w:rsidRDefault="00287221" w14:paraId="3881BEFE"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63.3</w:t>
            </w:r>
          </w:p>
        </w:tc>
      </w:tr>
      <w:tr w:rsidRPr="00B024D4" w:rsidR="00287221" w:rsidTr="00287084" w14:paraId="58B67F88" w14:textId="77777777">
        <w:tblPrEx>
          <w:tblCellMar>
            <w:left w:w="108" w:type="dxa"/>
            <w:right w:w="108" w:type="dxa"/>
          </w:tblCellMar>
        </w:tblPrEx>
        <w:tc>
          <w:tcPr>
            <w:tcW w:w="4045" w:type="dxa"/>
          </w:tcPr>
          <w:p w:rsidRPr="00B024D4" w:rsidR="00287221" w:rsidP="00287084" w:rsidRDefault="00287221" w14:paraId="73E66069" w14:textId="77777777">
            <w:pPr>
              <w:keepNext/>
              <w:autoSpaceDE w:val="0"/>
              <w:autoSpaceDN w:val="0"/>
              <w:adjustRightInd w:val="0"/>
              <w:ind w:left="155"/>
              <w:rPr>
                <w:rFonts w:ascii="Arial" w:hAnsi="Arial" w:cs="Arial"/>
                <w:sz w:val="18"/>
                <w:szCs w:val="18"/>
              </w:rPr>
            </w:pPr>
            <w:r w:rsidRPr="00B024D4">
              <w:rPr>
                <w:rFonts w:ascii="Arial" w:hAnsi="Arial" w:cs="Arial"/>
                <w:sz w:val="18"/>
                <w:szCs w:val="18"/>
              </w:rPr>
              <w:t>Respondents – Nonrespondents</w:t>
            </w:r>
          </w:p>
        </w:tc>
        <w:tc>
          <w:tcPr>
            <w:tcW w:w="2882" w:type="dxa"/>
          </w:tcPr>
          <w:p w:rsidRPr="00B024D4" w:rsidR="00287221" w:rsidP="00287084" w:rsidRDefault="00287221" w14:paraId="680DA1E4"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9.6**</w:t>
            </w:r>
          </w:p>
        </w:tc>
        <w:tc>
          <w:tcPr>
            <w:tcW w:w="2883" w:type="dxa"/>
          </w:tcPr>
          <w:p w:rsidRPr="00B024D4" w:rsidR="00287221" w:rsidP="00287084" w:rsidRDefault="00287221" w14:paraId="6E088A82"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2.0</w:t>
            </w:r>
          </w:p>
        </w:tc>
      </w:tr>
      <w:tr w:rsidRPr="00B024D4" w:rsidR="00287221" w:rsidTr="00287084" w14:paraId="66D82B03" w14:textId="77777777">
        <w:tblPrEx>
          <w:tblCellMar>
            <w:left w:w="108" w:type="dxa"/>
            <w:right w:w="108" w:type="dxa"/>
          </w:tblCellMar>
        </w:tblPrEx>
        <w:tc>
          <w:tcPr>
            <w:tcW w:w="4045" w:type="dxa"/>
          </w:tcPr>
          <w:p w:rsidRPr="00B024D4" w:rsidR="00287221" w:rsidP="00287084" w:rsidRDefault="00287221" w14:paraId="6C476A3B" w14:textId="77777777">
            <w:pPr>
              <w:keepNext/>
              <w:autoSpaceDE w:val="0"/>
              <w:autoSpaceDN w:val="0"/>
              <w:adjustRightInd w:val="0"/>
              <w:ind w:left="155"/>
              <w:rPr>
                <w:rFonts w:ascii="Arial" w:hAnsi="Arial" w:cs="Arial"/>
                <w:sz w:val="18"/>
                <w:szCs w:val="18"/>
              </w:rPr>
            </w:pPr>
            <w:r w:rsidRPr="00B024D4">
              <w:rPr>
                <w:rFonts w:ascii="Arial" w:hAnsi="Arial" w:cs="Arial"/>
                <w:sz w:val="18"/>
                <w:szCs w:val="18"/>
              </w:rPr>
              <w:t>Overall Sample (n = 1,570)</w:t>
            </w:r>
            <w:r w:rsidRPr="00B024D4">
              <w:rPr>
                <w:rFonts w:ascii="Arial" w:hAnsi="Arial" w:cs="Arial"/>
                <w:sz w:val="18"/>
                <w:szCs w:val="18"/>
                <w:vertAlign w:val="superscript"/>
              </w:rPr>
              <w:t>1</w:t>
            </w:r>
          </w:p>
        </w:tc>
        <w:tc>
          <w:tcPr>
            <w:tcW w:w="2882" w:type="dxa"/>
          </w:tcPr>
          <w:p w:rsidRPr="00B024D4" w:rsidR="00287221" w:rsidP="00287084" w:rsidRDefault="00287221" w14:paraId="0AC353DF"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67.8</w:t>
            </w:r>
          </w:p>
        </w:tc>
        <w:tc>
          <w:tcPr>
            <w:tcW w:w="2883" w:type="dxa"/>
          </w:tcPr>
          <w:p w:rsidRPr="00B024D4" w:rsidR="00287221" w:rsidP="00287084" w:rsidRDefault="00287221" w14:paraId="02753E00"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64.0</w:t>
            </w:r>
          </w:p>
        </w:tc>
      </w:tr>
      <w:tr w:rsidRPr="00B024D4" w:rsidR="00287221" w:rsidTr="00287084" w14:paraId="63C5AC25" w14:textId="77777777">
        <w:tblPrEx>
          <w:tblCellMar>
            <w:left w:w="108" w:type="dxa"/>
            <w:right w:w="108" w:type="dxa"/>
          </w:tblCellMar>
        </w:tblPrEx>
        <w:tc>
          <w:tcPr>
            <w:tcW w:w="9810" w:type="dxa"/>
            <w:gridSpan w:val="3"/>
          </w:tcPr>
          <w:p w:rsidRPr="005F78CC" w:rsidR="00287221" w:rsidP="00287084" w:rsidRDefault="00287221" w14:paraId="0DF707F5" w14:textId="77777777">
            <w:pPr>
              <w:keepNext/>
              <w:autoSpaceDE w:val="0"/>
              <w:autoSpaceDN w:val="0"/>
              <w:adjustRightInd w:val="0"/>
              <w:rPr>
                <w:rFonts w:ascii="Arial" w:hAnsi="Arial" w:cs="Arial"/>
                <w:b/>
                <w:bCs/>
                <w:sz w:val="18"/>
                <w:szCs w:val="18"/>
              </w:rPr>
            </w:pPr>
            <w:r w:rsidRPr="005F78CC">
              <w:rPr>
                <w:rFonts w:ascii="Arial" w:hAnsi="Arial" w:cs="Arial"/>
                <w:b/>
                <w:bCs/>
                <w:sz w:val="18"/>
                <w:szCs w:val="18"/>
              </w:rPr>
              <w:t xml:space="preserve">Hispanic or </w:t>
            </w:r>
          </w:p>
          <w:p w:rsidRPr="00B024D4" w:rsidR="00287221" w:rsidP="00287084" w:rsidRDefault="00287221" w14:paraId="58F901C4" w14:textId="77777777">
            <w:pPr>
              <w:keepNext/>
              <w:tabs>
                <w:tab w:val="decimal" w:pos="609"/>
              </w:tabs>
              <w:autoSpaceDE w:val="0"/>
              <w:autoSpaceDN w:val="0"/>
              <w:adjustRightInd w:val="0"/>
              <w:rPr>
                <w:rFonts w:ascii="Arial" w:hAnsi="Arial" w:cs="Arial"/>
                <w:sz w:val="18"/>
                <w:szCs w:val="18"/>
              </w:rPr>
            </w:pPr>
            <w:r w:rsidRPr="005F78CC">
              <w:rPr>
                <w:rFonts w:ascii="Arial" w:hAnsi="Arial" w:cs="Arial"/>
                <w:b/>
                <w:bCs/>
                <w:sz w:val="18"/>
                <w:szCs w:val="18"/>
              </w:rPr>
              <w:t>Latino</w:t>
            </w:r>
            <w:r w:rsidRPr="0046235F" w:rsidDel="005F78CC">
              <w:rPr>
                <w:rFonts w:ascii="Arial" w:hAnsi="Arial" w:cs="Arial"/>
                <w:b/>
                <w:bCs/>
                <w:sz w:val="18"/>
                <w:szCs w:val="18"/>
              </w:rPr>
              <w:t xml:space="preserve"> </w:t>
            </w:r>
            <w:r w:rsidRPr="00B024D4">
              <w:rPr>
                <w:rFonts w:ascii="Arial" w:hAnsi="Arial" w:cs="Arial"/>
                <w:sz w:val="18"/>
                <w:szCs w:val="18"/>
              </w:rPr>
              <w:t>(in percent)</w:t>
            </w:r>
          </w:p>
        </w:tc>
      </w:tr>
      <w:tr w:rsidRPr="00B024D4" w:rsidR="00287221" w:rsidTr="00287084" w14:paraId="063A6889" w14:textId="77777777">
        <w:tblPrEx>
          <w:tblCellMar>
            <w:left w:w="108" w:type="dxa"/>
            <w:right w:w="108" w:type="dxa"/>
          </w:tblCellMar>
        </w:tblPrEx>
        <w:trPr>
          <w:trHeight w:val="233"/>
        </w:trPr>
        <w:tc>
          <w:tcPr>
            <w:tcW w:w="4045" w:type="dxa"/>
          </w:tcPr>
          <w:p w:rsidRPr="00B024D4" w:rsidR="00287221" w:rsidP="00287084" w:rsidRDefault="00287221" w14:paraId="3169EF85" w14:textId="77777777">
            <w:pPr>
              <w:keepNext/>
              <w:autoSpaceDE w:val="0"/>
              <w:autoSpaceDN w:val="0"/>
              <w:adjustRightInd w:val="0"/>
              <w:ind w:left="155"/>
              <w:rPr>
                <w:rFonts w:ascii="Arial" w:hAnsi="Arial" w:cs="Arial"/>
                <w:sz w:val="18"/>
                <w:szCs w:val="18"/>
              </w:rPr>
            </w:pPr>
            <w:r w:rsidRPr="00B024D4">
              <w:rPr>
                <w:rFonts w:ascii="Arial" w:hAnsi="Arial" w:cs="Arial"/>
                <w:sz w:val="18"/>
                <w:szCs w:val="18"/>
              </w:rPr>
              <w:t>Respondents</w:t>
            </w:r>
          </w:p>
        </w:tc>
        <w:tc>
          <w:tcPr>
            <w:tcW w:w="2882" w:type="dxa"/>
          </w:tcPr>
          <w:p w:rsidRPr="00B024D4" w:rsidR="00287221" w:rsidP="00287084" w:rsidRDefault="00287221" w14:paraId="48168042"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21.3</w:t>
            </w:r>
          </w:p>
        </w:tc>
        <w:tc>
          <w:tcPr>
            <w:tcW w:w="2883" w:type="dxa"/>
          </w:tcPr>
          <w:p w:rsidRPr="00B024D4" w:rsidR="00287221" w:rsidP="00287084" w:rsidRDefault="00287221" w14:paraId="22432DA2"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23.6</w:t>
            </w:r>
          </w:p>
        </w:tc>
      </w:tr>
      <w:tr w:rsidRPr="00B024D4" w:rsidR="00287221" w:rsidTr="00287084" w14:paraId="75C737B3" w14:textId="77777777">
        <w:tblPrEx>
          <w:tblCellMar>
            <w:left w:w="108" w:type="dxa"/>
            <w:right w:w="108" w:type="dxa"/>
          </w:tblCellMar>
        </w:tblPrEx>
        <w:tc>
          <w:tcPr>
            <w:tcW w:w="4045" w:type="dxa"/>
          </w:tcPr>
          <w:p w:rsidRPr="00B024D4" w:rsidR="00287221" w:rsidP="00287084" w:rsidRDefault="00287221" w14:paraId="09C90A98" w14:textId="77777777">
            <w:pPr>
              <w:keepNext/>
              <w:autoSpaceDE w:val="0"/>
              <w:autoSpaceDN w:val="0"/>
              <w:adjustRightInd w:val="0"/>
              <w:ind w:left="155"/>
              <w:rPr>
                <w:rFonts w:ascii="Arial" w:hAnsi="Arial" w:cs="Arial"/>
                <w:sz w:val="18"/>
                <w:szCs w:val="18"/>
              </w:rPr>
            </w:pPr>
            <w:r w:rsidRPr="00B024D4">
              <w:rPr>
                <w:rFonts w:ascii="Arial" w:hAnsi="Arial" w:cs="Arial"/>
                <w:sz w:val="18"/>
                <w:szCs w:val="18"/>
              </w:rPr>
              <w:t>Nonrespondents</w:t>
            </w:r>
          </w:p>
        </w:tc>
        <w:tc>
          <w:tcPr>
            <w:tcW w:w="2882" w:type="dxa"/>
          </w:tcPr>
          <w:p w:rsidRPr="00B024D4" w:rsidR="00287221" w:rsidP="00287084" w:rsidRDefault="00287221" w14:paraId="00A80CE4"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25.8</w:t>
            </w:r>
          </w:p>
        </w:tc>
        <w:tc>
          <w:tcPr>
            <w:tcW w:w="2883" w:type="dxa"/>
          </w:tcPr>
          <w:p w:rsidRPr="00B024D4" w:rsidR="00287221" w:rsidP="00287084" w:rsidRDefault="00287221" w14:paraId="4A0325A0"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20.6</w:t>
            </w:r>
          </w:p>
        </w:tc>
      </w:tr>
      <w:tr w:rsidRPr="00B024D4" w:rsidR="00287221" w:rsidTr="00287084" w14:paraId="7719B7C9" w14:textId="77777777">
        <w:tblPrEx>
          <w:tblCellMar>
            <w:left w:w="108" w:type="dxa"/>
            <w:right w:w="108" w:type="dxa"/>
          </w:tblCellMar>
        </w:tblPrEx>
        <w:tc>
          <w:tcPr>
            <w:tcW w:w="4045" w:type="dxa"/>
          </w:tcPr>
          <w:p w:rsidRPr="00B024D4" w:rsidR="00287221" w:rsidP="00287084" w:rsidRDefault="00287221" w14:paraId="76B0CBC1" w14:textId="77777777">
            <w:pPr>
              <w:keepNext/>
              <w:autoSpaceDE w:val="0"/>
              <w:autoSpaceDN w:val="0"/>
              <w:adjustRightInd w:val="0"/>
              <w:ind w:left="155"/>
              <w:rPr>
                <w:rFonts w:ascii="Arial" w:hAnsi="Arial" w:cs="Arial"/>
                <w:sz w:val="18"/>
                <w:szCs w:val="18"/>
              </w:rPr>
            </w:pPr>
            <w:r w:rsidRPr="00B024D4">
              <w:rPr>
                <w:rFonts w:ascii="Arial" w:hAnsi="Arial" w:cs="Arial"/>
                <w:sz w:val="18"/>
                <w:szCs w:val="18"/>
              </w:rPr>
              <w:t>Respondents – Nonrespondents</w:t>
            </w:r>
          </w:p>
        </w:tc>
        <w:tc>
          <w:tcPr>
            <w:tcW w:w="2882" w:type="dxa"/>
          </w:tcPr>
          <w:p w:rsidRPr="00B024D4" w:rsidR="00287221" w:rsidP="00287084" w:rsidRDefault="00287221" w14:paraId="7785A385"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-4.5</w:t>
            </w:r>
          </w:p>
        </w:tc>
        <w:tc>
          <w:tcPr>
            <w:tcW w:w="2883" w:type="dxa"/>
          </w:tcPr>
          <w:p w:rsidRPr="00B024D4" w:rsidR="00287221" w:rsidP="00287084" w:rsidRDefault="00287221" w14:paraId="5CDF219F"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3.0</w:t>
            </w:r>
          </w:p>
        </w:tc>
      </w:tr>
      <w:tr w:rsidRPr="00B024D4" w:rsidR="00287221" w:rsidTr="00287084" w14:paraId="2B4D7127" w14:textId="77777777">
        <w:tblPrEx>
          <w:tblCellMar>
            <w:left w:w="108" w:type="dxa"/>
            <w:right w:w="108" w:type="dxa"/>
          </w:tblCellMar>
        </w:tblPrEx>
        <w:tc>
          <w:tcPr>
            <w:tcW w:w="4045" w:type="dxa"/>
          </w:tcPr>
          <w:p w:rsidRPr="00B024D4" w:rsidR="00287221" w:rsidP="00287084" w:rsidRDefault="00287221" w14:paraId="30AC90DB" w14:textId="77777777">
            <w:pPr>
              <w:keepNext/>
              <w:autoSpaceDE w:val="0"/>
              <w:autoSpaceDN w:val="0"/>
              <w:adjustRightInd w:val="0"/>
              <w:ind w:left="155"/>
              <w:rPr>
                <w:rFonts w:ascii="Arial" w:hAnsi="Arial" w:cs="Arial"/>
                <w:sz w:val="18"/>
                <w:szCs w:val="18"/>
              </w:rPr>
            </w:pPr>
            <w:r w:rsidRPr="00B024D4">
              <w:rPr>
                <w:rFonts w:ascii="Arial" w:hAnsi="Arial" w:cs="Arial"/>
                <w:sz w:val="18"/>
                <w:szCs w:val="18"/>
              </w:rPr>
              <w:t>Overall Sample (n = 1,570)</w:t>
            </w:r>
            <w:r w:rsidRPr="00B024D4">
              <w:rPr>
                <w:rFonts w:ascii="Arial" w:hAnsi="Arial" w:cs="Arial"/>
                <w:sz w:val="18"/>
                <w:szCs w:val="18"/>
                <w:vertAlign w:val="superscript"/>
              </w:rPr>
              <w:t>1</w:t>
            </w:r>
          </w:p>
        </w:tc>
        <w:tc>
          <w:tcPr>
            <w:tcW w:w="2882" w:type="dxa"/>
          </w:tcPr>
          <w:p w:rsidRPr="00B024D4" w:rsidR="00287221" w:rsidP="00287084" w:rsidRDefault="00287221" w14:paraId="673DFEB1"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24.3</w:t>
            </w:r>
          </w:p>
        </w:tc>
        <w:tc>
          <w:tcPr>
            <w:tcW w:w="2883" w:type="dxa"/>
          </w:tcPr>
          <w:p w:rsidRPr="00B024D4" w:rsidR="00287221" w:rsidP="00287084" w:rsidRDefault="00287221" w14:paraId="5060C409"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21.6</w:t>
            </w:r>
          </w:p>
        </w:tc>
      </w:tr>
      <w:tr w:rsidRPr="00B024D4" w:rsidR="00287221" w:rsidTr="00287084" w14:paraId="28B27C01" w14:textId="77777777">
        <w:tblPrEx>
          <w:tblCellMar>
            <w:left w:w="108" w:type="dxa"/>
            <w:right w:w="108" w:type="dxa"/>
          </w:tblCellMar>
        </w:tblPrEx>
        <w:tc>
          <w:tcPr>
            <w:tcW w:w="4045" w:type="dxa"/>
          </w:tcPr>
          <w:p w:rsidRPr="00B024D4" w:rsidR="00287221" w:rsidP="00287084" w:rsidRDefault="00287221" w14:paraId="54FA9D83" w14:textId="2363FDCB">
            <w:pPr>
              <w:keepNext/>
              <w:autoSpaceDE w:val="0"/>
              <w:autoSpaceDN w:val="0"/>
              <w:adjustRightInd w:val="0"/>
              <w:ind w:left="-19"/>
              <w:rPr>
                <w:rFonts w:ascii="Arial" w:hAnsi="Arial" w:cs="Arial"/>
                <w:b/>
                <w:bCs/>
                <w:sz w:val="18"/>
                <w:szCs w:val="18"/>
              </w:rPr>
            </w:pPr>
            <w:r w:rsidRPr="00B024D4">
              <w:rPr>
                <w:rFonts w:ascii="Arial" w:hAnsi="Arial" w:cs="Arial"/>
                <w:b/>
                <w:bCs/>
                <w:sz w:val="18"/>
                <w:szCs w:val="18"/>
              </w:rPr>
              <w:t>Institution Control</w:t>
            </w:r>
            <w:r w:rsidR="002E34C1">
              <w:rPr>
                <w:rFonts w:ascii="Arial" w:hAnsi="Arial" w:cs="Arial"/>
                <w:b/>
                <w:bCs/>
                <w:sz w:val="18"/>
                <w:szCs w:val="18"/>
              </w:rPr>
              <w:t xml:space="preserve"> (in percent)</w:t>
            </w:r>
          </w:p>
        </w:tc>
        <w:tc>
          <w:tcPr>
            <w:tcW w:w="2882" w:type="dxa"/>
          </w:tcPr>
          <w:p w:rsidRPr="00B024D4" w:rsidR="00287221" w:rsidP="00287084" w:rsidRDefault="00287221" w14:paraId="2D799B35" w14:textId="77777777">
            <w:pPr>
              <w:keepNext/>
              <w:tabs>
                <w:tab w:val="decimal" w:pos="609"/>
              </w:tabs>
              <w:autoSpaceDE w:val="0"/>
              <w:autoSpaceDN w:val="0"/>
              <w:adjustRightInd w:val="0"/>
              <w:jc w:val="right"/>
              <w:rPr>
                <w:rFonts w:ascii="Arial" w:hAnsi="Arial" w:cs="Arial"/>
                <w:sz w:val="18"/>
                <w:szCs w:val="18"/>
              </w:rPr>
            </w:pPr>
          </w:p>
        </w:tc>
        <w:tc>
          <w:tcPr>
            <w:tcW w:w="2883" w:type="dxa"/>
          </w:tcPr>
          <w:p w:rsidRPr="00B024D4" w:rsidR="00287221" w:rsidP="00287084" w:rsidRDefault="00287221" w14:paraId="2D441A52" w14:textId="77777777">
            <w:pPr>
              <w:keepNext/>
              <w:tabs>
                <w:tab w:val="decimal" w:pos="609"/>
              </w:tabs>
              <w:autoSpaceDE w:val="0"/>
              <w:autoSpaceDN w:val="0"/>
              <w:adjustRightInd w:val="0"/>
              <w:jc w:val="right"/>
              <w:rPr>
                <w:rFonts w:ascii="Arial" w:hAnsi="Arial" w:cs="Arial"/>
                <w:sz w:val="18"/>
                <w:szCs w:val="18"/>
              </w:rPr>
            </w:pPr>
          </w:p>
        </w:tc>
      </w:tr>
      <w:tr w:rsidRPr="00B024D4" w:rsidR="00287221" w:rsidTr="00287084" w14:paraId="761485F1" w14:textId="77777777">
        <w:tblPrEx>
          <w:tblCellMar>
            <w:left w:w="108" w:type="dxa"/>
            <w:right w:w="108" w:type="dxa"/>
          </w:tblCellMar>
        </w:tblPrEx>
        <w:tc>
          <w:tcPr>
            <w:tcW w:w="4045" w:type="dxa"/>
          </w:tcPr>
          <w:p w:rsidRPr="00B024D4" w:rsidR="00287221" w:rsidP="00287084" w:rsidRDefault="00287221" w14:paraId="624BFF63" w14:textId="77777777">
            <w:pPr>
              <w:keepNext/>
              <w:autoSpaceDE w:val="0"/>
              <w:autoSpaceDN w:val="0"/>
              <w:adjustRightInd w:val="0"/>
              <w:ind w:left="161"/>
              <w:rPr>
                <w:rFonts w:ascii="Arial" w:hAnsi="Arial" w:cs="Arial"/>
                <w:sz w:val="18"/>
                <w:szCs w:val="18"/>
              </w:rPr>
            </w:pPr>
            <w:r w:rsidRPr="00B024D4">
              <w:rPr>
                <w:rFonts w:ascii="Arial" w:hAnsi="Arial" w:cs="Arial"/>
                <w:sz w:val="18"/>
                <w:szCs w:val="18"/>
              </w:rPr>
              <w:t>Public</w:t>
            </w:r>
          </w:p>
        </w:tc>
        <w:tc>
          <w:tcPr>
            <w:tcW w:w="2882" w:type="dxa"/>
          </w:tcPr>
          <w:p w:rsidRPr="00B024D4" w:rsidR="00287221" w:rsidP="00287084" w:rsidRDefault="00287221" w14:paraId="18916EAE" w14:textId="77777777">
            <w:pPr>
              <w:keepNext/>
              <w:tabs>
                <w:tab w:val="decimal" w:pos="609"/>
              </w:tabs>
              <w:autoSpaceDE w:val="0"/>
              <w:autoSpaceDN w:val="0"/>
              <w:adjustRightInd w:val="0"/>
              <w:jc w:val="right"/>
              <w:rPr>
                <w:rFonts w:ascii="Arial" w:hAnsi="Arial" w:cs="Arial"/>
                <w:sz w:val="18"/>
                <w:szCs w:val="18"/>
              </w:rPr>
            </w:pPr>
          </w:p>
        </w:tc>
        <w:tc>
          <w:tcPr>
            <w:tcW w:w="2883" w:type="dxa"/>
          </w:tcPr>
          <w:p w:rsidRPr="00B024D4" w:rsidR="00287221" w:rsidP="00287084" w:rsidRDefault="00287221" w14:paraId="1E4FCA67" w14:textId="77777777">
            <w:pPr>
              <w:keepNext/>
              <w:tabs>
                <w:tab w:val="decimal" w:pos="609"/>
              </w:tabs>
              <w:autoSpaceDE w:val="0"/>
              <w:autoSpaceDN w:val="0"/>
              <w:adjustRightInd w:val="0"/>
              <w:jc w:val="right"/>
              <w:rPr>
                <w:rFonts w:ascii="Arial" w:hAnsi="Arial" w:cs="Arial"/>
                <w:sz w:val="18"/>
                <w:szCs w:val="18"/>
              </w:rPr>
            </w:pPr>
          </w:p>
        </w:tc>
      </w:tr>
      <w:tr w:rsidRPr="00B024D4" w:rsidR="00287221" w:rsidTr="00287084" w14:paraId="2C78B7D3" w14:textId="77777777">
        <w:tblPrEx>
          <w:tblCellMar>
            <w:left w:w="108" w:type="dxa"/>
            <w:right w:w="108" w:type="dxa"/>
          </w:tblCellMar>
        </w:tblPrEx>
        <w:tc>
          <w:tcPr>
            <w:tcW w:w="4045" w:type="dxa"/>
          </w:tcPr>
          <w:p w:rsidRPr="00B024D4" w:rsidR="00287221" w:rsidP="00287084" w:rsidRDefault="00287221" w14:paraId="0C63550E" w14:textId="77777777">
            <w:pPr>
              <w:keepNext/>
              <w:autoSpaceDE w:val="0"/>
              <w:autoSpaceDN w:val="0"/>
              <w:adjustRightInd w:val="0"/>
              <w:ind w:left="521"/>
              <w:rPr>
                <w:rFonts w:ascii="Arial" w:hAnsi="Arial" w:cs="Arial"/>
                <w:sz w:val="18"/>
                <w:szCs w:val="18"/>
              </w:rPr>
            </w:pPr>
            <w:r w:rsidRPr="00B024D4">
              <w:rPr>
                <w:rFonts w:ascii="Arial" w:hAnsi="Arial" w:cs="Arial"/>
                <w:sz w:val="18"/>
                <w:szCs w:val="18"/>
              </w:rPr>
              <w:t>Respondents</w:t>
            </w:r>
          </w:p>
        </w:tc>
        <w:tc>
          <w:tcPr>
            <w:tcW w:w="2882" w:type="dxa"/>
          </w:tcPr>
          <w:p w:rsidRPr="00B024D4" w:rsidR="00287221" w:rsidP="00287084" w:rsidRDefault="00287221" w14:paraId="59C2C025"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58.6</w:t>
            </w:r>
          </w:p>
        </w:tc>
        <w:tc>
          <w:tcPr>
            <w:tcW w:w="2883" w:type="dxa"/>
          </w:tcPr>
          <w:p w:rsidRPr="00B024D4" w:rsidR="00287221" w:rsidP="00287084" w:rsidRDefault="00287221" w14:paraId="1F521EEA"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63.3</w:t>
            </w:r>
          </w:p>
        </w:tc>
      </w:tr>
      <w:tr w:rsidRPr="00B024D4" w:rsidR="00287221" w:rsidTr="00287084" w14:paraId="44C5219D" w14:textId="77777777">
        <w:tblPrEx>
          <w:tblCellMar>
            <w:left w:w="108" w:type="dxa"/>
            <w:right w:w="108" w:type="dxa"/>
          </w:tblCellMar>
        </w:tblPrEx>
        <w:tc>
          <w:tcPr>
            <w:tcW w:w="4045" w:type="dxa"/>
          </w:tcPr>
          <w:p w:rsidRPr="00B024D4" w:rsidR="00287221" w:rsidP="00287084" w:rsidRDefault="00287221" w14:paraId="2E30D1B3" w14:textId="77777777">
            <w:pPr>
              <w:keepNext/>
              <w:autoSpaceDE w:val="0"/>
              <w:autoSpaceDN w:val="0"/>
              <w:adjustRightInd w:val="0"/>
              <w:ind w:left="521"/>
              <w:rPr>
                <w:rFonts w:ascii="Arial" w:hAnsi="Arial" w:cs="Arial"/>
                <w:sz w:val="18"/>
                <w:szCs w:val="18"/>
              </w:rPr>
            </w:pPr>
            <w:r w:rsidRPr="00B024D4">
              <w:rPr>
                <w:rFonts w:ascii="Arial" w:hAnsi="Arial" w:cs="Arial"/>
                <w:sz w:val="18"/>
                <w:szCs w:val="18"/>
              </w:rPr>
              <w:t>Nonrespondents</w:t>
            </w:r>
          </w:p>
        </w:tc>
        <w:tc>
          <w:tcPr>
            <w:tcW w:w="2882" w:type="dxa"/>
          </w:tcPr>
          <w:p w:rsidRPr="00B024D4" w:rsidR="00287221" w:rsidP="00287084" w:rsidRDefault="00287221" w14:paraId="21E994C6"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59.9</w:t>
            </w:r>
          </w:p>
        </w:tc>
        <w:tc>
          <w:tcPr>
            <w:tcW w:w="2883" w:type="dxa"/>
          </w:tcPr>
          <w:p w:rsidRPr="00B024D4" w:rsidR="00287221" w:rsidP="00287084" w:rsidRDefault="00287221" w14:paraId="18FD341E"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58.9</w:t>
            </w:r>
          </w:p>
        </w:tc>
      </w:tr>
      <w:tr w:rsidRPr="00B024D4" w:rsidR="00287221" w:rsidTr="00287084" w14:paraId="6F7A646B" w14:textId="77777777">
        <w:tblPrEx>
          <w:tblCellMar>
            <w:left w:w="108" w:type="dxa"/>
            <w:right w:w="108" w:type="dxa"/>
          </w:tblCellMar>
        </w:tblPrEx>
        <w:trPr>
          <w:trHeight w:val="125"/>
        </w:trPr>
        <w:tc>
          <w:tcPr>
            <w:tcW w:w="4045" w:type="dxa"/>
          </w:tcPr>
          <w:p w:rsidRPr="00B024D4" w:rsidR="00287221" w:rsidP="00287084" w:rsidRDefault="00287221" w14:paraId="59A75F26" w14:textId="77777777">
            <w:pPr>
              <w:keepNext/>
              <w:autoSpaceDE w:val="0"/>
              <w:autoSpaceDN w:val="0"/>
              <w:adjustRightInd w:val="0"/>
              <w:ind w:left="521"/>
              <w:rPr>
                <w:rFonts w:ascii="Arial" w:hAnsi="Arial" w:cs="Arial"/>
                <w:sz w:val="18"/>
                <w:szCs w:val="18"/>
              </w:rPr>
            </w:pPr>
            <w:r w:rsidRPr="00B024D4">
              <w:rPr>
                <w:rFonts w:ascii="Arial" w:hAnsi="Arial" w:cs="Arial"/>
                <w:sz w:val="18"/>
                <w:szCs w:val="18"/>
              </w:rPr>
              <w:t>Respondents – Nonrespondents</w:t>
            </w:r>
          </w:p>
        </w:tc>
        <w:tc>
          <w:tcPr>
            <w:tcW w:w="2882" w:type="dxa"/>
          </w:tcPr>
          <w:p w:rsidRPr="00B024D4" w:rsidR="00287221" w:rsidP="00287084" w:rsidRDefault="00287221" w14:paraId="04FA09DA"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-1.3</w:t>
            </w:r>
          </w:p>
        </w:tc>
        <w:tc>
          <w:tcPr>
            <w:tcW w:w="2883" w:type="dxa"/>
          </w:tcPr>
          <w:p w:rsidRPr="00B024D4" w:rsidR="00287221" w:rsidP="00287084" w:rsidRDefault="00287221" w14:paraId="0758A9E5"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4.4</w:t>
            </w:r>
          </w:p>
        </w:tc>
      </w:tr>
      <w:tr w:rsidRPr="00B024D4" w:rsidR="00287221" w:rsidTr="00287084" w14:paraId="26AD7C7A" w14:textId="77777777">
        <w:tblPrEx>
          <w:tblCellMar>
            <w:left w:w="108" w:type="dxa"/>
            <w:right w:w="108" w:type="dxa"/>
          </w:tblCellMar>
        </w:tblPrEx>
        <w:tc>
          <w:tcPr>
            <w:tcW w:w="4045" w:type="dxa"/>
          </w:tcPr>
          <w:p w:rsidRPr="00B024D4" w:rsidR="00287221" w:rsidP="00287084" w:rsidRDefault="00287221" w14:paraId="456B5FD9" w14:textId="77777777">
            <w:pPr>
              <w:keepNext/>
              <w:autoSpaceDE w:val="0"/>
              <w:autoSpaceDN w:val="0"/>
              <w:adjustRightInd w:val="0"/>
              <w:ind w:left="521"/>
              <w:rPr>
                <w:rFonts w:ascii="Arial" w:hAnsi="Arial" w:cs="Arial"/>
                <w:sz w:val="18"/>
                <w:szCs w:val="18"/>
              </w:rPr>
            </w:pPr>
            <w:r w:rsidRPr="00B024D4">
              <w:rPr>
                <w:rFonts w:ascii="Arial" w:hAnsi="Arial" w:cs="Arial"/>
                <w:sz w:val="18"/>
                <w:szCs w:val="18"/>
              </w:rPr>
              <w:t>Overall Sample (n = 1,840)</w:t>
            </w:r>
          </w:p>
        </w:tc>
        <w:tc>
          <w:tcPr>
            <w:tcW w:w="2882" w:type="dxa"/>
          </w:tcPr>
          <w:p w:rsidRPr="00B024D4" w:rsidR="00287221" w:rsidP="00287084" w:rsidRDefault="00287221" w14:paraId="4348CECA"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59.5</w:t>
            </w:r>
          </w:p>
        </w:tc>
        <w:tc>
          <w:tcPr>
            <w:tcW w:w="2883" w:type="dxa"/>
          </w:tcPr>
          <w:p w:rsidRPr="00B024D4" w:rsidR="00287221" w:rsidP="00287084" w:rsidRDefault="00287221" w14:paraId="5B31F5BF"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60.2</w:t>
            </w:r>
          </w:p>
        </w:tc>
      </w:tr>
      <w:tr w:rsidRPr="00B024D4" w:rsidR="00287221" w:rsidTr="00287084" w14:paraId="1B3BAB1F" w14:textId="77777777">
        <w:tblPrEx>
          <w:tblCellMar>
            <w:left w:w="108" w:type="dxa"/>
            <w:right w:w="108" w:type="dxa"/>
          </w:tblCellMar>
        </w:tblPrEx>
        <w:tc>
          <w:tcPr>
            <w:tcW w:w="4045" w:type="dxa"/>
          </w:tcPr>
          <w:p w:rsidRPr="00B024D4" w:rsidR="00287221" w:rsidP="00287084" w:rsidRDefault="00287221" w14:paraId="688D10DC" w14:textId="77777777">
            <w:pPr>
              <w:keepNext/>
              <w:autoSpaceDE w:val="0"/>
              <w:autoSpaceDN w:val="0"/>
              <w:adjustRightInd w:val="0"/>
              <w:ind w:left="161"/>
              <w:rPr>
                <w:rFonts w:ascii="Arial" w:hAnsi="Arial" w:cs="Arial"/>
                <w:sz w:val="18"/>
                <w:szCs w:val="18"/>
              </w:rPr>
            </w:pPr>
            <w:r w:rsidRPr="00B024D4">
              <w:rPr>
                <w:rFonts w:ascii="Arial" w:hAnsi="Arial" w:cs="Arial"/>
                <w:sz w:val="18"/>
                <w:szCs w:val="18"/>
              </w:rPr>
              <w:t>Private nonprofit</w:t>
            </w:r>
          </w:p>
        </w:tc>
        <w:tc>
          <w:tcPr>
            <w:tcW w:w="2882" w:type="dxa"/>
          </w:tcPr>
          <w:p w:rsidRPr="00B024D4" w:rsidR="00287221" w:rsidP="00287084" w:rsidRDefault="00287221" w14:paraId="06CCBF23" w14:textId="77777777">
            <w:pPr>
              <w:keepNext/>
              <w:tabs>
                <w:tab w:val="decimal" w:pos="609"/>
              </w:tabs>
              <w:autoSpaceDE w:val="0"/>
              <w:autoSpaceDN w:val="0"/>
              <w:adjustRightInd w:val="0"/>
              <w:jc w:val="right"/>
              <w:rPr>
                <w:rFonts w:ascii="Arial" w:hAnsi="Arial" w:cs="Arial"/>
                <w:sz w:val="18"/>
                <w:szCs w:val="18"/>
              </w:rPr>
            </w:pPr>
          </w:p>
        </w:tc>
        <w:tc>
          <w:tcPr>
            <w:tcW w:w="2883" w:type="dxa"/>
          </w:tcPr>
          <w:p w:rsidRPr="00B024D4" w:rsidR="00287221" w:rsidP="00287084" w:rsidRDefault="00287221" w14:paraId="77CD54D0" w14:textId="77777777">
            <w:pPr>
              <w:keepNext/>
              <w:tabs>
                <w:tab w:val="decimal" w:pos="609"/>
              </w:tabs>
              <w:autoSpaceDE w:val="0"/>
              <w:autoSpaceDN w:val="0"/>
              <w:adjustRightInd w:val="0"/>
              <w:jc w:val="right"/>
              <w:rPr>
                <w:rFonts w:ascii="Arial" w:hAnsi="Arial" w:cs="Arial"/>
                <w:sz w:val="18"/>
                <w:szCs w:val="18"/>
              </w:rPr>
            </w:pPr>
          </w:p>
        </w:tc>
      </w:tr>
      <w:tr w:rsidRPr="00B024D4" w:rsidR="00287221" w:rsidTr="00287084" w14:paraId="029ED10B" w14:textId="77777777">
        <w:tblPrEx>
          <w:tblCellMar>
            <w:left w:w="108" w:type="dxa"/>
            <w:right w:w="108" w:type="dxa"/>
          </w:tblCellMar>
        </w:tblPrEx>
        <w:tc>
          <w:tcPr>
            <w:tcW w:w="4045" w:type="dxa"/>
          </w:tcPr>
          <w:p w:rsidRPr="00B024D4" w:rsidR="00287221" w:rsidP="00287084" w:rsidRDefault="00287221" w14:paraId="5B208BF7" w14:textId="77777777">
            <w:pPr>
              <w:keepNext/>
              <w:autoSpaceDE w:val="0"/>
              <w:autoSpaceDN w:val="0"/>
              <w:adjustRightInd w:val="0"/>
              <w:ind w:left="521"/>
              <w:rPr>
                <w:rFonts w:ascii="Arial" w:hAnsi="Arial" w:cs="Arial"/>
                <w:sz w:val="18"/>
                <w:szCs w:val="18"/>
              </w:rPr>
            </w:pPr>
            <w:r w:rsidRPr="00B024D4">
              <w:rPr>
                <w:rFonts w:ascii="Arial" w:hAnsi="Arial" w:cs="Arial"/>
                <w:sz w:val="18"/>
                <w:szCs w:val="18"/>
              </w:rPr>
              <w:t>Respondents</w:t>
            </w:r>
          </w:p>
        </w:tc>
        <w:tc>
          <w:tcPr>
            <w:tcW w:w="2882" w:type="dxa"/>
          </w:tcPr>
          <w:p w:rsidRPr="00B024D4" w:rsidR="00287221" w:rsidP="00287084" w:rsidRDefault="00287221" w14:paraId="0AA67C6B"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26.0</w:t>
            </w:r>
          </w:p>
        </w:tc>
        <w:tc>
          <w:tcPr>
            <w:tcW w:w="2883" w:type="dxa"/>
          </w:tcPr>
          <w:p w:rsidRPr="00B024D4" w:rsidR="00287221" w:rsidP="00287084" w:rsidRDefault="00287221" w14:paraId="2FFFC7C0"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23.3</w:t>
            </w:r>
          </w:p>
        </w:tc>
      </w:tr>
      <w:tr w:rsidRPr="00B024D4" w:rsidR="00287221" w:rsidTr="00287084" w14:paraId="2A082C72" w14:textId="77777777">
        <w:tblPrEx>
          <w:tblCellMar>
            <w:left w:w="108" w:type="dxa"/>
            <w:right w:w="108" w:type="dxa"/>
          </w:tblCellMar>
        </w:tblPrEx>
        <w:tc>
          <w:tcPr>
            <w:tcW w:w="4045" w:type="dxa"/>
          </w:tcPr>
          <w:p w:rsidRPr="00B024D4" w:rsidR="00287221" w:rsidP="00287084" w:rsidRDefault="00287221" w14:paraId="21C640A1" w14:textId="77777777">
            <w:pPr>
              <w:keepNext/>
              <w:autoSpaceDE w:val="0"/>
              <w:autoSpaceDN w:val="0"/>
              <w:adjustRightInd w:val="0"/>
              <w:ind w:left="521"/>
              <w:rPr>
                <w:rFonts w:ascii="Arial" w:hAnsi="Arial" w:cs="Arial"/>
                <w:sz w:val="18"/>
                <w:szCs w:val="18"/>
              </w:rPr>
            </w:pPr>
            <w:r w:rsidRPr="00B024D4">
              <w:rPr>
                <w:rFonts w:ascii="Arial" w:hAnsi="Arial" w:cs="Arial"/>
                <w:sz w:val="18"/>
                <w:szCs w:val="18"/>
              </w:rPr>
              <w:t>Nonrespondents</w:t>
            </w:r>
          </w:p>
        </w:tc>
        <w:tc>
          <w:tcPr>
            <w:tcW w:w="2882" w:type="dxa"/>
          </w:tcPr>
          <w:p w:rsidRPr="00B024D4" w:rsidR="00287221" w:rsidP="00287084" w:rsidRDefault="00287221" w14:paraId="4DAA2BB8"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15.9</w:t>
            </w:r>
          </w:p>
        </w:tc>
        <w:tc>
          <w:tcPr>
            <w:tcW w:w="2883" w:type="dxa"/>
          </w:tcPr>
          <w:p w:rsidRPr="00B024D4" w:rsidR="00287221" w:rsidP="00287084" w:rsidRDefault="00287221" w14:paraId="145C0A69"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17.6</w:t>
            </w:r>
          </w:p>
        </w:tc>
      </w:tr>
      <w:tr w:rsidRPr="00B024D4" w:rsidR="00287221" w:rsidTr="00287084" w14:paraId="604ED89B" w14:textId="77777777">
        <w:tblPrEx>
          <w:tblCellMar>
            <w:left w:w="108" w:type="dxa"/>
            <w:right w:w="108" w:type="dxa"/>
          </w:tblCellMar>
        </w:tblPrEx>
        <w:tc>
          <w:tcPr>
            <w:tcW w:w="4045" w:type="dxa"/>
          </w:tcPr>
          <w:p w:rsidRPr="00B024D4" w:rsidR="00287221" w:rsidP="00287084" w:rsidRDefault="00287221" w14:paraId="169DE423" w14:textId="77777777">
            <w:pPr>
              <w:keepNext/>
              <w:autoSpaceDE w:val="0"/>
              <w:autoSpaceDN w:val="0"/>
              <w:adjustRightInd w:val="0"/>
              <w:ind w:left="521"/>
              <w:rPr>
                <w:rFonts w:ascii="Arial" w:hAnsi="Arial" w:cs="Arial"/>
                <w:sz w:val="18"/>
                <w:szCs w:val="18"/>
              </w:rPr>
            </w:pPr>
            <w:r w:rsidRPr="00B024D4">
              <w:rPr>
                <w:rFonts w:ascii="Arial" w:hAnsi="Arial" w:cs="Arial"/>
                <w:sz w:val="18"/>
                <w:szCs w:val="18"/>
              </w:rPr>
              <w:t>Respondents – Nonrespondents</w:t>
            </w:r>
          </w:p>
        </w:tc>
        <w:tc>
          <w:tcPr>
            <w:tcW w:w="2882" w:type="dxa"/>
          </w:tcPr>
          <w:p w:rsidRPr="00B024D4" w:rsidR="00287221" w:rsidP="00287084" w:rsidRDefault="00287221" w14:paraId="4245DA92"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10.1***</w:t>
            </w:r>
          </w:p>
        </w:tc>
        <w:tc>
          <w:tcPr>
            <w:tcW w:w="2883" w:type="dxa"/>
          </w:tcPr>
          <w:p w:rsidRPr="00B024D4" w:rsidR="00287221" w:rsidP="00287084" w:rsidRDefault="00287221" w14:paraId="0CDEF44D"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5.7*</w:t>
            </w:r>
          </w:p>
        </w:tc>
      </w:tr>
      <w:tr w:rsidRPr="00B024D4" w:rsidR="00287221" w:rsidTr="00287084" w14:paraId="1F2C5D0C" w14:textId="77777777">
        <w:tblPrEx>
          <w:tblCellMar>
            <w:left w:w="108" w:type="dxa"/>
            <w:right w:w="108" w:type="dxa"/>
          </w:tblCellMar>
        </w:tblPrEx>
        <w:tc>
          <w:tcPr>
            <w:tcW w:w="4045" w:type="dxa"/>
          </w:tcPr>
          <w:p w:rsidRPr="00B024D4" w:rsidR="00287221" w:rsidP="00287084" w:rsidRDefault="00287221" w14:paraId="4BD899B6" w14:textId="77777777">
            <w:pPr>
              <w:keepNext/>
              <w:autoSpaceDE w:val="0"/>
              <w:autoSpaceDN w:val="0"/>
              <w:adjustRightInd w:val="0"/>
              <w:ind w:left="521"/>
              <w:rPr>
                <w:rFonts w:ascii="Arial" w:hAnsi="Arial" w:cs="Arial"/>
                <w:sz w:val="18"/>
                <w:szCs w:val="18"/>
              </w:rPr>
            </w:pPr>
            <w:r w:rsidRPr="00B024D4">
              <w:rPr>
                <w:rFonts w:ascii="Arial" w:hAnsi="Arial" w:cs="Arial"/>
                <w:sz w:val="18"/>
                <w:szCs w:val="18"/>
              </w:rPr>
              <w:t>Overall Sample (n = 1,840)</w:t>
            </w:r>
          </w:p>
        </w:tc>
        <w:tc>
          <w:tcPr>
            <w:tcW w:w="2882" w:type="dxa"/>
          </w:tcPr>
          <w:p w:rsidRPr="00B024D4" w:rsidR="00287221" w:rsidP="00287084" w:rsidRDefault="00287221" w14:paraId="4F8DA811"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19.1</w:t>
            </w:r>
          </w:p>
        </w:tc>
        <w:tc>
          <w:tcPr>
            <w:tcW w:w="2883" w:type="dxa"/>
          </w:tcPr>
          <w:p w:rsidRPr="00B024D4" w:rsidR="00287221" w:rsidP="00287084" w:rsidRDefault="00287221" w14:paraId="087582EC"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19.3</w:t>
            </w:r>
          </w:p>
        </w:tc>
      </w:tr>
      <w:tr w:rsidRPr="00B024D4" w:rsidR="00287221" w:rsidTr="00287084" w14:paraId="2108A99B" w14:textId="77777777">
        <w:tblPrEx>
          <w:tblCellMar>
            <w:left w:w="108" w:type="dxa"/>
            <w:right w:w="108" w:type="dxa"/>
          </w:tblCellMar>
        </w:tblPrEx>
        <w:tc>
          <w:tcPr>
            <w:tcW w:w="4045" w:type="dxa"/>
          </w:tcPr>
          <w:p w:rsidRPr="00B024D4" w:rsidR="00287221" w:rsidP="00287084" w:rsidRDefault="00287221" w14:paraId="03FA4983" w14:textId="77777777">
            <w:pPr>
              <w:keepNext/>
              <w:autoSpaceDE w:val="0"/>
              <w:autoSpaceDN w:val="0"/>
              <w:adjustRightInd w:val="0"/>
              <w:ind w:left="150"/>
              <w:rPr>
                <w:rFonts w:ascii="Arial" w:hAnsi="Arial" w:cs="Arial"/>
                <w:sz w:val="18"/>
                <w:szCs w:val="18"/>
              </w:rPr>
            </w:pPr>
            <w:r w:rsidRPr="00B024D4">
              <w:rPr>
                <w:rFonts w:ascii="Arial" w:hAnsi="Arial" w:cs="Arial"/>
                <w:sz w:val="18"/>
                <w:szCs w:val="18"/>
              </w:rPr>
              <w:t>Private for-profit</w:t>
            </w:r>
          </w:p>
        </w:tc>
        <w:tc>
          <w:tcPr>
            <w:tcW w:w="2882" w:type="dxa"/>
          </w:tcPr>
          <w:p w:rsidRPr="00B024D4" w:rsidR="00287221" w:rsidP="00287084" w:rsidRDefault="00287221" w14:paraId="33E2EA40" w14:textId="77777777">
            <w:pPr>
              <w:keepNext/>
              <w:tabs>
                <w:tab w:val="decimal" w:pos="609"/>
              </w:tabs>
              <w:autoSpaceDE w:val="0"/>
              <w:autoSpaceDN w:val="0"/>
              <w:adjustRightInd w:val="0"/>
              <w:jc w:val="right"/>
              <w:rPr>
                <w:rFonts w:ascii="Arial" w:hAnsi="Arial" w:cs="Arial"/>
                <w:sz w:val="18"/>
                <w:szCs w:val="18"/>
              </w:rPr>
            </w:pPr>
          </w:p>
        </w:tc>
        <w:tc>
          <w:tcPr>
            <w:tcW w:w="2883" w:type="dxa"/>
          </w:tcPr>
          <w:p w:rsidRPr="00B024D4" w:rsidR="00287221" w:rsidP="00287084" w:rsidRDefault="00287221" w14:paraId="234173EA" w14:textId="77777777">
            <w:pPr>
              <w:keepNext/>
              <w:tabs>
                <w:tab w:val="decimal" w:pos="609"/>
              </w:tabs>
              <w:autoSpaceDE w:val="0"/>
              <w:autoSpaceDN w:val="0"/>
              <w:adjustRightInd w:val="0"/>
              <w:jc w:val="right"/>
              <w:rPr>
                <w:rFonts w:ascii="Arial" w:hAnsi="Arial" w:cs="Arial"/>
                <w:sz w:val="18"/>
                <w:szCs w:val="18"/>
              </w:rPr>
            </w:pPr>
          </w:p>
        </w:tc>
      </w:tr>
      <w:tr w:rsidRPr="00B024D4" w:rsidR="00287221" w:rsidTr="00287084" w14:paraId="3E7F4545" w14:textId="77777777">
        <w:tblPrEx>
          <w:tblCellMar>
            <w:left w:w="108" w:type="dxa"/>
            <w:right w:w="108" w:type="dxa"/>
          </w:tblCellMar>
        </w:tblPrEx>
        <w:tc>
          <w:tcPr>
            <w:tcW w:w="4045" w:type="dxa"/>
          </w:tcPr>
          <w:p w:rsidRPr="00B024D4" w:rsidR="00287221" w:rsidP="00287084" w:rsidRDefault="00287221" w14:paraId="645F71BA" w14:textId="77777777">
            <w:pPr>
              <w:keepNext/>
              <w:autoSpaceDE w:val="0"/>
              <w:autoSpaceDN w:val="0"/>
              <w:adjustRightInd w:val="0"/>
              <w:ind w:left="521"/>
              <w:rPr>
                <w:rFonts w:ascii="Arial" w:hAnsi="Arial" w:cs="Arial"/>
                <w:sz w:val="18"/>
                <w:szCs w:val="18"/>
              </w:rPr>
            </w:pPr>
            <w:r w:rsidRPr="00B024D4">
              <w:rPr>
                <w:rFonts w:ascii="Arial" w:hAnsi="Arial" w:cs="Arial"/>
                <w:sz w:val="18"/>
                <w:szCs w:val="18"/>
              </w:rPr>
              <w:t>Respondents</w:t>
            </w:r>
          </w:p>
        </w:tc>
        <w:tc>
          <w:tcPr>
            <w:tcW w:w="2882" w:type="dxa"/>
          </w:tcPr>
          <w:p w:rsidRPr="00B024D4" w:rsidR="00287221" w:rsidP="00287084" w:rsidRDefault="00287221" w14:paraId="3C9AE548"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15.4</w:t>
            </w:r>
          </w:p>
        </w:tc>
        <w:tc>
          <w:tcPr>
            <w:tcW w:w="2883" w:type="dxa"/>
          </w:tcPr>
          <w:p w:rsidRPr="00B024D4" w:rsidR="00287221" w:rsidP="00287084" w:rsidRDefault="00287221" w14:paraId="1D5AC689" w14:textId="77777777">
            <w:pPr>
              <w:keepNext/>
              <w:tabs>
                <w:tab w:val="decimal" w:pos="609"/>
              </w:tabs>
              <w:autoSpaceDE w:val="0"/>
              <w:autoSpaceDN w:val="0"/>
              <w:adjustRightInd w:val="0"/>
              <w:jc w:val="right"/>
              <w:rPr>
                <w:rFonts w:ascii="Arial" w:hAnsi="Arial" w:cs="Arial"/>
                <w:sz w:val="18"/>
                <w:szCs w:val="18"/>
              </w:rPr>
            </w:pPr>
            <w:r>
              <w:rPr>
                <w:rFonts w:ascii="Arial" w:hAnsi="Arial" w:cs="Arial"/>
                <w:sz w:val="18"/>
                <w:szCs w:val="18"/>
              </w:rPr>
              <w:t>13.3</w:t>
            </w:r>
          </w:p>
        </w:tc>
      </w:tr>
      <w:tr w:rsidRPr="00B024D4" w:rsidR="00287221" w:rsidTr="00287084" w14:paraId="2E17F823" w14:textId="77777777">
        <w:tblPrEx>
          <w:tblCellMar>
            <w:left w:w="108" w:type="dxa"/>
            <w:right w:w="108" w:type="dxa"/>
          </w:tblCellMar>
        </w:tblPrEx>
        <w:tc>
          <w:tcPr>
            <w:tcW w:w="4045" w:type="dxa"/>
          </w:tcPr>
          <w:p w:rsidRPr="00B024D4" w:rsidR="00287221" w:rsidP="00287084" w:rsidRDefault="00287221" w14:paraId="33913731" w14:textId="77777777">
            <w:pPr>
              <w:keepNext/>
              <w:autoSpaceDE w:val="0"/>
              <w:autoSpaceDN w:val="0"/>
              <w:adjustRightInd w:val="0"/>
              <w:ind w:left="521"/>
              <w:rPr>
                <w:rFonts w:ascii="Arial" w:hAnsi="Arial" w:cs="Arial"/>
                <w:sz w:val="18"/>
                <w:szCs w:val="18"/>
              </w:rPr>
            </w:pPr>
            <w:r w:rsidRPr="00B024D4">
              <w:rPr>
                <w:rFonts w:ascii="Arial" w:hAnsi="Arial" w:cs="Arial"/>
                <w:sz w:val="18"/>
                <w:szCs w:val="18"/>
              </w:rPr>
              <w:t>Nonrespondents</w:t>
            </w:r>
          </w:p>
        </w:tc>
        <w:tc>
          <w:tcPr>
            <w:tcW w:w="2882" w:type="dxa"/>
          </w:tcPr>
          <w:p w:rsidRPr="00B024D4" w:rsidR="00287221" w:rsidP="00287084" w:rsidRDefault="00287221" w14:paraId="64FF2572"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24.1</w:t>
            </w:r>
          </w:p>
        </w:tc>
        <w:tc>
          <w:tcPr>
            <w:tcW w:w="2883" w:type="dxa"/>
          </w:tcPr>
          <w:p w:rsidRPr="00B024D4" w:rsidR="00287221" w:rsidP="00287084" w:rsidRDefault="00287221" w14:paraId="2B4C6DAB" w14:textId="77777777">
            <w:pPr>
              <w:keepNext/>
              <w:tabs>
                <w:tab w:val="decimal" w:pos="609"/>
              </w:tabs>
              <w:autoSpaceDE w:val="0"/>
              <w:autoSpaceDN w:val="0"/>
              <w:adjustRightInd w:val="0"/>
              <w:jc w:val="right"/>
              <w:rPr>
                <w:rFonts w:ascii="Arial" w:hAnsi="Arial" w:cs="Arial"/>
                <w:sz w:val="18"/>
                <w:szCs w:val="18"/>
              </w:rPr>
            </w:pPr>
            <w:r>
              <w:rPr>
                <w:rFonts w:ascii="Arial" w:hAnsi="Arial" w:cs="Arial"/>
                <w:sz w:val="18"/>
                <w:szCs w:val="18"/>
              </w:rPr>
              <w:t>23.5</w:t>
            </w:r>
          </w:p>
        </w:tc>
      </w:tr>
      <w:tr w:rsidRPr="00B024D4" w:rsidR="00287221" w:rsidTr="00287084" w14:paraId="166F9570" w14:textId="77777777">
        <w:tblPrEx>
          <w:tblCellMar>
            <w:left w:w="108" w:type="dxa"/>
            <w:right w:w="108" w:type="dxa"/>
          </w:tblCellMar>
        </w:tblPrEx>
        <w:tc>
          <w:tcPr>
            <w:tcW w:w="4045" w:type="dxa"/>
          </w:tcPr>
          <w:p w:rsidRPr="00B024D4" w:rsidR="00287221" w:rsidP="00287084" w:rsidRDefault="00287221" w14:paraId="68972756" w14:textId="77777777">
            <w:pPr>
              <w:keepNext/>
              <w:autoSpaceDE w:val="0"/>
              <w:autoSpaceDN w:val="0"/>
              <w:adjustRightInd w:val="0"/>
              <w:ind w:left="521"/>
              <w:rPr>
                <w:rFonts w:ascii="Arial" w:hAnsi="Arial" w:cs="Arial"/>
                <w:sz w:val="18"/>
                <w:szCs w:val="18"/>
              </w:rPr>
            </w:pPr>
            <w:r w:rsidRPr="00B024D4">
              <w:rPr>
                <w:rFonts w:ascii="Arial" w:hAnsi="Arial" w:cs="Arial"/>
                <w:sz w:val="18"/>
                <w:szCs w:val="18"/>
              </w:rPr>
              <w:t>Respondents – Nonrespondents</w:t>
            </w:r>
          </w:p>
        </w:tc>
        <w:tc>
          <w:tcPr>
            <w:tcW w:w="2882" w:type="dxa"/>
          </w:tcPr>
          <w:p w:rsidRPr="00B024D4" w:rsidR="00287221" w:rsidP="00287084" w:rsidRDefault="00287221" w14:paraId="09CCF92B"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-8.7**</w:t>
            </w:r>
          </w:p>
        </w:tc>
        <w:tc>
          <w:tcPr>
            <w:tcW w:w="2883" w:type="dxa"/>
          </w:tcPr>
          <w:p w:rsidRPr="00B024D4" w:rsidR="00287221" w:rsidP="00287084" w:rsidRDefault="00287221" w14:paraId="177FA1D1"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-10.2**</w:t>
            </w:r>
          </w:p>
        </w:tc>
      </w:tr>
      <w:tr w:rsidRPr="00B024D4" w:rsidR="00287221" w:rsidTr="00287084" w14:paraId="0ACAE5AA" w14:textId="77777777">
        <w:tblPrEx>
          <w:tblCellMar>
            <w:left w:w="108" w:type="dxa"/>
            <w:right w:w="108" w:type="dxa"/>
          </w:tblCellMar>
        </w:tblPrEx>
        <w:tc>
          <w:tcPr>
            <w:tcW w:w="4045" w:type="dxa"/>
            <w:tcBorders>
              <w:bottom w:val="single" w:color="auto" w:sz="12" w:space="0"/>
            </w:tcBorders>
          </w:tcPr>
          <w:p w:rsidRPr="00B024D4" w:rsidR="00287221" w:rsidP="00287084" w:rsidRDefault="00287221" w14:paraId="51C49A3E" w14:textId="77777777">
            <w:pPr>
              <w:keepNext/>
              <w:autoSpaceDE w:val="0"/>
              <w:autoSpaceDN w:val="0"/>
              <w:adjustRightInd w:val="0"/>
              <w:ind w:left="521"/>
              <w:rPr>
                <w:rFonts w:ascii="Arial" w:hAnsi="Arial" w:cs="Arial"/>
                <w:sz w:val="18"/>
                <w:szCs w:val="18"/>
              </w:rPr>
            </w:pPr>
            <w:r w:rsidRPr="00B024D4">
              <w:rPr>
                <w:rFonts w:ascii="Arial" w:hAnsi="Arial" w:cs="Arial"/>
                <w:sz w:val="18"/>
                <w:szCs w:val="18"/>
              </w:rPr>
              <w:t>Overall Sample (n = 1,840)</w:t>
            </w:r>
          </w:p>
        </w:tc>
        <w:tc>
          <w:tcPr>
            <w:tcW w:w="2882" w:type="dxa"/>
            <w:tcBorders>
              <w:bottom w:val="single" w:color="auto" w:sz="12" w:space="0"/>
            </w:tcBorders>
          </w:tcPr>
          <w:p w:rsidRPr="00B024D4" w:rsidR="00287221" w:rsidP="00287084" w:rsidRDefault="00287221" w14:paraId="7E5E0AF8"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21.4</w:t>
            </w:r>
          </w:p>
        </w:tc>
        <w:tc>
          <w:tcPr>
            <w:tcW w:w="2883" w:type="dxa"/>
            <w:tcBorders>
              <w:bottom w:val="single" w:color="auto" w:sz="12" w:space="0"/>
            </w:tcBorders>
          </w:tcPr>
          <w:p w:rsidRPr="00B024D4" w:rsidR="00287221" w:rsidP="00287084" w:rsidRDefault="00287221" w14:paraId="78D7D31D" w14:textId="77777777">
            <w:pPr>
              <w:keepNext/>
              <w:tabs>
                <w:tab w:val="decimal" w:pos="609"/>
              </w:tabs>
              <w:autoSpaceDE w:val="0"/>
              <w:autoSpaceDN w:val="0"/>
              <w:adjustRightInd w:val="0"/>
              <w:jc w:val="right"/>
              <w:rPr>
                <w:rFonts w:ascii="Arial" w:hAnsi="Arial" w:cs="Arial"/>
                <w:sz w:val="18"/>
                <w:szCs w:val="18"/>
              </w:rPr>
            </w:pPr>
            <w:r w:rsidRPr="00B024D4">
              <w:rPr>
                <w:rFonts w:ascii="Arial" w:hAnsi="Arial" w:cs="Arial"/>
                <w:sz w:val="18"/>
                <w:szCs w:val="18"/>
              </w:rPr>
              <w:t>20.5</w:t>
            </w:r>
          </w:p>
        </w:tc>
      </w:tr>
    </w:tbl>
    <w:p w:rsidRPr="00D066EA" w:rsidR="00287221" w:rsidP="00287221" w:rsidRDefault="00287221" w14:paraId="24D9746A" w14:textId="77777777">
      <w:pPr>
        <w:pStyle w:val="tabfigsource"/>
        <w:rPr>
          <w:rFonts w:cs="Arial"/>
          <w:szCs w:val="16"/>
        </w:rPr>
      </w:pPr>
      <w:r w:rsidRPr="00D066EA">
        <w:rPr>
          <w:rFonts w:cs="Arial"/>
          <w:szCs w:val="16"/>
        </w:rPr>
        <w:t>*</w:t>
      </w:r>
      <w:r w:rsidRPr="00FF205F">
        <w:rPr>
          <w:rFonts w:cs="Arial"/>
          <w:i/>
          <w:iCs/>
          <w:szCs w:val="16"/>
        </w:rPr>
        <w:t xml:space="preserve"> p</w:t>
      </w:r>
      <w:r w:rsidRPr="00D066EA">
        <w:rPr>
          <w:rFonts w:cs="Arial"/>
          <w:szCs w:val="16"/>
        </w:rPr>
        <w:t xml:space="preserve"> &lt; .05, ** </w:t>
      </w:r>
      <w:r w:rsidRPr="00FF205F">
        <w:rPr>
          <w:rFonts w:cs="Arial"/>
          <w:i/>
          <w:iCs/>
          <w:szCs w:val="16"/>
        </w:rPr>
        <w:t>p</w:t>
      </w:r>
      <w:r w:rsidRPr="00D066EA">
        <w:rPr>
          <w:rFonts w:cs="Arial"/>
          <w:szCs w:val="16"/>
        </w:rPr>
        <w:t xml:space="preserve"> &lt; .01, *** </w:t>
      </w:r>
      <w:r w:rsidRPr="00FF205F">
        <w:rPr>
          <w:rFonts w:cs="Arial"/>
          <w:i/>
          <w:iCs/>
          <w:szCs w:val="16"/>
        </w:rPr>
        <w:t>p</w:t>
      </w:r>
      <w:r w:rsidRPr="00D066EA">
        <w:rPr>
          <w:rFonts w:cs="Arial"/>
          <w:szCs w:val="16"/>
        </w:rPr>
        <w:t xml:space="preserve"> &lt; .001</w:t>
      </w:r>
    </w:p>
    <w:p w:rsidR="00287221" w:rsidP="00287221" w:rsidRDefault="00287221" w14:paraId="4553CF30" w14:textId="77777777">
      <w:pPr>
        <w:pStyle w:val="tabfigsource"/>
        <w:rPr>
          <w:rFonts w:cs="Arial"/>
          <w:szCs w:val="16"/>
        </w:rPr>
      </w:pPr>
      <w:r w:rsidRPr="00D066EA">
        <w:rPr>
          <w:rFonts w:cs="Arial"/>
          <w:szCs w:val="16"/>
        </w:rPr>
        <w:t>1 Sample sizes for the overall sample differ due to missing data.</w:t>
      </w:r>
    </w:p>
    <w:p w:rsidR="00287221" w:rsidP="00287221" w:rsidRDefault="00287221" w14:paraId="3B40459F" w14:textId="77777777">
      <w:pPr>
        <w:pStyle w:val="tabfigsource"/>
        <w:rPr>
          <w:rFonts w:cs="Arial"/>
          <w:szCs w:val="16"/>
        </w:rPr>
      </w:pPr>
      <w:r w:rsidRPr="002C353B">
        <w:rPr>
          <w:rFonts w:cs="Arial"/>
          <w:szCs w:val="16"/>
        </w:rPr>
        <w:t>"White" includes those who are and are not of Hispanic or Latino background. Hispanic or Latino is considered an ethnicity rather than a race. People of Hispanic or Latino origin may be of any race.</w:t>
      </w:r>
    </w:p>
    <w:p w:rsidRPr="00D066EA" w:rsidR="00287221" w:rsidP="00287221" w:rsidRDefault="00287221" w14:paraId="2BBBAECB" w14:textId="77777777">
      <w:pPr>
        <w:pStyle w:val="tabfigsource"/>
        <w:rPr>
          <w:rFonts w:cs="Arial"/>
          <w:szCs w:val="16"/>
        </w:rPr>
      </w:pPr>
      <w:r w:rsidRPr="00D066EA">
        <w:rPr>
          <w:rFonts w:cs="Arial"/>
          <w:szCs w:val="16"/>
        </w:rPr>
        <w:t xml:space="preserve">NOTE: Results exclude ineligible cases. </w:t>
      </w:r>
    </w:p>
    <w:p w:rsidRPr="00D066EA" w:rsidR="00287221" w:rsidP="00287221" w:rsidRDefault="00287221" w14:paraId="5A2D66E7" w14:textId="77777777">
      <w:pPr>
        <w:pStyle w:val="tabfigsource"/>
        <w:rPr>
          <w:rFonts w:cs="Arial"/>
          <w:szCs w:val="16"/>
        </w:rPr>
      </w:pPr>
      <w:r w:rsidRPr="00D066EA">
        <w:rPr>
          <w:rFonts w:cs="Arial"/>
          <w:szCs w:val="16"/>
        </w:rPr>
        <w:t>SOURCE: U.S. Department of Education, National Center for Education Statistics, 2020/22 Beginning Postsecondary Students (BPS:20/22) Field Test.</w:t>
      </w:r>
    </w:p>
    <w:p w:rsidRPr="009B6118" w:rsidR="00287221" w:rsidP="00287221" w:rsidRDefault="00287221" w14:paraId="1AD19EDC" w14:textId="24FC5E47">
      <w:pPr>
        <w:spacing w:after="120"/>
        <w:rPr>
          <w:rFonts w:cstheme="minorHAnsi"/>
          <w:szCs w:val="24"/>
        </w:rPr>
      </w:pPr>
      <w:r w:rsidRPr="009B6118">
        <w:rPr>
          <w:rFonts w:cstheme="minorHAnsi"/>
          <w:i/>
          <w:iCs/>
          <w:szCs w:val="24"/>
        </w:rPr>
        <w:t xml:space="preserve">Efficiency. </w:t>
      </w:r>
      <w:r w:rsidRPr="009B6118">
        <w:rPr>
          <w:rFonts w:cstheme="minorHAnsi"/>
          <w:szCs w:val="24"/>
        </w:rPr>
        <w:t xml:space="preserve">Data collection efficiency was examined (i.e., the average number of days it took respondents to complete the survey) at two time points during data collection: 1) at the end of the three-week reminder period (10 weeks in the field), and 2) at the end of data collection (17 weeks in the field). </w:t>
      </w:r>
      <w:r w:rsidRPr="009B6118">
        <w:rPr>
          <w:rFonts w:cstheme="minorHAnsi"/>
          <w:szCs w:val="24"/>
        </w:rPr>
        <w:fldChar w:fldCharType="begin"/>
      </w:r>
      <w:r w:rsidRPr="009B6118">
        <w:rPr>
          <w:rFonts w:cstheme="minorHAnsi"/>
          <w:szCs w:val="24"/>
        </w:rPr>
        <w:instrText xml:space="preserve"> REF _Ref79565924 \h  \* MERGEFORMAT </w:instrText>
      </w:r>
      <w:r w:rsidRPr="009B6118">
        <w:rPr>
          <w:rFonts w:cstheme="minorHAnsi"/>
          <w:szCs w:val="24"/>
        </w:rPr>
      </w:r>
      <w:r w:rsidRPr="009B6118">
        <w:rPr>
          <w:rFonts w:cstheme="minorHAnsi"/>
          <w:szCs w:val="24"/>
        </w:rPr>
        <w:fldChar w:fldCharType="separate"/>
      </w:r>
      <w:r w:rsidRPr="00A3046F" w:rsidR="00A3046F">
        <w:rPr>
          <w:szCs w:val="24"/>
        </w:rPr>
        <w:t>Table D.</w:t>
      </w:r>
      <w:r w:rsidRPr="00A3046F" w:rsidR="00A3046F">
        <w:rPr>
          <w:noProof/>
          <w:szCs w:val="24"/>
        </w:rPr>
        <w:t>7</w:t>
      </w:r>
      <w:r w:rsidRPr="009B6118">
        <w:rPr>
          <w:rFonts w:cstheme="minorHAnsi"/>
          <w:szCs w:val="24"/>
        </w:rPr>
        <w:fldChar w:fldCharType="end"/>
      </w:r>
      <w:r w:rsidRPr="009B6118">
        <w:rPr>
          <w:rFonts w:cstheme="minorHAnsi"/>
          <w:szCs w:val="24"/>
        </w:rPr>
        <w:t xml:space="preserve"> summarizes the average number of days to survey completion for the control and early bird groups at these two time points. </w:t>
      </w:r>
    </w:p>
    <w:p w:rsidRPr="009B6118" w:rsidR="00287221" w:rsidP="00287221" w:rsidRDefault="00287221" w14:paraId="76C829D2" w14:textId="77777777">
      <w:pPr>
        <w:spacing w:after="120"/>
        <w:rPr>
          <w:rFonts w:cstheme="minorHAnsi"/>
          <w:szCs w:val="24"/>
        </w:rPr>
      </w:pPr>
      <w:r w:rsidRPr="009B6118">
        <w:rPr>
          <w:rFonts w:cstheme="minorHAnsi"/>
          <w:szCs w:val="24"/>
        </w:rPr>
        <w:t xml:space="preserve">At the end of the three-week reminder period, respondents who received text message reminders completed the survey in 48.4 days on average, which was 4.3 days sooner than respondents who received telephone reminders (52.7 days; </w:t>
      </w:r>
      <w:r w:rsidRPr="009B6118">
        <w:rPr>
          <w:rFonts w:cstheme="minorHAnsi"/>
          <w:i/>
          <w:iCs/>
          <w:szCs w:val="24"/>
        </w:rPr>
        <w:t>t</w:t>
      </w:r>
      <w:r w:rsidRPr="009B6118">
        <w:rPr>
          <w:rFonts w:cstheme="minorHAnsi"/>
          <w:szCs w:val="24"/>
        </w:rPr>
        <w:t xml:space="preserve">(245.5) = 1.99, </w:t>
      </w:r>
      <w:r w:rsidRPr="009B6118">
        <w:rPr>
          <w:rFonts w:cstheme="minorHAnsi"/>
          <w:i/>
          <w:iCs/>
          <w:szCs w:val="24"/>
        </w:rPr>
        <w:t>p</w:t>
      </w:r>
      <w:r w:rsidRPr="009B6118">
        <w:rPr>
          <w:rFonts w:cstheme="minorHAnsi"/>
          <w:szCs w:val="24"/>
        </w:rPr>
        <w:t xml:space="preserve"> &lt; .05). However, at the end of data collection, this difference disappeared. The number of days it took for respondents in the text message reminder group to complete (75.5 days) was not significantly different from the telephone reminder group (77.0 days; </w:t>
      </w:r>
      <w:r w:rsidRPr="009B6118">
        <w:rPr>
          <w:rFonts w:cstheme="minorHAnsi"/>
          <w:i/>
          <w:iCs/>
          <w:szCs w:val="24"/>
        </w:rPr>
        <w:t>t</w:t>
      </w:r>
      <w:r w:rsidRPr="009B6118">
        <w:rPr>
          <w:rFonts w:cstheme="minorHAnsi"/>
          <w:szCs w:val="24"/>
        </w:rPr>
        <w:t xml:space="preserve">(542.8) = 0.62, </w:t>
      </w:r>
      <w:r w:rsidRPr="009B6118">
        <w:rPr>
          <w:rFonts w:cstheme="minorHAnsi"/>
          <w:i/>
          <w:iCs/>
          <w:szCs w:val="24"/>
        </w:rPr>
        <w:t>p</w:t>
      </w:r>
      <w:r w:rsidRPr="009B6118">
        <w:rPr>
          <w:rFonts w:cstheme="minorHAnsi"/>
          <w:szCs w:val="24"/>
        </w:rPr>
        <w:t xml:space="preserve"> = 0.27). These results demonstrate that text message reminders are just as efficient as telephone reminders across the entire field period, and more efficient early in data collection. </w:t>
      </w:r>
    </w:p>
    <w:p w:rsidRPr="00FD5576" w:rsidR="00287221" w:rsidP="00287221" w:rsidRDefault="00287221" w14:paraId="77F95D90" w14:textId="25DE3F5C">
      <w:pPr>
        <w:pStyle w:val="TableTitle"/>
        <w:rPr>
          <w:shd w:val="clear" w:color="auto" w:fill="FFFFFF"/>
        </w:rPr>
      </w:pPr>
      <w:bookmarkStart w:name="_Ref79565924" w:id="31"/>
      <w:r>
        <w:lastRenderedPageBreak/>
        <w:t xml:space="preserve">Table </w:t>
      </w:r>
      <w:r w:rsidR="00A3046F">
        <w:t>D</w:t>
      </w:r>
      <w:r w:rsidR="00EE3E0D">
        <w:t>.</w:t>
      </w:r>
      <w:r>
        <w:fldChar w:fldCharType="begin"/>
      </w:r>
      <w:r>
        <w:instrText xml:space="preserve"> SEQ Table \* ARABIC </w:instrText>
      </w:r>
      <w:r>
        <w:fldChar w:fldCharType="separate"/>
      </w:r>
      <w:r>
        <w:rPr>
          <w:noProof/>
        </w:rPr>
        <w:t>7</w:t>
      </w:r>
      <w:r>
        <w:fldChar w:fldCharType="end"/>
      </w:r>
      <w:bookmarkEnd w:id="31"/>
      <w:r>
        <w:t xml:space="preserve">. </w:t>
      </w:r>
      <w:r w:rsidRPr="007C0F4D">
        <w:t>2020/22 Beginning Postsecondary Students Field Test</w:t>
      </w:r>
      <w:r>
        <w:t xml:space="preserve"> average number of days to complete</w:t>
      </w:r>
      <w:r w:rsidRPr="00FD5576">
        <w:t xml:space="preserve"> by </w:t>
      </w:r>
      <w:r w:rsidR="002E34C1">
        <w:t xml:space="preserve">reminder mode </w:t>
      </w:r>
      <w:r w:rsidRPr="00FD5576">
        <w:t>experimental condition and evaluation period</w:t>
      </w:r>
      <w:r>
        <w:t>: 2021</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32"/>
        <w:gridCol w:w="1594"/>
        <w:gridCol w:w="1596"/>
        <w:gridCol w:w="1596"/>
        <w:gridCol w:w="1594"/>
      </w:tblGrid>
      <w:tr w:rsidRPr="009B5E0B" w:rsidR="00287221" w:rsidTr="00287084" w14:paraId="224CD6E6" w14:textId="77777777">
        <w:trPr>
          <w:trHeight w:val="144"/>
          <w:tblHeader/>
        </w:trPr>
        <w:tc>
          <w:tcPr>
            <w:tcW w:w="1966" w:type="pct"/>
            <w:tcBorders>
              <w:top w:val="single" w:color="auto" w:sz="12" w:space="0"/>
              <w:bottom w:val="single" w:color="auto" w:sz="6" w:space="0"/>
            </w:tcBorders>
            <w:vAlign w:val="bottom"/>
          </w:tcPr>
          <w:p w:rsidRPr="009B5E0B" w:rsidR="00287221" w:rsidP="00287084" w:rsidRDefault="00287221" w14:paraId="34875C51" w14:textId="77777777">
            <w:pPr>
              <w:autoSpaceDE w:val="0"/>
              <w:autoSpaceDN w:val="0"/>
              <w:adjustRightInd w:val="0"/>
              <w:rPr>
                <w:rFonts w:ascii="Arial" w:hAnsi="Arial" w:cs="Arial"/>
                <w:b/>
                <w:sz w:val="18"/>
                <w:szCs w:val="18"/>
              </w:rPr>
            </w:pPr>
          </w:p>
        </w:tc>
        <w:tc>
          <w:tcPr>
            <w:tcW w:w="758" w:type="pct"/>
            <w:tcBorders>
              <w:top w:val="single" w:color="auto" w:sz="12" w:space="0"/>
              <w:bottom w:val="single" w:color="auto" w:sz="6" w:space="0"/>
            </w:tcBorders>
            <w:vAlign w:val="bottom"/>
          </w:tcPr>
          <w:p w:rsidRPr="009B5E0B" w:rsidR="00287221" w:rsidP="00287084" w:rsidRDefault="00287221" w14:paraId="47ED64C5" w14:textId="77777777">
            <w:pPr>
              <w:keepNext/>
              <w:jc w:val="right"/>
              <w:rPr>
                <w:rFonts w:ascii="Arial" w:hAnsi="Arial" w:cs="Arial"/>
                <w:b/>
                <w:sz w:val="18"/>
                <w:szCs w:val="18"/>
              </w:rPr>
            </w:pPr>
            <w:r w:rsidRPr="009B5E0B">
              <w:rPr>
                <w:rFonts w:ascii="Arial" w:hAnsi="Arial" w:cs="Arial"/>
                <w:b/>
                <w:sz w:val="18"/>
                <w:szCs w:val="18"/>
              </w:rPr>
              <w:t>Control Group</w:t>
            </w:r>
          </w:p>
          <w:p w:rsidRPr="009B5E0B" w:rsidR="00287221" w:rsidP="00287084" w:rsidRDefault="00287221" w14:paraId="793FAF22" w14:textId="77777777">
            <w:pPr>
              <w:autoSpaceDE w:val="0"/>
              <w:autoSpaceDN w:val="0"/>
              <w:adjustRightInd w:val="0"/>
              <w:jc w:val="right"/>
              <w:rPr>
                <w:rFonts w:ascii="Arial" w:hAnsi="Arial" w:cs="Arial"/>
                <w:b/>
                <w:sz w:val="18"/>
                <w:szCs w:val="18"/>
              </w:rPr>
            </w:pPr>
            <w:r w:rsidRPr="009B5E0B">
              <w:rPr>
                <w:rFonts w:ascii="Arial" w:hAnsi="Arial" w:cs="Arial"/>
                <w:bCs/>
                <w:sz w:val="18"/>
                <w:szCs w:val="18"/>
              </w:rPr>
              <w:t>Telephone Reminders</w:t>
            </w:r>
          </w:p>
        </w:tc>
        <w:tc>
          <w:tcPr>
            <w:tcW w:w="759" w:type="pct"/>
            <w:tcBorders>
              <w:top w:val="single" w:color="auto" w:sz="12" w:space="0"/>
              <w:bottom w:val="single" w:color="auto" w:sz="6" w:space="0"/>
            </w:tcBorders>
            <w:vAlign w:val="bottom"/>
          </w:tcPr>
          <w:p w:rsidRPr="009B5E0B" w:rsidR="00287221" w:rsidP="00287084" w:rsidRDefault="00287221" w14:paraId="1B2E95D4" w14:textId="77777777">
            <w:pPr>
              <w:keepNext/>
              <w:jc w:val="right"/>
              <w:rPr>
                <w:rFonts w:ascii="Arial" w:hAnsi="Arial" w:cs="Arial"/>
                <w:b/>
                <w:sz w:val="18"/>
                <w:szCs w:val="18"/>
              </w:rPr>
            </w:pPr>
            <w:r w:rsidRPr="009B5E0B">
              <w:rPr>
                <w:rFonts w:ascii="Arial" w:hAnsi="Arial" w:cs="Arial"/>
                <w:b/>
                <w:sz w:val="18"/>
                <w:szCs w:val="18"/>
              </w:rPr>
              <w:t>Treatment Group</w:t>
            </w:r>
          </w:p>
          <w:p w:rsidRPr="009B5E0B" w:rsidR="00287221" w:rsidP="00287084" w:rsidRDefault="00287221" w14:paraId="65369DD6" w14:textId="77777777">
            <w:pPr>
              <w:autoSpaceDE w:val="0"/>
              <w:autoSpaceDN w:val="0"/>
              <w:adjustRightInd w:val="0"/>
              <w:jc w:val="right"/>
              <w:rPr>
                <w:rFonts w:ascii="Arial" w:hAnsi="Arial" w:cs="Arial"/>
                <w:b/>
                <w:sz w:val="18"/>
                <w:szCs w:val="18"/>
              </w:rPr>
            </w:pPr>
            <w:r w:rsidRPr="009B5E0B">
              <w:rPr>
                <w:rFonts w:ascii="Arial" w:hAnsi="Arial" w:cs="Arial"/>
                <w:bCs/>
                <w:sz w:val="18"/>
                <w:szCs w:val="18"/>
              </w:rPr>
              <w:t>Text Reminders</w:t>
            </w:r>
          </w:p>
        </w:tc>
        <w:tc>
          <w:tcPr>
            <w:tcW w:w="759" w:type="pct"/>
            <w:tcBorders>
              <w:top w:val="single" w:color="auto" w:sz="12" w:space="0"/>
              <w:bottom w:val="single" w:color="auto" w:sz="6" w:space="0"/>
            </w:tcBorders>
            <w:vAlign w:val="bottom"/>
          </w:tcPr>
          <w:p w:rsidRPr="009B5E0B" w:rsidR="00287221" w:rsidP="00287084" w:rsidRDefault="00287221" w14:paraId="7B5200F1" w14:textId="77777777">
            <w:pPr>
              <w:autoSpaceDE w:val="0"/>
              <w:autoSpaceDN w:val="0"/>
              <w:adjustRightInd w:val="0"/>
              <w:jc w:val="right"/>
              <w:rPr>
                <w:rFonts w:ascii="Arial" w:hAnsi="Arial" w:cs="Arial"/>
                <w:sz w:val="18"/>
                <w:szCs w:val="18"/>
              </w:rPr>
            </w:pPr>
            <m:oMathPara>
              <m:oMathParaPr>
                <m:jc m:val="right"/>
              </m:oMathParaPr>
              <m:oMath>
                <m:r>
                  <w:rPr>
                    <w:rFonts w:ascii="Cambria Math" w:hAnsi="Cambria Math" w:cs="Arial"/>
                    <w:sz w:val="18"/>
                    <w:szCs w:val="18"/>
                  </w:rPr>
                  <m:t>t</m:t>
                </m:r>
              </m:oMath>
            </m:oMathPara>
          </w:p>
        </w:tc>
        <w:tc>
          <w:tcPr>
            <w:tcW w:w="758" w:type="pct"/>
            <w:tcBorders>
              <w:top w:val="single" w:color="auto" w:sz="12" w:space="0"/>
              <w:bottom w:val="single" w:color="auto" w:sz="6" w:space="0"/>
            </w:tcBorders>
            <w:vAlign w:val="bottom"/>
          </w:tcPr>
          <w:p w:rsidRPr="009B5E0B" w:rsidR="00287221" w:rsidP="00287084" w:rsidRDefault="00287221" w14:paraId="13FB1477" w14:textId="77777777">
            <w:pPr>
              <w:autoSpaceDE w:val="0"/>
              <w:autoSpaceDN w:val="0"/>
              <w:adjustRightInd w:val="0"/>
              <w:jc w:val="right"/>
              <w:rPr>
                <w:rFonts w:ascii="Arial" w:hAnsi="Arial" w:cs="Arial"/>
                <w:sz w:val="18"/>
                <w:szCs w:val="18"/>
              </w:rPr>
            </w:pPr>
            <w:r w:rsidRPr="009B5E0B">
              <w:rPr>
                <w:rFonts w:ascii="Arial" w:hAnsi="Arial" w:cs="Arial"/>
                <w:i/>
                <w:iCs/>
                <w:sz w:val="18"/>
                <w:szCs w:val="18"/>
              </w:rPr>
              <w:t>p</w:t>
            </w:r>
            <w:r w:rsidRPr="009B5E0B">
              <w:rPr>
                <w:rFonts w:ascii="Arial" w:hAnsi="Arial" w:cs="Arial"/>
                <w:sz w:val="18"/>
                <w:szCs w:val="18"/>
              </w:rPr>
              <w:t>-value</w:t>
            </w:r>
          </w:p>
        </w:tc>
      </w:tr>
      <w:tr w:rsidRPr="009B5E0B" w:rsidR="00287221" w:rsidTr="00287084" w14:paraId="68017B34" w14:textId="77777777">
        <w:trPr>
          <w:trHeight w:val="144"/>
        </w:trPr>
        <w:tc>
          <w:tcPr>
            <w:tcW w:w="1966" w:type="pct"/>
            <w:tcBorders>
              <w:top w:val="single" w:color="auto" w:sz="6" w:space="0"/>
            </w:tcBorders>
          </w:tcPr>
          <w:p w:rsidRPr="009B5E0B" w:rsidR="00287221" w:rsidP="00287084" w:rsidRDefault="00287221" w14:paraId="78DCFBD6" w14:textId="0B6F24AA">
            <w:pPr>
              <w:autoSpaceDE w:val="0"/>
              <w:autoSpaceDN w:val="0"/>
              <w:adjustRightInd w:val="0"/>
              <w:rPr>
                <w:rFonts w:ascii="Arial" w:hAnsi="Arial" w:cs="Arial"/>
                <w:sz w:val="18"/>
                <w:szCs w:val="18"/>
              </w:rPr>
            </w:pPr>
            <w:r w:rsidRPr="009B5E0B">
              <w:rPr>
                <w:rFonts w:ascii="Arial" w:hAnsi="Arial" w:cs="Arial"/>
                <w:sz w:val="18"/>
                <w:szCs w:val="18"/>
              </w:rPr>
              <w:t xml:space="preserve">End of </w:t>
            </w:r>
            <w:r w:rsidR="002E34C1">
              <w:rPr>
                <w:rFonts w:ascii="Arial" w:hAnsi="Arial" w:cs="Arial"/>
                <w:sz w:val="18"/>
                <w:szCs w:val="18"/>
              </w:rPr>
              <w:t>reminder</w:t>
            </w:r>
            <w:r w:rsidRPr="009B5E0B">
              <w:rPr>
                <w:rFonts w:ascii="Arial" w:hAnsi="Arial" w:cs="Arial"/>
                <w:sz w:val="18"/>
                <w:szCs w:val="18"/>
              </w:rPr>
              <w:t xml:space="preserve"> period</w:t>
            </w:r>
          </w:p>
        </w:tc>
        <w:tc>
          <w:tcPr>
            <w:tcW w:w="758" w:type="pct"/>
            <w:tcBorders>
              <w:top w:val="single" w:color="auto" w:sz="6" w:space="0"/>
            </w:tcBorders>
          </w:tcPr>
          <w:p w:rsidRPr="009B5E0B" w:rsidR="00287221" w:rsidP="00287084" w:rsidRDefault="00287221" w14:paraId="50B6291E" w14:textId="77777777">
            <w:pPr>
              <w:autoSpaceDE w:val="0"/>
              <w:autoSpaceDN w:val="0"/>
              <w:adjustRightInd w:val="0"/>
              <w:jc w:val="right"/>
              <w:rPr>
                <w:rFonts w:ascii="Arial" w:hAnsi="Arial" w:cs="Arial"/>
                <w:color w:val="000000"/>
                <w:sz w:val="18"/>
                <w:szCs w:val="18"/>
              </w:rPr>
            </w:pPr>
            <w:r w:rsidRPr="009B5E0B">
              <w:rPr>
                <w:rFonts w:ascii="Arial" w:hAnsi="Arial" w:cs="Arial"/>
                <w:color w:val="000000"/>
                <w:sz w:val="18"/>
                <w:szCs w:val="18"/>
              </w:rPr>
              <w:t>52.7</w:t>
            </w:r>
          </w:p>
        </w:tc>
        <w:tc>
          <w:tcPr>
            <w:tcW w:w="759" w:type="pct"/>
            <w:tcBorders>
              <w:top w:val="single" w:color="auto" w:sz="6" w:space="0"/>
            </w:tcBorders>
          </w:tcPr>
          <w:p w:rsidRPr="009B5E0B" w:rsidR="00287221" w:rsidP="00287084" w:rsidRDefault="00287221" w14:paraId="77543EC9" w14:textId="77777777">
            <w:pPr>
              <w:autoSpaceDE w:val="0"/>
              <w:autoSpaceDN w:val="0"/>
              <w:adjustRightInd w:val="0"/>
              <w:jc w:val="right"/>
              <w:rPr>
                <w:rFonts w:ascii="Arial" w:hAnsi="Arial" w:cs="Arial"/>
                <w:color w:val="000000"/>
                <w:sz w:val="18"/>
                <w:szCs w:val="18"/>
              </w:rPr>
            </w:pPr>
            <w:r w:rsidRPr="009B5E0B">
              <w:rPr>
                <w:rFonts w:ascii="Arial" w:hAnsi="Arial" w:cs="Arial"/>
                <w:color w:val="000000"/>
                <w:sz w:val="18"/>
                <w:szCs w:val="18"/>
              </w:rPr>
              <w:t>48.4</w:t>
            </w:r>
          </w:p>
        </w:tc>
        <w:tc>
          <w:tcPr>
            <w:tcW w:w="759" w:type="pct"/>
            <w:tcBorders>
              <w:top w:val="single" w:color="auto" w:sz="6" w:space="0"/>
            </w:tcBorders>
          </w:tcPr>
          <w:p w:rsidRPr="009B5E0B" w:rsidR="00287221" w:rsidP="00287084" w:rsidRDefault="00287221" w14:paraId="75F98B85" w14:textId="77777777">
            <w:pPr>
              <w:autoSpaceDE w:val="0"/>
              <w:autoSpaceDN w:val="0"/>
              <w:adjustRightInd w:val="0"/>
              <w:jc w:val="right"/>
              <w:rPr>
                <w:rFonts w:ascii="Arial" w:hAnsi="Arial" w:cs="Arial"/>
                <w:color w:val="000000"/>
                <w:sz w:val="18"/>
                <w:szCs w:val="18"/>
              </w:rPr>
            </w:pPr>
            <w:r w:rsidRPr="009B5E0B">
              <w:rPr>
                <w:rFonts w:ascii="Arial" w:hAnsi="Arial" w:cs="Arial"/>
                <w:color w:val="000000"/>
                <w:sz w:val="18"/>
                <w:szCs w:val="18"/>
              </w:rPr>
              <w:t>1.99</w:t>
            </w:r>
          </w:p>
        </w:tc>
        <w:tc>
          <w:tcPr>
            <w:tcW w:w="758" w:type="pct"/>
            <w:tcBorders>
              <w:top w:val="single" w:color="auto" w:sz="6" w:space="0"/>
            </w:tcBorders>
          </w:tcPr>
          <w:p w:rsidRPr="009B5E0B" w:rsidR="00287221" w:rsidP="00287084" w:rsidRDefault="00287221" w14:paraId="016A59BE" w14:textId="77777777">
            <w:pPr>
              <w:autoSpaceDE w:val="0"/>
              <w:autoSpaceDN w:val="0"/>
              <w:adjustRightInd w:val="0"/>
              <w:jc w:val="right"/>
              <w:rPr>
                <w:rFonts w:ascii="Arial" w:hAnsi="Arial" w:cs="Arial"/>
                <w:color w:val="000000"/>
                <w:sz w:val="18"/>
                <w:szCs w:val="18"/>
              </w:rPr>
            </w:pPr>
            <w:r w:rsidRPr="009B5E0B">
              <w:rPr>
                <w:rFonts w:ascii="Arial" w:hAnsi="Arial" w:cs="Arial"/>
                <w:color w:val="000000"/>
                <w:sz w:val="18"/>
                <w:szCs w:val="18"/>
              </w:rPr>
              <w:t>0.02</w:t>
            </w:r>
          </w:p>
        </w:tc>
      </w:tr>
      <w:tr w:rsidRPr="009B5E0B" w:rsidR="00287221" w:rsidTr="00287084" w14:paraId="6802583A" w14:textId="77777777">
        <w:trPr>
          <w:trHeight w:val="144"/>
        </w:trPr>
        <w:tc>
          <w:tcPr>
            <w:tcW w:w="1966" w:type="pct"/>
            <w:tcBorders>
              <w:bottom w:val="single" w:color="auto" w:sz="12" w:space="0"/>
            </w:tcBorders>
          </w:tcPr>
          <w:p w:rsidRPr="009B5E0B" w:rsidR="00287221" w:rsidP="00287084" w:rsidRDefault="00287221" w14:paraId="1BE0680A" w14:textId="77777777">
            <w:pPr>
              <w:autoSpaceDE w:val="0"/>
              <w:autoSpaceDN w:val="0"/>
              <w:adjustRightInd w:val="0"/>
              <w:rPr>
                <w:rFonts w:ascii="Arial" w:hAnsi="Arial" w:cs="Arial"/>
                <w:sz w:val="18"/>
                <w:szCs w:val="18"/>
              </w:rPr>
            </w:pPr>
            <w:r w:rsidRPr="009B5E0B">
              <w:rPr>
                <w:rFonts w:ascii="Arial" w:hAnsi="Arial" w:cs="Arial"/>
                <w:sz w:val="18"/>
                <w:szCs w:val="18"/>
              </w:rPr>
              <w:t>End of data collection</w:t>
            </w:r>
          </w:p>
        </w:tc>
        <w:tc>
          <w:tcPr>
            <w:tcW w:w="758" w:type="pct"/>
            <w:tcBorders>
              <w:bottom w:val="single" w:color="auto" w:sz="12" w:space="0"/>
            </w:tcBorders>
          </w:tcPr>
          <w:p w:rsidRPr="009B5E0B" w:rsidR="00287221" w:rsidP="00287084" w:rsidRDefault="00287221" w14:paraId="0B040707" w14:textId="77777777">
            <w:pPr>
              <w:autoSpaceDE w:val="0"/>
              <w:autoSpaceDN w:val="0"/>
              <w:adjustRightInd w:val="0"/>
              <w:jc w:val="right"/>
              <w:rPr>
                <w:rFonts w:ascii="Arial" w:hAnsi="Arial" w:cs="Arial"/>
                <w:color w:val="000000"/>
                <w:sz w:val="18"/>
                <w:szCs w:val="18"/>
              </w:rPr>
            </w:pPr>
            <w:r w:rsidRPr="009B5E0B">
              <w:rPr>
                <w:rFonts w:ascii="Arial" w:hAnsi="Arial" w:cs="Arial"/>
                <w:color w:val="000000"/>
                <w:sz w:val="18"/>
                <w:szCs w:val="18"/>
              </w:rPr>
              <w:t>77.0</w:t>
            </w:r>
          </w:p>
        </w:tc>
        <w:tc>
          <w:tcPr>
            <w:tcW w:w="759" w:type="pct"/>
            <w:tcBorders>
              <w:bottom w:val="single" w:color="auto" w:sz="12" w:space="0"/>
            </w:tcBorders>
          </w:tcPr>
          <w:p w:rsidRPr="009B5E0B" w:rsidR="00287221" w:rsidP="00287084" w:rsidRDefault="00287221" w14:paraId="348E3E48" w14:textId="77777777">
            <w:pPr>
              <w:autoSpaceDE w:val="0"/>
              <w:autoSpaceDN w:val="0"/>
              <w:adjustRightInd w:val="0"/>
              <w:jc w:val="right"/>
              <w:rPr>
                <w:rFonts w:ascii="Arial" w:hAnsi="Arial" w:cs="Arial"/>
                <w:color w:val="000000"/>
                <w:sz w:val="18"/>
                <w:szCs w:val="18"/>
              </w:rPr>
            </w:pPr>
            <w:r w:rsidRPr="009B5E0B">
              <w:rPr>
                <w:rFonts w:ascii="Arial" w:hAnsi="Arial" w:cs="Arial"/>
                <w:color w:val="000000"/>
                <w:sz w:val="18"/>
                <w:szCs w:val="18"/>
              </w:rPr>
              <w:t>75.5</w:t>
            </w:r>
          </w:p>
        </w:tc>
        <w:tc>
          <w:tcPr>
            <w:tcW w:w="759" w:type="pct"/>
            <w:tcBorders>
              <w:bottom w:val="single" w:color="auto" w:sz="12" w:space="0"/>
            </w:tcBorders>
          </w:tcPr>
          <w:p w:rsidRPr="009B5E0B" w:rsidR="00287221" w:rsidP="00287084" w:rsidRDefault="00287221" w14:paraId="4FF82679" w14:textId="77777777">
            <w:pPr>
              <w:autoSpaceDE w:val="0"/>
              <w:autoSpaceDN w:val="0"/>
              <w:adjustRightInd w:val="0"/>
              <w:jc w:val="right"/>
              <w:rPr>
                <w:rFonts w:ascii="Arial" w:hAnsi="Arial" w:cs="Arial"/>
                <w:color w:val="000000"/>
                <w:sz w:val="18"/>
                <w:szCs w:val="18"/>
              </w:rPr>
            </w:pPr>
            <w:r w:rsidRPr="009B5E0B">
              <w:rPr>
                <w:rFonts w:ascii="Arial" w:hAnsi="Arial" w:cs="Arial"/>
                <w:color w:val="000000"/>
                <w:sz w:val="18"/>
                <w:szCs w:val="18"/>
              </w:rPr>
              <w:t>0.62</w:t>
            </w:r>
          </w:p>
        </w:tc>
        <w:tc>
          <w:tcPr>
            <w:tcW w:w="758" w:type="pct"/>
            <w:tcBorders>
              <w:bottom w:val="single" w:color="auto" w:sz="12" w:space="0"/>
            </w:tcBorders>
          </w:tcPr>
          <w:p w:rsidRPr="009B5E0B" w:rsidR="00287221" w:rsidP="00287084" w:rsidRDefault="00287221" w14:paraId="7DE8D362" w14:textId="77777777">
            <w:pPr>
              <w:autoSpaceDE w:val="0"/>
              <w:autoSpaceDN w:val="0"/>
              <w:adjustRightInd w:val="0"/>
              <w:jc w:val="right"/>
              <w:rPr>
                <w:rFonts w:ascii="Arial" w:hAnsi="Arial" w:cs="Arial"/>
                <w:color w:val="000000"/>
                <w:sz w:val="18"/>
                <w:szCs w:val="18"/>
              </w:rPr>
            </w:pPr>
            <w:r w:rsidRPr="009B5E0B">
              <w:rPr>
                <w:rFonts w:ascii="Arial" w:hAnsi="Arial" w:cs="Arial"/>
                <w:color w:val="000000"/>
                <w:sz w:val="18"/>
                <w:szCs w:val="18"/>
              </w:rPr>
              <w:t>0.27</w:t>
            </w:r>
          </w:p>
        </w:tc>
      </w:tr>
    </w:tbl>
    <w:p w:rsidRPr="009B5E0B" w:rsidR="00287221" w:rsidP="00287221" w:rsidRDefault="00287221" w14:paraId="3CFF8C33" w14:textId="77777777">
      <w:pPr>
        <w:pStyle w:val="tabfigsource"/>
        <w:rPr>
          <w:rFonts w:cs="Arial"/>
          <w:szCs w:val="16"/>
        </w:rPr>
      </w:pPr>
      <w:r w:rsidRPr="009B5E0B">
        <w:rPr>
          <w:rFonts w:cs="Arial"/>
          <w:szCs w:val="16"/>
        </w:rPr>
        <w:t>SOURCE: U.S. Department of Education, National Center for Education Statistics, 2020/22 Beginning Postsecondary Students (BPS:20/22) Field Test.</w:t>
      </w:r>
    </w:p>
    <w:p w:rsidR="00E77AFE" w:rsidP="00287221" w:rsidRDefault="00E77AFE" w14:paraId="226B623B" w14:textId="0CA43CAA">
      <w:pPr>
        <w:spacing w:after="120"/>
        <w:rPr>
          <w:rFonts w:cstheme="minorHAnsi"/>
          <w:i/>
          <w:iCs/>
          <w:szCs w:val="24"/>
        </w:rPr>
      </w:pPr>
      <w:r w:rsidRPr="00E77AFE">
        <w:rPr>
          <w:rFonts w:cstheme="minorHAnsi"/>
          <w:b/>
          <w:bCs/>
          <w:szCs w:val="24"/>
        </w:rPr>
        <w:t>Recommendations for the full-scale study</w:t>
      </w:r>
    </w:p>
    <w:p w:rsidRPr="009B6118" w:rsidR="00287221" w:rsidP="00287221" w:rsidRDefault="00287221" w14:paraId="32B26648" w14:textId="2503EB6C">
      <w:pPr>
        <w:spacing w:after="120"/>
        <w:rPr>
          <w:rFonts w:cstheme="minorHAnsi"/>
          <w:szCs w:val="24"/>
        </w:rPr>
      </w:pPr>
      <w:r w:rsidRPr="009B6118">
        <w:rPr>
          <w:rFonts w:cstheme="minorHAnsi"/>
          <w:szCs w:val="24"/>
        </w:rPr>
        <w:t>Text message reminders achieved response rates, representativeness, and efficiency that was comparable to more expensive telephone reminders. Based on these results, the use of text reminders as a part of the BPS:20/22 full-scale data collection is recommended. However, there are still situations where telephone reminders will be useful (e.g., sample members that do not have a cell phone number, those who opt out of the text message reminders). Therefore, a mix of telephone and text message reminders is recommended for the BPS:20/22 full-scale data collection.</w:t>
      </w:r>
    </w:p>
    <w:p w:rsidRPr="00FD5576" w:rsidR="00287221" w:rsidP="00E77AFE" w:rsidRDefault="00A3046F" w14:paraId="010AA543" w14:textId="3549B46E">
      <w:pPr>
        <w:pStyle w:val="Heading2"/>
      </w:pPr>
      <w:r>
        <w:t>D</w:t>
      </w:r>
      <w:r w:rsidR="00EE3E0D">
        <w:t xml:space="preserve">.2 </w:t>
      </w:r>
      <w:r w:rsidRPr="00FD5576" w:rsidR="00287221">
        <w:t>Evaluation of Questionnaire Design Experiments</w:t>
      </w:r>
    </w:p>
    <w:p w:rsidRPr="00F940CF" w:rsidR="00287221" w:rsidP="00287221" w:rsidRDefault="00287221" w14:paraId="1072AB4C" w14:textId="18D107F5">
      <w:pPr>
        <w:spacing w:after="120" w:line="276" w:lineRule="auto"/>
        <w:rPr>
          <w:rFonts w:cstheme="minorHAnsi"/>
          <w:szCs w:val="24"/>
        </w:rPr>
      </w:pPr>
      <w:r w:rsidRPr="00F940CF">
        <w:rPr>
          <w:rFonts w:cstheme="minorHAnsi"/>
          <w:szCs w:val="24"/>
        </w:rPr>
        <w:t xml:space="preserve">Two field test survey instrument experiments tested different methods of collecting month-level enrollment intensity and address information to identify which method could reduce burden and result in higher quality data. In addition, two randomly assigned modules that collected information about the impacts of the coronavirus pandemic were fielded. The results of this testing informed which survey questions are best suited for inclusion in the full-scale study. </w:t>
      </w:r>
      <w:r w:rsidRPr="00F940CF">
        <w:rPr>
          <w:rFonts w:cstheme="minorHAnsi"/>
          <w:szCs w:val="24"/>
        </w:rPr>
        <w:fldChar w:fldCharType="begin"/>
      </w:r>
      <w:r w:rsidRPr="00F940CF">
        <w:rPr>
          <w:rFonts w:cstheme="minorHAnsi"/>
          <w:szCs w:val="24"/>
        </w:rPr>
        <w:instrText xml:space="preserve"> REF _Ref79565956 \h  \* MERGEFORMAT </w:instrText>
      </w:r>
      <w:r w:rsidRPr="00F940CF">
        <w:rPr>
          <w:rFonts w:cstheme="minorHAnsi"/>
          <w:szCs w:val="24"/>
        </w:rPr>
      </w:r>
      <w:r w:rsidRPr="00F940CF">
        <w:rPr>
          <w:rFonts w:cstheme="minorHAnsi"/>
          <w:szCs w:val="24"/>
        </w:rPr>
        <w:fldChar w:fldCharType="separate"/>
      </w:r>
      <w:r w:rsidRPr="00A3046F" w:rsidR="00A3046F">
        <w:rPr>
          <w:szCs w:val="24"/>
        </w:rPr>
        <w:t>Table D.</w:t>
      </w:r>
      <w:r w:rsidRPr="00A3046F" w:rsidR="00A3046F">
        <w:rPr>
          <w:noProof/>
          <w:szCs w:val="24"/>
        </w:rPr>
        <w:t>8</w:t>
      </w:r>
      <w:r w:rsidRPr="00F940CF">
        <w:rPr>
          <w:rFonts w:cstheme="minorHAnsi"/>
          <w:szCs w:val="24"/>
        </w:rPr>
        <w:fldChar w:fldCharType="end"/>
      </w:r>
      <w:r w:rsidRPr="00F940CF">
        <w:rPr>
          <w:rFonts w:cstheme="minorHAnsi"/>
          <w:szCs w:val="24"/>
        </w:rPr>
        <w:t xml:space="preserve"> summarizes the indicators, operationalizations, and analytic approaches used to assess results of the two experiments and comparison of the coronavirus pandemic modules.</w:t>
      </w:r>
    </w:p>
    <w:p w:rsidRPr="00FD5576" w:rsidR="00287221" w:rsidP="00287221" w:rsidRDefault="00287221" w14:paraId="1A223FAE" w14:textId="5D7B7066">
      <w:pPr>
        <w:pStyle w:val="TableTitle"/>
        <w:rPr>
          <w:rFonts w:cstheme="minorHAnsi"/>
        </w:rPr>
      </w:pPr>
      <w:bookmarkStart w:name="_Ref79565956" w:id="32"/>
      <w:r>
        <w:t xml:space="preserve">Table </w:t>
      </w:r>
      <w:r w:rsidR="00A3046F">
        <w:t>D</w:t>
      </w:r>
      <w:r w:rsidR="00EE3E0D">
        <w:t>.</w:t>
      </w:r>
      <w:r>
        <w:fldChar w:fldCharType="begin"/>
      </w:r>
      <w:r>
        <w:instrText xml:space="preserve"> SEQ Table \* ARABIC </w:instrText>
      </w:r>
      <w:r>
        <w:fldChar w:fldCharType="separate"/>
      </w:r>
      <w:r>
        <w:rPr>
          <w:noProof/>
        </w:rPr>
        <w:t>8</w:t>
      </w:r>
      <w:r>
        <w:fldChar w:fldCharType="end"/>
      </w:r>
      <w:bookmarkEnd w:id="32"/>
      <w:r>
        <w:t>.</w:t>
      </w:r>
      <w:r w:rsidR="0021411C">
        <w:t xml:space="preserve"> </w:t>
      </w:r>
      <w:r w:rsidRPr="00707530">
        <w:t>2020/22 Beginning Postsecondary Students Field Test</w:t>
      </w:r>
      <w:r>
        <w:t xml:space="preserve">: Overview of indicators, operationalization, and analytic approaches </w:t>
      </w:r>
      <w:r>
        <w:rPr>
          <w:rFonts w:cstheme="minorHAnsi"/>
        </w:rPr>
        <w:t>to survey questionnaire design experiments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5"/>
        <w:gridCol w:w="6030"/>
        <w:gridCol w:w="1435"/>
      </w:tblGrid>
      <w:tr w:rsidRPr="003D3BAC" w:rsidR="00287221" w:rsidTr="00287084" w14:paraId="22731704" w14:textId="77777777">
        <w:tc>
          <w:tcPr>
            <w:tcW w:w="1885" w:type="dxa"/>
            <w:tcBorders>
              <w:top w:val="single" w:color="auto" w:sz="12" w:space="0"/>
              <w:bottom w:val="single" w:color="auto" w:sz="6" w:space="0"/>
            </w:tcBorders>
          </w:tcPr>
          <w:p w:rsidRPr="003D3BAC" w:rsidR="00287221" w:rsidP="00287084" w:rsidRDefault="00287221" w14:paraId="2EF1B69D" w14:textId="77777777">
            <w:pPr>
              <w:rPr>
                <w:rFonts w:ascii="Arial" w:hAnsi="Arial" w:cs="Arial"/>
                <w:b/>
                <w:sz w:val="18"/>
                <w:szCs w:val="18"/>
              </w:rPr>
            </w:pPr>
            <w:r w:rsidRPr="003D3BAC">
              <w:rPr>
                <w:rFonts w:ascii="Arial" w:hAnsi="Arial" w:cs="Arial"/>
                <w:b/>
                <w:sz w:val="18"/>
                <w:szCs w:val="18"/>
              </w:rPr>
              <w:t>Indicator</w:t>
            </w:r>
          </w:p>
        </w:tc>
        <w:tc>
          <w:tcPr>
            <w:tcW w:w="6030" w:type="dxa"/>
            <w:tcBorders>
              <w:top w:val="single" w:color="auto" w:sz="12" w:space="0"/>
              <w:bottom w:val="single" w:color="auto" w:sz="6" w:space="0"/>
            </w:tcBorders>
          </w:tcPr>
          <w:p w:rsidRPr="003D3BAC" w:rsidR="00287221" w:rsidP="00287084" w:rsidRDefault="00287221" w14:paraId="09F7704E" w14:textId="77777777">
            <w:pPr>
              <w:rPr>
                <w:rFonts w:ascii="Arial" w:hAnsi="Arial" w:cs="Arial"/>
                <w:b/>
                <w:sz w:val="18"/>
                <w:szCs w:val="18"/>
                <w:vertAlign w:val="superscript"/>
              </w:rPr>
            </w:pPr>
            <w:r w:rsidRPr="003D3BAC">
              <w:rPr>
                <w:rFonts w:ascii="Arial" w:hAnsi="Arial" w:cs="Arial"/>
                <w:b/>
                <w:sz w:val="18"/>
                <w:szCs w:val="18"/>
              </w:rPr>
              <w:t>Operationalization</w:t>
            </w:r>
          </w:p>
        </w:tc>
        <w:tc>
          <w:tcPr>
            <w:tcW w:w="1435" w:type="dxa"/>
            <w:tcBorders>
              <w:top w:val="single" w:color="auto" w:sz="12" w:space="0"/>
              <w:bottom w:val="single" w:color="auto" w:sz="6" w:space="0"/>
            </w:tcBorders>
          </w:tcPr>
          <w:p w:rsidRPr="003D3BAC" w:rsidR="00287221" w:rsidP="00287084" w:rsidRDefault="00287221" w14:paraId="749C1233" w14:textId="77777777">
            <w:pPr>
              <w:jc w:val="right"/>
              <w:rPr>
                <w:rFonts w:ascii="Arial" w:hAnsi="Arial" w:cs="Arial"/>
                <w:b/>
                <w:sz w:val="18"/>
                <w:szCs w:val="18"/>
                <w:vertAlign w:val="superscript"/>
              </w:rPr>
            </w:pPr>
            <w:r w:rsidRPr="003D3BAC">
              <w:rPr>
                <w:rFonts w:ascii="Arial" w:hAnsi="Arial" w:cs="Arial"/>
                <w:b/>
                <w:sz w:val="18"/>
                <w:szCs w:val="18"/>
              </w:rPr>
              <w:t>Analytic Approach</w:t>
            </w:r>
            <w:r w:rsidRPr="003D3BAC">
              <w:rPr>
                <w:rFonts w:ascii="Arial" w:hAnsi="Arial" w:cs="Arial"/>
                <w:b/>
                <w:sz w:val="18"/>
                <w:szCs w:val="18"/>
                <w:vertAlign w:val="superscript"/>
              </w:rPr>
              <w:t>1</w:t>
            </w:r>
          </w:p>
        </w:tc>
      </w:tr>
      <w:tr w:rsidRPr="003D3BAC" w:rsidR="00287221" w:rsidTr="00287084" w14:paraId="6822E661" w14:textId="77777777">
        <w:tc>
          <w:tcPr>
            <w:tcW w:w="1885" w:type="dxa"/>
            <w:tcBorders>
              <w:top w:val="single" w:color="auto" w:sz="6" w:space="0"/>
            </w:tcBorders>
          </w:tcPr>
          <w:p w:rsidRPr="003D3BAC" w:rsidR="00287221" w:rsidP="00287084" w:rsidRDefault="00287221" w14:paraId="3446C6A7" w14:textId="77777777">
            <w:pPr>
              <w:rPr>
                <w:rFonts w:ascii="Arial" w:hAnsi="Arial" w:cs="Arial"/>
                <w:sz w:val="18"/>
                <w:szCs w:val="18"/>
              </w:rPr>
            </w:pPr>
            <w:r w:rsidRPr="003D3BAC">
              <w:rPr>
                <w:rFonts w:ascii="Arial" w:hAnsi="Arial" w:cs="Arial"/>
                <w:sz w:val="18"/>
                <w:szCs w:val="18"/>
              </w:rPr>
              <w:t>Missingness</w:t>
            </w:r>
          </w:p>
        </w:tc>
        <w:tc>
          <w:tcPr>
            <w:tcW w:w="6030" w:type="dxa"/>
            <w:tcBorders>
              <w:top w:val="single" w:color="auto" w:sz="6" w:space="0"/>
            </w:tcBorders>
          </w:tcPr>
          <w:p w:rsidRPr="003D3BAC" w:rsidR="00287221" w:rsidP="00287084" w:rsidRDefault="00287221" w14:paraId="1A3FB21D" w14:textId="77777777">
            <w:pPr>
              <w:rPr>
                <w:rFonts w:ascii="Arial" w:hAnsi="Arial" w:cs="Arial"/>
                <w:sz w:val="18"/>
                <w:szCs w:val="18"/>
              </w:rPr>
            </w:pPr>
            <w:r w:rsidRPr="003D3BAC">
              <w:rPr>
                <w:rFonts w:ascii="Arial" w:hAnsi="Arial" w:cs="Arial"/>
                <w:sz w:val="18"/>
                <w:szCs w:val="18"/>
              </w:rPr>
              <w:t>Compare item- and question-level nonresponse rate</w:t>
            </w:r>
          </w:p>
        </w:tc>
        <w:tc>
          <w:tcPr>
            <w:tcW w:w="1435" w:type="dxa"/>
            <w:tcBorders>
              <w:top w:val="single" w:color="auto" w:sz="6" w:space="0"/>
            </w:tcBorders>
          </w:tcPr>
          <w:p w:rsidRPr="003D3BAC" w:rsidR="00287221" w:rsidP="00287084" w:rsidRDefault="00287221" w14:paraId="18A0B3EA" w14:textId="77777777">
            <w:pPr>
              <w:jc w:val="right"/>
              <w:rPr>
                <w:rFonts w:ascii="Arial" w:hAnsi="Arial" w:cs="Arial"/>
                <w:sz w:val="18"/>
                <w:szCs w:val="18"/>
              </w:rPr>
            </w:pPr>
            <w:r w:rsidRPr="003D3BAC">
              <w:rPr>
                <w:rFonts w:ascii="Arial" w:hAnsi="Arial" w:cs="Arial"/>
                <w:i/>
                <w:sz w:val="18"/>
                <w:szCs w:val="18"/>
              </w:rPr>
              <w:t>t</w:t>
            </w:r>
            <w:r w:rsidRPr="003D3BAC">
              <w:rPr>
                <w:rFonts w:ascii="Arial" w:hAnsi="Arial" w:cs="Arial"/>
                <w:sz w:val="18"/>
                <w:szCs w:val="18"/>
              </w:rPr>
              <w:t>-test</w:t>
            </w:r>
          </w:p>
        </w:tc>
      </w:tr>
      <w:tr w:rsidRPr="003D3BAC" w:rsidR="00287221" w:rsidTr="00287084" w14:paraId="3DA95867" w14:textId="77777777">
        <w:tc>
          <w:tcPr>
            <w:tcW w:w="1885" w:type="dxa"/>
          </w:tcPr>
          <w:p w:rsidRPr="003D3BAC" w:rsidR="00287221" w:rsidP="00287084" w:rsidRDefault="00287221" w14:paraId="1DED174B" w14:textId="77777777">
            <w:pPr>
              <w:rPr>
                <w:rFonts w:ascii="Arial" w:hAnsi="Arial" w:cs="Arial"/>
                <w:sz w:val="18"/>
                <w:szCs w:val="18"/>
              </w:rPr>
            </w:pPr>
            <w:r w:rsidRPr="003D3BAC">
              <w:rPr>
                <w:rFonts w:ascii="Arial" w:hAnsi="Arial" w:cs="Arial"/>
                <w:sz w:val="18"/>
                <w:szCs w:val="18"/>
              </w:rPr>
              <w:t>Administrative data concordance</w:t>
            </w:r>
          </w:p>
        </w:tc>
        <w:tc>
          <w:tcPr>
            <w:tcW w:w="6030" w:type="dxa"/>
          </w:tcPr>
          <w:p w:rsidRPr="003D3BAC" w:rsidR="00287221" w:rsidP="00287084" w:rsidRDefault="00287221" w14:paraId="2BA35BFC" w14:textId="77777777">
            <w:pPr>
              <w:rPr>
                <w:rFonts w:ascii="Arial" w:hAnsi="Arial" w:cs="Arial"/>
                <w:sz w:val="18"/>
                <w:szCs w:val="18"/>
              </w:rPr>
            </w:pPr>
            <w:r w:rsidRPr="003D3BAC">
              <w:rPr>
                <w:rFonts w:ascii="Arial" w:hAnsi="Arial" w:cs="Arial"/>
                <w:sz w:val="18"/>
                <w:szCs w:val="18"/>
              </w:rPr>
              <w:t xml:space="preserve">Agreement rates between self-reported enrollment and </w:t>
            </w:r>
            <w:r w:rsidRPr="003D3BAC">
              <w:rPr>
                <w:rFonts w:ascii="Arial" w:hAnsi="Arial" w:cs="Arial"/>
                <w:color w:val="000000"/>
                <w:sz w:val="18"/>
                <w:szCs w:val="18"/>
              </w:rPr>
              <w:t>National Student Clearinghouse (NSC) administrative records</w:t>
            </w:r>
          </w:p>
        </w:tc>
        <w:tc>
          <w:tcPr>
            <w:tcW w:w="1435" w:type="dxa"/>
          </w:tcPr>
          <w:p w:rsidRPr="003D3BAC" w:rsidR="00287221" w:rsidP="00287084" w:rsidRDefault="00287221" w14:paraId="350C8DD1" w14:textId="77777777">
            <w:pPr>
              <w:jc w:val="right"/>
              <w:rPr>
                <w:rFonts w:ascii="Arial" w:hAnsi="Arial" w:cs="Arial"/>
                <w:sz w:val="18"/>
                <w:szCs w:val="18"/>
              </w:rPr>
            </w:pPr>
            <w:r w:rsidRPr="003D3BAC">
              <w:rPr>
                <w:rFonts w:ascii="Arial" w:hAnsi="Arial" w:cs="Arial"/>
                <w:i/>
                <w:sz w:val="18"/>
                <w:szCs w:val="18"/>
              </w:rPr>
              <w:t>t</w:t>
            </w:r>
            <w:r w:rsidRPr="003D3BAC">
              <w:rPr>
                <w:rFonts w:ascii="Arial" w:hAnsi="Arial" w:cs="Arial"/>
                <w:sz w:val="18"/>
                <w:szCs w:val="18"/>
              </w:rPr>
              <w:t>-test</w:t>
            </w:r>
          </w:p>
        </w:tc>
      </w:tr>
      <w:tr w:rsidRPr="003D3BAC" w:rsidR="00287221" w:rsidTr="00287084" w14:paraId="08B705A5" w14:textId="77777777">
        <w:tc>
          <w:tcPr>
            <w:tcW w:w="1885" w:type="dxa"/>
          </w:tcPr>
          <w:p w:rsidRPr="003D3BAC" w:rsidR="00287221" w:rsidP="00287084" w:rsidRDefault="00287221" w14:paraId="24B13A37" w14:textId="77777777">
            <w:pPr>
              <w:rPr>
                <w:rFonts w:ascii="Arial" w:hAnsi="Arial" w:cs="Arial"/>
                <w:sz w:val="18"/>
                <w:szCs w:val="18"/>
              </w:rPr>
            </w:pPr>
            <w:r w:rsidRPr="003D3BAC">
              <w:rPr>
                <w:rFonts w:ascii="Arial" w:hAnsi="Arial" w:cs="Arial"/>
                <w:sz w:val="18"/>
                <w:szCs w:val="18"/>
              </w:rPr>
              <w:t>Timing burden</w:t>
            </w:r>
          </w:p>
        </w:tc>
        <w:tc>
          <w:tcPr>
            <w:tcW w:w="6030" w:type="dxa"/>
          </w:tcPr>
          <w:p w:rsidRPr="003D3BAC" w:rsidR="00287221" w:rsidP="00287084" w:rsidRDefault="00287221" w14:paraId="3E131ECE" w14:textId="77777777">
            <w:pPr>
              <w:rPr>
                <w:rFonts w:ascii="Arial" w:hAnsi="Arial" w:cs="Arial"/>
                <w:sz w:val="18"/>
                <w:szCs w:val="18"/>
              </w:rPr>
            </w:pPr>
            <w:r w:rsidRPr="003D3BAC">
              <w:rPr>
                <w:rFonts w:ascii="Arial" w:hAnsi="Arial" w:cs="Arial"/>
                <w:sz w:val="18"/>
                <w:szCs w:val="18"/>
              </w:rPr>
              <w:t>Mean timing burden at the survey question-level</w:t>
            </w:r>
          </w:p>
          <w:p w:rsidRPr="003D3BAC" w:rsidR="00287221" w:rsidP="00287084" w:rsidRDefault="00287221" w14:paraId="7E91A1F8" w14:textId="77777777">
            <w:pPr>
              <w:rPr>
                <w:rFonts w:ascii="Arial" w:hAnsi="Arial" w:cs="Arial"/>
                <w:sz w:val="18"/>
                <w:szCs w:val="18"/>
              </w:rPr>
            </w:pPr>
          </w:p>
          <w:p w:rsidRPr="003D3BAC" w:rsidR="00287221" w:rsidP="00287084" w:rsidRDefault="00287221" w14:paraId="33FF9ED5" w14:textId="77777777">
            <w:pPr>
              <w:rPr>
                <w:rFonts w:ascii="Arial" w:hAnsi="Arial" w:cs="Arial"/>
                <w:sz w:val="18"/>
                <w:szCs w:val="18"/>
                <w:vertAlign w:val="superscript"/>
              </w:rPr>
            </w:pPr>
            <w:r w:rsidRPr="003D3BAC">
              <w:rPr>
                <w:rFonts w:ascii="Arial" w:hAnsi="Arial" w:cs="Arial"/>
                <w:sz w:val="18"/>
                <w:szCs w:val="18"/>
              </w:rPr>
              <w:t>Mean timing burden of entire coronavirus pandemic module</w:t>
            </w:r>
          </w:p>
        </w:tc>
        <w:tc>
          <w:tcPr>
            <w:tcW w:w="1435" w:type="dxa"/>
          </w:tcPr>
          <w:p w:rsidRPr="003D3BAC" w:rsidR="00287221" w:rsidP="00287084" w:rsidRDefault="00287221" w14:paraId="707D0F0B" w14:textId="77777777">
            <w:pPr>
              <w:jc w:val="right"/>
              <w:rPr>
                <w:rFonts w:ascii="Arial" w:hAnsi="Arial" w:cs="Arial"/>
                <w:sz w:val="18"/>
                <w:szCs w:val="18"/>
              </w:rPr>
            </w:pPr>
            <w:r w:rsidRPr="003D3BAC">
              <w:rPr>
                <w:rFonts w:ascii="Arial" w:hAnsi="Arial" w:cs="Arial"/>
                <w:i/>
                <w:sz w:val="18"/>
                <w:szCs w:val="18"/>
              </w:rPr>
              <w:t>t</w:t>
            </w:r>
            <w:r w:rsidRPr="003D3BAC">
              <w:rPr>
                <w:rFonts w:ascii="Arial" w:hAnsi="Arial" w:cs="Arial"/>
                <w:sz w:val="18"/>
                <w:szCs w:val="18"/>
              </w:rPr>
              <w:t>-test</w:t>
            </w:r>
          </w:p>
        </w:tc>
      </w:tr>
      <w:tr w:rsidRPr="003D3BAC" w:rsidR="00287221" w:rsidTr="00287084" w14:paraId="14B8BE67" w14:textId="77777777">
        <w:tc>
          <w:tcPr>
            <w:tcW w:w="1885" w:type="dxa"/>
            <w:tcBorders>
              <w:bottom w:val="single" w:color="auto" w:sz="12" w:space="0"/>
            </w:tcBorders>
          </w:tcPr>
          <w:p w:rsidRPr="003D3BAC" w:rsidR="00287221" w:rsidP="00287084" w:rsidRDefault="00287221" w14:paraId="70604D1A" w14:textId="77777777">
            <w:pPr>
              <w:rPr>
                <w:rFonts w:ascii="Arial" w:hAnsi="Arial" w:cs="Arial"/>
                <w:sz w:val="18"/>
                <w:szCs w:val="18"/>
              </w:rPr>
            </w:pPr>
            <w:r w:rsidRPr="003D3BAC">
              <w:rPr>
                <w:rFonts w:ascii="Arial" w:hAnsi="Arial" w:cs="Arial"/>
                <w:sz w:val="18"/>
                <w:szCs w:val="18"/>
              </w:rPr>
              <w:t>Response patterns</w:t>
            </w:r>
          </w:p>
        </w:tc>
        <w:tc>
          <w:tcPr>
            <w:tcW w:w="6030" w:type="dxa"/>
            <w:tcBorders>
              <w:bottom w:val="single" w:color="auto" w:sz="12" w:space="0"/>
            </w:tcBorders>
          </w:tcPr>
          <w:p w:rsidRPr="003D3BAC" w:rsidR="00287221" w:rsidP="00287084" w:rsidRDefault="00287221" w14:paraId="397AC732" w14:textId="77777777">
            <w:pPr>
              <w:rPr>
                <w:rFonts w:ascii="Arial" w:hAnsi="Arial" w:cs="Arial"/>
                <w:sz w:val="18"/>
                <w:szCs w:val="18"/>
              </w:rPr>
            </w:pPr>
            <w:r w:rsidRPr="003D3BAC">
              <w:rPr>
                <w:rFonts w:ascii="Arial" w:hAnsi="Arial" w:cs="Arial"/>
                <w:sz w:val="18"/>
                <w:szCs w:val="18"/>
              </w:rPr>
              <w:t>Rate of contradictory response about enrollment at primary institution</w:t>
            </w:r>
          </w:p>
          <w:p w:rsidRPr="003D3BAC" w:rsidR="00287221" w:rsidP="00287084" w:rsidRDefault="00287221" w14:paraId="3638A09B" w14:textId="77777777">
            <w:pPr>
              <w:rPr>
                <w:rFonts w:ascii="Arial" w:hAnsi="Arial" w:cs="Arial"/>
                <w:sz w:val="18"/>
                <w:szCs w:val="18"/>
              </w:rPr>
            </w:pPr>
          </w:p>
          <w:p w:rsidRPr="003D3BAC" w:rsidR="00287221" w:rsidP="00287084" w:rsidRDefault="00287221" w14:paraId="3576332D" w14:textId="77777777">
            <w:pPr>
              <w:rPr>
                <w:rFonts w:ascii="Arial" w:hAnsi="Arial" w:cs="Arial"/>
                <w:sz w:val="18"/>
                <w:szCs w:val="18"/>
              </w:rPr>
            </w:pPr>
            <w:r w:rsidRPr="003D3BAC">
              <w:rPr>
                <w:rFonts w:ascii="Arial" w:hAnsi="Arial" w:cs="Arial"/>
                <w:sz w:val="18"/>
                <w:szCs w:val="18"/>
              </w:rPr>
              <w:t xml:space="preserve">Rate of straightlining on </w:t>
            </w:r>
            <w:r w:rsidRPr="003D3BAC">
              <w:rPr>
                <w:rFonts w:ascii="Arial" w:hAnsi="Arial" w:cs="Arial"/>
                <w:color w:val="000000"/>
                <w:sz w:val="18"/>
                <w:szCs w:val="18"/>
              </w:rPr>
              <w:t>largest grid-format question</w:t>
            </w:r>
          </w:p>
        </w:tc>
        <w:tc>
          <w:tcPr>
            <w:tcW w:w="1435" w:type="dxa"/>
            <w:tcBorders>
              <w:bottom w:val="single" w:color="auto" w:sz="12" w:space="0"/>
            </w:tcBorders>
          </w:tcPr>
          <w:p w:rsidRPr="003D3BAC" w:rsidR="00287221" w:rsidP="00287084" w:rsidRDefault="00287221" w14:paraId="12960929" w14:textId="77777777">
            <w:pPr>
              <w:jc w:val="right"/>
              <w:rPr>
                <w:rFonts w:ascii="Arial" w:hAnsi="Arial" w:cs="Arial"/>
                <w:iCs/>
                <w:sz w:val="18"/>
                <w:szCs w:val="18"/>
              </w:rPr>
            </w:pPr>
            <w:r w:rsidRPr="003D3BAC">
              <w:rPr>
                <w:rFonts w:ascii="Arial" w:hAnsi="Arial" w:cs="Arial"/>
                <w:iCs/>
                <w:sz w:val="18"/>
                <w:szCs w:val="18"/>
              </w:rPr>
              <w:t>descriptive</w:t>
            </w:r>
          </w:p>
          <w:p w:rsidRPr="003D3BAC" w:rsidR="00287221" w:rsidP="00287084" w:rsidRDefault="00287221" w14:paraId="20EA2C22" w14:textId="77777777">
            <w:pPr>
              <w:jc w:val="right"/>
              <w:rPr>
                <w:rFonts w:ascii="Arial" w:hAnsi="Arial" w:cs="Arial"/>
                <w:iCs/>
                <w:sz w:val="18"/>
                <w:szCs w:val="18"/>
              </w:rPr>
            </w:pPr>
          </w:p>
          <w:p w:rsidRPr="003D3BAC" w:rsidR="00287221" w:rsidP="00287084" w:rsidRDefault="00287221" w14:paraId="52ABDDB5" w14:textId="77777777">
            <w:pPr>
              <w:jc w:val="right"/>
              <w:rPr>
                <w:rFonts w:ascii="Arial" w:hAnsi="Arial" w:cs="Arial"/>
                <w:iCs/>
                <w:sz w:val="18"/>
                <w:szCs w:val="18"/>
              </w:rPr>
            </w:pPr>
          </w:p>
          <w:p w:rsidRPr="003D3BAC" w:rsidR="00287221" w:rsidP="00287084" w:rsidRDefault="00287221" w14:paraId="26653BED" w14:textId="77777777">
            <w:pPr>
              <w:jc w:val="right"/>
              <w:rPr>
                <w:rFonts w:ascii="Arial" w:hAnsi="Arial" w:cs="Arial"/>
                <w:i/>
                <w:sz w:val="18"/>
                <w:szCs w:val="18"/>
              </w:rPr>
            </w:pPr>
            <w:r w:rsidRPr="003D3BAC">
              <w:rPr>
                <w:rFonts w:ascii="Arial" w:hAnsi="Arial" w:cs="Arial"/>
                <w:i/>
                <w:sz w:val="18"/>
                <w:szCs w:val="18"/>
              </w:rPr>
              <w:t>t</w:t>
            </w:r>
            <w:r w:rsidRPr="003D3BAC">
              <w:rPr>
                <w:rFonts w:ascii="Arial" w:hAnsi="Arial" w:cs="Arial"/>
                <w:sz w:val="18"/>
                <w:szCs w:val="18"/>
              </w:rPr>
              <w:t>-test</w:t>
            </w:r>
          </w:p>
        </w:tc>
      </w:tr>
    </w:tbl>
    <w:p w:rsidRPr="003D3BAC" w:rsidR="00287221" w:rsidP="00287221" w:rsidRDefault="00287221" w14:paraId="0E6D3DF4" w14:textId="77777777">
      <w:pPr>
        <w:pStyle w:val="tabfigsource"/>
        <w:rPr>
          <w:rFonts w:cs="Arial"/>
          <w:szCs w:val="16"/>
        </w:rPr>
      </w:pPr>
      <w:r w:rsidRPr="003D3BAC">
        <w:rPr>
          <w:rFonts w:cs="Arial"/>
          <w:szCs w:val="16"/>
        </w:rPr>
        <w:t>1 All analyses compare results by experimental group assignment, or by coronavirus pandemic module assignment when applicable.</w:t>
      </w:r>
    </w:p>
    <w:p w:rsidRPr="003D3BAC" w:rsidR="00287221" w:rsidP="00287221" w:rsidRDefault="00287221" w14:paraId="0FEE6687" w14:textId="77777777">
      <w:pPr>
        <w:pStyle w:val="tabfigsource"/>
        <w:rPr>
          <w:rFonts w:cs="Arial"/>
          <w:szCs w:val="16"/>
        </w:rPr>
      </w:pPr>
      <w:r w:rsidRPr="003D3BAC">
        <w:rPr>
          <w:rFonts w:cs="Arial"/>
          <w:szCs w:val="16"/>
        </w:rPr>
        <w:t>SOURCE: U.S. Department of Education, National Center for Education Statistics, 2020/22 Beginning Postsecondary Students (BPS:20/22) Field Test.</w:t>
      </w:r>
    </w:p>
    <w:p w:rsidRPr="00FD5576" w:rsidR="00287221" w:rsidP="00EE3E0D" w:rsidRDefault="00287221" w14:paraId="47DFF4F3" w14:textId="65D9E745">
      <w:pPr>
        <w:pStyle w:val="Heading4"/>
        <w:numPr>
          <w:ilvl w:val="0"/>
          <w:numId w:val="18"/>
        </w:numPr>
        <w:rPr>
          <w:rFonts w:asciiTheme="minorHAnsi" w:hAnsiTheme="minorHAnsi" w:cstheme="minorHAnsi"/>
        </w:rPr>
      </w:pPr>
      <w:r w:rsidRPr="00FD5576">
        <w:rPr>
          <w:rFonts w:asciiTheme="minorHAnsi" w:hAnsiTheme="minorHAnsi" w:cstheme="minorHAnsi"/>
        </w:rPr>
        <w:t>Experiment #3, Survey Instrument: Collection of Month-level Enrollment Intensity</w:t>
      </w:r>
    </w:p>
    <w:p w:rsidRPr="00C555EA" w:rsidR="00287221" w:rsidP="00287221" w:rsidRDefault="00287221" w14:paraId="75C4F90C" w14:textId="1344AACA">
      <w:pPr>
        <w:spacing w:after="120" w:line="276" w:lineRule="auto"/>
        <w:rPr>
          <w:szCs w:val="24"/>
        </w:rPr>
      </w:pPr>
      <w:r w:rsidRPr="00C555EA">
        <w:rPr>
          <w:rFonts w:cstheme="minorHAnsi"/>
          <w:szCs w:val="24"/>
        </w:rPr>
        <w:t xml:space="preserve">Enrollment intensity is an important measure for BPS:20/22 due to its role in financial aid eligibility and other analyses of student persistence and credential attainment. </w:t>
      </w:r>
      <w:r w:rsidRPr="00C555EA">
        <w:rPr>
          <w:szCs w:val="24"/>
        </w:rPr>
        <w:t xml:space="preserve">The BPS:20/22 field test survey randomly assigned respondents into one of two methods of collecting enrollment information to determine which method increases the reliability of self-reported enrollment information. </w:t>
      </w:r>
      <w:r w:rsidRPr="00C555EA" w:rsidR="00254209">
        <w:rPr>
          <w:rFonts w:cs="Calibri"/>
          <w:color w:val="000000"/>
          <w:szCs w:val="24"/>
        </w:rPr>
        <w:t xml:space="preserve">The </w:t>
      </w:r>
      <w:r w:rsidR="00254209">
        <w:rPr>
          <w:rFonts w:cs="Calibri"/>
          <w:color w:val="000000"/>
          <w:szCs w:val="24"/>
        </w:rPr>
        <w:t xml:space="preserve">first method, </w:t>
      </w:r>
      <w:r w:rsidRPr="00C555EA" w:rsidR="00254209">
        <w:rPr>
          <w:rFonts w:cs="Calibri"/>
          <w:color w:val="000000"/>
          <w:szCs w:val="24"/>
        </w:rPr>
        <w:t>comparable to past BPS surveys</w:t>
      </w:r>
      <w:r w:rsidRPr="00921DD1" w:rsidR="00254209">
        <w:rPr>
          <w:rFonts w:cs="Calibri"/>
          <w:color w:val="000000"/>
          <w:szCs w:val="24"/>
        </w:rPr>
        <w:t xml:space="preserve"> </w:t>
      </w:r>
      <w:r w:rsidR="00254209">
        <w:rPr>
          <w:rFonts w:cs="Calibri"/>
          <w:color w:val="000000"/>
          <w:szCs w:val="24"/>
        </w:rPr>
        <w:t>(</w:t>
      </w:r>
      <w:r w:rsidRPr="00C555EA" w:rsidR="00254209">
        <w:rPr>
          <w:rFonts w:cs="Calibri"/>
          <w:color w:val="000000"/>
          <w:szCs w:val="24"/>
        </w:rPr>
        <w:t>control group</w:t>
      </w:r>
      <w:r w:rsidR="00254209">
        <w:rPr>
          <w:rFonts w:cs="Calibri"/>
          <w:color w:val="000000"/>
          <w:szCs w:val="24"/>
        </w:rPr>
        <w:t>)</w:t>
      </w:r>
      <w:r w:rsidRPr="00C555EA" w:rsidR="00254209">
        <w:rPr>
          <w:rFonts w:cs="Calibri"/>
          <w:color w:val="000000"/>
          <w:szCs w:val="24"/>
        </w:rPr>
        <w:t>, used a forced-choice grid question that collected enrollment intensity for each academic year (B22ASTST2) on a single form. The</w:t>
      </w:r>
      <w:r w:rsidR="00254209">
        <w:rPr>
          <w:rFonts w:cs="Calibri"/>
          <w:color w:val="000000"/>
          <w:szCs w:val="24"/>
        </w:rPr>
        <w:t xml:space="preserve"> </w:t>
      </w:r>
      <w:r w:rsidRPr="00C555EA" w:rsidR="00254209">
        <w:rPr>
          <w:rFonts w:cs="Calibri"/>
          <w:color w:val="000000"/>
          <w:szCs w:val="24"/>
        </w:rPr>
        <w:t>treatment group</w:t>
      </w:r>
      <w:r w:rsidR="00254209">
        <w:rPr>
          <w:rFonts w:cs="Calibri"/>
          <w:color w:val="000000"/>
          <w:szCs w:val="24"/>
        </w:rPr>
        <w:t xml:space="preserve"> received the second method,</w:t>
      </w:r>
      <w:r w:rsidRPr="00C555EA" w:rsidR="00254209">
        <w:rPr>
          <w:rFonts w:cs="Calibri"/>
          <w:color w:val="000000"/>
          <w:szCs w:val="24"/>
        </w:rPr>
        <w:t xml:space="preserve"> </w:t>
      </w:r>
      <w:r w:rsidR="00254209">
        <w:rPr>
          <w:rFonts w:cs="Calibri"/>
          <w:color w:val="000000"/>
          <w:szCs w:val="24"/>
        </w:rPr>
        <w:t xml:space="preserve">in which respondents </w:t>
      </w:r>
      <w:r w:rsidRPr="00C555EA" w:rsidR="00254209">
        <w:rPr>
          <w:rFonts w:cs="Calibri"/>
          <w:color w:val="000000"/>
          <w:szCs w:val="24"/>
        </w:rPr>
        <w:t>were administered separate questions for full-time and part-time enrollment intensity for specified academic years (B22ANENRLFT, B22ANENRLPT).</w:t>
      </w:r>
      <w:r w:rsidR="00254209">
        <w:rPr>
          <w:rFonts w:cs="Calibri"/>
          <w:color w:val="000000"/>
          <w:szCs w:val="24"/>
        </w:rPr>
        <w:t xml:space="preserve"> </w:t>
      </w:r>
      <w:r w:rsidRPr="00C555EA">
        <w:rPr>
          <w:szCs w:val="24"/>
        </w:rPr>
        <w:t xml:space="preserve">Additionally, this experiment was conducted to analyze which method may potentially reduce respondent burden, as the burden associated with navigating the custom calendar survey questions is high. </w:t>
      </w:r>
      <w:r w:rsidR="00C84326">
        <w:rPr>
          <w:szCs w:val="24"/>
        </w:rPr>
        <w:t>Following the control or experimental gate(s), both groups are administered t</w:t>
      </w:r>
      <w:r w:rsidR="00254209">
        <w:rPr>
          <w:szCs w:val="24"/>
        </w:rPr>
        <w:t>he custom calendar survey questions</w:t>
      </w:r>
      <w:r w:rsidR="00C84326">
        <w:rPr>
          <w:szCs w:val="24"/>
        </w:rPr>
        <w:t>, which</w:t>
      </w:r>
      <w:r w:rsidR="00254209">
        <w:rPr>
          <w:szCs w:val="24"/>
        </w:rPr>
        <w:t xml:space="preserve"> display individual month buttons by academic year, and respondents may </w:t>
      </w:r>
      <w:r w:rsidR="00254209">
        <w:rPr>
          <w:szCs w:val="24"/>
        </w:rPr>
        <w:lastRenderedPageBreak/>
        <w:t xml:space="preserve">choose a “select all” option to select all months in the academic year or select months individually. </w:t>
      </w:r>
      <w:r w:rsidRPr="00C555EA">
        <w:rPr>
          <w:szCs w:val="24"/>
        </w:rPr>
        <w:t xml:space="preserve">This </w:t>
      </w:r>
      <w:r w:rsidR="00254209">
        <w:rPr>
          <w:szCs w:val="24"/>
        </w:rPr>
        <w:t xml:space="preserve">burden concern </w:t>
      </w:r>
      <w:r w:rsidRPr="00C555EA">
        <w:rPr>
          <w:szCs w:val="24"/>
        </w:rPr>
        <w:t>is particularly important given the BPS:20/22 full-scale survey will collect information about two years of academic enrollment</w:t>
      </w:r>
      <w:r w:rsidR="00254209">
        <w:rPr>
          <w:szCs w:val="24"/>
        </w:rPr>
        <w:t xml:space="preserve"> (24 months)</w:t>
      </w:r>
      <w:r w:rsidRPr="00C555EA">
        <w:rPr>
          <w:szCs w:val="24"/>
        </w:rPr>
        <w:t xml:space="preserve">, rather than one academic year </w:t>
      </w:r>
      <w:r w:rsidR="00254209">
        <w:rPr>
          <w:szCs w:val="24"/>
        </w:rPr>
        <w:t xml:space="preserve">(12 months) </w:t>
      </w:r>
      <w:r w:rsidRPr="00C555EA">
        <w:rPr>
          <w:szCs w:val="24"/>
        </w:rPr>
        <w:t xml:space="preserve">as in the field test. </w:t>
      </w:r>
      <w:r w:rsidRPr="00C555EA">
        <w:rPr>
          <w:rFonts w:cs="Calibri"/>
          <w:color w:val="000000"/>
          <w:szCs w:val="24"/>
        </w:rPr>
        <w:t>Following the administration of each version, specific months of enrollment were collected for the applicable enrollment intensity.</w:t>
      </w:r>
      <w:r w:rsidR="00254209">
        <w:rPr>
          <w:rFonts w:cs="Calibri"/>
          <w:color w:val="000000"/>
          <w:szCs w:val="24"/>
        </w:rPr>
        <w:t xml:space="preserve"> </w:t>
      </w:r>
      <w:r w:rsidRPr="00C555EA" w:rsidR="00254209">
        <w:rPr>
          <w:szCs w:val="24"/>
        </w:rPr>
        <w:t>T</w:t>
      </w:r>
      <w:r w:rsidR="00254209">
        <w:rPr>
          <w:szCs w:val="24"/>
        </w:rPr>
        <w:t>he following</w:t>
      </w:r>
      <w:r w:rsidRPr="00C555EA" w:rsidR="00254209">
        <w:rPr>
          <w:szCs w:val="24"/>
        </w:rPr>
        <w:t xml:space="preserve"> analysis is limited to results from</w:t>
      </w:r>
      <w:r w:rsidR="00254209">
        <w:rPr>
          <w:szCs w:val="24"/>
        </w:rPr>
        <w:t xml:space="preserve"> respondents reporting</w:t>
      </w:r>
      <w:r w:rsidRPr="00C555EA" w:rsidR="00254209">
        <w:rPr>
          <w:szCs w:val="24"/>
        </w:rPr>
        <w:t xml:space="preserve"> continued enrollment at their NPSAS institution.</w:t>
      </w:r>
    </w:p>
    <w:p w:rsidR="00287221" w:rsidP="00287221" w:rsidRDefault="00287221" w14:paraId="20933B58" w14:textId="77777777">
      <w:pPr>
        <w:spacing w:after="120" w:line="276" w:lineRule="auto"/>
        <w:rPr>
          <w:szCs w:val="24"/>
        </w:rPr>
      </w:pPr>
      <w:r w:rsidRPr="006F20DE">
        <w:rPr>
          <w:rFonts w:cstheme="minorHAnsi"/>
          <w:b/>
          <w:bCs/>
          <w:szCs w:val="24"/>
        </w:rPr>
        <w:t>Results.</w:t>
      </w:r>
      <w:r w:rsidRPr="00C555EA">
        <w:rPr>
          <w:rFonts w:cstheme="minorHAnsi"/>
          <w:b/>
          <w:bCs/>
          <w:szCs w:val="24"/>
        </w:rPr>
        <w:t xml:space="preserve"> </w:t>
      </w:r>
    </w:p>
    <w:p w:rsidR="00287221" w:rsidP="00287221" w:rsidRDefault="00287221" w14:paraId="4B586DB8" w14:textId="672E1762">
      <w:pPr>
        <w:spacing w:after="120" w:line="276" w:lineRule="auto"/>
        <w:rPr>
          <w:szCs w:val="24"/>
        </w:rPr>
      </w:pPr>
      <w:r w:rsidRPr="00C555EA">
        <w:rPr>
          <w:szCs w:val="24"/>
        </w:rPr>
        <w:t>Of the 2,240 BPS:20/22 field test respondents, 1,3</w:t>
      </w:r>
      <w:r w:rsidR="000E1596">
        <w:rPr>
          <w:szCs w:val="24"/>
        </w:rPr>
        <w:t>2</w:t>
      </w:r>
      <w:r w:rsidRPr="00C555EA">
        <w:rPr>
          <w:szCs w:val="24"/>
        </w:rPr>
        <w:t xml:space="preserve">0 respondents are included in this analysis (59 percent). </w:t>
      </w:r>
      <w:r w:rsidRPr="00C555EA">
        <w:rPr>
          <w:szCs w:val="24"/>
        </w:rPr>
        <w:fldChar w:fldCharType="begin"/>
      </w:r>
      <w:r w:rsidRPr="00C555EA">
        <w:rPr>
          <w:szCs w:val="24"/>
        </w:rPr>
        <w:instrText xml:space="preserve"> REF _Ref79566016 \h  \* MERGEFORMAT </w:instrText>
      </w:r>
      <w:r w:rsidRPr="00C555EA">
        <w:rPr>
          <w:szCs w:val="24"/>
        </w:rPr>
      </w:r>
      <w:r w:rsidRPr="00C555EA">
        <w:rPr>
          <w:szCs w:val="24"/>
        </w:rPr>
        <w:fldChar w:fldCharType="separate"/>
      </w:r>
      <w:r w:rsidRPr="00A3046F" w:rsidR="00A3046F">
        <w:rPr>
          <w:szCs w:val="24"/>
        </w:rPr>
        <w:t>Table D.</w:t>
      </w:r>
      <w:r w:rsidRPr="00A3046F" w:rsidR="00A3046F">
        <w:rPr>
          <w:noProof/>
          <w:szCs w:val="24"/>
        </w:rPr>
        <w:t>9</w:t>
      </w:r>
      <w:r w:rsidRPr="00C555EA">
        <w:rPr>
          <w:szCs w:val="24"/>
        </w:rPr>
        <w:fldChar w:fldCharType="end"/>
      </w:r>
      <w:r w:rsidRPr="00C555EA">
        <w:rPr>
          <w:szCs w:val="24"/>
        </w:rPr>
        <w:t xml:space="preserve"> provides the randomized experimental assignment for field test respondents included in the analysis, and cases excluded from the analysis. </w:t>
      </w:r>
    </w:p>
    <w:p w:rsidRPr="007C0F4D" w:rsidR="00287221" w:rsidP="00287221" w:rsidRDefault="00287221" w14:paraId="1A760204" w14:textId="3D52BBB8">
      <w:pPr>
        <w:pStyle w:val="TableTitle"/>
      </w:pPr>
      <w:bookmarkStart w:name="_Ref79566016" w:id="33"/>
      <w:r>
        <w:t xml:space="preserve">Table </w:t>
      </w:r>
      <w:r w:rsidR="00A3046F">
        <w:t>D</w:t>
      </w:r>
      <w:r w:rsidR="00EE3E0D">
        <w:t>.</w:t>
      </w:r>
      <w:r>
        <w:fldChar w:fldCharType="begin"/>
      </w:r>
      <w:r>
        <w:instrText xml:space="preserve"> SEQ Table \* ARABIC </w:instrText>
      </w:r>
      <w:r>
        <w:fldChar w:fldCharType="separate"/>
      </w:r>
      <w:r>
        <w:rPr>
          <w:noProof/>
        </w:rPr>
        <w:t>9</w:t>
      </w:r>
      <w:r>
        <w:fldChar w:fldCharType="end"/>
      </w:r>
      <w:bookmarkEnd w:id="33"/>
      <w:r>
        <w:t xml:space="preserve">. </w:t>
      </w:r>
      <w:r w:rsidRPr="007C0F4D">
        <w:t>2020/22 Beginning Postsecondary Students Field Test</w:t>
      </w:r>
      <w:r>
        <w:t xml:space="preserve"> </w:t>
      </w:r>
      <w:r w:rsidRPr="00381850">
        <w:t>Month-level Enrollment Intensity</w:t>
      </w:r>
      <w:r>
        <w:t xml:space="preserve"> Analysis Cases</w:t>
      </w:r>
      <w:r w:rsidRPr="007C0F4D">
        <w:t>: 2021</w:t>
      </w:r>
    </w:p>
    <w:tbl>
      <w:tblPr>
        <w:tblW w:w="9611" w:type="dxa"/>
        <w:tblLook w:val="04A0" w:firstRow="1" w:lastRow="0" w:firstColumn="1" w:lastColumn="0" w:noHBand="0" w:noVBand="1"/>
      </w:tblPr>
      <w:tblGrid>
        <w:gridCol w:w="5458"/>
        <w:gridCol w:w="1533"/>
        <w:gridCol w:w="2329"/>
        <w:gridCol w:w="291"/>
      </w:tblGrid>
      <w:tr w:rsidRPr="00672915" w:rsidR="00287221" w:rsidTr="00287084" w14:paraId="678F227C" w14:textId="77777777">
        <w:trPr>
          <w:gridAfter w:val="1"/>
          <w:wAfter w:w="291" w:type="dxa"/>
          <w:trHeight w:val="451"/>
        </w:trPr>
        <w:tc>
          <w:tcPr>
            <w:tcW w:w="5458" w:type="dxa"/>
            <w:vMerge w:val="restart"/>
            <w:tcBorders>
              <w:top w:val="single" w:color="auto" w:sz="12" w:space="0"/>
              <w:left w:val="nil"/>
              <w:bottom w:val="single" w:color="000000" w:sz="8" w:space="0"/>
              <w:right w:val="nil"/>
            </w:tcBorders>
            <w:shd w:val="clear" w:color="auto" w:fill="auto"/>
            <w:noWrap/>
            <w:vAlign w:val="center"/>
            <w:hideMark/>
          </w:tcPr>
          <w:p w:rsidRPr="00672915" w:rsidR="00287221" w:rsidP="00287084" w:rsidRDefault="00287221" w14:paraId="3C380295" w14:textId="77777777">
            <w:pPr>
              <w:rPr>
                <w:rFonts w:ascii="Arial" w:hAnsi="Arial" w:eastAsia="Times New Roman" w:cs="Arial"/>
                <w:b/>
                <w:bCs/>
                <w:color w:val="000000"/>
                <w:sz w:val="18"/>
                <w:szCs w:val="18"/>
              </w:rPr>
            </w:pPr>
            <w:r w:rsidRPr="00672915">
              <w:rPr>
                <w:rFonts w:ascii="Arial" w:hAnsi="Arial" w:eastAsia="Times New Roman" w:cs="Arial"/>
                <w:b/>
                <w:bCs/>
                <w:color w:val="000000"/>
                <w:sz w:val="18"/>
                <w:szCs w:val="18"/>
              </w:rPr>
              <w:t>Respondents</w:t>
            </w:r>
          </w:p>
        </w:tc>
        <w:tc>
          <w:tcPr>
            <w:tcW w:w="1533" w:type="dxa"/>
            <w:vMerge w:val="restart"/>
            <w:tcBorders>
              <w:top w:val="single" w:color="auto" w:sz="12" w:space="0"/>
              <w:left w:val="nil"/>
              <w:bottom w:val="single" w:color="000000" w:sz="8" w:space="0"/>
              <w:right w:val="nil"/>
            </w:tcBorders>
            <w:shd w:val="clear" w:color="auto" w:fill="auto"/>
            <w:vAlign w:val="center"/>
            <w:hideMark/>
          </w:tcPr>
          <w:p w:rsidRPr="00672915" w:rsidR="00287221" w:rsidP="00287084" w:rsidRDefault="00287221" w14:paraId="4BC7F1A2" w14:textId="77777777">
            <w:pPr>
              <w:jc w:val="right"/>
              <w:rPr>
                <w:rFonts w:ascii="Arial" w:hAnsi="Arial" w:eastAsia="Times New Roman" w:cs="Arial"/>
                <w:b/>
                <w:bCs/>
                <w:color w:val="000000"/>
                <w:sz w:val="18"/>
                <w:szCs w:val="18"/>
              </w:rPr>
            </w:pPr>
            <w:r w:rsidRPr="00672915">
              <w:rPr>
                <w:rFonts w:ascii="Arial" w:hAnsi="Arial" w:eastAsia="Times New Roman" w:cs="Arial"/>
                <w:b/>
                <w:bCs/>
                <w:color w:val="000000"/>
                <w:sz w:val="18"/>
                <w:szCs w:val="18"/>
              </w:rPr>
              <w:t>Number of cases</w:t>
            </w:r>
          </w:p>
        </w:tc>
        <w:tc>
          <w:tcPr>
            <w:tcW w:w="2329" w:type="dxa"/>
            <w:vMerge w:val="restart"/>
            <w:tcBorders>
              <w:top w:val="single" w:color="auto" w:sz="12" w:space="0"/>
              <w:left w:val="nil"/>
              <w:bottom w:val="single" w:color="000000" w:sz="8" w:space="0"/>
              <w:right w:val="nil"/>
            </w:tcBorders>
            <w:shd w:val="clear" w:color="auto" w:fill="auto"/>
            <w:vAlign w:val="center"/>
            <w:hideMark/>
          </w:tcPr>
          <w:p w:rsidRPr="00672915" w:rsidR="00287221" w:rsidP="00287084" w:rsidRDefault="00287221" w14:paraId="508DB615" w14:textId="77777777">
            <w:pPr>
              <w:jc w:val="right"/>
              <w:rPr>
                <w:rFonts w:ascii="Arial" w:hAnsi="Arial" w:eastAsia="Times New Roman" w:cs="Arial"/>
                <w:b/>
                <w:bCs/>
                <w:color w:val="000000"/>
                <w:sz w:val="18"/>
                <w:szCs w:val="18"/>
              </w:rPr>
            </w:pPr>
            <w:r w:rsidRPr="00672915">
              <w:rPr>
                <w:rFonts w:ascii="Arial" w:hAnsi="Arial" w:eastAsia="Times New Roman" w:cs="Arial"/>
                <w:b/>
                <w:bCs/>
                <w:color w:val="000000"/>
                <w:sz w:val="18"/>
                <w:szCs w:val="18"/>
              </w:rPr>
              <w:t xml:space="preserve">Percent </w:t>
            </w:r>
          </w:p>
        </w:tc>
      </w:tr>
      <w:tr w:rsidRPr="00672915" w:rsidR="00287221" w:rsidTr="00287084" w14:paraId="48D4BFC6" w14:textId="77777777">
        <w:trPr>
          <w:trHeight w:val="20"/>
        </w:trPr>
        <w:tc>
          <w:tcPr>
            <w:tcW w:w="5458" w:type="dxa"/>
            <w:vMerge/>
            <w:tcBorders>
              <w:top w:val="single" w:color="auto" w:sz="12" w:space="0"/>
              <w:left w:val="nil"/>
              <w:bottom w:val="single" w:color="000000" w:sz="8" w:space="0"/>
              <w:right w:val="nil"/>
            </w:tcBorders>
            <w:vAlign w:val="center"/>
            <w:hideMark/>
          </w:tcPr>
          <w:p w:rsidRPr="00672915" w:rsidR="00287221" w:rsidP="00287084" w:rsidRDefault="00287221" w14:paraId="792AED99" w14:textId="77777777">
            <w:pPr>
              <w:rPr>
                <w:rFonts w:ascii="Arial" w:hAnsi="Arial" w:eastAsia="Times New Roman" w:cs="Arial"/>
                <w:b/>
                <w:bCs/>
                <w:color w:val="000000"/>
                <w:sz w:val="18"/>
                <w:szCs w:val="18"/>
              </w:rPr>
            </w:pPr>
          </w:p>
        </w:tc>
        <w:tc>
          <w:tcPr>
            <w:tcW w:w="1533" w:type="dxa"/>
            <w:vMerge/>
            <w:tcBorders>
              <w:top w:val="single" w:color="auto" w:sz="12" w:space="0"/>
              <w:left w:val="nil"/>
              <w:bottom w:val="single" w:color="000000" w:sz="8" w:space="0"/>
              <w:right w:val="nil"/>
            </w:tcBorders>
            <w:vAlign w:val="center"/>
            <w:hideMark/>
          </w:tcPr>
          <w:p w:rsidRPr="00672915" w:rsidR="00287221" w:rsidP="00287084" w:rsidRDefault="00287221" w14:paraId="7EE9FEC3" w14:textId="77777777">
            <w:pPr>
              <w:rPr>
                <w:rFonts w:ascii="Arial" w:hAnsi="Arial" w:eastAsia="Times New Roman" w:cs="Arial"/>
                <w:b/>
                <w:bCs/>
                <w:color w:val="000000"/>
                <w:sz w:val="18"/>
                <w:szCs w:val="18"/>
              </w:rPr>
            </w:pPr>
          </w:p>
        </w:tc>
        <w:tc>
          <w:tcPr>
            <w:tcW w:w="2329" w:type="dxa"/>
            <w:vMerge/>
            <w:tcBorders>
              <w:top w:val="single" w:color="auto" w:sz="12" w:space="0"/>
              <w:left w:val="nil"/>
              <w:bottom w:val="single" w:color="000000" w:sz="8" w:space="0"/>
              <w:right w:val="nil"/>
            </w:tcBorders>
            <w:vAlign w:val="center"/>
            <w:hideMark/>
          </w:tcPr>
          <w:p w:rsidRPr="00672915" w:rsidR="00287221" w:rsidP="00287084" w:rsidRDefault="00287221" w14:paraId="71DF8C87" w14:textId="77777777">
            <w:pPr>
              <w:rPr>
                <w:rFonts w:ascii="Arial" w:hAnsi="Arial" w:eastAsia="Times New Roman" w:cs="Arial"/>
                <w:b/>
                <w:bCs/>
                <w:color w:val="000000"/>
                <w:sz w:val="18"/>
                <w:szCs w:val="18"/>
              </w:rPr>
            </w:pPr>
          </w:p>
        </w:tc>
        <w:tc>
          <w:tcPr>
            <w:tcW w:w="291" w:type="dxa"/>
            <w:tcBorders>
              <w:top w:val="nil"/>
              <w:left w:val="nil"/>
              <w:bottom w:val="nil"/>
              <w:right w:val="nil"/>
            </w:tcBorders>
            <w:shd w:val="clear" w:color="auto" w:fill="auto"/>
            <w:noWrap/>
            <w:vAlign w:val="bottom"/>
            <w:hideMark/>
          </w:tcPr>
          <w:p w:rsidRPr="00672915" w:rsidR="00287221" w:rsidP="00287084" w:rsidRDefault="00287221" w14:paraId="281F0377" w14:textId="77777777">
            <w:pPr>
              <w:jc w:val="right"/>
              <w:rPr>
                <w:rFonts w:ascii="Arial" w:hAnsi="Arial" w:eastAsia="Times New Roman" w:cs="Arial"/>
                <w:b/>
                <w:bCs/>
                <w:color w:val="000000"/>
                <w:sz w:val="18"/>
                <w:szCs w:val="18"/>
              </w:rPr>
            </w:pPr>
          </w:p>
        </w:tc>
      </w:tr>
      <w:tr w:rsidRPr="00672915" w:rsidR="00287221" w:rsidTr="00287084" w14:paraId="7C7A9787" w14:textId="77777777">
        <w:trPr>
          <w:trHeight w:val="20"/>
        </w:trPr>
        <w:tc>
          <w:tcPr>
            <w:tcW w:w="5458" w:type="dxa"/>
            <w:tcBorders>
              <w:top w:val="nil"/>
              <w:left w:val="nil"/>
              <w:bottom w:val="nil"/>
              <w:right w:val="nil"/>
            </w:tcBorders>
            <w:shd w:val="clear" w:color="auto" w:fill="auto"/>
            <w:noWrap/>
            <w:vAlign w:val="center"/>
            <w:hideMark/>
          </w:tcPr>
          <w:p w:rsidRPr="00672915" w:rsidR="00287221" w:rsidP="00287084" w:rsidRDefault="00287221" w14:paraId="24CDFD14" w14:textId="77777777">
            <w:pPr>
              <w:ind w:left="720" w:hanging="720"/>
              <w:rPr>
                <w:rFonts w:ascii="Arial" w:hAnsi="Arial" w:eastAsia="Times New Roman" w:cs="Arial"/>
                <w:b/>
                <w:bCs/>
                <w:color w:val="000000"/>
                <w:sz w:val="18"/>
                <w:szCs w:val="18"/>
              </w:rPr>
            </w:pPr>
            <w:r w:rsidRPr="00672915">
              <w:rPr>
                <w:rFonts w:ascii="Arial" w:hAnsi="Arial" w:eastAsia="Times New Roman" w:cs="Arial"/>
                <w:b/>
                <w:bCs/>
                <w:color w:val="000000"/>
                <w:sz w:val="18"/>
                <w:szCs w:val="18"/>
              </w:rPr>
              <w:t>Total</w:t>
            </w:r>
          </w:p>
        </w:tc>
        <w:tc>
          <w:tcPr>
            <w:tcW w:w="1533" w:type="dxa"/>
            <w:tcBorders>
              <w:top w:val="nil"/>
              <w:left w:val="nil"/>
              <w:bottom w:val="nil"/>
              <w:right w:val="nil"/>
            </w:tcBorders>
            <w:shd w:val="clear" w:color="auto" w:fill="auto"/>
            <w:noWrap/>
            <w:vAlign w:val="center"/>
            <w:hideMark/>
          </w:tcPr>
          <w:p w:rsidRPr="00672915" w:rsidR="00287221" w:rsidP="00287084" w:rsidRDefault="00C84326" w14:paraId="0D729C32" w14:textId="3E3A0B4E">
            <w:pPr>
              <w:jc w:val="right"/>
              <w:rPr>
                <w:rFonts w:ascii="Arial" w:hAnsi="Arial" w:eastAsia="Times New Roman" w:cs="Arial"/>
                <w:b/>
                <w:bCs/>
                <w:color w:val="000000"/>
                <w:sz w:val="18"/>
                <w:szCs w:val="18"/>
              </w:rPr>
            </w:pPr>
            <w:r w:rsidRPr="00672915">
              <w:rPr>
                <w:rFonts w:ascii="Arial" w:hAnsi="Arial" w:eastAsia="Times New Roman" w:cs="Arial"/>
                <w:b/>
                <w:bCs/>
                <w:color w:val="000000"/>
                <w:sz w:val="18"/>
                <w:szCs w:val="18"/>
              </w:rPr>
              <w:t>22</w:t>
            </w:r>
            <w:r w:rsidR="002D36E5">
              <w:rPr>
                <w:rFonts w:ascii="Arial" w:hAnsi="Arial" w:eastAsia="Times New Roman" w:cs="Arial"/>
                <w:b/>
                <w:bCs/>
                <w:color w:val="000000"/>
                <w:sz w:val="18"/>
                <w:szCs w:val="18"/>
              </w:rPr>
              <w:t>4</w:t>
            </w:r>
            <w:r w:rsidRPr="00672915">
              <w:rPr>
                <w:rFonts w:ascii="Arial" w:hAnsi="Arial" w:eastAsia="Times New Roman" w:cs="Arial"/>
                <w:b/>
                <w:bCs/>
                <w:color w:val="000000"/>
                <w:sz w:val="18"/>
                <w:szCs w:val="18"/>
              </w:rPr>
              <w:t>0</w:t>
            </w:r>
          </w:p>
        </w:tc>
        <w:tc>
          <w:tcPr>
            <w:tcW w:w="2329" w:type="dxa"/>
            <w:tcBorders>
              <w:top w:val="nil"/>
              <w:left w:val="nil"/>
              <w:bottom w:val="nil"/>
              <w:right w:val="nil"/>
            </w:tcBorders>
            <w:shd w:val="clear" w:color="auto" w:fill="auto"/>
            <w:noWrap/>
            <w:vAlign w:val="center"/>
            <w:hideMark/>
          </w:tcPr>
          <w:p w:rsidRPr="00672915" w:rsidR="00287221" w:rsidP="00287084" w:rsidRDefault="00287221" w14:paraId="00DED8EC" w14:textId="77777777">
            <w:pPr>
              <w:jc w:val="right"/>
              <w:rPr>
                <w:rFonts w:ascii="Arial" w:hAnsi="Arial" w:eastAsia="Times New Roman" w:cs="Arial"/>
                <w:b/>
                <w:bCs/>
                <w:color w:val="000000"/>
                <w:sz w:val="18"/>
                <w:szCs w:val="18"/>
              </w:rPr>
            </w:pPr>
            <w:r w:rsidRPr="00672915">
              <w:rPr>
                <w:rFonts w:ascii="Arial" w:hAnsi="Arial" w:eastAsia="Times New Roman" w:cs="Arial"/>
                <w:b/>
                <w:bCs/>
                <w:color w:val="000000"/>
                <w:sz w:val="18"/>
                <w:szCs w:val="18"/>
              </w:rPr>
              <w:t>100</w:t>
            </w:r>
          </w:p>
        </w:tc>
        <w:tc>
          <w:tcPr>
            <w:tcW w:w="291" w:type="dxa"/>
            <w:vAlign w:val="center"/>
            <w:hideMark/>
          </w:tcPr>
          <w:p w:rsidRPr="00672915" w:rsidR="00287221" w:rsidP="00287084" w:rsidRDefault="00287221" w14:paraId="00349667" w14:textId="77777777">
            <w:pPr>
              <w:rPr>
                <w:rFonts w:ascii="Arial" w:hAnsi="Arial" w:eastAsia="Times New Roman" w:cs="Arial"/>
                <w:sz w:val="18"/>
                <w:szCs w:val="18"/>
              </w:rPr>
            </w:pPr>
          </w:p>
        </w:tc>
      </w:tr>
      <w:tr w:rsidRPr="00672915" w:rsidR="002D36E5" w:rsidTr="00287084" w14:paraId="4033E68D" w14:textId="77777777">
        <w:trPr>
          <w:trHeight w:val="20"/>
        </w:trPr>
        <w:tc>
          <w:tcPr>
            <w:tcW w:w="5458" w:type="dxa"/>
            <w:tcBorders>
              <w:top w:val="nil"/>
              <w:left w:val="nil"/>
              <w:bottom w:val="nil"/>
              <w:right w:val="nil"/>
            </w:tcBorders>
            <w:shd w:val="clear" w:color="auto" w:fill="auto"/>
            <w:noWrap/>
            <w:vAlign w:val="center"/>
          </w:tcPr>
          <w:p w:rsidRPr="00672915" w:rsidR="002D36E5" w:rsidP="00287084" w:rsidRDefault="002D36E5" w14:paraId="5C652B07" w14:textId="77777777">
            <w:pPr>
              <w:ind w:left="720" w:hanging="720"/>
              <w:rPr>
                <w:rFonts w:ascii="Arial" w:hAnsi="Arial" w:eastAsia="Times New Roman" w:cs="Arial"/>
                <w:b/>
                <w:bCs/>
                <w:color w:val="000000"/>
                <w:sz w:val="18"/>
                <w:szCs w:val="18"/>
              </w:rPr>
            </w:pPr>
          </w:p>
        </w:tc>
        <w:tc>
          <w:tcPr>
            <w:tcW w:w="1533" w:type="dxa"/>
            <w:tcBorders>
              <w:top w:val="nil"/>
              <w:left w:val="nil"/>
              <w:bottom w:val="nil"/>
              <w:right w:val="nil"/>
            </w:tcBorders>
            <w:shd w:val="clear" w:color="auto" w:fill="auto"/>
            <w:noWrap/>
            <w:vAlign w:val="center"/>
          </w:tcPr>
          <w:p w:rsidRPr="00672915" w:rsidR="002D36E5" w:rsidDel="00C84326" w:rsidP="00287084" w:rsidRDefault="002D36E5" w14:paraId="30309139" w14:textId="77777777">
            <w:pPr>
              <w:jc w:val="right"/>
              <w:rPr>
                <w:rFonts w:ascii="Arial" w:hAnsi="Arial" w:eastAsia="Times New Roman" w:cs="Arial"/>
                <w:b/>
                <w:bCs/>
                <w:color w:val="000000"/>
                <w:sz w:val="18"/>
                <w:szCs w:val="18"/>
              </w:rPr>
            </w:pPr>
          </w:p>
        </w:tc>
        <w:tc>
          <w:tcPr>
            <w:tcW w:w="2329" w:type="dxa"/>
            <w:tcBorders>
              <w:top w:val="nil"/>
              <w:left w:val="nil"/>
              <w:bottom w:val="nil"/>
              <w:right w:val="nil"/>
            </w:tcBorders>
            <w:shd w:val="clear" w:color="auto" w:fill="auto"/>
            <w:noWrap/>
            <w:vAlign w:val="center"/>
          </w:tcPr>
          <w:p w:rsidRPr="00672915" w:rsidR="002D36E5" w:rsidP="00287084" w:rsidRDefault="002D36E5" w14:paraId="523FFDD7" w14:textId="77777777">
            <w:pPr>
              <w:jc w:val="right"/>
              <w:rPr>
                <w:rFonts w:ascii="Arial" w:hAnsi="Arial" w:eastAsia="Times New Roman" w:cs="Arial"/>
                <w:b/>
                <w:bCs/>
                <w:color w:val="000000"/>
                <w:sz w:val="18"/>
                <w:szCs w:val="18"/>
              </w:rPr>
            </w:pPr>
          </w:p>
        </w:tc>
        <w:tc>
          <w:tcPr>
            <w:tcW w:w="291" w:type="dxa"/>
            <w:vAlign w:val="center"/>
          </w:tcPr>
          <w:p w:rsidRPr="00672915" w:rsidR="002D36E5" w:rsidP="00287084" w:rsidRDefault="002D36E5" w14:paraId="7BF9FB8A" w14:textId="77777777">
            <w:pPr>
              <w:rPr>
                <w:rFonts w:ascii="Arial" w:hAnsi="Arial" w:eastAsia="Times New Roman" w:cs="Arial"/>
                <w:sz w:val="18"/>
                <w:szCs w:val="18"/>
              </w:rPr>
            </w:pPr>
          </w:p>
        </w:tc>
      </w:tr>
      <w:tr w:rsidRPr="00672915" w:rsidR="00287221" w:rsidTr="00287084" w14:paraId="13A96E7B" w14:textId="77777777">
        <w:trPr>
          <w:trHeight w:val="20"/>
        </w:trPr>
        <w:tc>
          <w:tcPr>
            <w:tcW w:w="5458" w:type="dxa"/>
            <w:tcBorders>
              <w:top w:val="nil"/>
              <w:left w:val="nil"/>
              <w:bottom w:val="nil"/>
              <w:right w:val="nil"/>
            </w:tcBorders>
            <w:shd w:val="clear" w:color="auto" w:fill="auto"/>
            <w:noWrap/>
            <w:vAlign w:val="center"/>
            <w:hideMark/>
          </w:tcPr>
          <w:p w:rsidRPr="009A36F8" w:rsidR="00287221" w:rsidP="00287084" w:rsidRDefault="00287221" w14:paraId="0613FE88" w14:textId="77777777">
            <w:pPr>
              <w:rPr>
                <w:rFonts w:ascii="Arial" w:hAnsi="Arial" w:eastAsia="Times New Roman" w:cs="Arial"/>
                <w:b/>
                <w:bCs/>
                <w:color w:val="000000"/>
                <w:sz w:val="18"/>
                <w:szCs w:val="18"/>
              </w:rPr>
            </w:pPr>
            <w:r w:rsidRPr="009A36F8">
              <w:rPr>
                <w:rFonts w:ascii="Arial" w:hAnsi="Arial" w:eastAsia="Times New Roman" w:cs="Arial"/>
                <w:b/>
                <w:bCs/>
                <w:color w:val="000000"/>
                <w:sz w:val="18"/>
                <w:szCs w:val="18"/>
              </w:rPr>
              <w:t>Analysis Cases</w:t>
            </w:r>
          </w:p>
        </w:tc>
        <w:tc>
          <w:tcPr>
            <w:tcW w:w="1533" w:type="dxa"/>
            <w:tcBorders>
              <w:top w:val="nil"/>
              <w:left w:val="nil"/>
              <w:bottom w:val="nil"/>
              <w:right w:val="nil"/>
            </w:tcBorders>
            <w:shd w:val="clear" w:color="auto" w:fill="auto"/>
            <w:noWrap/>
            <w:vAlign w:val="center"/>
            <w:hideMark/>
          </w:tcPr>
          <w:p w:rsidRPr="00672915" w:rsidR="00287221" w:rsidP="00287084" w:rsidRDefault="00C84326" w14:paraId="4818655F" w14:textId="53D076D1">
            <w:pPr>
              <w:jc w:val="right"/>
              <w:rPr>
                <w:rFonts w:ascii="Arial" w:hAnsi="Arial" w:eastAsia="Times New Roman" w:cs="Arial"/>
                <w:color w:val="000000"/>
                <w:sz w:val="18"/>
                <w:szCs w:val="18"/>
              </w:rPr>
            </w:pPr>
            <w:r w:rsidRPr="00672915">
              <w:rPr>
                <w:rFonts w:ascii="Arial" w:hAnsi="Arial" w:eastAsia="Times New Roman" w:cs="Arial"/>
                <w:color w:val="000000"/>
                <w:sz w:val="18"/>
                <w:szCs w:val="18"/>
              </w:rPr>
              <w:t>13</w:t>
            </w:r>
            <w:r>
              <w:rPr>
                <w:rFonts w:ascii="Arial" w:hAnsi="Arial" w:eastAsia="Times New Roman" w:cs="Arial"/>
                <w:color w:val="000000"/>
                <w:sz w:val="18"/>
                <w:szCs w:val="18"/>
              </w:rPr>
              <w:t>2</w:t>
            </w:r>
            <w:r w:rsidRPr="00672915">
              <w:rPr>
                <w:rFonts w:ascii="Arial" w:hAnsi="Arial" w:eastAsia="Times New Roman" w:cs="Arial"/>
                <w:color w:val="000000"/>
                <w:sz w:val="18"/>
                <w:szCs w:val="18"/>
              </w:rPr>
              <w:t>0</w:t>
            </w:r>
          </w:p>
        </w:tc>
        <w:tc>
          <w:tcPr>
            <w:tcW w:w="2329" w:type="dxa"/>
            <w:tcBorders>
              <w:top w:val="nil"/>
              <w:left w:val="nil"/>
              <w:bottom w:val="nil"/>
              <w:right w:val="nil"/>
            </w:tcBorders>
            <w:shd w:val="clear" w:color="auto" w:fill="auto"/>
            <w:noWrap/>
            <w:vAlign w:val="center"/>
            <w:hideMark/>
          </w:tcPr>
          <w:p w:rsidRPr="00672915" w:rsidR="00287221" w:rsidP="00287084" w:rsidRDefault="002D36E5" w14:paraId="6AF5CFAA" w14:textId="68794FCD">
            <w:pPr>
              <w:jc w:val="right"/>
              <w:rPr>
                <w:rFonts w:ascii="Arial" w:hAnsi="Arial" w:eastAsia="Times New Roman" w:cs="Arial"/>
                <w:color w:val="000000"/>
                <w:sz w:val="18"/>
                <w:szCs w:val="18"/>
              </w:rPr>
            </w:pPr>
            <w:r>
              <w:rPr>
                <w:rFonts w:ascii="Arial" w:hAnsi="Arial" w:eastAsia="Times New Roman" w:cs="Arial"/>
                <w:color w:val="000000"/>
                <w:sz w:val="18"/>
                <w:szCs w:val="18"/>
              </w:rPr>
              <w:t>58.9</w:t>
            </w:r>
          </w:p>
        </w:tc>
        <w:tc>
          <w:tcPr>
            <w:tcW w:w="291" w:type="dxa"/>
            <w:vAlign w:val="center"/>
            <w:hideMark/>
          </w:tcPr>
          <w:p w:rsidRPr="00672915" w:rsidR="00287221" w:rsidP="00287084" w:rsidRDefault="00287221" w14:paraId="732CAB02" w14:textId="77777777">
            <w:pPr>
              <w:rPr>
                <w:rFonts w:ascii="Arial" w:hAnsi="Arial" w:eastAsia="Times New Roman" w:cs="Arial"/>
                <w:sz w:val="18"/>
                <w:szCs w:val="18"/>
              </w:rPr>
            </w:pPr>
          </w:p>
        </w:tc>
      </w:tr>
      <w:tr w:rsidRPr="00672915" w:rsidR="00287221" w:rsidTr="00287084" w14:paraId="6A716287" w14:textId="77777777">
        <w:trPr>
          <w:trHeight w:val="20"/>
        </w:trPr>
        <w:tc>
          <w:tcPr>
            <w:tcW w:w="5458" w:type="dxa"/>
            <w:tcBorders>
              <w:top w:val="nil"/>
              <w:left w:val="nil"/>
              <w:bottom w:val="nil"/>
              <w:right w:val="nil"/>
            </w:tcBorders>
            <w:shd w:val="clear" w:color="auto" w:fill="auto"/>
            <w:noWrap/>
            <w:vAlign w:val="center"/>
            <w:hideMark/>
          </w:tcPr>
          <w:p w:rsidRPr="00672915" w:rsidR="00287221" w:rsidP="00287084" w:rsidRDefault="00287221" w14:paraId="660016CF" w14:textId="77777777">
            <w:pPr>
              <w:rPr>
                <w:rFonts w:ascii="Arial" w:hAnsi="Arial" w:eastAsia="Times New Roman" w:cs="Arial"/>
                <w:color w:val="000000"/>
                <w:sz w:val="18"/>
                <w:szCs w:val="18"/>
              </w:rPr>
            </w:pPr>
            <w:r w:rsidRPr="00672915">
              <w:rPr>
                <w:rFonts w:ascii="Arial" w:hAnsi="Arial" w:eastAsia="Times New Roman" w:cs="Arial"/>
                <w:color w:val="000000"/>
                <w:sz w:val="18"/>
                <w:szCs w:val="18"/>
              </w:rPr>
              <w:t xml:space="preserve">    Control: single forced-choice grid</w:t>
            </w:r>
          </w:p>
        </w:tc>
        <w:tc>
          <w:tcPr>
            <w:tcW w:w="1533" w:type="dxa"/>
            <w:tcBorders>
              <w:top w:val="nil"/>
              <w:left w:val="nil"/>
              <w:bottom w:val="nil"/>
              <w:right w:val="nil"/>
            </w:tcBorders>
            <w:shd w:val="clear" w:color="auto" w:fill="auto"/>
            <w:noWrap/>
            <w:vAlign w:val="center"/>
            <w:hideMark/>
          </w:tcPr>
          <w:p w:rsidRPr="00672915" w:rsidR="00287221" w:rsidP="00287084" w:rsidRDefault="00287221" w14:paraId="2C77F0E5" w14:textId="77777777">
            <w:pPr>
              <w:jc w:val="right"/>
              <w:rPr>
                <w:rFonts w:ascii="Arial" w:hAnsi="Arial" w:eastAsia="Times New Roman" w:cs="Arial"/>
                <w:color w:val="000000"/>
                <w:sz w:val="18"/>
                <w:szCs w:val="18"/>
              </w:rPr>
            </w:pPr>
            <w:r w:rsidRPr="00672915">
              <w:rPr>
                <w:rFonts w:ascii="Arial" w:hAnsi="Arial" w:eastAsia="Times New Roman" w:cs="Arial"/>
                <w:color w:val="000000"/>
                <w:sz w:val="18"/>
                <w:szCs w:val="18"/>
              </w:rPr>
              <w:t>680</w:t>
            </w:r>
          </w:p>
        </w:tc>
        <w:tc>
          <w:tcPr>
            <w:tcW w:w="2329" w:type="dxa"/>
            <w:tcBorders>
              <w:top w:val="nil"/>
              <w:left w:val="nil"/>
              <w:bottom w:val="nil"/>
              <w:right w:val="nil"/>
            </w:tcBorders>
            <w:shd w:val="clear" w:color="auto" w:fill="auto"/>
            <w:noWrap/>
            <w:vAlign w:val="center"/>
            <w:hideMark/>
          </w:tcPr>
          <w:p w:rsidRPr="00672915" w:rsidR="00287221" w:rsidP="00287084" w:rsidRDefault="00287221" w14:paraId="10615809" w14:textId="79DFF795">
            <w:pPr>
              <w:jc w:val="right"/>
              <w:rPr>
                <w:rFonts w:ascii="Arial" w:hAnsi="Arial" w:eastAsia="Times New Roman" w:cs="Arial"/>
                <w:color w:val="000000"/>
                <w:sz w:val="18"/>
                <w:szCs w:val="18"/>
              </w:rPr>
            </w:pPr>
            <w:r w:rsidRPr="00672915">
              <w:rPr>
                <w:rFonts w:ascii="Arial" w:hAnsi="Arial" w:eastAsia="Times New Roman" w:cs="Arial"/>
                <w:color w:val="000000"/>
                <w:sz w:val="18"/>
                <w:szCs w:val="18"/>
              </w:rPr>
              <w:t>30.</w:t>
            </w:r>
            <w:r w:rsidR="002D36E5">
              <w:rPr>
                <w:rFonts w:ascii="Arial" w:hAnsi="Arial" w:eastAsia="Times New Roman" w:cs="Arial"/>
                <w:color w:val="000000"/>
                <w:sz w:val="18"/>
                <w:szCs w:val="18"/>
              </w:rPr>
              <w:t>4</w:t>
            </w:r>
          </w:p>
        </w:tc>
        <w:tc>
          <w:tcPr>
            <w:tcW w:w="291" w:type="dxa"/>
            <w:vAlign w:val="center"/>
            <w:hideMark/>
          </w:tcPr>
          <w:p w:rsidRPr="00672915" w:rsidR="00287221" w:rsidP="00287084" w:rsidRDefault="00287221" w14:paraId="017B18C1" w14:textId="77777777">
            <w:pPr>
              <w:rPr>
                <w:rFonts w:ascii="Arial" w:hAnsi="Arial" w:eastAsia="Times New Roman" w:cs="Arial"/>
                <w:sz w:val="18"/>
                <w:szCs w:val="18"/>
              </w:rPr>
            </w:pPr>
          </w:p>
        </w:tc>
      </w:tr>
      <w:tr w:rsidRPr="00672915" w:rsidR="00287221" w:rsidTr="00287084" w14:paraId="472D0729" w14:textId="77777777">
        <w:trPr>
          <w:trHeight w:val="20"/>
        </w:trPr>
        <w:tc>
          <w:tcPr>
            <w:tcW w:w="5458" w:type="dxa"/>
            <w:tcBorders>
              <w:top w:val="nil"/>
              <w:left w:val="nil"/>
              <w:bottom w:val="nil"/>
              <w:right w:val="nil"/>
            </w:tcBorders>
            <w:shd w:val="clear" w:color="auto" w:fill="auto"/>
            <w:noWrap/>
            <w:vAlign w:val="center"/>
            <w:hideMark/>
          </w:tcPr>
          <w:p w:rsidRPr="00672915" w:rsidR="00287221" w:rsidP="00287084" w:rsidRDefault="00287221" w14:paraId="1ADDBAA6" w14:textId="77777777">
            <w:pPr>
              <w:rPr>
                <w:rFonts w:ascii="Arial" w:hAnsi="Arial" w:eastAsia="Times New Roman" w:cs="Arial"/>
                <w:color w:val="000000"/>
                <w:sz w:val="18"/>
                <w:szCs w:val="18"/>
              </w:rPr>
            </w:pPr>
            <w:r w:rsidRPr="00672915">
              <w:rPr>
                <w:rFonts w:ascii="Arial" w:hAnsi="Arial" w:eastAsia="Times New Roman" w:cs="Arial"/>
                <w:color w:val="000000"/>
                <w:sz w:val="18"/>
                <w:szCs w:val="18"/>
              </w:rPr>
              <w:t xml:space="preserve">    Treatment: yes/no radio gates by intensity</w:t>
            </w:r>
          </w:p>
        </w:tc>
        <w:tc>
          <w:tcPr>
            <w:tcW w:w="1533" w:type="dxa"/>
            <w:tcBorders>
              <w:top w:val="nil"/>
              <w:left w:val="nil"/>
              <w:bottom w:val="nil"/>
              <w:right w:val="nil"/>
            </w:tcBorders>
            <w:shd w:val="clear" w:color="auto" w:fill="auto"/>
            <w:noWrap/>
            <w:vAlign w:val="center"/>
            <w:hideMark/>
          </w:tcPr>
          <w:p w:rsidRPr="00672915" w:rsidR="00287221" w:rsidP="00287084" w:rsidRDefault="00287221" w14:paraId="474E3CEF" w14:textId="77777777">
            <w:pPr>
              <w:jc w:val="right"/>
              <w:rPr>
                <w:rFonts w:ascii="Arial" w:hAnsi="Arial" w:eastAsia="Times New Roman" w:cs="Arial"/>
                <w:color w:val="000000"/>
                <w:sz w:val="18"/>
                <w:szCs w:val="18"/>
              </w:rPr>
            </w:pPr>
            <w:r w:rsidRPr="00672915">
              <w:rPr>
                <w:rFonts w:ascii="Arial" w:hAnsi="Arial" w:eastAsia="Times New Roman" w:cs="Arial"/>
                <w:color w:val="000000"/>
                <w:sz w:val="18"/>
                <w:szCs w:val="18"/>
              </w:rPr>
              <w:t>640</w:t>
            </w:r>
          </w:p>
        </w:tc>
        <w:tc>
          <w:tcPr>
            <w:tcW w:w="2329" w:type="dxa"/>
            <w:tcBorders>
              <w:top w:val="nil"/>
              <w:left w:val="nil"/>
              <w:bottom w:val="nil"/>
              <w:right w:val="nil"/>
            </w:tcBorders>
            <w:shd w:val="clear" w:color="auto" w:fill="auto"/>
            <w:noWrap/>
            <w:vAlign w:val="center"/>
            <w:hideMark/>
          </w:tcPr>
          <w:p w:rsidRPr="00672915" w:rsidR="00287221" w:rsidP="00287084" w:rsidRDefault="00287221" w14:paraId="1F84735E" w14:textId="202A17CD">
            <w:pPr>
              <w:jc w:val="right"/>
              <w:rPr>
                <w:rFonts w:ascii="Arial" w:hAnsi="Arial" w:eastAsia="Times New Roman" w:cs="Arial"/>
                <w:color w:val="000000"/>
                <w:sz w:val="18"/>
                <w:szCs w:val="18"/>
              </w:rPr>
            </w:pPr>
            <w:r w:rsidRPr="00672915">
              <w:rPr>
                <w:rFonts w:ascii="Arial" w:hAnsi="Arial" w:eastAsia="Times New Roman" w:cs="Arial"/>
                <w:color w:val="000000"/>
                <w:sz w:val="18"/>
                <w:szCs w:val="18"/>
              </w:rPr>
              <w:t>28.</w:t>
            </w:r>
            <w:r w:rsidR="002D36E5">
              <w:rPr>
                <w:rFonts w:ascii="Arial" w:hAnsi="Arial" w:eastAsia="Times New Roman" w:cs="Arial"/>
                <w:color w:val="000000"/>
                <w:sz w:val="18"/>
                <w:szCs w:val="18"/>
              </w:rPr>
              <w:t>5</w:t>
            </w:r>
          </w:p>
        </w:tc>
        <w:tc>
          <w:tcPr>
            <w:tcW w:w="291" w:type="dxa"/>
            <w:vAlign w:val="center"/>
            <w:hideMark/>
          </w:tcPr>
          <w:p w:rsidRPr="00672915" w:rsidR="00287221" w:rsidP="00287084" w:rsidRDefault="00287221" w14:paraId="374AAF1F" w14:textId="77777777">
            <w:pPr>
              <w:rPr>
                <w:rFonts w:ascii="Arial" w:hAnsi="Arial" w:eastAsia="Times New Roman" w:cs="Arial"/>
                <w:sz w:val="18"/>
                <w:szCs w:val="18"/>
              </w:rPr>
            </w:pPr>
          </w:p>
        </w:tc>
      </w:tr>
      <w:tr w:rsidRPr="00672915" w:rsidR="002D36E5" w:rsidTr="00287084" w14:paraId="691B4DF3" w14:textId="77777777">
        <w:trPr>
          <w:trHeight w:val="20"/>
        </w:trPr>
        <w:tc>
          <w:tcPr>
            <w:tcW w:w="5458" w:type="dxa"/>
            <w:tcBorders>
              <w:top w:val="nil"/>
              <w:left w:val="nil"/>
              <w:bottom w:val="nil"/>
              <w:right w:val="nil"/>
            </w:tcBorders>
            <w:shd w:val="clear" w:color="auto" w:fill="auto"/>
            <w:noWrap/>
            <w:vAlign w:val="center"/>
          </w:tcPr>
          <w:p w:rsidRPr="00672915" w:rsidR="002D36E5" w:rsidP="00287084" w:rsidRDefault="002D36E5" w14:paraId="00C2D9DB" w14:textId="77777777">
            <w:pPr>
              <w:rPr>
                <w:rFonts w:ascii="Arial" w:hAnsi="Arial" w:eastAsia="Times New Roman" w:cs="Arial"/>
                <w:color w:val="000000"/>
                <w:sz w:val="18"/>
                <w:szCs w:val="18"/>
              </w:rPr>
            </w:pPr>
          </w:p>
        </w:tc>
        <w:tc>
          <w:tcPr>
            <w:tcW w:w="1533" w:type="dxa"/>
            <w:tcBorders>
              <w:top w:val="nil"/>
              <w:left w:val="nil"/>
              <w:bottom w:val="nil"/>
              <w:right w:val="nil"/>
            </w:tcBorders>
            <w:shd w:val="clear" w:color="auto" w:fill="auto"/>
            <w:noWrap/>
            <w:vAlign w:val="center"/>
          </w:tcPr>
          <w:p w:rsidRPr="00672915" w:rsidR="002D36E5" w:rsidDel="00C84326" w:rsidP="00287084" w:rsidRDefault="002D36E5" w14:paraId="4E2C5E74" w14:textId="77777777">
            <w:pPr>
              <w:jc w:val="right"/>
              <w:rPr>
                <w:rFonts w:ascii="Arial" w:hAnsi="Arial" w:eastAsia="Times New Roman" w:cs="Arial"/>
                <w:color w:val="000000"/>
                <w:sz w:val="18"/>
                <w:szCs w:val="18"/>
              </w:rPr>
            </w:pPr>
          </w:p>
        </w:tc>
        <w:tc>
          <w:tcPr>
            <w:tcW w:w="2329" w:type="dxa"/>
            <w:tcBorders>
              <w:top w:val="nil"/>
              <w:left w:val="nil"/>
              <w:bottom w:val="nil"/>
              <w:right w:val="nil"/>
            </w:tcBorders>
            <w:shd w:val="clear" w:color="auto" w:fill="auto"/>
            <w:noWrap/>
            <w:vAlign w:val="center"/>
          </w:tcPr>
          <w:p w:rsidRPr="00672915" w:rsidR="002D36E5" w:rsidDel="00C84326" w:rsidP="00287084" w:rsidRDefault="002D36E5" w14:paraId="17307551" w14:textId="77777777">
            <w:pPr>
              <w:jc w:val="right"/>
              <w:rPr>
                <w:rFonts w:ascii="Arial" w:hAnsi="Arial" w:eastAsia="Times New Roman" w:cs="Arial"/>
                <w:color w:val="000000"/>
                <w:sz w:val="18"/>
                <w:szCs w:val="18"/>
              </w:rPr>
            </w:pPr>
          </w:p>
        </w:tc>
        <w:tc>
          <w:tcPr>
            <w:tcW w:w="291" w:type="dxa"/>
            <w:vAlign w:val="center"/>
          </w:tcPr>
          <w:p w:rsidRPr="00672915" w:rsidR="002D36E5" w:rsidP="00287084" w:rsidRDefault="002D36E5" w14:paraId="391155F4" w14:textId="77777777">
            <w:pPr>
              <w:rPr>
                <w:rFonts w:ascii="Arial" w:hAnsi="Arial" w:eastAsia="Times New Roman" w:cs="Arial"/>
                <w:sz w:val="18"/>
                <w:szCs w:val="18"/>
              </w:rPr>
            </w:pPr>
          </w:p>
        </w:tc>
      </w:tr>
      <w:tr w:rsidRPr="00672915" w:rsidR="00287221" w:rsidTr="00287084" w14:paraId="78BAA6BB" w14:textId="77777777">
        <w:trPr>
          <w:trHeight w:val="20"/>
        </w:trPr>
        <w:tc>
          <w:tcPr>
            <w:tcW w:w="5458" w:type="dxa"/>
            <w:tcBorders>
              <w:top w:val="nil"/>
              <w:left w:val="nil"/>
              <w:bottom w:val="nil"/>
              <w:right w:val="nil"/>
            </w:tcBorders>
            <w:shd w:val="clear" w:color="auto" w:fill="auto"/>
            <w:noWrap/>
            <w:vAlign w:val="center"/>
            <w:hideMark/>
          </w:tcPr>
          <w:p w:rsidRPr="009A36F8" w:rsidR="00287221" w:rsidP="00287084" w:rsidRDefault="00287221" w14:paraId="25789400" w14:textId="77777777">
            <w:pPr>
              <w:rPr>
                <w:rFonts w:ascii="Arial" w:hAnsi="Arial" w:eastAsia="Times New Roman" w:cs="Arial"/>
                <w:b/>
                <w:bCs/>
                <w:color w:val="000000"/>
                <w:sz w:val="18"/>
                <w:szCs w:val="18"/>
                <w:vertAlign w:val="superscript"/>
              </w:rPr>
            </w:pPr>
            <w:r w:rsidRPr="009A36F8">
              <w:rPr>
                <w:rFonts w:ascii="Arial" w:hAnsi="Arial" w:eastAsia="Times New Roman" w:cs="Arial"/>
                <w:b/>
                <w:bCs/>
                <w:color w:val="000000"/>
                <w:sz w:val="18"/>
                <w:szCs w:val="18"/>
              </w:rPr>
              <w:t>Excluded from analysis</w:t>
            </w:r>
            <w:r w:rsidRPr="009A36F8">
              <w:rPr>
                <w:rFonts w:ascii="Arial" w:hAnsi="Arial" w:eastAsia="Times New Roman" w:cs="Arial"/>
                <w:b/>
                <w:bCs/>
                <w:color w:val="000000"/>
                <w:sz w:val="18"/>
                <w:szCs w:val="18"/>
                <w:vertAlign w:val="superscript"/>
              </w:rPr>
              <w:t>1</w:t>
            </w:r>
          </w:p>
        </w:tc>
        <w:tc>
          <w:tcPr>
            <w:tcW w:w="1533" w:type="dxa"/>
            <w:tcBorders>
              <w:top w:val="nil"/>
              <w:left w:val="nil"/>
              <w:bottom w:val="nil"/>
              <w:right w:val="nil"/>
            </w:tcBorders>
            <w:shd w:val="clear" w:color="auto" w:fill="auto"/>
            <w:noWrap/>
            <w:vAlign w:val="center"/>
            <w:hideMark/>
          </w:tcPr>
          <w:p w:rsidRPr="00672915" w:rsidR="00287221" w:rsidP="00287084" w:rsidRDefault="00C84326" w14:paraId="1DD29141" w14:textId="6AAC1541">
            <w:pPr>
              <w:jc w:val="right"/>
              <w:rPr>
                <w:rFonts w:ascii="Arial" w:hAnsi="Arial" w:eastAsia="Times New Roman" w:cs="Arial"/>
                <w:color w:val="000000"/>
                <w:sz w:val="18"/>
                <w:szCs w:val="18"/>
              </w:rPr>
            </w:pPr>
            <w:r w:rsidRPr="00672915">
              <w:rPr>
                <w:rFonts w:ascii="Arial" w:hAnsi="Arial" w:eastAsia="Times New Roman" w:cs="Arial"/>
                <w:color w:val="000000"/>
                <w:sz w:val="18"/>
                <w:szCs w:val="18"/>
              </w:rPr>
              <w:t>9</w:t>
            </w:r>
            <w:r w:rsidR="002D36E5">
              <w:rPr>
                <w:rFonts w:ascii="Arial" w:hAnsi="Arial" w:eastAsia="Times New Roman" w:cs="Arial"/>
                <w:color w:val="000000"/>
                <w:sz w:val="18"/>
                <w:szCs w:val="18"/>
              </w:rPr>
              <w:t>2</w:t>
            </w:r>
            <w:r w:rsidRPr="00672915">
              <w:rPr>
                <w:rFonts w:ascii="Arial" w:hAnsi="Arial" w:eastAsia="Times New Roman" w:cs="Arial"/>
                <w:color w:val="000000"/>
                <w:sz w:val="18"/>
                <w:szCs w:val="18"/>
              </w:rPr>
              <w:t>0</w:t>
            </w:r>
          </w:p>
        </w:tc>
        <w:tc>
          <w:tcPr>
            <w:tcW w:w="2329" w:type="dxa"/>
            <w:tcBorders>
              <w:top w:val="nil"/>
              <w:left w:val="nil"/>
              <w:bottom w:val="nil"/>
              <w:right w:val="nil"/>
            </w:tcBorders>
            <w:shd w:val="clear" w:color="auto" w:fill="auto"/>
            <w:noWrap/>
            <w:vAlign w:val="center"/>
            <w:hideMark/>
          </w:tcPr>
          <w:p w:rsidRPr="00672915" w:rsidR="00287221" w:rsidP="00287084" w:rsidRDefault="002D36E5" w14:paraId="321B2881" w14:textId="06024FC8">
            <w:pPr>
              <w:jc w:val="right"/>
              <w:rPr>
                <w:rFonts w:ascii="Arial" w:hAnsi="Arial" w:eastAsia="Times New Roman" w:cs="Arial"/>
                <w:color w:val="000000"/>
                <w:sz w:val="18"/>
                <w:szCs w:val="18"/>
              </w:rPr>
            </w:pPr>
            <w:r>
              <w:rPr>
                <w:rFonts w:ascii="Arial" w:hAnsi="Arial" w:eastAsia="Times New Roman" w:cs="Arial"/>
                <w:color w:val="000000"/>
                <w:sz w:val="18"/>
                <w:szCs w:val="18"/>
              </w:rPr>
              <w:t>41.1</w:t>
            </w:r>
          </w:p>
        </w:tc>
        <w:tc>
          <w:tcPr>
            <w:tcW w:w="291" w:type="dxa"/>
            <w:vAlign w:val="center"/>
            <w:hideMark/>
          </w:tcPr>
          <w:p w:rsidRPr="00672915" w:rsidR="00287221" w:rsidP="00287084" w:rsidRDefault="00287221" w14:paraId="56EDB80D" w14:textId="77777777">
            <w:pPr>
              <w:rPr>
                <w:rFonts w:ascii="Arial" w:hAnsi="Arial" w:eastAsia="Times New Roman" w:cs="Arial"/>
                <w:sz w:val="18"/>
                <w:szCs w:val="18"/>
              </w:rPr>
            </w:pPr>
          </w:p>
        </w:tc>
      </w:tr>
      <w:tr w:rsidRPr="00672915" w:rsidR="00287221" w:rsidTr="00287084" w14:paraId="53C1FE45" w14:textId="77777777">
        <w:trPr>
          <w:trHeight w:val="20"/>
        </w:trPr>
        <w:tc>
          <w:tcPr>
            <w:tcW w:w="5458" w:type="dxa"/>
            <w:tcBorders>
              <w:top w:val="nil"/>
              <w:left w:val="nil"/>
              <w:bottom w:val="nil"/>
              <w:right w:val="nil"/>
            </w:tcBorders>
            <w:shd w:val="clear" w:color="auto" w:fill="auto"/>
            <w:noWrap/>
            <w:vAlign w:val="center"/>
            <w:hideMark/>
          </w:tcPr>
          <w:p w:rsidRPr="00672915" w:rsidR="00287221" w:rsidP="00287084" w:rsidRDefault="00287221" w14:paraId="2B9B563C" w14:textId="77777777">
            <w:pPr>
              <w:rPr>
                <w:rFonts w:ascii="Arial" w:hAnsi="Arial" w:eastAsia="Times New Roman" w:cs="Arial"/>
                <w:color w:val="000000"/>
                <w:sz w:val="18"/>
                <w:szCs w:val="18"/>
              </w:rPr>
            </w:pPr>
            <w:r w:rsidRPr="00672915">
              <w:rPr>
                <w:rFonts w:ascii="Arial" w:hAnsi="Arial" w:eastAsia="Times New Roman" w:cs="Arial"/>
                <w:color w:val="000000"/>
                <w:sz w:val="18"/>
                <w:szCs w:val="18"/>
              </w:rPr>
              <w:t xml:space="preserve">    No NPSAS enrollment after base-year</w:t>
            </w:r>
          </w:p>
        </w:tc>
        <w:tc>
          <w:tcPr>
            <w:tcW w:w="1533" w:type="dxa"/>
            <w:tcBorders>
              <w:top w:val="nil"/>
              <w:left w:val="nil"/>
              <w:bottom w:val="nil"/>
              <w:right w:val="nil"/>
            </w:tcBorders>
            <w:shd w:val="clear" w:color="auto" w:fill="auto"/>
            <w:noWrap/>
            <w:vAlign w:val="center"/>
            <w:hideMark/>
          </w:tcPr>
          <w:p w:rsidRPr="00672915" w:rsidR="00287221" w:rsidP="00287084" w:rsidRDefault="00287221" w14:paraId="014810D8" w14:textId="77777777">
            <w:pPr>
              <w:jc w:val="right"/>
              <w:rPr>
                <w:rFonts w:ascii="Arial" w:hAnsi="Arial" w:eastAsia="Times New Roman" w:cs="Arial"/>
                <w:color w:val="000000"/>
                <w:sz w:val="18"/>
                <w:szCs w:val="18"/>
              </w:rPr>
            </w:pPr>
            <w:r w:rsidRPr="00672915">
              <w:rPr>
                <w:rFonts w:ascii="Arial" w:hAnsi="Arial" w:eastAsia="Times New Roman" w:cs="Arial"/>
                <w:color w:val="000000"/>
                <w:sz w:val="18"/>
                <w:szCs w:val="18"/>
              </w:rPr>
              <w:t>790</w:t>
            </w:r>
          </w:p>
        </w:tc>
        <w:tc>
          <w:tcPr>
            <w:tcW w:w="2329" w:type="dxa"/>
            <w:tcBorders>
              <w:top w:val="nil"/>
              <w:left w:val="nil"/>
              <w:bottom w:val="nil"/>
              <w:right w:val="nil"/>
            </w:tcBorders>
            <w:shd w:val="clear" w:color="auto" w:fill="auto"/>
            <w:noWrap/>
            <w:vAlign w:val="center"/>
            <w:hideMark/>
          </w:tcPr>
          <w:p w:rsidRPr="00672915" w:rsidR="00287221" w:rsidP="00287084" w:rsidRDefault="00287221" w14:paraId="44BAE82A" w14:textId="2C2C2DCD">
            <w:pPr>
              <w:jc w:val="right"/>
              <w:rPr>
                <w:rFonts w:ascii="Arial" w:hAnsi="Arial" w:eastAsia="Times New Roman" w:cs="Arial"/>
                <w:color w:val="000000"/>
                <w:sz w:val="18"/>
                <w:szCs w:val="18"/>
              </w:rPr>
            </w:pPr>
            <w:r w:rsidRPr="00672915">
              <w:rPr>
                <w:rFonts w:ascii="Arial" w:hAnsi="Arial" w:eastAsia="Times New Roman" w:cs="Arial"/>
                <w:color w:val="000000"/>
                <w:sz w:val="18"/>
                <w:szCs w:val="18"/>
              </w:rPr>
              <w:t>35.</w:t>
            </w:r>
            <w:r w:rsidR="002D36E5">
              <w:rPr>
                <w:rFonts w:ascii="Arial" w:hAnsi="Arial" w:eastAsia="Times New Roman" w:cs="Arial"/>
                <w:color w:val="000000"/>
                <w:sz w:val="18"/>
                <w:szCs w:val="18"/>
              </w:rPr>
              <w:t>1</w:t>
            </w:r>
          </w:p>
        </w:tc>
        <w:tc>
          <w:tcPr>
            <w:tcW w:w="291" w:type="dxa"/>
            <w:vAlign w:val="center"/>
            <w:hideMark/>
          </w:tcPr>
          <w:p w:rsidRPr="00672915" w:rsidR="00287221" w:rsidP="00287084" w:rsidRDefault="00287221" w14:paraId="516967DA" w14:textId="77777777">
            <w:pPr>
              <w:rPr>
                <w:rFonts w:ascii="Arial" w:hAnsi="Arial" w:eastAsia="Times New Roman" w:cs="Arial"/>
                <w:sz w:val="18"/>
                <w:szCs w:val="18"/>
              </w:rPr>
            </w:pPr>
          </w:p>
        </w:tc>
      </w:tr>
      <w:tr w:rsidRPr="00672915" w:rsidR="00287221" w:rsidTr="00287084" w14:paraId="7F31718F" w14:textId="77777777">
        <w:trPr>
          <w:trHeight w:val="20"/>
        </w:trPr>
        <w:tc>
          <w:tcPr>
            <w:tcW w:w="5458" w:type="dxa"/>
            <w:tcBorders>
              <w:top w:val="nil"/>
              <w:left w:val="nil"/>
              <w:right w:val="nil"/>
            </w:tcBorders>
            <w:shd w:val="clear" w:color="auto" w:fill="auto"/>
            <w:noWrap/>
            <w:vAlign w:val="center"/>
            <w:hideMark/>
          </w:tcPr>
          <w:p w:rsidRPr="00672915" w:rsidR="00287221" w:rsidP="00287084" w:rsidRDefault="00287221" w14:paraId="5444825E" w14:textId="77777777">
            <w:pPr>
              <w:rPr>
                <w:rFonts w:ascii="Arial" w:hAnsi="Arial" w:eastAsia="Times New Roman" w:cs="Arial"/>
                <w:color w:val="000000"/>
                <w:sz w:val="18"/>
                <w:szCs w:val="18"/>
              </w:rPr>
            </w:pPr>
            <w:r w:rsidRPr="00672915">
              <w:rPr>
                <w:rFonts w:ascii="Arial" w:hAnsi="Arial" w:eastAsia="Times New Roman" w:cs="Arial"/>
                <w:color w:val="000000"/>
                <w:sz w:val="18"/>
                <w:szCs w:val="18"/>
              </w:rPr>
              <w:t xml:space="preserve">    NPSAS not NSC reporting institution</w:t>
            </w:r>
          </w:p>
        </w:tc>
        <w:tc>
          <w:tcPr>
            <w:tcW w:w="1533" w:type="dxa"/>
            <w:tcBorders>
              <w:top w:val="nil"/>
              <w:left w:val="nil"/>
              <w:right w:val="nil"/>
            </w:tcBorders>
            <w:shd w:val="clear" w:color="auto" w:fill="auto"/>
            <w:noWrap/>
            <w:vAlign w:val="center"/>
            <w:hideMark/>
          </w:tcPr>
          <w:p w:rsidRPr="00672915" w:rsidR="00287221" w:rsidP="00287084" w:rsidRDefault="00287221" w14:paraId="634A402A" w14:textId="77777777">
            <w:pPr>
              <w:jc w:val="right"/>
              <w:rPr>
                <w:rFonts w:ascii="Arial" w:hAnsi="Arial" w:eastAsia="Times New Roman" w:cs="Arial"/>
                <w:color w:val="000000"/>
                <w:sz w:val="18"/>
                <w:szCs w:val="18"/>
              </w:rPr>
            </w:pPr>
            <w:r w:rsidRPr="00672915">
              <w:rPr>
                <w:rFonts w:ascii="Arial" w:hAnsi="Arial" w:eastAsia="Times New Roman" w:cs="Arial"/>
                <w:color w:val="000000"/>
                <w:sz w:val="18"/>
                <w:szCs w:val="18"/>
              </w:rPr>
              <w:t>90</w:t>
            </w:r>
          </w:p>
        </w:tc>
        <w:tc>
          <w:tcPr>
            <w:tcW w:w="2329" w:type="dxa"/>
            <w:tcBorders>
              <w:top w:val="nil"/>
              <w:left w:val="nil"/>
              <w:right w:val="nil"/>
            </w:tcBorders>
            <w:shd w:val="clear" w:color="auto" w:fill="auto"/>
            <w:noWrap/>
            <w:vAlign w:val="center"/>
            <w:hideMark/>
          </w:tcPr>
          <w:p w:rsidRPr="00672915" w:rsidR="00287221" w:rsidP="00287084" w:rsidRDefault="00C84326" w14:paraId="328C7A4D" w14:textId="4E64C60C">
            <w:pPr>
              <w:jc w:val="right"/>
              <w:rPr>
                <w:rFonts w:ascii="Arial" w:hAnsi="Arial" w:eastAsia="Times New Roman" w:cs="Arial"/>
                <w:color w:val="000000"/>
                <w:sz w:val="18"/>
                <w:szCs w:val="18"/>
              </w:rPr>
            </w:pPr>
            <w:r>
              <w:rPr>
                <w:rFonts w:ascii="Arial" w:hAnsi="Arial" w:eastAsia="Times New Roman" w:cs="Arial"/>
                <w:color w:val="000000"/>
                <w:sz w:val="18"/>
                <w:szCs w:val="18"/>
              </w:rPr>
              <w:t>3.</w:t>
            </w:r>
            <w:r w:rsidR="002D36E5">
              <w:rPr>
                <w:rFonts w:ascii="Arial" w:hAnsi="Arial" w:eastAsia="Times New Roman" w:cs="Arial"/>
                <w:color w:val="000000"/>
                <w:sz w:val="18"/>
                <w:szCs w:val="18"/>
              </w:rPr>
              <w:t>8</w:t>
            </w:r>
          </w:p>
        </w:tc>
        <w:tc>
          <w:tcPr>
            <w:tcW w:w="291" w:type="dxa"/>
            <w:vAlign w:val="center"/>
            <w:hideMark/>
          </w:tcPr>
          <w:p w:rsidRPr="00672915" w:rsidR="00287221" w:rsidP="00287084" w:rsidRDefault="00287221" w14:paraId="523CBD27" w14:textId="77777777">
            <w:pPr>
              <w:rPr>
                <w:rFonts w:ascii="Arial" w:hAnsi="Arial" w:eastAsia="Times New Roman" w:cs="Arial"/>
                <w:sz w:val="18"/>
                <w:szCs w:val="18"/>
              </w:rPr>
            </w:pPr>
          </w:p>
        </w:tc>
      </w:tr>
      <w:tr w:rsidRPr="00672915" w:rsidR="00287221" w:rsidTr="00287084" w14:paraId="5DC7A8E5" w14:textId="77777777">
        <w:trPr>
          <w:trHeight w:val="20"/>
        </w:trPr>
        <w:tc>
          <w:tcPr>
            <w:tcW w:w="5458" w:type="dxa"/>
            <w:tcBorders>
              <w:top w:val="nil"/>
              <w:left w:val="nil"/>
              <w:bottom w:val="single" w:color="auto" w:sz="12" w:space="0"/>
              <w:right w:val="nil"/>
            </w:tcBorders>
            <w:shd w:val="clear" w:color="auto" w:fill="auto"/>
            <w:noWrap/>
            <w:vAlign w:val="center"/>
            <w:hideMark/>
          </w:tcPr>
          <w:p w:rsidRPr="00672915" w:rsidR="00287221" w:rsidP="00287084" w:rsidRDefault="00287221" w14:paraId="26DE6679" w14:textId="77777777">
            <w:pPr>
              <w:rPr>
                <w:rFonts w:ascii="Arial" w:hAnsi="Arial" w:eastAsia="Times New Roman" w:cs="Arial"/>
                <w:color w:val="000000"/>
                <w:sz w:val="18"/>
                <w:szCs w:val="18"/>
              </w:rPr>
            </w:pPr>
            <w:r w:rsidRPr="00672915">
              <w:rPr>
                <w:rFonts w:ascii="Arial" w:hAnsi="Arial" w:eastAsia="Times New Roman" w:cs="Arial"/>
                <w:color w:val="000000"/>
                <w:sz w:val="18"/>
                <w:szCs w:val="18"/>
              </w:rPr>
              <w:t xml:space="preserve">    Enrollment intensity timing outliers</w:t>
            </w:r>
          </w:p>
        </w:tc>
        <w:tc>
          <w:tcPr>
            <w:tcW w:w="1533" w:type="dxa"/>
            <w:tcBorders>
              <w:top w:val="nil"/>
              <w:left w:val="nil"/>
              <w:bottom w:val="single" w:color="auto" w:sz="12" w:space="0"/>
              <w:right w:val="nil"/>
            </w:tcBorders>
            <w:shd w:val="clear" w:color="auto" w:fill="auto"/>
            <w:noWrap/>
            <w:vAlign w:val="center"/>
            <w:hideMark/>
          </w:tcPr>
          <w:p w:rsidRPr="00672915" w:rsidR="00287221" w:rsidP="00287084" w:rsidRDefault="002D36E5" w14:paraId="3D0DFC9C" w14:textId="0B0E9B3F">
            <w:pPr>
              <w:jc w:val="right"/>
              <w:rPr>
                <w:rFonts w:ascii="Arial" w:hAnsi="Arial" w:eastAsia="Times New Roman" w:cs="Arial"/>
                <w:color w:val="000000"/>
                <w:sz w:val="18"/>
                <w:szCs w:val="18"/>
              </w:rPr>
            </w:pPr>
            <w:r>
              <w:rPr>
                <w:rFonts w:ascii="Arial" w:hAnsi="Arial" w:eastAsia="Times New Roman" w:cs="Arial"/>
                <w:color w:val="000000"/>
                <w:sz w:val="18"/>
                <w:szCs w:val="18"/>
              </w:rPr>
              <w:t>5</w:t>
            </w:r>
            <w:r w:rsidRPr="00672915">
              <w:rPr>
                <w:rFonts w:ascii="Arial" w:hAnsi="Arial" w:eastAsia="Times New Roman" w:cs="Arial"/>
                <w:color w:val="000000"/>
                <w:sz w:val="18"/>
                <w:szCs w:val="18"/>
              </w:rPr>
              <w:t>0</w:t>
            </w:r>
          </w:p>
        </w:tc>
        <w:tc>
          <w:tcPr>
            <w:tcW w:w="2329" w:type="dxa"/>
            <w:tcBorders>
              <w:top w:val="nil"/>
              <w:left w:val="nil"/>
              <w:bottom w:val="single" w:color="auto" w:sz="12" w:space="0"/>
              <w:right w:val="nil"/>
            </w:tcBorders>
            <w:shd w:val="clear" w:color="auto" w:fill="auto"/>
            <w:noWrap/>
            <w:vAlign w:val="center"/>
            <w:hideMark/>
          </w:tcPr>
          <w:p w:rsidRPr="00672915" w:rsidR="00287221" w:rsidP="00287084" w:rsidRDefault="002D36E5" w14:paraId="5CA0BF8B" w14:textId="4A666E0B">
            <w:pPr>
              <w:jc w:val="right"/>
              <w:rPr>
                <w:rFonts w:ascii="Arial" w:hAnsi="Arial" w:eastAsia="Times New Roman" w:cs="Arial"/>
                <w:color w:val="000000"/>
                <w:sz w:val="18"/>
                <w:szCs w:val="18"/>
              </w:rPr>
            </w:pPr>
            <w:r>
              <w:rPr>
                <w:rFonts w:ascii="Arial" w:hAnsi="Arial" w:eastAsia="Times New Roman" w:cs="Arial"/>
                <w:color w:val="000000"/>
                <w:sz w:val="18"/>
                <w:szCs w:val="18"/>
              </w:rPr>
              <w:t>2.1</w:t>
            </w:r>
          </w:p>
        </w:tc>
        <w:tc>
          <w:tcPr>
            <w:tcW w:w="291" w:type="dxa"/>
            <w:vAlign w:val="center"/>
            <w:hideMark/>
          </w:tcPr>
          <w:p w:rsidRPr="00672915" w:rsidR="00287221" w:rsidP="00287084" w:rsidRDefault="00287221" w14:paraId="1DE10D4B" w14:textId="77777777">
            <w:pPr>
              <w:rPr>
                <w:rFonts w:ascii="Arial" w:hAnsi="Arial" w:eastAsia="Times New Roman" w:cs="Arial"/>
                <w:sz w:val="18"/>
                <w:szCs w:val="18"/>
              </w:rPr>
            </w:pPr>
          </w:p>
        </w:tc>
      </w:tr>
    </w:tbl>
    <w:p w:rsidRPr="00672915" w:rsidR="00287221" w:rsidP="009A36F8" w:rsidRDefault="00287221" w14:paraId="4FA7514D" w14:textId="77777777">
      <w:pPr>
        <w:spacing w:after="120"/>
        <w:rPr>
          <w:rFonts w:ascii="Arial" w:hAnsi="Arial" w:eastAsia="Times New Roman" w:cs="Arial"/>
          <w:sz w:val="16"/>
          <w:szCs w:val="16"/>
        </w:rPr>
      </w:pPr>
      <w:r w:rsidRPr="00672915">
        <w:rPr>
          <w:rFonts w:ascii="Arial" w:hAnsi="Arial" w:eastAsia="Times New Roman" w:cs="Arial"/>
          <w:color w:val="000000"/>
          <w:sz w:val="16"/>
          <w:szCs w:val="16"/>
        </w:rPr>
        <w:t>1 Field test respondents were excluded if they indicated not continuing enrollment at NPSAS and not administered enrollment intensity questions for their NPSAS base-year degree, respondents whose NPSAS institution does not report to NSC, and respondents identified as timing outliers for the NPSAS enrollment intensity gate(s). Outliers were calculated by normalizing the data and excluding extreme values identified by Tukey’s formula (1977) which is not sensitive to distributional assumptions. Respondents with timing burden for the enrollment intensity gate(s) outside of the interquartile range (IQR = 3rd quartile - 1st quartile) multiplied by 1.5 were identified as timing outliers.</w:t>
      </w:r>
      <w:r w:rsidRPr="00672915">
        <w:rPr>
          <w:rFonts w:ascii="Arial" w:hAnsi="Arial" w:eastAsia="Times New Roman" w:cs="Arial"/>
          <w:color w:val="000000"/>
          <w:sz w:val="16"/>
          <w:szCs w:val="16"/>
        </w:rPr>
        <w:br/>
        <w:t>NOTE: Detail may not sum to totals because of rounding.</w:t>
      </w:r>
      <w:r w:rsidRPr="00672915">
        <w:rPr>
          <w:rFonts w:ascii="Arial" w:hAnsi="Arial" w:eastAsia="Times New Roman" w:cs="Arial"/>
          <w:color w:val="000000"/>
          <w:sz w:val="16"/>
          <w:szCs w:val="16"/>
        </w:rPr>
        <w:br/>
        <w:t>SOURCE: U.S. Department of Education, National Center for Education Statistics, 2020/22 Beginning Postsecondary Students (BPS:20/22) Field Test.</w:t>
      </w:r>
      <w:r w:rsidRPr="00672915">
        <w:rPr>
          <w:rFonts w:ascii="Arial" w:hAnsi="Arial" w:eastAsia="Times New Roman" w:cs="Arial"/>
          <w:color w:val="000000"/>
          <w:sz w:val="16"/>
          <w:szCs w:val="16"/>
        </w:rPr>
        <w:tab/>
      </w:r>
    </w:p>
    <w:p w:rsidRPr="00C555EA" w:rsidR="00287221" w:rsidP="00287221" w:rsidRDefault="00287221" w14:paraId="60E6D754" w14:textId="055ECB27">
      <w:pPr>
        <w:spacing w:after="120" w:line="276" w:lineRule="auto"/>
        <w:rPr>
          <w:rFonts w:cs="Calibri"/>
          <w:color w:val="000000"/>
          <w:szCs w:val="24"/>
        </w:rPr>
      </w:pPr>
      <w:r w:rsidRPr="006F20DE">
        <w:rPr>
          <w:rFonts w:cstheme="minorHAnsi"/>
          <w:i/>
          <w:iCs/>
          <w:szCs w:val="24"/>
        </w:rPr>
        <w:t>Missingness.</w:t>
      </w:r>
      <w:r w:rsidRPr="00C555EA">
        <w:rPr>
          <w:rFonts w:cstheme="minorHAnsi"/>
          <w:i/>
          <w:iCs/>
          <w:szCs w:val="24"/>
        </w:rPr>
        <w:t xml:space="preserve"> </w:t>
      </w:r>
      <w:r w:rsidRPr="00C555EA">
        <w:rPr>
          <w:rFonts w:cs="Calibri"/>
          <w:color w:val="000000"/>
          <w:szCs w:val="24"/>
        </w:rPr>
        <w:t>None of the respondents assigned to the control group left the enrollment intensity gate missing</w:t>
      </w:r>
      <w:r w:rsidR="00011097">
        <w:rPr>
          <w:rFonts w:cs="Calibri"/>
          <w:color w:val="000000"/>
          <w:szCs w:val="24"/>
        </w:rPr>
        <w:t xml:space="preserve"> (0 percent)</w:t>
      </w:r>
      <w:r w:rsidRPr="00C555EA">
        <w:rPr>
          <w:rFonts w:cs="Calibri"/>
          <w:color w:val="000000"/>
          <w:szCs w:val="24"/>
        </w:rPr>
        <w:t xml:space="preserve">, and </w:t>
      </w:r>
      <w:r w:rsidR="00011097">
        <w:rPr>
          <w:rFonts w:cs="Calibri"/>
          <w:color w:val="000000"/>
          <w:szCs w:val="24"/>
        </w:rPr>
        <w:t>0.3</w:t>
      </w:r>
      <w:r w:rsidRPr="00C555EA">
        <w:rPr>
          <w:rFonts w:cs="Calibri"/>
          <w:color w:val="000000"/>
          <w:szCs w:val="24"/>
        </w:rPr>
        <w:t xml:space="preserve"> percent of respondents left either of the yes/no radio gates missing in the treatment group, this difference in missingness is not statistically significant</w:t>
      </w:r>
      <w:r w:rsidR="00011097">
        <w:rPr>
          <w:rFonts w:cs="Calibri"/>
          <w:color w:val="000000"/>
          <w:szCs w:val="24"/>
        </w:rPr>
        <w:t xml:space="preserve"> </w:t>
      </w:r>
      <w:r w:rsidRPr="00011097" w:rsidR="00011097">
        <w:rPr>
          <w:rFonts w:cs="Calibri"/>
          <w:color w:val="000000"/>
          <w:szCs w:val="24"/>
        </w:rPr>
        <w:t>(</w:t>
      </w:r>
      <w:proofErr w:type="gramStart"/>
      <w:r w:rsidRPr="00011097" w:rsidR="00011097">
        <w:rPr>
          <w:rFonts w:cs="Calibri"/>
          <w:i/>
          <w:iCs/>
          <w:color w:val="000000"/>
          <w:szCs w:val="24"/>
        </w:rPr>
        <w:t>t</w:t>
      </w:r>
      <w:r w:rsidRPr="00011097" w:rsidR="00011097">
        <w:rPr>
          <w:rFonts w:cs="Calibri"/>
          <w:color w:val="000000"/>
          <w:szCs w:val="24"/>
        </w:rPr>
        <w:t>(</w:t>
      </w:r>
      <w:proofErr w:type="gramEnd"/>
      <w:r w:rsidRPr="00011097" w:rsidR="00011097">
        <w:rPr>
          <w:rFonts w:cs="Calibri"/>
          <w:color w:val="000000"/>
          <w:szCs w:val="24"/>
        </w:rPr>
        <w:t>63</w:t>
      </w:r>
      <w:r w:rsidR="002D36E5">
        <w:rPr>
          <w:rFonts w:cs="Calibri"/>
          <w:color w:val="000000"/>
          <w:szCs w:val="24"/>
        </w:rPr>
        <w:t>6</w:t>
      </w:r>
      <w:r w:rsidRPr="00011097" w:rsidR="00011097">
        <w:rPr>
          <w:rFonts w:cs="Calibri"/>
          <w:color w:val="000000"/>
          <w:szCs w:val="24"/>
        </w:rPr>
        <w:t xml:space="preserve">) = 1.42, </w:t>
      </w:r>
      <w:r w:rsidRPr="00011097" w:rsidR="00011097">
        <w:rPr>
          <w:rFonts w:cs="Calibri"/>
          <w:i/>
          <w:iCs/>
          <w:color w:val="000000"/>
          <w:szCs w:val="24"/>
        </w:rPr>
        <w:t>p</w:t>
      </w:r>
      <w:r w:rsidRPr="00011097" w:rsidR="00011097">
        <w:rPr>
          <w:rFonts w:cs="Calibri"/>
          <w:color w:val="000000"/>
          <w:szCs w:val="24"/>
        </w:rPr>
        <w:t xml:space="preserve"> = 0.1575)</w:t>
      </w:r>
      <w:r w:rsidR="002D36E5">
        <w:rPr>
          <w:rStyle w:val="FootnoteReference"/>
          <w:rFonts w:cs="Calibri"/>
          <w:color w:val="000000"/>
          <w:szCs w:val="24"/>
        </w:rPr>
        <w:footnoteReference w:id="4"/>
      </w:r>
      <w:r w:rsidRPr="00C555EA">
        <w:rPr>
          <w:rFonts w:cs="Calibri"/>
          <w:color w:val="000000"/>
          <w:szCs w:val="24"/>
        </w:rPr>
        <w:t xml:space="preserve">. </w:t>
      </w:r>
      <w:r w:rsidRPr="00C555EA">
        <w:rPr>
          <w:rFonts w:cs="Calibri"/>
          <w:color w:val="000000"/>
          <w:szCs w:val="24"/>
        </w:rPr>
        <w:fldChar w:fldCharType="begin"/>
      </w:r>
      <w:r w:rsidRPr="00C555EA">
        <w:rPr>
          <w:rFonts w:cs="Calibri"/>
          <w:color w:val="000000"/>
          <w:szCs w:val="24"/>
        </w:rPr>
        <w:instrText xml:space="preserve"> REF _Ref79566047 \h  \* MERGEFORMAT </w:instrText>
      </w:r>
      <w:r w:rsidRPr="00C555EA">
        <w:rPr>
          <w:rFonts w:cs="Calibri"/>
          <w:color w:val="000000"/>
          <w:szCs w:val="24"/>
        </w:rPr>
      </w:r>
      <w:r w:rsidRPr="00C555EA">
        <w:rPr>
          <w:rFonts w:cs="Calibri"/>
          <w:color w:val="000000"/>
          <w:szCs w:val="24"/>
        </w:rPr>
        <w:fldChar w:fldCharType="separate"/>
      </w:r>
      <w:r w:rsidRPr="00A3046F" w:rsidR="00A3046F">
        <w:rPr>
          <w:szCs w:val="24"/>
        </w:rPr>
        <w:t>Table D.</w:t>
      </w:r>
      <w:r w:rsidRPr="00A3046F" w:rsidR="00A3046F">
        <w:rPr>
          <w:noProof/>
          <w:szCs w:val="24"/>
        </w:rPr>
        <w:t>10</w:t>
      </w:r>
      <w:r w:rsidRPr="00C555EA">
        <w:rPr>
          <w:rFonts w:cs="Calibri"/>
          <w:color w:val="000000"/>
          <w:szCs w:val="24"/>
        </w:rPr>
        <w:fldChar w:fldCharType="end"/>
      </w:r>
      <w:r w:rsidRPr="00C555EA">
        <w:rPr>
          <w:rFonts w:cs="Calibri"/>
          <w:color w:val="000000"/>
          <w:szCs w:val="24"/>
        </w:rPr>
        <w:t xml:space="preserve"> displays month-level enrollment intensity missingness by experimental group assignment.</w:t>
      </w:r>
    </w:p>
    <w:p w:rsidR="00287221" w:rsidP="00287221" w:rsidRDefault="00287221" w14:paraId="12DFA1FC" w14:textId="77777777">
      <w:pPr>
        <w:spacing w:line="276" w:lineRule="auto"/>
        <w:rPr>
          <w:rFonts w:ascii="Calibri" w:hAnsi="Calibri" w:cs="Calibri"/>
          <w:color w:val="000000"/>
        </w:rPr>
      </w:pPr>
    </w:p>
    <w:p w:rsidRPr="00750835" w:rsidR="00287221" w:rsidP="00287221" w:rsidRDefault="00287221" w14:paraId="28560CAD" w14:textId="38D94F20">
      <w:pPr>
        <w:pStyle w:val="TableTitle"/>
      </w:pPr>
      <w:bookmarkStart w:name="_Ref79566047" w:id="34"/>
      <w:r>
        <w:t xml:space="preserve">Table </w:t>
      </w:r>
      <w:r w:rsidR="00A3046F">
        <w:t>D</w:t>
      </w:r>
      <w:r w:rsidR="00EE3E0D">
        <w:t>.</w:t>
      </w:r>
      <w:r>
        <w:fldChar w:fldCharType="begin"/>
      </w:r>
      <w:r>
        <w:instrText xml:space="preserve"> SEQ Table \* ARABIC </w:instrText>
      </w:r>
      <w:r>
        <w:fldChar w:fldCharType="separate"/>
      </w:r>
      <w:r>
        <w:rPr>
          <w:noProof/>
        </w:rPr>
        <w:t>10</w:t>
      </w:r>
      <w:r>
        <w:fldChar w:fldCharType="end"/>
      </w:r>
      <w:bookmarkEnd w:id="34"/>
      <w:r>
        <w:t xml:space="preserve">. </w:t>
      </w:r>
      <w:r w:rsidRPr="00750835">
        <w:t xml:space="preserve">2020/22 Beginning Postsecondary Students Field Test Month-level Enrollment Intensity </w:t>
      </w:r>
      <w:r>
        <w:t>Missingness</w:t>
      </w:r>
      <w:r w:rsidRPr="00750835">
        <w:t>: 2021</w:t>
      </w:r>
    </w:p>
    <w:tbl>
      <w:tblPr>
        <w:tblW w:w="5000" w:type="pct"/>
        <w:tblLayout w:type="fixed"/>
        <w:tblLook w:val="04A0" w:firstRow="1" w:lastRow="0" w:firstColumn="1" w:lastColumn="0" w:noHBand="0" w:noVBand="1"/>
      </w:tblPr>
      <w:tblGrid>
        <w:gridCol w:w="5988"/>
        <w:gridCol w:w="1675"/>
        <w:gridCol w:w="2849"/>
      </w:tblGrid>
      <w:tr w:rsidRPr="00930D12" w:rsidR="00287221" w:rsidTr="00287084" w14:paraId="3C23B9FF" w14:textId="77777777">
        <w:trPr>
          <w:trHeight w:val="451"/>
        </w:trPr>
        <w:tc>
          <w:tcPr>
            <w:tcW w:w="5332" w:type="dxa"/>
            <w:vMerge w:val="restart"/>
            <w:tcBorders>
              <w:top w:val="single" w:color="auto" w:sz="12" w:space="0"/>
              <w:bottom w:val="single" w:color="auto" w:sz="6" w:space="0"/>
            </w:tcBorders>
            <w:shd w:val="clear" w:color="auto" w:fill="auto"/>
            <w:noWrap/>
            <w:vAlign w:val="bottom"/>
            <w:hideMark/>
          </w:tcPr>
          <w:p w:rsidRPr="00930D12" w:rsidR="00287221" w:rsidP="00287084" w:rsidRDefault="00287221" w14:paraId="0831114F" w14:textId="77777777">
            <w:pPr>
              <w:rPr>
                <w:rFonts w:ascii="Arial" w:hAnsi="Arial" w:eastAsia="Times New Roman" w:cs="Arial"/>
                <w:b/>
                <w:bCs/>
                <w:color w:val="000000"/>
                <w:sz w:val="18"/>
                <w:szCs w:val="18"/>
              </w:rPr>
            </w:pPr>
            <w:r w:rsidRPr="00930D12">
              <w:rPr>
                <w:rFonts w:ascii="Arial" w:hAnsi="Arial" w:eastAsia="Times New Roman" w:cs="Arial"/>
                <w:b/>
                <w:bCs/>
                <w:color w:val="000000"/>
                <w:sz w:val="18"/>
                <w:szCs w:val="18"/>
              </w:rPr>
              <w:t>Group</w:t>
            </w:r>
          </w:p>
        </w:tc>
        <w:tc>
          <w:tcPr>
            <w:tcW w:w="1491" w:type="dxa"/>
            <w:vMerge w:val="restart"/>
            <w:tcBorders>
              <w:top w:val="single" w:color="auto" w:sz="12" w:space="0"/>
              <w:bottom w:val="single" w:color="auto" w:sz="6" w:space="0"/>
            </w:tcBorders>
            <w:shd w:val="clear" w:color="auto" w:fill="auto"/>
            <w:vAlign w:val="bottom"/>
            <w:hideMark/>
          </w:tcPr>
          <w:p w:rsidRPr="00930D12" w:rsidR="00287221" w:rsidP="00287084" w:rsidRDefault="00287221" w14:paraId="5D71A99D" w14:textId="77777777">
            <w:pPr>
              <w:jc w:val="right"/>
              <w:rPr>
                <w:rFonts w:ascii="Arial" w:hAnsi="Arial" w:eastAsia="Times New Roman" w:cs="Arial"/>
                <w:b/>
                <w:bCs/>
                <w:color w:val="000000"/>
                <w:sz w:val="18"/>
                <w:szCs w:val="18"/>
              </w:rPr>
            </w:pPr>
            <w:r w:rsidRPr="00930D12">
              <w:rPr>
                <w:rFonts w:ascii="Arial" w:hAnsi="Arial" w:eastAsia="Times New Roman" w:cs="Arial"/>
                <w:b/>
                <w:bCs/>
                <w:color w:val="000000"/>
                <w:sz w:val="18"/>
                <w:szCs w:val="18"/>
              </w:rPr>
              <w:t>Number of cases</w:t>
            </w:r>
          </w:p>
        </w:tc>
        <w:tc>
          <w:tcPr>
            <w:tcW w:w="2537" w:type="dxa"/>
            <w:vMerge w:val="restart"/>
            <w:tcBorders>
              <w:top w:val="single" w:color="auto" w:sz="12" w:space="0"/>
              <w:bottom w:val="single" w:color="auto" w:sz="6" w:space="0"/>
            </w:tcBorders>
            <w:shd w:val="clear" w:color="auto" w:fill="auto"/>
            <w:vAlign w:val="bottom"/>
            <w:hideMark/>
          </w:tcPr>
          <w:p w:rsidRPr="00930D12" w:rsidR="00287221" w:rsidP="00287084" w:rsidRDefault="00287221" w14:paraId="6C84C26D" w14:textId="77777777">
            <w:pPr>
              <w:jc w:val="right"/>
              <w:rPr>
                <w:rFonts w:ascii="Arial" w:hAnsi="Arial" w:eastAsia="Times New Roman" w:cs="Arial"/>
                <w:b/>
                <w:bCs/>
                <w:color w:val="000000"/>
                <w:sz w:val="18"/>
                <w:szCs w:val="18"/>
              </w:rPr>
            </w:pPr>
            <w:r w:rsidRPr="00930D12">
              <w:rPr>
                <w:rFonts w:ascii="Arial" w:hAnsi="Arial" w:eastAsia="Times New Roman" w:cs="Arial"/>
                <w:b/>
                <w:bCs/>
                <w:color w:val="000000"/>
                <w:sz w:val="18"/>
                <w:szCs w:val="18"/>
              </w:rPr>
              <w:t>Percent missing</w:t>
            </w:r>
          </w:p>
        </w:tc>
      </w:tr>
      <w:tr w:rsidRPr="00930D12" w:rsidR="00287221" w:rsidTr="00287084" w14:paraId="31779FAF" w14:textId="77777777">
        <w:trPr>
          <w:trHeight w:val="451"/>
        </w:trPr>
        <w:tc>
          <w:tcPr>
            <w:tcW w:w="5332" w:type="dxa"/>
            <w:vMerge/>
            <w:tcBorders>
              <w:bottom w:val="single" w:color="auto" w:sz="6" w:space="0"/>
            </w:tcBorders>
            <w:vAlign w:val="center"/>
            <w:hideMark/>
          </w:tcPr>
          <w:p w:rsidRPr="00930D12" w:rsidR="00287221" w:rsidP="00287084" w:rsidRDefault="00287221" w14:paraId="41A342C7" w14:textId="77777777">
            <w:pPr>
              <w:rPr>
                <w:rFonts w:ascii="Arial" w:hAnsi="Arial" w:eastAsia="Times New Roman" w:cs="Arial"/>
                <w:b/>
                <w:bCs/>
                <w:color w:val="000000"/>
                <w:sz w:val="18"/>
                <w:szCs w:val="18"/>
              </w:rPr>
            </w:pPr>
          </w:p>
        </w:tc>
        <w:tc>
          <w:tcPr>
            <w:tcW w:w="1491" w:type="dxa"/>
            <w:vMerge/>
            <w:tcBorders>
              <w:bottom w:val="single" w:color="auto" w:sz="6" w:space="0"/>
            </w:tcBorders>
            <w:vAlign w:val="center"/>
            <w:hideMark/>
          </w:tcPr>
          <w:p w:rsidRPr="00930D12" w:rsidR="00287221" w:rsidP="00287084" w:rsidRDefault="00287221" w14:paraId="2F45AFA6" w14:textId="77777777">
            <w:pPr>
              <w:rPr>
                <w:rFonts w:ascii="Arial" w:hAnsi="Arial" w:eastAsia="Times New Roman" w:cs="Arial"/>
                <w:b/>
                <w:bCs/>
                <w:color w:val="000000"/>
                <w:sz w:val="18"/>
                <w:szCs w:val="18"/>
              </w:rPr>
            </w:pPr>
          </w:p>
        </w:tc>
        <w:tc>
          <w:tcPr>
            <w:tcW w:w="2537" w:type="dxa"/>
            <w:vMerge/>
            <w:tcBorders>
              <w:bottom w:val="single" w:color="auto" w:sz="6" w:space="0"/>
            </w:tcBorders>
            <w:vAlign w:val="center"/>
            <w:hideMark/>
          </w:tcPr>
          <w:p w:rsidRPr="00930D12" w:rsidR="00287221" w:rsidP="00287084" w:rsidRDefault="00287221" w14:paraId="1F70479A" w14:textId="77777777">
            <w:pPr>
              <w:rPr>
                <w:rFonts w:ascii="Arial" w:hAnsi="Arial" w:eastAsia="Times New Roman" w:cs="Arial"/>
                <w:b/>
                <w:bCs/>
                <w:color w:val="000000"/>
                <w:sz w:val="18"/>
                <w:szCs w:val="18"/>
              </w:rPr>
            </w:pPr>
          </w:p>
        </w:tc>
      </w:tr>
      <w:tr w:rsidRPr="00930D12" w:rsidR="00287221" w:rsidTr="00287084" w14:paraId="5791352E" w14:textId="77777777">
        <w:trPr>
          <w:trHeight w:val="20"/>
        </w:trPr>
        <w:tc>
          <w:tcPr>
            <w:tcW w:w="5332" w:type="dxa"/>
            <w:tcBorders>
              <w:top w:val="single" w:color="auto" w:sz="6" w:space="0"/>
            </w:tcBorders>
            <w:shd w:val="clear" w:color="auto" w:fill="auto"/>
            <w:noWrap/>
            <w:vAlign w:val="center"/>
            <w:hideMark/>
          </w:tcPr>
          <w:p w:rsidRPr="00930D12" w:rsidR="00287221" w:rsidP="00287084" w:rsidRDefault="00287221" w14:paraId="5535D404" w14:textId="77777777">
            <w:pPr>
              <w:rPr>
                <w:rFonts w:ascii="Arial" w:hAnsi="Arial" w:eastAsia="Times New Roman" w:cs="Arial"/>
                <w:color w:val="000000"/>
                <w:sz w:val="18"/>
                <w:szCs w:val="18"/>
              </w:rPr>
            </w:pPr>
            <w:r w:rsidRPr="00930D12">
              <w:rPr>
                <w:rFonts w:ascii="Arial" w:hAnsi="Arial" w:eastAsia="Times New Roman" w:cs="Arial"/>
                <w:color w:val="000000"/>
                <w:sz w:val="18"/>
                <w:szCs w:val="18"/>
              </w:rPr>
              <w:t>Control: single forced-choice grid</w:t>
            </w:r>
          </w:p>
        </w:tc>
        <w:tc>
          <w:tcPr>
            <w:tcW w:w="1491" w:type="dxa"/>
            <w:tcBorders>
              <w:top w:val="single" w:color="auto" w:sz="6" w:space="0"/>
            </w:tcBorders>
            <w:shd w:val="clear" w:color="auto" w:fill="auto"/>
            <w:noWrap/>
            <w:vAlign w:val="center"/>
            <w:hideMark/>
          </w:tcPr>
          <w:p w:rsidRPr="00930D12" w:rsidR="00287221" w:rsidP="00287084" w:rsidRDefault="00287221" w14:paraId="0D137652" w14:textId="77777777">
            <w:pPr>
              <w:jc w:val="right"/>
              <w:rPr>
                <w:rFonts w:ascii="Arial" w:hAnsi="Arial" w:eastAsia="Times New Roman" w:cs="Arial"/>
                <w:color w:val="000000"/>
                <w:sz w:val="18"/>
                <w:szCs w:val="18"/>
              </w:rPr>
            </w:pPr>
            <w:r w:rsidRPr="00930D12">
              <w:rPr>
                <w:rFonts w:ascii="Arial" w:hAnsi="Arial" w:eastAsia="Times New Roman" w:cs="Arial"/>
                <w:color w:val="000000"/>
                <w:sz w:val="18"/>
                <w:szCs w:val="18"/>
              </w:rPr>
              <w:t>680</w:t>
            </w:r>
          </w:p>
        </w:tc>
        <w:tc>
          <w:tcPr>
            <w:tcW w:w="2537" w:type="dxa"/>
            <w:tcBorders>
              <w:top w:val="single" w:color="auto" w:sz="6" w:space="0"/>
            </w:tcBorders>
            <w:shd w:val="clear" w:color="auto" w:fill="auto"/>
            <w:noWrap/>
            <w:vAlign w:val="center"/>
            <w:hideMark/>
          </w:tcPr>
          <w:p w:rsidRPr="00930D12" w:rsidR="00287221" w:rsidP="00287084" w:rsidRDefault="00287221" w14:paraId="3EAEEB99" w14:textId="77777777">
            <w:pPr>
              <w:jc w:val="right"/>
              <w:rPr>
                <w:rFonts w:ascii="Arial" w:hAnsi="Arial" w:eastAsia="Times New Roman" w:cs="Arial"/>
                <w:color w:val="000000"/>
                <w:sz w:val="18"/>
                <w:szCs w:val="18"/>
              </w:rPr>
            </w:pPr>
            <w:r w:rsidRPr="00930D12">
              <w:rPr>
                <w:rFonts w:ascii="Arial" w:hAnsi="Arial" w:eastAsia="Times New Roman" w:cs="Arial"/>
                <w:color w:val="000000"/>
                <w:sz w:val="18"/>
                <w:szCs w:val="18"/>
              </w:rPr>
              <w:t>0</w:t>
            </w:r>
          </w:p>
        </w:tc>
      </w:tr>
      <w:tr w:rsidRPr="00930D12" w:rsidR="00287221" w:rsidTr="00287084" w14:paraId="41959C4E" w14:textId="77777777">
        <w:trPr>
          <w:trHeight w:val="20"/>
        </w:trPr>
        <w:tc>
          <w:tcPr>
            <w:tcW w:w="5332" w:type="dxa"/>
            <w:tcBorders>
              <w:bottom w:val="single" w:color="auto" w:sz="12" w:space="0"/>
            </w:tcBorders>
            <w:shd w:val="clear" w:color="auto" w:fill="auto"/>
            <w:noWrap/>
            <w:vAlign w:val="center"/>
            <w:hideMark/>
          </w:tcPr>
          <w:p w:rsidRPr="00930D12" w:rsidR="00287221" w:rsidP="00287084" w:rsidRDefault="00287221" w14:paraId="78B2156D" w14:textId="77777777">
            <w:pPr>
              <w:rPr>
                <w:rFonts w:ascii="Arial" w:hAnsi="Arial" w:eastAsia="Times New Roman" w:cs="Arial"/>
                <w:color w:val="000000"/>
                <w:sz w:val="18"/>
                <w:szCs w:val="18"/>
              </w:rPr>
            </w:pPr>
            <w:r w:rsidRPr="00930D12">
              <w:rPr>
                <w:rFonts w:ascii="Arial" w:hAnsi="Arial" w:eastAsia="Times New Roman" w:cs="Arial"/>
                <w:color w:val="000000"/>
                <w:sz w:val="18"/>
                <w:szCs w:val="18"/>
              </w:rPr>
              <w:t>Treatment: yes/no radio gates by intensity</w:t>
            </w:r>
          </w:p>
        </w:tc>
        <w:tc>
          <w:tcPr>
            <w:tcW w:w="1491" w:type="dxa"/>
            <w:tcBorders>
              <w:bottom w:val="single" w:color="auto" w:sz="12" w:space="0"/>
            </w:tcBorders>
            <w:shd w:val="clear" w:color="auto" w:fill="auto"/>
            <w:noWrap/>
            <w:vAlign w:val="center"/>
            <w:hideMark/>
          </w:tcPr>
          <w:p w:rsidRPr="00930D12" w:rsidR="00287221" w:rsidP="00287084" w:rsidRDefault="00287221" w14:paraId="62ECF021" w14:textId="77777777">
            <w:pPr>
              <w:jc w:val="right"/>
              <w:rPr>
                <w:rFonts w:ascii="Arial" w:hAnsi="Arial" w:eastAsia="Times New Roman" w:cs="Arial"/>
                <w:color w:val="000000"/>
                <w:sz w:val="18"/>
                <w:szCs w:val="18"/>
              </w:rPr>
            </w:pPr>
            <w:r w:rsidRPr="00930D12">
              <w:rPr>
                <w:rFonts w:ascii="Arial" w:hAnsi="Arial" w:eastAsia="Times New Roman" w:cs="Arial"/>
                <w:color w:val="000000"/>
                <w:sz w:val="18"/>
                <w:szCs w:val="18"/>
              </w:rPr>
              <w:t>640</w:t>
            </w:r>
          </w:p>
        </w:tc>
        <w:tc>
          <w:tcPr>
            <w:tcW w:w="2537" w:type="dxa"/>
            <w:tcBorders>
              <w:bottom w:val="single" w:color="auto" w:sz="12" w:space="0"/>
            </w:tcBorders>
            <w:shd w:val="clear" w:color="auto" w:fill="auto"/>
            <w:noWrap/>
            <w:vAlign w:val="center"/>
            <w:hideMark/>
          </w:tcPr>
          <w:p w:rsidRPr="00930D12" w:rsidR="00287221" w:rsidP="00287084" w:rsidRDefault="00287221" w14:paraId="36C513CE" w14:textId="77777777">
            <w:pPr>
              <w:jc w:val="right"/>
              <w:rPr>
                <w:rFonts w:ascii="Arial" w:hAnsi="Arial" w:eastAsia="Times New Roman" w:cs="Arial"/>
                <w:color w:val="000000"/>
                <w:sz w:val="18"/>
                <w:szCs w:val="18"/>
              </w:rPr>
            </w:pPr>
            <w:r w:rsidRPr="00930D12">
              <w:rPr>
                <w:rFonts w:ascii="Arial" w:hAnsi="Arial" w:eastAsia="Times New Roman" w:cs="Arial"/>
                <w:color w:val="000000"/>
                <w:sz w:val="18"/>
                <w:szCs w:val="18"/>
              </w:rPr>
              <w:t>0.3</w:t>
            </w:r>
          </w:p>
        </w:tc>
      </w:tr>
      <w:tr w:rsidRPr="00930D12" w:rsidR="00287221" w:rsidTr="00287084" w14:paraId="6BE407A0" w14:textId="77777777">
        <w:trPr>
          <w:trHeight w:val="20"/>
        </w:trPr>
        <w:tc>
          <w:tcPr>
            <w:tcW w:w="9360" w:type="dxa"/>
            <w:gridSpan w:val="3"/>
            <w:tcBorders>
              <w:top w:val="single" w:color="auto" w:sz="12" w:space="0"/>
            </w:tcBorders>
            <w:shd w:val="clear" w:color="auto" w:fill="auto"/>
            <w:noWrap/>
            <w:vAlign w:val="center"/>
          </w:tcPr>
          <w:p w:rsidRPr="00930D12" w:rsidR="00287221" w:rsidP="00287084" w:rsidRDefault="00287221" w14:paraId="239A2757" w14:textId="77777777">
            <w:pPr>
              <w:rPr>
                <w:rFonts w:ascii="Arial" w:hAnsi="Arial" w:eastAsia="Times New Roman" w:cs="Arial"/>
                <w:color w:val="000000"/>
                <w:sz w:val="18"/>
                <w:szCs w:val="18"/>
              </w:rPr>
            </w:pPr>
            <w:r w:rsidRPr="00930D12">
              <w:rPr>
                <w:rFonts w:ascii="Arial" w:hAnsi="Arial" w:eastAsia="Times New Roman" w:cs="Arial"/>
                <w:color w:val="000000"/>
                <w:sz w:val="16"/>
                <w:szCs w:val="16"/>
              </w:rPr>
              <w:t>SOURCE: U.S. Department of Education, National Center for Education Statistics, 2020/22 Beginning Postsecondary Students (BPS:20/22) Field Test.</w:t>
            </w:r>
          </w:p>
        </w:tc>
      </w:tr>
    </w:tbl>
    <w:p w:rsidRPr="00930D12" w:rsidR="00287221" w:rsidP="00287221" w:rsidRDefault="00287221" w14:paraId="260568DB" w14:textId="77777777">
      <w:pPr>
        <w:tabs>
          <w:tab w:val="left" w:pos="9183"/>
        </w:tabs>
        <w:ind w:left="108"/>
        <w:rPr>
          <w:rFonts w:ascii="Times New Roman" w:hAnsi="Times New Roman" w:eastAsia="Times New Roman"/>
          <w:sz w:val="16"/>
          <w:szCs w:val="16"/>
        </w:rPr>
      </w:pPr>
      <w:r w:rsidRPr="00930D12">
        <w:rPr>
          <w:rFonts w:ascii="Arial" w:hAnsi="Arial" w:eastAsia="Times New Roman" w:cs="Arial"/>
          <w:color w:val="000000"/>
          <w:sz w:val="16"/>
          <w:szCs w:val="16"/>
        </w:rPr>
        <w:tab/>
      </w:r>
    </w:p>
    <w:p w:rsidRPr="00C555EA" w:rsidR="00287221" w:rsidP="00287221" w:rsidRDefault="00287221" w14:paraId="38946A68" w14:textId="77777777">
      <w:pPr>
        <w:spacing w:after="120" w:line="276" w:lineRule="auto"/>
        <w:rPr>
          <w:rFonts w:cs="Calibri"/>
          <w:color w:val="000000"/>
          <w:szCs w:val="24"/>
        </w:rPr>
      </w:pPr>
      <w:r w:rsidRPr="006F20DE">
        <w:rPr>
          <w:rFonts w:cstheme="minorHAnsi"/>
          <w:i/>
          <w:iCs/>
          <w:szCs w:val="24"/>
        </w:rPr>
        <w:t>Concordance with administrative data source.</w:t>
      </w:r>
      <w:r w:rsidRPr="00C555EA">
        <w:rPr>
          <w:rFonts w:cstheme="minorHAnsi"/>
          <w:i/>
          <w:iCs/>
          <w:szCs w:val="24"/>
        </w:rPr>
        <w:t xml:space="preserve"> </w:t>
      </w:r>
      <w:r w:rsidRPr="00C555EA">
        <w:rPr>
          <w:rFonts w:cs="Calibri"/>
          <w:color w:val="000000"/>
          <w:szCs w:val="24"/>
        </w:rPr>
        <w:t xml:space="preserve">To determine if the enrollment intensity gate question(s) impact the accuracy of enrollment data collected, field test respondents’ NPSAS base-year degree enrollment reported in the survey data were compared with administrative enrollment data from the National Student Clearinghouse (NSC). </w:t>
      </w:r>
      <w:r w:rsidRPr="00C555EA">
        <w:rPr>
          <w:rFonts w:cs="Calibri"/>
          <w:color w:val="000000"/>
          <w:szCs w:val="24"/>
        </w:rPr>
        <w:lastRenderedPageBreak/>
        <w:t xml:space="preserve">Enrollment was compared for the months of July 2020 through December 2020, a retrospective time period before BPS:20/22 field test data collection. The survey response was considered to be in concordance with administrative data from NSC if the respondent either a) reported no enrollment for that intensity during the six months of interest, and there are no enrollment records in NSC for NPSAS institution during that same timeframe; or, b) reported enrollment for that intensity during the six months of interest, and NSC has a record of the respondent attending NPSAS for that same intensity at any point in those same six months of interest. </w:t>
      </w:r>
    </w:p>
    <w:p w:rsidRPr="00C555EA" w:rsidR="00287221" w:rsidP="00287221" w:rsidRDefault="00011097" w14:paraId="30C2F13F" w14:textId="1FA7BE1A">
      <w:pPr>
        <w:spacing w:after="120" w:line="276" w:lineRule="auto"/>
        <w:rPr>
          <w:rFonts w:cs="Calibri"/>
          <w:color w:val="000000"/>
          <w:szCs w:val="24"/>
        </w:rPr>
      </w:pPr>
      <w:r w:rsidRPr="00C555EA">
        <w:rPr>
          <w:rFonts w:cs="Calibri"/>
          <w:color w:val="000000"/>
          <w:szCs w:val="24"/>
        </w:rPr>
        <w:t xml:space="preserve">Differences in concordance between the treatment and control group were not statistically significant. </w:t>
      </w:r>
      <w:r w:rsidRPr="00C555EA" w:rsidR="00287221">
        <w:rPr>
          <w:rFonts w:cs="Calibri"/>
          <w:color w:val="000000"/>
          <w:szCs w:val="24"/>
        </w:rPr>
        <w:t>For both experimental groups, 70 percent of respondents were in concordance with NSC enrollment records during the timeframe of interest regardless of intensity</w:t>
      </w:r>
      <w:r>
        <w:rPr>
          <w:rFonts w:cs="Calibri"/>
          <w:color w:val="000000"/>
          <w:szCs w:val="24"/>
        </w:rPr>
        <w:t xml:space="preserve"> </w:t>
      </w:r>
      <w:r w:rsidRPr="00C555EA" w:rsidR="002D36E5">
        <w:rPr>
          <w:szCs w:val="24"/>
        </w:rPr>
        <w:t>(</w:t>
      </w:r>
      <w:r w:rsidRPr="00C555EA" w:rsidR="002D36E5">
        <w:rPr>
          <w:i/>
          <w:szCs w:val="24"/>
        </w:rPr>
        <w:t>t</w:t>
      </w:r>
      <w:r w:rsidRPr="00C555EA" w:rsidR="002D36E5">
        <w:rPr>
          <w:szCs w:val="24"/>
        </w:rPr>
        <w:t>(</w:t>
      </w:r>
      <w:r w:rsidR="002D36E5">
        <w:rPr>
          <w:szCs w:val="24"/>
        </w:rPr>
        <w:t>1311.1</w:t>
      </w:r>
      <w:r w:rsidRPr="00C555EA" w:rsidR="002D36E5">
        <w:rPr>
          <w:szCs w:val="24"/>
        </w:rPr>
        <w:t>) = </w:t>
      </w:r>
      <w:r w:rsidR="002D36E5">
        <w:rPr>
          <w:szCs w:val="24"/>
        </w:rPr>
        <w:t>0.24</w:t>
      </w:r>
      <w:r w:rsidRPr="00C555EA" w:rsidR="002D36E5">
        <w:rPr>
          <w:szCs w:val="24"/>
        </w:rPr>
        <w:t xml:space="preserve">, </w:t>
      </w:r>
      <w:r w:rsidRPr="00C555EA" w:rsidR="002D36E5">
        <w:rPr>
          <w:i/>
          <w:szCs w:val="24"/>
        </w:rPr>
        <w:t>p </w:t>
      </w:r>
      <w:r w:rsidR="002D36E5">
        <w:rPr>
          <w:szCs w:val="24"/>
        </w:rPr>
        <w:t>=</w:t>
      </w:r>
      <w:r w:rsidRPr="00C555EA" w:rsidR="002D36E5">
        <w:rPr>
          <w:szCs w:val="24"/>
        </w:rPr>
        <w:t> </w:t>
      </w:r>
      <w:r w:rsidR="002D36E5">
        <w:rPr>
          <w:szCs w:val="24"/>
        </w:rPr>
        <w:t>0</w:t>
      </w:r>
      <w:r w:rsidRPr="00C555EA" w:rsidR="002D36E5">
        <w:rPr>
          <w:szCs w:val="24"/>
        </w:rPr>
        <w:t>.</w:t>
      </w:r>
      <w:r w:rsidR="002D36E5">
        <w:rPr>
          <w:szCs w:val="24"/>
        </w:rPr>
        <w:t>8119</w:t>
      </w:r>
      <w:r w:rsidRPr="00C555EA" w:rsidR="002D36E5">
        <w:rPr>
          <w:szCs w:val="24"/>
        </w:rPr>
        <w:t>)</w:t>
      </w:r>
      <w:r w:rsidR="002D36E5">
        <w:rPr>
          <w:szCs w:val="24"/>
        </w:rPr>
        <w:t>.</w:t>
      </w:r>
      <w:r w:rsidRPr="00011097" w:rsidDel="002D36E5" w:rsidR="002D36E5">
        <w:rPr>
          <w:rFonts w:cs="Calibri"/>
          <w:color w:val="000000"/>
          <w:szCs w:val="24"/>
        </w:rPr>
        <w:t xml:space="preserve"> </w:t>
      </w:r>
      <w:r w:rsidRPr="00C555EA" w:rsidR="00287221">
        <w:rPr>
          <w:rFonts w:cs="Calibri"/>
          <w:color w:val="000000"/>
          <w:szCs w:val="24"/>
        </w:rPr>
        <w:t>Full-time enrollment had the highest concordance, the control group had an 89 percent concordance rate, and the treatment group an 87 percent concordance rate</w:t>
      </w:r>
      <w:r>
        <w:rPr>
          <w:rFonts w:cs="Calibri"/>
          <w:color w:val="000000"/>
          <w:szCs w:val="24"/>
        </w:rPr>
        <w:t xml:space="preserve"> </w:t>
      </w:r>
      <w:r w:rsidRPr="00C555EA" w:rsidR="002D36E5">
        <w:rPr>
          <w:szCs w:val="24"/>
        </w:rPr>
        <w:t>(</w:t>
      </w:r>
      <w:proofErr w:type="gramStart"/>
      <w:r w:rsidRPr="00C555EA" w:rsidR="002D36E5">
        <w:rPr>
          <w:i/>
          <w:szCs w:val="24"/>
        </w:rPr>
        <w:t>t</w:t>
      </w:r>
      <w:r w:rsidRPr="00C555EA" w:rsidR="002D36E5">
        <w:rPr>
          <w:szCs w:val="24"/>
        </w:rPr>
        <w:t>(</w:t>
      </w:r>
      <w:proofErr w:type="gramEnd"/>
      <w:r w:rsidR="002D36E5">
        <w:rPr>
          <w:szCs w:val="24"/>
        </w:rPr>
        <w:t>1292.8</w:t>
      </w:r>
      <w:r w:rsidRPr="00C555EA" w:rsidR="002D36E5">
        <w:rPr>
          <w:szCs w:val="24"/>
        </w:rPr>
        <w:t>) = </w:t>
      </w:r>
      <w:r w:rsidR="002D36E5">
        <w:rPr>
          <w:szCs w:val="24"/>
        </w:rPr>
        <w:t>1.04</w:t>
      </w:r>
      <w:r w:rsidRPr="00C555EA" w:rsidR="002D36E5">
        <w:rPr>
          <w:szCs w:val="24"/>
        </w:rPr>
        <w:t xml:space="preserve">, </w:t>
      </w:r>
      <w:r w:rsidRPr="00C555EA" w:rsidR="002D36E5">
        <w:rPr>
          <w:i/>
          <w:szCs w:val="24"/>
        </w:rPr>
        <w:t>p </w:t>
      </w:r>
      <w:r w:rsidR="002D36E5">
        <w:rPr>
          <w:szCs w:val="24"/>
        </w:rPr>
        <w:t>=</w:t>
      </w:r>
      <w:r w:rsidRPr="00C555EA" w:rsidR="002D36E5">
        <w:rPr>
          <w:szCs w:val="24"/>
        </w:rPr>
        <w:t> </w:t>
      </w:r>
      <w:r w:rsidR="002D36E5">
        <w:rPr>
          <w:szCs w:val="24"/>
        </w:rPr>
        <w:t>0</w:t>
      </w:r>
      <w:r w:rsidRPr="00C555EA" w:rsidR="002D36E5">
        <w:rPr>
          <w:szCs w:val="24"/>
        </w:rPr>
        <w:t>.</w:t>
      </w:r>
      <w:r w:rsidR="002D36E5">
        <w:rPr>
          <w:szCs w:val="24"/>
        </w:rPr>
        <w:t>2991</w:t>
      </w:r>
      <w:r w:rsidRPr="00C555EA" w:rsidR="002D36E5">
        <w:rPr>
          <w:szCs w:val="24"/>
        </w:rPr>
        <w:t>)</w:t>
      </w:r>
      <w:r w:rsidR="002D36E5">
        <w:rPr>
          <w:szCs w:val="24"/>
        </w:rPr>
        <w:t>.</w:t>
      </w:r>
      <w:r w:rsidRPr="00C555EA" w:rsidR="002D36E5">
        <w:rPr>
          <w:rFonts w:cs="Calibri"/>
          <w:color w:val="000000"/>
          <w:szCs w:val="24"/>
        </w:rPr>
        <w:t xml:space="preserve"> </w:t>
      </w:r>
      <w:r w:rsidR="0089586F">
        <w:rPr>
          <w:rFonts w:cs="Calibri"/>
          <w:color w:val="000000"/>
          <w:szCs w:val="24"/>
        </w:rPr>
        <w:t>S</w:t>
      </w:r>
      <w:r w:rsidRPr="00C555EA">
        <w:rPr>
          <w:rFonts w:cs="Calibri"/>
          <w:color w:val="000000"/>
          <w:szCs w:val="24"/>
        </w:rPr>
        <w:t xml:space="preserve">ee </w:t>
      </w:r>
      <w:r w:rsidRPr="00C555EA">
        <w:rPr>
          <w:rFonts w:cs="Calibri"/>
          <w:color w:val="000000"/>
          <w:szCs w:val="24"/>
          <w:highlight w:val="yellow"/>
        </w:rPr>
        <w:fldChar w:fldCharType="begin"/>
      </w:r>
      <w:r w:rsidRPr="00C555EA">
        <w:rPr>
          <w:rFonts w:cs="Calibri"/>
          <w:color w:val="000000"/>
          <w:szCs w:val="24"/>
        </w:rPr>
        <w:instrText xml:space="preserve"> REF _Ref79566097 \h </w:instrText>
      </w:r>
      <w:r w:rsidRPr="00C555EA">
        <w:rPr>
          <w:rFonts w:cs="Calibri"/>
          <w:color w:val="000000"/>
          <w:szCs w:val="24"/>
          <w:highlight w:val="yellow"/>
        </w:rPr>
        <w:instrText xml:space="preserve"> \* MERGEFORMAT </w:instrText>
      </w:r>
      <w:r w:rsidRPr="00C555EA">
        <w:rPr>
          <w:rFonts w:cs="Calibri"/>
          <w:color w:val="000000"/>
          <w:szCs w:val="24"/>
          <w:highlight w:val="yellow"/>
        </w:rPr>
      </w:r>
      <w:r w:rsidRPr="00C555EA">
        <w:rPr>
          <w:rFonts w:cs="Calibri"/>
          <w:color w:val="000000"/>
          <w:szCs w:val="24"/>
          <w:highlight w:val="yellow"/>
        </w:rPr>
        <w:fldChar w:fldCharType="separate"/>
      </w:r>
      <w:r w:rsidRPr="00A3046F" w:rsidR="00A3046F">
        <w:rPr>
          <w:szCs w:val="24"/>
        </w:rPr>
        <w:t>Table D.</w:t>
      </w:r>
      <w:r w:rsidRPr="00A3046F" w:rsidR="00A3046F">
        <w:rPr>
          <w:noProof/>
          <w:szCs w:val="24"/>
        </w:rPr>
        <w:t>11</w:t>
      </w:r>
      <w:r w:rsidRPr="00C555EA">
        <w:rPr>
          <w:rFonts w:cs="Calibri"/>
          <w:color w:val="000000"/>
          <w:szCs w:val="24"/>
          <w:highlight w:val="yellow"/>
        </w:rPr>
        <w:fldChar w:fldCharType="end"/>
      </w:r>
      <w:r w:rsidR="0089586F">
        <w:rPr>
          <w:rFonts w:cs="Calibri"/>
          <w:color w:val="000000"/>
          <w:szCs w:val="24"/>
        </w:rPr>
        <w:t xml:space="preserve"> for concordance rates overall, and by enrollment intensity</w:t>
      </w:r>
      <w:r w:rsidRPr="00C555EA">
        <w:rPr>
          <w:rFonts w:cs="Calibri"/>
          <w:color w:val="000000"/>
          <w:szCs w:val="24"/>
        </w:rPr>
        <w:t xml:space="preserve">. </w:t>
      </w:r>
    </w:p>
    <w:p w:rsidR="00287221" w:rsidP="00287221" w:rsidRDefault="00287221" w14:paraId="41ADD315" w14:textId="597471C0">
      <w:pPr>
        <w:pStyle w:val="TableTitle"/>
      </w:pPr>
      <w:bookmarkStart w:name="_Ref79566097" w:id="35"/>
      <w:r>
        <w:t xml:space="preserve">Table </w:t>
      </w:r>
      <w:r w:rsidR="00A3046F">
        <w:t>D</w:t>
      </w:r>
      <w:r w:rsidR="00EE3E0D">
        <w:t>.</w:t>
      </w:r>
      <w:r>
        <w:fldChar w:fldCharType="begin"/>
      </w:r>
      <w:r>
        <w:instrText xml:space="preserve"> SEQ Table \* ARABIC </w:instrText>
      </w:r>
      <w:r>
        <w:fldChar w:fldCharType="separate"/>
      </w:r>
      <w:r>
        <w:rPr>
          <w:noProof/>
        </w:rPr>
        <w:t>11</w:t>
      </w:r>
      <w:r>
        <w:fldChar w:fldCharType="end"/>
      </w:r>
      <w:bookmarkEnd w:id="35"/>
      <w:r>
        <w:t xml:space="preserve">. </w:t>
      </w:r>
      <w:r w:rsidRPr="000106D4">
        <w:t>2020/22 Beginning Postsecondary Students Field Test Month-level Enrollment Intensity Concordance with NSC, overall and by intensity: 2021</w:t>
      </w:r>
    </w:p>
    <w:tbl>
      <w:tblPr>
        <w:tblW w:w="5000" w:type="pct"/>
        <w:tblLook w:val="04A0" w:firstRow="1" w:lastRow="0" w:firstColumn="1" w:lastColumn="0" w:noHBand="0" w:noVBand="1"/>
      </w:tblPr>
      <w:tblGrid>
        <w:gridCol w:w="4649"/>
        <w:gridCol w:w="1314"/>
        <w:gridCol w:w="1266"/>
        <w:gridCol w:w="1661"/>
        <w:gridCol w:w="1622"/>
      </w:tblGrid>
      <w:tr w:rsidRPr="000106D4" w:rsidR="00287221" w:rsidTr="00287084" w14:paraId="5A591AAC" w14:textId="77777777">
        <w:trPr>
          <w:trHeight w:val="20"/>
        </w:trPr>
        <w:tc>
          <w:tcPr>
            <w:tcW w:w="4140" w:type="dxa"/>
            <w:tcBorders>
              <w:top w:val="single" w:color="auto" w:sz="12" w:space="0"/>
              <w:left w:val="nil"/>
              <w:bottom w:val="nil"/>
              <w:right w:val="nil"/>
            </w:tcBorders>
            <w:shd w:val="clear" w:color="auto" w:fill="auto"/>
            <w:noWrap/>
            <w:vAlign w:val="bottom"/>
            <w:hideMark/>
          </w:tcPr>
          <w:p w:rsidRPr="000106D4" w:rsidR="00287221" w:rsidP="00287084" w:rsidRDefault="00287221" w14:paraId="44879443" w14:textId="77777777">
            <w:pPr>
              <w:rPr>
                <w:rFonts w:ascii="Arial" w:hAnsi="Arial" w:eastAsia="Times New Roman" w:cs="Arial"/>
                <w:b/>
                <w:bCs/>
                <w:color w:val="000000"/>
                <w:sz w:val="18"/>
                <w:szCs w:val="18"/>
              </w:rPr>
            </w:pPr>
            <w:r w:rsidRPr="000106D4">
              <w:rPr>
                <w:rFonts w:ascii="Arial" w:hAnsi="Arial" w:eastAsia="Times New Roman" w:cs="Arial"/>
                <w:b/>
                <w:bCs/>
                <w:color w:val="000000"/>
                <w:sz w:val="18"/>
                <w:szCs w:val="18"/>
              </w:rPr>
              <w:t> </w:t>
            </w:r>
          </w:p>
        </w:tc>
        <w:tc>
          <w:tcPr>
            <w:tcW w:w="1170" w:type="dxa"/>
            <w:tcBorders>
              <w:top w:val="single" w:color="auto" w:sz="12" w:space="0"/>
              <w:left w:val="nil"/>
              <w:bottom w:val="nil"/>
              <w:right w:val="nil"/>
            </w:tcBorders>
            <w:shd w:val="clear" w:color="auto" w:fill="auto"/>
            <w:noWrap/>
            <w:vAlign w:val="bottom"/>
            <w:hideMark/>
          </w:tcPr>
          <w:p w:rsidRPr="000106D4" w:rsidR="00287221" w:rsidP="00287084" w:rsidRDefault="00287221" w14:paraId="204F9AB2" w14:textId="77777777">
            <w:pPr>
              <w:rPr>
                <w:rFonts w:ascii="Arial" w:hAnsi="Arial" w:eastAsia="Times New Roman" w:cs="Arial"/>
                <w:b/>
                <w:bCs/>
                <w:color w:val="000000"/>
                <w:sz w:val="18"/>
                <w:szCs w:val="18"/>
              </w:rPr>
            </w:pPr>
            <w:r w:rsidRPr="000106D4">
              <w:rPr>
                <w:rFonts w:ascii="Arial" w:hAnsi="Arial" w:eastAsia="Times New Roman" w:cs="Arial"/>
                <w:b/>
                <w:bCs/>
                <w:color w:val="000000"/>
                <w:sz w:val="18"/>
                <w:szCs w:val="18"/>
              </w:rPr>
              <w:t> </w:t>
            </w:r>
          </w:p>
        </w:tc>
        <w:tc>
          <w:tcPr>
            <w:tcW w:w="4050" w:type="dxa"/>
            <w:gridSpan w:val="3"/>
            <w:tcBorders>
              <w:top w:val="single" w:color="auto" w:sz="12" w:space="0"/>
              <w:left w:val="nil"/>
              <w:bottom w:val="nil"/>
              <w:right w:val="nil"/>
            </w:tcBorders>
            <w:shd w:val="clear" w:color="auto" w:fill="auto"/>
            <w:noWrap/>
            <w:vAlign w:val="bottom"/>
            <w:hideMark/>
          </w:tcPr>
          <w:p w:rsidRPr="000106D4" w:rsidR="00287221" w:rsidP="00287084" w:rsidRDefault="00287221" w14:paraId="28EE55AA" w14:textId="77777777">
            <w:pPr>
              <w:jc w:val="center"/>
              <w:rPr>
                <w:rFonts w:ascii="Arial" w:hAnsi="Arial" w:eastAsia="Times New Roman" w:cs="Arial"/>
                <w:b/>
                <w:bCs/>
                <w:color w:val="000000"/>
                <w:sz w:val="18"/>
                <w:szCs w:val="18"/>
              </w:rPr>
            </w:pPr>
            <w:r>
              <w:rPr>
                <w:rFonts w:ascii="Arial" w:hAnsi="Arial" w:eastAsia="Times New Roman" w:cs="Arial"/>
                <w:b/>
                <w:bCs/>
                <w:color w:val="000000"/>
                <w:sz w:val="18"/>
                <w:szCs w:val="18"/>
              </w:rPr>
              <w:t>Concordance rates</w:t>
            </w:r>
          </w:p>
        </w:tc>
      </w:tr>
      <w:tr w:rsidRPr="000106D4" w:rsidR="00287221" w:rsidTr="00287084" w14:paraId="5EB6C5BE" w14:textId="77777777">
        <w:trPr>
          <w:trHeight w:val="20"/>
        </w:trPr>
        <w:tc>
          <w:tcPr>
            <w:tcW w:w="4140" w:type="dxa"/>
            <w:tcBorders>
              <w:top w:val="nil"/>
              <w:left w:val="nil"/>
              <w:bottom w:val="single" w:color="000000" w:sz="8" w:space="0"/>
              <w:right w:val="nil"/>
            </w:tcBorders>
            <w:shd w:val="clear" w:color="auto" w:fill="auto"/>
            <w:noWrap/>
            <w:vAlign w:val="bottom"/>
            <w:hideMark/>
          </w:tcPr>
          <w:p w:rsidRPr="000106D4" w:rsidR="00287221" w:rsidP="00287084" w:rsidRDefault="00287221" w14:paraId="27611001" w14:textId="77777777">
            <w:pPr>
              <w:rPr>
                <w:rFonts w:ascii="Arial" w:hAnsi="Arial" w:eastAsia="Times New Roman" w:cs="Arial"/>
                <w:b/>
                <w:bCs/>
                <w:color w:val="000000"/>
                <w:sz w:val="18"/>
                <w:szCs w:val="18"/>
              </w:rPr>
            </w:pPr>
            <w:r w:rsidRPr="000106D4">
              <w:rPr>
                <w:rFonts w:ascii="Arial" w:hAnsi="Arial" w:eastAsia="Times New Roman" w:cs="Arial"/>
                <w:b/>
                <w:bCs/>
                <w:color w:val="000000"/>
                <w:sz w:val="18"/>
                <w:szCs w:val="18"/>
              </w:rPr>
              <w:t>Group</w:t>
            </w:r>
          </w:p>
        </w:tc>
        <w:tc>
          <w:tcPr>
            <w:tcW w:w="1170" w:type="dxa"/>
            <w:tcBorders>
              <w:top w:val="nil"/>
              <w:left w:val="nil"/>
              <w:bottom w:val="single" w:color="000000" w:sz="8" w:space="0"/>
              <w:right w:val="nil"/>
            </w:tcBorders>
            <w:shd w:val="clear" w:color="auto" w:fill="auto"/>
            <w:vAlign w:val="bottom"/>
            <w:hideMark/>
          </w:tcPr>
          <w:p w:rsidRPr="000106D4" w:rsidR="00287221" w:rsidP="00287084" w:rsidRDefault="00287221" w14:paraId="51AFAFD5" w14:textId="77777777">
            <w:pPr>
              <w:jc w:val="right"/>
              <w:rPr>
                <w:rFonts w:ascii="Arial" w:hAnsi="Arial" w:eastAsia="Times New Roman" w:cs="Arial"/>
                <w:b/>
                <w:bCs/>
                <w:color w:val="000000"/>
                <w:sz w:val="18"/>
                <w:szCs w:val="18"/>
              </w:rPr>
            </w:pPr>
            <w:r w:rsidRPr="000106D4">
              <w:rPr>
                <w:rFonts w:ascii="Arial" w:hAnsi="Arial" w:eastAsia="Times New Roman" w:cs="Arial"/>
                <w:b/>
                <w:bCs/>
                <w:color w:val="000000"/>
                <w:sz w:val="18"/>
                <w:szCs w:val="18"/>
              </w:rPr>
              <w:t>Number of cases</w:t>
            </w:r>
          </w:p>
        </w:tc>
        <w:tc>
          <w:tcPr>
            <w:tcW w:w="1127" w:type="dxa"/>
            <w:tcBorders>
              <w:top w:val="nil"/>
              <w:left w:val="nil"/>
              <w:bottom w:val="single" w:color="000000" w:sz="8" w:space="0"/>
              <w:right w:val="nil"/>
            </w:tcBorders>
            <w:shd w:val="clear" w:color="auto" w:fill="auto"/>
            <w:vAlign w:val="bottom"/>
            <w:hideMark/>
          </w:tcPr>
          <w:p w:rsidRPr="000106D4" w:rsidR="00287221" w:rsidP="00287084" w:rsidRDefault="00287221" w14:paraId="5BF9646E" w14:textId="77777777">
            <w:pPr>
              <w:jc w:val="right"/>
              <w:rPr>
                <w:rFonts w:ascii="Arial" w:hAnsi="Arial" w:eastAsia="Times New Roman" w:cs="Arial"/>
                <w:b/>
                <w:bCs/>
                <w:color w:val="000000"/>
                <w:sz w:val="18"/>
                <w:szCs w:val="18"/>
              </w:rPr>
            </w:pPr>
            <w:r w:rsidRPr="000106D4">
              <w:rPr>
                <w:rFonts w:ascii="Arial" w:hAnsi="Arial" w:eastAsia="Times New Roman" w:cs="Arial"/>
                <w:b/>
                <w:bCs/>
                <w:color w:val="000000"/>
                <w:sz w:val="18"/>
                <w:szCs w:val="18"/>
              </w:rPr>
              <w:t>Overall</w:t>
            </w:r>
            <w:r>
              <w:rPr>
                <w:rFonts w:ascii="Arial" w:hAnsi="Arial" w:eastAsia="Times New Roman" w:cs="Arial"/>
                <w:b/>
                <w:bCs/>
                <w:color w:val="000000"/>
                <w:sz w:val="18"/>
                <w:szCs w:val="18"/>
                <w:vertAlign w:val="superscript"/>
              </w:rPr>
              <w:t>1</w:t>
            </w:r>
            <w:r w:rsidRPr="000106D4">
              <w:rPr>
                <w:rFonts w:ascii="Arial" w:hAnsi="Arial" w:eastAsia="Times New Roman" w:cs="Arial"/>
                <w:b/>
                <w:bCs/>
                <w:color w:val="000000"/>
                <w:sz w:val="18"/>
                <w:szCs w:val="18"/>
              </w:rPr>
              <w:t xml:space="preserve"> </w:t>
            </w:r>
          </w:p>
        </w:tc>
        <w:tc>
          <w:tcPr>
            <w:tcW w:w="1479" w:type="dxa"/>
            <w:tcBorders>
              <w:top w:val="nil"/>
              <w:left w:val="nil"/>
              <w:bottom w:val="single" w:color="000000" w:sz="8" w:space="0"/>
              <w:right w:val="nil"/>
            </w:tcBorders>
            <w:shd w:val="clear" w:color="auto" w:fill="auto"/>
            <w:vAlign w:val="bottom"/>
            <w:hideMark/>
          </w:tcPr>
          <w:p w:rsidRPr="000106D4" w:rsidR="00287221" w:rsidP="00287084" w:rsidRDefault="00287221" w14:paraId="098EB8F0" w14:textId="77777777">
            <w:pPr>
              <w:jc w:val="right"/>
              <w:rPr>
                <w:rFonts w:ascii="Arial" w:hAnsi="Arial" w:eastAsia="Times New Roman" w:cs="Arial"/>
                <w:b/>
                <w:bCs/>
                <w:color w:val="000000"/>
                <w:sz w:val="18"/>
                <w:szCs w:val="18"/>
              </w:rPr>
            </w:pPr>
            <w:r w:rsidRPr="000106D4">
              <w:rPr>
                <w:rFonts w:ascii="Arial" w:hAnsi="Arial" w:eastAsia="Times New Roman" w:cs="Arial"/>
                <w:b/>
                <w:bCs/>
                <w:color w:val="000000"/>
                <w:sz w:val="18"/>
                <w:szCs w:val="18"/>
              </w:rPr>
              <w:t xml:space="preserve">Full-time </w:t>
            </w:r>
          </w:p>
        </w:tc>
        <w:tc>
          <w:tcPr>
            <w:tcW w:w="1444" w:type="dxa"/>
            <w:tcBorders>
              <w:top w:val="nil"/>
              <w:left w:val="nil"/>
              <w:bottom w:val="single" w:color="000000" w:sz="8" w:space="0"/>
              <w:right w:val="nil"/>
            </w:tcBorders>
            <w:shd w:val="clear" w:color="auto" w:fill="auto"/>
            <w:vAlign w:val="bottom"/>
            <w:hideMark/>
          </w:tcPr>
          <w:p w:rsidRPr="000106D4" w:rsidR="00287221" w:rsidP="00287084" w:rsidRDefault="00287221" w14:paraId="43599505" w14:textId="77777777">
            <w:pPr>
              <w:jc w:val="right"/>
              <w:rPr>
                <w:rFonts w:ascii="Arial" w:hAnsi="Arial" w:eastAsia="Times New Roman" w:cs="Arial"/>
                <w:b/>
                <w:bCs/>
                <w:color w:val="000000"/>
                <w:sz w:val="18"/>
                <w:szCs w:val="18"/>
              </w:rPr>
            </w:pPr>
            <w:r w:rsidRPr="000106D4">
              <w:rPr>
                <w:rFonts w:ascii="Arial" w:hAnsi="Arial" w:eastAsia="Times New Roman" w:cs="Arial"/>
                <w:b/>
                <w:bCs/>
                <w:color w:val="000000"/>
                <w:sz w:val="18"/>
                <w:szCs w:val="18"/>
              </w:rPr>
              <w:t xml:space="preserve">Part-time </w:t>
            </w:r>
          </w:p>
        </w:tc>
      </w:tr>
      <w:tr w:rsidRPr="000106D4" w:rsidR="00287221" w:rsidTr="00287084" w14:paraId="649AD982" w14:textId="77777777">
        <w:trPr>
          <w:trHeight w:val="20"/>
        </w:trPr>
        <w:tc>
          <w:tcPr>
            <w:tcW w:w="4140" w:type="dxa"/>
            <w:tcBorders>
              <w:top w:val="nil"/>
              <w:left w:val="nil"/>
              <w:bottom w:val="nil"/>
              <w:right w:val="nil"/>
            </w:tcBorders>
            <w:shd w:val="clear" w:color="auto" w:fill="auto"/>
            <w:noWrap/>
            <w:vAlign w:val="center"/>
            <w:hideMark/>
          </w:tcPr>
          <w:p w:rsidRPr="000106D4" w:rsidR="00287221" w:rsidP="00287084" w:rsidRDefault="00287221" w14:paraId="24CCFD91" w14:textId="77777777">
            <w:pPr>
              <w:ind w:left="165" w:hanging="195"/>
              <w:rPr>
                <w:rFonts w:ascii="Arial" w:hAnsi="Arial" w:eastAsia="Times New Roman" w:cs="Arial"/>
                <w:b/>
                <w:bCs/>
                <w:color w:val="000000"/>
                <w:sz w:val="18"/>
                <w:szCs w:val="18"/>
              </w:rPr>
            </w:pPr>
            <w:r w:rsidRPr="000106D4">
              <w:rPr>
                <w:rFonts w:ascii="Arial" w:hAnsi="Arial" w:eastAsia="Times New Roman" w:cs="Arial"/>
                <w:b/>
                <w:bCs/>
                <w:color w:val="000000"/>
                <w:sz w:val="18"/>
                <w:szCs w:val="18"/>
              </w:rPr>
              <w:t>Overall agreement</w:t>
            </w:r>
          </w:p>
        </w:tc>
        <w:tc>
          <w:tcPr>
            <w:tcW w:w="1170" w:type="dxa"/>
            <w:tcBorders>
              <w:top w:val="nil"/>
              <w:left w:val="nil"/>
              <w:bottom w:val="nil"/>
              <w:right w:val="nil"/>
            </w:tcBorders>
            <w:shd w:val="clear" w:color="auto" w:fill="auto"/>
            <w:noWrap/>
            <w:vAlign w:val="center"/>
            <w:hideMark/>
          </w:tcPr>
          <w:p w:rsidRPr="000106D4" w:rsidR="00287221" w:rsidP="00287084" w:rsidRDefault="00287221" w14:paraId="67285A99" w14:textId="77777777">
            <w:pPr>
              <w:jc w:val="right"/>
              <w:rPr>
                <w:rFonts w:ascii="Arial" w:hAnsi="Arial" w:eastAsia="Times New Roman" w:cs="Arial"/>
                <w:b/>
                <w:bCs/>
                <w:color w:val="000000"/>
                <w:sz w:val="18"/>
                <w:szCs w:val="18"/>
              </w:rPr>
            </w:pPr>
            <w:r w:rsidRPr="000106D4">
              <w:rPr>
                <w:rFonts w:ascii="Arial" w:hAnsi="Arial" w:eastAsia="Times New Roman" w:cs="Arial"/>
                <w:b/>
                <w:bCs/>
                <w:color w:val="000000"/>
                <w:sz w:val="18"/>
                <w:szCs w:val="18"/>
              </w:rPr>
              <w:t>1320</w:t>
            </w:r>
          </w:p>
        </w:tc>
        <w:tc>
          <w:tcPr>
            <w:tcW w:w="1127" w:type="dxa"/>
            <w:tcBorders>
              <w:top w:val="nil"/>
              <w:left w:val="nil"/>
              <w:bottom w:val="nil"/>
              <w:right w:val="nil"/>
            </w:tcBorders>
            <w:shd w:val="clear" w:color="auto" w:fill="auto"/>
            <w:noWrap/>
            <w:vAlign w:val="center"/>
            <w:hideMark/>
          </w:tcPr>
          <w:p w:rsidRPr="000106D4" w:rsidR="00287221" w:rsidP="00287084" w:rsidRDefault="00287221" w14:paraId="12287EE5" w14:textId="7C389A84">
            <w:pPr>
              <w:jc w:val="right"/>
              <w:rPr>
                <w:rFonts w:ascii="Arial" w:hAnsi="Arial" w:eastAsia="Times New Roman" w:cs="Arial"/>
                <w:b/>
                <w:bCs/>
                <w:color w:val="000000"/>
                <w:sz w:val="18"/>
                <w:szCs w:val="18"/>
              </w:rPr>
            </w:pPr>
            <w:r w:rsidRPr="000106D4">
              <w:rPr>
                <w:rFonts w:ascii="Arial" w:hAnsi="Arial" w:eastAsia="Times New Roman" w:cs="Arial"/>
                <w:b/>
                <w:bCs/>
                <w:color w:val="000000"/>
                <w:sz w:val="18"/>
                <w:szCs w:val="18"/>
              </w:rPr>
              <w:t>70.</w:t>
            </w:r>
            <w:r w:rsidR="002D36E5">
              <w:rPr>
                <w:rFonts w:ascii="Arial" w:hAnsi="Arial" w:eastAsia="Times New Roman" w:cs="Arial"/>
                <w:b/>
                <w:bCs/>
                <w:color w:val="000000"/>
                <w:sz w:val="18"/>
                <w:szCs w:val="18"/>
              </w:rPr>
              <w:t>0</w:t>
            </w:r>
          </w:p>
        </w:tc>
        <w:tc>
          <w:tcPr>
            <w:tcW w:w="1479" w:type="dxa"/>
            <w:tcBorders>
              <w:top w:val="nil"/>
              <w:left w:val="nil"/>
              <w:bottom w:val="nil"/>
              <w:right w:val="nil"/>
            </w:tcBorders>
            <w:shd w:val="clear" w:color="auto" w:fill="auto"/>
            <w:noWrap/>
            <w:vAlign w:val="center"/>
            <w:hideMark/>
          </w:tcPr>
          <w:p w:rsidRPr="000106D4" w:rsidR="00287221" w:rsidP="00287084" w:rsidRDefault="00287221" w14:paraId="3698CC77" w14:textId="77777777">
            <w:pPr>
              <w:jc w:val="right"/>
              <w:rPr>
                <w:rFonts w:ascii="Arial" w:hAnsi="Arial" w:eastAsia="Times New Roman" w:cs="Arial"/>
                <w:b/>
                <w:bCs/>
                <w:color w:val="000000"/>
                <w:sz w:val="18"/>
                <w:szCs w:val="18"/>
              </w:rPr>
            </w:pPr>
            <w:r w:rsidRPr="000106D4">
              <w:rPr>
                <w:rFonts w:ascii="Arial" w:hAnsi="Arial" w:eastAsia="Times New Roman" w:cs="Arial"/>
                <w:b/>
                <w:bCs/>
                <w:color w:val="000000"/>
                <w:sz w:val="18"/>
                <w:szCs w:val="18"/>
              </w:rPr>
              <w:t>88.1</w:t>
            </w:r>
          </w:p>
        </w:tc>
        <w:tc>
          <w:tcPr>
            <w:tcW w:w="1444" w:type="dxa"/>
            <w:tcBorders>
              <w:top w:val="nil"/>
              <w:left w:val="nil"/>
              <w:bottom w:val="nil"/>
              <w:right w:val="nil"/>
            </w:tcBorders>
            <w:shd w:val="clear" w:color="auto" w:fill="auto"/>
            <w:noWrap/>
            <w:vAlign w:val="center"/>
            <w:hideMark/>
          </w:tcPr>
          <w:p w:rsidRPr="000106D4" w:rsidR="00287221" w:rsidP="00287084" w:rsidRDefault="00287221" w14:paraId="1EE8D0B1" w14:textId="77777777">
            <w:pPr>
              <w:jc w:val="right"/>
              <w:rPr>
                <w:rFonts w:ascii="Arial" w:hAnsi="Arial" w:eastAsia="Times New Roman" w:cs="Arial"/>
                <w:b/>
                <w:bCs/>
                <w:color w:val="000000"/>
                <w:sz w:val="18"/>
                <w:szCs w:val="18"/>
              </w:rPr>
            </w:pPr>
            <w:r w:rsidRPr="000106D4">
              <w:rPr>
                <w:rFonts w:ascii="Arial" w:hAnsi="Arial" w:eastAsia="Times New Roman" w:cs="Arial"/>
                <w:b/>
                <w:bCs/>
                <w:color w:val="000000"/>
                <w:sz w:val="18"/>
                <w:szCs w:val="18"/>
              </w:rPr>
              <w:t>77.9</w:t>
            </w:r>
          </w:p>
        </w:tc>
      </w:tr>
      <w:tr w:rsidRPr="000106D4" w:rsidR="00287221" w:rsidTr="00287084" w14:paraId="7ED7E0E5" w14:textId="77777777">
        <w:trPr>
          <w:trHeight w:val="20"/>
        </w:trPr>
        <w:tc>
          <w:tcPr>
            <w:tcW w:w="4140" w:type="dxa"/>
            <w:tcBorders>
              <w:top w:val="nil"/>
              <w:left w:val="nil"/>
              <w:bottom w:val="nil"/>
              <w:right w:val="nil"/>
            </w:tcBorders>
            <w:shd w:val="clear" w:color="auto" w:fill="auto"/>
            <w:noWrap/>
            <w:vAlign w:val="center"/>
            <w:hideMark/>
          </w:tcPr>
          <w:p w:rsidRPr="000106D4" w:rsidR="00287221" w:rsidP="00287084" w:rsidRDefault="00287221" w14:paraId="23974DCF" w14:textId="77777777">
            <w:pPr>
              <w:ind w:left="165" w:hanging="195"/>
              <w:rPr>
                <w:rFonts w:ascii="Arial" w:hAnsi="Arial" w:eastAsia="Times New Roman" w:cs="Arial"/>
                <w:color w:val="000000"/>
                <w:sz w:val="18"/>
                <w:szCs w:val="18"/>
              </w:rPr>
            </w:pPr>
            <w:r w:rsidRPr="000106D4">
              <w:rPr>
                <w:rFonts w:ascii="Arial" w:hAnsi="Arial" w:eastAsia="Times New Roman" w:cs="Arial"/>
                <w:color w:val="000000"/>
                <w:sz w:val="18"/>
                <w:szCs w:val="18"/>
              </w:rPr>
              <w:t>Control: single forced-choice grid</w:t>
            </w:r>
          </w:p>
        </w:tc>
        <w:tc>
          <w:tcPr>
            <w:tcW w:w="1170" w:type="dxa"/>
            <w:tcBorders>
              <w:top w:val="nil"/>
              <w:left w:val="nil"/>
              <w:bottom w:val="nil"/>
              <w:right w:val="nil"/>
            </w:tcBorders>
            <w:shd w:val="clear" w:color="auto" w:fill="auto"/>
            <w:noWrap/>
            <w:vAlign w:val="center"/>
            <w:hideMark/>
          </w:tcPr>
          <w:p w:rsidRPr="000106D4" w:rsidR="00287221" w:rsidP="00287084" w:rsidRDefault="00287221" w14:paraId="7E90C228" w14:textId="77777777">
            <w:pPr>
              <w:jc w:val="right"/>
              <w:rPr>
                <w:rFonts w:ascii="Arial" w:hAnsi="Arial" w:eastAsia="Times New Roman" w:cs="Arial"/>
                <w:color w:val="000000"/>
                <w:sz w:val="18"/>
                <w:szCs w:val="18"/>
              </w:rPr>
            </w:pPr>
            <w:r w:rsidRPr="000106D4">
              <w:rPr>
                <w:rFonts w:ascii="Arial" w:hAnsi="Arial" w:eastAsia="Times New Roman" w:cs="Arial"/>
                <w:color w:val="000000"/>
                <w:sz w:val="18"/>
                <w:szCs w:val="18"/>
              </w:rPr>
              <w:t>680</w:t>
            </w:r>
          </w:p>
        </w:tc>
        <w:tc>
          <w:tcPr>
            <w:tcW w:w="1127" w:type="dxa"/>
            <w:tcBorders>
              <w:top w:val="nil"/>
              <w:left w:val="nil"/>
              <w:bottom w:val="nil"/>
              <w:right w:val="nil"/>
            </w:tcBorders>
            <w:shd w:val="clear" w:color="auto" w:fill="auto"/>
            <w:noWrap/>
            <w:vAlign w:val="center"/>
            <w:hideMark/>
          </w:tcPr>
          <w:p w:rsidRPr="000106D4" w:rsidR="00287221" w:rsidP="00287084" w:rsidRDefault="00287221" w14:paraId="12756F12" w14:textId="75A7D37E">
            <w:pPr>
              <w:jc w:val="right"/>
              <w:rPr>
                <w:rFonts w:ascii="Arial" w:hAnsi="Arial" w:eastAsia="Times New Roman" w:cs="Arial"/>
                <w:color w:val="000000"/>
                <w:sz w:val="18"/>
                <w:szCs w:val="18"/>
              </w:rPr>
            </w:pPr>
            <w:r w:rsidRPr="000106D4">
              <w:rPr>
                <w:rFonts w:ascii="Arial" w:hAnsi="Arial" w:eastAsia="Times New Roman" w:cs="Arial"/>
                <w:color w:val="000000"/>
                <w:sz w:val="18"/>
                <w:szCs w:val="18"/>
              </w:rPr>
              <w:t>70.</w:t>
            </w:r>
            <w:r w:rsidR="0021411C">
              <w:rPr>
                <w:rFonts w:ascii="Arial" w:hAnsi="Arial" w:eastAsia="Times New Roman" w:cs="Arial"/>
                <w:color w:val="000000"/>
                <w:sz w:val="18"/>
                <w:szCs w:val="18"/>
              </w:rPr>
              <w:t>0</w:t>
            </w:r>
          </w:p>
        </w:tc>
        <w:tc>
          <w:tcPr>
            <w:tcW w:w="1479" w:type="dxa"/>
            <w:tcBorders>
              <w:top w:val="nil"/>
              <w:left w:val="nil"/>
              <w:bottom w:val="nil"/>
              <w:right w:val="nil"/>
            </w:tcBorders>
            <w:shd w:val="clear" w:color="auto" w:fill="auto"/>
            <w:noWrap/>
            <w:vAlign w:val="center"/>
            <w:hideMark/>
          </w:tcPr>
          <w:p w:rsidRPr="000106D4" w:rsidR="00287221" w:rsidP="00287084" w:rsidRDefault="00287221" w14:paraId="3E32C6CD" w14:textId="77777777">
            <w:pPr>
              <w:jc w:val="right"/>
              <w:rPr>
                <w:rFonts w:ascii="Arial" w:hAnsi="Arial" w:eastAsia="Times New Roman" w:cs="Arial"/>
                <w:color w:val="000000"/>
                <w:sz w:val="18"/>
                <w:szCs w:val="18"/>
              </w:rPr>
            </w:pPr>
            <w:r w:rsidRPr="000106D4">
              <w:rPr>
                <w:rFonts w:ascii="Arial" w:hAnsi="Arial" w:eastAsia="Times New Roman" w:cs="Arial"/>
                <w:color w:val="000000"/>
                <w:sz w:val="18"/>
                <w:szCs w:val="18"/>
              </w:rPr>
              <w:t>89.0</w:t>
            </w:r>
          </w:p>
        </w:tc>
        <w:tc>
          <w:tcPr>
            <w:tcW w:w="1444" w:type="dxa"/>
            <w:tcBorders>
              <w:top w:val="nil"/>
              <w:left w:val="nil"/>
              <w:bottom w:val="nil"/>
              <w:right w:val="nil"/>
            </w:tcBorders>
            <w:shd w:val="clear" w:color="auto" w:fill="auto"/>
            <w:noWrap/>
            <w:vAlign w:val="center"/>
            <w:hideMark/>
          </w:tcPr>
          <w:p w:rsidRPr="000106D4" w:rsidR="00287221" w:rsidP="00287084" w:rsidRDefault="00287221" w14:paraId="3D018854" w14:textId="77777777">
            <w:pPr>
              <w:jc w:val="right"/>
              <w:rPr>
                <w:rFonts w:ascii="Arial" w:hAnsi="Arial" w:eastAsia="Times New Roman" w:cs="Arial"/>
                <w:color w:val="000000"/>
                <w:sz w:val="18"/>
                <w:szCs w:val="18"/>
              </w:rPr>
            </w:pPr>
            <w:r w:rsidRPr="000106D4">
              <w:rPr>
                <w:rFonts w:ascii="Arial" w:hAnsi="Arial" w:eastAsia="Times New Roman" w:cs="Arial"/>
                <w:color w:val="000000"/>
                <w:sz w:val="18"/>
                <w:szCs w:val="18"/>
              </w:rPr>
              <w:t>77.6</w:t>
            </w:r>
          </w:p>
        </w:tc>
      </w:tr>
      <w:tr w:rsidRPr="000106D4" w:rsidR="00287221" w:rsidTr="00287084" w14:paraId="2935B921" w14:textId="77777777">
        <w:trPr>
          <w:trHeight w:val="20"/>
        </w:trPr>
        <w:tc>
          <w:tcPr>
            <w:tcW w:w="4140" w:type="dxa"/>
            <w:tcBorders>
              <w:top w:val="nil"/>
              <w:left w:val="nil"/>
              <w:bottom w:val="nil"/>
              <w:right w:val="nil"/>
            </w:tcBorders>
            <w:shd w:val="clear" w:color="auto" w:fill="auto"/>
            <w:noWrap/>
            <w:vAlign w:val="center"/>
            <w:hideMark/>
          </w:tcPr>
          <w:p w:rsidRPr="000106D4" w:rsidR="00287221" w:rsidP="00287084" w:rsidRDefault="00287221" w14:paraId="3ADB9DFD" w14:textId="77777777">
            <w:pPr>
              <w:ind w:left="165" w:hanging="195"/>
              <w:rPr>
                <w:rFonts w:ascii="Arial" w:hAnsi="Arial" w:eastAsia="Times New Roman" w:cs="Arial"/>
                <w:color w:val="000000"/>
                <w:sz w:val="18"/>
                <w:szCs w:val="18"/>
              </w:rPr>
            </w:pPr>
            <w:r w:rsidRPr="000106D4">
              <w:rPr>
                <w:rFonts w:ascii="Arial" w:hAnsi="Arial" w:eastAsia="Times New Roman" w:cs="Arial"/>
                <w:color w:val="000000"/>
                <w:sz w:val="18"/>
                <w:szCs w:val="18"/>
              </w:rPr>
              <w:t>Treatment: yes/no radio gates by intensity</w:t>
            </w:r>
          </w:p>
        </w:tc>
        <w:tc>
          <w:tcPr>
            <w:tcW w:w="1170" w:type="dxa"/>
            <w:tcBorders>
              <w:top w:val="nil"/>
              <w:left w:val="nil"/>
              <w:bottom w:val="nil"/>
              <w:right w:val="nil"/>
            </w:tcBorders>
            <w:shd w:val="clear" w:color="auto" w:fill="auto"/>
            <w:noWrap/>
            <w:vAlign w:val="center"/>
            <w:hideMark/>
          </w:tcPr>
          <w:p w:rsidRPr="000106D4" w:rsidR="00287221" w:rsidP="00287084" w:rsidRDefault="00287221" w14:paraId="1648C2DD" w14:textId="77777777">
            <w:pPr>
              <w:jc w:val="right"/>
              <w:rPr>
                <w:rFonts w:ascii="Arial" w:hAnsi="Arial" w:eastAsia="Times New Roman" w:cs="Arial"/>
                <w:color w:val="000000"/>
                <w:sz w:val="18"/>
                <w:szCs w:val="18"/>
              </w:rPr>
            </w:pPr>
            <w:r w:rsidRPr="000106D4">
              <w:rPr>
                <w:rFonts w:ascii="Arial" w:hAnsi="Arial" w:eastAsia="Times New Roman" w:cs="Arial"/>
                <w:color w:val="000000"/>
                <w:sz w:val="18"/>
                <w:szCs w:val="18"/>
              </w:rPr>
              <w:t>640</w:t>
            </w:r>
          </w:p>
        </w:tc>
        <w:tc>
          <w:tcPr>
            <w:tcW w:w="1127" w:type="dxa"/>
            <w:tcBorders>
              <w:top w:val="nil"/>
              <w:left w:val="nil"/>
              <w:bottom w:val="nil"/>
              <w:right w:val="nil"/>
            </w:tcBorders>
            <w:shd w:val="clear" w:color="auto" w:fill="auto"/>
            <w:noWrap/>
            <w:vAlign w:val="center"/>
            <w:hideMark/>
          </w:tcPr>
          <w:p w:rsidRPr="000106D4" w:rsidR="00287221" w:rsidP="00287084" w:rsidRDefault="00287221" w14:paraId="0068447F" w14:textId="66CB9719">
            <w:pPr>
              <w:jc w:val="right"/>
              <w:rPr>
                <w:rFonts w:ascii="Arial" w:hAnsi="Arial" w:eastAsia="Times New Roman" w:cs="Arial"/>
                <w:color w:val="000000"/>
                <w:sz w:val="18"/>
                <w:szCs w:val="18"/>
              </w:rPr>
            </w:pPr>
            <w:r w:rsidRPr="000106D4">
              <w:rPr>
                <w:rFonts w:ascii="Arial" w:hAnsi="Arial" w:eastAsia="Times New Roman" w:cs="Arial"/>
                <w:color w:val="000000"/>
                <w:sz w:val="18"/>
                <w:szCs w:val="18"/>
              </w:rPr>
              <w:t>70.</w:t>
            </w:r>
            <w:r w:rsidR="0021411C">
              <w:rPr>
                <w:rFonts w:ascii="Arial" w:hAnsi="Arial" w:eastAsia="Times New Roman" w:cs="Arial"/>
                <w:color w:val="000000"/>
                <w:sz w:val="18"/>
                <w:szCs w:val="18"/>
              </w:rPr>
              <w:t>6</w:t>
            </w:r>
          </w:p>
        </w:tc>
        <w:tc>
          <w:tcPr>
            <w:tcW w:w="1479" w:type="dxa"/>
            <w:tcBorders>
              <w:top w:val="nil"/>
              <w:left w:val="nil"/>
              <w:bottom w:val="nil"/>
              <w:right w:val="nil"/>
            </w:tcBorders>
            <w:shd w:val="clear" w:color="auto" w:fill="auto"/>
            <w:noWrap/>
            <w:vAlign w:val="center"/>
            <w:hideMark/>
          </w:tcPr>
          <w:p w:rsidRPr="000106D4" w:rsidR="00287221" w:rsidP="00287084" w:rsidRDefault="00287221" w14:paraId="3B18760F" w14:textId="77777777">
            <w:pPr>
              <w:jc w:val="right"/>
              <w:rPr>
                <w:rFonts w:ascii="Arial" w:hAnsi="Arial" w:eastAsia="Times New Roman" w:cs="Arial"/>
                <w:color w:val="000000"/>
                <w:sz w:val="18"/>
                <w:szCs w:val="18"/>
              </w:rPr>
            </w:pPr>
            <w:r w:rsidRPr="000106D4">
              <w:rPr>
                <w:rFonts w:ascii="Arial" w:hAnsi="Arial" w:eastAsia="Times New Roman" w:cs="Arial"/>
                <w:color w:val="000000"/>
                <w:sz w:val="18"/>
                <w:szCs w:val="18"/>
              </w:rPr>
              <w:t>87.1</w:t>
            </w:r>
          </w:p>
        </w:tc>
        <w:tc>
          <w:tcPr>
            <w:tcW w:w="1444" w:type="dxa"/>
            <w:tcBorders>
              <w:top w:val="nil"/>
              <w:left w:val="nil"/>
              <w:bottom w:val="nil"/>
              <w:right w:val="nil"/>
            </w:tcBorders>
            <w:shd w:val="clear" w:color="auto" w:fill="auto"/>
            <w:noWrap/>
            <w:vAlign w:val="center"/>
            <w:hideMark/>
          </w:tcPr>
          <w:p w:rsidRPr="000106D4" w:rsidR="00287221" w:rsidP="00287084" w:rsidRDefault="00287221" w14:paraId="3475E096" w14:textId="77777777">
            <w:pPr>
              <w:jc w:val="right"/>
              <w:rPr>
                <w:rFonts w:ascii="Arial" w:hAnsi="Arial" w:eastAsia="Times New Roman" w:cs="Arial"/>
                <w:color w:val="000000"/>
                <w:sz w:val="18"/>
                <w:szCs w:val="18"/>
              </w:rPr>
            </w:pPr>
            <w:r w:rsidRPr="000106D4">
              <w:rPr>
                <w:rFonts w:ascii="Arial" w:hAnsi="Arial" w:eastAsia="Times New Roman" w:cs="Arial"/>
                <w:color w:val="000000"/>
                <w:sz w:val="18"/>
                <w:szCs w:val="18"/>
              </w:rPr>
              <w:t>78.4</w:t>
            </w:r>
          </w:p>
        </w:tc>
      </w:tr>
      <w:tr w:rsidRPr="000106D4" w:rsidR="00287221" w:rsidTr="00287084" w14:paraId="1D275D9E" w14:textId="77777777">
        <w:trPr>
          <w:trHeight w:val="315"/>
        </w:trPr>
        <w:tc>
          <w:tcPr>
            <w:tcW w:w="9360" w:type="dxa"/>
            <w:gridSpan w:val="5"/>
            <w:tcBorders>
              <w:top w:val="single" w:color="auto" w:sz="12" w:space="0"/>
              <w:left w:val="nil"/>
              <w:bottom w:val="nil"/>
              <w:right w:val="nil"/>
            </w:tcBorders>
            <w:shd w:val="clear" w:color="auto" w:fill="auto"/>
            <w:noWrap/>
            <w:vAlign w:val="center"/>
            <w:hideMark/>
          </w:tcPr>
          <w:p w:rsidRPr="000106D4" w:rsidR="00287221" w:rsidP="00287084" w:rsidRDefault="00287221" w14:paraId="0D0BEA47" w14:textId="77777777">
            <w:pPr>
              <w:rPr>
                <w:rFonts w:ascii="Arial" w:hAnsi="Arial" w:eastAsia="Times New Roman" w:cs="Arial"/>
                <w:color w:val="000000"/>
                <w:sz w:val="16"/>
                <w:szCs w:val="16"/>
              </w:rPr>
            </w:pPr>
            <w:r>
              <w:rPr>
                <w:rFonts w:ascii="Arial" w:hAnsi="Arial" w:eastAsia="Times New Roman" w:cs="Arial"/>
                <w:color w:val="000000"/>
                <w:sz w:val="16"/>
                <w:szCs w:val="16"/>
              </w:rPr>
              <w:t xml:space="preserve">1 Overall concordance between field test response and NSC administrative records was calculated irrespective of enrollment intensity (e.g., if NSC records indicated full-time enrollment between the same months, and respondent indicated part-time enrollment between the same months, it would be considered an agreement between the sources). Therefore, totaling full-time and part-time agreement rates will not sum to total of overall agreement rate. </w:t>
            </w:r>
            <w:r>
              <w:rPr>
                <w:rFonts w:ascii="Arial" w:hAnsi="Arial" w:eastAsia="Times New Roman" w:cs="Arial"/>
                <w:color w:val="000000"/>
                <w:sz w:val="16"/>
                <w:szCs w:val="16"/>
              </w:rPr>
              <w:br/>
            </w:r>
            <w:r w:rsidRPr="000106D4">
              <w:rPr>
                <w:rFonts w:ascii="Arial" w:hAnsi="Arial" w:eastAsia="Times New Roman" w:cs="Arial"/>
                <w:color w:val="000000"/>
                <w:sz w:val="16"/>
                <w:szCs w:val="16"/>
              </w:rPr>
              <w:t xml:space="preserve">NOTE: </w:t>
            </w:r>
            <w:r>
              <w:rPr>
                <w:rFonts w:ascii="Arial" w:hAnsi="Arial" w:eastAsia="Times New Roman" w:cs="Arial"/>
                <w:color w:val="000000"/>
                <w:sz w:val="16"/>
                <w:szCs w:val="16"/>
              </w:rPr>
              <w:t xml:space="preserve">Concordance rates were determined by comparing the same six-month timeframe between field test response and NSC enrollment records, for which enrollment could be determined (e.g., enrollment that had occurred prior to the field test survey data collection period), from July 2020 to December 2020. </w:t>
            </w:r>
            <w:r w:rsidRPr="000106D4">
              <w:rPr>
                <w:rFonts w:ascii="Arial" w:hAnsi="Arial" w:eastAsia="Times New Roman" w:cs="Arial"/>
                <w:color w:val="000000"/>
                <w:sz w:val="16"/>
                <w:szCs w:val="16"/>
              </w:rPr>
              <w:t>Detail may not sum to totals because of rounding.</w:t>
            </w:r>
            <w:r>
              <w:rPr>
                <w:rFonts w:ascii="Arial" w:hAnsi="Arial" w:eastAsia="Times New Roman" w:cs="Arial"/>
                <w:color w:val="000000"/>
                <w:sz w:val="16"/>
                <w:szCs w:val="16"/>
              </w:rPr>
              <w:t xml:space="preserve"> </w:t>
            </w:r>
            <w:r>
              <w:rPr>
                <w:rFonts w:ascii="Arial" w:hAnsi="Arial" w:eastAsia="Times New Roman" w:cs="Arial"/>
                <w:color w:val="000000"/>
                <w:sz w:val="16"/>
                <w:szCs w:val="16"/>
              </w:rPr>
              <w:br/>
            </w:r>
            <w:r w:rsidRPr="000106D4">
              <w:rPr>
                <w:rFonts w:ascii="Arial" w:hAnsi="Arial" w:eastAsia="Times New Roman" w:cs="Arial"/>
                <w:color w:val="000000"/>
                <w:sz w:val="16"/>
                <w:szCs w:val="16"/>
              </w:rPr>
              <w:t>SOURCE: U.S. Department of Education, National Center for Education Statistics, 2020/22 Beginning Postsecondary Students (BPS:20/22) Field Test.</w:t>
            </w:r>
          </w:p>
        </w:tc>
      </w:tr>
    </w:tbl>
    <w:p w:rsidR="00287221" w:rsidP="00287221" w:rsidRDefault="00287221" w14:paraId="0A3F363E" w14:textId="77777777">
      <w:pPr>
        <w:rPr>
          <w:rFonts w:ascii="Calibri" w:hAnsi="Calibri" w:cs="Calibri"/>
          <w:color w:val="000000"/>
        </w:rPr>
      </w:pPr>
    </w:p>
    <w:p w:rsidRPr="00C555EA" w:rsidR="00254209" w:rsidP="00254209" w:rsidRDefault="00287221" w14:paraId="4CC5F1B6" w14:textId="2D2721CA">
      <w:pPr>
        <w:spacing w:after="120" w:line="276" w:lineRule="auto"/>
        <w:rPr>
          <w:rFonts w:cstheme="minorHAnsi"/>
          <w:i/>
          <w:iCs/>
          <w:szCs w:val="24"/>
        </w:rPr>
      </w:pPr>
      <w:r w:rsidRPr="006F20DE">
        <w:rPr>
          <w:rFonts w:cstheme="minorHAnsi"/>
          <w:i/>
          <w:iCs/>
          <w:szCs w:val="24"/>
        </w:rPr>
        <w:t>Timing burden.</w:t>
      </w:r>
      <w:r w:rsidRPr="00C555EA">
        <w:rPr>
          <w:rFonts w:cstheme="minorHAnsi"/>
          <w:i/>
          <w:iCs/>
          <w:szCs w:val="24"/>
        </w:rPr>
        <w:t xml:space="preserve"> </w:t>
      </w:r>
      <w:r w:rsidRPr="00C555EA">
        <w:rPr>
          <w:rFonts w:cs="Calibri"/>
          <w:color w:val="000000"/>
          <w:szCs w:val="24"/>
        </w:rPr>
        <w:t xml:space="preserve">Across both treatment and control groups, answering the enrollment intensity gate(s) took 13.7 seconds, on average (see </w:t>
      </w:r>
      <w:r w:rsidRPr="00C555EA">
        <w:rPr>
          <w:rFonts w:cs="Calibri"/>
          <w:color w:val="000000"/>
          <w:szCs w:val="24"/>
          <w:highlight w:val="yellow"/>
        </w:rPr>
        <w:fldChar w:fldCharType="begin"/>
      </w:r>
      <w:r w:rsidRPr="00C555EA">
        <w:rPr>
          <w:rFonts w:cs="Calibri"/>
          <w:color w:val="000000"/>
          <w:szCs w:val="24"/>
        </w:rPr>
        <w:instrText xml:space="preserve"> REF _Ref79566137 \h </w:instrText>
      </w:r>
      <w:r w:rsidRPr="00C555EA">
        <w:rPr>
          <w:rFonts w:cs="Calibri"/>
          <w:color w:val="000000"/>
          <w:szCs w:val="24"/>
          <w:highlight w:val="yellow"/>
        </w:rPr>
        <w:instrText xml:space="preserve"> \* MERGEFORMAT </w:instrText>
      </w:r>
      <w:r w:rsidRPr="00C555EA">
        <w:rPr>
          <w:rFonts w:cs="Calibri"/>
          <w:color w:val="000000"/>
          <w:szCs w:val="24"/>
          <w:highlight w:val="yellow"/>
        </w:rPr>
      </w:r>
      <w:r w:rsidRPr="00C555EA">
        <w:rPr>
          <w:rFonts w:cs="Calibri"/>
          <w:color w:val="000000"/>
          <w:szCs w:val="24"/>
          <w:highlight w:val="yellow"/>
        </w:rPr>
        <w:fldChar w:fldCharType="separate"/>
      </w:r>
      <w:r w:rsidRPr="00A3046F" w:rsidR="00A3046F">
        <w:rPr>
          <w:szCs w:val="24"/>
        </w:rPr>
        <w:t>Table D.</w:t>
      </w:r>
      <w:r w:rsidRPr="00A3046F" w:rsidR="00A3046F">
        <w:rPr>
          <w:noProof/>
          <w:szCs w:val="24"/>
        </w:rPr>
        <w:t>12</w:t>
      </w:r>
      <w:r w:rsidRPr="00C555EA">
        <w:rPr>
          <w:rFonts w:cs="Calibri"/>
          <w:color w:val="000000"/>
          <w:szCs w:val="24"/>
          <w:highlight w:val="yellow"/>
        </w:rPr>
        <w:fldChar w:fldCharType="end"/>
      </w:r>
      <w:r w:rsidRPr="00C555EA">
        <w:rPr>
          <w:rFonts w:cs="Calibri"/>
          <w:color w:val="000000"/>
          <w:szCs w:val="24"/>
        </w:rPr>
        <w:t xml:space="preserve">). The control group took an average of 10.5 seconds to answer the single force-choice grid question. The treatment group took significantly longer, at an average of 17.2 seconds to answer both of the separate yes/no radio gates by enrollment intensity </w:t>
      </w:r>
      <w:r w:rsidRPr="00C555EA" w:rsidR="002D36E5">
        <w:rPr>
          <w:szCs w:val="24"/>
        </w:rPr>
        <w:t>(</w:t>
      </w:r>
      <w:proofErr w:type="gramStart"/>
      <w:r w:rsidRPr="00C555EA" w:rsidR="002D36E5">
        <w:rPr>
          <w:i/>
          <w:szCs w:val="24"/>
        </w:rPr>
        <w:t>t</w:t>
      </w:r>
      <w:r w:rsidRPr="00C555EA" w:rsidR="002D36E5">
        <w:rPr>
          <w:szCs w:val="24"/>
        </w:rPr>
        <w:t>(</w:t>
      </w:r>
      <w:proofErr w:type="gramEnd"/>
      <w:r w:rsidRPr="00C555EA" w:rsidR="002D36E5">
        <w:rPr>
          <w:szCs w:val="24"/>
        </w:rPr>
        <w:t>131</w:t>
      </w:r>
      <w:r w:rsidR="002D36E5">
        <w:rPr>
          <w:szCs w:val="24"/>
        </w:rPr>
        <w:t>2</w:t>
      </w:r>
      <w:r w:rsidRPr="00C555EA" w:rsidR="002D36E5">
        <w:rPr>
          <w:szCs w:val="24"/>
        </w:rPr>
        <w:t>.</w:t>
      </w:r>
      <w:r w:rsidR="002D36E5">
        <w:rPr>
          <w:szCs w:val="24"/>
        </w:rPr>
        <w:t>8</w:t>
      </w:r>
      <w:r w:rsidRPr="00C555EA" w:rsidR="002D36E5">
        <w:rPr>
          <w:szCs w:val="24"/>
        </w:rPr>
        <w:t>) = 15.</w:t>
      </w:r>
      <w:r w:rsidR="002D36E5">
        <w:rPr>
          <w:szCs w:val="24"/>
        </w:rPr>
        <w:t>47</w:t>
      </w:r>
      <w:r w:rsidRPr="00C555EA" w:rsidR="002D36E5">
        <w:rPr>
          <w:szCs w:val="24"/>
        </w:rPr>
        <w:t xml:space="preserve">, </w:t>
      </w:r>
      <w:r w:rsidRPr="00C555EA" w:rsidR="002D36E5">
        <w:rPr>
          <w:i/>
          <w:szCs w:val="24"/>
        </w:rPr>
        <w:t>p </w:t>
      </w:r>
      <w:r w:rsidRPr="00C555EA" w:rsidR="002D36E5">
        <w:rPr>
          <w:szCs w:val="24"/>
        </w:rPr>
        <w:t>&lt; .0001</w:t>
      </w:r>
      <w:r w:rsidRPr="00C555EA">
        <w:rPr>
          <w:szCs w:val="24"/>
        </w:rPr>
        <w:t>). This difference in time is expected given the additional screen respondents must navigate in the treatment group. An important caveat with timing burden is that field test respondents were only asked to report on enrollment for one academic year. For the full-scale survey, respondents will be asked to report their enrollment for two academic years, which will increase the size of the forced-choice grid (e.g., the grid will have two years, instead of just one)</w:t>
      </w:r>
      <w:r w:rsidR="00254209">
        <w:rPr>
          <w:szCs w:val="24"/>
        </w:rPr>
        <w:t>, though the anticipated burden increase of the forced-choice grid is unlikely to exceed that of the separate yes/no radio gates by enrollment intensity</w:t>
      </w:r>
      <w:r w:rsidRPr="00C555EA" w:rsidR="00254209">
        <w:rPr>
          <w:szCs w:val="24"/>
        </w:rPr>
        <w:t>.</w:t>
      </w:r>
    </w:p>
    <w:p w:rsidRPr="00C555EA" w:rsidR="00287221" w:rsidP="00287221" w:rsidRDefault="00287221" w14:paraId="361092B6" w14:textId="56B63BB2">
      <w:pPr>
        <w:spacing w:after="120" w:line="276" w:lineRule="auto"/>
        <w:rPr>
          <w:rFonts w:cstheme="minorHAnsi"/>
          <w:i/>
          <w:iCs/>
          <w:szCs w:val="24"/>
        </w:rPr>
      </w:pPr>
    </w:p>
    <w:p w:rsidR="00287221" w:rsidP="00287221" w:rsidRDefault="00287221" w14:paraId="34D90DB6" w14:textId="50A3DEC0">
      <w:pPr>
        <w:pStyle w:val="TableTitle"/>
      </w:pPr>
      <w:bookmarkStart w:name="_Ref79566137" w:id="36"/>
      <w:r>
        <w:t>Table</w:t>
      </w:r>
      <w:r w:rsidR="00A3046F">
        <w:t xml:space="preserve"> D.</w:t>
      </w:r>
      <w:r>
        <w:fldChar w:fldCharType="begin"/>
      </w:r>
      <w:r>
        <w:instrText xml:space="preserve"> SEQ Table \* ARABIC </w:instrText>
      </w:r>
      <w:r>
        <w:fldChar w:fldCharType="separate"/>
      </w:r>
      <w:r>
        <w:rPr>
          <w:noProof/>
        </w:rPr>
        <w:t>12</w:t>
      </w:r>
      <w:r>
        <w:fldChar w:fldCharType="end"/>
      </w:r>
      <w:bookmarkEnd w:id="36"/>
      <w:r>
        <w:t xml:space="preserve">. </w:t>
      </w:r>
      <w:r w:rsidRPr="000106D4">
        <w:t>2020/22 Beginning Postsecondary Students Field Test Month-level Enrollment Intensity</w:t>
      </w:r>
      <w:r>
        <w:t xml:space="preserve"> Timing Burden, overall and by treatment group:</w:t>
      </w:r>
      <w:r w:rsidRPr="000106D4">
        <w:t xml:space="preserve"> 2021</w:t>
      </w:r>
    </w:p>
    <w:tbl>
      <w:tblPr>
        <w:tblW w:w="5000" w:type="pct"/>
        <w:tblLook w:val="04A0" w:firstRow="1" w:lastRow="0" w:firstColumn="1" w:lastColumn="0" w:noHBand="0" w:noVBand="1"/>
      </w:tblPr>
      <w:tblGrid>
        <w:gridCol w:w="5851"/>
        <w:gridCol w:w="2186"/>
        <w:gridCol w:w="2475"/>
      </w:tblGrid>
      <w:tr w:rsidRPr="00FC64B4" w:rsidR="00287221" w:rsidTr="00287084" w14:paraId="13C3F89C" w14:textId="77777777">
        <w:trPr>
          <w:trHeight w:val="144"/>
        </w:trPr>
        <w:tc>
          <w:tcPr>
            <w:tcW w:w="5012" w:type="dxa"/>
            <w:tcBorders>
              <w:top w:val="single" w:color="auto" w:sz="12" w:space="0"/>
              <w:bottom w:val="single" w:color="auto" w:sz="6" w:space="0"/>
            </w:tcBorders>
            <w:shd w:val="clear" w:color="auto" w:fill="auto"/>
            <w:noWrap/>
            <w:vAlign w:val="bottom"/>
            <w:hideMark/>
          </w:tcPr>
          <w:p w:rsidRPr="00FC64B4" w:rsidR="00287221" w:rsidP="00287084" w:rsidRDefault="00287221" w14:paraId="05EFBE6F" w14:textId="77777777">
            <w:pPr>
              <w:rPr>
                <w:rFonts w:ascii="Arial" w:hAnsi="Arial" w:eastAsia="Times New Roman" w:cs="Arial"/>
                <w:b/>
                <w:bCs/>
                <w:color w:val="000000"/>
                <w:sz w:val="18"/>
                <w:szCs w:val="18"/>
              </w:rPr>
            </w:pPr>
            <w:r w:rsidRPr="00FC64B4">
              <w:rPr>
                <w:rFonts w:ascii="Arial" w:hAnsi="Arial" w:eastAsia="Times New Roman" w:cs="Arial"/>
                <w:b/>
                <w:bCs/>
                <w:color w:val="000000"/>
                <w:sz w:val="18"/>
                <w:szCs w:val="18"/>
              </w:rPr>
              <w:t>Group</w:t>
            </w:r>
          </w:p>
        </w:tc>
        <w:tc>
          <w:tcPr>
            <w:tcW w:w="1872" w:type="dxa"/>
            <w:tcBorders>
              <w:top w:val="single" w:color="auto" w:sz="12" w:space="0"/>
              <w:bottom w:val="single" w:color="auto" w:sz="6" w:space="0"/>
            </w:tcBorders>
            <w:shd w:val="clear" w:color="auto" w:fill="auto"/>
            <w:vAlign w:val="bottom"/>
            <w:hideMark/>
          </w:tcPr>
          <w:p w:rsidRPr="00FC64B4" w:rsidR="00287221" w:rsidP="00287084" w:rsidRDefault="00287221" w14:paraId="59696E75" w14:textId="77777777">
            <w:pPr>
              <w:jc w:val="right"/>
              <w:rPr>
                <w:rFonts w:ascii="Arial" w:hAnsi="Arial" w:eastAsia="Times New Roman" w:cs="Arial"/>
                <w:b/>
                <w:bCs/>
                <w:color w:val="000000"/>
                <w:sz w:val="18"/>
                <w:szCs w:val="18"/>
              </w:rPr>
            </w:pPr>
            <w:r w:rsidRPr="00FC64B4">
              <w:rPr>
                <w:rFonts w:ascii="Arial" w:hAnsi="Arial" w:eastAsia="Times New Roman" w:cs="Arial"/>
                <w:b/>
                <w:bCs/>
                <w:color w:val="000000"/>
                <w:sz w:val="18"/>
                <w:szCs w:val="18"/>
              </w:rPr>
              <w:t>Number of cases</w:t>
            </w:r>
          </w:p>
        </w:tc>
        <w:tc>
          <w:tcPr>
            <w:tcW w:w="2120" w:type="dxa"/>
            <w:tcBorders>
              <w:top w:val="single" w:color="auto" w:sz="12" w:space="0"/>
              <w:bottom w:val="single" w:color="auto" w:sz="6" w:space="0"/>
            </w:tcBorders>
            <w:shd w:val="clear" w:color="auto" w:fill="auto"/>
            <w:vAlign w:val="center"/>
            <w:hideMark/>
          </w:tcPr>
          <w:p w:rsidRPr="00FC64B4" w:rsidR="00287221" w:rsidP="00287084" w:rsidRDefault="00287221" w14:paraId="3CBF58F1" w14:textId="77777777">
            <w:pPr>
              <w:jc w:val="right"/>
              <w:rPr>
                <w:rFonts w:ascii="Arial" w:hAnsi="Arial" w:eastAsia="Times New Roman" w:cs="Arial"/>
                <w:b/>
                <w:bCs/>
                <w:color w:val="000000"/>
                <w:sz w:val="18"/>
                <w:szCs w:val="18"/>
              </w:rPr>
            </w:pPr>
            <w:r w:rsidRPr="00FC64B4">
              <w:rPr>
                <w:rFonts w:ascii="Arial" w:hAnsi="Arial" w:eastAsia="Times New Roman" w:cs="Arial"/>
                <w:b/>
                <w:bCs/>
                <w:color w:val="000000"/>
                <w:sz w:val="18"/>
                <w:szCs w:val="18"/>
              </w:rPr>
              <w:t>Mean time (in seconds)</w:t>
            </w:r>
          </w:p>
        </w:tc>
      </w:tr>
      <w:tr w:rsidRPr="00FC64B4" w:rsidR="00287221" w:rsidTr="00287084" w14:paraId="466375BA" w14:textId="77777777">
        <w:trPr>
          <w:trHeight w:val="144"/>
        </w:trPr>
        <w:tc>
          <w:tcPr>
            <w:tcW w:w="5012" w:type="dxa"/>
            <w:tcBorders>
              <w:top w:val="single" w:color="auto" w:sz="6" w:space="0"/>
            </w:tcBorders>
            <w:shd w:val="clear" w:color="auto" w:fill="auto"/>
            <w:noWrap/>
            <w:vAlign w:val="center"/>
            <w:hideMark/>
          </w:tcPr>
          <w:p w:rsidRPr="00FC64B4" w:rsidR="00287221" w:rsidP="00287084" w:rsidRDefault="00287221" w14:paraId="60253117" w14:textId="77777777">
            <w:pPr>
              <w:rPr>
                <w:rFonts w:ascii="Arial" w:hAnsi="Arial" w:eastAsia="Times New Roman" w:cs="Arial"/>
                <w:b/>
                <w:bCs/>
                <w:color w:val="000000"/>
                <w:sz w:val="18"/>
                <w:szCs w:val="18"/>
              </w:rPr>
            </w:pPr>
            <w:r w:rsidRPr="00FC64B4">
              <w:rPr>
                <w:rFonts w:ascii="Arial" w:hAnsi="Arial" w:eastAsia="Times New Roman" w:cs="Arial"/>
                <w:b/>
                <w:bCs/>
                <w:color w:val="000000"/>
                <w:sz w:val="18"/>
                <w:szCs w:val="18"/>
              </w:rPr>
              <w:t>Overall timing burden</w:t>
            </w:r>
          </w:p>
        </w:tc>
        <w:tc>
          <w:tcPr>
            <w:tcW w:w="1872" w:type="dxa"/>
            <w:tcBorders>
              <w:top w:val="single" w:color="auto" w:sz="6" w:space="0"/>
            </w:tcBorders>
            <w:shd w:val="clear" w:color="auto" w:fill="auto"/>
            <w:noWrap/>
            <w:vAlign w:val="center"/>
            <w:hideMark/>
          </w:tcPr>
          <w:p w:rsidRPr="00FC64B4" w:rsidR="00287221" w:rsidP="00287084" w:rsidRDefault="00287221" w14:paraId="0DD936F2" w14:textId="77777777">
            <w:pPr>
              <w:jc w:val="right"/>
              <w:rPr>
                <w:rFonts w:ascii="Arial" w:hAnsi="Arial" w:eastAsia="Times New Roman" w:cs="Arial"/>
                <w:b/>
                <w:bCs/>
                <w:color w:val="000000"/>
                <w:sz w:val="18"/>
                <w:szCs w:val="18"/>
              </w:rPr>
            </w:pPr>
            <w:r w:rsidRPr="00FC64B4">
              <w:rPr>
                <w:rFonts w:ascii="Arial" w:hAnsi="Arial" w:eastAsia="Times New Roman" w:cs="Arial"/>
                <w:b/>
                <w:bCs/>
                <w:color w:val="000000"/>
                <w:sz w:val="18"/>
                <w:szCs w:val="18"/>
              </w:rPr>
              <w:t>1320</w:t>
            </w:r>
          </w:p>
        </w:tc>
        <w:tc>
          <w:tcPr>
            <w:tcW w:w="2120" w:type="dxa"/>
            <w:tcBorders>
              <w:top w:val="single" w:color="auto" w:sz="6" w:space="0"/>
            </w:tcBorders>
            <w:shd w:val="clear" w:color="auto" w:fill="auto"/>
            <w:noWrap/>
            <w:vAlign w:val="center"/>
            <w:hideMark/>
          </w:tcPr>
          <w:p w:rsidRPr="00FC64B4" w:rsidR="00287221" w:rsidP="00287084" w:rsidRDefault="00287221" w14:paraId="611D917E" w14:textId="77777777">
            <w:pPr>
              <w:jc w:val="right"/>
              <w:rPr>
                <w:rFonts w:ascii="Arial" w:hAnsi="Arial" w:eastAsia="Times New Roman" w:cs="Arial"/>
                <w:b/>
                <w:bCs/>
                <w:color w:val="000000"/>
                <w:sz w:val="18"/>
                <w:szCs w:val="18"/>
              </w:rPr>
            </w:pPr>
            <w:r w:rsidRPr="00FC64B4">
              <w:rPr>
                <w:rFonts w:ascii="Arial" w:hAnsi="Arial" w:eastAsia="Times New Roman" w:cs="Arial"/>
                <w:b/>
                <w:bCs/>
                <w:color w:val="000000"/>
                <w:sz w:val="18"/>
                <w:szCs w:val="18"/>
              </w:rPr>
              <w:t>13.7</w:t>
            </w:r>
          </w:p>
        </w:tc>
      </w:tr>
      <w:tr w:rsidRPr="00FC64B4" w:rsidR="00287221" w:rsidTr="00287084" w14:paraId="38A71B86" w14:textId="77777777">
        <w:trPr>
          <w:trHeight w:val="144"/>
        </w:trPr>
        <w:tc>
          <w:tcPr>
            <w:tcW w:w="5012" w:type="dxa"/>
            <w:shd w:val="clear" w:color="auto" w:fill="auto"/>
            <w:noWrap/>
            <w:vAlign w:val="center"/>
            <w:hideMark/>
          </w:tcPr>
          <w:p w:rsidRPr="00FC64B4" w:rsidR="00287221" w:rsidP="00287084" w:rsidRDefault="00287221" w14:paraId="70A82A13" w14:textId="77777777">
            <w:pPr>
              <w:rPr>
                <w:rFonts w:ascii="Arial" w:hAnsi="Arial" w:eastAsia="Times New Roman" w:cs="Arial"/>
                <w:color w:val="000000"/>
                <w:sz w:val="18"/>
                <w:szCs w:val="18"/>
              </w:rPr>
            </w:pPr>
            <w:r w:rsidRPr="00FC64B4">
              <w:rPr>
                <w:rFonts w:ascii="Arial" w:hAnsi="Arial" w:eastAsia="Times New Roman" w:cs="Arial"/>
                <w:color w:val="000000"/>
                <w:sz w:val="18"/>
                <w:szCs w:val="18"/>
              </w:rPr>
              <w:t>Control: single forced-choice grid</w:t>
            </w:r>
          </w:p>
        </w:tc>
        <w:tc>
          <w:tcPr>
            <w:tcW w:w="1872" w:type="dxa"/>
            <w:shd w:val="clear" w:color="auto" w:fill="auto"/>
            <w:noWrap/>
            <w:vAlign w:val="center"/>
            <w:hideMark/>
          </w:tcPr>
          <w:p w:rsidRPr="00FC64B4" w:rsidR="00287221" w:rsidP="00287084" w:rsidRDefault="00287221" w14:paraId="7E62FC02" w14:textId="77777777">
            <w:pPr>
              <w:jc w:val="right"/>
              <w:rPr>
                <w:rFonts w:ascii="Arial" w:hAnsi="Arial" w:eastAsia="Times New Roman" w:cs="Arial"/>
                <w:color w:val="000000"/>
                <w:sz w:val="18"/>
                <w:szCs w:val="18"/>
              </w:rPr>
            </w:pPr>
            <w:r w:rsidRPr="00FC64B4">
              <w:rPr>
                <w:rFonts w:ascii="Arial" w:hAnsi="Arial" w:eastAsia="Times New Roman" w:cs="Arial"/>
                <w:color w:val="000000"/>
                <w:sz w:val="18"/>
                <w:szCs w:val="18"/>
              </w:rPr>
              <w:t>680</w:t>
            </w:r>
          </w:p>
        </w:tc>
        <w:tc>
          <w:tcPr>
            <w:tcW w:w="2120" w:type="dxa"/>
            <w:shd w:val="clear" w:color="auto" w:fill="auto"/>
            <w:noWrap/>
            <w:vAlign w:val="center"/>
            <w:hideMark/>
          </w:tcPr>
          <w:p w:rsidRPr="00FC64B4" w:rsidR="00287221" w:rsidP="00287084" w:rsidRDefault="00287221" w14:paraId="366AC227" w14:textId="77777777">
            <w:pPr>
              <w:jc w:val="right"/>
              <w:rPr>
                <w:rFonts w:ascii="Arial" w:hAnsi="Arial" w:eastAsia="Times New Roman" w:cs="Arial"/>
                <w:color w:val="000000"/>
                <w:sz w:val="18"/>
                <w:szCs w:val="18"/>
              </w:rPr>
            </w:pPr>
            <w:r w:rsidRPr="00FC64B4">
              <w:rPr>
                <w:rFonts w:ascii="Arial" w:hAnsi="Arial" w:eastAsia="Times New Roman" w:cs="Arial"/>
                <w:color w:val="000000"/>
                <w:sz w:val="18"/>
                <w:szCs w:val="18"/>
              </w:rPr>
              <w:t>10.5</w:t>
            </w:r>
          </w:p>
        </w:tc>
      </w:tr>
      <w:tr w:rsidRPr="00FC64B4" w:rsidR="00287221" w:rsidTr="00287084" w14:paraId="228DD506" w14:textId="77777777">
        <w:trPr>
          <w:trHeight w:val="144"/>
        </w:trPr>
        <w:tc>
          <w:tcPr>
            <w:tcW w:w="5012" w:type="dxa"/>
            <w:tcBorders>
              <w:bottom w:val="single" w:color="auto" w:sz="12" w:space="0"/>
            </w:tcBorders>
            <w:shd w:val="clear" w:color="auto" w:fill="auto"/>
            <w:noWrap/>
            <w:vAlign w:val="center"/>
            <w:hideMark/>
          </w:tcPr>
          <w:p w:rsidRPr="00FC64B4" w:rsidR="00287221" w:rsidP="00287084" w:rsidRDefault="00287221" w14:paraId="7DD7B6D9" w14:textId="77777777">
            <w:pPr>
              <w:rPr>
                <w:rFonts w:ascii="Arial" w:hAnsi="Arial" w:eastAsia="Times New Roman" w:cs="Arial"/>
                <w:color w:val="000000"/>
                <w:sz w:val="18"/>
                <w:szCs w:val="18"/>
              </w:rPr>
            </w:pPr>
            <w:r w:rsidRPr="00FC64B4">
              <w:rPr>
                <w:rFonts w:ascii="Arial" w:hAnsi="Arial" w:eastAsia="Times New Roman" w:cs="Arial"/>
                <w:color w:val="000000"/>
                <w:sz w:val="18"/>
                <w:szCs w:val="18"/>
              </w:rPr>
              <w:t>Treatment: yes/no radio gates by intensity</w:t>
            </w:r>
            <w:r w:rsidRPr="00FC64B4">
              <w:rPr>
                <w:rFonts w:ascii="Arial" w:hAnsi="Arial" w:eastAsia="Times New Roman" w:cs="Arial"/>
                <w:color w:val="000000"/>
                <w:sz w:val="18"/>
                <w:szCs w:val="18"/>
                <w:vertAlign w:val="superscript"/>
              </w:rPr>
              <w:t>1</w:t>
            </w:r>
          </w:p>
        </w:tc>
        <w:tc>
          <w:tcPr>
            <w:tcW w:w="1872" w:type="dxa"/>
            <w:tcBorders>
              <w:bottom w:val="single" w:color="auto" w:sz="12" w:space="0"/>
            </w:tcBorders>
            <w:shd w:val="clear" w:color="auto" w:fill="auto"/>
            <w:noWrap/>
            <w:vAlign w:val="center"/>
            <w:hideMark/>
          </w:tcPr>
          <w:p w:rsidRPr="00FC64B4" w:rsidR="00287221" w:rsidP="00287084" w:rsidRDefault="00287221" w14:paraId="578E947F" w14:textId="77777777">
            <w:pPr>
              <w:jc w:val="right"/>
              <w:rPr>
                <w:rFonts w:ascii="Arial" w:hAnsi="Arial" w:eastAsia="Times New Roman" w:cs="Arial"/>
                <w:color w:val="000000"/>
                <w:sz w:val="18"/>
                <w:szCs w:val="18"/>
              </w:rPr>
            </w:pPr>
            <w:r w:rsidRPr="00FC64B4">
              <w:rPr>
                <w:rFonts w:ascii="Arial" w:hAnsi="Arial" w:eastAsia="Times New Roman" w:cs="Arial"/>
                <w:color w:val="000000"/>
                <w:sz w:val="18"/>
                <w:szCs w:val="18"/>
              </w:rPr>
              <w:t>640</w:t>
            </w:r>
          </w:p>
        </w:tc>
        <w:tc>
          <w:tcPr>
            <w:tcW w:w="2120" w:type="dxa"/>
            <w:tcBorders>
              <w:bottom w:val="single" w:color="auto" w:sz="12" w:space="0"/>
            </w:tcBorders>
            <w:shd w:val="clear" w:color="auto" w:fill="auto"/>
            <w:noWrap/>
            <w:vAlign w:val="center"/>
            <w:hideMark/>
          </w:tcPr>
          <w:p w:rsidRPr="00FC64B4" w:rsidR="00287221" w:rsidP="00287084" w:rsidRDefault="00287221" w14:paraId="13E3BB1C" w14:textId="77777777">
            <w:pPr>
              <w:jc w:val="right"/>
              <w:rPr>
                <w:rFonts w:ascii="Arial" w:hAnsi="Arial" w:eastAsia="Times New Roman" w:cs="Arial"/>
                <w:color w:val="000000"/>
                <w:sz w:val="18"/>
                <w:szCs w:val="18"/>
              </w:rPr>
            </w:pPr>
            <w:r w:rsidRPr="00FC64B4">
              <w:rPr>
                <w:rFonts w:ascii="Arial" w:hAnsi="Arial" w:eastAsia="Times New Roman" w:cs="Arial"/>
                <w:color w:val="000000"/>
                <w:sz w:val="18"/>
                <w:szCs w:val="18"/>
              </w:rPr>
              <w:t>17.2</w:t>
            </w:r>
          </w:p>
        </w:tc>
      </w:tr>
    </w:tbl>
    <w:p w:rsidRPr="00FC64B4" w:rsidR="00287221" w:rsidP="00287221" w:rsidRDefault="00287221" w14:paraId="36321555" w14:textId="77777777">
      <w:pPr>
        <w:rPr>
          <w:rFonts w:ascii="Arial" w:hAnsi="Arial" w:eastAsia="Times New Roman" w:cs="Arial"/>
          <w:color w:val="000000"/>
          <w:sz w:val="16"/>
          <w:szCs w:val="16"/>
        </w:rPr>
      </w:pPr>
      <w:r w:rsidRPr="00FC64B4">
        <w:rPr>
          <w:rFonts w:ascii="Arial" w:hAnsi="Arial" w:eastAsia="Times New Roman" w:cs="Arial"/>
          <w:color w:val="000000"/>
          <w:sz w:val="16"/>
          <w:szCs w:val="16"/>
        </w:rPr>
        <w:t>1 Timing burden for the full-time and part-time enrollment questions were combined to calculate total burden for respondents in the treatment group.</w:t>
      </w:r>
    </w:p>
    <w:p w:rsidRPr="00FC64B4" w:rsidR="00287221" w:rsidP="00287221" w:rsidRDefault="00287221" w14:paraId="3A6922AA" w14:textId="77777777">
      <w:pPr>
        <w:rPr>
          <w:rFonts w:ascii="Arial" w:hAnsi="Arial" w:eastAsia="Times New Roman" w:cs="Arial"/>
          <w:color w:val="000000"/>
          <w:sz w:val="16"/>
          <w:szCs w:val="16"/>
        </w:rPr>
      </w:pPr>
      <w:r w:rsidRPr="00FC64B4">
        <w:rPr>
          <w:rFonts w:ascii="Arial" w:hAnsi="Arial" w:eastAsia="Times New Roman" w:cs="Arial"/>
          <w:color w:val="000000"/>
          <w:sz w:val="16"/>
          <w:szCs w:val="16"/>
        </w:rPr>
        <w:t>NOTE: Detail may not sum to totals because of rounding.</w:t>
      </w:r>
    </w:p>
    <w:p w:rsidRPr="00FC64B4" w:rsidR="00287221" w:rsidP="00287221" w:rsidRDefault="00287221" w14:paraId="6E63A3DB" w14:textId="77777777">
      <w:pPr>
        <w:rPr>
          <w:rFonts w:ascii="Arial" w:hAnsi="Arial" w:eastAsia="Times New Roman" w:cs="Arial"/>
          <w:color w:val="000000"/>
          <w:sz w:val="16"/>
          <w:szCs w:val="16"/>
        </w:rPr>
      </w:pPr>
      <w:r w:rsidRPr="00FC64B4">
        <w:rPr>
          <w:rFonts w:ascii="Arial" w:hAnsi="Arial" w:eastAsia="Times New Roman" w:cs="Arial"/>
          <w:color w:val="000000"/>
          <w:sz w:val="16"/>
          <w:szCs w:val="16"/>
        </w:rPr>
        <w:t>SOURCE: U.S. Department of Education, National Center for Education Statistics, 2020/22 Beginning Postsecondary Students (BPS:20/22) Field Test.</w:t>
      </w:r>
    </w:p>
    <w:p w:rsidRPr="00C555EA" w:rsidR="00287221" w:rsidP="00287221" w:rsidRDefault="00287221" w14:paraId="7F91E910" w14:textId="77777777">
      <w:pPr>
        <w:rPr>
          <w:rFonts w:cs="Calibri"/>
          <w:b/>
          <w:bCs/>
          <w:color w:val="000000"/>
          <w:szCs w:val="24"/>
        </w:rPr>
      </w:pPr>
    </w:p>
    <w:p w:rsidR="00A3046F" w:rsidP="00287221" w:rsidRDefault="00A3046F" w14:paraId="5389E9BE" w14:textId="77777777">
      <w:pPr>
        <w:spacing w:after="120" w:line="276" w:lineRule="auto"/>
        <w:rPr>
          <w:rFonts w:cstheme="minorHAnsi"/>
          <w:b/>
          <w:bCs/>
          <w:szCs w:val="24"/>
        </w:rPr>
      </w:pPr>
    </w:p>
    <w:p w:rsidR="00E77AFE" w:rsidP="00287221" w:rsidRDefault="00E77AFE" w14:paraId="0F93EB99" w14:textId="514808E4">
      <w:pPr>
        <w:spacing w:after="120" w:line="276" w:lineRule="auto"/>
        <w:rPr>
          <w:szCs w:val="24"/>
        </w:rPr>
      </w:pPr>
      <w:r w:rsidRPr="00E77AFE">
        <w:rPr>
          <w:rFonts w:cstheme="minorHAnsi"/>
          <w:b/>
          <w:bCs/>
          <w:szCs w:val="24"/>
        </w:rPr>
        <w:lastRenderedPageBreak/>
        <w:t>Recommendations for the full-scale study</w:t>
      </w:r>
      <w:r w:rsidRPr="00C555EA">
        <w:rPr>
          <w:szCs w:val="24"/>
        </w:rPr>
        <w:t xml:space="preserve"> </w:t>
      </w:r>
    </w:p>
    <w:p w:rsidRPr="00C555EA" w:rsidR="00287221" w:rsidP="00287221" w:rsidRDefault="00287221" w14:paraId="1BA70938" w14:textId="7854E624">
      <w:pPr>
        <w:spacing w:after="120" w:line="276" w:lineRule="auto"/>
        <w:rPr>
          <w:rFonts w:cstheme="minorHAnsi"/>
          <w:szCs w:val="24"/>
        </w:rPr>
      </w:pPr>
      <w:r w:rsidRPr="00C555EA">
        <w:rPr>
          <w:szCs w:val="24"/>
        </w:rPr>
        <w:t>Overall, the method of collecting enrollment intensity does not impact missingness rates or reporting accuracy (as determined by administrative concordance). However, administering the separate intensity yes/no radio questions does significantly increase respondent burden by an average of 6.7 seconds (64 percent increase), though the timing difference may be reduced in the full-scale survey when the grid form includes two academic years of enrollment instead of one. Additionally, c</w:t>
      </w:r>
      <w:r w:rsidRPr="00C555EA">
        <w:rPr>
          <w:rFonts w:cs="Calibri"/>
          <w:color w:val="000000"/>
          <w:szCs w:val="24"/>
        </w:rPr>
        <w:t>ognitive testing conducted in Spring 2020 assessed these two approaches of collecting enrollment intensity</w:t>
      </w:r>
      <w:r w:rsidR="00254209">
        <w:rPr>
          <w:rFonts w:cs="Calibri"/>
          <w:color w:val="000000"/>
          <w:szCs w:val="24"/>
        </w:rPr>
        <w:t xml:space="preserve"> (</w:t>
      </w:r>
      <w:r w:rsidRPr="006E3139" w:rsidR="00254209">
        <w:rPr>
          <w:rFonts w:cs="Calibri"/>
          <w:color w:val="000000"/>
          <w:szCs w:val="24"/>
        </w:rPr>
        <w:t>BPS:20/22 Field Test Appendix D</w:t>
      </w:r>
      <w:r w:rsidR="00254209">
        <w:rPr>
          <w:rFonts w:cs="Calibri"/>
          <w:color w:val="000000"/>
          <w:szCs w:val="24"/>
        </w:rPr>
        <w:t>: Cognitive and Usability Testing Summary</w:t>
      </w:r>
      <w:r w:rsidRPr="006E3139" w:rsidR="00254209">
        <w:rPr>
          <w:rFonts w:cs="Calibri"/>
          <w:color w:val="000000"/>
          <w:szCs w:val="24"/>
        </w:rPr>
        <w:t xml:space="preserve"> (OMB# 1850-0631 v.18)</w:t>
      </w:r>
      <w:r w:rsidR="00254209">
        <w:rPr>
          <w:rFonts w:cs="Calibri"/>
          <w:color w:val="000000"/>
          <w:szCs w:val="24"/>
        </w:rPr>
        <w:t>)</w:t>
      </w:r>
      <w:r w:rsidRPr="00C555EA">
        <w:rPr>
          <w:rFonts w:cs="Calibri"/>
          <w:color w:val="000000"/>
          <w:szCs w:val="24"/>
        </w:rPr>
        <w:t xml:space="preserve">. </w:t>
      </w:r>
      <w:r w:rsidRPr="00C555EA">
        <w:rPr>
          <w:szCs w:val="24"/>
        </w:rPr>
        <w:t xml:space="preserve">A majority of participants preferred the forced-choice grid. These participants generally reported that the visual layout of this item made it seem more concise and allowed them to think about and choose their answer more easily. Given the field test and cognitive interview results, data will continue to be collected using the single forced-choice grid in the BPS:20/22 full-scale survey instrument. </w:t>
      </w:r>
    </w:p>
    <w:p w:rsidRPr="00FD5576" w:rsidR="00287221" w:rsidP="00EE3E0D" w:rsidRDefault="00287221" w14:paraId="72196D4D" w14:textId="142BEABD">
      <w:pPr>
        <w:pStyle w:val="Heading4"/>
        <w:numPr>
          <w:ilvl w:val="0"/>
          <w:numId w:val="18"/>
        </w:numPr>
        <w:rPr>
          <w:rFonts w:asciiTheme="minorHAnsi" w:hAnsiTheme="minorHAnsi" w:cstheme="minorHAnsi"/>
        </w:rPr>
      </w:pPr>
      <w:r w:rsidRPr="00FD5576">
        <w:rPr>
          <w:rFonts w:asciiTheme="minorHAnsi" w:hAnsiTheme="minorHAnsi" w:cstheme="minorHAnsi"/>
        </w:rPr>
        <w:t>Experiment #4, Survey Instrument: Collection of Address Information Using Predictive Search Database</w:t>
      </w:r>
    </w:p>
    <w:p w:rsidRPr="00C555EA" w:rsidR="00287221" w:rsidP="00287221" w:rsidRDefault="00287221" w14:paraId="54831982" w14:textId="77777777">
      <w:pPr>
        <w:spacing w:after="120"/>
        <w:rPr>
          <w:rFonts w:cs="Calibri"/>
          <w:color w:val="000000"/>
          <w:szCs w:val="24"/>
        </w:rPr>
      </w:pPr>
      <w:r w:rsidRPr="00C555EA">
        <w:rPr>
          <w:rFonts w:cstheme="minorHAnsi"/>
          <w:szCs w:val="24"/>
        </w:rPr>
        <w:t>Predictive search forms have become commonplace in web-based data collections. The collection of respondent addresses is critical for survey incentive payments and future locating efforts. Therefore, the BPS:20/22 field test implemented a predictive search method of obtaining address information to increase data quality, and lower respondent burden typically associated with manual entries.</w:t>
      </w:r>
      <w:r w:rsidRPr="00C555EA">
        <w:rPr>
          <w:rFonts w:cstheme="minorHAnsi"/>
          <w:b/>
          <w:bCs/>
          <w:szCs w:val="24"/>
        </w:rPr>
        <w:t xml:space="preserve"> </w:t>
      </w:r>
      <w:r w:rsidRPr="00C555EA">
        <w:rPr>
          <w:rFonts w:cs="Calibri"/>
          <w:color w:val="000000"/>
          <w:szCs w:val="24"/>
        </w:rPr>
        <w:t xml:space="preserve">The BPS:20/22 field test collected addresses for the entire responding field test sample using a predictive search format, with each address entry as a single textbox linked to an underlying Experian database of U.S. addresses standardized to USPS guidelines. The address textbox entry allowed results of matching addresses to populate while the respondent entered an address. The respondent then selected the best match from the list of results provided, or if no matching result found, the respondent could manually enter in each address field. This analysis compares the BPS:20/22 field test respondents’ predictive search addresses collection in regard to timing and missingness with the traditional collection of this information collected from the same set of BPS:20/22 field test respondents in the NPSAS:20 full-scale survey to determine the feasibility, and benefits of administering the predictive search address coder in the full-scale survey. </w:t>
      </w:r>
    </w:p>
    <w:p w:rsidRPr="00C555EA" w:rsidR="00287221" w:rsidP="00287221" w:rsidRDefault="00287221" w14:paraId="447677DA" w14:textId="076E1177">
      <w:pPr>
        <w:spacing w:after="120"/>
        <w:rPr>
          <w:szCs w:val="24"/>
        </w:rPr>
      </w:pPr>
      <w:r w:rsidRPr="006F20DE">
        <w:rPr>
          <w:rFonts w:cstheme="minorHAnsi"/>
          <w:i/>
          <w:iCs/>
          <w:szCs w:val="24"/>
        </w:rPr>
        <w:t>Results.</w:t>
      </w:r>
      <w:r w:rsidRPr="00C555EA">
        <w:rPr>
          <w:rFonts w:cstheme="minorHAnsi"/>
          <w:b/>
          <w:bCs/>
          <w:szCs w:val="24"/>
        </w:rPr>
        <w:t xml:space="preserve"> </w:t>
      </w:r>
      <w:r w:rsidRPr="00C555EA">
        <w:rPr>
          <w:szCs w:val="24"/>
        </w:rPr>
        <w:t xml:space="preserve">Of the 2,240 BPS:20/22 field test respondents, 1,620 respondents are included in this analysis (72 percent). </w:t>
      </w:r>
      <w:r w:rsidRPr="00C555EA">
        <w:rPr>
          <w:szCs w:val="24"/>
        </w:rPr>
        <w:fldChar w:fldCharType="begin"/>
      </w:r>
      <w:r w:rsidRPr="00C555EA">
        <w:rPr>
          <w:szCs w:val="24"/>
        </w:rPr>
        <w:instrText xml:space="preserve"> REF _Ref79566195 \h  \* MERGEFORMAT </w:instrText>
      </w:r>
      <w:r w:rsidRPr="00C555EA">
        <w:rPr>
          <w:szCs w:val="24"/>
        </w:rPr>
      </w:r>
      <w:r w:rsidRPr="00C555EA">
        <w:rPr>
          <w:szCs w:val="24"/>
        </w:rPr>
        <w:fldChar w:fldCharType="separate"/>
      </w:r>
      <w:r w:rsidRPr="00A3046F" w:rsidR="00A3046F">
        <w:rPr>
          <w:szCs w:val="24"/>
        </w:rPr>
        <w:t>Table D.</w:t>
      </w:r>
      <w:r w:rsidRPr="00A3046F" w:rsidR="00A3046F">
        <w:rPr>
          <w:noProof/>
          <w:szCs w:val="24"/>
        </w:rPr>
        <w:t>13</w:t>
      </w:r>
      <w:r w:rsidRPr="00C555EA">
        <w:rPr>
          <w:szCs w:val="24"/>
        </w:rPr>
        <w:fldChar w:fldCharType="end"/>
      </w:r>
      <w:r w:rsidRPr="00C555EA">
        <w:rPr>
          <w:szCs w:val="24"/>
        </w:rPr>
        <w:t xml:space="preserve"> provides information about the cases included and excluded from the analysis. To be included in the analysis, a case must have been a respondent in both NPSAS:20 full-scale and BPS:20/22 field test, and not be in an exclusion category from either study. The results described below are from the first address collection form in the survey, </w:t>
      </w:r>
      <w:r w:rsidRPr="00C555EA">
        <w:rPr>
          <w:i/>
          <w:iCs/>
          <w:szCs w:val="24"/>
        </w:rPr>
        <w:t xml:space="preserve">respondent permanent address </w:t>
      </w:r>
      <w:r w:rsidRPr="00C555EA">
        <w:rPr>
          <w:szCs w:val="24"/>
        </w:rPr>
        <w:t>(N20G1ADR, B22G1ADR), which was administered to all 1,620 respondents included in the analysis.</w:t>
      </w:r>
    </w:p>
    <w:p w:rsidR="00287221" w:rsidP="00287221" w:rsidRDefault="00287221" w14:paraId="0FE0C80E" w14:textId="5EB47C66">
      <w:pPr>
        <w:pStyle w:val="TableTitle"/>
      </w:pPr>
      <w:bookmarkStart w:name="_Ref79566195" w:id="37"/>
      <w:r>
        <w:t xml:space="preserve">Table </w:t>
      </w:r>
      <w:r w:rsidR="00A3046F">
        <w:t>D</w:t>
      </w:r>
      <w:r w:rsidR="00EE3E0D">
        <w:t>.</w:t>
      </w:r>
      <w:r>
        <w:fldChar w:fldCharType="begin"/>
      </w:r>
      <w:r>
        <w:instrText xml:space="preserve"> SEQ Table \* ARABIC </w:instrText>
      </w:r>
      <w:r>
        <w:fldChar w:fldCharType="separate"/>
      </w:r>
      <w:r>
        <w:rPr>
          <w:noProof/>
        </w:rPr>
        <w:t>13</w:t>
      </w:r>
      <w:r>
        <w:fldChar w:fldCharType="end"/>
      </w:r>
      <w:bookmarkEnd w:id="37"/>
      <w:r>
        <w:t xml:space="preserve">. </w:t>
      </w:r>
      <w:r w:rsidRPr="00916617">
        <w:t>2020/22 Beginning Postsecondary Students Field Test Experian Address Analysis Cases: 2021</w:t>
      </w:r>
    </w:p>
    <w:tbl>
      <w:tblPr>
        <w:tblW w:w="9208" w:type="dxa"/>
        <w:tblLook w:val="04A0" w:firstRow="1" w:lastRow="0" w:firstColumn="1" w:lastColumn="0" w:noHBand="0" w:noVBand="1"/>
      </w:tblPr>
      <w:tblGrid>
        <w:gridCol w:w="5944"/>
        <w:gridCol w:w="1834"/>
        <w:gridCol w:w="1430"/>
      </w:tblGrid>
      <w:tr w:rsidRPr="00990F7D" w:rsidR="00287221" w:rsidTr="00287084" w14:paraId="26EEB988" w14:textId="77777777">
        <w:trPr>
          <w:trHeight w:val="451"/>
        </w:trPr>
        <w:tc>
          <w:tcPr>
            <w:tcW w:w="5944" w:type="dxa"/>
            <w:vMerge w:val="restart"/>
            <w:tcBorders>
              <w:top w:val="single" w:color="auto" w:sz="12" w:space="0"/>
              <w:left w:val="nil"/>
              <w:bottom w:val="single" w:color="000000" w:sz="8" w:space="0"/>
              <w:right w:val="nil"/>
            </w:tcBorders>
            <w:shd w:val="clear" w:color="auto" w:fill="auto"/>
            <w:noWrap/>
            <w:vAlign w:val="bottom"/>
            <w:hideMark/>
          </w:tcPr>
          <w:p w:rsidRPr="00990F7D" w:rsidR="00287221" w:rsidP="00287084" w:rsidRDefault="00287221" w14:paraId="3D677D1B" w14:textId="77777777">
            <w:pPr>
              <w:rPr>
                <w:rFonts w:ascii="Arial" w:hAnsi="Arial" w:eastAsia="Times New Roman" w:cs="Arial"/>
                <w:b/>
                <w:bCs/>
                <w:sz w:val="18"/>
                <w:szCs w:val="18"/>
              </w:rPr>
            </w:pPr>
          </w:p>
        </w:tc>
        <w:tc>
          <w:tcPr>
            <w:tcW w:w="1834" w:type="dxa"/>
            <w:vMerge w:val="restart"/>
            <w:tcBorders>
              <w:top w:val="single" w:color="auto" w:sz="12" w:space="0"/>
              <w:left w:val="nil"/>
              <w:bottom w:val="single" w:color="000000" w:sz="8" w:space="0"/>
              <w:right w:val="nil"/>
            </w:tcBorders>
            <w:shd w:val="clear" w:color="auto" w:fill="auto"/>
            <w:vAlign w:val="bottom"/>
            <w:hideMark/>
          </w:tcPr>
          <w:p w:rsidRPr="00990F7D" w:rsidR="00287221" w:rsidP="00287084" w:rsidRDefault="00287221" w14:paraId="46373B3E" w14:textId="77777777">
            <w:pPr>
              <w:jc w:val="right"/>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Number of cases</w:t>
            </w:r>
          </w:p>
        </w:tc>
        <w:tc>
          <w:tcPr>
            <w:tcW w:w="1430" w:type="dxa"/>
            <w:vMerge w:val="restart"/>
            <w:tcBorders>
              <w:top w:val="single" w:color="auto" w:sz="12" w:space="0"/>
              <w:left w:val="nil"/>
              <w:bottom w:val="single" w:color="000000" w:sz="8" w:space="0"/>
              <w:right w:val="nil"/>
            </w:tcBorders>
            <w:shd w:val="clear" w:color="auto" w:fill="auto"/>
            <w:vAlign w:val="bottom"/>
            <w:hideMark/>
          </w:tcPr>
          <w:p w:rsidRPr="00990F7D" w:rsidR="00287221" w:rsidP="00287084" w:rsidRDefault="00287221" w14:paraId="4FE88979" w14:textId="77777777">
            <w:pPr>
              <w:jc w:val="right"/>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 xml:space="preserve">Percent </w:t>
            </w:r>
          </w:p>
        </w:tc>
      </w:tr>
      <w:tr w:rsidRPr="00990F7D" w:rsidR="00287221" w:rsidTr="00287084" w14:paraId="15602E74" w14:textId="77777777">
        <w:trPr>
          <w:trHeight w:val="451"/>
        </w:trPr>
        <w:tc>
          <w:tcPr>
            <w:tcW w:w="5944" w:type="dxa"/>
            <w:vMerge/>
            <w:tcBorders>
              <w:top w:val="nil"/>
              <w:left w:val="nil"/>
              <w:bottom w:val="single" w:color="000000" w:sz="8" w:space="0"/>
              <w:right w:val="nil"/>
            </w:tcBorders>
            <w:vAlign w:val="center"/>
            <w:hideMark/>
          </w:tcPr>
          <w:p w:rsidRPr="00990F7D" w:rsidR="00287221" w:rsidP="00287084" w:rsidRDefault="00287221" w14:paraId="2F505054" w14:textId="77777777">
            <w:pPr>
              <w:rPr>
                <w:rFonts w:ascii="Arial" w:hAnsi="Arial" w:eastAsia="Times New Roman" w:cs="Arial"/>
                <w:b/>
                <w:bCs/>
                <w:sz w:val="18"/>
                <w:szCs w:val="18"/>
              </w:rPr>
            </w:pPr>
          </w:p>
        </w:tc>
        <w:tc>
          <w:tcPr>
            <w:tcW w:w="1834" w:type="dxa"/>
            <w:vMerge/>
            <w:tcBorders>
              <w:top w:val="nil"/>
              <w:left w:val="nil"/>
              <w:bottom w:val="single" w:color="000000" w:sz="8" w:space="0"/>
              <w:right w:val="nil"/>
            </w:tcBorders>
            <w:vAlign w:val="center"/>
            <w:hideMark/>
          </w:tcPr>
          <w:p w:rsidRPr="00990F7D" w:rsidR="00287221" w:rsidP="00287084" w:rsidRDefault="00287221" w14:paraId="372669A7" w14:textId="77777777">
            <w:pPr>
              <w:rPr>
                <w:rFonts w:ascii="Arial" w:hAnsi="Arial" w:eastAsia="Times New Roman" w:cs="Arial"/>
                <w:b/>
                <w:bCs/>
                <w:color w:val="000000"/>
                <w:sz w:val="18"/>
                <w:szCs w:val="18"/>
              </w:rPr>
            </w:pPr>
          </w:p>
        </w:tc>
        <w:tc>
          <w:tcPr>
            <w:tcW w:w="1430" w:type="dxa"/>
            <w:vMerge/>
            <w:tcBorders>
              <w:top w:val="nil"/>
              <w:left w:val="nil"/>
              <w:bottom w:val="single" w:color="000000" w:sz="8" w:space="0"/>
              <w:right w:val="nil"/>
            </w:tcBorders>
            <w:vAlign w:val="center"/>
            <w:hideMark/>
          </w:tcPr>
          <w:p w:rsidRPr="00990F7D" w:rsidR="00287221" w:rsidP="00287084" w:rsidRDefault="00287221" w14:paraId="57AFFBEA" w14:textId="77777777">
            <w:pPr>
              <w:rPr>
                <w:rFonts w:ascii="Arial" w:hAnsi="Arial" w:eastAsia="Times New Roman" w:cs="Arial"/>
                <w:b/>
                <w:bCs/>
                <w:color w:val="000000"/>
                <w:sz w:val="18"/>
                <w:szCs w:val="18"/>
              </w:rPr>
            </w:pPr>
          </w:p>
        </w:tc>
      </w:tr>
      <w:tr w:rsidRPr="00990F7D" w:rsidR="00287221" w:rsidTr="00287084" w14:paraId="5C971255" w14:textId="77777777">
        <w:trPr>
          <w:trHeight w:val="20"/>
        </w:trPr>
        <w:tc>
          <w:tcPr>
            <w:tcW w:w="5944" w:type="dxa"/>
            <w:tcBorders>
              <w:top w:val="nil"/>
              <w:left w:val="nil"/>
              <w:bottom w:val="nil"/>
              <w:right w:val="nil"/>
            </w:tcBorders>
            <w:shd w:val="clear" w:color="auto" w:fill="auto"/>
            <w:noWrap/>
            <w:vAlign w:val="center"/>
            <w:hideMark/>
          </w:tcPr>
          <w:p w:rsidRPr="00990F7D" w:rsidR="00287221" w:rsidP="00287084" w:rsidRDefault="00287221" w14:paraId="25E2E7F1" w14:textId="77777777">
            <w:pPr>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Total</w:t>
            </w:r>
          </w:p>
        </w:tc>
        <w:tc>
          <w:tcPr>
            <w:tcW w:w="1834" w:type="dxa"/>
            <w:tcBorders>
              <w:top w:val="nil"/>
              <w:left w:val="nil"/>
              <w:bottom w:val="nil"/>
              <w:right w:val="nil"/>
            </w:tcBorders>
            <w:shd w:val="clear" w:color="auto" w:fill="auto"/>
            <w:noWrap/>
            <w:vAlign w:val="center"/>
            <w:hideMark/>
          </w:tcPr>
          <w:p w:rsidRPr="00990F7D" w:rsidR="00287221" w:rsidP="00287084" w:rsidRDefault="00287221" w14:paraId="0CE8CD30" w14:textId="77777777">
            <w:pPr>
              <w:jc w:val="right"/>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2240</w:t>
            </w:r>
          </w:p>
        </w:tc>
        <w:tc>
          <w:tcPr>
            <w:tcW w:w="1430" w:type="dxa"/>
            <w:tcBorders>
              <w:top w:val="nil"/>
              <w:left w:val="nil"/>
              <w:bottom w:val="nil"/>
              <w:right w:val="nil"/>
            </w:tcBorders>
            <w:shd w:val="clear" w:color="auto" w:fill="auto"/>
            <w:noWrap/>
            <w:vAlign w:val="center"/>
            <w:hideMark/>
          </w:tcPr>
          <w:p w:rsidRPr="00990F7D" w:rsidR="00287221" w:rsidP="00287084" w:rsidRDefault="00287221" w14:paraId="5A146C99" w14:textId="77777777">
            <w:pPr>
              <w:jc w:val="right"/>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100</w:t>
            </w:r>
          </w:p>
        </w:tc>
      </w:tr>
      <w:tr w:rsidRPr="00990F7D" w:rsidR="00287221" w:rsidTr="00287084" w14:paraId="6485F84C" w14:textId="77777777">
        <w:trPr>
          <w:trHeight w:val="20"/>
        </w:trPr>
        <w:tc>
          <w:tcPr>
            <w:tcW w:w="5944" w:type="dxa"/>
            <w:tcBorders>
              <w:top w:val="nil"/>
              <w:left w:val="nil"/>
              <w:bottom w:val="nil"/>
              <w:right w:val="nil"/>
            </w:tcBorders>
            <w:shd w:val="clear" w:color="auto" w:fill="auto"/>
            <w:noWrap/>
            <w:vAlign w:val="center"/>
            <w:hideMark/>
          </w:tcPr>
          <w:p w:rsidRPr="00990F7D" w:rsidR="00287221" w:rsidP="00287084" w:rsidRDefault="00287221" w14:paraId="2AA71E2C" w14:textId="77777777">
            <w:pPr>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Analysis Cases</w:t>
            </w:r>
          </w:p>
        </w:tc>
        <w:tc>
          <w:tcPr>
            <w:tcW w:w="1834" w:type="dxa"/>
            <w:tcBorders>
              <w:top w:val="nil"/>
              <w:left w:val="nil"/>
              <w:bottom w:val="nil"/>
              <w:right w:val="nil"/>
            </w:tcBorders>
            <w:shd w:val="clear" w:color="auto" w:fill="auto"/>
            <w:noWrap/>
            <w:vAlign w:val="center"/>
            <w:hideMark/>
          </w:tcPr>
          <w:p w:rsidRPr="00990F7D" w:rsidR="00287221" w:rsidP="00287084" w:rsidRDefault="00287221" w14:paraId="683D48E9" w14:textId="77777777">
            <w:pPr>
              <w:jc w:val="right"/>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1620</w:t>
            </w:r>
          </w:p>
        </w:tc>
        <w:tc>
          <w:tcPr>
            <w:tcW w:w="1430" w:type="dxa"/>
            <w:tcBorders>
              <w:top w:val="nil"/>
              <w:left w:val="nil"/>
              <w:bottom w:val="nil"/>
              <w:right w:val="nil"/>
            </w:tcBorders>
            <w:shd w:val="clear" w:color="auto" w:fill="auto"/>
            <w:noWrap/>
            <w:vAlign w:val="center"/>
            <w:hideMark/>
          </w:tcPr>
          <w:p w:rsidRPr="00990F7D" w:rsidR="00287221" w:rsidP="00287084" w:rsidRDefault="00287221" w14:paraId="12230510" w14:textId="77777777">
            <w:pPr>
              <w:jc w:val="right"/>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72.3</w:t>
            </w:r>
          </w:p>
        </w:tc>
      </w:tr>
      <w:tr w:rsidRPr="00990F7D" w:rsidR="00287221" w:rsidTr="00287084" w14:paraId="48A9C41E" w14:textId="77777777">
        <w:trPr>
          <w:trHeight w:val="20"/>
        </w:trPr>
        <w:tc>
          <w:tcPr>
            <w:tcW w:w="5944" w:type="dxa"/>
            <w:tcBorders>
              <w:top w:val="nil"/>
              <w:left w:val="nil"/>
              <w:bottom w:val="nil"/>
              <w:right w:val="nil"/>
            </w:tcBorders>
            <w:shd w:val="clear" w:color="auto" w:fill="auto"/>
            <w:noWrap/>
            <w:vAlign w:val="center"/>
            <w:hideMark/>
          </w:tcPr>
          <w:p w:rsidRPr="00990F7D" w:rsidR="00287221" w:rsidP="00287084" w:rsidRDefault="00287221" w14:paraId="02937260" w14:textId="77777777">
            <w:pPr>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Excluded from analysis</w:t>
            </w:r>
            <w:r w:rsidRPr="00990F7D">
              <w:rPr>
                <w:rFonts w:ascii="Arial" w:hAnsi="Arial" w:eastAsia="Times New Roman" w:cs="Arial"/>
                <w:b/>
                <w:bCs/>
                <w:color w:val="000000"/>
                <w:sz w:val="18"/>
                <w:szCs w:val="18"/>
                <w:vertAlign w:val="superscript"/>
              </w:rPr>
              <w:t>1</w:t>
            </w:r>
          </w:p>
        </w:tc>
        <w:tc>
          <w:tcPr>
            <w:tcW w:w="1834" w:type="dxa"/>
            <w:tcBorders>
              <w:top w:val="nil"/>
              <w:left w:val="nil"/>
              <w:bottom w:val="nil"/>
              <w:right w:val="nil"/>
            </w:tcBorders>
            <w:shd w:val="clear" w:color="auto" w:fill="auto"/>
            <w:noWrap/>
            <w:vAlign w:val="center"/>
            <w:hideMark/>
          </w:tcPr>
          <w:p w:rsidRPr="00990F7D" w:rsidR="00287221" w:rsidP="00287084" w:rsidRDefault="00287221" w14:paraId="6D977C87" w14:textId="77777777">
            <w:pPr>
              <w:jc w:val="right"/>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620</w:t>
            </w:r>
          </w:p>
        </w:tc>
        <w:tc>
          <w:tcPr>
            <w:tcW w:w="1430" w:type="dxa"/>
            <w:tcBorders>
              <w:top w:val="nil"/>
              <w:left w:val="nil"/>
              <w:bottom w:val="nil"/>
              <w:right w:val="nil"/>
            </w:tcBorders>
            <w:shd w:val="clear" w:color="auto" w:fill="auto"/>
            <w:noWrap/>
            <w:vAlign w:val="center"/>
            <w:hideMark/>
          </w:tcPr>
          <w:p w:rsidRPr="00990F7D" w:rsidR="00287221" w:rsidP="00287084" w:rsidRDefault="00287221" w14:paraId="679134F7" w14:textId="77777777">
            <w:pPr>
              <w:jc w:val="right"/>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27.7</w:t>
            </w:r>
          </w:p>
        </w:tc>
      </w:tr>
      <w:tr w:rsidRPr="00990F7D" w:rsidR="00287221" w:rsidTr="00287084" w14:paraId="4C69AF70" w14:textId="77777777">
        <w:trPr>
          <w:trHeight w:val="20"/>
        </w:trPr>
        <w:tc>
          <w:tcPr>
            <w:tcW w:w="5944" w:type="dxa"/>
            <w:tcBorders>
              <w:top w:val="nil"/>
              <w:left w:val="nil"/>
              <w:bottom w:val="nil"/>
              <w:right w:val="nil"/>
            </w:tcBorders>
            <w:shd w:val="clear" w:color="auto" w:fill="auto"/>
            <w:noWrap/>
            <w:vAlign w:val="center"/>
            <w:hideMark/>
          </w:tcPr>
          <w:p w:rsidRPr="00990F7D" w:rsidR="00287221" w:rsidP="00287084" w:rsidRDefault="00287221" w14:paraId="33D58B51" w14:textId="77777777">
            <w:pPr>
              <w:ind w:firstLine="180" w:firstLineChars="100"/>
              <w:rPr>
                <w:rFonts w:ascii="Arial" w:hAnsi="Arial" w:eastAsia="Times New Roman" w:cs="Arial"/>
                <w:color w:val="000000"/>
                <w:sz w:val="18"/>
                <w:szCs w:val="18"/>
              </w:rPr>
            </w:pPr>
            <w:r w:rsidRPr="00990F7D">
              <w:rPr>
                <w:rFonts w:ascii="Arial" w:hAnsi="Arial" w:eastAsia="Times New Roman" w:cs="Arial"/>
                <w:color w:val="000000"/>
                <w:sz w:val="18"/>
                <w:szCs w:val="18"/>
              </w:rPr>
              <w:t>NPSAS:20 nonrespondent</w:t>
            </w:r>
          </w:p>
        </w:tc>
        <w:tc>
          <w:tcPr>
            <w:tcW w:w="1834" w:type="dxa"/>
            <w:tcBorders>
              <w:top w:val="nil"/>
              <w:left w:val="nil"/>
              <w:bottom w:val="nil"/>
              <w:right w:val="nil"/>
            </w:tcBorders>
            <w:shd w:val="clear" w:color="auto" w:fill="auto"/>
            <w:noWrap/>
            <w:vAlign w:val="center"/>
            <w:hideMark/>
          </w:tcPr>
          <w:p w:rsidRPr="00990F7D" w:rsidR="00287221" w:rsidP="00287084" w:rsidRDefault="00287221" w14:paraId="224E62CB"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340</w:t>
            </w:r>
          </w:p>
        </w:tc>
        <w:tc>
          <w:tcPr>
            <w:tcW w:w="1430" w:type="dxa"/>
            <w:tcBorders>
              <w:top w:val="nil"/>
              <w:left w:val="nil"/>
              <w:bottom w:val="nil"/>
              <w:right w:val="nil"/>
            </w:tcBorders>
            <w:shd w:val="clear" w:color="auto" w:fill="auto"/>
            <w:noWrap/>
            <w:vAlign w:val="center"/>
            <w:hideMark/>
          </w:tcPr>
          <w:p w:rsidRPr="00990F7D" w:rsidR="00287221" w:rsidP="00287084" w:rsidRDefault="00287221" w14:paraId="3430BA59"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15.1</w:t>
            </w:r>
          </w:p>
        </w:tc>
      </w:tr>
      <w:tr w:rsidRPr="00990F7D" w:rsidR="00287221" w:rsidTr="00287084" w14:paraId="12393686" w14:textId="77777777">
        <w:trPr>
          <w:trHeight w:val="20"/>
        </w:trPr>
        <w:tc>
          <w:tcPr>
            <w:tcW w:w="5944" w:type="dxa"/>
            <w:tcBorders>
              <w:top w:val="nil"/>
              <w:left w:val="nil"/>
              <w:bottom w:val="nil"/>
              <w:right w:val="nil"/>
            </w:tcBorders>
            <w:shd w:val="clear" w:color="auto" w:fill="auto"/>
            <w:noWrap/>
            <w:vAlign w:val="center"/>
            <w:hideMark/>
          </w:tcPr>
          <w:p w:rsidRPr="00990F7D" w:rsidR="00287221" w:rsidP="00287084" w:rsidRDefault="00287221" w14:paraId="0D7C43FE" w14:textId="77777777">
            <w:pPr>
              <w:ind w:firstLine="180" w:firstLineChars="100"/>
              <w:rPr>
                <w:rFonts w:ascii="Arial" w:hAnsi="Arial" w:eastAsia="Times New Roman" w:cs="Arial"/>
                <w:color w:val="000000"/>
                <w:sz w:val="18"/>
                <w:szCs w:val="18"/>
              </w:rPr>
            </w:pPr>
            <w:r w:rsidRPr="00990F7D">
              <w:rPr>
                <w:rFonts w:ascii="Arial" w:hAnsi="Arial" w:eastAsia="Times New Roman" w:cs="Arial"/>
                <w:color w:val="000000"/>
                <w:sz w:val="18"/>
                <w:szCs w:val="18"/>
              </w:rPr>
              <w:t>Permanent address timing outlier</w:t>
            </w:r>
            <w:r w:rsidRPr="00990F7D">
              <w:rPr>
                <w:rFonts w:ascii="Arial" w:hAnsi="Arial" w:eastAsia="Times New Roman" w:cs="Arial"/>
                <w:color w:val="000000"/>
                <w:sz w:val="18"/>
                <w:szCs w:val="18"/>
                <w:vertAlign w:val="superscript"/>
              </w:rPr>
              <w:t>2</w:t>
            </w:r>
          </w:p>
        </w:tc>
        <w:tc>
          <w:tcPr>
            <w:tcW w:w="1834" w:type="dxa"/>
            <w:tcBorders>
              <w:top w:val="nil"/>
              <w:left w:val="nil"/>
              <w:bottom w:val="nil"/>
              <w:right w:val="nil"/>
            </w:tcBorders>
            <w:shd w:val="clear" w:color="auto" w:fill="auto"/>
            <w:noWrap/>
            <w:vAlign w:val="center"/>
            <w:hideMark/>
          </w:tcPr>
          <w:p w:rsidRPr="00990F7D" w:rsidR="00287221" w:rsidP="00287084" w:rsidRDefault="00287221" w14:paraId="734914C1"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250</w:t>
            </w:r>
          </w:p>
        </w:tc>
        <w:tc>
          <w:tcPr>
            <w:tcW w:w="1430" w:type="dxa"/>
            <w:tcBorders>
              <w:top w:val="nil"/>
              <w:left w:val="nil"/>
              <w:bottom w:val="nil"/>
              <w:right w:val="nil"/>
            </w:tcBorders>
            <w:shd w:val="clear" w:color="auto" w:fill="auto"/>
            <w:noWrap/>
            <w:vAlign w:val="center"/>
            <w:hideMark/>
          </w:tcPr>
          <w:p w:rsidRPr="00990F7D" w:rsidR="00287221" w:rsidP="00287084" w:rsidRDefault="00287221" w14:paraId="55AE13C4"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10.9</w:t>
            </w:r>
          </w:p>
        </w:tc>
      </w:tr>
      <w:tr w:rsidRPr="00990F7D" w:rsidR="00287221" w:rsidTr="00287084" w14:paraId="50384760" w14:textId="77777777">
        <w:trPr>
          <w:trHeight w:val="20"/>
        </w:trPr>
        <w:tc>
          <w:tcPr>
            <w:tcW w:w="5944" w:type="dxa"/>
            <w:tcBorders>
              <w:top w:val="nil"/>
              <w:left w:val="nil"/>
              <w:bottom w:val="nil"/>
              <w:right w:val="nil"/>
            </w:tcBorders>
            <w:shd w:val="clear" w:color="auto" w:fill="auto"/>
            <w:noWrap/>
            <w:vAlign w:val="center"/>
            <w:hideMark/>
          </w:tcPr>
          <w:p w:rsidRPr="00990F7D" w:rsidR="00287221" w:rsidP="00287084" w:rsidRDefault="00287221" w14:paraId="37ED70DF" w14:textId="77777777">
            <w:pPr>
              <w:ind w:firstLine="180" w:firstLineChars="100"/>
              <w:rPr>
                <w:rFonts w:ascii="Arial" w:hAnsi="Arial" w:eastAsia="Times New Roman" w:cs="Arial"/>
                <w:color w:val="000000"/>
                <w:sz w:val="18"/>
                <w:szCs w:val="18"/>
              </w:rPr>
            </w:pPr>
            <w:r w:rsidRPr="00990F7D">
              <w:rPr>
                <w:rFonts w:ascii="Arial" w:hAnsi="Arial" w:eastAsia="Times New Roman" w:cs="Arial"/>
                <w:color w:val="000000"/>
                <w:sz w:val="18"/>
                <w:szCs w:val="18"/>
              </w:rPr>
              <w:t>NPSAS:20 completed in Spanish</w:t>
            </w:r>
          </w:p>
        </w:tc>
        <w:tc>
          <w:tcPr>
            <w:tcW w:w="1834" w:type="dxa"/>
            <w:tcBorders>
              <w:top w:val="nil"/>
              <w:left w:val="nil"/>
              <w:bottom w:val="nil"/>
              <w:right w:val="nil"/>
            </w:tcBorders>
            <w:shd w:val="clear" w:color="auto" w:fill="auto"/>
            <w:noWrap/>
            <w:vAlign w:val="center"/>
            <w:hideMark/>
          </w:tcPr>
          <w:p w:rsidRPr="00990F7D" w:rsidR="00287221" w:rsidP="00287084" w:rsidRDefault="00287221" w14:paraId="2B0FEBB6"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20</w:t>
            </w:r>
          </w:p>
        </w:tc>
        <w:tc>
          <w:tcPr>
            <w:tcW w:w="1430" w:type="dxa"/>
            <w:tcBorders>
              <w:top w:val="nil"/>
              <w:left w:val="nil"/>
              <w:bottom w:val="nil"/>
              <w:right w:val="nil"/>
            </w:tcBorders>
            <w:shd w:val="clear" w:color="auto" w:fill="auto"/>
            <w:noWrap/>
            <w:vAlign w:val="center"/>
            <w:hideMark/>
          </w:tcPr>
          <w:p w:rsidRPr="00990F7D" w:rsidR="00287221" w:rsidP="00287084" w:rsidRDefault="00287221" w14:paraId="1CD270A6"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0.7</w:t>
            </w:r>
          </w:p>
        </w:tc>
      </w:tr>
      <w:tr w:rsidRPr="00990F7D" w:rsidR="00287221" w:rsidTr="00287084" w14:paraId="1CB17EB1" w14:textId="77777777">
        <w:trPr>
          <w:trHeight w:val="20"/>
        </w:trPr>
        <w:tc>
          <w:tcPr>
            <w:tcW w:w="5944" w:type="dxa"/>
            <w:tcBorders>
              <w:top w:val="nil"/>
              <w:left w:val="nil"/>
              <w:right w:val="nil"/>
            </w:tcBorders>
            <w:shd w:val="clear" w:color="auto" w:fill="auto"/>
            <w:noWrap/>
            <w:vAlign w:val="center"/>
            <w:hideMark/>
          </w:tcPr>
          <w:p w:rsidRPr="00990F7D" w:rsidR="00287221" w:rsidP="00287084" w:rsidRDefault="00287221" w14:paraId="1A171B20" w14:textId="77777777">
            <w:pPr>
              <w:ind w:firstLine="180" w:firstLineChars="100"/>
              <w:rPr>
                <w:rFonts w:ascii="Arial" w:hAnsi="Arial" w:eastAsia="Times New Roman" w:cs="Arial"/>
                <w:color w:val="000000"/>
                <w:sz w:val="18"/>
                <w:szCs w:val="18"/>
              </w:rPr>
            </w:pPr>
            <w:r w:rsidRPr="00990F7D">
              <w:rPr>
                <w:rFonts w:ascii="Arial" w:hAnsi="Arial" w:eastAsia="Times New Roman" w:cs="Arial"/>
                <w:color w:val="000000"/>
                <w:sz w:val="18"/>
                <w:szCs w:val="18"/>
              </w:rPr>
              <w:t>Partial interview</w:t>
            </w:r>
          </w:p>
        </w:tc>
        <w:tc>
          <w:tcPr>
            <w:tcW w:w="1834" w:type="dxa"/>
            <w:tcBorders>
              <w:top w:val="nil"/>
              <w:left w:val="nil"/>
              <w:right w:val="nil"/>
            </w:tcBorders>
            <w:shd w:val="clear" w:color="auto" w:fill="auto"/>
            <w:noWrap/>
            <w:vAlign w:val="center"/>
            <w:hideMark/>
          </w:tcPr>
          <w:p w:rsidRPr="00990F7D" w:rsidR="00287221" w:rsidP="00287084" w:rsidRDefault="00287221" w14:paraId="037847A9"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10</w:t>
            </w:r>
          </w:p>
        </w:tc>
        <w:tc>
          <w:tcPr>
            <w:tcW w:w="1430" w:type="dxa"/>
            <w:tcBorders>
              <w:top w:val="nil"/>
              <w:left w:val="nil"/>
              <w:right w:val="nil"/>
            </w:tcBorders>
            <w:shd w:val="clear" w:color="auto" w:fill="auto"/>
            <w:noWrap/>
            <w:vAlign w:val="center"/>
            <w:hideMark/>
          </w:tcPr>
          <w:p w:rsidRPr="00990F7D" w:rsidR="00287221" w:rsidP="00287084" w:rsidRDefault="00287221" w14:paraId="3861D83D"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0.6</w:t>
            </w:r>
          </w:p>
        </w:tc>
      </w:tr>
      <w:tr w:rsidRPr="00990F7D" w:rsidR="00287221" w:rsidTr="00287084" w14:paraId="34913B81" w14:textId="77777777">
        <w:trPr>
          <w:trHeight w:val="20"/>
        </w:trPr>
        <w:tc>
          <w:tcPr>
            <w:tcW w:w="5944" w:type="dxa"/>
            <w:tcBorders>
              <w:top w:val="nil"/>
              <w:left w:val="nil"/>
              <w:bottom w:val="single" w:color="auto" w:sz="12" w:space="0"/>
              <w:right w:val="nil"/>
            </w:tcBorders>
            <w:shd w:val="clear" w:color="auto" w:fill="auto"/>
            <w:noWrap/>
            <w:vAlign w:val="center"/>
            <w:hideMark/>
          </w:tcPr>
          <w:p w:rsidRPr="00990F7D" w:rsidR="00287221" w:rsidP="00287084" w:rsidRDefault="00287221" w14:paraId="605620AB" w14:textId="77777777">
            <w:pPr>
              <w:ind w:firstLine="180" w:firstLineChars="100"/>
              <w:rPr>
                <w:rFonts w:ascii="Arial" w:hAnsi="Arial" w:eastAsia="Times New Roman" w:cs="Arial"/>
                <w:color w:val="000000"/>
                <w:sz w:val="18"/>
                <w:szCs w:val="18"/>
              </w:rPr>
            </w:pPr>
            <w:r w:rsidRPr="00990F7D">
              <w:rPr>
                <w:rFonts w:ascii="Arial" w:hAnsi="Arial" w:eastAsia="Times New Roman" w:cs="Arial"/>
                <w:color w:val="000000"/>
                <w:sz w:val="18"/>
                <w:szCs w:val="18"/>
              </w:rPr>
              <w:t>Coded foreign permanent address</w:t>
            </w:r>
          </w:p>
        </w:tc>
        <w:tc>
          <w:tcPr>
            <w:tcW w:w="1834" w:type="dxa"/>
            <w:tcBorders>
              <w:top w:val="nil"/>
              <w:left w:val="nil"/>
              <w:bottom w:val="single" w:color="auto" w:sz="12" w:space="0"/>
              <w:right w:val="nil"/>
            </w:tcBorders>
            <w:shd w:val="clear" w:color="auto" w:fill="auto"/>
            <w:noWrap/>
            <w:vAlign w:val="center"/>
            <w:hideMark/>
          </w:tcPr>
          <w:p w:rsidRPr="00990F7D" w:rsidR="00287221" w:rsidP="00287084" w:rsidRDefault="00287221" w14:paraId="63302E30"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10</w:t>
            </w:r>
          </w:p>
        </w:tc>
        <w:tc>
          <w:tcPr>
            <w:tcW w:w="1430" w:type="dxa"/>
            <w:tcBorders>
              <w:top w:val="nil"/>
              <w:left w:val="nil"/>
              <w:bottom w:val="single" w:color="auto" w:sz="12" w:space="0"/>
              <w:right w:val="nil"/>
            </w:tcBorders>
            <w:shd w:val="clear" w:color="auto" w:fill="auto"/>
            <w:noWrap/>
            <w:vAlign w:val="center"/>
            <w:hideMark/>
          </w:tcPr>
          <w:p w:rsidRPr="00990F7D" w:rsidR="00287221" w:rsidP="00287084" w:rsidRDefault="00287221" w14:paraId="4A68E11F"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0.3</w:t>
            </w:r>
          </w:p>
        </w:tc>
      </w:tr>
    </w:tbl>
    <w:p w:rsidRPr="00990F7D" w:rsidR="00287221" w:rsidP="00287221" w:rsidRDefault="00287221" w14:paraId="42A48427" w14:textId="77777777">
      <w:pPr>
        <w:rPr>
          <w:rFonts w:ascii="Arial" w:hAnsi="Arial" w:eastAsia="Times New Roman" w:cs="Arial"/>
          <w:color w:val="000000"/>
          <w:sz w:val="16"/>
          <w:szCs w:val="16"/>
        </w:rPr>
      </w:pPr>
      <w:r w:rsidRPr="00990F7D">
        <w:rPr>
          <w:rFonts w:ascii="Arial" w:hAnsi="Arial" w:eastAsia="Times New Roman" w:cs="Arial"/>
          <w:color w:val="000000"/>
          <w:sz w:val="16"/>
          <w:szCs w:val="16"/>
        </w:rPr>
        <w:t xml:space="preserve">1 Cases could be excluded for multiple reasons; therefore, the exclusion categorization was prioritized according to the order listed in the table. For example, if a NPSAS:20 nonrespondent coded a foreign permanent address in BPS:20/22 field test, the case was categorized as having been excluded due to their NPSAS:20 nonresponse status. </w:t>
      </w:r>
    </w:p>
    <w:p w:rsidRPr="00990F7D" w:rsidR="00287221" w:rsidP="00287221" w:rsidRDefault="00287221" w14:paraId="3C6EA02A" w14:textId="18F0D2C0">
      <w:pPr>
        <w:rPr>
          <w:rFonts w:ascii="Arial" w:hAnsi="Arial" w:eastAsia="Times New Roman" w:cs="Arial"/>
          <w:color w:val="000000"/>
          <w:sz w:val="16"/>
          <w:szCs w:val="16"/>
        </w:rPr>
      </w:pPr>
      <w:r w:rsidRPr="00990F7D">
        <w:rPr>
          <w:rFonts w:ascii="Arial" w:hAnsi="Arial" w:eastAsia="Times New Roman" w:cs="Arial"/>
          <w:color w:val="000000"/>
          <w:sz w:val="16"/>
          <w:szCs w:val="16"/>
        </w:rPr>
        <w:t>2 Respondents identified as being time outliers for the permanent address collection from either study (N20G1ADR, B22G1ADR), or respondents for which the timing data was unavailable.</w:t>
      </w:r>
      <w:r w:rsidR="00C84326">
        <w:rPr>
          <w:rFonts w:ascii="Arial" w:hAnsi="Arial" w:eastAsia="Times New Roman" w:cs="Arial"/>
          <w:color w:val="000000"/>
          <w:sz w:val="16"/>
          <w:szCs w:val="16"/>
        </w:rPr>
        <w:t xml:space="preserve"> </w:t>
      </w:r>
      <w:r w:rsidR="00260C10">
        <w:rPr>
          <w:rFonts w:ascii="Arial" w:hAnsi="Arial" w:eastAsia="Times New Roman" w:cs="Arial"/>
          <w:color w:val="000000"/>
          <w:sz w:val="16"/>
          <w:szCs w:val="16"/>
        </w:rPr>
        <w:t>Outliers were calculated by normalizing the data and excluding extreme values identified by Tukey’s formula (1977) which is not sensitive to distributional assumptions. Respondents with timing burden for the enrollment intensity gate(s) outside of the interquartile range (IQR = 3rd quartile - 1st quartile) multiplied by 1.5 were identified as timing outliers.</w:t>
      </w:r>
    </w:p>
    <w:p w:rsidRPr="00990F7D" w:rsidR="00287221" w:rsidP="00287221" w:rsidRDefault="00287221" w14:paraId="7B03367C" w14:textId="77777777">
      <w:pPr>
        <w:rPr>
          <w:rFonts w:ascii="Arial" w:hAnsi="Arial" w:eastAsia="Times New Roman" w:cs="Arial"/>
          <w:color w:val="000000"/>
          <w:sz w:val="16"/>
          <w:szCs w:val="16"/>
        </w:rPr>
      </w:pPr>
      <w:r w:rsidRPr="00990F7D">
        <w:rPr>
          <w:rFonts w:ascii="Arial" w:hAnsi="Arial" w:eastAsia="Times New Roman" w:cs="Arial"/>
          <w:color w:val="000000"/>
          <w:sz w:val="16"/>
          <w:szCs w:val="16"/>
        </w:rPr>
        <w:t>NOTE: Detail may not sum to totals because of rounding.</w:t>
      </w:r>
    </w:p>
    <w:p w:rsidRPr="00990F7D" w:rsidR="00287221" w:rsidP="00287221" w:rsidRDefault="00287221" w14:paraId="454E1AF9" w14:textId="77777777">
      <w:pPr>
        <w:rPr>
          <w:rFonts w:ascii="Arial" w:hAnsi="Arial" w:eastAsia="Times New Roman" w:cs="Arial"/>
          <w:color w:val="000000"/>
          <w:sz w:val="16"/>
          <w:szCs w:val="16"/>
        </w:rPr>
      </w:pPr>
      <w:r w:rsidRPr="00990F7D">
        <w:rPr>
          <w:rFonts w:ascii="Arial" w:hAnsi="Arial" w:eastAsia="Times New Roman" w:cs="Arial"/>
          <w:color w:val="000000"/>
          <w:sz w:val="16"/>
          <w:szCs w:val="16"/>
        </w:rPr>
        <w:t>SOURCE: U.S. Department of Education, National Center for Education Statistics, 2020/22 Beginning Postsecondary Students (BPS:20/22) Field Test, and 2019-20 National Postsecondary Student Aid Study (NPSAS:20).</w:t>
      </w:r>
    </w:p>
    <w:p w:rsidR="00287221" w:rsidP="00287221" w:rsidRDefault="00287221" w14:paraId="606D99E6" w14:textId="77777777"/>
    <w:p w:rsidRPr="00C555EA" w:rsidR="00287221" w:rsidP="00287221" w:rsidRDefault="00287221" w14:paraId="67B5E56B" w14:textId="47337239">
      <w:pPr>
        <w:spacing w:after="120"/>
        <w:rPr>
          <w:szCs w:val="24"/>
        </w:rPr>
      </w:pPr>
      <w:r w:rsidRPr="006F20DE">
        <w:rPr>
          <w:i/>
          <w:iCs/>
          <w:szCs w:val="24"/>
        </w:rPr>
        <w:t>Missingness.</w:t>
      </w:r>
      <w:r w:rsidRPr="00C555EA">
        <w:rPr>
          <w:i/>
          <w:iCs/>
          <w:szCs w:val="24"/>
        </w:rPr>
        <w:t xml:space="preserve"> </w:t>
      </w:r>
      <w:r w:rsidRPr="00C555EA">
        <w:rPr>
          <w:rFonts w:cs="Calibri"/>
          <w:color w:val="000000"/>
          <w:szCs w:val="24"/>
        </w:rPr>
        <w:t xml:space="preserve">Overall, 98 percent of respondents provided a complete permanent address in NPSAS:20, compared to 85 percent in BPS:20/22 field test </w:t>
      </w:r>
      <w:r w:rsidRPr="00C555EA">
        <w:rPr>
          <w:rFonts w:eastAsia="Times New Roman"/>
          <w:szCs w:val="24"/>
        </w:rPr>
        <w:t>(</w:t>
      </w:r>
      <w:r w:rsidRPr="00C555EA">
        <w:rPr>
          <w:rStyle w:val="Emphasis"/>
          <w:rFonts w:eastAsia="Times New Roman"/>
          <w:szCs w:val="24"/>
        </w:rPr>
        <w:t>t</w:t>
      </w:r>
      <w:r w:rsidRPr="00C555EA">
        <w:rPr>
          <w:rFonts w:eastAsia="Times New Roman"/>
          <w:szCs w:val="24"/>
        </w:rPr>
        <w:t xml:space="preserve">(2023.5) = 13.88, </w:t>
      </w:r>
      <w:r w:rsidRPr="00C555EA">
        <w:rPr>
          <w:rStyle w:val="Emphasis"/>
          <w:rFonts w:eastAsia="Times New Roman"/>
          <w:szCs w:val="24"/>
        </w:rPr>
        <w:t>p</w:t>
      </w:r>
      <w:r w:rsidRPr="00C555EA">
        <w:rPr>
          <w:rFonts w:eastAsia="Times New Roman"/>
          <w:szCs w:val="24"/>
        </w:rPr>
        <w:t xml:space="preserve"> &lt; .0001)</w:t>
      </w:r>
      <w:r w:rsidRPr="00C555EA">
        <w:rPr>
          <w:rStyle w:val="FootnoteReference"/>
          <w:rFonts w:cs="Calibri"/>
          <w:color w:val="000000"/>
          <w:szCs w:val="24"/>
        </w:rPr>
        <w:t xml:space="preserve"> </w:t>
      </w:r>
      <w:r w:rsidRPr="00C555EA">
        <w:rPr>
          <w:rStyle w:val="FootnoteReference"/>
          <w:rFonts w:cs="Calibri"/>
          <w:color w:val="000000"/>
          <w:szCs w:val="24"/>
        </w:rPr>
        <w:footnoteReference w:id="5"/>
      </w:r>
      <w:r w:rsidRPr="00C555EA">
        <w:rPr>
          <w:rFonts w:eastAsia="Times New Roman"/>
          <w:szCs w:val="24"/>
        </w:rPr>
        <w:t>.</w:t>
      </w:r>
      <w:r w:rsidRPr="00C555EA">
        <w:rPr>
          <w:rFonts w:cs="Calibri"/>
          <w:color w:val="000000"/>
          <w:szCs w:val="24"/>
        </w:rPr>
        <w:t xml:space="preserve"> NPSAS:20 consistently yielded a higher rate of complete addresses, across all modes of administration (see</w:t>
      </w:r>
      <w:r>
        <w:rPr>
          <w:rFonts w:cs="Calibri"/>
          <w:color w:val="000000"/>
          <w:szCs w:val="24"/>
        </w:rPr>
        <w:t xml:space="preserve"> Table </w:t>
      </w:r>
      <w:r w:rsidR="00A3046F">
        <w:rPr>
          <w:rFonts w:cs="Calibri"/>
          <w:color w:val="000000"/>
          <w:szCs w:val="24"/>
        </w:rPr>
        <w:t>D</w:t>
      </w:r>
      <w:r w:rsidR="00EE3E0D">
        <w:rPr>
          <w:rFonts w:cs="Calibri"/>
          <w:color w:val="000000"/>
          <w:szCs w:val="24"/>
        </w:rPr>
        <w:t>.</w:t>
      </w:r>
      <w:r>
        <w:rPr>
          <w:rFonts w:cs="Calibri"/>
          <w:color w:val="000000"/>
          <w:szCs w:val="24"/>
        </w:rPr>
        <w:t>14</w:t>
      </w:r>
      <w:r w:rsidRPr="00C555EA">
        <w:rPr>
          <w:rFonts w:cs="Calibri"/>
          <w:color w:val="000000"/>
          <w:szCs w:val="24"/>
        </w:rPr>
        <w:t xml:space="preserve">), and when controlling for mode change across the studies. Telephone mode had the highest completion rate for both studies. </w:t>
      </w:r>
    </w:p>
    <w:p w:rsidR="00287221" w:rsidP="009A36F8" w:rsidRDefault="00287221" w14:paraId="5386A298" w14:textId="428C43A7">
      <w:bookmarkStart w:name="_Ref79566227" w:id="38"/>
      <w:r>
        <w:t xml:space="preserve">Table </w:t>
      </w:r>
      <w:r w:rsidR="00A3046F">
        <w:t>D</w:t>
      </w:r>
      <w:r w:rsidR="00EE3E0D">
        <w:t>.</w:t>
      </w:r>
      <w:r w:rsidR="00832DA5">
        <w:fldChar w:fldCharType="begin"/>
      </w:r>
      <w:r w:rsidR="00832DA5">
        <w:instrText xml:space="preserve"> S</w:instrText>
      </w:r>
      <w:r w:rsidR="00832DA5">
        <w:instrText xml:space="preserve">EQ Table \* ARABIC </w:instrText>
      </w:r>
      <w:r w:rsidR="00832DA5">
        <w:fldChar w:fldCharType="separate"/>
      </w:r>
      <w:r>
        <w:rPr>
          <w:noProof/>
        </w:rPr>
        <w:t>14</w:t>
      </w:r>
      <w:r w:rsidR="00832DA5">
        <w:rPr>
          <w:noProof/>
        </w:rPr>
        <w:fldChar w:fldCharType="end"/>
      </w:r>
      <w:bookmarkEnd w:id="38"/>
      <w:r>
        <w:t xml:space="preserve">. </w:t>
      </w:r>
      <w:r w:rsidRPr="00FC2D76">
        <w:t>Permanent address completion rate by study, overall and by mode of administration: 2019-2021</w:t>
      </w:r>
    </w:p>
    <w:tbl>
      <w:tblPr>
        <w:tblW w:w="5000" w:type="pct"/>
        <w:tblLook w:val="04A0" w:firstRow="1" w:lastRow="0" w:firstColumn="1" w:lastColumn="0" w:noHBand="0" w:noVBand="1"/>
      </w:tblPr>
      <w:tblGrid>
        <w:gridCol w:w="2077"/>
        <w:gridCol w:w="937"/>
        <w:gridCol w:w="1301"/>
        <w:gridCol w:w="779"/>
        <w:gridCol w:w="1414"/>
        <w:gridCol w:w="779"/>
        <w:gridCol w:w="1300"/>
        <w:gridCol w:w="621"/>
        <w:gridCol w:w="1304"/>
      </w:tblGrid>
      <w:tr w:rsidRPr="00990F7D" w:rsidR="00287221" w:rsidTr="00287084" w14:paraId="063995D9" w14:textId="77777777">
        <w:trPr>
          <w:trHeight w:val="283"/>
        </w:trPr>
        <w:tc>
          <w:tcPr>
            <w:tcW w:w="1790" w:type="dxa"/>
            <w:vMerge w:val="restart"/>
            <w:tcBorders>
              <w:top w:val="single" w:color="auto" w:sz="12" w:space="0"/>
              <w:bottom w:val="single" w:color="auto" w:sz="6" w:space="0"/>
            </w:tcBorders>
            <w:shd w:val="clear" w:color="auto" w:fill="auto"/>
            <w:noWrap/>
            <w:vAlign w:val="bottom"/>
            <w:hideMark/>
          </w:tcPr>
          <w:p w:rsidRPr="00990F7D" w:rsidR="00287221" w:rsidP="00287084" w:rsidRDefault="00287221" w14:paraId="6F1890EF" w14:textId="77777777">
            <w:pPr>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Study</w:t>
            </w:r>
          </w:p>
        </w:tc>
        <w:tc>
          <w:tcPr>
            <w:tcW w:w="1928" w:type="dxa"/>
            <w:gridSpan w:val="2"/>
            <w:tcBorders>
              <w:top w:val="single" w:color="auto" w:sz="12" w:space="0"/>
            </w:tcBorders>
            <w:shd w:val="clear" w:color="auto" w:fill="auto"/>
            <w:noWrap/>
            <w:vAlign w:val="bottom"/>
            <w:hideMark/>
          </w:tcPr>
          <w:p w:rsidRPr="00990F7D" w:rsidR="00287221" w:rsidP="00287084" w:rsidRDefault="00287221" w14:paraId="1C7D1A5C" w14:textId="77777777">
            <w:pPr>
              <w:rPr>
                <w:rFonts w:ascii="Arial" w:hAnsi="Arial" w:eastAsia="Times New Roman" w:cs="Arial"/>
                <w:color w:val="000000"/>
                <w:sz w:val="18"/>
                <w:szCs w:val="18"/>
              </w:rPr>
            </w:pPr>
            <w:r w:rsidRPr="00990F7D">
              <w:rPr>
                <w:rFonts w:ascii="Arial" w:hAnsi="Arial" w:eastAsia="Times New Roman" w:cs="Arial"/>
                <w:color w:val="000000"/>
                <w:sz w:val="18"/>
                <w:szCs w:val="18"/>
              </w:rPr>
              <w:t> </w:t>
            </w:r>
          </w:p>
        </w:tc>
        <w:tc>
          <w:tcPr>
            <w:tcW w:w="5338" w:type="dxa"/>
            <w:gridSpan w:val="6"/>
            <w:tcBorders>
              <w:top w:val="single" w:color="auto" w:sz="12" w:space="0"/>
            </w:tcBorders>
            <w:shd w:val="clear" w:color="auto" w:fill="auto"/>
            <w:noWrap/>
            <w:vAlign w:val="bottom"/>
            <w:hideMark/>
          </w:tcPr>
          <w:p w:rsidRPr="00990F7D" w:rsidR="00287221" w:rsidP="00287084" w:rsidRDefault="00287221" w14:paraId="066906E1" w14:textId="77777777">
            <w:pPr>
              <w:jc w:val="center"/>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Mode of administration</w:t>
            </w:r>
          </w:p>
        </w:tc>
      </w:tr>
      <w:tr w:rsidRPr="00990F7D" w:rsidR="00287221" w:rsidTr="00287084" w14:paraId="5EDCE7AA" w14:textId="77777777">
        <w:trPr>
          <w:trHeight w:val="283"/>
        </w:trPr>
        <w:tc>
          <w:tcPr>
            <w:tcW w:w="1790" w:type="dxa"/>
            <w:vMerge/>
            <w:tcBorders>
              <w:top w:val="single" w:color="auto" w:sz="6" w:space="0"/>
            </w:tcBorders>
            <w:vAlign w:val="bottom"/>
            <w:hideMark/>
          </w:tcPr>
          <w:p w:rsidRPr="00990F7D" w:rsidR="00287221" w:rsidP="00287084" w:rsidRDefault="00287221" w14:paraId="6A364A78" w14:textId="77777777">
            <w:pPr>
              <w:rPr>
                <w:rFonts w:ascii="Arial" w:hAnsi="Arial" w:eastAsia="Times New Roman" w:cs="Arial"/>
                <w:b/>
                <w:bCs/>
                <w:color w:val="000000"/>
                <w:sz w:val="18"/>
                <w:szCs w:val="18"/>
              </w:rPr>
            </w:pPr>
          </w:p>
        </w:tc>
        <w:tc>
          <w:tcPr>
            <w:tcW w:w="1928" w:type="dxa"/>
            <w:gridSpan w:val="2"/>
            <w:shd w:val="clear" w:color="auto" w:fill="auto"/>
            <w:noWrap/>
            <w:vAlign w:val="bottom"/>
            <w:hideMark/>
          </w:tcPr>
          <w:p w:rsidRPr="00990F7D" w:rsidR="00287221" w:rsidP="00287084" w:rsidRDefault="00287221" w14:paraId="3FD3D6FA" w14:textId="77777777">
            <w:pPr>
              <w:jc w:val="right"/>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Overall</w:t>
            </w:r>
          </w:p>
        </w:tc>
        <w:tc>
          <w:tcPr>
            <w:tcW w:w="1889" w:type="dxa"/>
            <w:gridSpan w:val="2"/>
            <w:shd w:val="clear" w:color="auto" w:fill="auto"/>
            <w:noWrap/>
            <w:vAlign w:val="bottom"/>
            <w:hideMark/>
          </w:tcPr>
          <w:p w:rsidRPr="00990F7D" w:rsidR="00287221" w:rsidP="00287084" w:rsidRDefault="00287221" w14:paraId="3CEB188D" w14:textId="77777777">
            <w:pPr>
              <w:jc w:val="right"/>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Web nonmobile</w:t>
            </w:r>
          </w:p>
        </w:tc>
        <w:tc>
          <w:tcPr>
            <w:tcW w:w="1791" w:type="dxa"/>
            <w:gridSpan w:val="2"/>
            <w:shd w:val="clear" w:color="auto" w:fill="auto"/>
            <w:noWrap/>
            <w:vAlign w:val="bottom"/>
            <w:hideMark/>
          </w:tcPr>
          <w:p w:rsidRPr="00990F7D" w:rsidR="00287221" w:rsidP="00287084" w:rsidRDefault="00287221" w14:paraId="2219A9FF" w14:textId="77777777">
            <w:pPr>
              <w:jc w:val="right"/>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Web mobile</w:t>
            </w:r>
          </w:p>
        </w:tc>
        <w:tc>
          <w:tcPr>
            <w:tcW w:w="1658" w:type="dxa"/>
            <w:gridSpan w:val="2"/>
            <w:shd w:val="clear" w:color="auto" w:fill="auto"/>
            <w:noWrap/>
            <w:vAlign w:val="bottom"/>
            <w:hideMark/>
          </w:tcPr>
          <w:p w:rsidRPr="00990F7D" w:rsidR="00287221" w:rsidP="00287084" w:rsidRDefault="00287221" w14:paraId="4D9B6E22" w14:textId="77777777">
            <w:pPr>
              <w:jc w:val="right"/>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Telephone</w:t>
            </w:r>
          </w:p>
        </w:tc>
      </w:tr>
      <w:tr w:rsidRPr="00990F7D" w:rsidR="00287221" w:rsidTr="00287084" w14:paraId="4DF67242" w14:textId="77777777">
        <w:trPr>
          <w:trHeight w:val="297"/>
        </w:trPr>
        <w:tc>
          <w:tcPr>
            <w:tcW w:w="1790" w:type="dxa"/>
            <w:vMerge/>
            <w:vAlign w:val="bottom"/>
            <w:hideMark/>
          </w:tcPr>
          <w:p w:rsidRPr="00990F7D" w:rsidR="00287221" w:rsidP="00287084" w:rsidRDefault="00287221" w14:paraId="5BB05260" w14:textId="77777777">
            <w:pPr>
              <w:rPr>
                <w:rFonts w:ascii="Arial" w:hAnsi="Arial" w:eastAsia="Times New Roman" w:cs="Arial"/>
                <w:b/>
                <w:bCs/>
                <w:color w:val="000000"/>
                <w:sz w:val="18"/>
                <w:szCs w:val="18"/>
              </w:rPr>
            </w:pPr>
          </w:p>
        </w:tc>
        <w:tc>
          <w:tcPr>
            <w:tcW w:w="807" w:type="dxa"/>
            <w:tcBorders>
              <w:bottom w:val="single" w:color="auto" w:sz="6" w:space="0"/>
            </w:tcBorders>
            <w:shd w:val="clear" w:color="auto" w:fill="auto"/>
            <w:noWrap/>
            <w:vAlign w:val="bottom"/>
            <w:hideMark/>
          </w:tcPr>
          <w:p w:rsidRPr="00990F7D" w:rsidR="00287221" w:rsidP="00287084" w:rsidRDefault="00287221" w14:paraId="1655231D" w14:textId="77777777">
            <w:pPr>
              <w:jc w:val="right"/>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N</w:t>
            </w:r>
          </w:p>
        </w:tc>
        <w:tc>
          <w:tcPr>
            <w:tcW w:w="1121" w:type="dxa"/>
            <w:tcBorders>
              <w:bottom w:val="single" w:color="auto" w:sz="6" w:space="0"/>
            </w:tcBorders>
            <w:shd w:val="clear" w:color="auto" w:fill="auto"/>
            <w:noWrap/>
            <w:vAlign w:val="bottom"/>
            <w:hideMark/>
          </w:tcPr>
          <w:p w:rsidRPr="00990F7D" w:rsidR="00287221" w:rsidP="00287084" w:rsidRDefault="00287221" w14:paraId="5B30DB23" w14:textId="77777777">
            <w:pPr>
              <w:jc w:val="right"/>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Percent</w:t>
            </w:r>
          </w:p>
        </w:tc>
        <w:tc>
          <w:tcPr>
            <w:tcW w:w="671" w:type="dxa"/>
            <w:tcBorders>
              <w:bottom w:val="single" w:color="auto" w:sz="6" w:space="0"/>
            </w:tcBorders>
            <w:shd w:val="clear" w:color="auto" w:fill="auto"/>
            <w:noWrap/>
            <w:vAlign w:val="bottom"/>
            <w:hideMark/>
          </w:tcPr>
          <w:p w:rsidRPr="00990F7D" w:rsidR="00287221" w:rsidP="00287084" w:rsidRDefault="00287221" w14:paraId="7C53B21E" w14:textId="77777777">
            <w:pPr>
              <w:jc w:val="right"/>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N</w:t>
            </w:r>
          </w:p>
        </w:tc>
        <w:tc>
          <w:tcPr>
            <w:tcW w:w="1218" w:type="dxa"/>
            <w:tcBorders>
              <w:bottom w:val="single" w:color="auto" w:sz="6" w:space="0"/>
            </w:tcBorders>
            <w:shd w:val="clear" w:color="auto" w:fill="auto"/>
            <w:noWrap/>
            <w:vAlign w:val="bottom"/>
            <w:hideMark/>
          </w:tcPr>
          <w:p w:rsidRPr="00990F7D" w:rsidR="00287221" w:rsidP="00287084" w:rsidRDefault="00287221" w14:paraId="31E51206" w14:textId="77777777">
            <w:pPr>
              <w:jc w:val="right"/>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Percent</w:t>
            </w:r>
          </w:p>
        </w:tc>
        <w:tc>
          <w:tcPr>
            <w:tcW w:w="671" w:type="dxa"/>
            <w:tcBorders>
              <w:bottom w:val="single" w:color="auto" w:sz="6" w:space="0"/>
            </w:tcBorders>
            <w:shd w:val="clear" w:color="auto" w:fill="auto"/>
            <w:noWrap/>
            <w:vAlign w:val="bottom"/>
            <w:hideMark/>
          </w:tcPr>
          <w:p w:rsidRPr="00990F7D" w:rsidR="00287221" w:rsidP="00287084" w:rsidRDefault="00287221" w14:paraId="3BF14406" w14:textId="77777777">
            <w:pPr>
              <w:jc w:val="right"/>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N</w:t>
            </w:r>
          </w:p>
        </w:tc>
        <w:tc>
          <w:tcPr>
            <w:tcW w:w="1120" w:type="dxa"/>
            <w:tcBorders>
              <w:bottom w:val="single" w:color="auto" w:sz="6" w:space="0"/>
            </w:tcBorders>
            <w:shd w:val="clear" w:color="auto" w:fill="auto"/>
            <w:noWrap/>
            <w:vAlign w:val="bottom"/>
            <w:hideMark/>
          </w:tcPr>
          <w:p w:rsidRPr="00990F7D" w:rsidR="00287221" w:rsidP="00287084" w:rsidRDefault="00287221" w14:paraId="31CB7DD6" w14:textId="77777777">
            <w:pPr>
              <w:jc w:val="right"/>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Percent</w:t>
            </w:r>
          </w:p>
        </w:tc>
        <w:tc>
          <w:tcPr>
            <w:tcW w:w="535" w:type="dxa"/>
            <w:tcBorders>
              <w:bottom w:val="single" w:color="auto" w:sz="6" w:space="0"/>
            </w:tcBorders>
            <w:shd w:val="clear" w:color="auto" w:fill="auto"/>
            <w:noWrap/>
            <w:vAlign w:val="bottom"/>
            <w:hideMark/>
          </w:tcPr>
          <w:p w:rsidRPr="00990F7D" w:rsidR="00287221" w:rsidP="00287084" w:rsidRDefault="00287221" w14:paraId="66A7448B" w14:textId="77777777">
            <w:pPr>
              <w:jc w:val="right"/>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N</w:t>
            </w:r>
          </w:p>
        </w:tc>
        <w:tc>
          <w:tcPr>
            <w:tcW w:w="1123" w:type="dxa"/>
            <w:tcBorders>
              <w:bottom w:val="single" w:color="auto" w:sz="6" w:space="0"/>
            </w:tcBorders>
            <w:shd w:val="clear" w:color="auto" w:fill="auto"/>
            <w:noWrap/>
            <w:vAlign w:val="bottom"/>
            <w:hideMark/>
          </w:tcPr>
          <w:p w:rsidRPr="00990F7D" w:rsidR="00287221" w:rsidP="00287084" w:rsidRDefault="00287221" w14:paraId="39FD857A" w14:textId="77777777">
            <w:pPr>
              <w:jc w:val="right"/>
              <w:rPr>
                <w:rFonts w:ascii="Arial" w:hAnsi="Arial" w:eastAsia="Times New Roman" w:cs="Arial"/>
                <w:b/>
                <w:bCs/>
                <w:color w:val="000000"/>
                <w:sz w:val="18"/>
                <w:szCs w:val="18"/>
              </w:rPr>
            </w:pPr>
            <w:r w:rsidRPr="00990F7D">
              <w:rPr>
                <w:rFonts w:ascii="Arial" w:hAnsi="Arial" w:eastAsia="Times New Roman" w:cs="Arial"/>
                <w:b/>
                <w:bCs/>
                <w:color w:val="000000"/>
                <w:sz w:val="18"/>
                <w:szCs w:val="18"/>
              </w:rPr>
              <w:t>Percent</w:t>
            </w:r>
          </w:p>
        </w:tc>
      </w:tr>
      <w:tr w:rsidRPr="00990F7D" w:rsidR="00287221" w:rsidTr="00287084" w14:paraId="726224CE" w14:textId="77777777">
        <w:trPr>
          <w:trHeight w:val="20"/>
        </w:trPr>
        <w:tc>
          <w:tcPr>
            <w:tcW w:w="1790" w:type="dxa"/>
            <w:shd w:val="clear" w:color="auto" w:fill="auto"/>
            <w:noWrap/>
            <w:vAlign w:val="center"/>
            <w:hideMark/>
          </w:tcPr>
          <w:p w:rsidRPr="00990F7D" w:rsidR="00287221" w:rsidP="00287084" w:rsidRDefault="00287221" w14:paraId="028A3F1F" w14:textId="77777777">
            <w:pPr>
              <w:rPr>
                <w:rFonts w:ascii="Arial" w:hAnsi="Arial" w:eastAsia="Times New Roman" w:cs="Arial"/>
                <w:color w:val="000000"/>
                <w:sz w:val="18"/>
                <w:szCs w:val="18"/>
              </w:rPr>
            </w:pPr>
            <w:r w:rsidRPr="00990F7D">
              <w:rPr>
                <w:rFonts w:ascii="Arial" w:hAnsi="Arial" w:eastAsia="Times New Roman" w:cs="Arial"/>
                <w:color w:val="000000"/>
                <w:sz w:val="18"/>
                <w:szCs w:val="18"/>
              </w:rPr>
              <w:t>NPSAS:20 full-scale</w:t>
            </w:r>
          </w:p>
        </w:tc>
        <w:tc>
          <w:tcPr>
            <w:tcW w:w="807" w:type="dxa"/>
            <w:tcBorders>
              <w:top w:val="single" w:color="auto" w:sz="6" w:space="0"/>
            </w:tcBorders>
            <w:shd w:val="clear" w:color="auto" w:fill="auto"/>
            <w:noWrap/>
            <w:vAlign w:val="center"/>
            <w:hideMark/>
          </w:tcPr>
          <w:p w:rsidRPr="00990F7D" w:rsidR="00287221" w:rsidP="00287084" w:rsidRDefault="00287221" w14:paraId="0CA44661"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1620</w:t>
            </w:r>
          </w:p>
        </w:tc>
        <w:tc>
          <w:tcPr>
            <w:tcW w:w="1121" w:type="dxa"/>
            <w:tcBorders>
              <w:top w:val="single" w:color="auto" w:sz="6" w:space="0"/>
            </w:tcBorders>
            <w:shd w:val="clear" w:color="auto" w:fill="auto"/>
            <w:noWrap/>
            <w:vAlign w:val="center"/>
            <w:hideMark/>
          </w:tcPr>
          <w:p w:rsidRPr="00990F7D" w:rsidR="00287221" w:rsidP="00287084" w:rsidRDefault="00287221" w14:paraId="152CC0F9"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98.4</w:t>
            </w:r>
          </w:p>
        </w:tc>
        <w:tc>
          <w:tcPr>
            <w:tcW w:w="671" w:type="dxa"/>
            <w:tcBorders>
              <w:top w:val="single" w:color="auto" w:sz="6" w:space="0"/>
            </w:tcBorders>
            <w:shd w:val="clear" w:color="auto" w:fill="auto"/>
            <w:noWrap/>
            <w:vAlign w:val="center"/>
            <w:hideMark/>
          </w:tcPr>
          <w:p w:rsidRPr="00990F7D" w:rsidR="00287221" w:rsidP="00287084" w:rsidRDefault="00287221" w14:paraId="70F3D0BC"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800</w:t>
            </w:r>
          </w:p>
        </w:tc>
        <w:tc>
          <w:tcPr>
            <w:tcW w:w="1218" w:type="dxa"/>
            <w:tcBorders>
              <w:top w:val="single" w:color="auto" w:sz="6" w:space="0"/>
            </w:tcBorders>
            <w:shd w:val="clear" w:color="auto" w:fill="auto"/>
            <w:noWrap/>
            <w:vAlign w:val="center"/>
            <w:hideMark/>
          </w:tcPr>
          <w:p w:rsidRPr="00990F7D" w:rsidR="00287221" w:rsidP="00287084" w:rsidRDefault="00287221" w14:paraId="549BA768"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98.5</w:t>
            </w:r>
          </w:p>
        </w:tc>
        <w:tc>
          <w:tcPr>
            <w:tcW w:w="671" w:type="dxa"/>
            <w:tcBorders>
              <w:top w:val="single" w:color="auto" w:sz="6" w:space="0"/>
            </w:tcBorders>
            <w:shd w:val="clear" w:color="auto" w:fill="auto"/>
            <w:noWrap/>
            <w:vAlign w:val="center"/>
            <w:hideMark/>
          </w:tcPr>
          <w:p w:rsidRPr="00990F7D" w:rsidR="00287221" w:rsidP="00287084" w:rsidRDefault="00287221" w14:paraId="7272209D"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780</w:t>
            </w:r>
          </w:p>
        </w:tc>
        <w:tc>
          <w:tcPr>
            <w:tcW w:w="1120" w:type="dxa"/>
            <w:tcBorders>
              <w:top w:val="single" w:color="auto" w:sz="6" w:space="0"/>
            </w:tcBorders>
            <w:shd w:val="clear" w:color="auto" w:fill="auto"/>
            <w:noWrap/>
            <w:vAlign w:val="center"/>
            <w:hideMark/>
          </w:tcPr>
          <w:p w:rsidRPr="00990F7D" w:rsidR="00287221" w:rsidP="00287084" w:rsidRDefault="00287221" w14:paraId="1F5A0D17"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98.2</w:t>
            </w:r>
          </w:p>
        </w:tc>
        <w:tc>
          <w:tcPr>
            <w:tcW w:w="535" w:type="dxa"/>
            <w:tcBorders>
              <w:top w:val="single" w:color="auto" w:sz="6" w:space="0"/>
            </w:tcBorders>
            <w:shd w:val="clear" w:color="auto" w:fill="auto"/>
            <w:noWrap/>
            <w:vAlign w:val="center"/>
            <w:hideMark/>
          </w:tcPr>
          <w:p w:rsidRPr="00990F7D" w:rsidR="00287221" w:rsidP="00287084" w:rsidRDefault="00287221" w14:paraId="5CB4EE1D"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50</w:t>
            </w:r>
          </w:p>
        </w:tc>
        <w:tc>
          <w:tcPr>
            <w:tcW w:w="1123" w:type="dxa"/>
            <w:tcBorders>
              <w:top w:val="single" w:color="auto" w:sz="6" w:space="0"/>
            </w:tcBorders>
            <w:shd w:val="clear" w:color="auto" w:fill="auto"/>
            <w:noWrap/>
            <w:vAlign w:val="center"/>
            <w:hideMark/>
          </w:tcPr>
          <w:p w:rsidRPr="00990F7D" w:rsidR="00287221" w:rsidP="00287084" w:rsidRDefault="00287221" w14:paraId="241FC8AC"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100</w:t>
            </w:r>
          </w:p>
        </w:tc>
      </w:tr>
      <w:tr w:rsidRPr="00990F7D" w:rsidR="00287221" w:rsidTr="00287084" w14:paraId="42CEF0F8" w14:textId="77777777">
        <w:trPr>
          <w:trHeight w:val="20"/>
        </w:trPr>
        <w:tc>
          <w:tcPr>
            <w:tcW w:w="1790" w:type="dxa"/>
            <w:tcBorders>
              <w:bottom w:val="single" w:color="auto" w:sz="12" w:space="0"/>
            </w:tcBorders>
            <w:shd w:val="clear" w:color="auto" w:fill="auto"/>
            <w:noWrap/>
            <w:vAlign w:val="center"/>
            <w:hideMark/>
          </w:tcPr>
          <w:p w:rsidRPr="00990F7D" w:rsidR="00287221" w:rsidP="00287084" w:rsidRDefault="00287221" w14:paraId="3A2AE720" w14:textId="77777777">
            <w:pPr>
              <w:rPr>
                <w:rFonts w:ascii="Arial" w:hAnsi="Arial" w:eastAsia="Times New Roman" w:cs="Arial"/>
                <w:color w:val="000000"/>
                <w:sz w:val="18"/>
                <w:szCs w:val="18"/>
              </w:rPr>
            </w:pPr>
            <w:r w:rsidRPr="00990F7D">
              <w:rPr>
                <w:rFonts w:ascii="Arial" w:hAnsi="Arial" w:eastAsia="Times New Roman" w:cs="Arial"/>
                <w:color w:val="000000"/>
                <w:sz w:val="18"/>
                <w:szCs w:val="18"/>
              </w:rPr>
              <w:t>BPS:20/22 field test</w:t>
            </w:r>
          </w:p>
        </w:tc>
        <w:tc>
          <w:tcPr>
            <w:tcW w:w="807" w:type="dxa"/>
            <w:tcBorders>
              <w:bottom w:val="single" w:color="auto" w:sz="12" w:space="0"/>
            </w:tcBorders>
            <w:shd w:val="clear" w:color="auto" w:fill="auto"/>
            <w:noWrap/>
            <w:vAlign w:val="center"/>
            <w:hideMark/>
          </w:tcPr>
          <w:p w:rsidRPr="00990F7D" w:rsidR="00287221" w:rsidP="00287084" w:rsidRDefault="00287221" w14:paraId="1AF18CDF"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1620</w:t>
            </w:r>
          </w:p>
        </w:tc>
        <w:tc>
          <w:tcPr>
            <w:tcW w:w="1121" w:type="dxa"/>
            <w:tcBorders>
              <w:bottom w:val="single" w:color="auto" w:sz="12" w:space="0"/>
            </w:tcBorders>
            <w:shd w:val="clear" w:color="auto" w:fill="auto"/>
            <w:noWrap/>
            <w:vAlign w:val="center"/>
            <w:hideMark/>
          </w:tcPr>
          <w:p w:rsidRPr="00990F7D" w:rsidR="00287221" w:rsidP="00287084" w:rsidRDefault="00287221" w14:paraId="3FB5FD1C"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85.5</w:t>
            </w:r>
          </w:p>
        </w:tc>
        <w:tc>
          <w:tcPr>
            <w:tcW w:w="671" w:type="dxa"/>
            <w:tcBorders>
              <w:bottom w:val="single" w:color="auto" w:sz="12" w:space="0"/>
            </w:tcBorders>
            <w:shd w:val="clear" w:color="auto" w:fill="auto"/>
            <w:noWrap/>
            <w:vAlign w:val="center"/>
            <w:hideMark/>
          </w:tcPr>
          <w:p w:rsidRPr="00990F7D" w:rsidR="00287221" w:rsidP="00287084" w:rsidRDefault="00287221" w14:paraId="43BBFA8E"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830</w:t>
            </w:r>
          </w:p>
        </w:tc>
        <w:tc>
          <w:tcPr>
            <w:tcW w:w="1218" w:type="dxa"/>
            <w:tcBorders>
              <w:bottom w:val="single" w:color="auto" w:sz="12" w:space="0"/>
            </w:tcBorders>
            <w:shd w:val="clear" w:color="auto" w:fill="auto"/>
            <w:noWrap/>
            <w:vAlign w:val="center"/>
            <w:hideMark/>
          </w:tcPr>
          <w:p w:rsidRPr="00990F7D" w:rsidR="00287221" w:rsidP="00287084" w:rsidRDefault="00287221" w14:paraId="1D87FC32"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89.1</w:t>
            </w:r>
          </w:p>
        </w:tc>
        <w:tc>
          <w:tcPr>
            <w:tcW w:w="671" w:type="dxa"/>
            <w:tcBorders>
              <w:bottom w:val="single" w:color="auto" w:sz="12" w:space="0"/>
            </w:tcBorders>
            <w:shd w:val="clear" w:color="auto" w:fill="auto"/>
            <w:noWrap/>
            <w:vAlign w:val="center"/>
            <w:hideMark/>
          </w:tcPr>
          <w:p w:rsidRPr="00990F7D" w:rsidR="00287221" w:rsidP="00287084" w:rsidRDefault="00287221" w14:paraId="04E2BF24"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740</w:t>
            </w:r>
          </w:p>
        </w:tc>
        <w:tc>
          <w:tcPr>
            <w:tcW w:w="1120" w:type="dxa"/>
            <w:tcBorders>
              <w:bottom w:val="single" w:color="auto" w:sz="12" w:space="0"/>
            </w:tcBorders>
            <w:shd w:val="clear" w:color="auto" w:fill="auto"/>
            <w:noWrap/>
            <w:vAlign w:val="center"/>
            <w:hideMark/>
          </w:tcPr>
          <w:p w:rsidRPr="00990F7D" w:rsidR="00287221" w:rsidP="00287084" w:rsidRDefault="00287221" w14:paraId="09CB8BAB"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81.1</w:t>
            </w:r>
          </w:p>
        </w:tc>
        <w:tc>
          <w:tcPr>
            <w:tcW w:w="535" w:type="dxa"/>
            <w:tcBorders>
              <w:bottom w:val="single" w:color="auto" w:sz="12" w:space="0"/>
            </w:tcBorders>
            <w:shd w:val="clear" w:color="auto" w:fill="auto"/>
            <w:noWrap/>
            <w:vAlign w:val="center"/>
            <w:hideMark/>
          </w:tcPr>
          <w:p w:rsidRPr="00990F7D" w:rsidR="00287221" w:rsidP="00287084" w:rsidRDefault="00287221" w14:paraId="60B9CC73"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50</w:t>
            </w:r>
          </w:p>
        </w:tc>
        <w:tc>
          <w:tcPr>
            <w:tcW w:w="1123" w:type="dxa"/>
            <w:tcBorders>
              <w:bottom w:val="single" w:color="auto" w:sz="12" w:space="0"/>
            </w:tcBorders>
            <w:shd w:val="clear" w:color="auto" w:fill="auto"/>
            <w:noWrap/>
            <w:vAlign w:val="center"/>
            <w:hideMark/>
          </w:tcPr>
          <w:p w:rsidRPr="00990F7D" w:rsidR="00287221" w:rsidP="00287084" w:rsidRDefault="00287221" w14:paraId="52E553DC" w14:textId="77777777">
            <w:pPr>
              <w:jc w:val="right"/>
              <w:rPr>
                <w:rFonts w:ascii="Arial" w:hAnsi="Arial" w:eastAsia="Times New Roman" w:cs="Arial"/>
                <w:color w:val="000000"/>
                <w:sz w:val="18"/>
                <w:szCs w:val="18"/>
              </w:rPr>
            </w:pPr>
            <w:r w:rsidRPr="00990F7D">
              <w:rPr>
                <w:rFonts w:ascii="Arial" w:hAnsi="Arial" w:eastAsia="Times New Roman" w:cs="Arial"/>
                <w:color w:val="000000"/>
                <w:sz w:val="18"/>
                <w:szCs w:val="18"/>
              </w:rPr>
              <w:t>91.7</w:t>
            </w:r>
          </w:p>
        </w:tc>
      </w:tr>
    </w:tbl>
    <w:p w:rsidRPr="00990F7D" w:rsidR="00287221" w:rsidP="00287221" w:rsidRDefault="00287221" w14:paraId="17FF2FF7" w14:textId="77777777">
      <w:pPr>
        <w:rPr>
          <w:rFonts w:ascii="Arial" w:hAnsi="Arial" w:eastAsia="Times New Roman" w:cs="Arial"/>
          <w:color w:val="000000"/>
          <w:sz w:val="16"/>
          <w:szCs w:val="16"/>
        </w:rPr>
      </w:pPr>
      <w:r w:rsidRPr="00990F7D">
        <w:rPr>
          <w:rFonts w:ascii="Arial" w:hAnsi="Arial" w:eastAsia="Times New Roman" w:cs="Arial"/>
          <w:color w:val="000000"/>
          <w:sz w:val="16"/>
          <w:szCs w:val="16"/>
        </w:rPr>
        <w:t>NOTE: Detail may not sum to totals because of rounding.</w:t>
      </w:r>
    </w:p>
    <w:p w:rsidRPr="00990F7D" w:rsidR="00287221" w:rsidP="00287221" w:rsidRDefault="00287221" w14:paraId="33DFD05A" w14:textId="77777777">
      <w:pPr>
        <w:rPr>
          <w:rFonts w:ascii="Arial" w:hAnsi="Arial" w:eastAsia="Times New Roman" w:cs="Arial"/>
          <w:color w:val="000000"/>
          <w:sz w:val="16"/>
          <w:szCs w:val="16"/>
        </w:rPr>
      </w:pPr>
      <w:r w:rsidRPr="00990F7D">
        <w:rPr>
          <w:rFonts w:ascii="Arial" w:hAnsi="Arial" w:eastAsia="Times New Roman" w:cs="Arial"/>
          <w:color w:val="000000"/>
          <w:sz w:val="16"/>
          <w:szCs w:val="16"/>
        </w:rPr>
        <w:t>SOURCE: U.S. Department of Education, National Center for Education Statistics, 2020/22 Beginning Postsecondary Students (BPS:20/22) Field Test, and 2019-20 National Postsecondary Student Aid Study (NPSAS:20).</w:t>
      </w:r>
    </w:p>
    <w:p w:rsidRPr="00C555EA" w:rsidR="00287221" w:rsidP="00287221" w:rsidRDefault="00287221" w14:paraId="2C48DA53" w14:textId="77777777">
      <w:pPr>
        <w:rPr>
          <w:i/>
          <w:iCs/>
          <w:szCs w:val="24"/>
        </w:rPr>
      </w:pPr>
    </w:p>
    <w:p w:rsidRPr="00C555EA" w:rsidR="00287221" w:rsidP="00287221" w:rsidRDefault="00287221" w14:paraId="01EC5C87" w14:textId="54244CE7">
      <w:pPr>
        <w:spacing w:after="120"/>
        <w:rPr>
          <w:rFonts w:cs="Calibri"/>
          <w:color w:val="000000"/>
          <w:szCs w:val="24"/>
        </w:rPr>
      </w:pPr>
      <w:r w:rsidRPr="00C555EA">
        <w:rPr>
          <w:i/>
          <w:iCs/>
          <w:szCs w:val="24"/>
        </w:rPr>
        <w:t xml:space="preserve">Timing burden. </w:t>
      </w:r>
      <w:r w:rsidRPr="00C555EA">
        <w:rPr>
          <w:rFonts w:cs="Calibri"/>
          <w:color w:val="000000"/>
          <w:szCs w:val="24"/>
        </w:rPr>
        <w:t>Overall, it took respondents an average of 29.5 seconds to respond to the permanent address form in NPSAS:20 full-scale, significantly higher than the 27.1 seconds it took respondents in BPS:20/22 field test (</w:t>
      </w:r>
      <w:r w:rsidRPr="00C555EA">
        <w:rPr>
          <w:rFonts w:cs="Calibri"/>
          <w:i/>
          <w:iCs/>
          <w:color w:val="000000"/>
          <w:szCs w:val="24"/>
        </w:rPr>
        <w:t>t</w:t>
      </w:r>
      <w:r w:rsidRPr="00C555EA">
        <w:rPr>
          <w:rFonts w:cs="Calibri"/>
          <w:color w:val="000000"/>
          <w:szCs w:val="24"/>
        </w:rPr>
        <w:t xml:space="preserve">(3055.7) = 4.09, </w:t>
      </w:r>
      <w:r w:rsidRPr="00C555EA">
        <w:rPr>
          <w:rFonts w:cs="Calibri"/>
          <w:i/>
          <w:iCs/>
          <w:color w:val="000000"/>
          <w:szCs w:val="24"/>
        </w:rPr>
        <w:t>p</w:t>
      </w:r>
      <w:r w:rsidRPr="00C555EA">
        <w:rPr>
          <w:rFonts w:cs="Calibri"/>
          <w:color w:val="000000"/>
          <w:szCs w:val="24"/>
        </w:rPr>
        <w:t xml:space="preserve"> &lt; .0001). </w:t>
      </w:r>
      <w:r w:rsidRPr="00C555EA">
        <w:rPr>
          <w:rFonts w:cs="Calibri"/>
          <w:color w:val="000000"/>
          <w:szCs w:val="24"/>
        </w:rPr>
        <w:fldChar w:fldCharType="begin"/>
      </w:r>
      <w:r w:rsidRPr="00C555EA">
        <w:rPr>
          <w:rFonts w:cs="Calibri"/>
          <w:color w:val="000000"/>
          <w:szCs w:val="24"/>
        </w:rPr>
        <w:instrText xml:space="preserve"> REF _Ref79566263 \h  \* MERGEFORMAT </w:instrText>
      </w:r>
      <w:r w:rsidRPr="00C555EA">
        <w:rPr>
          <w:rFonts w:cs="Calibri"/>
          <w:color w:val="000000"/>
          <w:szCs w:val="24"/>
        </w:rPr>
      </w:r>
      <w:r w:rsidRPr="00C555EA">
        <w:rPr>
          <w:rFonts w:cs="Calibri"/>
          <w:color w:val="000000"/>
          <w:szCs w:val="24"/>
        </w:rPr>
        <w:fldChar w:fldCharType="separate"/>
      </w:r>
      <w:r w:rsidRPr="00A3046F" w:rsidR="00A3046F">
        <w:rPr>
          <w:szCs w:val="24"/>
        </w:rPr>
        <w:t>Table D.</w:t>
      </w:r>
      <w:r w:rsidRPr="00A3046F" w:rsidR="00A3046F">
        <w:rPr>
          <w:noProof/>
          <w:szCs w:val="24"/>
        </w:rPr>
        <w:t>15</w:t>
      </w:r>
      <w:r w:rsidRPr="00C555EA">
        <w:rPr>
          <w:rFonts w:cs="Calibri"/>
          <w:color w:val="000000"/>
          <w:szCs w:val="24"/>
        </w:rPr>
        <w:fldChar w:fldCharType="end"/>
      </w:r>
      <w:r w:rsidRPr="00C555EA">
        <w:rPr>
          <w:rFonts w:cs="Calibri"/>
          <w:color w:val="000000"/>
          <w:szCs w:val="24"/>
        </w:rPr>
        <w:t xml:space="preserve"> provides results of timing burden overall, and by mode of administration across the studies.</w:t>
      </w:r>
    </w:p>
    <w:p w:rsidRPr="00C555EA" w:rsidR="00287221" w:rsidP="00287221" w:rsidRDefault="00287221" w14:paraId="63A64743" w14:textId="77777777">
      <w:pPr>
        <w:spacing w:after="120"/>
        <w:rPr>
          <w:rFonts w:eastAsia="Times New Roman"/>
          <w:szCs w:val="24"/>
        </w:rPr>
      </w:pPr>
      <w:r w:rsidRPr="00C555EA">
        <w:rPr>
          <w:rFonts w:cs="Calibri"/>
          <w:color w:val="000000"/>
          <w:szCs w:val="24"/>
        </w:rPr>
        <w:t xml:space="preserve">The use of the Experian coder version of the permanent address collection in BPS:20/22 field test was faster than NPSAS:20 full-scale in all modes of administration, except for web nonmobile mode (though the difference is not statistically significant). Respondents who completed by web mobile mode, on average, spent 5 seconds less to provide an address in BPS:20/22 than respondents who completed by web mobile mode in NPSAS:20 </w:t>
      </w:r>
      <w:r w:rsidRPr="00C555EA">
        <w:rPr>
          <w:rFonts w:eastAsia="Times New Roman"/>
          <w:szCs w:val="24"/>
        </w:rPr>
        <w:t>(</w:t>
      </w:r>
      <w:r w:rsidRPr="00C555EA">
        <w:rPr>
          <w:rStyle w:val="Emphasis"/>
          <w:rFonts w:eastAsia="Times New Roman"/>
          <w:szCs w:val="24"/>
        </w:rPr>
        <w:t>t</w:t>
      </w:r>
      <w:r w:rsidRPr="00C555EA">
        <w:rPr>
          <w:rFonts w:eastAsia="Times New Roman"/>
          <w:szCs w:val="24"/>
        </w:rPr>
        <w:t xml:space="preserve">(1500.8) = 6.09, </w:t>
      </w:r>
      <w:r w:rsidRPr="00C555EA">
        <w:rPr>
          <w:rStyle w:val="Emphasis"/>
          <w:rFonts w:eastAsia="Times New Roman"/>
          <w:szCs w:val="24"/>
        </w:rPr>
        <w:t>p</w:t>
      </w:r>
      <w:r w:rsidRPr="00C555EA">
        <w:rPr>
          <w:rFonts w:eastAsia="Times New Roman"/>
          <w:szCs w:val="24"/>
        </w:rPr>
        <w:t xml:space="preserve"> &lt; .0001).</w:t>
      </w:r>
      <w:r w:rsidRPr="00C555EA">
        <w:rPr>
          <w:rFonts w:cs="Calibri"/>
          <w:color w:val="000000"/>
          <w:szCs w:val="24"/>
        </w:rPr>
        <w:t xml:space="preserve"> The most impactful burden-saving was for those who completed over the telephone, interviewers spent 18 seconds longer, on average, administering the permanent address in NPSAS:20 full-scale, compared to BPS:20/22 field test </w:t>
      </w:r>
      <w:r w:rsidRPr="00C555EA">
        <w:rPr>
          <w:rFonts w:eastAsia="Times New Roman"/>
          <w:szCs w:val="24"/>
        </w:rPr>
        <w:t>(</w:t>
      </w:r>
      <w:r w:rsidRPr="00C555EA">
        <w:rPr>
          <w:rStyle w:val="Emphasis"/>
          <w:rFonts w:eastAsia="Times New Roman"/>
          <w:szCs w:val="24"/>
        </w:rPr>
        <w:t>t</w:t>
      </w:r>
      <w:r w:rsidRPr="00C555EA">
        <w:rPr>
          <w:rFonts w:eastAsia="Times New Roman"/>
          <w:szCs w:val="24"/>
        </w:rPr>
        <w:t xml:space="preserve">(86.7) = 4.68, </w:t>
      </w:r>
      <w:r w:rsidRPr="00C555EA">
        <w:rPr>
          <w:rStyle w:val="Emphasis"/>
          <w:rFonts w:eastAsia="Times New Roman"/>
          <w:szCs w:val="24"/>
        </w:rPr>
        <w:t>p</w:t>
      </w:r>
      <w:r w:rsidRPr="00C555EA">
        <w:rPr>
          <w:rFonts w:eastAsia="Times New Roman"/>
          <w:szCs w:val="24"/>
        </w:rPr>
        <w:t xml:space="preserve"> &lt; .0001). </w:t>
      </w:r>
    </w:p>
    <w:p w:rsidRPr="00C555EA" w:rsidR="00287221" w:rsidP="00287221" w:rsidRDefault="00287221" w14:paraId="7D08B339" w14:textId="77777777">
      <w:pPr>
        <w:spacing w:after="120"/>
        <w:rPr>
          <w:szCs w:val="24"/>
        </w:rPr>
      </w:pPr>
      <w:r w:rsidRPr="00C555EA">
        <w:rPr>
          <w:rFonts w:eastAsia="Times New Roman"/>
          <w:szCs w:val="24"/>
        </w:rPr>
        <w:t xml:space="preserve">The above analysis focuses on the permanent address form which all respondents are administered. It is important to note the cumulative reduction of burden resulting from the Experian coder is dependent on number of addresses collected. Respondents may be administered up to six address forms to collect information for parents and guardians and another friend or family member for future study contacting purposes. </w:t>
      </w:r>
    </w:p>
    <w:p w:rsidR="00287221" w:rsidP="00287221" w:rsidRDefault="00287221" w14:paraId="51D09967" w14:textId="63DC6F53">
      <w:pPr>
        <w:pStyle w:val="TableTitle"/>
      </w:pPr>
      <w:bookmarkStart w:name="_Ref79566263" w:id="39"/>
      <w:r>
        <w:t xml:space="preserve">Table </w:t>
      </w:r>
      <w:r w:rsidR="00A3046F">
        <w:t>D</w:t>
      </w:r>
      <w:r w:rsidR="00EE3E0D">
        <w:t>.</w:t>
      </w:r>
      <w:r>
        <w:fldChar w:fldCharType="begin"/>
      </w:r>
      <w:r>
        <w:instrText xml:space="preserve"> SEQ Table \* ARABIC </w:instrText>
      </w:r>
      <w:r>
        <w:fldChar w:fldCharType="separate"/>
      </w:r>
      <w:r>
        <w:rPr>
          <w:noProof/>
        </w:rPr>
        <w:t>15</w:t>
      </w:r>
      <w:r>
        <w:fldChar w:fldCharType="end"/>
      </w:r>
      <w:bookmarkEnd w:id="39"/>
      <w:r>
        <w:t xml:space="preserve">. </w:t>
      </w:r>
      <w:r w:rsidRPr="005D65B3">
        <w:t>Permanent address timing burden by study, overall and by mode of administration: 2019-2021</w:t>
      </w:r>
    </w:p>
    <w:tbl>
      <w:tblPr>
        <w:tblW w:w="5000" w:type="pct"/>
        <w:tblLayout w:type="fixed"/>
        <w:tblLook w:val="04A0" w:firstRow="1" w:lastRow="0" w:firstColumn="1" w:lastColumn="0" w:noHBand="0" w:noVBand="1"/>
      </w:tblPr>
      <w:tblGrid>
        <w:gridCol w:w="2326"/>
        <w:gridCol w:w="910"/>
        <w:gridCol w:w="1211"/>
        <w:gridCol w:w="910"/>
        <w:gridCol w:w="1213"/>
        <w:gridCol w:w="809"/>
        <w:gridCol w:w="1213"/>
        <w:gridCol w:w="759"/>
        <w:gridCol w:w="1161"/>
      </w:tblGrid>
      <w:tr w:rsidRPr="004A64F8" w:rsidR="00287221" w:rsidTr="00287084" w14:paraId="6A8B1FB9" w14:textId="77777777">
        <w:trPr>
          <w:trHeight w:val="20"/>
        </w:trPr>
        <w:tc>
          <w:tcPr>
            <w:tcW w:w="1106" w:type="pct"/>
            <w:vMerge w:val="restart"/>
            <w:tcBorders>
              <w:top w:val="single" w:color="auto" w:sz="12" w:space="0"/>
              <w:left w:val="nil"/>
              <w:bottom w:val="single" w:color="000000" w:sz="8" w:space="0"/>
              <w:right w:val="nil"/>
            </w:tcBorders>
            <w:shd w:val="clear" w:color="auto" w:fill="auto"/>
            <w:noWrap/>
            <w:vAlign w:val="bottom"/>
            <w:hideMark/>
          </w:tcPr>
          <w:p w:rsidRPr="004A64F8" w:rsidR="00287221" w:rsidP="00287084" w:rsidRDefault="00287221" w14:paraId="4A99DC75" w14:textId="77777777">
            <w:pPr>
              <w:rPr>
                <w:rFonts w:ascii="Arial" w:hAnsi="Arial" w:eastAsia="Times New Roman" w:cs="Arial"/>
                <w:b/>
                <w:bCs/>
                <w:color w:val="000000"/>
                <w:sz w:val="18"/>
                <w:szCs w:val="18"/>
              </w:rPr>
            </w:pPr>
            <w:r w:rsidRPr="004A64F8">
              <w:rPr>
                <w:rFonts w:ascii="Arial" w:hAnsi="Arial" w:eastAsia="Times New Roman" w:cs="Arial"/>
                <w:b/>
                <w:bCs/>
                <w:color w:val="000000"/>
                <w:sz w:val="18"/>
                <w:szCs w:val="18"/>
              </w:rPr>
              <w:t>Study</w:t>
            </w:r>
          </w:p>
        </w:tc>
        <w:tc>
          <w:tcPr>
            <w:tcW w:w="433" w:type="pct"/>
            <w:tcBorders>
              <w:top w:val="single" w:color="auto" w:sz="12" w:space="0"/>
              <w:left w:val="nil"/>
              <w:right w:val="nil"/>
            </w:tcBorders>
            <w:shd w:val="clear" w:color="auto" w:fill="auto"/>
            <w:noWrap/>
            <w:hideMark/>
          </w:tcPr>
          <w:p w:rsidRPr="004A64F8" w:rsidR="00287221" w:rsidP="00287084" w:rsidRDefault="00287221" w14:paraId="0BAB5EC1" w14:textId="77777777">
            <w:pPr>
              <w:jc w:val="center"/>
              <w:rPr>
                <w:rFonts w:ascii="Arial" w:hAnsi="Arial" w:eastAsia="Times New Roman" w:cs="Arial"/>
                <w:color w:val="000000"/>
                <w:sz w:val="18"/>
                <w:szCs w:val="18"/>
              </w:rPr>
            </w:pPr>
          </w:p>
        </w:tc>
        <w:tc>
          <w:tcPr>
            <w:tcW w:w="576" w:type="pct"/>
            <w:tcBorders>
              <w:top w:val="single" w:color="auto" w:sz="12" w:space="0"/>
              <w:left w:val="nil"/>
              <w:right w:val="nil"/>
            </w:tcBorders>
            <w:shd w:val="clear" w:color="auto" w:fill="auto"/>
            <w:noWrap/>
            <w:hideMark/>
          </w:tcPr>
          <w:p w:rsidRPr="004A64F8" w:rsidR="00287221" w:rsidP="00287084" w:rsidRDefault="00287221" w14:paraId="485EDB51" w14:textId="77777777">
            <w:pPr>
              <w:jc w:val="center"/>
              <w:rPr>
                <w:rFonts w:ascii="Arial" w:hAnsi="Arial" w:eastAsia="Times New Roman" w:cs="Arial"/>
                <w:color w:val="000000"/>
                <w:sz w:val="18"/>
                <w:szCs w:val="18"/>
              </w:rPr>
            </w:pPr>
          </w:p>
        </w:tc>
        <w:tc>
          <w:tcPr>
            <w:tcW w:w="2885" w:type="pct"/>
            <w:gridSpan w:val="6"/>
            <w:tcBorders>
              <w:top w:val="single" w:color="auto" w:sz="12" w:space="0"/>
              <w:left w:val="nil"/>
              <w:right w:val="nil"/>
            </w:tcBorders>
            <w:shd w:val="clear" w:color="auto" w:fill="auto"/>
            <w:noWrap/>
            <w:vAlign w:val="center"/>
            <w:hideMark/>
          </w:tcPr>
          <w:p w:rsidRPr="004A64F8" w:rsidR="00287221" w:rsidP="00287084" w:rsidRDefault="00287221" w14:paraId="7A109E05" w14:textId="77777777">
            <w:pPr>
              <w:jc w:val="center"/>
              <w:rPr>
                <w:rFonts w:ascii="Arial" w:hAnsi="Arial" w:eastAsia="Times New Roman" w:cs="Arial"/>
                <w:b/>
                <w:bCs/>
                <w:color w:val="000000"/>
                <w:sz w:val="18"/>
                <w:szCs w:val="18"/>
              </w:rPr>
            </w:pPr>
            <w:r w:rsidRPr="004A64F8">
              <w:rPr>
                <w:rFonts w:ascii="Arial" w:hAnsi="Arial" w:eastAsia="Times New Roman" w:cs="Arial"/>
                <w:b/>
                <w:bCs/>
                <w:color w:val="000000"/>
                <w:sz w:val="18"/>
                <w:szCs w:val="18"/>
              </w:rPr>
              <w:t>Mode of administration</w:t>
            </w:r>
          </w:p>
        </w:tc>
      </w:tr>
      <w:tr w:rsidRPr="004A64F8" w:rsidR="00287221" w:rsidTr="00287084" w14:paraId="395D0EF6" w14:textId="77777777">
        <w:trPr>
          <w:trHeight w:val="20"/>
        </w:trPr>
        <w:tc>
          <w:tcPr>
            <w:tcW w:w="1106" w:type="pct"/>
            <w:vMerge/>
            <w:tcBorders>
              <w:top w:val="nil"/>
              <w:left w:val="nil"/>
              <w:bottom w:val="single" w:color="000000" w:sz="8" w:space="0"/>
              <w:right w:val="nil"/>
            </w:tcBorders>
            <w:vAlign w:val="center"/>
            <w:hideMark/>
          </w:tcPr>
          <w:p w:rsidRPr="004A64F8" w:rsidR="00287221" w:rsidP="00287084" w:rsidRDefault="00287221" w14:paraId="764CEA6C" w14:textId="77777777">
            <w:pPr>
              <w:rPr>
                <w:rFonts w:ascii="Arial" w:hAnsi="Arial" w:eastAsia="Times New Roman" w:cs="Arial"/>
                <w:b/>
                <w:bCs/>
                <w:color w:val="000000"/>
                <w:sz w:val="18"/>
                <w:szCs w:val="18"/>
              </w:rPr>
            </w:pPr>
          </w:p>
        </w:tc>
        <w:tc>
          <w:tcPr>
            <w:tcW w:w="1009" w:type="pct"/>
            <w:gridSpan w:val="2"/>
            <w:tcBorders>
              <w:left w:val="nil"/>
              <w:right w:val="nil"/>
            </w:tcBorders>
            <w:shd w:val="clear" w:color="auto" w:fill="auto"/>
            <w:noWrap/>
            <w:vAlign w:val="center"/>
            <w:hideMark/>
          </w:tcPr>
          <w:p w:rsidRPr="004A64F8" w:rsidR="00287221" w:rsidP="00287084" w:rsidRDefault="00287221" w14:paraId="7FCA38DA" w14:textId="77777777">
            <w:pPr>
              <w:jc w:val="center"/>
              <w:rPr>
                <w:rFonts w:ascii="Arial" w:hAnsi="Arial" w:eastAsia="Times New Roman" w:cs="Arial"/>
                <w:b/>
                <w:bCs/>
                <w:color w:val="000000"/>
                <w:sz w:val="18"/>
                <w:szCs w:val="18"/>
              </w:rPr>
            </w:pPr>
            <w:r w:rsidRPr="004A64F8">
              <w:rPr>
                <w:rFonts w:ascii="Arial" w:hAnsi="Arial" w:eastAsia="Times New Roman" w:cs="Arial"/>
                <w:b/>
                <w:bCs/>
                <w:color w:val="000000"/>
                <w:sz w:val="18"/>
                <w:szCs w:val="18"/>
              </w:rPr>
              <w:t>Overall</w:t>
            </w:r>
          </w:p>
        </w:tc>
        <w:tc>
          <w:tcPr>
            <w:tcW w:w="1010" w:type="pct"/>
            <w:gridSpan w:val="2"/>
            <w:tcBorders>
              <w:left w:val="nil"/>
              <w:right w:val="nil"/>
            </w:tcBorders>
            <w:shd w:val="clear" w:color="auto" w:fill="auto"/>
            <w:noWrap/>
            <w:vAlign w:val="center"/>
            <w:hideMark/>
          </w:tcPr>
          <w:p w:rsidRPr="004A64F8" w:rsidR="00287221" w:rsidP="00287084" w:rsidRDefault="00287221" w14:paraId="0BF3FAB6" w14:textId="77777777">
            <w:pPr>
              <w:jc w:val="center"/>
              <w:rPr>
                <w:rFonts w:ascii="Arial" w:hAnsi="Arial" w:eastAsia="Times New Roman" w:cs="Arial"/>
                <w:b/>
                <w:bCs/>
                <w:color w:val="000000"/>
                <w:sz w:val="18"/>
                <w:szCs w:val="18"/>
              </w:rPr>
            </w:pPr>
            <w:r w:rsidRPr="004A64F8">
              <w:rPr>
                <w:rFonts w:ascii="Arial" w:hAnsi="Arial" w:eastAsia="Times New Roman" w:cs="Arial"/>
                <w:b/>
                <w:bCs/>
                <w:color w:val="000000"/>
                <w:sz w:val="18"/>
                <w:szCs w:val="18"/>
              </w:rPr>
              <w:t>Web nonmobile</w:t>
            </w:r>
          </w:p>
        </w:tc>
        <w:tc>
          <w:tcPr>
            <w:tcW w:w="962" w:type="pct"/>
            <w:gridSpan w:val="2"/>
            <w:tcBorders>
              <w:left w:val="nil"/>
              <w:right w:val="nil"/>
            </w:tcBorders>
            <w:shd w:val="clear" w:color="auto" w:fill="auto"/>
            <w:noWrap/>
            <w:vAlign w:val="center"/>
            <w:hideMark/>
          </w:tcPr>
          <w:p w:rsidRPr="004A64F8" w:rsidR="00287221" w:rsidP="00287084" w:rsidRDefault="00287221" w14:paraId="29E5C0CE" w14:textId="77777777">
            <w:pPr>
              <w:jc w:val="center"/>
              <w:rPr>
                <w:rFonts w:ascii="Arial" w:hAnsi="Arial" w:eastAsia="Times New Roman" w:cs="Arial"/>
                <w:b/>
                <w:bCs/>
                <w:color w:val="000000"/>
                <w:sz w:val="18"/>
                <w:szCs w:val="18"/>
              </w:rPr>
            </w:pPr>
            <w:r w:rsidRPr="004A64F8">
              <w:rPr>
                <w:rFonts w:ascii="Arial" w:hAnsi="Arial" w:eastAsia="Times New Roman" w:cs="Arial"/>
                <w:b/>
                <w:bCs/>
                <w:color w:val="000000"/>
                <w:sz w:val="18"/>
                <w:szCs w:val="18"/>
              </w:rPr>
              <w:t>Web mobile</w:t>
            </w:r>
          </w:p>
        </w:tc>
        <w:tc>
          <w:tcPr>
            <w:tcW w:w="913" w:type="pct"/>
            <w:gridSpan w:val="2"/>
            <w:tcBorders>
              <w:left w:val="nil"/>
              <w:right w:val="nil"/>
            </w:tcBorders>
            <w:shd w:val="clear" w:color="auto" w:fill="auto"/>
            <w:noWrap/>
            <w:vAlign w:val="center"/>
            <w:hideMark/>
          </w:tcPr>
          <w:p w:rsidRPr="004A64F8" w:rsidR="00287221" w:rsidP="00287084" w:rsidRDefault="00287221" w14:paraId="6E226A83" w14:textId="77777777">
            <w:pPr>
              <w:jc w:val="center"/>
              <w:rPr>
                <w:rFonts w:ascii="Arial" w:hAnsi="Arial" w:eastAsia="Times New Roman" w:cs="Arial"/>
                <w:b/>
                <w:bCs/>
                <w:color w:val="000000"/>
                <w:sz w:val="18"/>
                <w:szCs w:val="18"/>
              </w:rPr>
            </w:pPr>
            <w:r w:rsidRPr="004A64F8">
              <w:rPr>
                <w:rFonts w:ascii="Arial" w:hAnsi="Arial" w:eastAsia="Times New Roman" w:cs="Arial"/>
                <w:b/>
                <w:bCs/>
                <w:color w:val="000000"/>
                <w:sz w:val="18"/>
                <w:szCs w:val="18"/>
              </w:rPr>
              <w:t>Telephone</w:t>
            </w:r>
          </w:p>
        </w:tc>
      </w:tr>
      <w:tr w:rsidRPr="004A64F8" w:rsidR="00287221" w:rsidTr="00287084" w14:paraId="2AB838E9" w14:textId="77777777">
        <w:trPr>
          <w:trHeight w:val="20"/>
        </w:trPr>
        <w:tc>
          <w:tcPr>
            <w:tcW w:w="1106" w:type="pct"/>
            <w:vMerge/>
            <w:tcBorders>
              <w:top w:val="nil"/>
              <w:left w:val="nil"/>
              <w:bottom w:val="single" w:color="000000" w:sz="8" w:space="0"/>
              <w:right w:val="nil"/>
            </w:tcBorders>
            <w:vAlign w:val="center"/>
            <w:hideMark/>
          </w:tcPr>
          <w:p w:rsidRPr="004A64F8" w:rsidR="00287221" w:rsidP="00287084" w:rsidRDefault="00287221" w14:paraId="4213D872" w14:textId="77777777">
            <w:pPr>
              <w:rPr>
                <w:rFonts w:ascii="Arial" w:hAnsi="Arial" w:eastAsia="Times New Roman" w:cs="Arial"/>
                <w:b/>
                <w:bCs/>
                <w:color w:val="000000"/>
                <w:sz w:val="18"/>
                <w:szCs w:val="18"/>
              </w:rPr>
            </w:pPr>
          </w:p>
        </w:tc>
        <w:tc>
          <w:tcPr>
            <w:tcW w:w="433" w:type="pct"/>
            <w:tcBorders>
              <w:left w:val="nil"/>
              <w:bottom w:val="single" w:color="auto" w:sz="8" w:space="0"/>
              <w:right w:val="nil"/>
            </w:tcBorders>
            <w:shd w:val="clear" w:color="auto" w:fill="auto"/>
            <w:vAlign w:val="center"/>
            <w:hideMark/>
          </w:tcPr>
          <w:p w:rsidRPr="004A64F8" w:rsidR="00287221" w:rsidP="00287084" w:rsidRDefault="00287221" w14:paraId="0E636888" w14:textId="77777777">
            <w:pPr>
              <w:jc w:val="right"/>
              <w:rPr>
                <w:rFonts w:ascii="Arial" w:hAnsi="Arial" w:eastAsia="Times New Roman" w:cs="Arial"/>
                <w:b/>
                <w:bCs/>
                <w:color w:val="000000"/>
                <w:sz w:val="18"/>
                <w:szCs w:val="18"/>
              </w:rPr>
            </w:pPr>
            <w:r w:rsidRPr="004A64F8">
              <w:rPr>
                <w:rFonts w:ascii="Arial" w:hAnsi="Arial" w:eastAsia="Times New Roman" w:cs="Arial"/>
                <w:b/>
                <w:bCs/>
                <w:color w:val="000000"/>
                <w:sz w:val="18"/>
                <w:szCs w:val="18"/>
              </w:rPr>
              <w:t>N</w:t>
            </w:r>
          </w:p>
        </w:tc>
        <w:tc>
          <w:tcPr>
            <w:tcW w:w="576" w:type="pct"/>
            <w:tcBorders>
              <w:left w:val="nil"/>
              <w:bottom w:val="single" w:color="auto" w:sz="8" w:space="0"/>
              <w:right w:val="nil"/>
            </w:tcBorders>
            <w:shd w:val="clear" w:color="auto" w:fill="auto"/>
            <w:vAlign w:val="center"/>
            <w:hideMark/>
          </w:tcPr>
          <w:p w:rsidRPr="004A64F8" w:rsidR="00287221" w:rsidP="00287084" w:rsidRDefault="00287221" w14:paraId="16ADD817" w14:textId="77777777">
            <w:pPr>
              <w:jc w:val="right"/>
              <w:rPr>
                <w:rFonts w:ascii="Arial" w:hAnsi="Arial" w:eastAsia="Times New Roman" w:cs="Arial"/>
                <w:b/>
                <w:bCs/>
                <w:color w:val="000000"/>
                <w:sz w:val="18"/>
                <w:szCs w:val="18"/>
              </w:rPr>
            </w:pPr>
            <w:r w:rsidRPr="004A64F8">
              <w:rPr>
                <w:rFonts w:ascii="Arial" w:hAnsi="Arial" w:eastAsia="Times New Roman" w:cs="Arial"/>
                <w:b/>
                <w:bCs/>
                <w:color w:val="000000"/>
                <w:sz w:val="18"/>
                <w:szCs w:val="18"/>
              </w:rPr>
              <w:t>Mean time (in seconds)</w:t>
            </w:r>
          </w:p>
        </w:tc>
        <w:tc>
          <w:tcPr>
            <w:tcW w:w="433" w:type="pct"/>
            <w:tcBorders>
              <w:left w:val="nil"/>
              <w:bottom w:val="single" w:color="auto" w:sz="8" w:space="0"/>
              <w:right w:val="nil"/>
            </w:tcBorders>
            <w:shd w:val="clear" w:color="auto" w:fill="auto"/>
            <w:vAlign w:val="center"/>
            <w:hideMark/>
          </w:tcPr>
          <w:p w:rsidRPr="004A64F8" w:rsidR="00287221" w:rsidP="00287084" w:rsidRDefault="00287221" w14:paraId="2647A40D" w14:textId="77777777">
            <w:pPr>
              <w:jc w:val="right"/>
              <w:rPr>
                <w:rFonts w:ascii="Arial" w:hAnsi="Arial" w:eastAsia="Times New Roman" w:cs="Arial"/>
                <w:b/>
                <w:bCs/>
                <w:color w:val="000000"/>
                <w:sz w:val="18"/>
                <w:szCs w:val="18"/>
              </w:rPr>
            </w:pPr>
            <w:r w:rsidRPr="004A64F8">
              <w:rPr>
                <w:rFonts w:ascii="Arial" w:hAnsi="Arial" w:eastAsia="Times New Roman" w:cs="Arial"/>
                <w:b/>
                <w:bCs/>
                <w:color w:val="000000"/>
                <w:sz w:val="18"/>
                <w:szCs w:val="18"/>
              </w:rPr>
              <w:t>N</w:t>
            </w:r>
          </w:p>
        </w:tc>
        <w:tc>
          <w:tcPr>
            <w:tcW w:w="577" w:type="pct"/>
            <w:tcBorders>
              <w:left w:val="nil"/>
              <w:bottom w:val="single" w:color="auto" w:sz="8" w:space="0"/>
              <w:right w:val="nil"/>
            </w:tcBorders>
            <w:shd w:val="clear" w:color="auto" w:fill="auto"/>
            <w:vAlign w:val="center"/>
            <w:hideMark/>
          </w:tcPr>
          <w:p w:rsidRPr="004A64F8" w:rsidR="00287221" w:rsidP="00287084" w:rsidRDefault="00287221" w14:paraId="256D5B52" w14:textId="77777777">
            <w:pPr>
              <w:jc w:val="right"/>
              <w:rPr>
                <w:rFonts w:ascii="Arial" w:hAnsi="Arial" w:eastAsia="Times New Roman" w:cs="Arial"/>
                <w:b/>
                <w:bCs/>
                <w:color w:val="000000"/>
                <w:sz w:val="18"/>
                <w:szCs w:val="18"/>
              </w:rPr>
            </w:pPr>
            <w:r w:rsidRPr="004A64F8">
              <w:rPr>
                <w:rFonts w:ascii="Arial" w:hAnsi="Arial" w:eastAsia="Times New Roman" w:cs="Arial"/>
                <w:b/>
                <w:bCs/>
                <w:color w:val="000000"/>
                <w:sz w:val="18"/>
                <w:szCs w:val="18"/>
              </w:rPr>
              <w:t>Mean time (in seconds)</w:t>
            </w:r>
          </w:p>
        </w:tc>
        <w:tc>
          <w:tcPr>
            <w:tcW w:w="385" w:type="pct"/>
            <w:tcBorders>
              <w:left w:val="nil"/>
              <w:bottom w:val="single" w:color="auto" w:sz="8" w:space="0"/>
              <w:right w:val="nil"/>
            </w:tcBorders>
            <w:shd w:val="clear" w:color="auto" w:fill="auto"/>
            <w:vAlign w:val="center"/>
            <w:hideMark/>
          </w:tcPr>
          <w:p w:rsidRPr="004A64F8" w:rsidR="00287221" w:rsidP="00287084" w:rsidRDefault="00287221" w14:paraId="6F550F09" w14:textId="77777777">
            <w:pPr>
              <w:jc w:val="right"/>
              <w:rPr>
                <w:rFonts w:ascii="Arial" w:hAnsi="Arial" w:eastAsia="Times New Roman" w:cs="Arial"/>
                <w:b/>
                <w:bCs/>
                <w:color w:val="000000"/>
                <w:sz w:val="18"/>
                <w:szCs w:val="18"/>
              </w:rPr>
            </w:pPr>
            <w:r w:rsidRPr="004A64F8">
              <w:rPr>
                <w:rFonts w:ascii="Arial" w:hAnsi="Arial" w:eastAsia="Times New Roman" w:cs="Arial"/>
                <w:b/>
                <w:bCs/>
                <w:color w:val="000000"/>
                <w:sz w:val="18"/>
                <w:szCs w:val="18"/>
              </w:rPr>
              <w:t>N</w:t>
            </w:r>
          </w:p>
        </w:tc>
        <w:tc>
          <w:tcPr>
            <w:tcW w:w="577" w:type="pct"/>
            <w:tcBorders>
              <w:left w:val="nil"/>
              <w:bottom w:val="single" w:color="auto" w:sz="8" w:space="0"/>
              <w:right w:val="nil"/>
            </w:tcBorders>
            <w:shd w:val="clear" w:color="auto" w:fill="auto"/>
            <w:vAlign w:val="center"/>
            <w:hideMark/>
          </w:tcPr>
          <w:p w:rsidRPr="004A64F8" w:rsidR="00287221" w:rsidP="00287084" w:rsidRDefault="00287221" w14:paraId="2D2EB997" w14:textId="77777777">
            <w:pPr>
              <w:jc w:val="right"/>
              <w:rPr>
                <w:rFonts w:ascii="Arial" w:hAnsi="Arial" w:eastAsia="Times New Roman" w:cs="Arial"/>
                <w:b/>
                <w:bCs/>
                <w:color w:val="000000"/>
                <w:sz w:val="18"/>
                <w:szCs w:val="18"/>
              </w:rPr>
            </w:pPr>
            <w:r w:rsidRPr="004A64F8">
              <w:rPr>
                <w:rFonts w:ascii="Arial" w:hAnsi="Arial" w:eastAsia="Times New Roman" w:cs="Arial"/>
                <w:b/>
                <w:bCs/>
                <w:color w:val="000000"/>
                <w:sz w:val="18"/>
                <w:szCs w:val="18"/>
              </w:rPr>
              <w:t>Mean time (in seconds)</w:t>
            </w:r>
          </w:p>
        </w:tc>
        <w:tc>
          <w:tcPr>
            <w:tcW w:w="361" w:type="pct"/>
            <w:tcBorders>
              <w:left w:val="nil"/>
              <w:bottom w:val="single" w:color="auto" w:sz="8" w:space="0"/>
              <w:right w:val="nil"/>
            </w:tcBorders>
            <w:shd w:val="clear" w:color="auto" w:fill="auto"/>
            <w:vAlign w:val="center"/>
            <w:hideMark/>
          </w:tcPr>
          <w:p w:rsidRPr="004A64F8" w:rsidR="00287221" w:rsidP="00287084" w:rsidRDefault="00287221" w14:paraId="7492B04B" w14:textId="77777777">
            <w:pPr>
              <w:jc w:val="right"/>
              <w:rPr>
                <w:rFonts w:ascii="Arial" w:hAnsi="Arial" w:eastAsia="Times New Roman" w:cs="Arial"/>
                <w:b/>
                <w:bCs/>
                <w:color w:val="000000"/>
                <w:sz w:val="18"/>
                <w:szCs w:val="18"/>
              </w:rPr>
            </w:pPr>
            <w:r w:rsidRPr="004A64F8">
              <w:rPr>
                <w:rFonts w:ascii="Arial" w:hAnsi="Arial" w:eastAsia="Times New Roman" w:cs="Arial"/>
                <w:b/>
                <w:bCs/>
                <w:color w:val="000000"/>
                <w:sz w:val="18"/>
                <w:szCs w:val="18"/>
              </w:rPr>
              <w:t>N</w:t>
            </w:r>
          </w:p>
        </w:tc>
        <w:tc>
          <w:tcPr>
            <w:tcW w:w="552" w:type="pct"/>
            <w:tcBorders>
              <w:left w:val="nil"/>
              <w:bottom w:val="single" w:color="auto" w:sz="8" w:space="0"/>
              <w:right w:val="nil"/>
            </w:tcBorders>
            <w:shd w:val="clear" w:color="auto" w:fill="auto"/>
            <w:vAlign w:val="center"/>
            <w:hideMark/>
          </w:tcPr>
          <w:p w:rsidRPr="004A64F8" w:rsidR="00287221" w:rsidP="00287084" w:rsidRDefault="00287221" w14:paraId="3A82104D" w14:textId="77777777">
            <w:pPr>
              <w:jc w:val="right"/>
              <w:rPr>
                <w:rFonts w:ascii="Arial" w:hAnsi="Arial" w:eastAsia="Times New Roman" w:cs="Arial"/>
                <w:b/>
                <w:bCs/>
                <w:color w:val="000000"/>
                <w:sz w:val="18"/>
                <w:szCs w:val="18"/>
              </w:rPr>
            </w:pPr>
            <w:r w:rsidRPr="004A64F8">
              <w:rPr>
                <w:rFonts w:ascii="Arial" w:hAnsi="Arial" w:eastAsia="Times New Roman" w:cs="Arial"/>
                <w:b/>
                <w:bCs/>
                <w:color w:val="000000"/>
                <w:sz w:val="18"/>
                <w:szCs w:val="18"/>
              </w:rPr>
              <w:t>Mean time (in seconds)</w:t>
            </w:r>
          </w:p>
        </w:tc>
      </w:tr>
      <w:tr w:rsidRPr="004A64F8" w:rsidR="00287221" w:rsidTr="00287084" w14:paraId="63924C7D" w14:textId="77777777">
        <w:trPr>
          <w:trHeight w:val="144"/>
        </w:trPr>
        <w:tc>
          <w:tcPr>
            <w:tcW w:w="1106" w:type="pct"/>
            <w:tcBorders>
              <w:top w:val="nil"/>
              <w:left w:val="nil"/>
              <w:right w:val="nil"/>
            </w:tcBorders>
            <w:shd w:val="clear" w:color="auto" w:fill="auto"/>
            <w:noWrap/>
            <w:vAlign w:val="center"/>
            <w:hideMark/>
          </w:tcPr>
          <w:p w:rsidRPr="004A64F8" w:rsidR="00287221" w:rsidP="00287084" w:rsidRDefault="00287221" w14:paraId="786BFB70" w14:textId="77777777">
            <w:pPr>
              <w:rPr>
                <w:rFonts w:ascii="Arial" w:hAnsi="Arial" w:eastAsia="Times New Roman" w:cs="Arial"/>
                <w:color w:val="000000"/>
                <w:sz w:val="18"/>
                <w:szCs w:val="18"/>
              </w:rPr>
            </w:pPr>
            <w:r w:rsidRPr="004A64F8">
              <w:rPr>
                <w:rFonts w:ascii="Arial" w:hAnsi="Arial" w:eastAsia="Times New Roman" w:cs="Arial"/>
                <w:color w:val="000000"/>
                <w:sz w:val="18"/>
                <w:szCs w:val="18"/>
              </w:rPr>
              <w:t>NPSAS:20 full-scale</w:t>
            </w:r>
          </w:p>
        </w:tc>
        <w:tc>
          <w:tcPr>
            <w:tcW w:w="433" w:type="pct"/>
            <w:tcBorders>
              <w:top w:val="nil"/>
              <w:left w:val="nil"/>
              <w:right w:val="nil"/>
            </w:tcBorders>
            <w:shd w:val="clear" w:color="auto" w:fill="auto"/>
            <w:noWrap/>
            <w:vAlign w:val="center"/>
            <w:hideMark/>
          </w:tcPr>
          <w:p w:rsidRPr="004A64F8" w:rsidR="00287221" w:rsidP="00287084" w:rsidRDefault="00287221" w14:paraId="6199EBC0" w14:textId="77777777">
            <w:pPr>
              <w:jc w:val="right"/>
              <w:rPr>
                <w:rFonts w:ascii="Arial" w:hAnsi="Arial" w:eastAsia="Times New Roman" w:cs="Arial"/>
                <w:color w:val="000000"/>
                <w:sz w:val="18"/>
                <w:szCs w:val="18"/>
              </w:rPr>
            </w:pPr>
            <w:r w:rsidRPr="004A64F8">
              <w:rPr>
                <w:rFonts w:ascii="Arial" w:hAnsi="Arial" w:eastAsia="Times New Roman" w:cs="Arial"/>
                <w:color w:val="000000"/>
                <w:sz w:val="18"/>
                <w:szCs w:val="18"/>
              </w:rPr>
              <w:t>1620</w:t>
            </w:r>
          </w:p>
        </w:tc>
        <w:tc>
          <w:tcPr>
            <w:tcW w:w="576" w:type="pct"/>
            <w:tcBorders>
              <w:top w:val="nil"/>
              <w:left w:val="nil"/>
              <w:right w:val="nil"/>
            </w:tcBorders>
            <w:shd w:val="clear" w:color="auto" w:fill="auto"/>
            <w:noWrap/>
            <w:vAlign w:val="bottom"/>
            <w:hideMark/>
          </w:tcPr>
          <w:p w:rsidRPr="004A64F8" w:rsidR="00287221" w:rsidP="00287084" w:rsidRDefault="00287221" w14:paraId="68F60C86" w14:textId="77777777">
            <w:pPr>
              <w:jc w:val="right"/>
              <w:rPr>
                <w:rFonts w:ascii="Arial" w:hAnsi="Arial" w:eastAsia="Times New Roman" w:cs="Arial"/>
                <w:color w:val="000000"/>
                <w:sz w:val="18"/>
                <w:szCs w:val="18"/>
              </w:rPr>
            </w:pPr>
            <w:r w:rsidRPr="004A64F8">
              <w:rPr>
                <w:rFonts w:ascii="Arial" w:hAnsi="Arial" w:eastAsia="Times New Roman" w:cs="Arial"/>
                <w:color w:val="000000"/>
                <w:sz w:val="18"/>
                <w:szCs w:val="18"/>
              </w:rPr>
              <w:t>29.5</w:t>
            </w:r>
          </w:p>
        </w:tc>
        <w:tc>
          <w:tcPr>
            <w:tcW w:w="433" w:type="pct"/>
            <w:tcBorders>
              <w:top w:val="nil"/>
              <w:left w:val="nil"/>
              <w:right w:val="nil"/>
            </w:tcBorders>
            <w:shd w:val="clear" w:color="auto" w:fill="auto"/>
            <w:noWrap/>
            <w:vAlign w:val="center"/>
            <w:hideMark/>
          </w:tcPr>
          <w:p w:rsidRPr="004A64F8" w:rsidR="00287221" w:rsidP="00287084" w:rsidRDefault="00287221" w14:paraId="424B6079" w14:textId="77777777">
            <w:pPr>
              <w:jc w:val="right"/>
              <w:rPr>
                <w:rFonts w:ascii="Arial" w:hAnsi="Arial" w:eastAsia="Times New Roman" w:cs="Arial"/>
                <w:color w:val="000000"/>
                <w:sz w:val="18"/>
                <w:szCs w:val="18"/>
              </w:rPr>
            </w:pPr>
            <w:r w:rsidRPr="004A64F8">
              <w:rPr>
                <w:rFonts w:ascii="Arial" w:hAnsi="Arial" w:eastAsia="Times New Roman" w:cs="Arial"/>
                <w:color w:val="000000"/>
                <w:sz w:val="18"/>
                <w:szCs w:val="18"/>
              </w:rPr>
              <w:t>800</w:t>
            </w:r>
          </w:p>
        </w:tc>
        <w:tc>
          <w:tcPr>
            <w:tcW w:w="577" w:type="pct"/>
            <w:tcBorders>
              <w:top w:val="nil"/>
              <w:left w:val="nil"/>
              <w:right w:val="nil"/>
            </w:tcBorders>
            <w:shd w:val="clear" w:color="auto" w:fill="auto"/>
            <w:noWrap/>
            <w:vAlign w:val="center"/>
            <w:hideMark/>
          </w:tcPr>
          <w:p w:rsidRPr="004A64F8" w:rsidR="00287221" w:rsidP="00287084" w:rsidRDefault="00287221" w14:paraId="60C0DC18" w14:textId="77777777">
            <w:pPr>
              <w:jc w:val="right"/>
              <w:rPr>
                <w:rFonts w:ascii="Arial" w:hAnsi="Arial" w:eastAsia="Times New Roman" w:cs="Arial"/>
                <w:color w:val="000000"/>
                <w:sz w:val="18"/>
                <w:szCs w:val="18"/>
              </w:rPr>
            </w:pPr>
            <w:r w:rsidRPr="004A64F8">
              <w:rPr>
                <w:rFonts w:ascii="Arial" w:hAnsi="Arial" w:eastAsia="Times New Roman" w:cs="Arial"/>
                <w:color w:val="000000"/>
                <w:sz w:val="18"/>
                <w:szCs w:val="18"/>
              </w:rPr>
              <w:t>23.4</w:t>
            </w:r>
          </w:p>
        </w:tc>
        <w:tc>
          <w:tcPr>
            <w:tcW w:w="385" w:type="pct"/>
            <w:tcBorders>
              <w:top w:val="nil"/>
              <w:left w:val="nil"/>
              <w:right w:val="nil"/>
            </w:tcBorders>
            <w:shd w:val="clear" w:color="auto" w:fill="auto"/>
            <w:noWrap/>
            <w:vAlign w:val="center"/>
            <w:hideMark/>
          </w:tcPr>
          <w:p w:rsidRPr="004A64F8" w:rsidR="00287221" w:rsidP="00287084" w:rsidRDefault="00287221" w14:paraId="61C87243" w14:textId="77777777">
            <w:pPr>
              <w:jc w:val="right"/>
              <w:rPr>
                <w:rFonts w:ascii="Arial" w:hAnsi="Arial" w:eastAsia="Times New Roman" w:cs="Arial"/>
                <w:color w:val="000000"/>
                <w:sz w:val="18"/>
                <w:szCs w:val="18"/>
              </w:rPr>
            </w:pPr>
            <w:r w:rsidRPr="004A64F8">
              <w:rPr>
                <w:rFonts w:ascii="Arial" w:hAnsi="Arial" w:eastAsia="Times New Roman" w:cs="Arial"/>
                <w:color w:val="000000"/>
                <w:sz w:val="18"/>
                <w:szCs w:val="18"/>
              </w:rPr>
              <w:t>780</w:t>
            </w:r>
          </w:p>
        </w:tc>
        <w:tc>
          <w:tcPr>
            <w:tcW w:w="577" w:type="pct"/>
            <w:tcBorders>
              <w:top w:val="nil"/>
              <w:left w:val="nil"/>
              <w:right w:val="nil"/>
            </w:tcBorders>
            <w:shd w:val="clear" w:color="auto" w:fill="auto"/>
            <w:noWrap/>
            <w:vAlign w:val="center"/>
            <w:hideMark/>
          </w:tcPr>
          <w:p w:rsidRPr="004A64F8" w:rsidR="00287221" w:rsidP="00287084" w:rsidRDefault="00287221" w14:paraId="61D4639B" w14:textId="77777777">
            <w:pPr>
              <w:jc w:val="right"/>
              <w:rPr>
                <w:rFonts w:ascii="Arial" w:hAnsi="Arial" w:eastAsia="Times New Roman" w:cs="Arial"/>
                <w:color w:val="000000"/>
                <w:sz w:val="18"/>
                <w:szCs w:val="18"/>
              </w:rPr>
            </w:pPr>
            <w:r w:rsidRPr="004A64F8">
              <w:rPr>
                <w:rFonts w:ascii="Arial" w:hAnsi="Arial" w:eastAsia="Times New Roman" w:cs="Arial"/>
                <w:color w:val="000000"/>
                <w:sz w:val="18"/>
                <w:szCs w:val="18"/>
              </w:rPr>
              <w:t>33.4</w:t>
            </w:r>
          </w:p>
        </w:tc>
        <w:tc>
          <w:tcPr>
            <w:tcW w:w="361" w:type="pct"/>
            <w:tcBorders>
              <w:top w:val="nil"/>
              <w:left w:val="nil"/>
              <w:right w:val="nil"/>
            </w:tcBorders>
            <w:shd w:val="clear" w:color="auto" w:fill="auto"/>
            <w:noWrap/>
            <w:vAlign w:val="center"/>
            <w:hideMark/>
          </w:tcPr>
          <w:p w:rsidRPr="004A64F8" w:rsidR="00287221" w:rsidP="00287084" w:rsidRDefault="00287221" w14:paraId="2BFE2766" w14:textId="77777777">
            <w:pPr>
              <w:jc w:val="right"/>
              <w:rPr>
                <w:rFonts w:ascii="Arial" w:hAnsi="Arial" w:eastAsia="Times New Roman" w:cs="Arial"/>
                <w:color w:val="000000"/>
                <w:sz w:val="18"/>
                <w:szCs w:val="18"/>
              </w:rPr>
            </w:pPr>
            <w:r w:rsidRPr="004A64F8">
              <w:rPr>
                <w:rFonts w:ascii="Arial" w:hAnsi="Arial" w:eastAsia="Times New Roman" w:cs="Arial"/>
                <w:color w:val="000000"/>
                <w:sz w:val="18"/>
                <w:szCs w:val="18"/>
              </w:rPr>
              <w:t>50</w:t>
            </w:r>
          </w:p>
        </w:tc>
        <w:tc>
          <w:tcPr>
            <w:tcW w:w="552" w:type="pct"/>
            <w:tcBorders>
              <w:top w:val="nil"/>
              <w:left w:val="nil"/>
              <w:right w:val="nil"/>
            </w:tcBorders>
            <w:shd w:val="clear" w:color="auto" w:fill="auto"/>
            <w:noWrap/>
            <w:vAlign w:val="center"/>
            <w:hideMark/>
          </w:tcPr>
          <w:p w:rsidRPr="004A64F8" w:rsidR="00287221" w:rsidP="00287084" w:rsidRDefault="00287221" w14:paraId="503A31B8" w14:textId="77777777">
            <w:pPr>
              <w:jc w:val="right"/>
              <w:rPr>
                <w:rFonts w:ascii="Arial" w:hAnsi="Arial" w:eastAsia="Times New Roman" w:cs="Arial"/>
                <w:color w:val="000000"/>
                <w:sz w:val="18"/>
                <w:szCs w:val="18"/>
              </w:rPr>
            </w:pPr>
            <w:r w:rsidRPr="004A64F8">
              <w:rPr>
                <w:rFonts w:ascii="Arial" w:hAnsi="Arial" w:eastAsia="Times New Roman" w:cs="Arial"/>
                <w:color w:val="000000"/>
                <w:sz w:val="18"/>
                <w:szCs w:val="18"/>
              </w:rPr>
              <w:t>72.3</w:t>
            </w:r>
          </w:p>
        </w:tc>
      </w:tr>
      <w:tr w:rsidRPr="004A64F8" w:rsidR="00287221" w:rsidTr="00287084" w14:paraId="413FDC01" w14:textId="77777777">
        <w:trPr>
          <w:trHeight w:val="180"/>
        </w:trPr>
        <w:tc>
          <w:tcPr>
            <w:tcW w:w="1106" w:type="pct"/>
            <w:tcBorders>
              <w:top w:val="nil"/>
              <w:left w:val="nil"/>
              <w:bottom w:val="single" w:color="auto" w:sz="12" w:space="0"/>
              <w:right w:val="nil"/>
            </w:tcBorders>
            <w:shd w:val="clear" w:color="auto" w:fill="auto"/>
            <w:noWrap/>
            <w:vAlign w:val="center"/>
            <w:hideMark/>
          </w:tcPr>
          <w:p w:rsidRPr="004A64F8" w:rsidR="00287221" w:rsidP="00287084" w:rsidRDefault="00287221" w14:paraId="7E8D3FC8" w14:textId="77777777">
            <w:pPr>
              <w:rPr>
                <w:rFonts w:ascii="Arial" w:hAnsi="Arial" w:eastAsia="Times New Roman" w:cs="Arial"/>
                <w:color w:val="000000"/>
                <w:sz w:val="18"/>
                <w:szCs w:val="18"/>
              </w:rPr>
            </w:pPr>
            <w:r w:rsidRPr="004A64F8">
              <w:rPr>
                <w:rFonts w:ascii="Arial" w:hAnsi="Arial" w:eastAsia="Times New Roman" w:cs="Arial"/>
                <w:color w:val="000000"/>
                <w:sz w:val="18"/>
                <w:szCs w:val="18"/>
              </w:rPr>
              <w:t>BPS:20/22 field test</w:t>
            </w:r>
          </w:p>
        </w:tc>
        <w:tc>
          <w:tcPr>
            <w:tcW w:w="433" w:type="pct"/>
            <w:tcBorders>
              <w:top w:val="nil"/>
              <w:left w:val="nil"/>
              <w:bottom w:val="single" w:color="auto" w:sz="12" w:space="0"/>
              <w:right w:val="nil"/>
            </w:tcBorders>
            <w:shd w:val="clear" w:color="auto" w:fill="auto"/>
            <w:noWrap/>
            <w:vAlign w:val="center"/>
            <w:hideMark/>
          </w:tcPr>
          <w:p w:rsidRPr="004A64F8" w:rsidR="00287221" w:rsidP="00287084" w:rsidRDefault="00287221" w14:paraId="0BD4DCD6" w14:textId="77777777">
            <w:pPr>
              <w:jc w:val="right"/>
              <w:rPr>
                <w:rFonts w:ascii="Arial" w:hAnsi="Arial" w:eastAsia="Times New Roman" w:cs="Arial"/>
                <w:color w:val="000000"/>
                <w:sz w:val="18"/>
                <w:szCs w:val="18"/>
              </w:rPr>
            </w:pPr>
            <w:r w:rsidRPr="004A64F8">
              <w:rPr>
                <w:rFonts w:ascii="Arial" w:hAnsi="Arial" w:eastAsia="Times New Roman" w:cs="Arial"/>
                <w:color w:val="000000"/>
                <w:sz w:val="18"/>
                <w:szCs w:val="18"/>
              </w:rPr>
              <w:t>1620</w:t>
            </w:r>
          </w:p>
        </w:tc>
        <w:tc>
          <w:tcPr>
            <w:tcW w:w="576" w:type="pct"/>
            <w:tcBorders>
              <w:top w:val="nil"/>
              <w:left w:val="nil"/>
              <w:bottom w:val="single" w:color="auto" w:sz="12" w:space="0"/>
              <w:right w:val="nil"/>
            </w:tcBorders>
            <w:shd w:val="clear" w:color="auto" w:fill="auto"/>
            <w:noWrap/>
            <w:vAlign w:val="center"/>
            <w:hideMark/>
          </w:tcPr>
          <w:p w:rsidRPr="004A64F8" w:rsidR="00287221" w:rsidP="00287084" w:rsidRDefault="00287221" w14:paraId="0028B6EB" w14:textId="77777777">
            <w:pPr>
              <w:jc w:val="right"/>
              <w:rPr>
                <w:rFonts w:ascii="Arial" w:hAnsi="Arial" w:eastAsia="Times New Roman" w:cs="Arial"/>
                <w:color w:val="000000"/>
                <w:sz w:val="18"/>
                <w:szCs w:val="18"/>
              </w:rPr>
            </w:pPr>
            <w:r w:rsidRPr="004A64F8">
              <w:rPr>
                <w:rFonts w:ascii="Arial" w:hAnsi="Arial" w:eastAsia="Times New Roman" w:cs="Arial"/>
                <w:color w:val="000000"/>
                <w:sz w:val="18"/>
                <w:szCs w:val="18"/>
              </w:rPr>
              <w:t>27.1</w:t>
            </w:r>
          </w:p>
        </w:tc>
        <w:tc>
          <w:tcPr>
            <w:tcW w:w="433" w:type="pct"/>
            <w:tcBorders>
              <w:top w:val="nil"/>
              <w:left w:val="nil"/>
              <w:bottom w:val="single" w:color="auto" w:sz="12" w:space="0"/>
              <w:right w:val="nil"/>
            </w:tcBorders>
            <w:shd w:val="clear" w:color="auto" w:fill="auto"/>
            <w:noWrap/>
            <w:vAlign w:val="center"/>
            <w:hideMark/>
          </w:tcPr>
          <w:p w:rsidRPr="004A64F8" w:rsidR="00287221" w:rsidP="00287084" w:rsidRDefault="00287221" w14:paraId="34FDF930" w14:textId="77777777">
            <w:pPr>
              <w:jc w:val="right"/>
              <w:rPr>
                <w:rFonts w:ascii="Arial" w:hAnsi="Arial" w:eastAsia="Times New Roman" w:cs="Arial"/>
                <w:color w:val="000000"/>
                <w:sz w:val="18"/>
                <w:szCs w:val="18"/>
              </w:rPr>
            </w:pPr>
            <w:r w:rsidRPr="004A64F8">
              <w:rPr>
                <w:rFonts w:ascii="Arial" w:hAnsi="Arial" w:eastAsia="Times New Roman" w:cs="Arial"/>
                <w:color w:val="000000"/>
                <w:sz w:val="18"/>
                <w:szCs w:val="18"/>
              </w:rPr>
              <w:t>830</w:t>
            </w:r>
          </w:p>
        </w:tc>
        <w:tc>
          <w:tcPr>
            <w:tcW w:w="577" w:type="pct"/>
            <w:tcBorders>
              <w:top w:val="nil"/>
              <w:left w:val="nil"/>
              <w:bottom w:val="single" w:color="auto" w:sz="12" w:space="0"/>
              <w:right w:val="nil"/>
            </w:tcBorders>
            <w:shd w:val="clear" w:color="auto" w:fill="auto"/>
            <w:noWrap/>
            <w:vAlign w:val="center"/>
            <w:hideMark/>
          </w:tcPr>
          <w:p w:rsidRPr="004A64F8" w:rsidR="00287221" w:rsidP="00287084" w:rsidRDefault="00287221" w14:paraId="0E4D798A" w14:textId="77777777">
            <w:pPr>
              <w:jc w:val="right"/>
              <w:rPr>
                <w:rFonts w:ascii="Arial" w:hAnsi="Arial" w:eastAsia="Times New Roman" w:cs="Arial"/>
                <w:color w:val="000000"/>
                <w:sz w:val="18"/>
                <w:szCs w:val="18"/>
              </w:rPr>
            </w:pPr>
            <w:r w:rsidRPr="004A64F8">
              <w:rPr>
                <w:rFonts w:ascii="Arial" w:hAnsi="Arial" w:eastAsia="Times New Roman" w:cs="Arial"/>
                <w:color w:val="000000"/>
                <w:sz w:val="18"/>
                <w:szCs w:val="18"/>
              </w:rPr>
              <w:t>24.2</w:t>
            </w:r>
          </w:p>
        </w:tc>
        <w:tc>
          <w:tcPr>
            <w:tcW w:w="385" w:type="pct"/>
            <w:tcBorders>
              <w:top w:val="nil"/>
              <w:left w:val="nil"/>
              <w:bottom w:val="single" w:color="auto" w:sz="12" w:space="0"/>
              <w:right w:val="nil"/>
            </w:tcBorders>
            <w:shd w:val="clear" w:color="auto" w:fill="auto"/>
            <w:noWrap/>
            <w:vAlign w:val="center"/>
            <w:hideMark/>
          </w:tcPr>
          <w:p w:rsidRPr="004A64F8" w:rsidR="00287221" w:rsidP="00287084" w:rsidRDefault="00287221" w14:paraId="4D3C4F7D" w14:textId="77777777">
            <w:pPr>
              <w:jc w:val="right"/>
              <w:rPr>
                <w:rFonts w:ascii="Arial" w:hAnsi="Arial" w:eastAsia="Times New Roman" w:cs="Arial"/>
                <w:color w:val="000000"/>
                <w:sz w:val="18"/>
                <w:szCs w:val="18"/>
              </w:rPr>
            </w:pPr>
            <w:r w:rsidRPr="004A64F8">
              <w:rPr>
                <w:rFonts w:ascii="Arial" w:hAnsi="Arial" w:eastAsia="Times New Roman" w:cs="Arial"/>
                <w:color w:val="000000"/>
                <w:sz w:val="18"/>
                <w:szCs w:val="18"/>
              </w:rPr>
              <w:t>740</w:t>
            </w:r>
          </w:p>
        </w:tc>
        <w:tc>
          <w:tcPr>
            <w:tcW w:w="577" w:type="pct"/>
            <w:tcBorders>
              <w:top w:val="nil"/>
              <w:left w:val="nil"/>
              <w:bottom w:val="single" w:color="auto" w:sz="12" w:space="0"/>
              <w:right w:val="nil"/>
            </w:tcBorders>
            <w:shd w:val="clear" w:color="auto" w:fill="auto"/>
            <w:noWrap/>
            <w:vAlign w:val="center"/>
            <w:hideMark/>
          </w:tcPr>
          <w:p w:rsidRPr="004A64F8" w:rsidR="00287221" w:rsidP="00287084" w:rsidRDefault="00287221" w14:paraId="1DC25CA2" w14:textId="77777777">
            <w:pPr>
              <w:jc w:val="right"/>
              <w:rPr>
                <w:rFonts w:ascii="Arial" w:hAnsi="Arial" w:eastAsia="Times New Roman" w:cs="Arial"/>
                <w:color w:val="000000"/>
                <w:sz w:val="18"/>
                <w:szCs w:val="18"/>
              </w:rPr>
            </w:pPr>
            <w:r w:rsidRPr="004A64F8">
              <w:rPr>
                <w:rFonts w:ascii="Arial" w:hAnsi="Arial" w:eastAsia="Times New Roman" w:cs="Arial"/>
                <w:color w:val="000000"/>
                <w:sz w:val="18"/>
                <w:szCs w:val="18"/>
              </w:rPr>
              <w:t>28.5</w:t>
            </w:r>
          </w:p>
        </w:tc>
        <w:tc>
          <w:tcPr>
            <w:tcW w:w="361" w:type="pct"/>
            <w:tcBorders>
              <w:top w:val="nil"/>
              <w:left w:val="nil"/>
              <w:bottom w:val="single" w:color="auto" w:sz="12" w:space="0"/>
              <w:right w:val="nil"/>
            </w:tcBorders>
            <w:shd w:val="clear" w:color="auto" w:fill="auto"/>
            <w:noWrap/>
            <w:vAlign w:val="center"/>
            <w:hideMark/>
          </w:tcPr>
          <w:p w:rsidRPr="004A64F8" w:rsidR="00287221" w:rsidP="00287084" w:rsidRDefault="00287221" w14:paraId="44686DBF" w14:textId="77777777">
            <w:pPr>
              <w:jc w:val="right"/>
              <w:rPr>
                <w:rFonts w:ascii="Arial" w:hAnsi="Arial" w:eastAsia="Times New Roman" w:cs="Arial"/>
                <w:color w:val="000000"/>
                <w:sz w:val="18"/>
                <w:szCs w:val="18"/>
              </w:rPr>
            </w:pPr>
            <w:r w:rsidRPr="004A64F8">
              <w:rPr>
                <w:rFonts w:ascii="Arial" w:hAnsi="Arial" w:eastAsia="Times New Roman" w:cs="Arial"/>
                <w:color w:val="000000"/>
                <w:sz w:val="18"/>
                <w:szCs w:val="18"/>
              </w:rPr>
              <w:t>50</w:t>
            </w:r>
          </w:p>
        </w:tc>
        <w:tc>
          <w:tcPr>
            <w:tcW w:w="552" w:type="pct"/>
            <w:tcBorders>
              <w:top w:val="nil"/>
              <w:left w:val="nil"/>
              <w:bottom w:val="single" w:color="auto" w:sz="12" w:space="0"/>
              <w:right w:val="nil"/>
            </w:tcBorders>
            <w:shd w:val="clear" w:color="auto" w:fill="auto"/>
            <w:noWrap/>
            <w:vAlign w:val="center"/>
            <w:hideMark/>
          </w:tcPr>
          <w:p w:rsidRPr="004A64F8" w:rsidR="00287221" w:rsidP="00287084" w:rsidRDefault="00287221" w14:paraId="75470962" w14:textId="77777777">
            <w:pPr>
              <w:jc w:val="right"/>
              <w:rPr>
                <w:rFonts w:ascii="Arial" w:hAnsi="Arial" w:eastAsia="Times New Roman" w:cs="Arial"/>
                <w:color w:val="000000"/>
                <w:sz w:val="18"/>
                <w:szCs w:val="18"/>
              </w:rPr>
            </w:pPr>
            <w:r w:rsidRPr="004A64F8">
              <w:rPr>
                <w:rFonts w:ascii="Arial" w:hAnsi="Arial" w:eastAsia="Times New Roman" w:cs="Arial"/>
                <w:color w:val="000000"/>
                <w:sz w:val="18"/>
                <w:szCs w:val="18"/>
              </w:rPr>
              <w:t>54.1</w:t>
            </w:r>
          </w:p>
        </w:tc>
      </w:tr>
      <w:tr w:rsidRPr="004A64F8" w:rsidR="00287221" w:rsidTr="00287084" w14:paraId="3DCC4082" w14:textId="77777777">
        <w:trPr>
          <w:trHeight w:val="180"/>
        </w:trPr>
        <w:tc>
          <w:tcPr>
            <w:tcW w:w="5000" w:type="pct"/>
            <w:gridSpan w:val="9"/>
            <w:tcBorders>
              <w:top w:val="single" w:color="auto" w:sz="12" w:space="0"/>
              <w:left w:val="nil"/>
              <w:right w:val="nil"/>
            </w:tcBorders>
            <w:shd w:val="clear" w:color="auto" w:fill="auto"/>
            <w:noWrap/>
            <w:vAlign w:val="center"/>
          </w:tcPr>
          <w:p w:rsidRPr="005D65B3" w:rsidR="00287221" w:rsidP="00287084" w:rsidRDefault="00287221" w14:paraId="49E7DF50" w14:textId="77777777">
            <w:pPr>
              <w:rPr>
                <w:rFonts w:ascii="Arial" w:hAnsi="Arial" w:eastAsia="Times New Roman" w:cs="Arial"/>
                <w:color w:val="000000"/>
                <w:sz w:val="16"/>
                <w:szCs w:val="16"/>
              </w:rPr>
            </w:pPr>
            <w:r w:rsidRPr="005D65B3">
              <w:rPr>
                <w:rFonts w:ascii="Arial" w:hAnsi="Arial" w:eastAsia="Times New Roman" w:cs="Arial"/>
                <w:color w:val="000000"/>
                <w:sz w:val="16"/>
                <w:szCs w:val="16"/>
              </w:rPr>
              <w:t>NOTE: Detail may not sum to totals because of rounding.</w:t>
            </w:r>
          </w:p>
          <w:p w:rsidRPr="004A64F8" w:rsidR="00287221" w:rsidP="00287084" w:rsidRDefault="00287221" w14:paraId="5F6EEECE" w14:textId="77777777">
            <w:pPr>
              <w:rPr>
                <w:rFonts w:ascii="Arial" w:hAnsi="Arial" w:eastAsia="Times New Roman" w:cs="Arial"/>
                <w:color w:val="000000"/>
                <w:sz w:val="18"/>
                <w:szCs w:val="18"/>
              </w:rPr>
            </w:pPr>
            <w:r w:rsidRPr="005D65B3">
              <w:rPr>
                <w:rFonts w:ascii="Arial" w:hAnsi="Arial" w:eastAsia="Times New Roman" w:cs="Arial"/>
                <w:color w:val="000000"/>
                <w:sz w:val="16"/>
                <w:szCs w:val="16"/>
              </w:rPr>
              <w:t>SOURCE: U.S. Department of Education, National Center for Education Statistics, 2020/22 Beginning Postsecondary Students (BPS:20/22) Field Test, and 2019-20 National Postsecondary Student Aid Study (NPSAS:20).</w:t>
            </w:r>
          </w:p>
        </w:tc>
      </w:tr>
    </w:tbl>
    <w:p w:rsidRPr="005D65B3" w:rsidR="00287221" w:rsidP="00287221" w:rsidRDefault="00287221" w14:paraId="5FD395BD" w14:textId="77777777">
      <w:pPr>
        <w:rPr>
          <w:rFonts w:ascii="Arial" w:hAnsi="Arial" w:eastAsia="Times New Roman" w:cs="Arial"/>
          <w:color w:val="000000"/>
          <w:sz w:val="16"/>
          <w:szCs w:val="16"/>
        </w:rPr>
      </w:pPr>
    </w:p>
    <w:p w:rsidR="00E77AFE" w:rsidP="00287221" w:rsidRDefault="00E77AFE" w14:paraId="31251EF0" w14:textId="78209A1A">
      <w:pPr>
        <w:spacing w:after="120"/>
        <w:rPr>
          <w:rFonts w:cs="Calibri"/>
          <w:i/>
          <w:iCs/>
          <w:color w:val="000000"/>
          <w:szCs w:val="24"/>
        </w:rPr>
      </w:pPr>
      <w:r w:rsidRPr="00E77AFE">
        <w:rPr>
          <w:rFonts w:cstheme="minorHAnsi"/>
          <w:b/>
          <w:bCs/>
          <w:szCs w:val="24"/>
        </w:rPr>
        <w:t>Recommendations for the full-scale study</w:t>
      </w:r>
    </w:p>
    <w:p w:rsidRPr="003913B8" w:rsidR="00287221" w:rsidP="00287221" w:rsidRDefault="00287221" w14:paraId="53245DAF" w14:textId="62780357">
      <w:pPr>
        <w:spacing w:after="120"/>
        <w:rPr>
          <w:rFonts w:cstheme="minorHAnsi"/>
          <w:szCs w:val="24"/>
        </w:rPr>
      </w:pPr>
      <w:r w:rsidRPr="003913B8">
        <w:rPr>
          <w:szCs w:val="24"/>
        </w:rPr>
        <w:t xml:space="preserve">As a result of implementing the Experian coder to collect permanent address, collection of this address required less time for BPS:20/22 field test survey respondents compared to NPSAS:20 full-scale survey respondents. However, NPSAS:20 full-scale obtained a higher rate of complete addresses (i.e., all elements are provided, including street address, city, state, and zip code). While more complete addresses were obtained without the use of the Experian database in NPSAS:20, this does not indicate all entries were error free and valid. However, by definition, all addresses obtained from the BPS:20/22 field test Experian database are complete and accurate (i.e., a true verifiable address), reducing the labor costs associated with data collection staff resolving “undeliverable” check addresses (i.e., check sent back as not a real address). For NPSAS:20, around 1.2 percent of FTB check addresses were considered “undeliverable”, and BPS:20/22 field test did not obtain any </w:t>
      </w:r>
      <w:r w:rsidRPr="003913B8">
        <w:rPr>
          <w:szCs w:val="24"/>
        </w:rPr>
        <w:lastRenderedPageBreak/>
        <w:t>“undeliverable” addresses. Survey instrument functionalities can improve the completion rate for BPS:20/22 full-scale by implementing conversion text and soft check validations when address fields are left incomplete. These functionalities were not incorporated in the BPS:20/22 field test in order to analyze initial respondent behavior with this new coder, and survey instrumentation results from past studies indicate these are effective methods of improving nonresponse or partial response. Given the implementation of improved instrument functionality to reduce incomplete address entries, higher quality data resulting from Experian verifiable addresses, and the significant reduction in burden using Experian compared to manual entry, the continuation of Experian database is proposed for BPS:20/22 full-scale.</w:t>
      </w:r>
    </w:p>
    <w:p w:rsidRPr="00FD5576" w:rsidR="00287221" w:rsidP="00E77AFE" w:rsidRDefault="00A3046F" w14:paraId="352ADD3D" w14:textId="2E9167AB">
      <w:pPr>
        <w:pStyle w:val="Heading2"/>
      </w:pPr>
      <w:r>
        <w:t>D</w:t>
      </w:r>
      <w:r w:rsidR="00E77AFE">
        <w:t xml:space="preserve">.3 </w:t>
      </w:r>
      <w:r w:rsidRPr="00FD5576" w:rsidR="00287221">
        <w:t>Evaluation of Coronavirus Pandemic Items</w:t>
      </w:r>
    </w:p>
    <w:p w:rsidRPr="003913B8" w:rsidR="00287221" w:rsidP="00287221" w:rsidRDefault="00287221" w14:paraId="48763EC2" w14:textId="77777777">
      <w:pPr>
        <w:pStyle w:val="NormalWeb"/>
        <w:spacing w:before="0" w:beforeAutospacing="0" w:after="120" w:afterAutospacing="0" w:line="259" w:lineRule="auto"/>
        <w:rPr>
          <w:rFonts w:ascii="Garamond" w:hAnsi="Garamond" w:cstheme="minorHAnsi"/>
          <w:color w:val="000000"/>
        </w:rPr>
      </w:pPr>
      <w:r w:rsidRPr="003913B8">
        <w:rPr>
          <w:rFonts w:ascii="Garamond" w:hAnsi="Garamond" w:cstheme="minorHAnsi"/>
          <w:color w:val="000000"/>
        </w:rPr>
        <w:t>The COVID-19 pandemic has created unprecedented disruptions for postsecondary education. BPS:20/22 full-scale sample members were first time beginning students during the 2019-20 academic year, when the pandemic began. Researchers, including members of the BPS:20/22 Technical Review Panel (TRP), have expressed interest in using BPS:20/22 data to examine impacts of COVID-19 on postsecondary students.</w:t>
      </w:r>
      <w:r w:rsidRPr="003913B8">
        <w:rPr>
          <w:rFonts w:ascii="Garamond" w:hAnsi="Garamond" w:cstheme="minorHAnsi"/>
          <w:b/>
          <w:bCs/>
          <w:color w:val="000000"/>
        </w:rPr>
        <w:t xml:space="preserve"> </w:t>
      </w:r>
      <w:r w:rsidRPr="003913B8">
        <w:rPr>
          <w:rFonts w:ascii="Garamond" w:hAnsi="Garamond" w:cstheme="minorHAnsi"/>
          <w:color w:val="000000"/>
        </w:rPr>
        <w:t>To maximize opportunities to test of questions about impacts of COVID-19, BPS:20/22 field test respondents were randomly assigned into two groups that received one of two modules asking about the coronavirus pandemic. The questions in module one included revised questions from the NPSAS:20 full-scale survey (see OMB #1850-0666 v.29), and collected information about attendance, general experiences, refunds received, and institutional communication and information provided to students (questions: B22FCOVATND, B22FCOVEXPA, B22FCOVEXPB, B22FCOVRFND, B22FCOVTECH, B22FCOVCOMM, and B22FCOVINFO). Module two collected a new set of constructs identified during the BPS:20/22 field test TRP that may be of analytic value to researchers and policymakers, such as changes in enrollment and borrowing, changes in academic engagement, and access to support resources (questions: B22FCVATND2, B22FCVACAD, B22FCVNOATND, B22FCVATNDPS, B22FCVEXP2, B22FCVTHINK, B22FCVPAY, and B22FCVPERS)</w:t>
      </w:r>
      <w:r w:rsidRPr="003913B8">
        <w:rPr>
          <w:rStyle w:val="FootnoteReference"/>
          <w:rFonts w:ascii="Garamond" w:hAnsi="Garamond" w:cstheme="minorHAnsi"/>
          <w:color w:val="000000"/>
        </w:rPr>
        <w:footnoteReference w:id="6"/>
      </w:r>
      <w:r w:rsidRPr="003913B8">
        <w:rPr>
          <w:rFonts w:ascii="Garamond" w:hAnsi="Garamond" w:cstheme="minorHAnsi"/>
          <w:color w:val="000000"/>
        </w:rPr>
        <w:t xml:space="preserve">. </w:t>
      </w:r>
    </w:p>
    <w:p w:rsidRPr="003913B8" w:rsidR="00287221" w:rsidP="00287221" w:rsidRDefault="00287221" w14:paraId="7B526AE5" w14:textId="77777777">
      <w:pPr>
        <w:pStyle w:val="NormalWeb"/>
        <w:spacing w:before="0" w:beforeAutospacing="0" w:after="120" w:afterAutospacing="0" w:line="259" w:lineRule="auto"/>
        <w:rPr>
          <w:rFonts w:ascii="Garamond" w:hAnsi="Garamond" w:eastAsiaTheme="minorHAnsi" w:cstheme="minorBidi"/>
        </w:rPr>
      </w:pPr>
      <w:r w:rsidRPr="003913B8">
        <w:rPr>
          <w:rFonts w:ascii="Garamond" w:hAnsi="Garamond" w:eastAsiaTheme="minorHAnsi" w:cstheme="minorBidi"/>
        </w:rPr>
        <w:t>Since each module collected distinct constructs, direct comparisons of results were not intended and are not presented. Rather, this randomized assignment of modules allowed a greater number of survey questions to be fielded, providing more data to inform full-scale decisions while reducing burden to individual field test respondents. Results of these questions were shared with the TRP and NCES to assist with decision-making for a final set of COVID-19 questions to be included in the BPS:20/22 full-scale survey. Questions are assessed using common measures such as response timing, item missingness, and response patterns (e.g., contradictory responses or responses lacking variation).</w:t>
      </w:r>
    </w:p>
    <w:p w:rsidRPr="003913B8" w:rsidR="00287221" w:rsidP="00287221" w:rsidRDefault="00287221" w14:paraId="23DBCBE7" w14:textId="77777777">
      <w:pPr>
        <w:pStyle w:val="NormalWeb"/>
        <w:spacing w:before="0" w:beforeAutospacing="0" w:after="120" w:afterAutospacing="0" w:line="259" w:lineRule="auto"/>
        <w:rPr>
          <w:rFonts w:ascii="Garamond" w:hAnsi="Garamond" w:cstheme="minorHAnsi"/>
          <w:color w:val="000000"/>
        </w:rPr>
      </w:pPr>
      <w:r w:rsidRPr="006F20DE">
        <w:rPr>
          <w:rFonts w:ascii="Garamond" w:hAnsi="Garamond" w:cstheme="minorHAnsi"/>
          <w:i/>
          <w:iCs/>
          <w:color w:val="000000"/>
        </w:rPr>
        <w:t>Results.</w:t>
      </w:r>
      <w:r w:rsidRPr="003913B8">
        <w:rPr>
          <w:rFonts w:ascii="Garamond" w:hAnsi="Garamond" w:cstheme="minorHAnsi"/>
          <w:b/>
          <w:bCs/>
          <w:color w:val="000000"/>
        </w:rPr>
        <w:t xml:space="preserve"> </w:t>
      </w:r>
      <w:r w:rsidRPr="003913B8">
        <w:rPr>
          <w:rFonts w:ascii="Garamond" w:hAnsi="Garamond" w:cstheme="minorHAnsi"/>
          <w:color w:val="000000"/>
        </w:rPr>
        <w:t>Of the cases eligible for analysis, the respondents were equally split between the random module assignment, 50.4 percent in the module one group, and 49.7 percent in the module two group</w:t>
      </w:r>
      <w:r w:rsidRPr="003913B8">
        <w:rPr>
          <w:rStyle w:val="FootnoteReference"/>
          <w:rFonts w:ascii="Garamond" w:hAnsi="Garamond" w:cstheme="minorHAnsi"/>
          <w:color w:val="000000"/>
        </w:rPr>
        <w:footnoteReference w:id="7"/>
      </w:r>
      <w:r w:rsidRPr="003913B8">
        <w:rPr>
          <w:rFonts w:ascii="Garamond" w:hAnsi="Garamond" w:cstheme="minorHAnsi"/>
          <w:color w:val="000000"/>
        </w:rPr>
        <w:t xml:space="preserve">. </w:t>
      </w:r>
    </w:p>
    <w:p w:rsidRPr="003913B8" w:rsidR="00287221" w:rsidP="00287221" w:rsidRDefault="00287221" w14:paraId="422A285F" w14:textId="77777777">
      <w:pPr>
        <w:pStyle w:val="NormalWeb"/>
        <w:spacing w:before="0" w:beforeAutospacing="0" w:after="120" w:afterAutospacing="0" w:line="259" w:lineRule="auto"/>
        <w:rPr>
          <w:rFonts w:ascii="Garamond" w:hAnsi="Garamond" w:cstheme="minorHAnsi"/>
          <w:b/>
          <w:bCs/>
          <w:color w:val="000000"/>
        </w:rPr>
      </w:pPr>
      <w:r w:rsidRPr="003913B8">
        <w:rPr>
          <w:rFonts w:ascii="Garamond" w:hAnsi="Garamond" w:cstheme="minorHAnsi"/>
          <w:i/>
          <w:iCs/>
          <w:color w:val="000000"/>
        </w:rPr>
        <w:t>Timing burden</w:t>
      </w:r>
      <w:r w:rsidRPr="003913B8">
        <w:rPr>
          <w:rFonts w:ascii="Garamond" w:hAnsi="Garamond" w:cstheme="minorHAnsi"/>
          <w:color w:val="000000"/>
        </w:rPr>
        <w:t>. Regardless of module assignment, the coronavirus pandemic questions took respondents an average of 2.7 minutes to complete, just under the allotted goal of 3 minutes. Respondents administered the coronavirus module by a telephone interviewer took an average of 6.2 minutes, significantly longer than web nonmobile and web mobile (2.7 minutes, (</w:t>
      </w:r>
      <w:r w:rsidRPr="003913B8">
        <w:rPr>
          <w:rFonts w:ascii="Garamond" w:hAnsi="Garamond" w:cstheme="minorHAnsi"/>
          <w:i/>
          <w:iCs/>
          <w:color w:val="000000"/>
        </w:rPr>
        <w:t>t</w:t>
      </w:r>
      <w:r w:rsidRPr="003913B8">
        <w:rPr>
          <w:rFonts w:ascii="Garamond" w:hAnsi="Garamond" w:cstheme="minorHAnsi"/>
          <w:color w:val="000000"/>
        </w:rPr>
        <w:t xml:space="preserve">(50.61) = 9.43, </w:t>
      </w:r>
      <w:r w:rsidRPr="003913B8">
        <w:rPr>
          <w:rFonts w:ascii="Garamond" w:hAnsi="Garamond" w:cstheme="minorHAnsi"/>
          <w:i/>
          <w:iCs/>
          <w:color w:val="000000"/>
        </w:rPr>
        <w:t>p</w:t>
      </w:r>
      <w:r w:rsidRPr="003913B8">
        <w:rPr>
          <w:rFonts w:ascii="Garamond" w:hAnsi="Garamond" w:cstheme="minorHAnsi"/>
          <w:color w:val="000000"/>
        </w:rPr>
        <w:t xml:space="preserve"> &lt; .0001), and 2.5 minutes, (</w:t>
      </w:r>
      <w:r w:rsidRPr="003913B8">
        <w:rPr>
          <w:rFonts w:ascii="Garamond" w:hAnsi="Garamond" w:cstheme="minorHAnsi"/>
          <w:i/>
          <w:iCs/>
          <w:color w:val="000000"/>
        </w:rPr>
        <w:t>t</w:t>
      </w:r>
      <w:r w:rsidRPr="003913B8">
        <w:rPr>
          <w:rFonts w:ascii="Garamond" w:hAnsi="Garamond" w:cstheme="minorHAnsi"/>
          <w:color w:val="000000"/>
        </w:rPr>
        <w:t xml:space="preserve">(51.57) = 9.84, </w:t>
      </w:r>
      <w:r w:rsidRPr="003913B8">
        <w:rPr>
          <w:rFonts w:ascii="Garamond" w:hAnsi="Garamond" w:cstheme="minorHAnsi"/>
          <w:i/>
          <w:iCs/>
          <w:color w:val="000000"/>
        </w:rPr>
        <w:t>p</w:t>
      </w:r>
      <w:r w:rsidRPr="003913B8">
        <w:rPr>
          <w:rFonts w:ascii="Garamond" w:hAnsi="Garamond" w:cstheme="minorHAnsi"/>
          <w:color w:val="000000"/>
        </w:rPr>
        <w:t xml:space="preserve"> &lt; .0001), respectively). The most burdensome questions administered were large Likert scale grids, questions that contain multiple response options within a grid with scaled response options (e.g., “Strongly agree” to “Strongly </w:t>
      </w:r>
      <w:r w:rsidRPr="003913B8">
        <w:rPr>
          <w:rFonts w:ascii="Garamond" w:hAnsi="Garamond" w:cstheme="minorHAnsi"/>
          <w:color w:val="000000"/>
        </w:rPr>
        <w:lastRenderedPageBreak/>
        <w:t xml:space="preserve">disagree”). For those respondents assigned to module one, the 6-item Likert grid </w:t>
      </w:r>
      <w:r w:rsidRPr="003913B8">
        <w:rPr>
          <w:rFonts w:ascii="Garamond" w:hAnsi="Garamond" w:cstheme="minorHAnsi"/>
          <w:i/>
          <w:iCs/>
          <w:color w:val="000000"/>
        </w:rPr>
        <w:t>Helpful</w:t>
      </w:r>
      <w:r w:rsidRPr="003913B8">
        <w:rPr>
          <w:rFonts w:ascii="Garamond" w:hAnsi="Garamond" w:cstheme="minorHAnsi"/>
          <w:color w:val="000000"/>
        </w:rPr>
        <w:t xml:space="preserve"> </w:t>
      </w:r>
      <w:r w:rsidRPr="003913B8">
        <w:rPr>
          <w:rFonts w:ascii="Garamond" w:hAnsi="Garamond" w:cstheme="minorHAnsi"/>
          <w:i/>
          <w:iCs/>
          <w:color w:val="000000"/>
        </w:rPr>
        <w:t>communication from primary school</w:t>
      </w:r>
      <w:r w:rsidRPr="003913B8">
        <w:rPr>
          <w:rFonts w:ascii="Garamond" w:hAnsi="Garamond" w:cstheme="minorHAnsi"/>
          <w:color w:val="000000"/>
        </w:rPr>
        <w:t xml:space="preserve"> (B22FCOVCOMM) took respondents an average of 42 seconds to answer. Likewise, the 7-item Likert grid for respondents assigned to module two was </w:t>
      </w:r>
      <w:r w:rsidRPr="003913B8">
        <w:rPr>
          <w:rFonts w:ascii="Garamond" w:hAnsi="Garamond" w:cstheme="minorHAnsi"/>
          <w:i/>
          <w:iCs/>
          <w:color w:val="000000"/>
        </w:rPr>
        <w:t>Social/academic experiences at primary school during COVID-19</w:t>
      </w:r>
      <w:r w:rsidRPr="003913B8">
        <w:rPr>
          <w:rFonts w:ascii="Garamond" w:hAnsi="Garamond" w:cstheme="minorHAnsi"/>
          <w:color w:val="000000"/>
        </w:rPr>
        <w:t xml:space="preserve"> (B22FCVTHINK), and also took respondents an average of 42 seconds to answer. </w:t>
      </w:r>
    </w:p>
    <w:p w:rsidRPr="003913B8" w:rsidR="00287221" w:rsidP="00287221" w:rsidRDefault="00287221" w14:paraId="665B9AFA" w14:textId="77777777">
      <w:pPr>
        <w:spacing w:after="120"/>
        <w:rPr>
          <w:rFonts w:cstheme="minorHAnsi"/>
          <w:color w:val="000000"/>
          <w:szCs w:val="24"/>
        </w:rPr>
      </w:pPr>
      <w:r w:rsidRPr="003913B8">
        <w:rPr>
          <w:rFonts w:cstheme="minorHAnsi"/>
          <w:i/>
          <w:iCs/>
          <w:color w:val="000000"/>
          <w:szCs w:val="24"/>
        </w:rPr>
        <w:t>Missingness</w:t>
      </w:r>
      <w:r w:rsidRPr="003913B8">
        <w:rPr>
          <w:rFonts w:cstheme="minorHAnsi"/>
          <w:color w:val="000000"/>
          <w:szCs w:val="24"/>
        </w:rPr>
        <w:t>. Across both modules, the average item nonresponse rate was 2 percent. Module one had an average nonresponse rate of 3 percent, significantly higher than the 0.6 percent nonresponse rate of module two (</w:t>
      </w:r>
      <w:r w:rsidRPr="003913B8">
        <w:rPr>
          <w:rFonts w:cstheme="minorHAnsi"/>
          <w:i/>
          <w:iCs/>
          <w:color w:val="000000"/>
          <w:szCs w:val="24"/>
        </w:rPr>
        <w:t>t</w:t>
      </w:r>
      <w:r w:rsidRPr="003913B8">
        <w:rPr>
          <w:rFonts w:cstheme="minorHAnsi"/>
          <w:color w:val="000000"/>
          <w:szCs w:val="24"/>
        </w:rPr>
        <w:t xml:space="preserve">(836.72) = 5.16, </w:t>
      </w:r>
      <w:r w:rsidRPr="003913B8">
        <w:rPr>
          <w:rFonts w:cstheme="minorHAnsi"/>
          <w:i/>
          <w:iCs/>
          <w:color w:val="000000"/>
          <w:szCs w:val="24"/>
        </w:rPr>
        <w:t>p</w:t>
      </w:r>
      <w:r w:rsidRPr="003913B8">
        <w:rPr>
          <w:rFonts w:cstheme="minorHAnsi"/>
          <w:color w:val="000000"/>
          <w:szCs w:val="24"/>
        </w:rPr>
        <w:t xml:space="preserve"> &lt; .0001). For module one, the question that increased overall nonresponse rate was </w:t>
      </w:r>
      <w:r w:rsidRPr="003913B8">
        <w:rPr>
          <w:rFonts w:cstheme="minorHAnsi"/>
          <w:i/>
          <w:iCs/>
          <w:color w:val="000000"/>
          <w:szCs w:val="24"/>
        </w:rPr>
        <w:t>General experiences during COVID-19</w:t>
      </w:r>
      <w:r w:rsidRPr="003913B8">
        <w:rPr>
          <w:rFonts w:cstheme="minorHAnsi"/>
          <w:color w:val="000000"/>
          <w:szCs w:val="24"/>
        </w:rPr>
        <w:t xml:space="preserve"> (B22FCOVEXPB), for which 10 percent of respondents left all items on this checkbox list missing, likely due to the design of the form. If a respondent did not select any of the individual experiences, nor opted to select “None of the above”, it was considered a nonresponse. Comparatively, for module two, no single item on any of the questions administered had a higher nonresponse rate than 1 percent. </w:t>
      </w:r>
    </w:p>
    <w:p w:rsidRPr="003913B8" w:rsidR="00287221" w:rsidP="00287221" w:rsidRDefault="00287221" w14:paraId="63555A2F" w14:textId="77777777">
      <w:pPr>
        <w:spacing w:after="120"/>
        <w:rPr>
          <w:rFonts w:cstheme="minorHAnsi"/>
          <w:color w:val="000000"/>
          <w:szCs w:val="24"/>
        </w:rPr>
      </w:pPr>
      <w:r w:rsidRPr="003913B8">
        <w:rPr>
          <w:rFonts w:cstheme="minorHAnsi"/>
          <w:i/>
          <w:iCs/>
          <w:color w:val="000000"/>
          <w:szCs w:val="24"/>
        </w:rPr>
        <w:t>Response patterns</w:t>
      </w:r>
      <w:r w:rsidRPr="003913B8">
        <w:rPr>
          <w:rFonts w:cstheme="minorHAnsi"/>
          <w:color w:val="000000"/>
          <w:szCs w:val="24"/>
        </w:rPr>
        <w:t xml:space="preserve">. To analyze the response patterns of coronavirus pandemic questions, the rate of contradictory responses and straightlining (i.e., selecting the same scaled response for the entire set of response options on a grid) was examined. </w:t>
      </w:r>
    </w:p>
    <w:p w:rsidRPr="003913B8" w:rsidR="00287221" w:rsidP="00287221" w:rsidRDefault="00287221" w14:paraId="5C71B675" w14:textId="77777777">
      <w:pPr>
        <w:spacing w:after="120"/>
        <w:rPr>
          <w:rFonts w:cstheme="minorHAnsi"/>
          <w:color w:val="000000"/>
          <w:szCs w:val="24"/>
        </w:rPr>
      </w:pPr>
      <w:r w:rsidRPr="003913B8">
        <w:rPr>
          <w:rFonts w:cstheme="minorHAnsi"/>
          <w:color w:val="000000"/>
          <w:szCs w:val="24"/>
        </w:rPr>
        <w:t xml:space="preserve">To determine contradictory responses, the rate at which field test respondents disagreed regarding their primary institution attendance during the coronavirus pandemic was analyzed. Disagreement is defined as the respondent indicating they attended their primary institution between July 2020 and December 2020 in the enrollment section of the main survey but indicated not having attended primary institution in the coronavirus pandemic module during this same timeframe. </w:t>
      </w:r>
      <w:r w:rsidRPr="003913B8">
        <w:rPr>
          <w:rFonts w:eastAsia="Times New Roman" w:cs="Calibri"/>
          <w:color w:val="000000"/>
          <w:szCs w:val="24"/>
        </w:rPr>
        <w:t xml:space="preserve">Six percent of respondents across both modules provided contradictory information between the enrollment section of the survey and the coronavirus pandemic module. Respondents administered module two had a significantly higher rate of disagreement at 9 percent, compared to just 2 percent for module one </w:t>
      </w:r>
      <w:r w:rsidRPr="003913B8">
        <w:rPr>
          <w:rFonts w:cstheme="minorHAnsi"/>
          <w:color w:val="000000"/>
          <w:szCs w:val="24"/>
        </w:rPr>
        <w:t>(</w:t>
      </w:r>
      <w:r w:rsidRPr="003913B8">
        <w:rPr>
          <w:rFonts w:cstheme="minorHAnsi"/>
          <w:i/>
          <w:iCs/>
          <w:color w:val="000000"/>
          <w:szCs w:val="24"/>
        </w:rPr>
        <w:t>t</w:t>
      </w:r>
      <w:r w:rsidRPr="003913B8">
        <w:rPr>
          <w:rFonts w:cstheme="minorHAnsi"/>
          <w:color w:val="000000"/>
          <w:szCs w:val="24"/>
        </w:rPr>
        <w:t xml:space="preserve">(857.15) = 5.35, </w:t>
      </w:r>
      <w:r w:rsidRPr="003913B8">
        <w:rPr>
          <w:rFonts w:cstheme="minorHAnsi"/>
          <w:i/>
          <w:iCs/>
          <w:color w:val="000000"/>
          <w:szCs w:val="24"/>
        </w:rPr>
        <w:t>p</w:t>
      </w:r>
      <w:r w:rsidRPr="003913B8">
        <w:rPr>
          <w:rFonts w:cstheme="minorHAnsi"/>
          <w:color w:val="000000"/>
          <w:szCs w:val="24"/>
        </w:rPr>
        <w:t xml:space="preserve"> &lt; .0001). Much of this difference in disagreement is driven by design differences between the modules, module one only had one question related to their enrollment at primary institution (</w:t>
      </w:r>
      <w:r w:rsidRPr="003913B8">
        <w:rPr>
          <w:rFonts w:cstheme="minorHAnsi"/>
          <w:i/>
          <w:iCs/>
          <w:color w:val="000000"/>
          <w:szCs w:val="24"/>
        </w:rPr>
        <w:t xml:space="preserve">Attended primary school during COVID-19, </w:t>
      </w:r>
      <w:r w:rsidRPr="003913B8">
        <w:rPr>
          <w:rFonts w:cstheme="minorHAnsi"/>
          <w:color w:val="000000"/>
          <w:szCs w:val="24"/>
        </w:rPr>
        <w:t>B22FCOVATND), whereas module two had two opportunities to report enrollment information (</w:t>
      </w:r>
      <w:r w:rsidRPr="003913B8">
        <w:rPr>
          <w:rFonts w:cstheme="minorHAnsi"/>
          <w:i/>
          <w:iCs/>
          <w:color w:val="000000"/>
          <w:szCs w:val="24"/>
        </w:rPr>
        <w:t>Attended any postsecondary institution during COVID-19,</w:t>
      </w:r>
      <w:r w:rsidRPr="003913B8">
        <w:rPr>
          <w:rFonts w:cstheme="minorHAnsi"/>
          <w:color w:val="000000"/>
          <w:szCs w:val="24"/>
        </w:rPr>
        <w:t xml:space="preserve"> B22FCVATND2, and </w:t>
      </w:r>
      <w:r w:rsidRPr="003913B8">
        <w:rPr>
          <w:rFonts w:eastAsia="Times New Roman" w:cs="Calibri"/>
          <w:i/>
          <w:iCs/>
          <w:color w:val="000000"/>
          <w:szCs w:val="24"/>
        </w:rPr>
        <w:t>Attended primary school during COVID-19</w:t>
      </w:r>
      <w:r w:rsidRPr="003913B8">
        <w:rPr>
          <w:rFonts w:eastAsia="Times New Roman" w:cs="Calibri"/>
          <w:color w:val="000000"/>
          <w:szCs w:val="24"/>
        </w:rPr>
        <w:t>, B22FCVATNDPS). For module two, if a respondent indicated not attending any postsecondary institution during the timeframe of interest</w:t>
      </w:r>
      <w:r w:rsidRPr="003913B8">
        <w:rPr>
          <w:rFonts w:cstheme="minorHAnsi"/>
          <w:color w:val="000000"/>
          <w:szCs w:val="24"/>
        </w:rPr>
        <w:t>, they were not administered the follow-up specific to their primary institution</w:t>
      </w:r>
      <w:r w:rsidRPr="003913B8">
        <w:rPr>
          <w:rFonts w:eastAsia="Times New Roman" w:cs="Calibri"/>
          <w:color w:val="000000"/>
          <w:szCs w:val="24"/>
        </w:rPr>
        <w:t xml:space="preserve">. </w:t>
      </w:r>
    </w:p>
    <w:p w:rsidRPr="003913B8" w:rsidR="00287221" w:rsidP="00287221" w:rsidRDefault="00287221" w14:paraId="11718A3D" w14:textId="77777777">
      <w:pPr>
        <w:spacing w:after="120"/>
        <w:rPr>
          <w:rFonts w:cstheme="minorHAnsi"/>
          <w:color w:val="000000"/>
          <w:szCs w:val="24"/>
        </w:rPr>
      </w:pPr>
      <w:r w:rsidRPr="003913B8">
        <w:rPr>
          <w:rFonts w:cstheme="minorHAnsi"/>
          <w:color w:val="000000"/>
          <w:szCs w:val="24"/>
        </w:rPr>
        <w:t xml:space="preserve">The rate of straightlining was calculated for the largest grid-format question administered to each module group, straightlining in of itself does not necessarily indicate poor question performance as some lack of variation in response is likely valid (e.g., selecting “Strongly disagree” for all, if the respondent had negative experiences during COVID-19). However, comparison across similarly constructed questions can indicate respondent fatigue or lack of comprehension. For module 1, the response patterns of the 6-item Likert grid </w:t>
      </w:r>
      <w:r w:rsidRPr="003913B8">
        <w:rPr>
          <w:rFonts w:cstheme="minorHAnsi"/>
          <w:i/>
          <w:iCs/>
          <w:color w:val="000000"/>
          <w:szCs w:val="24"/>
        </w:rPr>
        <w:t>Helpful</w:t>
      </w:r>
      <w:r w:rsidRPr="003913B8">
        <w:rPr>
          <w:rFonts w:cstheme="minorHAnsi"/>
          <w:color w:val="000000"/>
          <w:szCs w:val="24"/>
        </w:rPr>
        <w:t xml:space="preserve"> </w:t>
      </w:r>
      <w:r w:rsidRPr="003913B8">
        <w:rPr>
          <w:rFonts w:cstheme="minorHAnsi"/>
          <w:i/>
          <w:iCs/>
          <w:color w:val="000000"/>
          <w:szCs w:val="24"/>
        </w:rPr>
        <w:t>communication from primary school</w:t>
      </w:r>
      <w:r w:rsidRPr="003913B8">
        <w:rPr>
          <w:rFonts w:cstheme="minorHAnsi"/>
          <w:color w:val="000000"/>
          <w:szCs w:val="24"/>
        </w:rPr>
        <w:t xml:space="preserve"> (B22FCOVCOMM) were analyzed, and for module two, the response patterns of the 7-item Likert grid </w:t>
      </w:r>
      <w:r w:rsidRPr="003913B8">
        <w:rPr>
          <w:rFonts w:cstheme="minorHAnsi"/>
          <w:i/>
          <w:iCs/>
          <w:color w:val="000000"/>
          <w:szCs w:val="24"/>
        </w:rPr>
        <w:t>Social/academic experiences at primary school during COVID-19</w:t>
      </w:r>
      <w:r w:rsidRPr="003913B8">
        <w:rPr>
          <w:rFonts w:cstheme="minorHAnsi"/>
          <w:color w:val="000000"/>
          <w:szCs w:val="24"/>
        </w:rPr>
        <w:t xml:space="preserve"> (B22FCVTHINK) were analyzed. Across both modules, the average rate of straightlining on the largest Likert grid was 17 percent. The rate of straightlining for respondents in module one was 20 percent, significantly higher than the 12 percent for module two (</w:t>
      </w:r>
      <w:r w:rsidRPr="003913B8">
        <w:rPr>
          <w:rFonts w:cstheme="minorHAnsi"/>
          <w:i/>
          <w:iCs/>
          <w:color w:val="000000"/>
          <w:szCs w:val="24"/>
        </w:rPr>
        <w:t>t</w:t>
      </w:r>
      <w:r w:rsidRPr="003913B8">
        <w:rPr>
          <w:rFonts w:cstheme="minorHAnsi"/>
          <w:color w:val="000000"/>
          <w:szCs w:val="24"/>
        </w:rPr>
        <w:t xml:space="preserve">(1036.1) = 3.43, </w:t>
      </w:r>
      <w:r w:rsidRPr="003913B8">
        <w:rPr>
          <w:rFonts w:cstheme="minorHAnsi"/>
          <w:i/>
          <w:iCs/>
          <w:color w:val="000000"/>
          <w:szCs w:val="24"/>
        </w:rPr>
        <w:t>p</w:t>
      </w:r>
      <w:r w:rsidRPr="003913B8">
        <w:rPr>
          <w:rFonts w:cstheme="minorHAnsi"/>
          <w:color w:val="000000"/>
          <w:szCs w:val="24"/>
        </w:rPr>
        <w:t xml:space="preserve"> &lt; .001).</w:t>
      </w:r>
    </w:p>
    <w:p w:rsidR="00E77AFE" w:rsidP="00EE3E0D" w:rsidRDefault="00E77AFE" w14:paraId="1D9FA8AD" w14:textId="1116BC2F">
      <w:pPr>
        <w:spacing w:after="120"/>
        <w:rPr>
          <w:rFonts w:cstheme="minorHAnsi"/>
          <w:i/>
          <w:iCs/>
          <w:color w:val="000000"/>
          <w:szCs w:val="24"/>
        </w:rPr>
      </w:pPr>
      <w:r w:rsidRPr="00E77AFE">
        <w:rPr>
          <w:rFonts w:cstheme="minorHAnsi"/>
          <w:b/>
          <w:bCs/>
          <w:szCs w:val="24"/>
        </w:rPr>
        <w:t>Recommendations for the full-scale study</w:t>
      </w:r>
    </w:p>
    <w:p w:rsidRPr="002E34C1" w:rsidR="005A1737" w:rsidP="00EE3E0D" w:rsidRDefault="00254209" w14:paraId="2E709B63" w14:textId="7D8C9ECB">
      <w:pPr>
        <w:spacing w:after="120"/>
        <w:rPr>
          <w:rFonts w:cs="Calibri"/>
          <w:color w:val="000000"/>
          <w:szCs w:val="24"/>
        </w:rPr>
      </w:pPr>
      <w:r w:rsidRPr="003913B8">
        <w:rPr>
          <w:rFonts w:cstheme="minorHAnsi"/>
          <w:szCs w:val="24"/>
        </w:rPr>
        <w:t xml:space="preserve">The BPS:20/22 full-scale survey instrument will administer a subset of the </w:t>
      </w:r>
      <w:r>
        <w:rPr>
          <w:rFonts w:cstheme="minorHAnsi"/>
          <w:szCs w:val="24"/>
        </w:rPr>
        <w:t xml:space="preserve">questions from both field test </w:t>
      </w:r>
      <w:r w:rsidRPr="003913B8">
        <w:rPr>
          <w:rFonts w:cstheme="minorHAnsi"/>
          <w:szCs w:val="24"/>
        </w:rPr>
        <w:t xml:space="preserve">coronavirus pandemic </w:t>
      </w:r>
      <w:r>
        <w:rPr>
          <w:rFonts w:cstheme="minorHAnsi"/>
          <w:szCs w:val="24"/>
        </w:rPr>
        <w:t>modules, based upon field test performance and TRP feedback. The coronavirus pandemic module for the full-scale maintains the</w:t>
      </w:r>
      <w:r w:rsidRPr="003913B8">
        <w:rPr>
          <w:rFonts w:cstheme="minorHAnsi"/>
          <w:szCs w:val="24"/>
        </w:rPr>
        <w:t xml:space="preserve"> burden goal of three minutes. </w:t>
      </w:r>
      <w:r w:rsidRPr="003913B8" w:rsidR="00287221">
        <w:rPr>
          <w:rFonts w:cstheme="minorHAnsi"/>
          <w:color w:val="000000"/>
          <w:szCs w:val="24"/>
        </w:rPr>
        <w:t xml:space="preserve">In general, response timing, item missingness, and response patterns indicate that both modules performed well in the field test. The most burdensome grid with the highest straightlining observed in the field test </w:t>
      </w:r>
      <w:r w:rsidRPr="003913B8" w:rsidR="00287221">
        <w:rPr>
          <w:rFonts w:cstheme="minorHAnsi"/>
          <w:i/>
          <w:iCs/>
          <w:color w:val="000000"/>
          <w:szCs w:val="24"/>
        </w:rPr>
        <w:t>Helpful</w:t>
      </w:r>
      <w:r w:rsidRPr="003913B8" w:rsidR="00287221">
        <w:rPr>
          <w:rFonts w:cstheme="minorHAnsi"/>
          <w:color w:val="000000"/>
          <w:szCs w:val="24"/>
        </w:rPr>
        <w:t xml:space="preserve"> </w:t>
      </w:r>
      <w:r w:rsidRPr="003913B8" w:rsidR="00287221">
        <w:rPr>
          <w:rFonts w:cstheme="minorHAnsi"/>
          <w:i/>
          <w:iCs/>
          <w:color w:val="000000"/>
          <w:szCs w:val="24"/>
        </w:rPr>
        <w:t>communication from primary school</w:t>
      </w:r>
      <w:r w:rsidRPr="003913B8" w:rsidR="00287221">
        <w:rPr>
          <w:rFonts w:cstheme="minorHAnsi"/>
          <w:color w:val="000000"/>
          <w:szCs w:val="24"/>
        </w:rPr>
        <w:t xml:space="preserve"> (B22FCOVCOMM) will not be recommended for the full-scale survey. The two-step enrollment questions from module two, </w:t>
      </w:r>
      <w:r w:rsidRPr="003913B8" w:rsidR="00287221">
        <w:rPr>
          <w:rFonts w:eastAsia="Times New Roman" w:cs="Calibri"/>
          <w:color w:val="000000"/>
          <w:szCs w:val="24"/>
        </w:rPr>
        <w:t xml:space="preserve">will be included in the full-scale survey in order to collect information about whether the coronavirus pandemic impacted a respondent’s decision to not enroll at all, or not enroll at their primary institution. The contradictory response rate was higher for this version in the field test, though the contradictory response rate is anticipated to decline as the full-scale survey will ask about enrollment for an entire academic </w:t>
      </w:r>
      <w:r w:rsidRPr="003913B8" w:rsidR="00287221">
        <w:rPr>
          <w:rFonts w:eastAsia="Times New Roman" w:cs="Calibri"/>
          <w:color w:val="000000"/>
          <w:szCs w:val="24"/>
        </w:rPr>
        <w:lastRenderedPageBreak/>
        <w:t xml:space="preserve">year, rather than a single term. Additionally, adding on screen wording to remind respondents of their response from the enrollment section or implementing a validation can improve accuracy for these coronavirus pandemic gate questions (e.g., if respondent indicates attending primary institution in the enrollment section, but indicated “no” on </w:t>
      </w:r>
      <w:r w:rsidRPr="003913B8" w:rsidR="00287221">
        <w:rPr>
          <w:rFonts w:cstheme="minorHAnsi"/>
          <w:color w:val="000000"/>
          <w:szCs w:val="24"/>
        </w:rPr>
        <w:t xml:space="preserve">B22FCVATND2, a soft check will alert the respondent of the conflicting answers, and provide an opportunity to correct). </w:t>
      </w:r>
      <w:r w:rsidR="005A1737">
        <w:rPr>
          <w:rFonts w:cstheme="minorHAnsi"/>
          <w:color w:val="000000"/>
          <w:szCs w:val="24"/>
        </w:rPr>
        <w:br w:type="page"/>
      </w:r>
    </w:p>
    <w:p w:rsidRPr="00335E9F" w:rsidR="005A1737" w:rsidP="005A1737" w:rsidRDefault="005A1737" w14:paraId="05992063" w14:textId="77777777">
      <w:pPr>
        <w:pStyle w:val="Heading2"/>
      </w:pPr>
      <w:r w:rsidRPr="00335E9F">
        <w:lastRenderedPageBreak/>
        <w:t>References</w:t>
      </w:r>
    </w:p>
    <w:p w:rsidRPr="00D725AA" w:rsidR="00DC073C" w:rsidP="00DC073C" w:rsidRDefault="00DC073C" w14:paraId="2507391C" w14:textId="580A7ECF">
      <w:pPr>
        <w:spacing w:after="120"/>
        <w:ind w:left="720" w:hanging="720"/>
        <w:rPr>
          <w:rFonts w:cstheme="minorHAnsi"/>
          <w:szCs w:val="24"/>
        </w:rPr>
      </w:pPr>
      <w:r w:rsidRPr="00D725AA">
        <w:rPr>
          <w:rFonts w:cstheme="minorHAnsi"/>
          <w:szCs w:val="24"/>
        </w:rPr>
        <w:t xml:space="preserve">Box, G.E.P., and Cox, D.R. (1964). An Analysis of Transformations. </w:t>
      </w:r>
      <w:r w:rsidRPr="009A36F8">
        <w:rPr>
          <w:rFonts w:cstheme="minorHAnsi"/>
          <w:i/>
          <w:iCs/>
          <w:szCs w:val="24"/>
        </w:rPr>
        <w:t>Journal of the Royal Statistics Society</w:t>
      </w:r>
      <w:r w:rsidRPr="00D725AA">
        <w:rPr>
          <w:rFonts w:cstheme="minorHAnsi"/>
          <w:szCs w:val="24"/>
        </w:rPr>
        <w:t>, Series B, 26</w:t>
      </w:r>
      <w:r w:rsidR="00907FE3">
        <w:rPr>
          <w:rFonts w:cstheme="minorHAnsi"/>
          <w:szCs w:val="24"/>
        </w:rPr>
        <w:t>:</w:t>
      </w:r>
      <w:r w:rsidRPr="00D725AA">
        <w:rPr>
          <w:rFonts w:cstheme="minorHAnsi"/>
          <w:szCs w:val="24"/>
        </w:rPr>
        <w:t xml:space="preserve"> 211–234.</w:t>
      </w:r>
    </w:p>
    <w:p w:rsidRPr="00D725AA" w:rsidR="00DC073C" w:rsidP="00DC073C" w:rsidRDefault="00DC073C" w14:paraId="2126AE0E" w14:textId="77777777">
      <w:pPr>
        <w:spacing w:after="120"/>
        <w:ind w:left="720" w:hanging="720"/>
        <w:rPr>
          <w:rFonts w:cstheme="minorHAnsi"/>
          <w:szCs w:val="24"/>
        </w:rPr>
      </w:pPr>
      <w:r w:rsidRPr="00FD4AAA">
        <w:rPr>
          <w:rFonts w:cstheme="minorHAnsi"/>
          <w:szCs w:val="24"/>
          <w:lang w:val="es-419"/>
        </w:rPr>
        <w:t xml:space="preserve">Callegaro, M. Ayhan, O., Gabler, S., Haeder, S., &amp; Villar, A. (2011). </w:t>
      </w:r>
      <w:r w:rsidRPr="00D725AA">
        <w:rPr>
          <w:rFonts w:cstheme="minorHAnsi"/>
          <w:szCs w:val="24"/>
        </w:rPr>
        <w:t xml:space="preserve">Combining landline and mobile phone samples. A dual frame </w:t>
      </w:r>
      <w:proofErr w:type="gramStart"/>
      <w:r w:rsidRPr="00D725AA">
        <w:rPr>
          <w:rFonts w:cstheme="minorHAnsi"/>
          <w:szCs w:val="24"/>
        </w:rPr>
        <w:t>approach</w:t>
      </w:r>
      <w:proofErr w:type="gramEnd"/>
      <w:r w:rsidRPr="00D725AA">
        <w:rPr>
          <w:rFonts w:cstheme="minorHAnsi"/>
          <w:szCs w:val="24"/>
        </w:rPr>
        <w:t xml:space="preserve">. Working Papers 2011/13. Gesis Leibniz-Institut fuer Sozialwissenschaften. </w:t>
      </w:r>
    </w:p>
    <w:p w:rsidRPr="00D725AA" w:rsidR="00DC073C" w:rsidP="00DC073C" w:rsidRDefault="00DC073C" w14:paraId="258B3ECB" w14:textId="0C13CBB1">
      <w:pPr>
        <w:spacing w:after="120"/>
        <w:ind w:left="720" w:hanging="720"/>
        <w:rPr>
          <w:rFonts w:cstheme="minorHAnsi"/>
          <w:szCs w:val="24"/>
        </w:rPr>
      </w:pPr>
      <w:r w:rsidRPr="00D725AA">
        <w:rPr>
          <w:rFonts w:cstheme="minorHAnsi"/>
          <w:szCs w:val="24"/>
        </w:rPr>
        <w:t>Co</w:t>
      </w:r>
      <w:r w:rsidR="002870EB">
        <w:rPr>
          <w:rFonts w:cstheme="minorHAnsi"/>
          <w:szCs w:val="24"/>
        </w:rPr>
        <w:t>o</w:t>
      </w:r>
      <w:r w:rsidRPr="00D725AA">
        <w:rPr>
          <w:rFonts w:cstheme="minorHAnsi"/>
          <w:szCs w:val="24"/>
        </w:rPr>
        <w:t xml:space="preserve">persmith, J., Vogel, L.K., Bruursema, T., and K. Feeney. (2016). Effects of Incentive Amount and Type of Web Survey Response Rates. </w:t>
      </w:r>
      <w:r w:rsidRPr="009A36F8">
        <w:rPr>
          <w:rFonts w:cstheme="minorHAnsi"/>
          <w:i/>
          <w:iCs/>
          <w:szCs w:val="24"/>
        </w:rPr>
        <w:t>Survey Practice</w:t>
      </w:r>
      <w:r w:rsidRPr="00D725AA">
        <w:rPr>
          <w:rFonts w:cstheme="minorHAnsi"/>
          <w:szCs w:val="24"/>
        </w:rPr>
        <w:t xml:space="preserve">, </w:t>
      </w:r>
      <w:r w:rsidR="00D649B2">
        <w:t xml:space="preserve">9(1): </w:t>
      </w:r>
      <w:hyperlink w:history="1" r:id="rId9">
        <w:r w:rsidR="00D649B2">
          <w:rPr>
            <w:rStyle w:val="Hyperlink"/>
          </w:rPr>
          <w:t>https://doi.org/10.29115/SP-2016-0002</w:t>
        </w:r>
      </w:hyperlink>
      <w:r w:rsidR="00D649B2">
        <w:t>.</w:t>
      </w:r>
      <w:r w:rsidRPr="00D725AA" w:rsidR="00D649B2">
        <w:rPr>
          <w:rFonts w:cstheme="minorHAnsi"/>
          <w:szCs w:val="24"/>
        </w:rPr>
        <w:t xml:space="preserve"> </w:t>
      </w:r>
    </w:p>
    <w:p w:rsidRPr="00D725AA" w:rsidR="00DC073C" w:rsidP="00DC073C" w:rsidRDefault="00DC073C" w14:paraId="2EC6422D" w14:textId="6E79F720">
      <w:pPr>
        <w:spacing w:after="120"/>
        <w:ind w:left="720" w:hanging="720"/>
        <w:rPr>
          <w:rFonts w:cstheme="minorHAnsi"/>
          <w:szCs w:val="24"/>
        </w:rPr>
      </w:pPr>
      <w:r w:rsidRPr="00D725AA">
        <w:rPr>
          <w:rFonts w:cstheme="minorHAnsi"/>
          <w:szCs w:val="24"/>
        </w:rPr>
        <w:t xml:space="preserve">LeClere, F., Plumme, S., Vanicek, J., Amaya, A., and K. Carris. (2012). Household Early Bird Incentives: Leveraging Family Influence </w:t>
      </w:r>
      <w:proofErr w:type="gramStart"/>
      <w:r w:rsidRPr="00D725AA">
        <w:rPr>
          <w:rFonts w:cstheme="minorHAnsi"/>
          <w:szCs w:val="24"/>
        </w:rPr>
        <w:t>to</w:t>
      </w:r>
      <w:proofErr w:type="gramEnd"/>
      <w:r w:rsidRPr="00D725AA">
        <w:rPr>
          <w:rFonts w:cstheme="minorHAnsi"/>
          <w:szCs w:val="24"/>
        </w:rPr>
        <w:t xml:space="preserve"> Improve Household Response Rates. </w:t>
      </w:r>
      <w:r w:rsidRPr="009A36F8">
        <w:rPr>
          <w:rFonts w:cstheme="minorHAnsi"/>
          <w:i/>
          <w:iCs/>
          <w:szCs w:val="24"/>
        </w:rPr>
        <w:t>American Statistical Association Joint Statistical Meetings</w:t>
      </w:r>
      <w:r w:rsidRPr="00D725AA">
        <w:rPr>
          <w:rFonts w:cstheme="minorHAnsi"/>
          <w:szCs w:val="24"/>
        </w:rPr>
        <w:t>, Section on Survey Research</w:t>
      </w:r>
      <w:r w:rsidR="00D649B2">
        <w:rPr>
          <w:rFonts w:cstheme="minorHAnsi"/>
          <w:szCs w:val="24"/>
        </w:rPr>
        <w:t xml:space="preserve">, </w:t>
      </w:r>
      <w:r w:rsidR="00D649B2">
        <w:rPr>
          <w:color w:val="000000" w:themeColor="text1"/>
          <w:szCs w:val="24"/>
          <w:shd w:val="clear" w:color="auto" w:fill="FFFFFF"/>
        </w:rPr>
        <w:t>4156 - 4165</w:t>
      </w:r>
      <w:r w:rsidRPr="00D725AA">
        <w:rPr>
          <w:rFonts w:cstheme="minorHAnsi"/>
          <w:szCs w:val="24"/>
        </w:rPr>
        <w:t>.</w:t>
      </w:r>
    </w:p>
    <w:p w:rsidRPr="00D725AA" w:rsidR="00DC073C" w:rsidP="00DC073C" w:rsidRDefault="00DC073C" w14:paraId="4B5322E8" w14:textId="77777777">
      <w:pPr>
        <w:spacing w:after="120"/>
        <w:ind w:left="720" w:hanging="720"/>
        <w:rPr>
          <w:rFonts w:cstheme="minorHAnsi"/>
          <w:szCs w:val="24"/>
        </w:rPr>
      </w:pPr>
      <w:r w:rsidRPr="00D725AA">
        <w:rPr>
          <w:rFonts w:cstheme="minorHAnsi"/>
          <w:szCs w:val="24"/>
        </w:rPr>
        <w:t xml:space="preserve">Massey, D.S., Tourangeau, R. (2012). The Nonresponse Challenge to Surveys and Statistics New York: Sage; 2013. </w:t>
      </w:r>
      <w:r w:rsidRPr="009A36F8">
        <w:rPr>
          <w:rFonts w:cstheme="minorHAnsi"/>
          <w:i/>
          <w:iCs/>
          <w:szCs w:val="24"/>
        </w:rPr>
        <w:t>Annals of The American Academy of Political and Social Science</w:t>
      </w:r>
      <w:r w:rsidRPr="00D725AA">
        <w:rPr>
          <w:rFonts w:cstheme="minorHAnsi"/>
          <w:szCs w:val="24"/>
        </w:rPr>
        <w:t>; No. 645.</w:t>
      </w:r>
    </w:p>
    <w:p w:rsidRPr="00D725AA" w:rsidR="00DC073C" w:rsidP="00DC073C" w:rsidRDefault="00DC073C" w14:paraId="594C9A96" w14:textId="77777777">
      <w:pPr>
        <w:spacing w:after="120"/>
        <w:ind w:left="720" w:hanging="720"/>
        <w:rPr>
          <w:rFonts w:cstheme="minorHAnsi"/>
          <w:szCs w:val="24"/>
        </w:rPr>
      </w:pPr>
      <w:r w:rsidRPr="00D725AA">
        <w:rPr>
          <w:rFonts w:cstheme="minorHAnsi"/>
          <w:szCs w:val="24"/>
        </w:rPr>
        <w:t xml:space="preserve">Satterthwaite, F.E. (1946). An Approximate Distribution of Estimates of Variance Components. </w:t>
      </w:r>
      <w:r w:rsidRPr="009A36F8">
        <w:rPr>
          <w:rFonts w:cstheme="minorHAnsi"/>
          <w:i/>
          <w:iCs/>
          <w:szCs w:val="24"/>
        </w:rPr>
        <w:t>Biometrics Bulletin</w:t>
      </w:r>
      <w:r w:rsidRPr="00D725AA">
        <w:rPr>
          <w:rFonts w:cstheme="minorHAnsi"/>
          <w:szCs w:val="24"/>
        </w:rPr>
        <w:t>, 2(6): 110–114.</w:t>
      </w:r>
    </w:p>
    <w:p w:rsidRPr="00D725AA" w:rsidR="00DC073C" w:rsidP="00DC073C" w:rsidRDefault="00DC073C" w14:paraId="6AD3631A" w14:textId="77777777">
      <w:pPr>
        <w:spacing w:after="120"/>
        <w:ind w:left="720" w:hanging="720"/>
        <w:rPr>
          <w:rFonts w:cstheme="minorHAnsi"/>
          <w:szCs w:val="24"/>
        </w:rPr>
      </w:pPr>
      <w:r w:rsidRPr="00D725AA">
        <w:rPr>
          <w:rFonts w:cstheme="minorHAnsi"/>
          <w:szCs w:val="24"/>
        </w:rPr>
        <w:t xml:space="preserve">Schober, </w:t>
      </w:r>
      <w:proofErr w:type="gramStart"/>
      <w:r w:rsidRPr="00D725AA">
        <w:rPr>
          <w:rFonts w:cstheme="minorHAnsi"/>
          <w:szCs w:val="24"/>
        </w:rPr>
        <w:t>M.F,.</w:t>
      </w:r>
      <w:proofErr w:type="gramEnd"/>
      <w:r w:rsidRPr="00D725AA">
        <w:rPr>
          <w:rFonts w:cstheme="minorHAnsi"/>
          <w:szCs w:val="24"/>
        </w:rPr>
        <w:t xml:space="preserve"> Conrad, F.G., Antoun, C., Ehlen, P., Fail, S., Hupp, A.L., Johnston, M., Vickers, L., Yan, Y.H., and Zhang, C. (2015). Precision and Disclosure in Text and Voice Interviews on Smartphones. </w:t>
      </w:r>
      <w:r w:rsidRPr="009A36F8">
        <w:rPr>
          <w:rFonts w:cstheme="minorHAnsi"/>
          <w:i/>
          <w:iCs/>
          <w:szCs w:val="24"/>
        </w:rPr>
        <w:t>PLoS ONE</w:t>
      </w:r>
      <w:r w:rsidRPr="00D725AA">
        <w:rPr>
          <w:rFonts w:cstheme="minorHAnsi"/>
          <w:szCs w:val="24"/>
        </w:rPr>
        <w:t xml:space="preserve"> 10(6): e0128337. doi:10.1371/journal.pone.0128337 </w:t>
      </w:r>
    </w:p>
    <w:p w:rsidRPr="00D725AA" w:rsidR="00DC073C" w:rsidP="00DC073C" w:rsidRDefault="00DC073C" w14:paraId="61CD10DD" w14:textId="77777777">
      <w:pPr>
        <w:spacing w:after="120"/>
        <w:ind w:left="720" w:hanging="720"/>
        <w:rPr>
          <w:rFonts w:cstheme="minorHAnsi"/>
          <w:szCs w:val="24"/>
        </w:rPr>
      </w:pPr>
      <w:r w:rsidRPr="00D725AA">
        <w:rPr>
          <w:rFonts w:cstheme="minorHAnsi"/>
          <w:szCs w:val="24"/>
        </w:rPr>
        <w:t>Tukey, J.W. (1977). Exploratory Data Analysis. Reading, MA: Addison-Wesley.</w:t>
      </w:r>
    </w:p>
    <w:p w:rsidRPr="00D725AA" w:rsidR="00DC073C" w:rsidP="00DC073C" w:rsidRDefault="00DC073C" w14:paraId="130CCE92" w14:textId="77777777">
      <w:pPr>
        <w:spacing w:after="120"/>
        <w:ind w:left="720" w:hanging="720"/>
        <w:rPr>
          <w:rFonts w:cstheme="minorHAnsi"/>
          <w:szCs w:val="24"/>
        </w:rPr>
      </w:pPr>
      <w:r w:rsidRPr="00D725AA">
        <w:rPr>
          <w:rFonts w:cstheme="minorHAnsi"/>
          <w:szCs w:val="24"/>
        </w:rPr>
        <w:t>Ward, C., Stern, M., Vanicek, J., Black, C., Knighton, C., and L. Wilkinson. 2014. Evaluating the Effectiveness of Early Bird Incentives in a Web Survey. 2014 Federal CASIC Workshops.</w:t>
      </w:r>
    </w:p>
    <w:p w:rsidR="00DC073C" w:rsidP="00DC073C" w:rsidRDefault="00DC073C" w14:paraId="3624E099" w14:textId="77777777"/>
    <w:p w:rsidR="003D28B5" w:rsidP="00EE3E0D" w:rsidRDefault="003D28B5" w14:paraId="5EE320EA" w14:textId="77777777">
      <w:pPr>
        <w:spacing w:after="120"/>
      </w:pPr>
    </w:p>
    <w:sectPr w:rsidR="003D28B5" w:rsidSect="00287221">
      <w:footerReference w:type="first" r:id="rId10"/>
      <w:pgSz w:w="12240" w:h="15840" w:code="1"/>
      <w:pgMar w:top="864"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9D8C" w14:textId="77777777" w:rsidR="009249F7" w:rsidRDefault="009249F7" w:rsidP="00136309">
      <w:r>
        <w:separator/>
      </w:r>
    </w:p>
  </w:endnote>
  <w:endnote w:type="continuationSeparator" w:id="0">
    <w:p w14:paraId="29118F7F" w14:textId="77777777" w:rsidR="009249F7" w:rsidRDefault="009249F7" w:rsidP="0013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us">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3F70" w14:textId="6876218E" w:rsidR="00813277" w:rsidRPr="007D63AD" w:rsidRDefault="00330775" w:rsidP="00296DEF">
    <w:pPr>
      <w:pStyle w:val="Footer"/>
    </w:pPr>
    <w:r>
      <w:t>D</w:t>
    </w:r>
    <w:r w:rsidR="00813277" w:rsidRPr="007D63AD">
      <w:t>-</w:t>
    </w:r>
    <w:sdt>
      <w:sdtPr>
        <w:id w:val="2042624846"/>
        <w:docPartObj>
          <w:docPartGallery w:val="Page Numbers (Bottom of Page)"/>
          <w:docPartUnique/>
        </w:docPartObj>
      </w:sdtPr>
      <w:sdtEndPr/>
      <w:sdtContent>
        <w:r w:rsidR="00813277" w:rsidRPr="007D63AD">
          <w:fldChar w:fldCharType="begin"/>
        </w:r>
        <w:r w:rsidR="00813277" w:rsidRPr="007D63AD">
          <w:instrText xml:space="preserve"> PAGE   \* MERGEFORMAT </w:instrText>
        </w:r>
        <w:r w:rsidR="00813277" w:rsidRPr="007D63AD">
          <w:fldChar w:fldCharType="separate"/>
        </w:r>
        <w:r w:rsidR="00DD4F39">
          <w:rPr>
            <w:noProof/>
          </w:rPr>
          <w:t>6</w:t>
        </w:r>
        <w:r w:rsidR="00813277" w:rsidRPr="007D63AD">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A14D" w14:textId="24C624FE" w:rsidR="007D63AD" w:rsidRPr="00296DEF" w:rsidRDefault="00330775" w:rsidP="00296DEF">
    <w:pPr>
      <w:pStyle w:val="Footer"/>
    </w:pPr>
    <w:r>
      <w:t>D</w:t>
    </w:r>
    <w:r w:rsidR="007D63AD" w:rsidRPr="00296DEF">
      <w:t>-</w:t>
    </w:r>
    <w:sdt>
      <w:sdtPr>
        <w:id w:val="996934180"/>
        <w:docPartObj>
          <w:docPartGallery w:val="Page Numbers (Bottom of Page)"/>
          <w:docPartUnique/>
        </w:docPartObj>
      </w:sdtPr>
      <w:sdtEndPr/>
      <w:sdtContent>
        <w:r w:rsidR="007D63AD" w:rsidRPr="00296DEF">
          <w:fldChar w:fldCharType="begin"/>
        </w:r>
        <w:r w:rsidR="007D63AD" w:rsidRPr="00296DEF">
          <w:instrText xml:space="preserve"> PAGE   \* MERGEFORMAT </w:instrText>
        </w:r>
        <w:r w:rsidR="007D63AD" w:rsidRPr="00296DEF">
          <w:fldChar w:fldCharType="separate"/>
        </w:r>
        <w:r w:rsidR="00DD4F39">
          <w:rPr>
            <w:noProof/>
          </w:rPr>
          <w:t>2</w:t>
        </w:r>
        <w:r w:rsidR="007D63AD" w:rsidRPr="00296DE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0F043" w14:textId="77777777" w:rsidR="009249F7" w:rsidRDefault="009249F7" w:rsidP="00136309">
      <w:r>
        <w:separator/>
      </w:r>
    </w:p>
  </w:footnote>
  <w:footnote w:type="continuationSeparator" w:id="0">
    <w:p w14:paraId="76A0F21A" w14:textId="77777777" w:rsidR="009249F7" w:rsidRDefault="009249F7" w:rsidP="00136309">
      <w:r>
        <w:continuationSeparator/>
      </w:r>
    </w:p>
  </w:footnote>
  <w:footnote w:id="1">
    <w:p w14:paraId="758AD815" w14:textId="77777777" w:rsidR="00287221" w:rsidRPr="00A67E54" w:rsidRDefault="00287221" w:rsidP="00287221">
      <w:pPr>
        <w:pStyle w:val="FootnoteText"/>
      </w:pPr>
      <w:r>
        <w:rPr>
          <w:rStyle w:val="FootnoteReference"/>
        </w:rPr>
        <w:footnoteRef/>
      </w:r>
      <w:r>
        <w:t xml:space="preserve"> Results use </w:t>
      </w:r>
      <w:r w:rsidRPr="00A97F39">
        <w:t>Satterthwaite (1946) approximation in</w:t>
      </w:r>
      <w:r>
        <w:t xml:space="preserve"> difference-of-means</w:t>
      </w:r>
      <w:r w:rsidRPr="00A97F39">
        <w:t xml:space="preserve"> tests with unequal variances</w:t>
      </w:r>
      <w:r>
        <w:t>.</w:t>
      </w:r>
    </w:p>
  </w:footnote>
  <w:footnote w:id="2">
    <w:p w14:paraId="43D7B280" w14:textId="77777777" w:rsidR="005C00BA" w:rsidRPr="00463C18" w:rsidRDefault="005C00BA" w:rsidP="005C00BA">
      <w:pPr>
        <w:pStyle w:val="FootnoteText"/>
      </w:pPr>
      <w:r>
        <w:rPr>
          <w:rStyle w:val="FootnoteReference"/>
        </w:rPr>
        <w:footnoteRef/>
      </w:r>
      <w:r>
        <w:t xml:space="preserve"> Excluding ineligible sample members.</w:t>
      </w:r>
    </w:p>
  </w:footnote>
  <w:footnote w:id="3">
    <w:p w14:paraId="463AE633" w14:textId="77777777" w:rsidR="00287221" w:rsidRPr="005A0A53" w:rsidRDefault="00287221" w:rsidP="00287221">
      <w:pPr>
        <w:pStyle w:val="FootnoteText"/>
      </w:pPr>
      <w:r>
        <w:rPr>
          <w:rStyle w:val="FootnoteReference"/>
        </w:rPr>
        <w:footnoteRef/>
      </w:r>
      <w:r>
        <w:t xml:space="preserve"> Excluding ineligible sample members.</w:t>
      </w:r>
    </w:p>
  </w:footnote>
  <w:footnote w:id="4">
    <w:p w14:paraId="229C9467" w14:textId="54B18828" w:rsidR="002D36E5" w:rsidRDefault="002D36E5">
      <w:pPr>
        <w:pStyle w:val="FootnoteText"/>
      </w:pPr>
      <w:r>
        <w:rPr>
          <w:rStyle w:val="FootnoteReference"/>
        </w:rPr>
        <w:footnoteRef/>
      </w:r>
      <w:r>
        <w:t xml:space="preserve"> Results use </w:t>
      </w:r>
      <w:r w:rsidRPr="00A97F39">
        <w:t>Satterthwaite (1946) approximation in</w:t>
      </w:r>
      <w:r>
        <w:t xml:space="preserve"> difference-of-means</w:t>
      </w:r>
      <w:r w:rsidRPr="00A97F39">
        <w:t xml:space="preserve"> tests with unequal variances</w:t>
      </w:r>
      <w:r>
        <w:t>.</w:t>
      </w:r>
    </w:p>
  </w:footnote>
  <w:footnote w:id="5">
    <w:p w14:paraId="3536705E" w14:textId="77777777" w:rsidR="00287221" w:rsidRDefault="00287221" w:rsidP="00287221">
      <w:pPr>
        <w:pStyle w:val="FootnoteText"/>
      </w:pPr>
      <w:r>
        <w:rPr>
          <w:rStyle w:val="FootnoteReference"/>
        </w:rPr>
        <w:footnoteRef/>
      </w:r>
      <w:r>
        <w:t xml:space="preserve"> Results use </w:t>
      </w:r>
      <w:r w:rsidRPr="00A97F39">
        <w:t>Satterthwaite (1946) approximation in</w:t>
      </w:r>
      <w:r>
        <w:t xml:space="preserve"> difference-of-means</w:t>
      </w:r>
      <w:r w:rsidRPr="00A97F39">
        <w:t xml:space="preserve"> tests with unequal variances</w:t>
      </w:r>
      <w:r>
        <w:t>.</w:t>
      </w:r>
    </w:p>
  </w:footnote>
  <w:footnote w:id="6">
    <w:p w14:paraId="0481894A" w14:textId="77777777" w:rsidR="00287221" w:rsidRDefault="00287221" w:rsidP="00287221">
      <w:pPr>
        <w:pStyle w:val="FootnoteText"/>
      </w:pPr>
      <w:r>
        <w:rPr>
          <w:rStyle w:val="FootnoteReference"/>
        </w:rPr>
        <w:footnoteRef/>
      </w:r>
      <w:r>
        <w:t xml:space="preserve"> The </w:t>
      </w:r>
      <w:r w:rsidRPr="00D124D8">
        <w:t xml:space="preserve">wording for these </w:t>
      </w:r>
      <w:r>
        <w:t>questions</w:t>
      </w:r>
      <w:r w:rsidRPr="00D124D8">
        <w:t xml:space="preserve"> can be found in appendix E of the BPS:20/22 field test</w:t>
      </w:r>
      <w:r>
        <w:t xml:space="preserve"> package</w:t>
      </w:r>
      <w:r w:rsidRPr="00D124D8">
        <w:t xml:space="preserve"> </w:t>
      </w:r>
      <w:r>
        <w:t>(</w:t>
      </w:r>
      <w:r w:rsidRPr="00D124D8">
        <w:t xml:space="preserve">OMB #1850-0631 </w:t>
      </w:r>
      <w:r w:rsidRPr="00533D29">
        <w:t>v.18</w:t>
      </w:r>
      <w:r>
        <w:t>)</w:t>
      </w:r>
      <w:r w:rsidRPr="00D124D8">
        <w:t>.</w:t>
      </w:r>
    </w:p>
  </w:footnote>
  <w:footnote w:id="7">
    <w:p w14:paraId="787C85C4" w14:textId="77777777" w:rsidR="00287221" w:rsidRDefault="00287221" w:rsidP="00287221">
      <w:pPr>
        <w:pStyle w:val="FootnoteText"/>
      </w:pPr>
      <w:r>
        <w:rPr>
          <w:rStyle w:val="FootnoteReference"/>
        </w:rPr>
        <w:footnoteRef/>
      </w:r>
      <w:r>
        <w:t xml:space="preserve"> Analyses of coronavirus pandemic questions are limited to 1,180 respondents (53 percent of all field test respondents) who:1) completed the entire survey, and 2) reported attending their primary institution in the 2020-2021 academic year in the enrollment section of the survey. This is because most coronavirus pandemic questions were administered to respondents who attended their primary institution between July 2020 – December 2020. Additionally, of the respondents with a primary institution as defined above, cases without 3) timing data available due to completing the survey in more than one session, or 4) identified as total timing outliers were also excluded from this analysis. </w:t>
      </w:r>
      <w:r w:rsidRPr="00183509">
        <w:t xml:space="preserve">To detect total time outliers, the distribution of all </w:t>
      </w:r>
      <w:r>
        <w:t>survey</w:t>
      </w:r>
      <w:r w:rsidRPr="00183509">
        <w:t xml:space="preserve"> times (highly right-skewed) was first normalized using a Box-Cox power transformation (Box &amp; Cox, 1964). Cases were then removed from the overall total using an interquartile range formula adopted from Tukey</w:t>
      </w:r>
      <w:r>
        <w:t xml:space="preserve"> (</w:t>
      </w:r>
      <w:r w:rsidRPr="00183509">
        <w:t>1977) with a multiplier of 1.5. Cases were excluded as outlier if total time &gt; 75th percentile + (1.5</w:t>
      </w:r>
      <w:r>
        <w:t xml:space="preserve"> </w:t>
      </w:r>
      <w:r w:rsidRPr="00183509">
        <w:t>*</w:t>
      </w:r>
      <w:r>
        <w:t xml:space="preserve"> </w:t>
      </w:r>
      <w:r w:rsidRPr="00183509">
        <w:t>interquartile range), or if total time &lt; 25th percentile – (1.5 * interquartile range).</w:t>
      </w:r>
    </w:p>
    <w:p w14:paraId="5C249EA5" w14:textId="77777777" w:rsidR="00287221" w:rsidRDefault="00287221" w:rsidP="0028722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80D7A"/>
    <w:multiLevelType w:val="hybridMultilevel"/>
    <w:tmpl w:val="413CF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84F21"/>
    <w:multiLevelType w:val="multilevel"/>
    <w:tmpl w:val="022C95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EA58DE"/>
    <w:multiLevelType w:val="hybridMultilevel"/>
    <w:tmpl w:val="22CA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A6E32"/>
    <w:multiLevelType w:val="hybridMultilevel"/>
    <w:tmpl w:val="82E864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45957"/>
    <w:multiLevelType w:val="multilevel"/>
    <w:tmpl w:val="022C95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D1394E"/>
    <w:multiLevelType w:val="hybridMultilevel"/>
    <w:tmpl w:val="459E4890"/>
    <w:lvl w:ilvl="0" w:tplc="4A089096">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1F64CEA"/>
    <w:multiLevelType w:val="multilevel"/>
    <w:tmpl w:val="022C95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BD5ACD"/>
    <w:multiLevelType w:val="hybridMultilevel"/>
    <w:tmpl w:val="FBE4E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34CAA"/>
    <w:multiLevelType w:val="hybridMultilevel"/>
    <w:tmpl w:val="D7F6A488"/>
    <w:lvl w:ilvl="0" w:tplc="74C2CA7A">
      <w:start w:val="1"/>
      <w:numFmt w:val="bullet"/>
      <w:lvlText w:val="•"/>
      <w:lvlJc w:val="left"/>
      <w:pPr>
        <w:tabs>
          <w:tab w:val="num" w:pos="720"/>
        </w:tabs>
        <w:ind w:left="720" w:hanging="360"/>
      </w:pPr>
      <w:rPr>
        <w:rFonts w:ascii="Arial" w:hAnsi="Arial" w:cs="Times New Roman" w:hint="default"/>
      </w:rPr>
    </w:lvl>
    <w:lvl w:ilvl="1" w:tplc="58BEE3FE">
      <w:start w:val="1"/>
      <w:numFmt w:val="bullet"/>
      <w:lvlText w:val="•"/>
      <w:lvlJc w:val="left"/>
      <w:pPr>
        <w:tabs>
          <w:tab w:val="num" w:pos="1440"/>
        </w:tabs>
        <w:ind w:left="1440" w:hanging="360"/>
      </w:pPr>
      <w:rPr>
        <w:rFonts w:ascii="Arial" w:hAnsi="Arial" w:cs="Times New Roman" w:hint="default"/>
      </w:rPr>
    </w:lvl>
    <w:lvl w:ilvl="2" w:tplc="05780D2C">
      <w:start w:val="1"/>
      <w:numFmt w:val="bullet"/>
      <w:lvlText w:val="•"/>
      <w:lvlJc w:val="left"/>
      <w:pPr>
        <w:tabs>
          <w:tab w:val="num" w:pos="2160"/>
        </w:tabs>
        <w:ind w:left="2160" w:hanging="360"/>
      </w:pPr>
      <w:rPr>
        <w:rFonts w:ascii="Arial" w:hAnsi="Arial" w:cs="Times New Roman" w:hint="default"/>
      </w:rPr>
    </w:lvl>
    <w:lvl w:ilvl="3" w:tplc="A5345B84">
      <w:start w:val="1"/>
      <w:numFmt w:val="bullet"/>
      <w:lvlText w:val="•"/>
      <w:lvlJc w:val="left"/>
      <w:pPr>
        <w:tabs>
          <w:tab w:val="num" w:pos="2880"/>
        </w:tabs>
        <w:ind w:left="2880" w:hanging="360"/>
      </w:pPr>
      <w:rPr>
        <w:rFonts w:ascii="Arial" w:hAnsi="Arial" w:cs="Times New Roman" w:hint="default"/>
      </w:rPr>
    </w:lvl>
    <w:lvl w:ilvl="4" w:tplc="6C542C66">
      <w:start w:val="1"/>
      <w:numFmt w:val="bullet"/>
      <w:lvlText w:val="•"/>
      <w:lvlJc w:val="left"/>
      <w:pPr>
        <w:tabs>
          <w:tab w:val="num" w:pos="3600"/>
        </w:tabs>
        <w:ind w:left="3600" w:hanging="360"/>
      </w:pPr>
      <w:rPr>
        <w:rFonts w:ascii="Arial" w:hAnsi="Arial" w:cs="Times New Roman" w:hint="default"/>
      </w:rPr>
    </w:lvl>
    <w:lvl w:ilvl="5" w:tplc="91CA5BE4">
      <w:start w:val="1"/>
      <w:numFmt w:val="bullet"/>
      <w:lvlText w:val="•"/>
      <w:lvlJc w:val="left"/>
      <w:pPr>
        <w:tabs>
          <w:tab w:val="num" w:pos="4320"/>
        </w:tabs>
        <w:ind w:left="4320" w:hanging="360"/>
      </w:pPr>
      <w:rPr>
        <w:rFonts w:ascii="Arial" w:hAnsi="Arial" w:cs="Times New Roman" w:hint="default"/>
      </w:rPr>
    </w:lvl>
    <w:lvl w:ilvl="6" w:tplc="BC7C7478">
      <w:start w:val="1"/>
      <w:numFmt w:val="bullet"/>
      <w:lvlText w:val="•"/>
      <w:lvlJc w:val="left"/>
      <w:pPr>
        <w:tabs>
          <w:tab w:val="num" w:pos="5040"/>
        </w:tabs>
        <w:ind w:left="5040" w:hanging="360"/>
      </w:pPr>
      <w:rPr>
        <w:rFonts w:ascii="Arial" w:hAnsi="Arial" w:cs="Times New Roman" w:hint="default"/>
      </w:rPr>
    </w:lvl>
    <w:lvl w:ilvl="7" w:tplc="A14A187C">
      <w:start w:val="1"/>
      <w:numFmt w:val="bullet"/>
      <w:lvlText w:val="•"/>
      <w:lvlJc w:val="left"/>
      <w:pPr>
        <w:tabs>
          <w:tab w:val="num" w:pos="5760"/>
        </w:tabs>
        <w:ind w:left="5760" w:hanging="360"/>
      </w:pPr>
      <w:rPr>
        <w:rFonts w:ascii="Arial" w:hAnsi="Arial" w:cs="Times New Roman" w:hint="default"/>
      </w:rPr>
    </w:lvl>
    <w:lvl w:ilvl="8" w:tplc="9F3E948C">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48F23D71"/>
    <w:multiLevelType w:val="hybridMultilevel"/>
    <w:tmpl w:val="9004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B7C1C"/>
    <w:multiLevelType w:val="hybridMultilevel"/>
    <w:tmpl w:val="FBB6F936"/>
    <w:lvl w:ilvl="0" w:tplc="1EE451E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C5EC0"/>
    <w:multiLevelType w:val="hybridMultilevel"/>
    <w:tmpl w:val="024EE39E"/>
    <w:lvl w:ilvl="0" w:tplc="3F642BBA">
      <w:start w:val="3"/>
      <w:numFmt w:val="bullet"/>
      <w:lvlText w:val="-"/>
      <w:lvlJc w:val="left"/>
      <w:pPr>
        <w:ind w:left="720" w:hanging="360"/>
      </w:pPr>
      <w:rPr>
        <w:rFonts w:ascii="Garamond" w:eastAsia="Times"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55E16"/>
    <w:multiLevelType w:val="hybridMultilevel"/>
    <w:tmpl w:val="35101E9E"/>
    <w:lvl w:ilvl="0" w:tplc="C99635FA">
      <w:start w:val="1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752DA2"/>
    <w:multiLevelType w:val="hybridMultilevel"/>
    <w:tmpl w:val="B25A9ADC"/>
    <w:lvl w:ilvl="0" w:tplc="6CF8BEB8">
      <w:start w:val="1"/>
      <w:numFmt w:val="bullet"/>
      <w:lvlText w:val="•"/>
      <w:lvlJc w:val="left"/>
      <w:pPr>
        <w:tabs>
          <w:tab w:val="num" w:pos="720"/>
        </w:tabs>
        <w:ind w:left="720" w:hanging="360"/>
      </w:pPr>
      <w:rPr>
        <w:rFonts w:ascii="Arial" w:hAnsi="Arial" w:hint="default"/>
      </w:rPr>
    </w:lvl>
    <w:lvl w:ilvl="1" w:tplc="42A8808A" w:tentative="1">
      <w:start w:val="1"/>
      <w:numFmt w:val="bullet"/>
      <w:lvlText w:val="•"/>
      <w:lvlJc w:val="left"/>
      <w:pPr>
        <w:tabs>
          <w:tab w:val="num" w:pos="1440"/>
        </w:tabs>
        <w:ind w:left="1440" w:hanging="360"/>
      </w:pPr>
      <w:rPr>
        <w:rFonts w:ascii="Arial" w:hAnsi="Arial" w:hint="default"/>
      </w:rPr>
    </w:lvl>
    <w:lvl w:ilvl="2" w:tplc="A56A6E2A" w:tentative="1">
      <w:start w:val="1"/>
      <w:numFmt w:val="bullet"/>
      <w:lvlText w:val="•"/>
      <w:lvlJc w:val="left"/>
      <w:pPr>
        <w:tabs>
          <w:tab w:val="num" w:pos="2160"/>
        </w:tabs>
        <w:ind w:left="2160" w:hanging="360"/>
      </w:pPr>
      <w:rPr>
        <w:rFonts w:ascii="Arial" w:hAnsi="Arial" w:hint="default"/>
      </w:rPr>
    </w:lvl>
    <w:lvl w:ilvl="3" w:tplc="BA3E5B50" w:tentative="1">
      <w:start w:val="1"/>
      <w:numFmt w:val="bullet"/>
      <w:lvlText w:val="•"/>
      <w:lvlJc w:val="left"/>
      <w:pPr>
        <w:tabs>
          <w:tab w:val="num" w:pos="2880"/>
        </w:tabs>
        <w:ind w:left="2880" w:hanging="360"/>
      </w:pPr>
      <w:rPr>
        <w:rFonts w:ascii="Arial" w:hAnsi="Arial" w:hint="default"/>
      </w:rPr>
    </w:lvl>
    <w:lvl w:ilvl="4" w:tplc="8D7A0E5C" w:tentative="1">
      <w:start w:val="1"/>
      <w:numFmt w:val="bullet"/>
      <w:lvlText w:val="•"/>
      <w:lvlJc w:val="left"/>
      <w:pPr>
        <w:tabs>
          <w:tab w:val="num" w:pos="3600"/>
        </w:tabs>
        <w:ind w:left="3600" w:hanging="360"/>
      </w:pPr>
      <w:rPr>
        <w:rFonts w:ascii="Arial" w:hAnsi="Arial" w:hint="default"/>
      </w:rPr>
    </w:lvl>
    <w:lvl w:ilvl="5" w:tplc="1A4E6BF4" w:tentative="1">
      <w:start w:val="1"/>
      <w:numFmt w:val="bullet"/>
      <w:lvlText w:val="•"/>
      <w:lvlJc w:val="left"/>
      <w:pPr>
        <w:tabs>
          <w:tab w:val="num" w:pos="4320"/>
        </w:tabs>
        <w:ind w:left="4320" w:hanging="360"/>
      </w:pPr>
      <w:rPr>
        <w:rFonts w:ascii="Arial" w:hAnsi="Arial" w:hint="default"/>
      </w:rPr>
    </w:lvl>
    <w:lvl w:ilvl="6" w:tplc="D4E4CFA0" w:tentative="1">
      <w:start w:val="1"/>
      <w:numFmt w:val="bullet"/>
      <w:lvlText w:val="•"/>
      <w:lvlJc w:val="left"/>
      <w:pPr>
        <w:tabs>
          <w:tab w:val="num" w:pos="5040"/>
        </w:tabs>
        <w:ind w:left="5040" w:hanging="360"/>
      </w:pPr>
      <w:rPr>
        <w:rFonts w:ascii="Arial" w:hAnsi="Arial" w:hint="default"/>
      </w:rPr>
    </w:lvl>
    <w:lvl w:ilvl="7" w:tplc="C952F9BA" w:tentative="1">
      <w:start w:val="1"/>
      <w:numFmt w:val="bullet"/>
      <w:lvlText w:val="•"/>
      <w:lvlJc w:val="left"/>
      <w:pPr>
        <w:tabs>
          <w:tab w:val="num" w:pos="5760"/>
        </w:tabs>
        <w:ind w:left="5760" w:hanging="360"/>
      </w:pPr>
      <w:rPr>
        <w:rFonts w:ascii="Arial" w:hAnsi="Arial" w:hint="default"/>
      </w:rPr>
    </w:lvl>
    <w:lvl w:ilvl="8" w:tplc="1E8EA8D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92655C9"/>
    <w:multiLevelType w:val="hybridMultilevel"/>
    <w:tmpl w:val="A880CE52"/>
    <w:lvl w:ilvl="0" w:tplc="078A82AC">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587C93"/>
    <w:multiLevelType w:val="multilevel"/>
    <w:tmpl w:val="022C95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8918E0"/>
    <w:multiLevelType w:val="hybridMultilevel"/>
    <w:tmpl w:val="3DC2A1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3822AE"/>
    <w:multiLevelType w:val="multilevel"/>
    <w:tmpl w:val="022C95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9"/>
  </w:num>
  <w:num w:numId="3">
    <w:abstractNumId w:val="15"/>
  </w:num>
  <w:num w:numId="4">
    <w:abstractNumId w:val="0"/>
  </w:num>
  <w:num w:numId="5">
    <w:abstractNumId w:val="13"/>
  </w:num>
  <w:num w:numId="6">
    <w:abstractNumId w:val="1"/>
  </w:num>
  <w:num w:numId="7">
    <w:abstractNumId w:val="17"/>
  </w:num>
  <w:num w:numId="8">
    <w:abstractNumId w:val="6"/>
  </w:num>
  <w:num w:numId="9">
    <w:abstractNumId w:val="14"/>
  </w:num>
  <w:num w:numId="10">
    <w:abstractNumId w:val="8"/>
  </w:num>
  <w:num w:numId="11">
    <w:abstractNumId w:val="12"/>
  </w:num>
  <w:num w:numId="12">
    <w:abstractNumId w:val="2"/>
  </w:num>
  <w:num w:numId="13">
    <w:abstractNumId w:val="4"/>
  </w:num>
  <w:num w:numId="14">
    <w:abstractNumId w:val="7"/>
  </w:num>
  <w:num w:numId="15">
    <w:abstractNumId w:val="10"/>
  </w:num>
  <w:num w:numId="16">
    <w:abstractNumId w:val="5"/>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277"/>
    <w:rsid w:val="00001CD6"/>
    <w:rsid w:val="00007AD2"/>
    <w:rsid w:val="00011097"/>
    <w:rsid w:val="00013C88"/>
    <w:rsid w:val="0002340C"/>
    <w:rsid w:val="00025ECB"/>
    <w:rsid w:val="00032FF3"/>
    <w:rsid w:val="00041A26"/>
    <w:rsid w:val="00060020"/>
    <w:rsid w:val="000805DB"/>
    <w:rsid w:val="00097E58"/>
    <w:rsid w:val="000A684E"/>
    <w:rsid w:val="000C015A"/>
    <w:rsid w:val="000C33FA"/>
    <w:rsid w:val="000E1596"/>
    <w:rsid w:val="00102052"/>
    <w:rsid w:val="00122355"/>
    <w:rsid w:val="00122DCE"/>
    <w:rsid w:val="00125153"/>
    <w:rsid w:val="00130FE2"/>
    <w:rsid w:val="00136309"/>
    <w:rsid w:val="00142FDA"/>
    <w:rsid w:val="001503DB"/>
    <w:rsid w:val="00156531"/>
    <w:rsid w:val="00157595"/>
    <w:rsid w:val="00167322"/>
    <w:rsid w:val="001860F1"/>
    <w:rsid w:val="001A01CC"/>
    <w:rsid w:val="001A580B"/>
    <w:rsid w:val="001A7BE9"/>
    <w:rsid w:val="001B6C53"/>
    <w:rsid w:val="001C1F8D"/>
    <w:rsid w:val="001D6888"/>
    <w:rsid w:val="001D7EF9"/>
    <w:rsid w:val="00200AED"/>
    <w:rsid w:val="0021411C"/>
    <w:rsid w:val="002154D0"/>
    <w:rsid w:val="0023285A"/>
    <w:rsid w:val="0025355C"/>
    <w:rsid w:val="00254209"/>
    <w:rsid w:val="00260C10"/>
    <w:rsid w:val="00277CB7"/>
    <w:rsid w:val="00284AF3"/>
    <w:rsid w:val="002870EB"/>
    <w:rsid w:val="00287221"/>
    <w:rsid w:val="00290AF5"/>
    <w:rsid w:val="00296DEF"/>
    <w:rsid w:val="002A6924"/>
    <w:rsid w:val="002C2D63"/>
    <w:rsid w:val="002D36E5"/>
    <w:rsid w:val="002E34C1"/>
    <w:rsid w:val="002F6A77"/>
    <w:rsid w:val="00330775"/>
    <w:rsid w:val="003318F9"/>
    <w:rsid w:val="0034474C"/>
    <w:rsid w:val="0034763F"/>
    <w:rsid w:val="0035428B"/>
    <w:rsid w:val="0036292F"/>
    <w:rsid w:val="003A1546"/>
    <w:rsid w:val="003B1D1A"/>
    <w:rsid w:val="003C6038"/>
    <w:rsid w:val="003C7F5E"/>
    <w:rsid w:val="003D28B5"/>
    <w:rsid w:val="003D5F0B"/>
    <w:rsid w:val="003E6EA4"/>
    <w:rsid w:val="00404BE6"/>
    <w:rsid w:val="00412F09"/>
    <w:rsid w:val="00422DCD"/>
    <w:rsid w:val="004255F1"/>
    <w:rsid w:val="00435C47"/>
    <w:rsid w:val="00456CD3"/>
    <w:rsid w:val="00460C52"/>
    <w:rsid w:val="004652A1"/>
    <w:rsid w:val="004663D4"/>
    <w:rsid w:val="004B3218"/>
    <w:rsid w:val="004B43FF"/>
    <w:rsid w:val="004B71AA"/>
    <w:rsid w:val="004C0C8D"/>
    <w:rsid w:val="004E4E9A"/>
    <w:rsid w:val="004E5F7B"/>
    <w:rsid w:val="004F0B9F"/>
    <w:rsid w:val="00506921"/>
    <w:rsid w:val="00515838"/>
    <w:rsid w:val="0051664E"/>
    <w:rsid w:val="0053414B"/>
    <w:rsid w:val="00540D14"/>
    <w:rsid w:val="00575328"/>
    <w:rsid w:val="0057662A"/>
    <w:rsid w:val="00577CF3"/>
    <w:rsid w:val="00583219"/>
    <w:rsid w:val="005A1737"/>
    <w:rsid w:val="005B30DD"/>
    <w:rsid w:val="005C00BA"/>
    <w:rsid w:val="005C6A69"/>
    <w:rsid w:val="005E470F"/>
    <w:rsid w:val="005E7A64"/>
    <w:rsid w:val="005F38A9"/>
    <w:rsid w:val="006064A2"/>
    <w:rsid w:val="00616C0A"/>
    <w:rsid w:val="006269D6"/>
    <w:rsid w:val="0062713F"/>
    <w:rsid w:val="0063683B"/>
    <w:rsid w:val="006440D4"/>
    <w:rsid w:val="00651B54"/>
    <w:rsid w:val="0065582B"/>
    <w:rsid w:val="00670CAF"/>
    <w:rsid w:val="00673B6A"/>
    <w:rsid w:val="00684853"/>
    <w:rsid w:val="006A44FE"/>
    <w:rsid w:val="006B34F8"/>
    <w:rsid w:val="006B3955"/>
    <w:rsid w:val="006B44D2"/>
    <w:rsid w:val="006C5275"/>
    <w:rsid w:val="006C7A3A"/>
    <w:rsid w:val="006D3A1C"/>
    <w:rsid w:val="006D7C2D"/>
    <w:rsid w:val="006E0E31"/>
    <w:rsid w:val="007269D7"/>
    <w:rsid w:val="00732505"/>
    <w:rsid w:val="00740201"/>
    <w:rsid w:val="00756349"/>
    <w:rsid w:val="007726CB"/>
    <w:rsid w:val="00774313"/>
    <w:rsid w:val="00780458"/>
    <w:rsid w:val="00780976"/>
    <w:rsid w:val="00784064"/>
    <w:rsid w:val="00791C05"/>
    <w:rsid w:val="007C1DEB"/>
    <w:rsid w:val="007D3620"/>
    <w:rsid w:val="007D4381"/>
    <w:rsid w:val="007D5A24"/>
    <w:rsid w:val="007D63AD"/>
    <w:rsid w:val="007E0673"/>
    <w:rsid w:val="007F7F9C"/>
    <w:rsid w:val="0081182C"/>
    <w:rsid w:val="00813277"/>
    <w:rsid w:val="0081428E"/>
    <w:rsid w:val="00832DA5"/>
    <w:rsid w:val="00847F55"/>
    <w:rsid w:val="0085277B"/>
    <w:rsid w:val="00861D11"/>
    <w:rsid w:val="00875A86"/>
    <w:rsid w:val="00883C23"/>
    <w:rsid w:val="0089586F"/>
    <w:rsid w:val="008C654F"/>
    <w:rsid w:val="008D2198"/>
    <w:rsid w:val="008D5E94"/>
    <w:rsid w:val="008E371C"/>
    <w:rsid w:val="008E6671"/>
    <w:rsid w:val="00907FE3"/>
    <w:rsid w:val="009169F0"/>
    <w:rsid w:val="00921E99"/>
    <w:rsid w:val="009221B4"/>
    <w:rsid w:val="009249F7"/>
    <w:rsid w:val="0095755C"/>
    <w:rsid w:val="009617F5"/>
    <w:rsid w:val="00980032"/>
    <w:rsid w:val="009A36F8"/>
    <w:rsid w:val="009A772C"/>
    <w:rsid w:val="009D7A35"/>
    <w:rsid w:val="009E5E00"/>
    <w:rsid w:val="00A043B4"/>
    <w:rsid w:val="00A2064B"/>
    <w:rsid w:val="00A21CAA"/>
    <w:rsid w:val="00A3046F"/>
    <w:rsid w:val="00A43A21"/>
    <w:rsid w:val="00A53A4D"/>
    <w:rsid w:val="00A56880"/>
    <w:rsid w:val="00A71005"/>
    <w:rsid w:val="00A81FFC"/>
    <w:rsid w:val="00A87996"/>
    <w:rsid w:val="00AC1BDF"/>
    <w:rsid w:val="00AC5F5B"/>
    <w:rsid w:val="00AD1297"/>
    <w:rsid w:val="00B2029F"/>
    <w:rsid w:val="00B23A0F"/>
    <w:rsid w:val="00B31B43"/>
    <w:rsid w:val="00B70018"/>
    <w:rsid w:val="00B763DB"/>
    <w:rsid w:val="00B76A6F"/>
    <w:rsid w:val="00B91A4E"/>
    <w:rsid w:val="00BC164F"/>
    <w:rsid w:val="00BD1A4A"/>
    <w:rsid w:val="00BD6411"/>
    <w:rsid w:val="00BE7594"/>
    <w:rsid w:val="00C015B8"/>
    <w:rsid w:val="00C0563A"/>
    <w:rsid w:val="00C12125"/>
    <w:rsid w:val="00C16BF9"/>
    <w:rsid w:val="00C35ACB"/>
    <w:rsid w:val="00C84326"/>
    <w:rsid w:val="00C85E22"/>
    <w:rsid w:val="00C874BB"/>
    <w:rsid w:val="00CA06D3"/>
    <w:rsid w:val="00CA2C18"/>
    <w:rsid w:val="00CB0839"/>
    <w:rsid w:val="00CD2E3D"/>
    <w:rsid w:val="00CD7F37"/>
    <w:rsid w:val="00CF0EE6"/>
    <w:rsid w:val="00D033BA"/>
    <w:rsid w:val="00D35CDF"/>
    <w:rsid w:val="00D37609"/>
    <w:rsid w:val="00D53A33"/>
    <w:rsid w:val="00D649B2"/>
    <w:rsid w:val="00DA0AFB"/>
    <w:rsid w:val="00DC073C"/>
    <w:rsid w:val="00DD1B01"/>
    <w:rsid w:val="00DD4F39"/>
    <w:rsid w:val="00DD7282"/>
    <w:rsid w:val="00DF44D1"/>
    <w:rsid w:val="00E0558D"/>
    <w:rsid w:val="00E20CEA"/>
    <w:rsid w:val="00E34E05"/>
    <w:rsid w:val="00E47423"/>
    <w:rsid w:val="00E7162F"/>
    <w:rsid w:val="00E74928"/>
    <w:rsid w:val="00E76F4A"/>
    <w:rsid w:val="00E77AFE"/>
    <w:rsid w:val="00E80636"/>
    <w:rsid w:val="00E84495"/>
    <w:rsid w:val="00EA364F"/>
    <w:rsid w:val="00EA64BF"/>
    <w:rsid w:val="00EB10D7"/>
    <w:rsid w:val="00EC405F"/>
    <w:rsid w:val="00ED66DB"/>
    <w:rsid w:val="00EE3E0D"/>
    <w:rsid w:val="00EF3441"/>
    <w:rsid w:val="00EF7BAD"/>
    <w:rsid w:val="00F05C58"/>
    <w:rsid w:val="00F13D46"/>
    <w:rsid w:val="00F237A0"/>
    <w:rsid w:val="00F63FAF"/>
    <w:rsid w:val="00F762A0"/>
    <w:rsid w:val="00FA2345"/>
    <w:rsid w:val="00FB2D0D"/>
    <w:rsid w:val="00FC3F5F"/>
    <w:rsid w:val="00FC4924"/>
    <w:rsid w:val="00FD4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8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5C"/>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81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630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87221"/>
    <w:pPr>
      <w:keepNext/>
      <w:keepLines/>
      <w:spacing w:before="40" w:line="259" w:lineRule="auto"/>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287221"/>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3277"/>
    <w:pPr>
      <w:tabs>
        <w:tab w:val="center" w:pos="4320"/>
        <w:tab w:val="right" w:pos="8640"/>
      </w:tabs>
    </w:pPr>
  </w:style>
  <w:style w:type="character" w:customStyle="1" w:styleId="HeaderChar">
    <w:name w:val="Header Char"/>
    <w:basedOn w:val="DefaultParagraphFont"/>
    <w:link w:val="Header"/>
    <w:uiPriority w:val="99"/>
    <w:rsid w:val="00813277"/>
    <w:rPr>
      <w:rFonts w:ascii="Garamond" w:eastAsia="Times" w:hAnsi="Garamond" w:cs="Times New Roman"/>
      <w:sz w:val="24"/>
      <w:szCs w:val="20"/>
    </w:rPr>
  </w:style>
  <w:style w:type="character" w:styleId="PageNumber">
    <w:name w:val="page number"/>
    <w:aliases w:val="pn"/>
    <w:basedOn w:val="DefaultParagraphFont"/>
    <w:rsid w:val="00813277"/>
  </w:style>
  <w:style w:type="paragraph" w:customStyle="1" w:styleId="AppendixTitle">
    <w:name w:val="Appendix Title"/>
    <w:basedOn w:val="Heading1"/>
    <w:link w:val="AppendixTitleChar"/>
    <w:rsid w:val="00813277"/>
    <w:pPr>
      <w:keepLines w:val="0"/>
      <w:pBdr>
        <w:bottom w:val="thinThickSmallGap" w:sz="24" w:space="1" w:color="auto"/>
      </w:pBdr>
      <w:spacing w:before="5000" w:after="120"/>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813277"/>
    <w:rPr>
      <w:rFonts w:ascii="Arial" w:eastAsia="Times New Roman" w:hAnsi="Arial" w:cs="Arial"/>
      <w:b/>
      <w:sz w:val="40"/>
      <w:szCs w:val="28"/>
    </w:rPr>
  </w:style>
  <w:style w:type="character" w:customStyle="1" w:styleId="Heading1Char">
    <w:name w:val="Heading 1 Char"/>
    <w:basedOn w:val="DefaultParagraphFont"/>
    <w:link w:val="Heading1"/>
    <w:uiPriority w:val="9"/>
    <w:rsid w:val="00813277"/>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rsid w:val="00E0558D"/>
    <w:pPr>
      <w:jc w:val="center"/>
    </w:pPr>
    <w:rPr>
      <w:rFonts w:eastAsia="Times New Roman"/>
      <w:sz w:val="20"/>
      <w:szCs w:val="24"/>
    </w:rPr>
  </w:style>
  <w:style w:type="character" w:customStyle="1" w:styleId="FooterChar">
    <w:name w:val="Footer Char"/>
    <w:basedOn w:val="DefaultParagraphFont"/>
    <w:link w:val="Footer"/>
    <w:uiPriority w:val="99"/>
    <w:rsid w:val="00E0558D"/>
    <w:rPr>
      <w:rFonts w:ascii="Garamond" w:eastAsia="Times New Roman" w:hAnsi="Garamond" w:cs="Times New Roman"/>
      <w:sz w:val="20"/>
      <w:szCs w:val="24"/>
    </w:rPr>
  </w:style>
  <w:style w:type="character" w:styleId="Hyperlink">
    <w:name w:val="Hyperlink"/>
    <w:basedOn w:val="DefaultParagraphFont"/>
    <w:uiPriority w:val="99"/>
    <w:unhideWhenUsed/>
    <w:rsid w:val="00136309"/>
    <w:rPr>
      <w:color w:val="0563C1" w:themeColor="hyperlink"/>
      <w:u w:val="single"/>
    </w:rPr>
  </w:style>
  <w:style w:type="paragraph" w:customStyle="1" w:styleId="AppH2">
    <w:name w:val="App H2"/>
    <w:basedOn w:val="Heading2"/>
    <w:uiPriority w:val="99"/>
    <w:rsid w:val="00136309"/>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paragraph" w:styleId="BodyText">
    <w:name w:val="Body Text"/>
    <w:basedOn w:val="Normal"/>
    <w:link w:val="BodyTextChar"/>
    <w:uiPriority w:val="99"/>
    <w:qFormat/>
    <w:rsid w:val="00136309"/>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uiPriority w:val="99"/>
    <w:rsid w:val="00136309"/>
    <w:rPr>
      <w:rFonts w:ascii="Garamond" w:eastAsia="Times New Roman" w:hAnsi="Garamond" w:cs="Times New Roman"/>
      <w:sz w:val="24"/>
      <w:szCs w:val="24"/>
    </w:rPr>
  </w:style>
  <w:style w:type="paragraph" w:customStyle="1" w:styleId="ContactListEntries">
    <w:name w:val="Contact List Entries"/>
    <w:qFormat/>
    <w:rsid w:val="00136309"/>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NCESheaderodd">
    <w:name w:val="NCES header odd"/>
    <w:basedOn w:val="Normal"/>
    <w:link w:val="NCESheaderoddChar"/>
    <w:rsid w:val="0013630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136309"/>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13630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136309"/>
    <w:rPr>
      <w:rFonts w:ascii="Arial" w:eastAsia="Times New Roman" w:hAnsi="Arial" w:cs="Times New Roman"/>
      <w:smallCaps/>
      <w:sz w:val="18"/>
      <w:szCs w:val="20"/>
    </w:rPr>
  </w:style>
  <w:style w:type="character" w:customStyle="1" w:styleId="Heading2Char">
    <w:name w:val="Heading 2 Char"/>
    <w:basedOn w:val="DefaultParagraphFont"/>
    <w:link w:val="Heading2"/>
    <w:uiPriority w:val="9"/>
    <w:rsid w:val="00136309"/>
    <w:rPr>
      <w:rFonts w:asciiTheme="majorHAnsi" w:eastAsiaTheme="majorEastAsia" w:hAnsiTheme="majorHAnsi" w:cstheme="majorBidi"/>
      <w:color w:val="2E74B5" w:themeColor="accent1" w:themeShade="BF"/>
      <w:sz w:val="26"/>
      <w:szCs w:val="26"/>
    </w:rPr>
  </w:style>
  <w:style w:type="paragraph" w:customStyle="1" w:styleId="Cov-Address">
    <w:name w:val="Cov-Address"/>
    <w:basedOn w:val="Normal"/>
    <w:rsid w:val="00A87996"/>
    <w:pPr>
      <w:jc w:val="right"/>
    </w:pPr>
    <w:rPr>
      <w:rFonts w:ascii="Arial" w:eastAsia="Times New Roman" w:hAnsi="Arial"/>
    </w:rPr>
  </w:style>
  <w:style w:type="paragraph" w:customStyle="1" w:styleId="Cov-Date">
    <w:name w:val="Cov-Date"/>
    <w:basedOn w:val="Normal"/>
    <w:uiPriority w:val="99"/>
    <w:rsid w:val="00A87996"/>
    <w:pPr>
      <w:jc w:val="right"/>
    </w:pPr>
    <w:rPr>
      <w:rFonts w:ascii="Arial" w:eastAsia="Times New Roman" w:hAnsi="Arial"/>
      <w:b/>
      <w:sz w:val="28"/>
    </w:rPr>
  </w:style>
  <w:style w:type="paragraph" w:customStyle="1" w:styleId="Cov-Subtitle">
    <w:name w:val="Cov-Subtitle"/>
    <w:basedOn w:val="Normal"/>
    <w:rsid w:val="00A87996"/>
    <w:pPr>
      <w:jc w:val="right"/>
    </w:pPr>
    <w:rPr>
      <w:rFonts w:ascii="Arial Black" w:eastAsia="Times New Roman" w:hAnsi="Arial Black"/>
      <w:sz w:val="32"/>
    </w:rPr>
  </w:style>
  <w:style w:type="paragraph" w:customStyle="1" w:styleId="Cov-Title">
    <w:name w:val="Cov-Title"/>
    <w:basedOn w:val="Normal"/>
    <w:uiPriority w:val="99"/>
    <w:rsid w:val="00A87996"/>
    <w:pPr>
      <w:jc w:val="right"/>
    </w:pPr>
    <w:rPr>
      <w:rFonts w:ascii="Arial Black" w:eastAsia="Times New Roman" w:hAnsi="Arial Black"/>
      <w:sz w:val="40"/>
    </w:rPr>
  </w:style>
  <w:style w:type="character" w:styleId="CommentReference">
    <w:name w:val="annotation reference"/>
    <w:basedOn w:val="DefaultParagraphFont"/>
    <w:uiPriority w:val="99"/>
    <w:unhideWhenUsed/>
    <w:rsid w:val="00CD2E3D"/>
    <w:rPr>
      <w:sz w:val="16"/>
      <w:szCs w:val="16"/>
    </w:rPr>
  </w:style>
  <w:style w:type="paragraph" w:styleId="CommentText">
    <w:name w:val="annotation text"/>
    <w:basedOn w:val="Normal"/>
    <w:link w:val="CommentTextChar"/>
    <w:uiPriority w:val="99"/>
    <w:unhideWhenUsed/>
    <w:rsid w:val="00CD2E3D"/>
    <w:rPr>
      <w:sz w:val="20"/>
    </w:rPr>
  </w:style>
  <w:style w:type="character" w:customStyle="1" w:styleId="CommentTextChar">
    <w:name w:val="Comment Text Char"/>
    <w:basedOn w:val="DefaultParagraphFont"/>
    <w:link w:val="CommentText"/>
    <w:uiPriority w:val="99"/>
    <w:rsid w:val="00CD2E3D"/>
    <w:rPr>
      <w:rFonts w:ascii="Garamond" w:eastAsia="Times"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CD2E3D"/>
    <w:rPr>
      <w:b/>
      <w:bCs/>
    </w:rPr>
  </w:style>
  <w:style w:type="character" w:customStyle="1" w:styleId="CommentSubjectChar">
    <w:name w:val="Comment Subject Char"/>
    <w:basedOn w:val="CommentTextChar"/>
    <w:link w:val="CommentSubject"/>
    <w:uiPriority w:val="99"/>
    <w:semiHidden/>
    <w:rsid w:val="00CD2E3D"/>
    <w:rPr>
      <w:rFonts w:ascii="Garamond" w:eastAsia="Times" w:hAnsi="Garamond" w:cs="Times New Roman"/>
      <w:b/>
      <w:bCs/>
      <w:sz w:val="20"/>
      <w:szCs w:val="20"/>
    </w:rPr>
  </w:style>
  <w:style w:type="paragraph" w:styleId="BalloonText">
    <w:name w:val="Balloon Text"/>
    <w:basedOn w:val="Normal"/>
    <w:link w:val="BalloonTextChar"/>
    <w:uiPriority w:val="99"/>
    <w:semiHidden/>
    <w:unhideWhenUsed/>
    <w:rsid w:val="00CD2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E3D"/>
    <w:rPr>
      <w:rFonts w:ascii="Segoe UI" w:eastAsia="Times" w:hAnsi="Segoe UI" w:cs="Segoe UI"/>
      <w:sz w:val="18"/>
      <w:szCs w:val="18"/>
    </w:rPr>
  </w:style>
  <w:style w:type="paragraph" w:customStyle="1" w:styleId="TOC-Cover">
    <w:name w:val="TOC-Cover"/>
    <w:basedOn w:val="Normal"/>
    <w:next w:val="Normal"/>
    <w:qFormat/>
    <w:rsid w:val="00FB2D0D"/>
    <w:pPr>
      <w:tabs>
        <w:tab w:val="right" w:leader="dot" w:pos="10440"/>
      </w:tabs>
      <w:ind w:right="720"/>
    </w:pPr>
    <w:rPr>
      <w:rFonts w:ascii="Arial" w:hAnsi="Arial" w:cs="Arial"/>
      <w:b/>
      <w:szCs w:val="24"/>
    </w:rPr>
  </w:style>
  <w:style w:type="paragraph" w:styleId="FootnoteText">
    <w:name w:val="footnote text"/>
    <w:aliases w:val="ft,fo,footnote text,ft1,fo1,footnote text Char"/>
    <w:basedOn w:val="Normal"/>
    <w:link w:val="FootnoteTextChar"/>
    <w:uiPriority w:val="99"/>
    <w:unhideWhenUsed/>
    <w:qFormat/>
    <w:rsid w:val="0053414B"/>
    <w:rPr>
      <w:sz w:val="20"/>
    </w:rPr>
  </w:style>
  <w:style w:type="character" w:customStyle="1" w:styleId="FootnoteTextChar">
    <w:name w:val="Footnote Text Char"/>
    <w:aliases w:val="ft Char,fo Char,footnote text Char1,ft1 Char,fo1 Char,footnote text Char Char"/>
    <w:basedOn w:val="DefaultParagraphFont"/>
    <w:link w:val="FootnoteText"/>
    <w:uiPriority w:val="99"/>
    <w:rsid w:val="0053414B"/>
    <w:rPr>
      <w:rFonts w:ascii="Garamond" w:eastAsia="Times" w:hAnsi="Garamond" w:cs="Times New Roman"/>
      <w:sz w:val="20"/>
      <w:szCs w:val="20"/>
    </w:rPr>
  </w:style>
  <w:style w:type="character" w:styleId="FootnoteReference">
    <w:name w:val="footnote reference"/>
    <w:basedOn w:val="DefaultParagraphFont"/>
    <w:uiPriority w:val="99"/>
    <w:unhideWhenUsed/>
    <w:rsid w:val="0053414B"/>
    <w:rPr>
      <w:vertAlign w:val="superscript"/>
    </w:rPr>
  </w:style>
  <w:style w:type="paragraph" w:styleId="Revision">
    <w:name w:val="Revision"/>
    <w:hidden/>
    <w:uiPriority w:val="99"/>
    <w:semiHidden/>
    <w:rsid w:val="00921E99"/>
    <w:pPr>
      <w:spacing w:after="0" w:line="240" w:lineRule="auto"/>
    </w:pPr>
    <w:rPr>
      <w:rFonts w:ascii="Garamond" w:eastAsia="Times" w:hAnsi="Garamond" w:cs="Times New Roman"/>
      <w:sz w:val="24"/>
      <w:szCs w:val="20"/>
    </w:rPr>
  </w:style>
  <w:style w:type="character" w:customStyle="1" w:styleId="Heading3Char">
    <w:name w:val="Heading 3 Char"/>
    <w:basedOn w:val="DefaultParagraphFont"/>
    <w:link w:val="Heading3"/>
    <w:uiPriority w:val="9"/>
    <w:rsid w:val="0028722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87221"/>
    <w:rPr>
      <w:rFonts w:asciiTheme="majorHAnsi" w:eastAsiaTheme="majorEastAsia" w:hAnsiTheme="majorHAnsi" w:cstheme="majorBidi"/>
      <w:i/>
      <w:iCs/>
      <w:color w:val="2E74B5" w:themeColor="accent1" w:themeShade="BF"/>
    </w:rPr>
  </w:style>
  <w:style w:type="paragraph" w:styleId="ListParagraph">
    <w:name w:val="List Paragraph"/>
    <w:basedOn w:val="Normal"/>
    <w:link w:val="ListParagraphChar"/>
    <w:uiPriority w:val="34"/>
    <w:qFormat/>
    <w:rsid w:val="00287221"/>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287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87221"/>
    <w:rPr>
      <w:color w:val="605E5C"/>
      <w:shd w:val="clear" w:color="auto" w:fill="E1DFDD"/>
    </w:rPr>
  </w:style>
  <w:style w:type="table" w:customStyle="1" w:styleId="TableGridLight1">
    <w:name w:val="Table Grid Light1"/>
    <w:basedOn w:val="TableNormal"/>
    <w:uiPriority w:val="40"/>
    <w:rsid w:val="00287221"/>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figsource">
    <w:name w:val="tab/fig source"/>
    <w:basedOn w:val="Normal"/>
    <w:rsid w:val="00287221"/>
    <w:pPr>
      <w:keepLines/>
      <w:spacing w:after="240"/>
      <w:contextualSpacing/>
    </w:pPr>
    <w:rPr>
      <w:rFonts w:ascii="Arial" w:eastAsia="Times New Roman" w:hAnsi="Arial"/>
      <w:sz w:val="16"/>
      <w:szCs w:val="24"/>
      <w:lang w:val="en-CA"/>
    </w:rPr>
  </w:style>
  <w:style w:type="paragraph" w:customStyle="1" w:styleId="TableTitle">
    <w:name w:val="Table Title"/>
    <w:basedOn w:val="Normal"/>
    <w:link w:val="TableTitleChar"/>
    <w:uiPriority w:val="99"/>
    <w:qFormat/>
    <w:rsid w:val="00287221"/>
    <w:pPr>
      <w:keepNext/>
      <w:keepLines/>
      <w:spacing w:before="120" w:after="60"/>
      <w:ind w:left="994" w:hanging="994"/>
      <w:outlineLvl w:val="3"/>
    </w:pPr>
    <w:rPr>
      <w:rFonts w:ascii="Arial" w:eastAsia="Times New Roman" w:hAnsi="Arial"/>
      <w:b/>
      <w:snapToGrid w:val="0"/>
      <w:sz w:val="20"/>
      <w:szCs w:val="24"/>
      <w:lang w:val="en-CA"/>
    </w:rPr>
  </w:style>
  <w:style w:type="character" w:customStyle="1" w:styleId="TableTitleChar">
    <w:name w:val="Table Title Char"/>
    <w:basedOn w:val="DefaultParagraphFont"/>
    <w:link w:val="TableTitle"/>
    <w:uiPriority w:val="99"/>
    <w:locked/>
    <w:rsid w:val="00287221"/>
    <w:rPr>
      <w:rFonts w:ascii="Arial" w:eastAsia="Times New Roman" w:hAnsi="Arial" w:cs="Times New Roman"/>
      <w:b/>
      <w:snapToGrid w:val="0"/>
      <w:sz w:val="20"/>
      <w:szCs w:val="24"/>
      <w:lang w:val="en-CA"/>
    </w:rPr>
  </w:style>
  <w:style w:type="paragraph" w:styleId="NormalWeb">
    <w:name w:val="Normal (Web)"/>
    <w:basedOn w:val="Normal"/>
    <w:uiPriority w:val="99"/>
    <w:unhideWhenUsed/>
    <w:rsid w:val="00287221"/>
    <w:pPr>
      <w:spacing w:before="100" w:beforeAutospacing="1" w:after="100" w:afterAutospacing="1"/>
    </w:pPr>
    <w:rPr>
      <w:rFonts w:ascii="Times New Roman" w:eastAsiaTheme="minorEastAsia" w:hAnsi="Times New Roman"/>
      <w:szCs w:val="24"/>
    </w:rPr>
  </w:style>
  <w:style w:type="table" w:styleId="TableGridLight">
    <w:name w:val="Grid Table Light"/>
    <w:basedOn w:val="TableNormal"/>
    <w:uiPriority w:val="40"/>
    <w:rsid w:val="00287221"/>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34"/>
    <w:locked/>
    <w:rsid w:val="00287221"/>
  </w:style>
  <w:style w:type="character" w:styleId="Emphasis">
    <w:name w:val="Emphasis"/>
    <w:basedOn w:val="DefaultParagraphFont"/>
    <w:uiPriority w:val="20"/>
    <w:qFormat/>
    <w:rsid w:val="00287221"/>
    <w:rPr>
      <w:i/>
      <w:iCs/>
    </w:rPr>
  </w:style>
  <w:style w:type="character" w:styleId="FollowedHyperlink">
    <w:name w:val="FollowedHyperlink"/>
    <w:basedOn w:val="DefaultParagraphFont"/>
    <w:uiPriority w:val="99"/>
    <w:semiHidden/>
    <w:unhideWhenUsed/>
    <w:rsid w:val="00287221"/>
    <w:rPr>
      <w:color w:val="954F72" w:themeColor="followedHyperlink"/>
      <w:u w:val="single"/>
    </w:rPr>
  </w:style>
  <w:style w:type="paragraph" w:styleId="Caption">
    <w:name w:val="caption"/>
    <w:basedOn w:val="Normal"/>
    <w:next w:val="Normal"/>
    <w:uiPriority w:val="35"/>
    <w:unhideWhenUsed/>
    <w:qFormat/>
    <w:rsid w:val="00287221"/>
    <w:pPr>
      <w:spacing w:after="200"/>
    </w:pPr>
    <w:rPr>
      <w:rFonts w:asciiTheme="minorHAnsi" w:eastAsiaTheme="minorHAnsi" w:hAnsiTheme="minorHAnsi" w:cstheme="minorBidi"/>
      <w:i/>
      <w:iCs/>
      <w:color w:val="44546A" w:themeColor="text2"/>
      <w:sz w:val="18"/>
      <w:szCs w:val="18"/>
    </w:rPr>
  </w:style>
  <w:style w:type="paragraph" w:customStyle="1" w:styleId="biblio">
    <w:name w:val="biblio"/>
    <w:basedOn w:val="Normal"/>
    <w:rsid w:val="005A1737"/>
    <w:pPr>
      <w:spacing w:after="120" w:line="259" w:lineRule="auto"/>
      <w:ind w:left="540" w:hanging="540"/>
    </w:pPr>
    <w:rPr>
      <w:rFonts w:eastAsiaTheme="minorHAnsi" w:cs="Andalus"/>
      <w:szCs w:val="24"/>
    </w:rPr>
  </w:style>
  <w:style w:type="paragraph" w:customStyle="1" w:styleId="AppHeading2">
    <w:name w:val="AppHeading2"/>
    <w:basedOn w:val="Normal"/>
    <w:rsid w:val="005A1737"/>
    <w:pPr>
      <w:keepNext/>
      <w:autoSpaceDE w:val="0"/>
      <w:autoSpaceDN w:val="0"/>
      <w:adjustRightInd w:val="0"/>
      <w:spacing w:after="120"/>
      <w:outlineLvl w:val="1"/>
    </w:pPr>
    <w:rPr>
      <w:rFonts w:eastAsiaTheme="minorHAnsi"/>
      <w:b/>
      <w:bCs/>
      <w:szCs w:val="24"/>
    </w:rPr>
  </w:style>
  <w:style w:type="character" w:styleId="Mention">
    <w:name w:val="Mention"/>
    <w:basedOn w:val="DefaultParagraphFont"/>
    <w:uiPriority w:val="99"/>
    <w:unhideWhenUsed/>
    <w:rsid w:val="001B6C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6395">
      <w:bodyDiv w:val="1"/>
      <w:marLeft w:val="0"/>
      <w:marRight w:val="0"/>
      <w:marTop w:val="0"/>
      <w:marBottom w:val="0"/>
      <w:divBdr>
        <w:top w:val="none" w:sz="0" w:space="0" w:color="auto"/>
        <w:left w:val="none" w:sz="0" w:space="0" w:color="auto"/>
        <w:bottom w:val="none" w:sz="0" w:space="0" w:color="auto"/>
        <w:right w:val="none" w:sz="0" w:space="0" w:color="auto"/>
      </w:divBdr>
    </w:div>
    <w:div w:id="154689523">
      <w:bodyDiv w:val="1"/>
      <w:marLeft w:val="0"/>
      <w:marRight w:val="0"/>
      <w:marTop w:val="0"/>
      <w:marBottom w:val="0"/>
      <w:divBdr>
        <w:top w:val="none" w:sz="0" w:space="0" w:color="auto"/>
        <w:left w:val="none" w:sz="0" w:space="0" w:color="auto"/>
        <w:bottom w:val="none" w:sz="0" w:space="0" w:color="auto"/>
        <w:right w:val="none" w:sz="0" w:space="0" w:color="auto"/>
      </w:divBdr>
    </w:div>
    <w:div w:id="586115240">
      <w:bodyDiv w:val="1"/>
      <w:marLeft w:val="0"/>
      <w:marRight w:val="0"/>
      <w:marTop w:val="0"/>
      <w:marBottom w:val="0"/>
      <w:divBdr>
        <w:top w:val="none" w:sz="0" w:space="0" w:color="auto"/>
        <w:left w:val="none" w:sz="0" w:space="0" w:color="auto"/>
        <w:bottom w:val="none" w:sz="0" w:space="0" w:color="auto"/>
        <w:right w:val="none" w:sz="0" w:space="0" w:color="auto"/>
      </w:divBdr>
    </w:div>
    <w:div w:id="677149682">
      <w:bodyDiv w:val="1"/>
      <w:marLeft w:val="0"/>
      <w:marRight w:val="0"/>
      <w:marTop w:val="0"/>
      <w:marBottom w:val="0"/>
      <w:divBdr>
        <w:top w:val="none" w:sz="0" w:space="0" w:color="auto"/>
        <w:left w:val="none" w:sz="0" w:space="0" w:color="auto"/>
        <w:bottom w:val="none" w:sz="0" w:space="0" w:color="auto"/>
        <w:right w:val="none" w:sz="0" w:space="0" w:color="auto"/>
      </w:divBdr>
    </w:div>
    <w:div w:id="1862086975">
      <w:bodyDiv w:val="1"/>
      <w:marLeft w:val="0"/>
      <w:marRight w:val="0"/>
      <w:marTop w:val="0"/>
      <w:marBottom w:val="0"/>
      <w:divBdr>
        <w:top w:val="none" w:sz="0" w:space="0" w:color="auto"/>
        <w:left w:val="none" w:sz="0" w:space="0" w:color="auto"/>
        <w:bottom w:val="none" w:sz="0" w:space="0" w:color="auto"/>
        <w:right w:val="none" w:sz="0" w:space="0" w:color="auto"/>
      </w:divBdr>
    </w:div>
    <w:div w:id="188621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29115/SP-2016-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C5BD1-8C3B-4097-B814-2360C91B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8051</Words>
  <Characters>45895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2021-10-01T14:53:00Z</dcterms:created>
  <dcterms:modified xsi:type="dcterms:W3CDTF">2021-12-08T16:24:00Z</dcterms:modified>
</cp:coreProperties>
</file>