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604E" w:rsidP="00A2604E" w:rsidRDefault="00A2604E" w14:paraId="39F14EF8" w14:textId="157B5BD0">
      <w:pPr>
        <w:jc w:val="center"/>
      </w:pPr>
      <w:r>
        <w:t>UNITED STATES OF AMERICA</w:t>
      </w:r>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788BFDD3">
      <w:pPr>
        <w:jc w:val="center"/>
      </w:pPr>
      <w:r w:rsidRPr="00AC750B">
        <w:t>[</w:t>
      </w:r>
      <w:r w:rsidR="004E4EAD">
        <w:t xml:space="preserve">Docket No. </w:t>
      </w:r>
      <w:r w:rsidR="00A562C6">
        <w:t>RD21-6-000</w:t>
      </w:r>
      <w:r w:rsidRPr="00AC750B">
        <w:t>]</w:t>
      </w:r>
    </w:p>
    <w:p w:rsidR="00A2604E" w:rsidP="00A2604E" w:rsidRDefault="00A2604E" w14:paraId="37A99FB4" w14:textId="77777777"/>
    <w:p w:rsidRPr="00466D3F" w:rsidR="005A7903" w:rsidP="005A7903" w:rsidRDefault="005A7903" w14:paraId="465B32C7" w14:textId="43356F0C">
      <w:pPr>
        <w:jc w:val="center"/>
      </w:pPr>
      <w:r w:rsidRPr="00466D3F">
        <w:t>COMMISSION INFORMATION COLLECTION ACTIVITIES (FERC-</w:t>
      </w:r>
      <w:r w:rsidR="008A7CEF">
        <w:t>725B4)</w:t>
      </w:r>
      <w:r w:rsidRPr="00466D3F">
        <w:t>;</w:t>
      </w:r>
      <w:r>
        <w:t xml:space="preserve"> </w:t>
      </w:r>
      <w:r w:rsidRPr="00466D3F">
        <w:t>COMMENT REQUEST; EXTENSION</w:t>
      </w:r>
    </w:p>
    <w:p w:rsidR="00810D18" w:rsidP="00810D18" w:rsidRDefault="00810D18" w14:paraId="6FC67CE5" w14:textId="1157AFF8"/>
    <w:p w:rsidR="007356B8" w:rsidP="00503FF2" w:rsidRDefault="00503FF2" w14:paraId="1C382AA4" w14:textId="38511826">
      <w:pPr>
        <w:jc w:val="center"/>
      </w:pPr>
      <w:r w:rsidRPr="00503FF2">
        <w:t>(July 7, 2022)</w:t>
      </w:r>
    </w:p>
    <w:p w:rsidRPr="00503FF2" w:rsidR="00503FF2" w:rsidP="00503FF2" w:rsidRDefault="00503FF2" w14:paraId="1A1830B1"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1ACCD62B">
      <w:pPr>
        <w:spacing w:line="480" w:lineRule="auto"/>
      </w:pPr>
      <w:r w:rsidRPr="00CE64F2">
        <w:rPr>
          <w:b/>
        </w:rPr>
        <w:t>SUMMARY:</w:t>
      </w:r>
      <w:r>
        <w:t xml:space="preserve">  </w:t>
      </w:r>
      <w:r w:rsidRPr="005A7903" w:rsidR="005A7903">
        <w:t xml:space="preserve">In compliance with the requirements of the Paperwork Reduction Act of 1995, the Federal Energy Regulatory Commission (Commission or FERC) is soliciting public comment on the </w:t>
      </w:r>
      <w:r w:rsidR="001E29F2">
        <w:t xml:space="preserve">new information collection designated as </w:t>
      </w:r>
      <w:r w:rsidRPr="005A7903" w:rsidR="005A7903">
        <w:t>FERC-</w:t>
      </w:r>
      <w:r w:rsidR="008A7CEF">
        <w:t>725B4</w:t>
      </w:r>
      <w:r w:rsidRPr="005A7903" w:rsidR="005A7903">
        <w:t xml:space="preserve"> (</w:t>
      </w:r>
      <w:r w:rsidRPr="000C018E" w:rsidR="00EC3887">
        <w:rPr>
          <w:iCs/>
          <w:szCs w:val="26"/>
        </w:rPr>
        <w:t>Mandatory Reliability Standards:  Critical Infrastructure Protection Reliability Standards CIP-004-7 and CIP-011-3</w:t>
      </w:r>
      <w:r w:rsidRPr="005A7903" w:rsidR="005A7903">
        <w:t>)</w:t>
      </w:r>
      <w:r w:rsidR="00864B1B">
        <w:t>,</w:t>
      </w:r>
      <w:r w:rsidRPr="005A7903" w:rsidR="005A7903">
        <w:t xml:space="preserve"> which will be submitted to the Office of Management and Budget (OMB) for a review of the information collection requirements.</w:t>
      </w:r>
    </w:p>
    <w:p w:rsidRPr="007C1916" w:rsidR="007C1916" w:rsidP="007C1916" w:rsidRDefault="00A2604E" w14:paraId="442CCE36" w14:textId="4EBC3054">
      <w:pPr>
        <w:spacing w:line="480" w:lineRule="auto"/>
      </w:pPr>
      <w:r w:rsidRPr="00CE64F2">
        <w:rPr>
          <w:b/>
        </w:rPr>
        <w:t>DATES:</w:t>
      </w:r>
      <w:r>
        <w:t xml:space="preserve">  Comments on the collection of information are due </w:t>
      </w:r>
      <w:bookmarkStart w:name="OLE_LINK1" w:id="0"/>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343A03" w:rsidP="00D50830" w:rsidRDefault="007C1916" w14:paraId="2AFF287E" w14:textId="0C934CE3">
      <w:pPr>
        <w:spacing w:line="480" w:lineRule="auto"/>
      </w:pPr>
      <w:r w:rsidRPr="007C1916">
        <w:rPr>
          <w:b/>
        </w:rPr>
        <w:t>ADDRESSES:</w:t>
      </w:r>
      <w:r w:rsidRPr="007C1916">
        <w:t xml:space="preserve">  </w:t>
      </w:r>
      <w:r w:rsidRPr="00096CAD" w:rsidR="00343A03">
        <w:rPr>
          <w:iCs/>
          <w:szCs w:val="26"/>
        </w:rPr>
        <w:t xml:space="preserve">Send written comments on </w:t>
      </w:r>
      <w:r w:rsidR="00016EDB">
        <w:rPr>
          <w:iCs/>
          <w:szCs w:val="26"/>
        </w:rPr>
        <w:t>FERC-</w:t>
      </w:r>
      <w:r w:rsidR="00934C81">
        <w:rPr>
          <w:iCs/>
          <w:szCs w:val="26"/>
        </w:rPr>
        <w:t>725B4</w:t>
      </w:r>
      <w:r w:rsidRPr="00096CAD" w:rsidR="00343A03">
        <w:rPr>
          <w:iCs/>
          <w:szCs w:val="26"/>
        </w:rPr>
        <w:t xml:space="preserve"> to OMB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control number (</w:t>
      </w:r>
      <w:r w:rsidRPr="005A7903" w:rsidR="005A7903">
        <w:rPr>
          <w:iCs/>
          <w:szCs w:val="26"/>
        </w:rPr>
        <w:t>1902-</w:t>
      </w:r>
      <w:r w:rsidR="00934C81">
        <w:rPr>
          <w:iCs/>
          <w:szCs w:val="26"/>
        </w:rPr>
        <w:t>TBD</w:t>
      </w:r>
      <w:r w:rsidRPr="00096CAD" w:rsidR="00343A03">
        <w:rPr>
          <w:iCs/>
          <w:szCs w:val="26"/>
        </w:rPr>
        <w:t>) 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65D56" w:rsidP="00D65D56" w:rsidRDefault="00F12A43" w14:paraId="6073EEC6" w14:textId="2105E6BB">
      <w:pPr>
        <w:spacing w:line="480" w:lineRule="auto"/>
      </w:pPr>
      <w:r>
        <w:t xml:space="preserve">Please submit copies of your comments </w:t>
      </w:r>
      <w:r w:rsidR="00D65D56">
        <w:t xml:space="preserve">(identified by Docket No. </w:t>
      </w:r>
      <w:r w:rsidR="00715CAA">
        <w:t>RD21-6</w:t>
      </w:r>
      <w:r w:rsidR="00D65D56">
        <w:t xml:space="preserve">-000) </w:t>
      </w:r>
      <w:r>
        <w:t>to the Commission as noted below</w:t>
      </w:r>
      <w:r w:rsidR="00D65D56">
        <w:t xml:space="preserve">.  Electronic filing through </w:t>
      </w:r>
      <w:hyperlink w:history="1" r:id="rId13">
        <w:r w:rsidRPr="005728E4" w:rsidR="00D65D56">
          <w:rPr>
            <w:rStyle w:val="Hyperlink"/>
          </w:rPr>
          <w:t>http://www.ferc.gov</w:t>
        </w:r>
      </w:hyperlink>
      <w:r w:rsidR="00D65D56">
        <w:t>, is preferred.</w:t>
      </w:r>
    </w:p>
    <w:p w:rsidR="00D65D56" w:rsidP="0027045E" w:rsidRDefault="00D65D56" w14:paraId="5A9C0A3B" w14:textId="5B836784">
      <w:pPr>
        <w:pStyle w:val="ListParagraph"/>
        <w:numPr>
          <w:ilvl w:val="0"/>
          <w:numId w:val="6"/>
        </w:numPr>
        <w:spacing w:line="480" w:lineRule="auto"/>
      </w:pPr>
      <w:r>
        <w:lastRenderedPageBreak/>
        <w:t xml:space="preserve">Electronic Filing: Documents must be filed in acceptable native applications and print-to-PDF, but not in scanned or picture format. </w:t>
      </w:r>
    </w:p>
    <w:p w:rsidR="00D65D56" w:rsidP="0027045E" w:rsidRDefault="00D65D56"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rsidRDefault="00D65D56" w14:paraId="773E8072" w14:textId="2034CC54">
      <w:pPr>
        <w:pStyle w:val="ListParagraph"/>
        <w:numPr>
          <w:ilvl w:val="1"/>
          <w:numId w:val="6"/>
        </w:numPr>
        <w:spacing w:line="480" w:lineRule="auto"/>
      </w:pPr>
      <w:r>
        <w:t>Mail via U.S. Postal Service Only: Addressed to: Federal Energy Regulatory Commission, Secretary of the Commission, 888 First Street, N.E., Washington, DC 20426.</w:t>
      </w:r>
    </w:p>
    <w:p w:rsidR="00D50830" w:rsidP="00BE3392" w:rsidRDefault="00D65D56" w14:paraId="40619756" w14:textId="759020BE">
      <w:pPr>
        <w:pStyle w:val="ListParagraph"/>
        <w:numPr>
          <w:ilvl w:val="1"/>
          <w:numId w:val="6"/>
        </w:numPr>
        <w:spacing w:line="480" w:lineRule="auto"/>
      </w:pPr>
      <w:r>
        <w:t xml:space="preserve">Hand (including courier) delivery: Deliver to: Federal Energy Regulatory Commission, 12225 Wilkins Avenue, Rockville, MD 20852. </w:t>
      </w:r>
    </w:p>
    <w:p w:rsidRPr="00CB7448" w:rsidR="00310EFC" w:rsidP="007C1916" w:rsidRDefault="00A2604E" w14:paraId="1D7D8F0D" w14:textId="77777777">
      <w:pPr>
        <w:spacing w:line="480" w:lineRule="auto"/>
        <w:rPr>
          <w:i/>
          <w:szCs w:val="26"/>
        </w:rPr>
      </w:pPr>
      <w:r w:rsidRPr="00CB7448">
        <w:rPr>
          <w:i/>
          <w:szCs w:val="26"/>
        </w:rPr>
        <w:t xml:space="preserve">Instructions: </w:t>
      </w:r>
    </w:p>
    <w:p w:rsidRPr="00CB7448" w:rsidR="008E5123" w:rsidP="008E5123" w:rsidRDefault="008E5123" w14:paraId="2BAFDB88" w14:textId="77777777">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w:history="1" r:id="rId14">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Pr="00CB7447" w:rsidR="00D50830" w:rsidP="00D50830" w:rsidRDefault="00D50830" w14:paraId="7554CFE1" w14:textId="62C145F5">
      <w:pPr>
        <w:spacing w:line="480" w:lineRule="auto"/>
        <w:rPr>
          <w:sz w:val="24"/>
        </w:rPr>
      </w:pPr>
      <w:r w:rsidRPr="0027045E">
        <w:t>FERC submissions must</w:t>
      </w:r>
      <w:r>
        <w:t xml:space="preserve"> be formatted and filed in accordance with submission guidelines at: </w:t>
      </w:r>
      <w:hyperlink w:history="1" r:id="rId15">
        <w:r w:rsidRPr="00866BB4">
          <w:rPr>
            <w:rStyle w:val="Hyperlink"/>
          </w:rPr>
          <w:t>http://www.ferc.gov</w:t>
        </w:r>
      </w:hyperlink>
      <w:r>
        <w:t>.</w:t>
      </w:r>
      <w:r w:rsidR="00C44372">
        <w:t xml:space="preserve"> </w:t>
      </w:r>
      <w:r>
        <w:t>For user assistance, contact FERC Online Support by e-mail at ferconlinesupport@ferc.gov, or by phone at:  (866) 208-3676 (toll-free).</w:t>
      </w:r>
    </w:p>
    <w:p w:rsidR="00C44372" w:rsidP="00A2604E" w:rsidRDefault="00A2604E" w14:paraId="0A8B7F1C" w14:textId="77777777">
      <w:pPr>
        <w:spacing w:line="480" w:lineRule="auto"/>
      </w:pPr>
      <w:r>
        <w:rPr>
          <w:i/>
        </w:rPr>
        <w:t>Docket:</w:t>
      </w:r>
      <w:r>
        <w:t xml:space="preserve"> Users interested in receiving automatic notification of activity in this docket or in viewing/downloading comments and issuances in this docket may do so at </w:t>
      </w:r>
      <w:bookmarkEnd w:id="0"/>
      <w:r w:rsidR="00C44372">
        <w:fldChar w:fldCharType="begin"/>
      </w:r>
      <w:r w:rsidR="00C44372">
        <w:instrText xml:space="preserve"> HYPERLINK "http://www.ferc.gov/help/submission-guide.asp" </w:instrText>
      </w:r>
      <w:r w:rsidR="00C44372">
        <w:fldChar w:fldCharType="separate"/>
      </w:r>
      <w:r w:rsidRPr="00866BB4" w:rsidR="00C44372">
        <w:rPr>
          <w:rStyle w:val="Hyperlink"/>
        </w:rPr>
        <w:t>http://www.ferc.gov</w:t>
      </w:r>
      <w:r w:rsidR="00C44372">
        <w:rPr>
          <w:rStyle w:val="Hyperlink"/>
        </w:rPr>
        <w:fldChar w:fldCharType="end"/>
      </w:r>
      <w:r w:rsidR="00C44372">
        <w:t xml:space="preserve">. </w:t>
      </w:r>
    </w:p>
    <w:p w:rsidR="00A2604E" w:rsidP="00A2604E" w:rsidRDefault="00A2604E" w14:paraId="5D1F4BEC" w14:textId="684004F9">
      <w:pPr>
        <w:spacing w:line="480" w:lineRule="auto"/>
      </w:pPr>
      <w:r w:rsidRPr="00656DF0">
        <w:rPr>
          <w:b/>
        </w:rPr>
        <w:t>FOR FURTHER INFORMATION:</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Pr="00425DA2" w:rsidR="005A7903" w:rsidP="005A7903" w:rsidRDefault="005A7903" w14:paraId="4553AE5A" w14:textId="37157A14">
      <w:pPr>
        <w:spacing w:line="480" w:lineRule="auto"/>
      </w:pPr>
      <w:r w:rsidRPr="00466D3F">
        <w:rPr>
          <w:b/>
        </w:rPr>
        <w:lastRenderedPageBreak/>
        <w:t>SUPPLEMENTARY INFORMATION:</w:t>
      </w:r>
      <w:r w:rsidRPr="00466D3F">
        <w:t xml:space="preserve">  </w:t>
      </w:r>
    </w:p>
    <w:p w:rsidRPr="000C018E" w:rsidR="000C018E" w:rsidP="000C018E" w:rsidRDefault="000C018E" w14:paraId="2751216A" w14:textId="77777777">
      <w:pPr>
        <w:spacing w:line="480" w:lineRule="auto"/>
        <w:rPr>
          <w:i/>
          <w:szCs w:val="26"/>
        </w:rPr>
      </w:pPr>
      <w:r w:rsidRPr="000C018E">
        <w:rPr>
          <w:i/>
          <w:iCs/>
          <w:szCs w:val="26"/>
        </w:rPr>
        <w:t>Title</w:t>
      </w:r>
      <w:r w:rsidRPr="000C018E">
        <w:rPr>
          <w:iCs/>
          <w:szCs w:val="26"/>
        </w:rPr>
        <w:t>: FERC-725B4, Mandatory Reliability Standards:  Critical Infrastructure Protection Reliability Standards</w:t>
      </w:r>
      <w:bookmarkStart w:name="_Ref63945320" w:id="1"/>
      <w:bookmarkEnd w:id="1"/>
      <w:r w:rsidRPr="000C018E">
        <w:rPr>
          <w:iCs/>
          <w:szCs w:val="26"/>
        </w:rPr>
        <w:t xml:space="preserve"> CIP-004-7 and CIP-011-3.</w:t>
      </w:r>
      <w:r w:rsidRPr="000C018E">
        <w:rPr>
          <w:b/>
          <w:iCs/>
          <w:szCs w:val="26"/>
          <w:vertAlign w:val="superscript"/>
        </w:rPr>
        <w:footnoteReference w:id="2"/>
      </w:r>
    </w:p>
    <w:p w:rsidRPr="000C018E" w:rsidR="000C018E" w:rsidP="000C018E" w:rsidRDefault="000C018E" w14:paraId="190FB933" w14:textId="77777777">
      <w:pPr>
        <w:spacing w:line="480" w:lineRule="auto"/>
        <w:rPr>
          <w:i/>
          <w:szCs w:val="26"/>
        </w:rPr>
      </w:pPr>
      <w:r w:rsidRPr="000C018E">
        <w:rPr>
          <w:i/>
          <w:iCs/>
          <w:szCs w:val="26"/>
        </w:rPr>
        <w:t>OMB Control No</w:t>
      </w:r>
      <w:r w:rsidRPr="000C018E">
        <w:rPr>
          <w:szCs w:val="26"/>
        </w:rPr>
        <w:t>.: TBD.</w:t>
      </w:r>
    </w:p>
    <w:p w:rsidRPr="000C018E" w:rsidR="000C018E" w:rsidP="000C018E" w:rsidRDefault="000C018E" w14:paraId="0B409C97" w14:textId="77777777">
      <w:pPr>
        <w:spacing w:line="480" w:lineRule="auto"/>
        <w:rPr>
          <w:iCs/>
          <w:szCs w:val="26"/>
        </w:rPr>
      </w:pPr>
      <w:r w:rsidRPr="000C018E">
        <w:rPr>
          <w:i/>
          <w:iCs/>
          <w:szCs w:val="26"/>
        </w:rPr>
        <w:t>Type of Request</w:t>
      </w:r>
      <w:r w:rsidRPr="000C018E">
        <w:rPr>
          <w:iCs/>
          <w:szCs w:val="26"/>
        </w:rPr>
        <w:t>:  Approval of proposed changes as described in Docket No. RD21-6-000.</w:t>
      </w:r>
    </w:p>
    <w:p w:rsidRPr="000C018E" w:rsidR="000C018E" w:rsidP="000C018E" w:rsidRDefault="000C018E" w14:paraId="48C41623" w14:textId="17BACF94">
      <w:pPr>
        <w:spacing w:line="480" w:lineRule="auto"/>
        <w:rPr>
          <w:i/>
          <w:szCs w:val="26"/>
        </w:rPr>
      </w:pPr>
      <w:r w:rsidRPr="000C018E">
        <w:rPr>
          <w:i/>
          <w:iCs/>
          <w:szCs w:val="26"/>
        </w:rPr>
        <w:t>Abstract</w:t>
      </w:r>
      <w:r w:rsidRPr="000C018E">
        <w:rPr>
          <w:iCs/>
          <w:szCs w:val="26"/>
        </w:rPr>
        <w:t>:  On September 15, 2021 the North American Electric Reliability Corporation (NERC) filed a petition requesting approval of two Reliability Standards</w:t>
      </w:r>
      <w:r w:rsidR="00B065EE">
        <w:rPr>
          <w:iCs/>
          <w:szCs w:val="26"/>
        </w:rPr>
        <w:t xml:space="preserve">:  </w:t>
      </w:r>
      <w:r w:rsidRPr="000C018E">
        <w:rPr>
          <w:iCs/>
          <w:szCs w:val="26"/>
        </w:rPr>
        <w:t>CIP-004-7 (Cyber Security, Personnel and Training) and CIP-011-3 (Cyber Security, Information Protection).  NERC described the proposed Reliability Standards as “Addressing Bulk Electric System Cyber System Information Access Management.”  The petition was noticed on September 22, 2021, with interventions and comments due by October 6, 2021.</w:t>
      </w:r>
      <w:r w:rsidRPr="000C018E">
        <w:rPr>
          <w:b/>
          <w:iCs/>
          <w:szCs w:val="26"/>
          <w:vertAlign w:val="superscript"/>
        </w:rPr>
        <w:footnoteReference w:id="3"/>
      </w:r>
      <w:r w:rsidRPr="000C018E">
        <w:rPr>
          <w:iCs/>
          <w:szCs w:val="26"/>
        </w:rPr>
        <w:t>  The Commission did not receive any interventions or comments.</w:t>
      </w:r>
    </w:p>
    <w:p w:rsidRPr="000C018E" w:rsidR="000C018E" w:rsidP="000C018E" w:rsidRDefault="000C018E" w14:paraId="259208EB" w14:textId="77777777">
      <w:pPr>
        <w:spacing w:line="480" w:lineRule="auto"/>
        <w:rPr>
          <w:iCs/>
          <w:szCs w:val="26"/>
        </w:rPr>
      </w:pPr>
      <w:r w:rsidRPr="000C018E">
        <w:rPr>
          <w:iCs/>
          <w:szCs w:val="26"/>
        </w:rPr>
        <w:lastRenderedPageBreak/>
        <w:t>On December 7, 2021, the Designated Letter Order (DLO) in Docket No. RD21-6-000 approved the proposed Reliability Standards, and found that the modified Reliability Standards enhance security as discussed below.</w:t>
      </w:r>
    </w:p>
    <w:p w:rsidRPr="000C018E" w:rsidR="000C018E" w:rsidP="000C018E" w:rsidRDefault="000C018E" w14:paraId="6E6CEECB" w14:textId="3AA9712E">
      <w:pPr>
        <w:spacing w:line="480" w:lineRule="auto"/>
        <w:rPr>
          <w:iCs/>
          <w:szCs w:val="26"/>
        </w:rPr>
      </w:pPr>
      <w:r w:rsidRPr="000C018E">
        <w:rPr>
          <w:iCs/>
          <w:szCs w:val="26"/>
        </w:rPr>
        <w:t>At present, Reliability Standard CIP-004-6 require</w:t>
      </w:r>
      <w:r w:rsidR="00253F8C">
        <w:rPr>
          <w:iCs/>
          <w:szCs w:val="26"/>
        </w:rPr>
        <w:t>s</w:t>
      </w:r>
      <w:r w:rsidRPr="000C018E">
        <w:rPr>
          <w:iCs/>
          <w:szCs w:val="26"/>
        </w:rPr>
        <w:t xml:space="preserve"> Responsible Entities to control access to Bulk Electric System Cyber System Information (BCSI) by managing access to a designated storage location, such as an electronic document or physical file room.  Reliability Standard CIP-004-7 removes references to “designated storage locations” of BCSI and requires an access management program to authorize, verify and revoke provisioned access to BCSI.  This change updates CIP-004 by focusing on controls at the file level (e.g., rights, permissions, privileges) of BCSI and reduces the need for access to only a physical, designated storage location for BCSI.</w:t>
      </w:r>
    </w:p>
    <w:p w:rsidRPr="000C018E" w:rsidR="000C018E" w:rsidP="000C018E" w:rsidRDefault="000C018E" w14:paraId="6411D043" w14:textId="77777777">
      <w:pPr>
        <w:spacing w:line="480" w:lineRule="auto"/>
        <w:rPr>
          <w:iCs/>
          <w:szCs w:val="26"/>
        </w:rPr>
      </w:pPr>
      <w:r w:rsidRPr="000C018E">
        <w:rPr>
          <w:iCs/>
          <w:szCs w:val="26"/>
        </w:rPr>
        <w:t>Reliability Standard CIP-011-3 clarifies the requirements of protecting and handling BCSI with the goal of providing flexibility for Responsible Entities to use third-party data storage and analysis systems.  Specifically, Reliability Standard CIP-011-3 requires Responsible Entities to implement specific controls related to BCSI during storage handling use, and disposal of information when implementing services provided by third parties.</w:t>
      </w:r>
    </w:p>
    <w:p w:rsidRPr="000C018E" w:rsidR="000C018E" w:rsidP="000C018E" w:rsidRDefault="000C018E" w14:paraId="1A6F978C" w14:textId="77777777">
      <w:pPr>
        <w:spacing w:line="480" w:lineRule="auto"/>
        <w:rPr>
          <w:i/>
          <w:szCs w:val="26"/>
        </w:rPr>
      </w:pPr>
      <w:r w:rsidRPr="000C018E">
        <w:rPr>
          <w:i/>
          <w:iCs/>
          <w:szCs w:val="26"/>
        </w:rPr>
        <w:t>Type of Respondents</w:t>
      </w:r>
      <w:r w:rsidRPr="000C018E">
        <w:rPr>
          <w:iCs/>
          <w:szCs w:val="26"/>
        </w:rPr>
        <w:t>:  Businesses and other for-profit entities.</w:t>
      </w:r>
    </w:p>
    <w:p w:rsidRPr="000C018E" w:rsidR="000C018E" w:rsidP="000C018E" w:rsidRDefault="000C018E" w14:paraId="46159D57" w14:textId="77777777">
      <w:pPr>
        <w:spacing w:line="480" w:lineRule="auto"/>
        <w:rPr>
          <w:i/>
          <w:szCs w:val="26"/>
        </w:rPr>
      </w:pPr>
      <w:r w:rsidRPr="000C018E">
        <w:rPr>
          <w:i/>
          <w:iCs/>
          <w:szCs w:val="26"/>
        </w:rPr>
        <w:t>Estimate of Annual Burden</w:t>
      </w:r>
      <w:r w:rsidRPr="000C018E">
        <w:rPr>
          <w:iCs/>
          <w:szCs w:val="26"/>
        </w:rPr>
        <w:t>:  The Commission estimates 686 responses annually, and per-response burdens of 10 hours and $850.20.  The total estimated burdens per year are 6,860 hours and $583,237.20.  These burdens are itemized in the following table:</w:t>
      </w:r>
    </w:p>
    <w:tbl>
      <w:tblPr>
        <w:tblpPr w:leftFromText="180" w:rightFromText="180" w:bottomFromText="160" w:vertAnchor="text" w:horzAnchor="margin" w:tblpY="-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19"/>
        <w:gridCol w:w="1532"/>
        <w:gridCol w:w="1470"/>
        <w:gridCol w:w="1356"/>
        <w:gridCol w:w="1316"/>
        <w:gridCol w:w="1476"/>
        <w:gridCol w:w="1381"/>
      </w:tblGrid>
      <w:tr w:rsidRPr="000C018E" w:rsidR="000C018E" w:rsidTr="000121E5" w14:paraId="538862AA" w14:textId="77777777">
        <w:trPr>
          <w:cantSplit/>
        </w:trPr>
        <w:tc>
          <w:tcPr>
            <w:tcW w:w="0" w:type="auto"/>
            <w:tcBorders>
              <w:top w:val="single" w:color="auto" w:sz="4" w:space="0"/>
              <w:left w:val="single" w:color="auto" w:sz="4" w:space="0"/>
              <w:bottom w:val="single" w:color="auto" w:sz="4" w:space="0"/>
              <w:right w:val="single" w:color="auto" w:sz="4" w:space="0"/>
            </w:tcBorders>
            <w:shd w:val="clear" w:color="auto" w:fill="D9D9D9"/>
            <w:vAlign w:val="bottom"/>
          </w:tcPr>
          <w:p w:rsidRPr="000C018E" w:rsidR="000C018E" w:rsidP="00B76D65" w:rsidRDefault="000C018E" w14:paraId="4641F762" w14:textId="77777777">
            <w:pPr>
              <w:rPr>
                <w:b/>
                <w:i/>
                <w:szCs w:val="26"/>
              </w:rPr>
            </w:pP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0C018E" w:rsidR="000C018E" w:rsidP="00220130" w:rsidRDefault="000C018E" w14:paraId="6BBC5034" w14:textId="77777777">
            <w:pPr>
              <w:jc w:val="center"/>
              <w:rPr>
                <w:b/>
                <w:iCs/>
                <w:sz w:val="22"/>
                <w:szCs w:val="26"/>
              </w:rPr>
            </w:pPr>
            <w:r w:rsidRPr="000C018E">
              <w:rPr>
                <w:b/>
                <w:iCs/>
                <w:sz w:val="22"/>
                <w:szCs w:val="26"/>
              </w:rPr>
              <w:t>A.</w:t>
            </w:r>
          </w:p>
          <w:p w:rsidRPr="000C018E" w:rsidR="000C018E" w:rsidP="00220130" w:rsidRDefault="000C018E" w14:paraId="325DC06B" w14:textId="77777777">
            <w:pPr>
              <w:jc w:val="center"/>
              <w:rPr>
                <w:b/>
                <w:iCs/>
                <w:sz w:val="22"/>
                <w:szCs w:val="26"/>
              </w:rPr>
            </w:pPr>
            <w:r w:rsidRPr="000C018E">
              <w:rPr>
                <w:b/>
                <w:iCs/>
                <w:sz w:val="22"/>
                <w:szCs w:val="26"/>
              </w:rPr>
              <w:t>Number of Respondents</w:t>
            </w:r>
            <w:r w:rsidRPr="000C018E">
              <w:rPr>
                <w:b/>
                <w:iCs/>
                <w:sz w:val="22"/>
                <w:szCs w:val="26"/>
                <w:vertAlign w:val="superscript"/>
              </w:rPr>
              <w:footnoteReference w:id="4"/>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0C018E" w:rsidR="000C018E" w:rsidP="00220130" w:rsidRDefault="000C018E" w14:paraId="51ABA781" w14:textId="77777777">
            <w:pPr>
              <w:jc w:val="center"/>
              <w:rPr>
                <w:b/>
                <w:iCs/>
                <w:sz w:val="22"/>
                <w:szCs w:val="26"/>
              </w:rPr>
            </w:pPr>
            <w:r w:rsidRPr="000C018E">
              <w:rPr>
                <w:b/>
                <w:iCs/>
                <w:sz w:val="22"/>
                <w:szCs w:val="26"/>
              </w:rPr>
              <w:t>B.</w:t>
            </w:r>
          </w:p>
          <w:p w:rsidRPr="000C018E" w:rsidR="000C018E" w:rsidP="00220130" w:rsidRDefault="000C018E" w14:paraId="4145E983" w14:textId="77777777">
            <w:pPr>
              <w:jc w:val="center"/>
              <w:rPr>
                <w:b/>
                <w:iCs/>
                <w:sz w:val="22"/>
                <w:szCs w:val="26"/>
              </w:rPr>
            </w:pPr>
            <w:r w:rsidRPr="000C018E">
              <w:rPr>
                <w:b/>
                <w:iCs/>
                <w:sz w:val="22"/>
                <w:szCs w:val="26"/>
              </w:rPr>
              <w:t>Annual Number of Responses per Respondent</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0C018E" w:rsidR="000C018E" w:rsidP="00220130" w:rsidRDefault="000C018E" w14:paraId="321C24C7" w14:textId="77777777">
            <w:pPr>
              <w:jc w:val="center"/>
              <w:rPr>
                <w:b/>
                <w:iCs/>
                <w:sz w:val="22"/>
                <w:szCs w:val="26"/>
              </w:rPr>
            </w:pPr>
            <w:r w:rsidRPr="000C018E">
              <w:rPr>
                <w:b/>
                <w:iCs/>
                <w:sz w:val="22"/>
                <w:szCs w:val="26"/>
              </w:rPr>
              <w:t>C.</w:t>
            </w:r>
          </w:p>
          <w:p w:rsidRPr="000C018E" w:rsidR="000C018E" w:rsidP="00220130" w:rsidRDefault="000C018E" w14:paraId="7CBBA621" w14:textId="77777777">
            <w:pPr>
              <w:jc w:val="center"/>
              <w:rPr>
                <w:b/>
                <w:iCs/>
                <w:sz w:val="22"/>
                <w:szCs w:val="26"/>
              </w:rPr>
            </w:pPr>
            <w:r w:rsidRPr="000C018E">
              <w:rPr>
                <w:b/>
                <w:iCs/>
                <w:sz w:val="22"/>
                <w:szCs w:val="26"/>
              </w:rPr>
              <w:t>Total Number of Responses (Column A x Column B)</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0C018E" w:rsidR="000C018E" w:rsidP="00220130" w:rsidRDefault="000C018E" w14:paraId="45E136E6" w14:textId="77777777">
            <w:pPr>
              <w:jc w:val="center"/>
              <w:rPr>
                <w:b/>
                <w:iCs/>
                <w:sz w:val="22"/>
                <w:szCs w:val="26"/>
              </w:rPr>
            </w:pPr>
            <w:r w:rsidRPr="000C018E">
              <w:rPr>
                <w:b/>
                <w:iCs/>
                <w:sz w:val="22"/>
                <w:szCs w:val="26"/>
              </w:rPr>
              <w:t>D.</w:t>
            </w:r>
          </w:p>
          <w:p w:rsidRPr="000C018E" w:rsidR="000C018E" w:rsidP="00220130" w:rsidRDefault="000C018E" w14:paraId="6C03F995" w14:textId="77777777">
            <w:pPr>
              <w:jc w:val="center"/>
              <w:rPr>
                <w:b/>
                <w:iCs/>
                <w:sz w:val="22"/>
                <w:szCs w:val="26"/>
              </w:rPr>
            </w:pPr>
            <w:r w:rsidRPr="000C018E">
              <w:rPr>
                <w:b/>
                <w:iCs/>
                <w:sz w:val="22"/>
                <w:szCs w:val="26"/>
              </w:rPr>
              <w:t>Average Burden Hours</w:t>
            </w:r>
            <w:r w:rsidRPr="000C018E">
              <w:rPr>
                <w:b/>
                <w:iCs/>
                <w:sz w:val="22"/>
                <w:szCs w:val="26"/>
                <w:vertAlign w:val="superscript"/>
              </w:rPr>
              <w:footnoteReference w:id="5"/>
            </w:r>
            <w:r w:rsidRPr="000C018E">
              <w:rPr>
                <w:b/>
                <w:iCs/>
                <w:sz w:val="22"/>
                <w:szCs w:val="26"/>
              </w:rPr>
              <w:t xml:space="preserve"> &amp; Cost Per Response</w:t>
            </w:r>
            <w:r w:rsidRPr="000C018E">
              <w:rPr>
                <w:b/>
                <w:iCs/>
                <w:sz w:val="22"/>
                <w:szCs w:val="26"/>
                <w:vertAlign w:val="superscript"/>
              </w:rPr>
              <w:footnoteReference w:id="6"/>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0C018E" w:rsidR="000C018E" w:rsidP="00220130" w:rsidRDefault="000C018E" w14:paraId="6F8AB5C6" w14:textId="77777777">
            <w:pPr>
              <w:jc w:val="center"/>
              <w:rPr>
                <w:b/>
                <w:iCs/>
                <w:sz w:val="22"/>
                <w:szCs w:val="26"/>
              </w:rPr>
            </w:pPr>
            <w:r w:rsidRPr="000C018E">
              <w:rPr>
                <w:b/>
                <w:iCs/>
                <w:sz w:val="22"/>
                <w:szCs w:val="26"/>
              </w:rPr>
              <w:t>E.</w:t>
            </w:r>
          </w:p>
          <w:p w:rsidRPr="000C018E" w:rsidR="000C018E" w:rsidP="00220130" w:rsidRDefault="000C018E" w14:paraId="376C5575" w14:textId="77777777">
            <w:pPr>
              <w:jc w:val="center"/>
              <w:rPr>
                <w:b/>
                <w:iCs/>
                <w:sz w:val="22"/>
                <w:szCs w:val="26"/>
              </w:rPr>
            </w:pPr>
            <w:r w:rsidRPr="000C018E">
              <w:rPr>
                <w:b/>
                <w:iCs/>
                <w:sz w:val="22"/>
                <w:szCs w:val="26"/>
              </w:rPr>
              <w:t>Total Annual Burden Hours &amp; Total Annual Cost</w:t>
            </w:r>
            <w:r w:rsidRPr="000C018E">
              <w:rPr>
                <w:b/>
                <w:iCs/>
                <w:sz w:val="22"/>
                <w:szCs w:val="26"/>
                <w:vertAlign w:val="superscript"/>
              </w:rPr>
              <w:footnoteReference w:id="7"/>
            </w:r>
          </w:p>
          <w:p w:rsidRPr="000C018E" w:rsidR="000C018E" w:rsidP="00220130" w:rsidRDefault="000C018E" w14:paraId="52172BF7" w14:textId="77777777">
            <w:pPr>
              <w:jc w:val="center"/>
              <w:rPr>
                <w:b/>
                <w:iCs/>
                <w:sz w:val="22"/>
                <w:szCs w:val="26"/>
              </w:rPr>
            </w:pPr>
            <w:r w:rsidRPr="000C018E">
              <w:rPr>
                <w:b/>
                <w:iCs/>
                <w:sz w:val="22"/>
                <w:szCs w:val="26"/>
              </w:rPr>
              <w:t>(Column C x Column D)</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0C018E" w:rsidR="000C018E" w:rsidP="00220130" w:rsidRDefault="000C018E" w14:paraId="5DFE80FD" w14:textId="77777777">
            <w:pPr>
              <w:jc w:val="center"/>
              <w:rPr>
                <w:b/>
                <w:iCs/>
                <w:sz w:val="22"/>
                <w:szCs w:val="26"/>
              </w:rPr>
            </w:pPr>
            <w:r w:rsidRPr="000C018E">
              <w:rPr>
                <w:b/>
                <w:iCs/>
                <w:sz w:val="22"/>
                <w:szCs w:val="26"/>
              </w:rPr>
              <w:t>F.</w:t>
            </w:r>
          </w:p>
          <w:p w:rsidRPr="000C018E" w:rsidR="000C018E" w:rsidP="00220130" w:rsidRDefault="000C018E" w14:paraId="07A75716" w14:textId="77777777">
            <w:pPr>
              <w:jc w:val="center"/>
              <w:rPr>
                <w:b/>
                <w:iCs/>
                <w:sz w:val="22"/>
                <w:szCs w:val="26"/>
              </w:rPr>
            </w:pPr>
            <w:r w:rsidRPr="000C018E">
              <w:rPr>
                <w:b/>
                <w:iCs/>
                <w:sz w:val="22"/>
                <w:szCs w:val="26"/>
              </w:rPr>
              <w:t>Cost per Respondent</w:t>
            </w:r>
          </w:p>
          <w:p w:rsidRPr="000C018E" w:rsidR="000C018E" w:rsidP="00220130" w:rsidRDefault="000C018E" w14:paraId="39C48D0E" w14:textId="77777777">
            <w:pPr>
              <w:jc w:val="center"/>
              <w:rPr>
                <w:b/>
                <w:iCs/>
                <w:sz w:val="22"/>
                <w:szCs w:val="26"/>
              </w:rPr>
            </w:pPr>
            <w:r w:rsidRPr="000C018E">
              <w:rPr>
                <w:b/>
                <w:iCs/>
                <w:sz w:val="22"/>
                <w:szCs w:val="26"/>
              </w:rPr>
              <w:t>($)</w:t>
            </w:r>
          </w:p>
          <w:p w:rsidRPr="000C018E" w:rsidR="000C018E" w:rsidP="00220130" w:rsidRDefault="000C018E" w14:paraId="4464366A" w14:textId="77777777">
            <w:pPr>
              <w:jc w:val="center"/>
              <w:rPr>
                <w:b/>
                <w:iCs/>
                <w:sz w:val="22"/>
                <w:szCs w:val="26"/>
              </w:rPr>
            </w:pPr>
            <w:r w:rsidRPr="000C018E">
              <w:rPr>
                <w:b/>
                <w:iCs/>
                <w:sz w:val="22"/>
                <w:szCs w:val="26"/>
              </w:rPr>
              <w:t>(Column E ÷ Column A)</w:t>
            </w:r>
          </w:p>
        </w:tc>
      </w:tr>
      <w:tr w:rsidRPr="000C018E" w:rsidR="000C018E" w:rsidTr="00052071" w14:paraId="6F37F2E7" w14:textId="77777777">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Pr="000C018E" w:rsidR="000C018E" w:rsidP="00B76D65" w:rsidRDefault="000C018E" w14:paraId="323DEBA6" w14:textId="77777777">
            <w:pPr>
              <w:rPr>
                <w:iCs/>
                <w:sz w:val="22"/>
                <w:szCs w:val="26"/>
              </w:rPr>
            </w:pPr>
            <w:r w:rsidRPr="000C018E">
              <w:rPr>
                <w:iCs/>
                <w:sz w:val="22"/>
                <w:szCs w:val="26"/>
              </w:rPr>
              <w:t>CIP-004-7</w:t>
            </w:r>
          </w:p>
        </w:tc>
        <w:tc>
          <w:tcPr>
            <w:tcW w:w="0" w:type="auto"/>
            <w:tcBorders>
              <w:top w:val="single" w:color="auto" w:sz="4" w:space="0"/>
              <w:left w:val="single" w:color="auto" w:sz="4" w:space="0"/>
              <w:bottom w:val="single" w:color="auto" w:sz="4" w:space="0"/>
              <w:right w:val="single" w:color="auto" w:sz="4" w:space="0"/>
            </w:tcBorders>
            <w:vAlign w:val="bottom"/>
            <w:hideMark/>
          </w:tcPr>
          <w:p w:rsidRPr="000C018E" w:rsidR="000C018E" w:rsidP="00052071" w:rsidRDefault="000C018E" w14:paraId="0C861B9F" w14:textId="77777777">
            <w:pPr>
              <w:jc w:val="right"/>
              <w:rPr>
                <w:iCs/>
                <w:sz w:val="22"/>
                <w:szCs w:val="26"/>
              </w:rPr>
            </w:pPr>
            <w:r w:rsidRPr="000C018E">
              <w:rPr>
                <w:iCs/>
                <w:sz w:val="22"/>
                <w:szCs w:val="26"/>
              </w:rPr>
              <w:t>343</w:t>
            </w:r>
          </w:p>
        </w:tc>
        <w:tc>
          <w:tcPr>
            <w:tcW w:w="0" w:type="auto"/>
            <w:tcBorders>
              <w:top w:val="single" w:color="auto" w:sz="4" w:space="0"/>
              <w:left w:val="single" w:color="auto" w:sz="4" w:space="0"/>
              <w:bottom w:val="single" w:color="auto" w:sz="4" w:space="0"/>
              <w:right w:val="single" w:color="auto" w:sz="4" w:space="0"/>
            </w:tcBorders>
            <w:vAlign w:val="bottom"/>
            <w:hideMark/>
          </w:tcPr>
          <w:p w:rsidRPr="000C018E" w:rsidR="000C018E" w:rsidP="00052071" w:rsidRDefault="000C018E" w14:paraId="0FDE4DD9" w14:textId="77777777">
            <w:pPr>
              <w:jc w:val="right"/>
              <w:rPr>
                <w:iCs/>
                <w:sz w:val="22"/>
                <w:szCs w:val="26"/>
              </w:rPr>
            </w:pPr>
            <w:r w:rsidRPr="000C018E">
              <w:rPr>
                <w:iCs/>
                <w:sz w:val="22"/>
                <w:szCs w:val="26"/>
              </w:rPr>
              <w:t>1</w:t>
            </w:r>
          </w:p>
        </w:tc>
        <w:tc>
          <w:tcPr>
            <w:tcW w:w="0" w:type="auto"/>
            <w:tcBorders>
              <w:top w:val="single" w:color="auto" w:sz="4" w:space="0"/>
              <w:left w:val="single" w:color="auto" w:sz="4" w:space="0"/>
              <w:bottom w:val="single" w:color="auto" w:sz="4" w:space="0"/>
              <w:right w:val="single" w:color="auto" w:sz="4" w:space="0"/>
            </w:tcBorders>
            <w:vAlign w:val="bottom"/>
            <w:hideMark/>
          </w:tcPr>
          <w:p w:rsidRPr="000C018E" w:rsidR="000C018E" w:rsidP="00052071" w:rsidRDefault="000C018E" w14:paraId="5E5D4251" w14:textId="77777777">
            <w:pPr>
              <w:jc w:val="right"/>
              <w:rPr>
                <w:iCs/>
                <w:sz w:val="22"/>
                <w:szCs w:val="26"/>
              </w:rPr>
            </w:pPr>
            <w:r w:rsidRPr="000C018E">
              <w:rPr>
                <w:iCs/>
                <w:sz w:val="22"/>
                <w:szCs w:val="26"/>
              </w:rPr>
              <w:t>343</w:t>
            </w:r>
          </w:p>
        </w:tc>
        <w:tc>
          <w:tcPr>
            <w:tcW w:w="0" w:type="auto"/>
            <w:tcBorders>
              <w:top w:val="single" w:color="auto" w:sz="4" w:space="0"/>
              <w:left w:val="single" w:color="auto" w:sz="4" w:space="0"/>
              <w:bottom w:val="single" w:color="auto" w:sz="4" w:space="0"/>
              <w:right w:val="single" w:color="auto" w:sz="4" w:space="0"/>
            </w:tcBorders>
            <w:vAlign w:val="bottom"/>
            <w:hideMark/>
          </w:tcPr>
          <w:p w:rsidRPr="000C018E" w:rsidR="000C018E" w:rsidP="00052071" w:rsidRDefault="000C018E" w14:paraId="3AC5F804" w14:textId="77777777">
            <w:pPr>
              <w:jc w:val="right"/>
              <w:rPr>
                <w:iCs/>
                <w:sz w:val="22"/>
                <w:szCs w:val="26"/>
              </w:rPr>
            </w:pPr>
            <w:r w:rsidRPr="000C018E">
              <w:rPr>
                <w:iCs/>
                <w:sz w:val="22"/>
                <w:szCs w:val="26"/>
              </w:rPr>
              <w:t>10 hours &amp; $850.20</w:t>
            </w:r>
          </w:p>
        </w:tc>
        <w:tc>
          <w:tcPr>
            <w:tcW w:w="0" w:type="auto"/>
            <w:tcBorders>
              <w:top w:val="single" w:color="auto" w:sz="4" w:space="0"/>
              <w:left w:val="single" w:color="auto" w:sz="4" w:space="0"/>
              <w:bottom w:val="single" w:color="auto" w:sz="4" w:space="0"/>
              <w:right w:val="single" w:color="auto" w:sz="4" w:space="0"/>
            </w:tcBorders>
            <w:vAlign w:val="bottom"/>
            <w:hideMark/>
          </w:tcPr>
          <w:p w:rsidRPr="000C018E" w:rsidR="000C018E" w:rsidP="00052071" w:rsidRDefault="000C018E" w14:paraId="57C87C15" w14:textId="784FBAC0">
            <w:pPr>
              <w:jc w:val="right"/>
              <w:rPr>
                <w:iCs/>
                <w:sz w:val="22"/>
                <w:szCs w:val="26"/>
              </w:rPr>
            </w:pPr>
            <w:r w:rsidRPr="000C018E">
              <w:rPr>
                <w:iCs/>
                <w:sz w:val="22"/>
                <w:szCs w:val="26"/>
              </w:rPr>
              <w:t>3,430 hours &amp; $291,61</w:t>
            </w:r>
            <w:r w:rsidR="00886032">
              <w:rPr>
                <w:iCs/>
                <w:sz w:val="22"/>
                <w:szCs w:val="26"/>
              </w:rPr>
              <w:t>8</w:t>
            </w:r>
            <w:r w:rsidRPr="000C018E">
              <w:rPr>
                <w:iCs/>
                <w:sz w:val="22"/>
                <w:szCs w:val="26"/>
              </w:rPr>
              <w:t>.60</w:t>
            </w:r>
            <w:r w:rsidR="00127F5B">
              <w:rPr>
                <w:iCs/>
                <w:sz w:val="22"/>
                <w:szCs w:val="26"/>
              </w:rPr>
              <w:t xml:space="preserve"> </w:t>
            </w:r>
          </w:p>
        </w:tc>
        <w:tc>
          <w:tcPr>
            <w:tcW w:w="0" w:type="auto"/>
            <w:tcBorders>
              <w:top w:val="single" w:color="auto" w:sz="4" w:space="0"/>
              <w:left w:val="single" w:color="auto" w:sz="4" w:space="0"/>
              <w:bottom w:val="single" w:color="auto" w:sz="4" w:space="0"/>
              <w:right w:val="single" w:color="auto" w:sz="4" w:space="0"/>
            </w:tcBorders>
            <w:vAlign w:val="bottom"/>
            <w:hideMark/>
          </w:tcPr>
          <w:p w:rsidRPr="000C018E" w:rsidR="000C018E" w:rsidP="00052071" w:rsidRDefault="000C018E" w14:paraId="414D082C" w14:textId="77777777">
            <w:pPr>
              <w:jc w:val="right"/>
              <w:rPr>
                <w:iCs/>
                <w:sz w:val="22"/>
                <w:szCs w:val="26"/>
              </w:rPr>
            </w:pPr>
            <w:r w:rsidRPr="000C018E">
              <w:rPr>
                <w:iCs/>
                <w:sz w:val="22"/>
                <w:szCs w:val="26"/>
              </w:rPr>
              <w:t>10 hours &amp;</w:t>
            </w:r>
          </w:p>
          <w:p w:rsidRPr="000C018E" w:rsidR="000C018E" w:rsidP="00052071" w:rsidRDefault="000C018E" w14:paraId="433F51F5" w14:textId="77777777">
            <w:pPr>
              <w:jc w:val="right"/>
              <w:rPr>
                <w:iCs/>
                <w:sz w:val="22"/>
                <w:szCs w:val="26"/>
              </w:rPr>
            </w:pPr>
            <w:r w:rsidRPr="000C018E">
              <w:rPr>
                <w:iCs/>
                <w:sz w:val="22"/>
                <w:szCs w:val="26"/>
              </w:rPr>
              <w:t>$850.20</w:t>
            </w:r>
          </w:p>
        </w:tc>
      </w:tr>
      <w:tr w:rsidRPr="000C018E" w:rsidR="000C018E" w:rsidTr="00052071" w14:paraId="2A1AE9D0" w14:textId="77777777">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Pr="000C018E" w:rsidR="000C018E" w:rsidP="00B76D65" w:rsidRDefault="000C018E" w14:paraId="506E6C06" w14:textId="77777777">
            <w:pPr>
              <w:rPr>
                <w:iCs/>
                <w:sz w:val="22"/>
                <w:szCs w:val="26"/>
              </w:rPr>
            </w:pPr>
            <w:r w:rsidRPr="000C018E">
              <w:rPr>
                <w:iCs/>
                <w:sz w:val="22"/>
                <w:szCs w:val="26"/>
              </w:rPr>
              <w:t>CIP-011-3</w:t>
            </w:r>
          </w:p>
        </w:tc>
        <w:tc>
          <w:tcPr>
            <w:tcW w:w="0" w:type="auto"/>
            <w:tcBorders>
              <w:top w:val="single" w:color="auto" w:sz="4" w:space="0"/>
              <w:left w:val="single" w:color="auto" w:sz="4" w:space="0"/>
              <w:bottom w:val="single" w:color="auto" w:sz="4" w:space="0"/>
              <w:right w:val="single" w:color="auto" w:sz="4" w:space="0"/>
            </w:tcBorders>
            <w:vAlign w:val="bottom"/>
            <w:hideMark/>
          </w:tcPr>
          <w:p w:rsidRPr="000C018E" w:rsidR="000C018E" w:rsidP="00052071" w:rsidRDefault="000C018E" w14:paraId="3732EF6E" w14:textId="77777777">
            <w:pPr>
              <w:jc w:val="right"/>
              <w:rPr>
                <w:iCs/>
                <w:sz w:val="22"/>
                <w:szCs w:val="26"/>
              </w:rPr>
            </w:pPr>
            <w:r w:rsidRPr="000C018E">
              <w:rPr>
                <w:iCs/>
                <w:sz w:val="22"/>
                <w:szCs w:val="26"/>
              </w:rPr>
              <w:t>343</w:t>
            </w:r>
          </w:p>
        </w:tc>
        <w:tc>
          <w:tcPr>
            <w:tcW w:w="0" w:type="auto"/>
            <w:tcBorders>
              <w:top w:val="single" w:color="auto" w:sz="4" w:space="0"/>
              <w:left w:val="single" w:color="auto" w:sz="4" w:space="0"/>
              <w:bottom w:val="single" w:color="auto" w:sz="4" w:space="0"/>
              <w:right w:val="single" w:color="auto" w:sz="4" w:space="0"/>
            </w:tcBorders>
            <w:vAlign w:val="bottom"/>
            <w:hideMark/>
          </w:tcPr>
          <w:p w:rsidRPr="000C018E" w:rsidR="000C018E" w:rsidP="00052071" w:rsidRDefault="000C018E" w14:paraId="38183337" w14:textId="77777777">
            <w:pPr>
              <w:jc w:val="right"/>
              <w:rPr>
                <w:iCs/>
                <w:sz w:val="22"/>
                <w:szCs w:val="26"/>
              </w:rPr>
            </w:pPr>
            <w:r w:rsidRPr="000C018E">
              <w:rPr>
                <w:iCs/>
                <w:sz w:val="22"/>
                <w:szCs w:val="26"/>
              </w:rPr>
              <w:t>1</w:t>
            </w:r>
          </w:p>
        </w:tc>
        <w:tc>
          <w:tcPr>
            <w:tcW w:w="0" w:type="auto"/>
            <w:tcBorders>
              <w:top w:val="single" w:color="auto" w:sz="4" w:space="0"/>
              <w:left w:val="single" w:color="auto" w:sz="4" w:space="0"/>
              <w:bottom w:val="single" w:color="auto" w:sz="4" w:space="0"/>
              <w:right w:val="single" w:color="auto" w:sz="4" w:space="0"/>
            </w:tcBorders>
            <w:vAlign w:val="bottom"/>
            <w:hideMark/>
          </w:tcPr>
          <w:p w:rsidRPr="000C018E" w:rsidR="000C018E" w:rsidP="00052071" w:rsidRDefault="000C018E" w14:paraId="1371A02C" w14:textId="77777777">
            <w:pPr>
              <w:jc w:val="right"/>
              <w:rPr>
                <w:iCs/>
                <w:sz w:val="22"/>
                <w:szCs w:val="26"/>
              </w:rPr>
            </w:pPr>
            <w:r w:rsidRPr="000C018E">
              <w:rPr>
                <w:iCs/>
                <w:sz w:val="22"/>
                <w:szCs w:val="26"/>
              </w:rPr>
              <w:t>343</w:t>
            </w:r>
          </w:p>
        </w:tc>
        <w:tc>
          <w:tcPr>
            <w:tcW w:w="0" w:type="auto"/>
            <w:tcBorders>
              <w:top w:val="single" w:color="auto" w:sz="4" w:space="0"/>
              <w:left w:val="single" w:color="auto" w:sz="4" w:space="0"/>
              <w:bottom w:val="single" w:color="auto" w:sz="4" w:space="0"/>
              <w:right w:val="single" w:color="auto" w:sz="4" w:space="0"/>
            </w:tcBorders>
            <w:vAlign w:val="bottom"/>
            <w:hideMark/>
          </w:tcPr>
          <w:p w:rsidRPr="000C018E" w:rsidR="000C018E" w:rsidP="00052071" w:rsidRDefault="000C018E" w14:paraId="091A6DA3" w14:textId="77777777">
            <w:pPr>
              <w:jc w:val="right"/>
              <w:rPr>
                <w:iCs/>
                <w:sz w:val="22"/>
                <w:szCs w:val="26"/>
              </w:rPr>
            </w:pPr>
            <w:r w:rsidRPr="000C018E">
              <w:rPr>
                <w:iCs/>
                <w:sz w:val="22"/>
                <w:szCs w:val="26"/>
              </w:rPr>
              <w:t>10 hours &amp; $850.20</w:t>
            </w:r>
          </w:p>
        </w:tc>
        <w:tc>
          <w:tcPr>
            <w:tcW w:w="0" w:type="auto"/>
            <w:tcBorders>
              <w:top w:val="single" w:color="auto" w:sz="4" w:space="0"/>
              <w:left w:val="single" w:color="auto" w:sz="4" w:space="0"/>
              <w:bottom w:val="single" w:color="auto" w:sz="4" w:space="0"/>
              <w:right w:val="single" w:color="auto" w:sz="4" w:space="0"/>
            </w:tcBorders>
            <w:vAlign w:val="bottom"/>
            <w:hideMark/>
          </w:tcPr>
          <w:p w:rsidRPr="000C018E" w:rsidR="000C018E" w:rsidP="00052071" w:rsidRDefault="000C018E" w14:paraId="55ECBBCA" w14:textId="25BC4A9E">
            <w:pPr>
              <w:jc w:val="right"/>
              <w:rPr>
                <w:iCs/>
                <w:sz w:val="22"/>
                <w:szCs w:val="26"/>
              </w:rPr>
            </w:pPr>
            <w:r w:rsidRPr="000C018E">
              <w:rPr>
                <w:iCs/>
                <w:sz w:val="22"/>
                <w:szCs w:val="26"/>
              </w:rPr>
              <w:t>3,430 hours &amp; $291,61</w:t>
            </w:r>
            <w:r w:rsidR="00886032">
              <w:rPr>
                <w:iCs/>
                <w:sz w:val="22"/>
                <w:szCs w:val="26"/>
              </w:rPr>
              <w:t>8</w:t>
            </w:r>
            <w:r w:rsidRPr="000C018E">
              <w:rPr>
                <w:iCs/>
                <w:sz w:val="22"/>
                <w:szCs w:val="26"/>
              </w:rPr>
              <w:t>.60</w:t>
            </w:r>
          </w:p>
        </w:tc>
        <w:tc>
          <w:tcPr>
            <w:tcW w:w="0" w:type="auto"/>
            <w:tcBorders>
              <w:top w:val="single" w:color="auto" w:sz="4" w:space="0"/>
              <w:left w:val="single" w:color="auto" w:sz="4" w:space="0"/>
              <w:bottom w:val="single" w:color="auto" w:sz="4" w:space="0"/>
              <w:right w:val="single" w:color="auto" w:sz="4" w:space="0"/>
            </w:tcBorders>
            <w:vAlign w:val="bottom"/>
            <w:hideMark/>
          </w:tcPr>
          <w:p w:rsidRPr="000C018E" w:rsidR="000C018E" w:rsidP="00052071" w:rsidRDefault="000C018E" w14:paraId="75ED0959" w14:textId="77777777">
            <w:pPr>
              <w:jc w:val="right"/>
              <w:rPr>
                <w:iCs/>
                <w:sz w:val="22"/>
                <w:szCs w:val="26"/>
              </w:rPr>
            </w:pPr>
            <w:r w:rsidRPr="000C018E">
              <w:rPr>
                <w:iCs/>
                <w:sz w:val="22"/>
                <w:szCs w:val="26"/>
              </w:rPr>
              <w:t>10 hours &amp;</w:t>
            </w:r>
          </w:p>
          <w:p w:rsidRPr="000C018E" w:rsidR="000C018E" w:rsidP="00052071" w:rsidRDefault="000C018E" w14:paraId="218C9ACA" w14:textId="77777777">
            <w:pPr>
              <w:jc w:val="right"/>
              <w:rPr>
                <w:iCs/>
                <w:sz w:val="22"/>
                <w:szCs w:val="26"/>
              </w:rPr>
            </w:pPr>
            <w:r w:rsidRPr="000C018E">
              <w:rPr>
                <w:iCs/>
                <w:sz w:val="22"/>
                <w:szCs w:val="26"/>
              </w:rPr>
              <w:t>$850.20</w:t>
            </w:r>
          </w:p>
        </w:tc>
      </w:tr>
      <w:tr w:rsidRPr="000C018E" w:rsidR="000C018E" w:rsidTr="00052071" w14:paraId="1489879E" w14:textId="77777777">
        <w:trPr>
          <w:cantSplit/>
        </w:trPr>
        <w:tc>
          <w:tcPr>
            <w:tcW w:w="0" w:type="auto"/>
            <w:tcBorders>
              <w:top w:val="single" w:color="auto" w:sz="4" w:space="0"/>
              <w:left w:val="single" w:color="auto" w:sz="4" w:space="0"/>
              <w:bottom w:val="single" w:color="auto" w:sz="4" w:space="0"/>
              <w:right w:val="single" w:color="auto" w:sz="4" w:space="0"/>
            </w:tcBorders>
            <w:vAlign w:val="center"/>
            <w:hideMark/>
          </w:tcPr>
          <w:p w:rsidRPr="000C018E" w:rsidR="000C018E" w:rsidP="00B76D65" w:rsidRDefault="000C018E" w14:paraId="65888D67" w14:textId="77777777">
            <w:pPr>
              <w:rPr>
                <w:b/>
                <w:bCs/>
                <w:iCs/>
                <w:sz w:val="22"/>
                <w:szCs w:val="26"/>
              </w:rPr>
            </w:pPr>
            <w:r w:rsidRPr="000C018E">
              <w:rPr>
                <w:b/>
                <w:bCs/>
                <w:iCs/>
                <w:sz w:val="22"/>
                <w:szCs w:val="26"/>
              </w:rPr>
              <w:t>Totals</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0C018E" w:rsidR="000C018E" w:rsidP="00052071" w:rsidRDefault="00C82707" w14:paraId="42A59524" w14:textId="6DBFEA30">
            <w:pPr>
              <w:jc w:val="right"/>
              <w:rPr>
                <w:iCs/>
                <w:sz w:val="22"/>
                <w:szCs w:val="26"/>
              </w:rPr>
            </w:pPr>
            <w:r>
              <w:rPr>
                <w:iCs/>
                <w:sz w:val="22"/>
                <w:szCs w:val="26"/>
              </w:rPr>
              <w:t>686</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0C018E" w:rsidR="000C018E" w:rsidP="00052071" w:rsidRDefault="000C018E" w14:paraId="65574F0E" w14:textId="77777777">
            <w:pPr>
              <w:jc w:val="right"/>
              <w:rPr>
                <w:iCs/>
                <w:sz w:val="22"/>
                <w:szCs w:val="26"/>
              </w:rPr>
            </w:pPr>
          </w:p>
        </w:tc>
        <w:tc>
          <w:tcPr>
            <w:tcW w:w="0" w:type="auto"/>
            <w:tcBorders>
              <w:top w:val="single" w:color="auto" w:sz="4" w:space="0"/>
              <w:left w:val="single" w:color="auto" w:sz="4" w:space="0"/>
              <w:bottom w:val="single" w:color="auto" w:sz="4" w:space="0"/>
              <w:right w:val="single" w:color="auto" w:sz="4" w:space="0"/>
            </w:tcBorders>
            <w:vAlign w:val="bottom"/>
            <w:hideMark/>
          </w:tcPr>
          <w:p w:rsidRPr="000C018E" w:rsidR="000C018E" w:rsidP="00052071" w:rsidRDefault="000C018E" w14:paraId="6180C924" w14:textId="77777777">
            <w:pPr>
              <w:jc w:val="right"/>
              <w:rPr>
                <w:iCs/>
                <w:sz w:val="22"/>
                <w:szCs w:val="26"/>
              </w:rPr>
            </w:pPr>
            <w:r w:rsidRPr="000C018E">
              <w:rPr>
                <w:iCs/>
                <w:sz w:val="22"/>
                <w:szCs w:val="26"/>
              </w:rPr>
              <w:t>686</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0C018E" w:rsidR="000C018E" w:rsidP="00052071" w:rsidRDefault="000C018E" w14:paraId="24B149FD" w14:textId="77777777">
            <w:pPr>
              <w:jc w:val="right"/>
              <w:rPr>
                <w:iCs/>
                <w:sz w:val="22"/>
                <w:szCs w:val="26"/>
              </w:rPr>
            </w:pPr>
          </w:p>
        </w:tc>
        <w:tc>
          <w:tcPr>
            <w:tcW w:w="0" w:type="auto"/>
            <w:tcBorders>
              <w:top w:val="single" w:color="auto" w:sz="4" w:space="0"/>
              <w:left w:val="single" w:color="auto" w:sz="4" w:space="0"/>
              <w:bottom w:val="single" w:color="auto" w:sz="4" w:space="0"/>
              <w:right w:val="single" w:color="auto" w:sz="4" w:space="0"/>
            </w:tcBorders>
            <w:vAlign w:val="bottom"/>
            <w:hideMark/>
          </w:tcPr>
          <w:p w:rsidRPr="000C018E" w:rsidR="000C018E" w:rsidP="00052071" w:rsidRDefault="000C018E" w14:paraId="40703591" w14:textId="77777777">
            <w:pPr>
              <w:jc w:val="right"/>
              <w:rPr>
                <w:iCs/>
                <w:sz w:val="22"/>
                <w:szCs w:val="26"/>
              </w:rPr>
            </w:pPr>
            <w:r w:rsidRPr="000C018E">
              <w:rPr>
                <w:iCs/>
                <w:sz w:val="22"/>
                <w:szCs w:val="26"/>
              </w:rPr>
              <w:t>6,860 hours &amp; $583,237.20</w:t>
            </w:r>
          </w:p>
        </w:tc>
        <w:tc>
          <w:tcPr>
            <w:tcW w:w="0" w:type="auto"/>
            <w:tcBorders>
              <w:top w:val="single" w:color="auto" w:sz="4" w:space="0"/>
              <w:left w:val="single" w:color="auto" w:sz="4" w:space="0"/>
              <w:bottom w:val="single" w:color="auto" w:sz="4" w:space="0"/>
              <w:right w:val="single" w:color="auto" w:sz="4" w:space="0"/>
            </w:tcBorders>
            <w:vAlign w:val="bottom"/>
            <w:hideMark/>
          </w:tcPr>
          <w:p w:rsidRPr="000C018E" w:rsidR="000C018E" w:rsidP="00052071" w:rsidRDefault="000C018E" w14:paraId="2BC3E088" w14:textId="77777777">
            <w:pPr>
              <w:jc w:val="right"/>
              <w:rPr>
                <w:iCs/>
                <w:sz w:val="22"/>
                <w:szCs w:val="26"/>
              </w:rPr>
            </w:pPr>
            <w:r w:rsidRPr="000C018E">
              <w:rPr>
                <w:iCs/>
                <w:sz w:val="22"/>
                <w:szCs w:val="26"/>
              </w:rPr>
              <w:t>20 hours &amp; $1,700.40</w:t>
            </w:r>
          </w:p>
        </w:tc>
      </w:tr>
    </w:tbl>
    <w:p w:rsidR="0084158A" w:rsidP="005A7903" w:rsidRDefault="0084158A" w14:paraId="4102FC93" w14:textId="786FADA1">
      <w:pPr>
        <w:spacing w:line="480" w:lineRule="auto"/>
        <w:rPr>
          <w:sz w:val="24"/>
        </w:rPr>
      </w:pPr>
    </w:p>
    <w:p w:rsidR="0084158A" w:rsidP="0084158A" w:rsidRDefault="0084158A" w14:paraId="5CD9EA89" w14:textId="40D9FDEC">
      <w:pPr>
        <w:spacing w:line="480" w:lineRule="auto"/>
      </w:pP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w:t>
      </w:r>
      <w:r w:rsidR="006D552E">
        <w:t xml:space="preserve"> </w:t>
      </w:r>
      <w:r>
        <w:t xml:space="preserve">of information, including the validity of the </w:t>
      </w:r>
      <w:r>
        <w:lastRenderedPageBreak/>
        <w:t xml:space="preserve">methodology and assumptions used; (3) ways to enhance the quality, utility and clarity of the information collection; and (4) ways to minimize the burden of the </w:t>
      </w:r>
    </w:p>
    <w:p w:rsidR="0084158A" w:rsidP="0084158A" w:rsidRDefault="0084158A" w14:paraId="2F0771FF" w14:textId="05EF2273">
      <w:pPr>
        <w:spacing w:line="480" w:lineRule="auto"/>
      </w:pPr>
      <w:r>
        <w:t>collection of information on those who are to respond, including the use of automated collection techniques or other forms of information technology.</w:t>
      </w:r>
    </w:p>
    <w:p w:rsidRPr="00C123B1" w:rsidR="0084158A" w:rsidP="005A7903" w:rsidRDefault="0084158A" w14:paraId="6F64EDB3" w14:textId="77777777">
      <w:pPr>
        <w:spacing w:line="480" w:lineRule="auto"/>
        <w:rPr>
          <w:sz w:val="24"/>
        </w:rPr>
      </w:pPr>
    </w:p>
    <w:p w:rsidRPr="00466D3F" w:rsidR="005A7903" w:rsidP="005A7903" w:rsidRDefault="005A7903" w14:paraId="0F13202A" w14:textId="77777777">
      <w:pPr>
        <w:ind w:firstLine="2174"/>
        <w:jc w:val="center"/>
      </w:pPr>
      <w:r w:rsidRPr="00466D3F">
        <w:t>Kimberly D. Bose,</w:t>
      </w:r>
    </w:p>
    <w:p w:rsidRPr="00466D3F" w:rsidR="005A7903" w:rsidP="005A7903" w:rsidRDefault="005A7903" w14:paraId="6BC5A7DF" w14:textId="77777777">
      <w:pPr>
        <w:ind w:firstLine="2174"/>
        <w:jc w:val="center"/>
      </w:pPr>
      <w:r w:rsidRPr="00466D3F">
        <w:t>Secretary.</w:t>
      </w:r>
    </w:p>
    <w:p w:rsidRPr="00466D3F" w:rsidR="005A7903" w:rsidP="005A7903" w:rsidRDefault="005A7903" w14:paraId="18C61432" w14:textId="77777777"/>
    <w:p w:rsidRPr="00466D3F" w:rsidR="005A7903" w:rsidP="005A7903" w:rsidRDefault="005A7903" w14:paraId="02017126" w14:textId="77777777">
      <w:pPr>
        <w:rPr>
          <w:sz w:val="24"/>
        </w:rPr>
      </w:pPr>
    </w:p>
    <w:p w:rsidRPr="00853ABC" w:rsidR="005A7903" w:rsidP="00C1124F" w:rsidRDefault="005A7903" w14:paraId="03E58B77" w14:textId="77777777">
      <w:pPr>
        <w:tabs>
          <w:tab w:val="left" w:pos="7880"/>
        </w:tabs>
        <w:spacing w:line="480" w:lineRule="auto"/>
      </w:pPr>
    </w:p>
    <w:sectPr w:rsidRPr="00853ABC" w:rsidR="005A7903" w:rsidSect="00BF2D74">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950D" w14:textId="77777777" w:rsidR="002A2D2C" w:rsidRDefault="002A2D2C" w:rsidP="00B01B16">
      <w:r>
        <w:separator/>
      </w:r>
    </w:p>
  </w:endnote>
  <w:endnote w:type="continuationSeparator" w:id="0">
    <w:p w14:paraId="70469AEB" w14:textId="77777777" w:rsidR="002A2D2C" w:rsidRDefault="002A2D2C" w:rsidP="00B01B16">
      <w:r>
        <w:continuationSeparator/>
      </w:r>
    </w:p>
  </w:endnote>
  <w:endnote w:type="continuationNotice" w:id="1">
    <w:p w14:paraId="4C4BB3B1" w14:textId="77777777" w:rsidR="002A2D2C" w:rsidRDefault="002A2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33B4D" w14:textId="77777777" w:rsidR="002A2D2C" w:rsidRDefault="002A2D2C" w:rsidP="00B01B16">
      <w:r>
        <w:separator/>
      </w:r>
    </w:p>
  </w:footnote>
  <w:footnote w:type="continuationSeparator" w:id="0">
    <w:p w14:paraId="21253DD0" w14:textId="77777777" w:rsidR="002A2D2C" w:rsidRDefault="002A2D2C" w:rsidP="00B01B16">
      <w:r>
        <w:continuationSeparator/>
      </w:r>
    </w:p>
  </w:footnote>
  <w:footnote w:type="continuationNotice" w:id="1">
    <w:p w14:paraId="0635A419" w14:textId="77777777" w:rsidR="002A2D2C" w:rsidRDefault="002A2D2C"/>
  </w:footnote>
  <w:footnote w:id="2">
    <w:p w14:paraId="406D94FC" w14:textId="5AA5362C" w:rsidR="000C018E" w:rsidRDefault="000C018E" w:rsidP="001C1E6A">
      <w:pPr>
        <w:pStyle w:val="FootnoteText"/>
        <w:rPr>
          <w:sz w:val="26"/>
          <w:szCs w:val="26"/>
        </w:rPr>
      </w:pPr>
      <w:r>
        <w:rPr>
          <w:rStyle w:val="FootnoteReference"/>
          <w:rFonts w:cstheme="minorBidi"/>
        </w:rPr>
        <w:footnoteRef/>
      </w:r>
      <w:r>
        <w:rPr>
          <w:sz w:val="26"/>
          <w:szCs w:val="26"/>
        </w:rPr>
        <w:t xml:space="preserve"> FERC-725B4 is an interim information collection number t</w:t>
      </w:r>
      <w:r w:rsidR="00C46E1C">
        <w:rPr>
          <w:sz w:val="26"/>
          <w:szCs w:val="26"/>
        </w:rPr>
        <w:t>hat</w:t>
      </w:r>
      <w:r w:rsidR="00EA5114">
        <w:rPr>
          <w:sz w:val="26"/>
          <w:szCs w:val="26"/>
        </w:rPr>
        <w:t xml:space="preserve">, as of </w:t>
      </w:r>
      <w:r w:rsidR="00E7381A">
        <w:rPr>
          <w:sz w:val="26"/>
          <w:szCs w:val="26"/>
        </w:rPr>
        <w:t xml:space="preserve">December 2021 (when the 60-day notice was issued) </w:t>
      </w:r>
      <w:r>
        <w:rPr>
          <w:sz w:val="26"/>
          <w:szCs w:val="26"/>
        </w:rPr>
        <w:t>accommodate</w:t>
      </w:r>
      <w:r w:rsidR="00C46E1C">
        <w:rPr>
          <w:sz w:val="26"/>
          <w:szCs w:val="26"/>
        </w:rPr>
        <w:t>d</w:t>
      </w:r>
      <w:r>
        <w:rPr>
          <w:sz w:val="26"/>
          <w:szCs w:val="26"/>
        </w:rPr>
        <w:t xml:space="preserve"> the need to seek timely approval during the pendency of an unrelated information collection request pertaining to FERC-725B (OMB Control No. 1902-0248).  In addition, the implementation plan for CIP-004-7 and CIP-011-3 provides that those Reliability Standards become effective on the first day of the first calendar quarter that is 24 calendar months after the effective date of the Commission’s order, so that Responsible Entities have sufficient time to come into compliance with the revised Reliability Standards.</w:t>
      </w:r>
      <w:r w:rsidR="00BA6AEA">
        <w:rPr>
          <w:sz w:val="26"/>
          <w:szCs w:val="26"/>
        </w:rPr>
        <w:t xml:space="preserve">  FERC-725B continues to cover the current requirements of the standards, before implementation of the revised requirements of Docket No. RD21-6-000.</w:t>
      </w:r>
      <w:r w:rsidR="00BF6A87">
        <w:rPr>
          <w:sz w:val="26"/>
          <w:szCs w:val="26"/>
        </w:rPr>
        <w:t xml:space="preserve">  </w:t>
      </w:r>
      <w:r w:rsidR="002F2157">
        <w:rPr>
          <w:sz w:val="26"/>
          <w:szCs w:val="26"/>
        </w:rPr>
        <w:t xml:space="preserve">FERC-725B has been </w:t>
      </w:r>
      <w:r w:rsidR="0018299D">
        <w:rPr>
          <w:sz w:val="26"/>
          <w:szCs w:val="26"/>
        </w:rPr>
        <w:t xml:space="preserve">renewed with an expiration date of May 31, 2025.  </w:t>
      </w:r>
      <w:r>
        <w:rPr>
          <w:sz w:val="26"/>
          <w:szCs w:val="26"/>
        </w:rPr>
        <w:t xml:space="preserve">Thus, </w:t>
      </w:r>
      <w:r w:rsidR="007F4E54">
        <w:rPr>
          <w:sz w:val="26"/>
          <w:szCs w:val="26"/>
        </w:rPr>
        <w:t>if and when OMB approves th</w:t>
      </w:r>
      <w:r w:rsidR="0025689E">
        <w:rPr>
          <w:sz w:val="26"/>
          <w:szCs w:val="26"/>
        </w:rPr>
        <w:t xml:space="preserve">e information collection request for FERC725B4, the Commission </w:t>
      </w:r>
      <w:r w:rsidR="00176B72">
        <w:rPr>
          <w:sz w:val="26"/>
          <w:szCs w:val="26"/>
        </w:rPr>
        <w:t>intends</w:t>
      </w:r>
      <w:r w:rsidR="00BF6A87">
        <w:rPr>
          <w:sz w:val="26"/>
          <w:szCs w:val="26"/>
        </w:rPr>
        <w:t xml:space="preserve"> to </w:t>
      </w:r>
      <w:r w:rsidR="0025689E">
        <w:rPr>
          <w:sz w:val="26"/>
          <w:szCs w:val="26"/>
        </w:rPr>
        <w:t xml:space="preserve">seek OMB’s approval to add </w:t>
      </w:r>
      <w:r w:rsidR="00D84D03">
        <w:rPr>
          <w:sz w:val="26"/>
          <w:szCs w:val="26"/>
        </w:rPr>
        <w:t>this collection of information to FERC-725B</w:t>
      </w:r>
      <w:r w:rsidR="00BA6AEA">
        <w:rPr>
          <w:sz w:val="26"/>
          <w:szCs w:val="26"/>
        </w:rPr>
        <w:t xml:space="preserve">.  </w:t>
      </w:r>
    </w:p>
    <w:p w14:paraId="0F1C0F9A" w14:textId="77777777" w:rsidR="00503FF2" w:rsidRDefault="00503FF2" w:rsidP="001C1E6A">
      <w:pPr>
        <w:pStyle w:val="FootnoteText"/>
        <w:rPr>
          <w:rFonts w:cstheme="minorBidi"/>
        </w:rPr>
      </w:pPr>
    </w:p>
  </w:footnote>
  <w:footnote w:id="3">
    <w:p w14:paraId="46F966C8" w14:textId="77777777" w:rsidR="000C018E" w:rsidRDefault="000C018E" w:rsidP="001C1E6A">
      <w:pPr>
        <w:pStyle w:val="FootnoteText"/>
        <w:rPr>
          <w:sz w:val="26"/>
        </w:rPr>
      </w:pPr>
      <w:r>
        <w:rPr>
          <w:rStyle w:val="FootnoteReference"/>
          <w:rFonts w:cstheme="minorBidi"/>
        </w:rPr>
        <w:footnoteRef/>
      </w:r>
      <w:r>
        <w:rPr>
          <w:sz w:val="26"/>
        </w:rPr>
        <w:t xml:space="preserve"> 86 FR 52667, at 52668.</w:t>
      </w:r>
    </w:p>
  </w:footnote>
  <w:footnote w:id="4">
    <w:p w14:paraId="68E8DB53" w14:textId="7E472AF6" w:rsidR="000C018E" w:rsidRDefault="000C018E" w:rsidP="00582E05">
      <w:pPr>
        <w:pStyle w:val="FootnoteText"/>
        <w:rPr>
          <w:sz w:val="26"/>
          <w:szCs w:val="26"/>
        </w:rPr>
      </w:pPr>
      <w:r>
        <w:rPr>
          <w:rStyle w:val="FootnoteReference"/>
          <w:rFonts w:cstheme="minorBidi"/>
          <w:bCs/>
        </w:rPr>
        <w:footnoteRef/>
      </w:r>
      <w:r>
        <w:rPr>
          <w:bCs/>
        </w:rPr>
        <w:t xml:space="preserve"> </w:t>
      </w:r>
      <w:r>
        <w:rPr>
          <w:bCs/>
          <w:sz w:val="26"/>
          <w:szCs w:val="26"/>
        </w:rPr>
        <w:t>The</w:t>
      </w:r>
      <w:r>
        <w:rPr>
          <w:sz w:val="26"/>
          <w:szCs w:val="26"/>
        </w:rPr>
        <w:t xml:space="preserve"> number of respondents is based on the NERC Compliance Registry as of June 22, 2021.  Currently there are 1,508 unique NERC Registered Entities, subtracting 16 Canadians Entities yields 1,492 U.S. NERC Registered Entities subject to the CIP Standards.  However, only those NERC Registered Entities that own Medium Impact or High Impact BES Cyber System are subject to the CIP Standards in this filing which is estimated to be 343 NERC Registered Entities.</w:t>
      </w:r>
    </w:p>
    <w:p w14:paraId="0B480CD7" w14:textId="77777777" w:rsidR="00503FF2" w:rsidRDefault="00503FF2" w:rsidP="00582E05">
      <w:pPr>
        <w:pStyle w:val="FootnoteText"/>
        <w:rPr>
          <w:rFonts w:asciiTheme="minorHAnsi" w:hAnsiTheme="minorHAnsi"/>
          <w:sz w:val="20"/>
        </w:rPr>
      </w:pPr>
    </w:p>
  </w:footnote>
  <w:footnote w:id="5">
    <w:p w14:paraId="4832E2BB" w14:textId="7A5600A6" w:rsidR="000C018E" w:rsidRDefault="000C018E" w:rsidP="00582E05">
      <w:pPr>
        <w:pStyle w:val="FootnoteText"/>
        <w:rPr>
          <w:sz w:val="26"/>
          <w:szCs w:val="26"/>
        </w:rPr>
      </w:pPr>
      <w:r>
        <w:rPr>
          <w:rStyle w:val="FootnoteReference"/>
          <w:bCs/>
        </w:rPr>
        <w:footnoteRef/>
      </w:r>
      <w:r>
        <w:rPr>
          <w:bCs/>
          <w:sz w:val="26"/>
          <w:szCs w:val="26"/>
        </w:rPr>
        <w:t xml:space="preserve"> </w:t>
      </w:r>
      <w:r>
        <w:rPr>
          <w:sz w:val="26"/>
          <w:szCs w:val="26"/>
        </w:rPr>
        <w:t>Of the average estimated twenty (20) hours per response, all twenty (20) hours are for the one-time effort of updating or changing documentation for record-keeping burden that is already accounted for.</w:t>
      </w:r>
    </w:p>
    <w:p w14:paraId="5063D0D9" w14:textId="77777777" w:rsidR="00503FF2" w:rsidRDefault="00503FF2" w:rsidP="00582E05">
      <w:pPr>
        <w:pStyle w:val="FootnoteText"/>
        <w:rPr>
          <w:sz w:val="26"/>
          <w:szCs w:val="26"/>
        </w:rPr>
      </w:pPr>
    </w:p>
  </w:footnote>
  <w:footnote w:id="6">
    <w:p w14:paraId="63310922" w14:textId="77777777" w:rsidR="000C018E" w:rsidRDefault="000C018E" w:rsidP="001C1E6A">
      <w:pPr>
        <w:pStyle w:val="FootnoteText"/>
        <w:rPr>
          <w:rFonts w:asciiTheme="minorHAnsi" w:hAnsiTheme="minorHAnsi" w:cstheme="minorBidi"/>
          <w:sz w:val="26"/>
          <w:szCs w:val="26"/>
        </w:rPr>
      </w:pPr>
      <w:r>
        <w:rPr>
          <w:rStyle w:val="FootnoteReference"/>
          <w:rFonts w:cstheme="minorBidi"/>
        </w:rPr>
        <w:footnoteRef/>
      </w:r>
      <w:r>
        <w:rPr>
          <w:sz w:val="26"/>
          <w:szCs w:val="26"/>
        </w:rPr>
        <w:t xml:space="preserve"> Commission staff estimates that the average industry hourly cost for this information collection is $85.02/hour based on the following occupations from the Bureau of Labor Statistics: 1) Manager (Occupational Code: 11-0000): $97.89/hour; and 2) Electrical Engineer (Occupational Code 17-2071): $72.15/hour. Source: http://bls.gov/oes/current/naics3_221000.htm, as of June 2021.</w:t>
      </w:r>
    </w:p>
  </w:footnote>
  <w:footnote w:id="7">
    <w:p w14:paraId="6B383816" w14:textId="77777777" w:rsidR="000C018E" w:rsidRDefault="000C018E" w:rsidP="000C018E">
      <w:pPr>
        <w:pStyle w:val="FootnoteText"/>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597F" w14:textId="4A6E6266" w:rsidR="00D43B63" w:rsidRDefault="00D43B63" w:rsidP="00810D18">
    <w:pPr>
      <w:pStyle w:val="Header"/>
    </w:pPr>
    <w:r>
      <w:t xml:space="preserve">Docket No. </w:t>
    </w:r>
    <w:r w:rsidR="00284EB1">
      <w:t>RD21-6-000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14:paraId="10170C13" w14:textId="76D2DB34" w:rsidR="00D43B63" w:rsidRDefault="00D43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1E5"/>
    <w:rsid w:val="000122E1"/>
    <w:rsid w:val="00016EDB"/>
    <w:rsid w:val="00023EA9"/>
    <w:rsid w:val="000241AE"/>
    <w:rsid w:val="0003365C"/>
    <w:rsid w:val="00034C49"/>
    <w:rsid w:val="000459B6"/>
    <w:rsid w:val="00052071"/>
    <w:rsid w:val="00056C5D"/>
    <w:rsid w:val="00062427"/>
    <w:rsid w:val="000861D3"/>
    <w:rsid w:val="00090E59"/>
    <w:rsid w:val="00091185"/>
    <w:rsid w:val="00096CAD"/>
    <w:rsid w:val="000A0250"/>
    <w:rsid w:val="000A2F74"/>
    <w:rsid w:val="000A7E68"/>
    <w:rsid w:val="000C018E"/>
    <w:rsid w:val="000E2568"/>
    <w:rsid w:val="000F0B0E"/>
    <w:rsid w:val="0010087B"/>
    <w:rsid w:val="00112C9F"/>
    <w:rsid w:val="001240C7"/>
    <w:rsid w:val="00127F5B"/>
    <w:rsid w:val="001479DF"/>
    <w:rsid w:val="0015578A"/>
    <w:rsid w:val="00155DE9"/>
    <w:rsid w:val="00156BBB"/>
    <w:rsid w:val="001600DF"/>
    <w:rsid w:val="0016492B"/>
    <w:rsid w:val="00171725"/>
    <w:rsid w:val="00176B72"/>
    <w:rsid w:val="00181BF7"/>
    <w:rsid w:val="0018299D"/>
    <w:rsid w:val="00191376"/>
    <w:rsid w:val="001A6AD6"/>
    <w:rsid w:val="001B78B8"/>
    <w:rsid w:val="001C1E6A"/>
    <w:rsid w:val="001E29F2"/>
    <w:rsid w:val="001E6510"/>
    <w:rsid w:val="00200437"/>
    <w:rsid w:val="002023A4"/>
    <w:rsid w:val="00220130"/>
    <w:rsid w:val="00224BF2"/>
    <w:rsid w:val="00253F8C"/>
    <w:rsid w:val="00254C99"/>
    <w:rsid w:val="0025689E"/>
    <w:rsid w:val="0027045E"/>
    <w:rsid w:val="0027452E"/>
    <w:rsid w:val="00284EB1"/>
    <w:rsid w:val="00293D56"/>
    <w:rsid w:val="002A1CD0"/>
    <w:rsid w:val="002A2D2C"/>
    <w:rsid w:val="002B531B"/>
    <w:rsid w:val="002B7AA8"/>
    <w:rsid w:val="002D5237"/>
    <w:rsid w:val="002E0351"/>
    <w:rsid w:val="002F2157"/>
    <w:rsid w:val="002F24E8"/>
    <w:rsid w:val="002F3E94"/>
    <w:rsid w:val="002F697A"/>
    <w:rsid w:val="00302F75"/>
    <w:rsid w:val="00303717"/>
    <w:rsid w:val="003060F0"/>
    <w:rsid w:val="003062C2"/>
    <w:rsid w:val="00310EFC"/>
    <w:rsid w:val="00311D90"/>
    <w:rsid w:val="003149BC"/>
    <w:rsid w:val="00326043"/>
    <w:rsid w:val="003321DB"/>
    <w:rsid w:val="00334F14"/>
    <w:rsid w:val="00337BA7"/>
    <w:rsid w:val="0034195C"/>
    <w:rsid w:val="00343A03"/>
    <w:rsid w:val="00347056"/>
    <w:rsid w:val="00361371"/>
    <w:rsid w:val="00363638"/>
    <w:rsid w:val="00363F79"/>
    <w:rsid w:val="003673EC"/>
    <w:rsid w:val="00376525"/>
    <w:rsid w:val="0038431F"/>
    <w:rsid w:val="003960E0"/>
    <w:rsid w:val="003A1A72"/>
    <w:rsid w:val="003A3189"/>
    <w:rsid w:val="003C3E7A"/>
    <w:rsid w:val="003C5CBE"/>
    <w:rsid w:val="003C7BC3"/>
    <w:rsid w:val="003E44AD"/>
    <w:rsid w:val="003F5968"/>
    <w:rsid w:val="00406999"/>
    <w:rsid w:val="0040718A"/>
    <w:rsid w:val="00425DA2"/>
    <w:rsid w:val="00426898"/>
    <w:rsid w:val="00432326"/>
    <w:rsid w:val="00443282"/>
    <w:rsid w:val="0044338D"/>
    <w:rsid w:val="0045734B"/>
    <w:rsid w:val="004609EE"/>
    <w:rsid w:val="004759C4"/>
    <w:rsid w:val="00485A51"/>
    <w:rsid w:val="004879AA"/>
    <w:rsid w:val="0049480F"/>
    <w:rsid w:val="004B7B57"/>
    <w:rsid w:val="004C3C34"/>
    <w:rsid w:val="004C70C8"/>
    <w:rsid w:val="004C77EF"/>
    <w:rsid w:val="004D27A2"/>
    <w:rsid w:val="004E4EAD"/>
    <w:rsid w:val="004F26DA"/>
    <w:rsid w:val="00503FF2"/>
    <w:rsid w:val="00513DA8"/>
    <w:rsid w:val="00514B50"/>
    <w:rsid w:val="00516493"/>
    <w:rsid w:val="0054073B"/>
    <w:rsid w:val="0054746C"/>
    <w:rsid w:val="005648E2"/>
    <w:rsid w:val="00566C57"/>
    <w:rsid w:val="0058081B"/>
    <w:rsid w:val="00582E05"/>
    <w:rsid w:val="00585F73"/>
    <w:rsid w:val="00586D68"/>
    <w:rsid w:val="00591742"/>
    <w:rsid w:val="005A0148"/>
    <w:rsid w:val="005A2F24"/>
    <w:rsid w:val="005A3F56"/>
    <w:rsid w:val="005A7903"/>
    <w:rsid w:val="005A7C58"/>
    <w:rsid w:val="005B4DA4"/>
    <w:rsid w:val="005C6D4E"/>
    <w:rsid w:val="005D16A1"/>
    <w:rsid w:val="005E6D8A"/>
    <w:rsid w:val="005F3DAA"/>
    <w:rsid w:val="005F726F"/>
    <w:rsid w:val="005F729D"/>
    <w:rsid w:val="006128A5"/>
    <w:rsid w:val="006144F3"/>
    <w:rsid w:val="0062085E"/>
    <w:rsid w:val="00634374"/>
    <w:rsid w:val="0063716C"/>
    <w:rsid w:val="006374BA"/>
    <w:rsid w:val="00637F43"/>
    <w:rsid w:val="00642602"/>
    <w:rsid w:val="00644A1B"/>
    <w:rsid w:val="00650FA1"/>
    <w:rsid w:val="006536D8"/>
    <w:rsid w:val="00654BA4"/>
    <w:rsid w:val="00666A01"/>
    <w:rsid w:val="00680D78"/>
    <w:rsid w:val="00692352"/>
    <w:rsid w:val="00695E65"/>
    <w:rsid w:val="006963BC"/>
    <w:rsid w:val="006A34AE"/>
    <w:rsid w:val="006A423E"/>
    <w:rsid w:val="006B0AC2"/>
    <w:rsid w:val="006C6B0C"/>
    <w:rsid w:val="006D552E"/>
    <w:rsid w:val="006E10F4"/>
    <w:rsid w:val="006E586A"/>
    <w:rsid w:val="006E75AA"/>
    <w:rsid w:val="006E7CBB"/>
    <w:rsid w:val="006F3647"/>
    <w:rsid w:val="006F4B65"/>
    <w:rsid w:val="00714F57"/>
    <w:rsid w:val="00715CAA"/>
    <w:rsid w:val="00727594"/>
    <w:rsid w:val="00727C5E"/>
    <w:rsid w:val="00730F44"/>
    <w:rsid w:val="007349A2"/>
    <w:rsid w:val="007356B8"/>
    <w:rsid w:val="00741C80"/>
    <w:rsid w:val="0074219E"/>
    <w:rsid w:val="0075009F"/>
    <w:rsid w:val="00754526"/>
    <w:rsid w:val="00777183"/>
    <w:rsid w:val="00782ACA"/>
    <w:rsid w:val="007B588C"/>
    <w:rsid w:val="007C1916"/>
    <w:rsid w:val="007C6AC2"/>
    <w:rsid w:val="007C729C"/>
    <w:rsid w:val="007E1E74"/>
    <w:rsid w:val="007E2F40"/>
    <w:rsid w:val="007F4E54"/>
    <w:rsid w:val="007F64F2"/>
    <w:rsid w:val="00803CA2"/>
    <w:rsid w:val="00807CAC"/>
    <w:rsid w:val="00810D18"/>
    <w:rsid w:val="008115BF"/>
    <w:rsid w:val="00812B30"/>
    <w:rsid w:val="00821DAB"/>
    <w:rsid w:val="00824D81"/>
    <w:rsid w:val="0082604D"/>
    <w:rsid w:val="00836DF9"/>
    <w:rsid w:val="0084158A"/>
    <w:rsid w:val="00847229"/>
    <w:rsid w:val="00853ABC"/>
    <w:rsid w:val="0085755E"/>
    <w:rsid w:val="00864B1B"/>
    <w:rsid w:val="00872AB9"/>
    <w:rsid w:val="00881405"/>
    <w:rsid w:val="00886032"/>
    <w:rsid w:val="0089069F"/>
    <w:rsid w:val="00895DA2"/>
    <w:rsid w:val="00897359"/>
    <w:rsid w:val="008A020E"/>
    <w:rsid w:val="008A7CEF"/>
    <w:rsid w:val="008B6E06"/>
    <w:rsid w:val="008C572B"/>
    <w:rsid w:val="008D25B7"/>
    <w:rsid w:val="008D300A"/>
    <w:rsid w:val="008D5479"/>
    <w:rsid w:val="008D5932"/>
    <w:rsid w:val="008E0B8C"/>
    <w:rsid w:val="008E0DF5"/>
    <w:rsid w:val="008E3273"/>
    <w:rsid w:val="008E5123"/>
    <w:rsid w:val="008E7400"/>
    <w:rsid w:val="00901C05"/>
    <w:rsid w:val="009179E9"/>
    <w:rsid w:val="00934C81"/>
    <w:rsid w:val="00937284"/>
    <w:rsid w:val="00940C0F"/>
    <w:rsid w:val="0095311D"/>
    <w:rsid w:val="00954CCB"/>
    <w:rsid w:val="009744C8"/>
    <w:rsid w:val="00981886"/>
    <w:rsid w:val="00990FEC"/>
    <w:rsid w:val="009A1B08"/>
    <w:rsid w:val="009A6E91"/>
    <w:rsid w:val="009B4450"/>
    <w:rsid w:val="009B747B"/>
    <w:rsid w:val="009C25C4"/>
    <w:rsid w:val="009C4A13"/>
    <w:rsid w:val="009E0F58"/>
    <w:rsid w:val="009E5557"/>
    <w:rsid w:val="009E66F8"/>
    <w:rsid w:val="009F7DE3"/>
    <w:rsid w:val="00A038F9"/>
    <w:rsid w:val="00A1585A"/>
    <w:rsid w:val="00A2534D"/>
    <w:rsid w:val="00A2604E"/>
    <w:rsid w:val="00A43A4A"/>
    <w:rsid w:val="00A507F0"/>
    <w:rsid w:val="00A562C6"/>
    <w:rsid w:val="00A664DF"/>
    <w:rsid w:val="00A67524"/>
    <w:rsid w:val="00A702C2"/>
    <w:rsid w:val="00A713D0"/>
    <w:rsid w:val="00A72814"/>
    <w:rsid w:val="00A759B3"/>
    <w:rsid w:val="00A82A29"/>
    <w:rsid w:val="00A8344E"/>
    <w:rsid w:val="00A8690F"/>
    <w:rsid w:val="00A86D9E"/>
    <w:rsid w:val="00AA4050"/>
    <w:rsid w:val="00AA516A"/>
    <w:rsid w:val="00AA5B0E"/>
    <w:rsid w:val="00AB58E0"/>
    <w:rsid w:val="00AC750B"/>
    <w:rsid w:val="00AC77B8"/>
    <w:rsid w:val="00AD4128"/>
    <w:rsid w:val="00AE1F12"/>
    <w:rsid w:val="00AE386A"/>
    <w:rsid w:val="00AE3A78"/>
    <w:rsid w:val="00AE4155"/>
    <w:rsid w:val="00AE4B7C"/>
    <w:rsid w:val="00AF349B"/>
    <w:rsid w:val="00B01B16"/>
    <w:rsid w:val="00B065EE"/>
    <w:rsid w:val="00B1226C"/>
    <w:rsid w:val="00B13EE3"/>
    <w:rsid w:val="00B22DCB"/>
    <w:rsid w:val="00B2382E"/>
    <w:rsid w:val="00B34A0B"/>
    <w:rsid w:val="00B447D7"/>
    <w:rsid w:val="00B46E93"/>
    <w:rsid w:val="00B46F03"/>
    <w:rsid w:val="00B5066A"/>
    <w:rsid w:val="00B55B8C"/>
    <w:rsid w:val="00B56882"/>
    <w:rsid w:val="00B65A09"/>
    <w:rsid w:val="00B76A1F"/>
    <w:rsid w:val="00B76D65"/>
    <w:rsid w:val="00B82F8C"/>
    <w:rsid w:val="00B961C3"/>
    <w:rsid w:val="00BA0FBC"/>
    <w:rsid w:val="00BA218C"/>
    <w:rsid w:val="00BA5479"/>
    <w:rsid w:val="00BA6AEA"/>
    <w:rsid w:val="00BB179A"/>
    <w:rsid w:val="00BB7D82"/>
    <w:rsid w:val="00BC200B"/>
    <w:rsid w:val="00BD74AE"/>
    <w:rsid w:val="00BE3392"/>
    <w:rsid w:val="00BE3FE7"/>
    <w:rsid w:val="00BF29D8"/>
    <w:rsid w:val="00BF2D74"/>
    <w:rsid w:val="00BF38BC"/>
    <w:rsid w:val="00BF4CC8"/>
    <w:rsid w:val="00BF6A87"/>
    <w:rsid w:val="00BF7AC7"/>
    <w:rsid w:val="00C1124F"/>
    <w:rsid w:val="00C37BFF"/>
    <w:rsid w:val="00C44372"/>
    <w:rsid w:val="00C46E1C"/>
    <w:rsid w:val="00C51458"/>
    <w:rsid w:val="00C53580"/>
    <w:rsid w:val="00C55838"/>
    <w:rsid w:val="00C55F30"/>
    <w:rsid w:val="00C728C5"/>
    <w:rsid w:val="00C77EF7"/>
    <w:rsid w:val="00C81A97"/>
    <w:rsid w:val="00C820F1"/>
    <w:rsid w:val="00C82707"/>
    <w:rsid w:val="00C91512"/>
    <w:rsid w:val="00CA6636"/>
    <w:rsid w:val="00CA6D76"/>
    <w:rsid w:val="00CB7448"/>
    <w:rsid w:val="00CB769C"/>
    <w:rsid w:val="00CC431F"/>
    <w:rsid w:val="00CD37C7"/>
    <w:rsid w:val="00CD57EB"/>
    <w:rsid w:val="00CD5C97"/>
    <w:rsid w:val="00CD786C"/>
    <w:rsid w:val="00CE3598"/>
    <w:rsid w:val="00CF4753"/>
    <w:rsid w:val="00CF71E0"/>
    <w:rsid w:val="00D0083B"/>
    <w:rsid w:val="00D42209"/>
    <w:rsid w:val="00D43B63"/>
    <w:rsid w:val="00D44183"/>
    <w:rsid w:val="00D50830"/>
    <w:rsid w:val="00D65D56"/>
    <w:rsid w:val="00D84D03"/>
    <w:rsid w:val="00D9761F"/>
    <w:rsid w:val="00DA529F"/>
    <w:rsid w:val="00DC5017"/>
    <w:rsid w:val="00DD18FF"/>
    <w:rsid w:val="00DD2ED3"/>
    <w:rsid w:val="00DD7F1B"/>
    <w:rsid w:val="00DE09FF"/>
    <w:rsid w:val="00E024B6"/>
    <w:rsid w:val="00E13A02"/>
    <w:rsid w:val="00E31680"/>
    <w:rsid w:val="00E34382"/>
    <w:rsid w:val="00E3662E"/>
    <w:rsid w:val="00E41DB9"/>
    <w:rsid w:val="00E655BE"/>
    <w:rsid w:val="00E7381A"/>
    <w:rsid w:val="00E74C4B"/>
    <w:rsid w:val="00E75CE9"/>
    <w:rsid w:val="00E762BB"/>
    <w:rsid w:val="00E77B33"/>
    <w:rsid w:val="00E808B6"/>
    <w:rsid w:val="00E8661B"/>
    <w:rsid w:val="00E91FD5"/>
    <w:rsid w:val="00E92E09"/>
    <w:rsid w:val="00EA5114"/>
    <w:rsid w:val="00EA6337"/>
    <w:rsid w:val="00EA689F"/>
    <w:rsid w:val="00EB119D"/>
    <w:rsid w:val="00EB749E"/>
    <w:rsid w:val="00EC3887"/>
    <w:rsid w:val="00EC4BFA"/>
    <w:rsid w:val="00EF1D00"/>
    <w:rsid w:val="00EF2866"/>
    <w:rsid w:val="00EF33BE"/>
    <w:rsid w:val="00F0383C"/>
    <w:rsid w:val="00F0669A"/>
    <w:rsid w:val="00F11631"/>
    <w:rsid w:val="00F12A43"/>
    <w:rsid w:val="00F24AB0"/>
    <w:rsid w:val="00F309CB"/>
    <w:rsid w:val="00F33E2E"/>
    <w:rsid w:val="00F44A0E"/>
    <w:rsid w:val="00F52FE9"/>
    <w:rsid w:val="00F60C79"/>
    <w:rsid w:val="00F62A51"/>
    <w:rsid w:val="00F8083E"/>
    <w:rsid w:val="00F8646E"/>
    <w:rsid w:val="00F9675E"/>
    <w:rsid w:val="00FC3F00"/>
    <w:rsid w:val="00FE4B8E"/>
    <w:rsid w:val="00FF1D71"/>
    <w:rsid w:val="00FF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562">
      <w:bodyDiv w:val="1"/>
      <w:marLeft w:val="0"/>
      <w:marRight w:val="0"/>
      <w:marTop w:val="0"/>
      <w:marBottom w:val="0"/>
      <w:divBdr>
        <w:top w:val="none" w:sz="0" w:space="0" w:color="auto"/>
        <w:left w:val="none" w:sz="0" w:space="0" w:color="auto"/>
        <w:bottom w:val="none" w:sz="0" w:space="0" w:color="auto"/>
        <w:right w:val="none" w:sz="0" w:space="0" w:color="auto"/>
      </w:divBdr>
    </w:div>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51041204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a4cd09-5f17-433b-814a-38e7e9115d16"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99B0E52C-D685-4F3D-8619-DD4C7D543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customXml/itemProps4.xml><?xml version="1.0" encoding="utf-8"?>
<ds:datastoreItem xmlns:ds="http://schemas.openxmlformats.org/officeDocument/2006/customXml" ds:itemID="{94ABB2B0-5A87-499E-B1DD-7871A3BA8292}">
  <ds:schemaRefs>
    <ds:schemaRef ds:uri="Microsoft.SharePoint.Taxonomy.ContentTypeSync"/>
  </ds:schemaRefs>
</ds:datastoreItem>
</file>

<file path=customXml/itemProps5.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e8733a2-e908-454b-85cf-c9d17e1d09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2016-12-20T13:40:00Z</cp:lastPrinted>
  <dcterms:created xsi:type="dcterms:W3CDTF">2022-07-08T12:30:00Z</dcterms:created>
  <dcterms:modified xsi:type="dcterms:W3CDTF">2022-07-08T12:30:00Z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2022-07-08T12:29:09Z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1b53c1a3-37c5-49ac-9712-e2b1a92f5f90</vt:lpwstr>
  </property>
  <property fmtid="{D5CDD505-2E9C-101B-9397-08002B2CF9AE}" pid="8" name="MSIP_Label_6155a89b-0f08-4a93-8ea2-8a916d6643b5_ContentBits">
    <vt:lpwstr>0</vt:lpwstr>
  </property>
</Properties>
</file>