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3" w:type="dxa"/>
        <w:tblInd w:w="-792" w:type="dxa"/>
        <w:tblLook w:val="04A0" w:firstRow="1" w:lastRow="0" w:firstColumn="1" w:lastColumn="0" w:noHBand="0" w:noVBand="1"/>
      </w:tblPr>
      <w:tblGrid>
        <w:gridCol w:w="2250"/>
        <w:gridCol w:w="8663"/>
      </w:tblGrid>
      <w:tr w:rsidRPr="00DA7411" w:rsidR="00B35D6A" w:rsidTr="007A5159" w14:paraId="17302F27" w14:textId="77777777">
        <w:trPr>
          <w:trHeight w:val="1763"/>
        </w:trPr>
        <w:tc>
          <w:tcPr>
            <w:tcW w:w="2250" w:type="dxa"/>
            <w:tcBorders>
              <w:right w:val="nil"/>
            </w:tcBorders>
          </w:tcPr>
          <w:p w:rsidRPr="00DA7411" w:rsidR="00B35D6A" w:rsidP="007A5159" w:rsidRDefault="00B35D6A" w14:paraId="6B840305" w14:textId="77777777">
            <w:pPr>
              <w:spacing w:before="120"/>
              <w:rPr>
                <w:rFonts w:ascii="Arial" w:hAnsi="Arial" w:cs="Arial"/>
                <w:b/>
                <w:sz w:val="20"/>
                <w:szCs w:val="20"/>
              </w:rPr>
            </w:pPr>
            <w:r w:rsidRPr="00DA7411">
              <w:rPr>
                <w:rFonts w:ascii="Arial" w:hAnsi="Arial" w:cs="Arial"/>
                <w:b/>
                <w:sz w:val="20"/>
                <w:szCs w:val="20"/>
              </w:rPr>
              <w:t>PURPOSE</w:t>
            </w:r>
          </w:p>
        </w:tc>
        <w:tc>
          <w:tcPr>
            <w:tcW w:w="8663" w:type="dxa"/>
            <w:tcBorders>
              <w:left w:val="nil"/>
              <w:bottom w:val="single" w:color="auto" w:sz="4" w:space="0"/>
            </w:tcBorders>
          </w:tcPr>
          <w:p w:rsidRPr="00DA7411" w:rsidR="00B35D6A" w:rsidP="007A5159" w:rsidRDefault="00B35D6A" w14:paraId="4274D585" w14:textId="77777777">
            <w:pPr>
              <w:jc w:val="both"/>
              <w:rPr>
                <w:rFonts w:ascii="Arial" w:hAnsi="Arial" w:cs="Arial"/>
                <w:sz w:val="20"/>
                <w:szCs w:val="20"/>
              </w:rPr>
            </w:pPr>
            <w:r w:rsidRPr="00DA7411">
              <w:rPr>
                <w:rFonts w:ascii="Arial" w:hAnsi="Arial" w:cs="Arial"/>
                <w:sz w:val="20"/>
                <w:szCs w:val="20"/>
              </w:rPr>
              <w:t>Form EIA-</w:t>
            </w:r>
            <w:r>
              <w:rPr>
                <w:rFonts w:ascii="Arial" w:hAnsi="Arial" w:cs="Arial"/>
                <w:sz w:val="20"/>
                <w:szCs w:val="20"/>
              </w:rPr>
              <w:t>861M</w:t>
            </w:r>
            <w:r w:rsidRPr="00DA7411">
              <w:rPr>
                <w:rFonts w:ascii="Arial" w:hAnsi="Arial" w:cs="Arial"/>
                <w:sz w:val="20"/>
                <w:szCs w:val="20"/>
              </w:rPr>
              <w:t xml:space="preserve"> collects information from electric utilities, energy service providers, and distribution companies that sell or deliver electric power to end users.  Data collected on this form includes sales and revenue for all end-use sectors (residential, commercial, industrial, and transportation). The data from this form appear in the following Energy Information Administration (EIA) publications: </w:t>
            </w:r>
            <w:r w:rsidRPr="00DA7411">
              <w:rPr>
                <w:rFonts w:ascii="Arial" w:hAnsi="Arial" w:cs="Arial"/>
                <w:i/>
                <w:sz w:val="20"/>
                <w:szCs w:val="20"/>
              </w:rPr>
              <w:t>Electric Power Monthly, Monthly Energy Review, and Annual Energy Review</w:t>
            </w:r>
            <w:r w:rsidRPr="00DA7411">
              <w:rPr>
                <w:rFonts w:ascii="Arial" w:hAnsi="Arial" w:cs="Arial"/>
                <w:sz w:val="20"/>
                <w:szCs w:val="20"/>
              </w:rPr>
              <w:t>. The data collected on this form are used to monitor the current status and trends of the electric power industry and to evaluate the future of the industry.</w:t>
            </w:r>
          </w:p>
        </w:tc>
      </w:tr>
      <w:tr w:rsidRPr="00DA7411" w:rsidR="00B35D6A" w:rsidTr="007A5159" w14:paraId="7A784DDF" w14:textId="77777777">
        <w:trPr>
          <w:trHeight w:val="1340"/>
        </w:trPr>
        <w:tc>
          <w:tcPr>
            <w:tcW w:w="2250" w:type="dxa"/>
            <w:tcBorders>
              <w:right w:val="nil"/>
            </w:tcBorders>
          </w:tcPr>
          <w:p w:rsidRPr="00DA7411" w:rsidR="00B35D6A" w:rsidP="007A5159" w:rsidRDefault="00B35D6A" w14:paraId="2E8DAADC" w14:textId="77777777">
            <w:pPr>
              <w:spacing w:before="120"/>
              <w:rPr>
                <w:rFonts w:ascii="Arial" w:hAnsi="Arial" w:cs="Arial"/>
                <w:b/>
                <w:sz w:val="20"/>
                <w:szCs w:val="20"/>
              </w:rPr>
            </w:pPr>
            <w:r w:rsidRPr="00DA7411">
              <w:rPr>
                <w:rFonts w:ascii="Arial" w:hAnsi="Arial" w:cs="Arial"/>
                <w:b/>
                <w:sz w:val="20"/>
                <w:szCs w:val="20"/>
              </w:rPr>
              <w:t xml:space="preserve">REQUIRED </w:t>
            </w:r>
          </w:p>
          <w:p w:rsidRPr="00DA7411" w:rsidR="00B35D6A" w:rsidP="007A5159" w:rsidRDefault="00B35D6A" w14:paraId="0BE07C89" w14:textId="77777777">
            <w:pPr>
              <w:spacing w:before="120"/>
              <w:rPr>
                <w:rFonts w:ascii="Arial" w:hAnsi="Arial" w:cs="Arial"/>
                <w:b/>
                <w:sz w:val="20"/>
                <w:szCs w:val="20"/>
              </w:rPr>
            </w:pPr>
            <w:r w:rsidRPr="00DA7411">
              <w:rPr>
                <w:rFonts w:ascii="Arial" w:hAnsi="Arial" w:cs="Arial"/>
                <w:b/>
                <w:sz w:val="20"/>
                <w:szCs w:val="20"/>
              </w:rPr>
              <w:t>RESPONDENTS</w:t>
            </w:r>
          </w:p>
        </w:tc>
        <w:tc>
          <w:tcPr>
            <w:tcW w:w="8663" w:type="dxa"/>
            <w:tcBorders>
              <w:left w:val="nil"/>
            </w:tcBorders>
          </w:tcPr>
          <w:p w:rsidRPr="00DA7411" w:rsidR="00B35D6A" w:rsidP="007A5159" w:rsidRDefault="00B35D6A" w14:paraId="3E16599A" w14:textId="77777777">
            <w:pPr>
              <w:jc w:val="both"/>
              <w:rPr>
                <w:rFonts w:ascii="Arial" w:hAnsi="Arial" w:cs="Arial"/>
                <w:sz w:val="20"/>
                <w:szCs w:val="20"/>
              </w:rPr>
            </w:pPr>
            <w:r w:rsidRPr="00DA7411">
              <w:rPr>
                <w:rFonts w:ascii="Arial" w:hAnsi="Arial" w:eastAsia="Calibri" w:cs="Arial"/>
                <w:spacing w:val="-1"/>
                <w:sz w:val="20"/>
                <w:szCs w:val="20"/>
              </w:rPr>
              <w:t>Form</w:t>
            </w:r>
            <w:r w:rsidRPr="00DA7411">
              <w:rPr>
                <w:rFonts w:ascii="Arial" w:hAnsi="Arial" w:eastAsia="Calibri" w:cs="Arial"/>
                <w:spacing w:val="7"/>
                <w:sz w:val="20"/>
                <w:szCs w:val="20"/>
              </w:rPr>
              <w:t xml:space="preserve"> </w:t>
            </w:r>
            <w:r w:rsidRPr="00DA7411">
              <w:rPr>
                <w:rFonts w:ascii="Arial" w:hAnsi="Arial" w:eastAsia="Calibri" w:cs="Arial"/>
                <w:sz w:val="20"/>
                <w:szCs w:val="20"/>
              </w:rPr>
              <w:t>EIA-</w:t>
            </w:r>
            <w:r>
              <w:rPr>
                <w:rFonts w:ascii="Arial" w:hAnsi="Arial" w:eastAsia="Calibri" w:cs="Arial"/>
                <w:sz w:val="20"/>
                <w:szCs w:val="20"/>
              </w:rPr>
              <w:t>861M</w:t>
            </w:r>
            <w:r w:rsidRPr="00DA7411">
              <w:rPr>
                <w:rFonts w:ascii="Arial" w:hAnsi="Arial" w:eastAsia="Calibri" w:cs="Arial"/>
                <w:spacing w:val="4"/>
                <w:sz w:val="20"/>
                <w:szCs w:val="20"/>
              </w:rPr>
              <w:t xml:space="preserve"> </w:t>
            </w:r>
            <w:r w:rsidRPr="00DA7411">
              <w:rPr>
                <w:rFonts w:ascii="Arial" w:hAnsi="Arial" w:eastAsia="Calibri" w:cs="Arial"/>
                <w:spacing w:val="-1"/>
                <w:sz w:val="20"/>
                <w:szCs w:val="20"/>
              </w:rPr>
              <w:t>is</w:t>
            </w:r>
            <w:r w:rsidRPr="00DA7411">
              <w:rPr>
                <w:rFonts w:ascii="Arial" w:hAnsi="Arial" w:eastAsia="Calibri" w:cs="Arial"/>
                <w:spacing w:val="6"/>
                <w:sz w:val="20"/>
                <w:szCs w:val="20"/>
              </w:rPr>
              <w:t xml:space="preserve"> </w:t>
            </w:r>
            <w:r w:rsidRPr="00DA7411">
              <w:rPr>
                <w:rFonts w:ascii="Arial" w:hAnsi="Arial" w:eastAsia="Calibri" w:cs="Arial"/>
                <w:sz w:val="20"/>
                <w:szCs w:val="20"/>
              </w:rPr>
              <w:t>a</w:t>
            </w:r>
            <w:r w:rsidRPr="00DA7411">
              <w:rPr>
                <w:rFonts w:ascii="Arial" w:hAnsi="Arial" w:eastAsia="Calibri" w:cs="Arial"/>
                <w:spacing w:val="3"/>
                <w:sz w:val="20"/>
                <w:szCs w:val="20"/>
              </w:rPr>
              <w:t xml:space="preserve"> </w:t>
            </w:r>
            <w:r w:rsidRPr="00DA7411">
              <w:rPr>
                <w:rFonts w:ascii="Arial" w:hAnsi="Arial" w:eastAsia="Calibri" w:cs="Arial"/>
                <w:sz w:val="20"/>
                <w:szCs w:val="20"/>
              </w:rPr>
              <w:t>mandatory report</w:t>
            </w:r>
            <w:r w:rsidRPr="00DA7411">
              <w:rPr>
                <w:rFonts w:ascii="Arial" w:hAnsi="Arial" w:eastAsia="Calibri" w:cs="Arial"/>
                <w:spacing w:val="4"/>
                <w:sz w:val="20"/>
                <w:szCs w:val="20"/>
              </w:rPr>
              <w:t xml:space="preserve"> </w:t>
            </w:r>
            <w:r w:rsidRPr="00DA7411">
              <w:rPr>
                <w:rFonts w:ascii="Arial" w:hAnsi="Arial" w:eastAsia="Calibri" w:cs="Arial"/>
                <w:sz w:val="20"/>
                <w:szCs w:val="20"/>
              </w:rPr>
              <w:t>for</w:t>
            </w:r>
            <w:r w:rsidRPr="00DA7411">
              <w:rPr>
                <w:rFonts w:ascii="Arial" w:hAnsi="Arial" w:eastAsia="Calibri" w:cs="Arial"/>
                <w:spacing w:val="7"/>
                <w:sz w:val="20"/>
                <w:szCs w:val="20"/>
              </w:rPr>
              <w:t xml:space="preserve"> </w:t>
            </w:r>
            <w:r w:rsidRPr="00DA7411">
              <w:rPr>
                <w:rFonts w:ascii="Arial" w:hAnsi="Arial" w:eastAsia="Arial" w:cs="Arial"/>
                <w:b/>
                <w:bCs/>
                <w:sz w:val="20"/>
                <w:szCs w:val="20"/>
              </w:rPr>
              <w:t>most</w:t>
            </w:r>
            <w:r w:rsidRPr="00DA7411">
              <w:rPr>
                <w:rFonts w:ascii="Arial" w:hAnsi="Arial" w:eastAsia="Arial" w:cs="Arial"/>
                <w:b/>
                <w:bCs/>
                <w:spacing w:val="4"/>
                <w:sz w:val="20"/>
                <w:szCs w:val="20"/>
              </w:rPr>
              <w:t xml:space="preserve"> </w:t>
            </w:r>
            <w:r w:rsidRPr="00DA7411">
              <w:rPr>
                <w:rFonts w:ascii="Arial" w:hAnsi="Arial" w:eastAsia="Calibri" w:cs="Arial"/>
                <w:spacing w:val="-1"/>
                <w:sz w:val="20"/>
                <w:szCs w:val="20"/>
              </w:rPr>
              <w:t>investor</w:t>
            </w:r>
            <w:r w:rsidRPr="00DA7411">
              <w:rPr>
                <w:rFonts w:ascii="Arial" w:hAnsi="Arial" w:eastAsia="Calibri" w:cs="Arial"/>
                <w:spacing w:val="4"/>
                <w:sz w:val="20"/>
                <w:szCs w:val="20"/>
              </w:rPr>
              <w:t xml:space="preserve"> </w:t>
            </w:r>
            <w:r w:rsidRPr="00DA7411">
              <w:rPr>
                <w:rFonts w:ascii="Arial" w:hAnsi="Arial" w:eastAsia="Calibri" w:cs="Arial"/>
                <w:spacing w:val="-1"/>
                <w:sz w:val="20"/>
                <w:szCs w:val="20"/>
              </w:rPr>
              <w:t>owned</w:t>
            </w:r>
            <w:r w:rsidRPr="00DA7411">
              <w:rPr>
                <w:rFonts w:ascii="Arial" w:hAnsi="Arial" w:eastAsia="Calibri" w:cs="Arial"/>
                <w:spacing w:val="7"/>
                <w:sz w:val="20"/>
                <w:szCs w:val="20"/>
              </w:rPr>
              <w:t xml:space="preserve"> </w:t>
            </w:r>
            <w:r w:rsidRPr="00DA7411">
              <w:rPr>
                <w:rFonts w:ascii="Arial" w:hAnsi="Arial" w:eastAsia="Calibri" w:cs="Arial"/>
                <w:spacing w:val="-1"/>
                <w:sz w:val="20"/>
                <w:szCs w:val="20"/>
              </w:rPr>
              <w:t>electric</w:t>
            </w:r>
            <w:r w:rsidRPr="00DA7411">
              <w:rPr>
                <w:rFonts w:ascii="Arial" w:hAnsi="Arial" w:eastAsia="Calibri" w:cs="Arial"/>
                <w:spacing w:val="5"/>
                <w:sz w:val="20"/>
                <w:szCs w:val="20"/>
              </w:rPr>
              <w:t xml:space="preserve"> </w:t>
            </w:r>
            <w:r w:rsidRPr="00DA7411">
              <w:rPr>
                <w:rFonts w:ascii="Arial" w:hAnsi="Arial" w:eastAsia="Calibri" w:cs="Arial"/>
                <w:sz w:val="20"/>
                <w:szCs w:val="20"/>
              </w:rPr>
              <w:t>utilities,</w:t>
            </w:r>
            <w:r w:rsidRPr="00DA7411">
              <w:rPr>
                <w:rFonts w:ascii="Arial" w:hAnsi="Arial" w:eastAsia="Calibri" w:cs="Arial"/>
                <w:spacing w:val="4"/>
                <w:sz w:val="20"/>
                <w:szCs w:val="20"/>
              </w:rPr>
              <w:t xml:space="preserve"> </w:t>
            </w:r>
            <w:r w:rsidRPr="00DA7411">
              <w:rPr>
                <w:rFonts w:ascii="Arial" w:hAnsi="Arial" w:eastAsia="Arial" w:cs="Arial"/>
                <w:b/>
                <w:bCs/>
                <w:spacing w:val="-1"/>
                <w:sz w:val="20"/>
                <w:szCs w:val="20"/>
              </w:rPr>
              <w:t>all</w:t>
            </w:r>
            <w:r w:rsidRPr="00DA7411">
              <w:rPr>
                <w:rFonts w:ascii="Arial" w:hAnsi="Arial" w:eastAsia="Arial" w:cs="Arial"/>
                <w:b/>
                <w:bCs/>
                <w:spacing w:val="6"/>
                <w:sz w:val="20"/>
                <w:szCs w:val="20"/>
              </w:rPr>
              <w:t xml:space="preserve"> </w:t>
            </w:r>
            <w:r w:rsidRPr="00DA7411">
              <w:rPr>
                <w:rFonts w:ascii="Arial" w:hAnsi="Arial" w:eastAsia="Calibri" w:cs="Arial"/>
                <w:sz w:val="20"/>
                <w:szCs w:val="20"/>
              </w:rPr>
              <w:t>energy service</w:t>
            </w:r>
            <w:r w:rsidRPr="00DA7411">
              <w:rPr>
                <w:rFonts w:ascii="Arial" w:hAnsi="Arial" w:eastAsia="Calibri" w:cs="Arial"/>
                <w:spacing w:val="88"/>
                <w:w w:val="99"/>
                <w:sz w:val="20"/>
                <w:szCs w:val="20"/>
              </w:rPr>
              <w:t xml:space="preserve"> </w:t>
            </w:r>
            <w:r>
              <w:rPr>
                <w:rFonts w:ascii="Arial" w:hAnsi="Arial" w:eastAsia="Calibri" w:cs="Arial"/>
                <w:sz w:val="20"/>
                <w:szCs w:val="20"/>
              </w:rPr>
              <w:t>provider including Third Party Owners of solar PV (TPO)</w:t>
            </w:r>
            <w:r w:rsidRPr="00DA7411">
              <w:rPr>
                <w:rFonts w:ascii="Arial" w:hAnsi="Arial" w:eastAsia="Calibri" w:cs="Arial"/>
                <w:spacing w:val="23"/>
                <w:sz w:val="20"/>
                <w:szCs w:val="20"/>
              </w:rPr>
              <w:t xml:space="preserve"> </w:t>
            </w:r>
            <w:r w:rsidRPr="00DA7411">
              <w:rPr>
                <w:rFonts w:ascii="Arial" w:hAnsi="Arial" w:eastAsia="Calibri" w:cs="Arial"/>
                <w:sz w:val="20"/>
                <w:szCs w:val="20"/>
              </w:rPr>
              <w:t>and</w:t>
            </w:r>
            <w:r w:rsidRPr="00DA7411">
              <w:rPr>
                <w:rFonts w:ascii="Arial" w:hAnsi="Arial" w:eastAsia="Calibri" w:cs="Arial"/>
                <w:spacing w:val="28"/>
                <w:sz w:val="20"/>
                <w:szCs w:val="20"/>
              </w:rPr>
              <w:t xml:space="preserve"> </w:t>
            </w:r>
            <w:r w:rsidRPr="00DA7411">
              <w:rPr>
                <w:rFonts w:ascii="Arial" w:hAnsi="Arial" w:eastAsia="Calibri" w:cs="Arial"/>
                <w:sz w:val="20"/>
                <w:szCs w:val="20"/>
              </w:rPr>
              <w:t>other</w:t>
            </w:r>
            <w:r w:rsidRPr="00DA7411">
              <w:rPr>
                <w:rFonts w:ascii="Arial" w:hAnsi="Arial" w:eastAsia="Calibri" w:cs="Arial"/>
                <w:spacing w:val="25"/>
                <w:sz w:val="20"/>
                <w:szCs w:val="20"/>
              </w:rPr>
              <w:t xml:space="preserve"> </w:t>
            </w:r>
            <w:r w:rsidRPr="00DA7411">
              <w:rPr>
                <w:rFonts w:ascii="Arial" w:hAnsi="Arial" w:eastAsia="Calibri" w:cs="Arial"/>
                <w:sz w:val="20"/>
                <w:szCs w:val="20"/>
              </w:rPr>
              <w:t>selected</w:t>
            </w:r>
            <w:r w:rsidRPr="00DA7411">
              <w:rPr>
                <w:rFonts w:ascii="Arial" w:hAnsi="Arial" w:eastAsia="Calibri" w:cs="Arial"/>
                <w:spacing w:val="24"/>
                <w:sz w:val="20"/>
                <w:szCs w:val="20"/>
              </w:rPr>
              <w:t xml:space="preserve"> </w:t>
            </w:r>
            <w:r w:rsidRPr="00DA7411">
              <w:rPr>
                <w:rFonts w:ascii="Arial" w:hAnsi="Arial" w:eastAsia="Calibri" w:cs="Arial"/>
                <w:spacing w:val="-1"/>
                <w:sz w:val="20"/>
                <w:szCs w:val="20"/>
              </w:rPr>
              <w:t>electric</w:t>
            </w:r>
            <w:r w:rsidRPr="00DA7411">
              <w:rPr>
                <w:rFonts w:ascii="Arial" w:hAnsi="Arial" w:eastAsia="Calibri" w:cs="Arial"/>
                <w:spacing w:val="26"/>
                <w:sz w:val="20"/>
                <w:szCs w:val="20"/>
              </w:rPr>
              <w:t xml:space="preserve"> </w:t>
            </w:r>
            <w:r w:rsidRPr="00DA7411">
              <w:rPr>
                <w:rFonts w:ascii="Arial" w:hAnsi="Arial" w:eastAsia="Calibri" w:cs="Arial"/>
                <w:sz w:val="20"/>
                <w:szCs w:val="20"/>
              </w:rPr>
              <w:t>utilities</w:t>
            </w:r>
            <w:r w:rsidRPr="00DA7411">
              <w:rPr>
                <w:rFonts w:ascii="Arial" w:hAnsi="Arial" w:eastAsia="Calibri" w:cs="Arial"/>
                <w:spacing w:val="24"/>
                <w:sz w:val="20"/>
                <w:szCs w:val="20"/>
              </w:rPr>
              <w:t xml:space="preserve"> </w:t>
            </w:r>
            <w:r w:rsidRPr="00DA7411">
              <w:rPr>
                <w:rFonts w:ascii="Arial" w:hAnsi="Arial" w:eastAsia="Calibri" w:cs="Arial"/>
                <w:sz w:val="20"/>
                <w:szCs w:val="20"/>
              </w:rPr>
              <w:t>and</w:t>
            </w:r>
            <w:r w:rsidRPr="00DA7411">
              <w:rPr>
                <w:rFonts w:ascii="Arial" w:hAnsi="Arial" w:eastAsia="Calibri" w:cs="Arial"/>
                <w:spacing w:val="27"/>
                <w:sz w:val="20"/>
                <w:szCs w:val="20"/>
              </w:rPr>
              <w:t xml:space="preserve"> </w:t>
            </w:r>
            <w:r w:rsidRPr="00DA7411">
              <w:rPr>
                <w:rFonts w:ascii="Arial" w:hAnsi="Arial" w:eastAsia="Calibri" w:cs="Arial"/>
                <w:sz w:val="20"/>
                <w:szCs w:val="20"/>
              </w:rPr>
              <w:t>distribution</w:t>
            </w:r>
            <w:r w:rsidRPr="00DA7411">
              <w:rPr>
                <w:rFonts w:ascii="Arial" w:hAnsi="Arial" w:eastAsia="Calibri" w:cs="Arial"/>
                <w:spacing w:val="26"/>
                <w:sz w:val="20"/>
                <w:szCs w:val="20"/>
              </w:rPr>
              <w:t xml:space="preserve"> </w:t>
            </w:r>
            <w:r w:rsidRPr="00DA7411">
              <w:rPr>
                <w:rFonts w:ascii="Arial" w:hAnsi="Arial" w:eastAsia="Calibri" w:cs="Arial"/>
                <w:sz w:val="20"/>
                <w:szCs w:val="20"/>
              </w:rPr>
              <w:t>companies</w:t>
            </w:r>
            <w:r w:rsidRPr="00DA7411">
              <w:rPr>
                <w:rFonts w:ascii="Arial" w:hAnsi="Arial" w:eastAsia="Calibri" w:cs="Arial"/>
                <w:spacing w:val="25"/>
                <w:sz w:val="20"/>
                <w:szCs w:val="20"/>
              </w:rPr>
              <w:t xml:space="preserve"> </w:t>
            </w:r>
            <w:r w:rsidRPr="00DA7411">
              <w:rPr>
                <w:rFonts w:ascii="Arial" w:hAnsi="Arial" w:eastAsia="Calibri" w:cs="Arial"/>
                <w:sz w:val="20"/>
                <w:szCs w:val="20"/>
              </w:rPr>
              <w:t>that</w:t>
            </w:r>
            <w:r w:rsidRPr="00DA7411">
              <w:rPr>
                <w:rFonts w:ascii="Arial" w:hAnsi="Arial" w:eastAsia="Calibri" w:cs="Arial"/>
                <w:spacing w:val="24"/>
                <w:sz w:val="20"/>
                <w:szCs w:val="20"/>
              </w:rPr>
              <w:t xml:space="preserve"> </w:t>
            </w:r>
            <w:r w:rsidRPr="00DA7411">
              <w:rPr>
                <w:rFonts w:ascii="Arial" w:hAnsi="Arial" w:eastAsia="Calibri" w:cs="Arial"/>
                <w:sz w:val="20"/>
                <w:szCs w:val="20"/>
              </w:rPr>
              <w:t>sell</w:t>
            </w:r>
            <w:r w:rsidRPr="00DA7411">
              <w:rPr>
                <w:rFonts w:ascii="Arial" w:hAnsi="Arial" w:eastAsia="Calibri" w:cs="Arial"/>
                <w:spacing w:val="25"/>
                <w:sz w:val="20"/>
                <w:szCs w:val="20"/>
              </w:rPr>
              <w:t xml:space="preserve"> </w:t>
            </w:r>
            <w:r w:rsidRPr="00DA7411">
              <w:rPr>
                <w:rFonts w:ascii="Arial" w:hAnsi="Arial" w:eastAsia="Calibri" w:cs="Arial"/>
                <w:sz w:val="20"/>
                <w:szCs w:val="20"/>
              </w:rPr>
              <w:t>or</w:t>
            </w:r>
            <w:r w:rsidRPr="00DA7411">
              <w:rPr>
                <w:rFonts w:ascii="Arial" w:hAnsi="Arial" w:eastAsia="Calibri" w:cs="Arial"/>
                <w:spacing w:val="25"/>
                <w:sz w:val="20"/>
                <w:szCs w:val="20"/>
              </w:rPr>
              <w:t xml:space="preserve"> </w:t>
            </w:r>
            <w:r w:rsidRPr="00DA7411">
              <w:rPr>
                <w:rFonts w:ascii="Arial" w:hAnsi="Arial" w:eastAsia="Calibri" w:cs="Arial"/>
                <w:sz w:val="20"/>
                <w:szCs w:val="20"/>
              </w:rPr>
              <w:t>distribute</w:t>
            </w:r>
            <w:r w:rsidRPr="00DA7411">
              <w:rPr>
                <w:rFonts w:ascii="Arial" w:hAnsi="Arial" w:eastAsia="Calibri" w:cs="Arial"/>
                <w:spacing w:val="38"/>
                <w:w w:val="99"/>
                <w:sz w:val="20"/>
                <w:szCs w:val="20"/>
              </w:rPr>
              <w:t xml:space="preserve"> </w:t>
            </w:r>
            <w:r w:rsidRPr="00DA7411">
              <w:rPr>
                <w:rFonts w:ascii="Arial" w:hAnsi="Arial" w:eastAsia="Calibri" w:cs="Arial"/>
                <w:spacing w:val="-1"/>
                <w:sz w:val="20"/>
                <w:szCs w:val="20"/>
              </w:rPr>
              <w:t>electric</w:t>
            </w:r>
            <w:r w:rsidRPr="00DA7411">
              <w:rPr>
                <w:rFonts w:ascii="Arial" w:hAnsi="Arial" w:eastAsia="Calibri" w:cs="Arial"/>
                <w:spacing w:val="53"/>
                <w:sz w:val="20"/>
                <w:szCs w:val="20"/>
              </w:rPr>
              <w:t xml:space="preserve"> </w:t>
            </w:r>
            <w:r w:rsidRPr="00DA7411">
              <w:rPr>
                <w:rFonts w:ascii="Arial" w:hAnsi="Arial" w:eastAsia="Calibri" w:cs="Arial"/>
                <w:sz w:val="20"/>
                <w:szCs w:val="20"/>
              </w:rPr>
              <w:t>power</w:t>
            </w:r>
            <w:r w:rsidRPr="00DA7411">
              <w:rPr>
                <w:rFonts w:ascii="Arial" w:hAnsi="Arial" w:eastAsia="Calibri" w:cs="Arial"/>
                <w:spacing w:val="53"/>
                <w:sz w:val="20"/>
                <w:szCs w:val="20"/>
              </w:rPr>
              <w:t xml:space="preserve"> </w:t>
            </w:r>
            <w:r w:rsidRPr="00DA7411">
              <w:rPr>
                <w:rFonts w:ascii="Arial" w:hAnsi="Arial" w:eastAsia="Calibri" w:cs="Arial"/>
                <w:sz w:val="20"/>
                <w:szCs w:val="20"/>
              </w:rPr>
              <w:t>to</w:t>
            </w:r>
            <w:r w:rsidRPr="00DA7411">
              <w:rPr>
                <w:rFonts w:ascii="Arial" w:hAnsi="Arial" w:eastAsia="Calibri" w:cs="Arial"/>
                <w:spacing w:val="51"/>
                <w:sz w:val="20"/>
                <w:szCs w:val="20"/>
              </w:rPr>
              <w:t xml:space="preserve"> </w:t>
            </w:r>
            <w:r w:rsidRPr="00DA7411">
              <w:rPr>
                <w:rFonts w:ascii="Arial" w:hAnsi="Arial" w:eastAsia="Calibri" w:cs="Arial"/>
                <w:spacing w:val="-1"/>
                <w:sz w:val="20"/>
                <w:szCs w:val="20"/>
              </w:rPr>
              <w:t>end</w:t>
            </w:r>
            <w:r w:rsidRPr="00DA7411">
              <w:rPr>
                <w:rFonts w:ascii="Arial" w:hAnsi="Arial" w:eastAsia="Calibri" w:cs="Arial"/>
                <w:spacing w:val="55"/>
                <w:sz w:val="20"/>
                <w:szCs w:val="20"/>
              </w:rPr>
              <w:t xml:space="preserve"> </w:t>
            </w:r>
            <w:r w:rsidRPr="00DA7411">
              <w:rPr>
                <w:rFonts w:ascii="Arial" w:hAnsi="Arial" w:eastAsia="Calibri" w:cs="Arial"/>
                <w:sz w:val="20"/>
                <w:szCs w:val="20"/>
              </w:rPr>
              <w:t>users</w:t>
            </w:r>
            <w:r w:rsidRPr="00DA7411">
              <w:rPr>
                <w:rFonts w:ascii="Arial" w:hAnsi="Arial" w:eastAsia="Calibri" w:cs="Arial"/>
                <w:spacing w:val="53"/>
                <w:sz w:val="20"/>
                <w:szCs w:val="20"/>
              </w:rPr>
              <w:t xml:space="preserve"> </w:t>
            </w:r>
            <w:r w:rsidRPr="00DA7411">
              <w:rPr>
                <w:rFonts w:ascii="Arial" w:hAnsi="Arial" w:eastAsia="Calibri" w:cs="Arial"/>
                <w:sz w:val="20"/>
                <w:szCs w:val="20"/>
              </w:rPr>
              <w:t>on</w:t>
            </w:r>
            <w:r w:rsidRPr="00DA7411">
              <w:rPr>
                <w:rFonts w:ascii="Arial" w:hAnsi="Arial" w:eastAsia="Calibri" w:cs="Arial"/>
                <w:spacing w:val="52"/>
                <w:sz w:val="20"/>
                <w:szCs w:val="20"/>
              </w:rPr>
              <w:t xml:space="preserve"> </w:t>
            </w:r>
            <w:r w:rsidRPr="00DA7411">
              <w:rPr>
                <w:rFonts w:ascii="Arial" w:hAnsi="Arial" w:eastAsia="Calibri" w:cs="Arial"/>
                <w:sz w:val="20"/>
                <w:szCs w:val="20"/>
              </w:rPr>
              <w:t>a</w:t>
            </w:r>
            <w:r w:rsidRPr="00DA7411">
              <w:rPr>
                <w:rFonts w:ascii="Arial" w:hAnsi="Arial" w:eastAsia="Calibri" w:cs="Arial"/>
                <w:spacing w:val="49"/>
                <w:sz w:val="20"/>
                <w:szCs w:val="20"/>
              </w:rPr>
              <w:t xml:space="preserve"> </w:t>
            </w:r>
            <w:r w:rsidRPr="00DA7411">
              <w:rPr>
                <w:rFonts w:ascii="Arial" w:hAnsi="Arial" w:eastAsia="Calibri" w:cs="Arial"/>
                <w:sz w:val="20"/>
                <w:szCs w:val="20"/>
              </w:rPr>
              <w:t>monthly</w:t>
            </w:r>
            <w:r w:rsidRPr="00DA7411">
              <w:rPr>
                <w:rFonts w:ascii="Arial" w:hAnsi="Arial" w:eastAsia="Calibri" w:cs="Arial"/>
                <w:spacing w:val="49"/>
                <w:sz w:val="20"/>
                <w:szCs w:val="20"/>
              </w:rPr>
              <w:t xml:space="preserve"> </w:t>
            </w:r>
            <w:r w:rsidRPr="00DA7411">
              <w:rPr>
                <w:rFonts w:ascii="Arial" w:hAnsi="Arial" w:eastAsia="Calibri" w:cs="Arial"/>
                <w:sz w:val="20"/>
                <w:szCs w:val="20"/>
              </w:rPr>
              <w:t>basis.</w:t>
            </w:r>
            <w:r w:rsidRPr="00DA7411">
              <w:rPr>
                <w:rFonts w:ascii="Arial" w:hAnsi="Arial" w:eastAsia="Calibri" w:cs="Arial"/>
                <w:spacing w:val="53"/>
                <w:sz w:val="20"/>
                <w:szCs w:val="20"/>
              </w:rPr>
              <w:t xml:space="preserve"> </w:t>
            </w:r>
            <w:r w:rsidRPr="00DA7411">
              <w:rPr>
                <w:rFonts w:ascii="Arial" w:hAnsi="Arial" w:eastAsia="Calibri" w:cs="Arial"/>
                <w:spacing w:val="-1"/>
                <w:sz w:val="20"/>
                <w:szCs w:val="20"/>
              </w:rPr>
              <w:t>Form</w:t>
            </w:r>
            <w:r w:rsidRPr="00DA7411">
              <w:rPr>
                <w:rFonts w:ascii="Arial" w:hAnsi="Arial" w:eastAsia="Calibri" w:cs="Arial"/>
                <w:spacing w:val="1"/>
                <w:sz w:val="20"/>
                <w:szCs w:val="20"/>
              </w:rPr>
              <w:t xml:space="preserve"> </w:t>
            </w:r>
            <w:r w:rsidRPr="00DA7411">
              <w:rPr>
                <w:rFonts w:ascii="Arial" w:hAnsi="Arial" w:eastAsia="Calibri" w:cs="Arial"/>
                <w:spacing w:val="-1"/>
                <w:sz w:val="20"/>
                <w:szCs w:val="20"/>
              </w:rPr>
              <w:t>EIA-</w:t>
            </w:r>
            <w:r w:rsidR="00D342FD">
              <w:rPr>
                <w:rFonts w:ascii="Arial" w:hAnsi="Arial" w:eastAsia="Calibri" w:cs="Arial"/>
                <w:spacing w:val="-1"/>
                <w:sz w:val="20"/>
                <w:szCs w:val="20"/>
              </w:rPr>
              <w:t>861M</w:t>
            </w:r>
            <w:r w:rsidRPr="00DA7411">
              <w:rPr>
                <w:rFonts w:ascii="Arial" w:hAnsi="Arial" w:eastAsia="Calibri" w:cs="Arial"/>
                <w:spacing w:val="52"/>
                <w:sz w:val="20"/>
                <w:szCs w:val="20"/>
              </w:rPr>
              <w:t xml:space="preserve"> </w:t>
            </w:r>
            <w:r w:rsidRPr="00DA7411">
              <w:rPr>
                <w:rFonts w:ascii="Arial" w:hAnsi="Arial" w:eastAsia="Calibri" w:cs="Arial"/>
                <w:spacing w:val="-1"/>
                <w:sz w:val="20"/>
                <w:szCs w:val="20"/>
              </w:rPr>
              <w:t>is</w:t>
            </w:r>
            <w:r w:rsidRPr="00DA7411">
              <w:rPr>
                <w:rFonts w:ascii="Arial" w:hAnsi="Arial" w:eastAsia="Calibri" w:cs="Arial"/>
                <w:spacing w:val="53"/>
                <w:sz w:val="20"/>
                <w:szCs w:val="20"/>
              </w:rPr>
              <w:t xml:space="preserve"> </w:t>
            </w:r>
            <w:r w:rsidRPr="00DA7411">
              <w:rPr>
                <w:rFonts w:ascii="Arial" w:hAnsi="Arial" w:eastAsia="Calibri" w:cs="Arial"/>
                <w:sz w:val="20"/>
                <w:szCs w:val="20"/>
              </w:rPr>
              <w:t>a</w:t>
            </w:r>
            <w:r w:rsidRPr="00DA7411">
              <w:rPr>
                <w:rFonts w:ascii="Arial" w:hAnsi="Arial" w:eastAsia="Calibri" w:cs="Arial"/>
                <w:spacing w:val="52"/>
                <w:sz w:val="20"/>
                <w:szCs w:val="20"/>
              </w:rPr>
              <w:t xml:space="preserve"> </w:t>
            </w:r>
            <w:r w:rsidRPr="00DA7411">
              <w:rPr>
                <w:rFonts w:ascii="Arial" w:hAnsi="Arial" w:eastAsia="Calibri" w:cs="Arial"/>
                <w:sz w:val="20"/>
                <w:szCs w:val="20"/>
              </w:rPr>
              <w:t>statistical</w:t>
            </w:r>
            <w:r w:rsidRPr="00DA7411">
              <w:rPr>
                <w:rFonts w:ascii="Arial" w:hAnsi="Arial" w:eastAsia="Calibri" w:cs="Arial"/>
                <w:spacing w:val="50"/>
                <w:sz w:val="20"/>
                <w:szCs w:val="20"/>
              </w:rPr>
              <w:t xml:space="preserve"> </w:t>
            </w:r>
            <w:r w:rsidRPr="00DA7411">
              <w:rPr>
                <w:rFonts w:ascii="Arial" w:hAnsi="Arial" w:eastAsia="Calibri" w:cs="Arial"/>
                <w:sz w:val="20"/>
                <w:szCs w:val="20"/>
              </w:rPr>
              <w:t>sample</w:t>
            </w:r>
            <w:r w:rsidRPr="00DA7411">
              <w:rPr>
                <w:rFonts w:ascii="Arial" w:hAnsi="Arial" w:eastAsia="Calibri" w:cs="Arial"/>
                <w:spacing w:val="52"/>
                <w:sz w:val="20"/>
                <w:szCs w:val="20"/>
              </w:rPr>
              <w:t xml:space="preserve"> </w:t>
            </w:r>
            <w:r w:rsidRPr="00DA7411">
              <w:rPr>
                <w:rFonts w:ascii="Arial" w:hAnsi="Arial" w:eastAsia="Calibri" w:cs="Arial"/>
                <w:sz w:val="20"/>
                <w:szCs w:val="20"/>
              </w:rPr>
              <w:t>of</w:t>
            </w:r>
            <w:r w:rsidRPr="00DA7411">
              <w:rPr>
                <w:rFonts w:ascii="Arial" w:hAnsi="Arial" w:eastAsia="Calibri" w:cs="Arial"/>
                <w:spacing w:val="48"/>
                <w:w w:val="99"/>
                <w:sz w:val="20"/>
                <w:szCs w:val="20"/>
              </w:rPr>
              <w:t xml:space="preserve"> </w:t>
            </w:r>
            <w:r w:rsidRPr="00DA7411">
              <w:rPr>
                <w:rFonts w:ascii="Arial" w:hAnsi="Arial" w:eastAsia="Calibri" w:cs="Arial"/>
                <w:spacing w:val="-1"/>
                <w:sz w:val="20"/>
                <w:szCs w:val="20"/>
              </w:rPr>
              <w:t>respondents</w:t>
            </w:r>
            <w:r w:rsidRPr="00DA7411">
              <w:rPr>
                <w:rFonts w:ascii="Arial" w:hAnsi="Arial" w:eastAsia="Calibri" w:cs="Arial"/>
                <w:spacing w:val="2"/>
                <w:sz w:val="20"/>
                <w:szCs w:val="20"/>
              </w:rPr>
              <w:t xml:space="preserve"> </w:t>
            </w:r>
            <w:r w:rsidRPr="00DA7411">
              <w:rPr>
                <w:rFonts w:ascii="Arial" w:hAnsi="Arial" w:eastAsia="Calibri" w:cs="Arial"/>
                <w:sz w:val="20"/>
                <w:szCs w:val="20"/>
              </w:rPr>
              <w:t>chosen</w:t>
            </w:r>
            <w:r w:rsidRPr="00DA7411">
              <w:rPr>
                <w:rFonts w:ascii="Arial" w:hAnsi="Arial" w:eastAsia="Calibri" w:cs="Arial"/>
                <w:spacing w:val="1"/>
                <w:sz w:val="20"/>
                <w:szCs w:val="20"/>
              </w:rPr>
              <w:t xml:space="preserve"> from</w:t>
            </w:r>
            <w:r w:rsidRPr="00DA7411">
              <w:rPr>
                <w:rFonts w:ascii="Arial" w:hAnsi="Arial" w:eastAsia="Calibri" w:cs="Arial"/>
                <w:spacing w:val="4"/>
                <w:sz w:val="20"/>
                <w:szCs w:val="20"/>
              </w:rPr>
              <w:t xml:space="preserve"> </w:t>
            </w:r>
            <w:r w:rsidRPr="00DA7411">
              <w:rPr>
                <w:rFonts w:ascii="Arial" w:hAnsi="Arial" w:eastAsia="Calibri" w:cs="Arial"/>
                <w:sz w:val="20"/>
                <w:szCs w:val="20"/>
              </w:rPr>
              <w:t>the</w:t>
            </w:r>
            <w:r w:rsidRPr="00DA7411">
              <w:rPr>
                <w:rFonts w:ascii="Arial" w:hAnsi="Arial" w:eastAsia="Calibri" w:cs="Arial"/>
                <w:spacing w:val="3"/>
                <w:sz w:val="20"/>
                <w:szCs w:val="20"/>
              </w:rPr>
              <w:t xml:space="preserve"> </w:t>
            </w:r>
            <w:r w:rsidRPr="00DA7411">
              <w:rPr>
                <w:rFonts w:ascii="Arial" w:hAnsi="Arial" w:eastAsia="Calibri" w:cs="Arial"/>
                <w:sz w:val="20"/>
                <w:szCs w:val="20"/>
              </w:rPr>
              <w:t>respondent</w:t>
            </w:r>
            <w:r w:rsidRPr="00DA7411">
              <w:rPr>
                <w:rFonts w:ascii="Arial" w:hAnsi="Arial" w:eastAsia="Calibri" w:cs="Arial"/>
                <w:spacing w:val="2"/>
                <w:sz w:val="20"/>
                <w:szCs w:val="20"/>
              </w:rPr>
              <w:t xml:space="preserve"> </w:t>
            </w:r>
            <w:r w:rsidRPr="00DA7411">
              <w:rPr>
                <w:rFonts w:ascii="Arial" w:hAnsi="Arial" w:eastAsia="Calibri" w:cs="Arial"/>
                <w:spacing w:val="1"/>
                <w:sz w:val="20"/>
                <w:szCs w:val="20"/>
              </w:rPr>
              <w:t>frame</w:t>
            </w:r>
            <w:r w:rsidRPr="00DA7411">
              <w:rPr>
                <w:rFonts w:ascii="Arial" w:hAnsi="Arial" w:eastAsia="Calibri" w:cs="Arial"/>
                <w:spacing w:val="2"/>
                <w:sz w:val="20"/>
                <w:szCs w:val="20"/>
              </w:rPr>
              <w:t xml:space="preserve"> </w:t>
            </w:r>
            <w:r w:rsidRPr="00DA7411">
              <w:rPr>
                <w:rFonts w:ascii="Arial" w:hAnsi="Arial" w:eastAsia="Calibri" w:cs="Arial"/>
                <w:sz w:val="20"/>
                <w:szCs w:val="20"/>
              </w:rPr>
              <w:t>of</w:t>
            </w:r>
            <w:r w:rsidRPr="00DA7411">
              <w:rPr>
                <w:rFonts w:ascii="Arial" w:hAnsi="Arial" w:eastAsia="Calibri" w:cs="Arial"/>
                <w:spacing w:val="5"/>
                <w:sz w:val="20"/>
                <w:szCs w:val="20"/>
              </w:rPr>
              <w:t xml:space="preserve"> </w:t>
            </w:r>
            <w:r w:rsidRPr="00DA7411">
              <w:rPr>
                <w:rFonts w:ascii="Arial" w:hAnsi="Arial" w:eastAsia="Calibri" w:cs="Arial"/>
                <w:sz w:val="20"/>
                <w:szCs w:val="20"/>
              </w:rPr>
              <w:t>Form</w:t>
            </w:r>
            <w:r w:rsidRPr="00DA7411">
              <w:rPr>
                <w:rFonts w:ascii="Arial" w:hAnsi="Arial" w:eastAsia="Calibri" w:cs="Arial"/>
                <w:spacing w:val="7"/>
                <w:sz w:val="20"/>
                <w:szCs w:val="20"/>
              </w:rPr>
              <w:t xml:space="preserve"> </w:t>
            </w:r>
            <w:r w:rsidRPr="00DA7411">
              <w:rPr>
                <w:rFonts w:ascii="Arial" w:hAnsi="Arial" w:eastAsia="Calibri" w:cs="Arial"/>
                <w:spacing w:val="-1"/>
                <w:sz w:val="20"/>
                <w:szCs w:val="20"/>
              </w:rPr>
              <w:t>EIA-</w:t>
            </w:r>
            <w:r w:rsidRPr="00DA7411">
              <w:rPr>
                <w:rFonts w:ascii="Arial" w:hAnsi="Arial" w:eastAsia="Arial" w:cs="Arial"/>
                <w:spacing w:val="-1"/>
                <w:sz w:val="20"/>
                <w:szCs w:val="20"/>
              </w:rPr>
              <w:t>861,</w:t>
            </w:r>
            <w:r w:rsidRPr="00DA7411">
              <w:rPr>
                <w:rFonts w:ascii="Arial" w:hAnsi="Arial" w:eastAsia="Arial" w:cs="Arial"/>
                <w:spacing w:val="2"/>
                <w:sz w:val="20"/>
                <w:szCs w:val="20"/>
              </w:rPr>
              <w:t xml:space="preserve"> </w:t>
            </w:r>
            <w:r w:rsidRPr="00DA7411">
              <w:rPr>
                <w:rFonts w:ascii="Arial" w:hAnsi="Arial" w:eastAsia="Arial" w:cs="Arial"/>
                <w:sz w:val="20"/>
                <w:szCs w:val="20"/>
              </w:rPr>
              <w:t>“Annual</w:t>
            </w:r>
            <w:r w:rsidRPr="00DA7411">
              <w:rPr>
                <w:rFonts w:ascii="Arial" w:hAnsi="Arial" w:eastAsia="Arial" w:cs="Arial"/>
                <w:spacing w:val="5"/>
                <w:sz w:val="20"/>
                <w:szCs w:val="20"/>
              </w:rPr>
              <w:t xml:space="preserve"> </w:t>
            </w:r>
            <w:r w:rsidRPr="00DA7411">
              <w:rPr>
                <w:rFonts w:ascii="Arial" w:hAnsi="Arial" w:eastAsia="Arial" w:cs="Arial"/>
                <w:sz w:val="20"/>
                <w:szCs w:val="20"/>
              </w:rPr>
              <w:t>Electric</w:t>
            </w:r>
            <w:r w:rsidRPr="00DA7411">
              <w:rPr>
                <w:rFonts w:ascii="Arial" w:hAnsi="Arial" w:eastAsia="Arial" w:cs="Arial"/>
                <w:spacing w:val="3"/>
                <w:sz w:val="20"/>
                <w:szCs w:val="20"/>
              </w:rPr>
              <w:t xml:space="preserve"> </w:t>
            </w:r>
            <w:r w:rsidRPr="00DA7411">
              <w:rPr>
                <w:rFonts w:ascii="Arial" w:hAnsi="Arial" w:eastAsia="Arial" w:cs="Arial"/>
                <w:spacing w:val="-1"/>
                <w:sz w:val="20"/>
                <w:szCs w:val="20"/>
              </w:rPr>
              <w:t>Power</w:t>
            </w:r>
            <w:r w:rsidRPr="00DA7411">
              <w:rPr>
                <w:rFonts w:ascii="Arial" w:hAnsi="Arial" w:eastAsia="Arial" w:cs="Arial"/>
                <w:spacing w:val="50"/>
                <w:w w:val="99"/>
                <w:sz w:val="20"/>
                <w:szCs w:val="20"/>
              </w:rPr>
              <w:t xml:space="preserve"> </w:t>
            </w:r>
            <w:r w:rsidRPr="00DA7411">
              <w:rPr>
                <w:rFonts w:ascii="Arial" w:hAnsi="Arial" w:eastAsia="Arial" w:cs="Arial"/>
                <w:sz w:val="20"/>
                <w:szCs w:val="20"/>
              </w:rPr>
              <w:t>Industry</w:t>
            </w:r>
            <w:r w:rsidRPr="00DA7411">
              <w:rPr>
                <w:rFonts w:ascii="Arial" w:hAnsi="Arial" w:eastAsia="Arial" w:cs="Arial"/>
                <w:spacing w:val="-17"/>
                <w:sz w:val="20"/>
                <w:szCs w:val="20"/>
              </w:rPr>
              <w:t xml:space="preserve"> </w:t>
            </w:r>
            <w:r w:rsidRPr="00DA7411">
              <w:rPr>
                <w:rFonts w:ascii="Arial" w:hAnsi="Arial" w:eastAsia="Arial" w:cs="Arial"/>
                <w:sz w:val="20"/>
                <w:szCs w:val="20"/>
              </w:rPr>
              <w:t>Report.”</w:t>
            </w:r>
          </w:p>
        </w:tc>
      </w:tr>
      <w:tr w:rsidRPr="00DA7411" w:rsidR="00B35D6A" w:rsidTr="007A5159" w14:paraId="4D591D89" w14:textId="77777777">
        <w:trPr>
          <w:trHeight w:val="800"/>
        </w:trPr>
        <w:tc>
          <w:tcPr>
            <w:tcW w:w="2250" w:type="dxa"/>
            <w:tcBorders>
              <w:right w:val="nil"/>
            </w:tcBorders>
          </w:tcPr>
          <w:p w:rsidRPr="00DA7411" w:rsidR="00B35D6A" w:rsidP="007A5159" w:rsidRDefault="00B35D6A" w14:paraId="7450578C" w14:textId="77777777">
            <w:pPr>
              <w:spacing w:before="120"/>
              <w:rPr>
                <w:rFonts w:ascii="Arial" w:hAnsi="Arial" w:cs="Arial"/>
                <w:b/>
                <w:sz w:val="20"/>
                <w:szCs w:val="20"/>
              </w:rPr>
            </w:pPr>
            <w:r w:rsidRPr="00DA7411">
              <w:rPr>
                <w:rFonts w:ascii="Arial" w:hAnsi="Arial" w:cs="Arial"/>
                <w:b/>
                <w:sz w:val="20"/>
                <w:szCs w:val="20"/>
              </w:rPr>
              <w:t>RESPONSE DUE</w:t>
            </w:r>
          </w:p>
          <w:p w:rsidRPr="00DA7411" w:rsidR="00B35D6A" w:rsidP="007A5159" w:rsidRDefault="00B35D6A" w14:paraId="493B99A8" w14:textId="77777777">
            <w:pPr>
              <w:spacing w:before="120"/>
              <w:rPr>
                <w:rFonts w:ascii="Arial" w:hAnsi="Arial" w:cs="Arial"/>
                <w:b/>
                <w:sz w:val="20"/>
                <w:szCs w:val="20"/>
              </w:rPr>
            </w:pPr>
            <w:r w:rsidRPr="00DA7411">
              <w:rPr>
                <w:rFonts w:ascii="Arial" w:hAnsi="Arial" w:cs="Arial"/>
                <w:b/>
                <w:sz w:val="20"/>
                <w:szCs w:val="20"/>
              </w:rPr>
              <w:t>DATE</w:t>
            </w:r>
          </w:p>
        </w:tc>
        <w:tc>
          <w:tcPr>
            <w:tcW w:w="8663" w:type="dxa"/>
            <w:tcBorders>
              <w:left w:val="nil"/>
              <w:bottom w:val="single" w:color="auto" w:sz="4" w:space="0"/>
            </w:tcBorders>
          </w:tcPr>
          <w:p w:rsidRPr="00D30627" w:rsidR="00B35D6A" w:rsidP="007A5159" w:rsidRDefault="00B35D6A" w14:paraId="0E82AF5B" w14:textId="77777777">
            <w:pPr>
              <w:widowControl w:val="0"/>
              <w:ind w:right="249"/>
              <w:jc w:val="both"/>
              <w:rPr>
                <w:rFonts w:ascii="Arial" w:hAnsi="Arial" w:eastAsia="Arial" w:cs="Arial"/>
                <w:sz w:val="20"/>
                <w:szCs w:val="20"/>
              </w:rPr>
            </w:pPr>
            <w:r w:rsidRPr="00D30627">
              <w:rPr>
                <w:rFonts w:ascii="Arial" w:hAnsi="Arial" w:eastAsia="Arial" w:cs="Arial"/>
                <w:sz w:val="20"/>
                <w:szCs w:val="20"/>
              </w:rPr>
              <w:t>Monthly</w:t>
            </w:r>
            <w:r w:rsidRPr="00D30627">
              <w:rPr>
                <w:rFonts w:ascii="Arial" w:hAnsi="Arial" w:eastAsia="Arial" w:cs="Arial"/>
                <w:spacing w:val="-5"/>
                <w:sz w:val="20"/>
                <w:szCs w:val="20"/>
              </w:rPr>
              <w:t xml:space="preserve"> </w:t>
            </w:r>
            <w:r w:rsidRPr="00D30627">
              <w:rPr>
                <w:rFonts w:ascii="Arial" w:hAnsi="Arial" w:eastAsia="Arial" w:cs="Arial"/>
                <w:sz w:val="20"/>
                <w:szCs w:val="20"/>
              </w:rPr>
              <w:t>data</w:t>
            </w:r>
            <w:r w:rsidRPr="00D30627">
              <w:rPr>
                <w:rFonts w:ascii="Arial" w:hAnsi="Arial" w:eastAsia="Arial" w:cs="Arial"/>
                <w:spacing w:val="-1"/>
                <w:sz w:val="20"/>
                <w:szCs w:val="20"/>
              </w:rPr>
              <w:t xml:space="preserve"> </w:t>
            </w:r>
            <w:r w:rsidRPr="00D30627">
              <w:rPr>
                <w:rFonts w:ascii="Arial" w:hAnsi="Arial" w:eastAsia="Arial" w:cs="Arial"/>
                <w:sz w:val="20"/>
                <w:szCs w:val="20"/>
              </w:rPr>
              <w:t>are due</w:t>
            </w:r>
            <w:r w:rsidRPr="00D30627">
              <w:rPr>
                <w:rFonts w:ascii="Arial" w:hAnsi="Arial" w:eastAsia="Arial" w:cs="Arial"/>
                <w:spacing w:val="1"/>
                <w:sz w:val="20"/>
                <w:szCs w:val="20"/>
              </w:rPr>
              <w:t xml:space="preserve"> </w:t>
            </w:r>
            <w:r w:rsidRPr="00D30627">
              <w:rPr>
                <w:rFonts w:ascii="Arial" w:hAnsi="Arial" w:eastAsia="Arial" w:cs="Arial"/>
                <w:spacing w:val="-1"/>
                <w:sz w:val="20"/>
                <w:szCs w:val="20"/>
              </w:rPr>
              <w:t>to</w:t>
            </w:r>
            <w:r w:rsidRPr="00D30627">
              <w:rPr>
                <w:rFonts w:ascii="Arial" w:hAnsi="Arial" w:eastAsia="Arial" w:cs="Arial"/>
                <w:sz w:val="20"/>
                <w:szCs w:val="20"/>
              </w:rPr>
              <w:t xml:space="preserve"> the Energy</w:t>
            </w:r>
            <w:r w:rsidRPr="00D30627">
              <w:rPr>
                <w:rFonts w:ascii="Arial" w:hAnsi="Arial" w:eastAsia="Arial" w:cs="Arial"/>
                <w:spacing w:val="-4"/>
                <w:sz w:val="20"/>
                <w:szCs w:val="20"/>
              </w:rPr>
              <w:t xml:space="preserve"> </w:t>
            </w:r>
            <w:r w:rsidRPr="00D30627">
              <w:rPr>
                <w:rFonts w:ascii="Arial" w:hAnsi="Arial" w:eastAsia="Arial" w:cs="Arial"/>
                <w:sz w:val="20"/>
                <w:szCs w:val="20"/>
              </w:rPr>
              <w:t>Information</w:t>
            </w:r>
            <w:r w:rsidRPr="00D30627">
              <w:rPr>
                <w:rFonts w:ascii="Arial" w:hAnsi="Arial" w:eastAsia="Arial" w:cs="Arial"/>
                <w:spacing w:val="-1"/>
                <w:sz w:val="20"/>
                <w:szCs w:val="20"/>
              </w:rPr>
              <w:t xml:space="preserve"> </w:t>
            </w:r>
            <w:r w:rsidRPr="00D30627">
              <w:rPr>
                <w:rFonts w:ascii="Arial" w:hAnsi="Arial" w:eastAsia="Arial" w:cs="Arial"/>
                <w:sz w:val="20"/>
                <w:szCs w:val="20"/>
              </w:rPr>
              <w:t>Administration</w:t>
            </w:r>
            <w:r w:rsidRPr="00D30627">
              <w:rPr>
                <w:rFonts w:ascii="Arial" w:hAnsi="Arial" w:eastAsia="Arial" w:cs="Arial"/>
                <w:spacing w:val="-2"/>
                <w:sz w:val="20"/>
                <w:szCs w:val="20"/>
              </w:rPr>
              <w:t xml:space="preserve"> </w:t>
            </w:r>
            <w:r w:rsidRPr="00D30627">
              <w:rPr>
                <w:rFonts w:ascii="Arial" w:hAnsi="Arial" w:eastAsia="Arial" w:cs="Arial"/>
                <w:sz w:val="20"/>
                <w:szCs w:val="20"/>
              </w:rPr>
              <w:t xml:space="preserve">(EIA) </w:t>
            </w:r>
            <w:r w:rsidRPr="00D30627">
              <w:rPr>
                <w:rFonts w:ascii="Arial" w:hAnsi="Arial" w:eastAsia="Arial" w:cs="Arial"/>
                <w:spacing w:val="2"/>
                <w:sz w:val="20"/>
                <w:szCs w:val="20"/>
              </w:rPr>
              <w:t>by</w:t>
            </w:r>
            <w:r w:rsidRPr="00D30627">
              <w:rPr>
                <w:rFonts w:ascii="Arial" w:hAnsi="Arial" w:eastAsia="Arial" w:cs="Arial"/>
                <w:spacing w:val="-4"/>
                <w:sz w:val="20"/>
                <w:szCs w:val="20"/>
              </w:rPr>
              <w:t xml:space="preserve"> </w:t>
            </w:r>
            <w:r w:rsidRPr="00D30627">
              <w:rPr>
                <w:rFonts w:ascii="Arial" w:hAnsi="Arial" w:eastAsia="Arial" w:cs="Arial"/>
                <w:sz w:val="20"/>
                <w:szCs w:val="20"/>
              </w:rPr>
              <w:t xml:space="preserve">the </w:t>
            </w:r>
            <w:r w:rsidRPr="00D30627">
              <w:rPr>
                <w:rFonts w:ascii="Arial" w:hAnsi="Arial" w:eastAsia="Arial" w:cs="Arial"/>
                <w:spacing w:val="-1"/>
                <w:sz w:val="20"/>
                <w:szCs w:val="20"/>
              </w:rPr>
              <w:t xml:space="preserve">last </w:t>
            </w:r>
            <w:r w:rsidRPr="00D30627">
              <w:rPr>
                <w:rFonts w:ascii="Arial" w:hAnsi="Arial" w:eastAsia="Arial" w:cs="Arial"/>
                <w:sz w:val="20"/>
                <w:szCs w:val="20"/>
              </w:rPr>
              <w:t>day</w:t>
            </w:r>
            <w:r w:rsidRPr="00D30627">
              <w:rPr>
                <w:rFonts w:ascii="Arial" w:hAnsi="Arial" w:eastAsia="Arial" w:cs="Arial"/>
                <w:spacing w:val="-2"/>
                <w:sz w:val="20"/>
                <w:szCs w:val="20"/>
              </w:rPr>
              <w:t xml:space="preserve"> </w:t>
            </w:r>
            <w:r w:rsidRPr="00D30627">
              <w:rPr>
                <w:rFonts w:ascii="Arial" w:hAnsi="Arial" w:eastAsia="Arial" w:cs="Arial"/>
                <w:sz w:val="20"/>
                <w:szCs w:val="20"/>
              </w:rPr>
              <w:t>of the</w:t>
            </w:r>
            <w:r w:rsidRPr="00D30627">
              <w:rPr>
                <w:rFonts w:ascii="Arial" w:hAnsi="Arial" w:eastAsia="Arial" w:cs="Arial"/>
                <w:spacing w:val="-1"/>
                <w:sz w:val="20"/>
                <w:szCs w:val="20"/>
              </w:rPr>
              <w:t xml:space="preserve"> </w:t>
            </w:r>
            <w:r w:rsidRPr="00D30627">
              <w:rPr>
                <w:rFonts w:ascii="Arial" w:hAnsi="Arial" w:eastAsia="Arial" w:cs="Arial"/>
                <w:sz w:val="20"/>
                <w:szCs w:val="20"/>
              </w:rPr>
              <w:t>month</w:t>
            </w:r>
            <w:r w:rsidRPr="00D30627">
              <w:rPr>
                <w:rFonts w:ascii="Arial" w:hAnsi="Arial" w:eastAsia="Arial" w:cs="Arial"/>
                <w:spacing w:val="44"/>
                <w:w w:val="99"/>
                <w:sz w:val="20"/>
                <w:szCs w:val="20"/>
              </w:rPr>
              <w:t xml:space="preserve"> </w:t>
            </w:r>
            <w:r w:rsidRPr="00D30627">
              <w:rPr>
                <w:rFonts w:ascii="Arial" w:hAnsi="Arial" w:eastAsia="Arial" w:cs="Arial"/>
                <w:spacing w:val="-1"/>
                <w:sz w:val="20"/>
                <w:szCs w:val="20"/>
              </w:rPr>
              <w:t>following</w:t>
            </w:r>
            <w:r w:rsidRPr="00D30627">
              <w:rPr>
                <w:rFonts w:ascii="Arial" w:hAnsi="Arial" w:eastAsia="Arial" w:cs="Arial"/>
                <w:spacing w:val="-5"/>
                <w:sz w:val="20"/>
                <w:szCs w:val="20"/>
              </w:rPr>
              <w:t xml:space="preserve"> </w:t>
            </w:r>
            <w:r w:rsidRPr="00D30627">
              <w:rPr>
                <w:rFonts w:ascii="Arial" w:hAnsi="Arial" w:eastAsia="Arial" w:cs="Arial"/>
                <w:sz w:val="20"/>
                <w:szCs w:val="20"/>
              </w:rPr>
              <w:t>the</w:t>
            </w:r>
            <w:r w:rsidRPr="00D30627">
              <w:rPr>
                <w:rFonts w:ascii="Arial" w:hAnsi="Arial" w:eastAsia="Arial" w:cs="Arial"/>
                <w:spacing w:val="-6"/>
                <w:sz w:val="20"/>
                <w:szCs w:val="20"/>
              </w:rPr>
              <w:t xml:space="preserve"> </w:t>
            </w:r>
            <w:r w:rsidRPr="00D30627">
              <w:rPr>
                <w:rFonts w:ascii="Arial" w:hAnsi="Arial" w:eastAsia="Arial" w:cs="Arial"/>
                <w:sz w:val="20"/>
                <w:szCs w:val="20"/>
              </w:rPr>
              <w:t>reporting</w:t>
            </w:r>
            <w:r w:rsidRPr="00D30627">
              <w:rPr>
                <w:rFonts w:ascii="Arial" w:hAnsi="Arial" w:eastAsia="Arial" w:cs="Arial"/>
                <w:spacing w:val="-3"/>
                <w:sz w:val="20"/>
                <w:szCs w:val="20"/>
              </w:rPr>
              <w:t xml:space="preserve"> </w:t>
            </w:r>
            <w:r w:rsidRPr="00D30627">
              <w:rPr>
                <w:rFonts w:ascii="Arial" w:hAnsi="Arial" w:eastAsia="Arial" w:cs="Arial"/>
                <w:sz w:val="20"/>
                <w:szCs w:val="20"/>
              </w:rPr>
              <w:t>period.</w:t>
            </w:r>
            <w:r w:rsidRPr="00D30627">
              <w:rPr>
                <w:rFonts w:ascii="Arial" w:hAnsi="Arial" w:eastAsia="Arial" w:cs="Arial"/>
                <w:spacing w:val="45"/>
                <w:sz w:val="20"/>
                <w:szCs w:val="20"/>
              </w:rPr>
              <w:t xml:space="preserve"> </w:t>
            </w:r>
            <w:r w:rsidRPr="00D30627">
              <w:rPr>
                <w:rFonts w:ascii="Arial" w:hAnsi="Arial" w:eastAsia="Arial" w:cs="Arial"/>
                <w:sz w:val="20"/>
                <w:szCs w:val="20"/>
              </w:rPr>
              <w:t>For</w:t>
            </w:r>
            <w:r w:rsidRPr="00D30627">
              <w:rPr>
                <w:rFonts w:ascii="Arial" w:hAnsi="Arial" w:eastAsia="Arial" w:cs="Arial"/>
                <w:spacing w:val="-2"/>
                <w:sz w:val="20"/>
                <w:szCs w:val="20"/>
              </w:rPr>
              <w:t xml:space="preserve"> </w:t>
            </w:r>
            <w:r w:rsidRPr="00D30627">
              <w:rPr>
                <w:rFonts w:ascii="Arial" w:hAnsi="Arial" w:eastAsia="Arial" w:cs="Arial"/>
                <w:sz w:val="20"/>
                <w:szCs w:val="20"/>
              </w:rPr>
              <w:t>example,</w:t>
            </w:r>
            <w:r w:rsidRPr="00D30627">
              <w:rPr>
                <w:rFonts w:ascii="Arial" w:hAnsi="Arial" w:eastAsia="Arial" w:cs="Arial"/>
                <w:spacing w:val="-6"/>
                <w:sz w:val="20"/>
                <w:szCs w:val="20"/>
              </w:rPr>
              <w:t xml:space="preserve"> </w:t>
            </w:r>
            <w:r w:rsidRPr="00D30627">
              <w:rPr>
                <w:rFonts w:ascii="Arial" w:hAnsi="Arial" w:eastAsia="Arial" w:cs="Arial"/>
                <w:spacing w:val="-1"/>
                <w:sz w:val="20"/>
                <w:szCs w:val="20"/>
              </w:rPr>
              <w:t>if</w:t>
            </w:r>
            <w:r w:rsidRPr="00D30627">
              <w:rPr>
                <w:rFonts w:ascii="Arial" w:hAnsi="Arial" w:eastAsia="Arial" w:cs="Arial"/>
                <w:spacing w:val="-3"/>
                <w:sz w:val="20"/>
                <w:szCs w:val="20"/>
              </w:rPr>
              <w:t xml:space="preserve"> </w:t>
            </w:r>
            <w:r w:rsidRPr="00D30627">
              <w:rPr>
                <w:rFonts w:ascii="Arial" w:hAnsi="Arial" w:eastAsia="Arial" w:cs="Arial"/>
                <w:sz w:val="20"/>
                <w:szCs w:val="20"/>
              </w:rPr>
              <w:t>reporting</w:t>
            </w:r>
            <w:r w:rsidRPr="00D30627">
              <w:rPr>
                <w:rFonts w:ascii="Arial" w:hAnsi="Arial" w:eastAsia="Arial" w:cs="Arial"/>
                <w:spacing w:val="-6"/>
                <w:sz w:val="20"/>
                <w:szCs w:val="20"/>
              </w:rPr>
              <w:t xml:space="preserve"> </w:t>
            </w:r>
            <w:r w:rsidRPr="00D30627">
              <w:rPr>
                <w:rFonts w:ascii="Arial" w:hAnsi="Arial" w:eastAsia="Arial" w:cs="Arial"/>
                <w:sz w:val="20"/>
                <w:szCs w:val="20"/>
              </w:rPr>
              <w:t>for</w:t>
            </w:r>
            <w:r w:rsidRPr="00D30627">
              <w:rPr>
                <w:rFonts w:ascii="Arial" w:hAnsi="Arial" w:eastAsia="Arial" w:cs="Arial"/>
                <w:spacing w:val="-5"/>
                <w:sz w:val="20"/>
                <w:szCs w:val="20"/>
              </w:rPr>
              <w:t xml:space="preserve"> </w:t>
            </w:r>
            <w:r w:rsidRPr="00D30627">
              <w:rPr>
                <w:rFonts w:ascii="Arial" w:hAnsi="Arial" w:eastAsia="Arial" w:cs="Arial"/>
                <w:spacing w:val="-1"/>
                <w:sz w:val="20"/>
                <w:szCs w:val="20"/>
              </w:rPr>
              <w:t>July,</w:t>
            </w:r>
            <w:r w:rsidRPr="00D30627">
              <w:rPr>
                <w:rFonts w:ascii="Arial" w:hAnsi="Arial" w:eastAsia="Arial" w:cs="Arial"/>
                <w:spacing w:val="-6"/>
                <w:sz w:val="20"/>
                <w:szCs w:val="20"/>
              </w:rPr>
              <w:t xml:space="preserve"> </w:t>
            </w:r>
            <w:r w:rsidRPr="00D30627">
              <w:rPr>
                <w:rFonts w:ascii="Arial" w:hAnsi="Arial" w:eastAsia="Arial" w:cs="Arial"/>
                <w:sz w:val="20"/>
                <w:szCs w:val="20"/>
              </w:rPr>
              <w:t>survey</w:t>
            </w:r>
            <w:r w:rsidRPr="00D30627">
              <w:rPr>
                <w:rFonts w:ascii="Arial" w:hAnsi="Arial" w:eastAsia="Arial" w:cs="Arial"/>
                <w:spacing w:val="-6"/>
                <w:sz w:val="20"/>
                <w:szCs w:val="20"/>
              </w:rPr>
              <w:t xml:space="preserve"> </w:t>
            </w:r>
            <w:r w:rsidRPr="00D30627">
              <w:rPr>
                <w:rFonts w:ascii="Arial" w:hAnsi="Arial" w:eastAsia="Arial" w:cs="Arial"/>
                <w:spacing w:val="-1"/>
                <w:sz w:val="20"/>
                <w:szCs w:val="20"/>
              </w:rPr>
              <w:t>is</w:t>
            </w:r>
            <w:r w:rsidRPr="00D30627">
              <w:rPr>
                <w:rFonts w:ascii="Arial" w:hAnsi="Arial" w:eastAsia="Arial" w:cs="Arial"/>
                <w:spacing w:val="-5"/>
                <w:sz w:val="20"/>
                <w:szCs w:val="20"/>
              </w:rPr>
              <w:t xml:space="preserve"> </w:t>
            </w:r>
            <w:r w:rsidRPr="00D30627">
              <w:rPr>
                <w:rFonts w:ascii="Arial" w:hAnsi="Arial" w:eastAsia="Arial" w:cs="Arial"/>
                <w:spacing w:val="-1"/>
                <w:sz w:val="20"/>
                <w:szCs w:val="20"/>
              </w:rPr>
              <w:t>due</w:t>
            </w:r>
            <w:r w:rsidRPr="00D30627">
              <w:rPr>
                <w:rFonts w:ascii="Arial" w:hAnsi="Arial" w:eastAsia="Arial" w:cs="Arial"/>
                <w:spacing w:val="-3"/>
                <w:sz w:val="20"/>
                <w:szCs w:val="20"/>
              </w:rPr>
              <w:t xml:space="preserve"> </w:t>
            </w:r>
            <w:r w:rsidRPr="00D30627">
              <w:rPr>
                <w:rFonts w:ascii="Arial" w:hAnsi="Arial" w:eastAsia="Arial" w:cs="Arial"/>
                <w:sz w:val="20"/>
                <w:szCs w:val="20"/>
              </w:rPr>
              <w:t>on August</w:t>
            </w:r>
            <w:r w:rsidRPr="00D30627">
              <w:rPr>
                <w:rFonts w:ascii="Arial" w:hAnsi="Arial" w:eastAsia="Arial" w:cs="Arial"/>
                <w:spacing w:val="-6"/>
                <w:sz w:val="20"/>
                <w:szCs w:val="20"/>
              </w:rPr>
              <w:t xml:space="preserve"> </w:t>
            </w:r>
            <w:r w:rsidRPr="00D30627">
              <w:rPr>
                <w:rFonts w:ascii="Arial" w:hAnsi="Arial" w:eastAsia="Arial" w:cs="Arial"/>
                <w:spacing w:val="-1"/>
                <w:sz w:val="20"/>
                <w:szCs w:val="20"/>
              </w:rPr>
              <w:t>31.</w:t>
            </w:r>
          </w:p>
          <w:p w:rsidRPr="00DA7411" w:rsidR="00B35D6A" w:rsidP="007A5159" w:rsidRDefault="00B35D6A" w14:paraId="468DEA0F" w14:textId="77777777">
            <w:pPr>
              <w:jc w:val="both"/>
              <w:rPr>
                <w:rFonts w:ascii="Arial" w:hAnsi="Arial" w:cs="Arial"/>
                <w:sz w:val="20"/>
                <w:szCs w:val="20"/>
              </w:rPr>
            </w:pPr>
          </w:p>
        </w:tc>
      </w:tr>
      <w:tr w:rsidRPr="00DA7411" w:rsidR="00B35D6A" w:rsidTr="007A5159" w14:paraId="2BE808A9" w14:textId="77777777">
        <w:trPr>
          <w:trHeight w:val="3356"/>
        </w:trPr>
        <w:tc>
          <w:tcPr>
            <w:tcW w:w="2250" w:type="dxa"/>
            <w:tcBorders>
              <w:right w:val="nil"/>
            </w:tcBorders>
          </w:tcPr>
          <w:p w:rsidRPr="00DA7411" w:rsidR="00B35D6A" w:rsidP="007A5159" w:rsidRDefault="00B35D6A" w14:paraId="6ECEF3AC" w14:textId="77777777">
            <w:pPr>
              <w:spacing w:before="120"/>
              <w:rPr>
                <w:rFonts w:ascii="Arial" w:hAnsi="Arial" w:cs="Arial"/>
                <w:b/>
                <w:sz w:val="20"/>
                <w:szCs w:val="20"/>
              </w:rPr>
            </w:pPr>
            <w:r w:rsidRPr="00DA7411">
              <w:rPr>
                <w:rFonts w:ascii="Arial" w:hAnsi="Arial" w:cs="Arial"/>
                <w:b/>
                <w:sz w:val="20"/>
                <w:szCs w:val="20"/>
              </w:rPr>
              <w:t xml:space="preserve">METHODS OF </w:t>
            </w:r>
            <w:r>
              <w:rPr>
                <w:rFonts w:ascii="Arial" w:hAnsi="Arial" w:cs="Arial"/>
                <w:b/>
                <w:sz w:val="20"/>
                <w:szCs w:val="20"/>
              </w:rPr>
              <w:t>F</w:t>
            </w:r>
            <w:r w:rsidRPr="00DA7411">
              <w:rPr>
                <w:rFonts w:ascii="Arial" w:hAnsi="Arial" w:cs="Arial"/>
                <w:b/>
                <w:sz w:val="20"/>
                <w:szCs w:val="20"/>
              </w:rPr>
              <w:t>ILING</w:t>
            </w:r>
            <w:r>
              <w:rPr>
                <w:rFonts w:ascii="Arial" w:hAnsi="Arial" w:cs="Arial"/>
                <w:b/>
                <w:sz w:val="20"/>
                <w:szCs w:val="20"/>
              </w:rPr>
              <w:t xml:space="preserve"> </w:t>
            </w:r>
            <w:r w:rsidRPr="00DA7411">
              <w:rPr>
                <w:rFonts w:ascii="Arial" w:hAnsi="Arial" w:cs="Arial"/>
                <w:b/>
                <w:sz w:val="20"/>
                <w:szCs w:val="20"/>
              </w:rPr>
              <w:t>RESPONSE</w:t>
            </w:r>
          </w:p>
        </w:tc>
        <w:tc>
          <w:tcPr>
            <w:tcW w:w="8663" w:type="dxa"/>
            <w:tcBorders>
              <w:left w:val="nil"/>
            </w:tcBorders>
          </w:tcPr>
          <w:p w:rsidRPr="00DA7411" w:rsidR="00B35D6A" w:rsidP="007A5159" w:rsidRDefault="00B35D6A" w14:paraId="146704B3" w14:textId="77777777">
            <w:pPr>
              <w:rPr>
                <w:rFonts w:ascii="Arial" w:hAnsi="Arial" w:cs="Arial"/>
                <w:sz w:val="20"/>
                <w:szCs w:val="20"/>
              </w:rPr>
            </w:pPr>
            <w:r w:rsidRPr="00DA7411">
              <w:rPr>
                <w:rFonts w:ascii="Arial" w:hAnsi="Arial" w:cs="Arial"/>
                <w:sz w:val="20"/>
                <w:szCs w:val="20"/>
              </w:rPr>
              <w:t>Submit your data electronically using EIA’s secure e-filing system. This system uses security protocols to protect information against unauthorized access during transmission.</w:t>
            </w:r>
          </w:p>
          <w:p w:rsidRPr="00DA7411" w:rsidR="00B35D6A" w:rsidP="007A5159" w:rsidRDefault="00B35D6A" w14:paraId="4F2BFA34" w14:textId="77777777">
            <w:pPr>
              <w:rPr>
                <w:rFonts w:ascii="Arial" w:hAnsi="Arial" w:cs="Arial"/>
                <w:sz w:val="20"/>
                <w:szCs w:val="20"/>
              </w:rPr>
            </w:pPr>
          </w:p>
          <w:p w:rsidRPr="00DA7411" w:rsidR="00B35D6A" w:rsidP="00B35D6A" w:rsidRDefault="00B35D6A" w14:paraId="652A790D" w14:textId="77777777">
            <w:pPr>
              <w:pStyle w:val="ListParagraph"/>
              <w:numPr>
                <w:ilvl w:val="0"/>
                <w:numId w:val="1"/>
              </w:numPr>
              <w:spacing w:after="0" w:line="240" w:lineRule="auto"/>
              <w:rPr>
                <w:rFonts w:ascii="Arial" w:hAnsi="Arial" w:cs="Arial"/>
                <w:sz w:val="20"/>
                <w:szCs w:val="20"/>
              </w:rPr>
            </w:pPr>
            <w:r w:rsidRPr="00DA7411">
              <w:rPr>
                <w:rFonts w:ascii="Arial" w:hAnsi="Arial" w:cs="Arial"/>
                <w:sz w:val="20"/>
                <w:szCs w:val="20"/>
              </w:rPr>
              <w:t xml:space="preserve">If you have not registered with EIA’s Single Sign-On system, send an email message requesting assistance to: </w:t>
            </w:r>
            <w:hyperlink w:history="1" r:id="rId10">
              <w:r w:rsidRPr="00FE4F4E">
                <w:rPr>
                  <w:rStyle w:val="Hyperlink"/>
                  <w:rFonts w:ascii="Arial" w:hAnsi="Arial" w:cs="Arial"/>
                  <w:color w:val="0000FF"/>
                  <w:sz w:val="20"/>
                  <w:szCs w:val="20"/>
                </w:rPr>
                <w:t>EIA-861M@eia.gov</w:t>
              </w:r>
            </w:hyperlink>
            <w:r w:rsidRPr="00DA7411">
              <w:rPr>
                <w:rFonts w:ascii="Arial" w:hAnsi="Arial" w:cs="Arial"/>
                <w:sz w:val="20"/>
                <w:szCs w:val="20"/>
              </w:rPr>
              <w:t>.</w:t>
            </w:r>
          </w:p>
          <w:p w:rsidRPr="00DA7411" w:rsidR="00B35D6A" w:rsidP="007A5159" w:rsidRDefault="00B35D6A" w14:paraId="2972D199" w14:textId="77777777">
            <w:pPr>
              <w:pStyle w:val="ListParagraph"/>
              <w:rPr>
                <w:rFonts w:ascii="Arial" w:hAnsi="Arial" w:cs="Arial"/>
                <w:sz w:val="20"/>
                <w:szCs w:val="20"/>
              </w:rPr>
            </w:pPr>
          </w:p>
          <w:p w:rsidRPr="00DA7411" w:rsidR="00B35D6A" w:rsidP="00B35D6A" w:rsidRDefault="00B35D6A" w14:paraId="581E8ECE" w14:textId="71216F89">
            <w:pPr>
              <w:pStyle w:val="ListParagraph"/>
              <w:numPr>
                <w:ilvl w:val="0"/>
                <w:numId w:val="1"/>
              </w:numPr>
              <w:spacing w:after="0" w:line="240" w:lineRule="auto"/>
              <w:rPr>
                <w:rFonts w:ascii="Arial" w:hAnsi="Arial" w:cs="Arial"/>
                <w:sz w:val="20"/>
                <w:szCs w:val="20"/>
              </w:rPr>
            </w:pPr>
            <w:r w:rsidRPr="003C34B2">
              <w:rPr>
                <w:rFonts w:ascii="Arial" w:hAnsi="Arial" w:cs="Arial"/>
                <w:sz w:val="20"/>
                <w:szCs w:val="20"/>
              </w:rPr>
              <w:t xml:space="preserve">If you have registered with Single Sign-On, log on at: </w:t>
            </w:r>
            <w:r w:rsidRPr="003C34B2" w:rsidR="003C34B2">
              <w:rPr>
                <w:rFonts w:ascii="Arial" w:hAnsi="Arial" w:cs="Arial"/>
                <w:sz w:val="20"/>
                <w:szCs w:val="20"/>
              </w:rPr>
              <w:t>https://signon.eia.doe.gov/ssoserver/login</w:t>
            </w:r>
            <w:r w:rsidRPr="00DA7411">
              <w:rPr>
                <w:rFonts w:ascii="Arial" w:hAnsi="Arial" w:cs="Arial"/>
                <w:sz w:val="20"/>
                <w:szCs w:val="20"/>
              </w:rPr>
              <w:t xml:space="preserve">you are having a technical problem with logging into the e-filing system or using the e-filing system, please contact: </w:t>
            </w:r>
            <w:hyperlink w:history="1" r:id="rId11">
              <w:r w:rsidRPr="00FE4F4E">
                <w:rPr>
                  <w:rStyle w:val="Hyperlink"/>
                  <w:rFonts w:ascii="Arial" w:hAnsi="Arial" w:cs="Arial"/>
                  <w:color w:val="0000FF"/>
                  <w:sz w:val="20"/>
                  <w:szCs w:val="20"/>
                </w:rPr>
                <w:t>EIA-861M@eia.gov</w:t>
              </w:r>
            </w:hyperlink>
            <w:r w:rsidRPr="00DA7411">
              <w:rPr>
                <w:rFonts w:ascii="Arial" w:hAnsi="Arial" w:cs="Arial"/>
                <w:sz w:val="20"/>
                <w:szCs w:val="20"/>
              </w:rPr>
              <w:t>.</w:t>
            </w:r>
          </w:p>
          <w:p w:rsidRPr="00DA7411" w:rsidR="00B35D6A" w:rsidP="007A5159" w:rsidRDefault="00B35D6A" w14:paraId="27594E3B" w14:textId="77777777">
            <w:pPr>
              <w:rPr>
                <w:rFonts w:ascii="Arial" w:hAnsi="Arial" w:cs="Arial"/>
                <w:sz w:val="20"/>
                <w:szCs w:val="20"/>
              </w:rPr>
            </w:pPr>
          </w:p>
          <w:p w:rsidRPr="00DA7411" w:rsidR="00B35D6A" w:rsidP="007A5159" w:rsidRDefault="00B35D6A" w14:paraId="281AEC4D" w14:textId="77777777">
            <w:pPr>
              <w:rPr>
                <w:rFonts w:ascii="Arial" w:hAnsi="Arial" w:cs="Arial"/>
                <w:sz w:val="20"/>
                <w:szCs w:val="20"/>
              </w:rPr>
            </w:pPr>
            <w:r w:rsidRPr="00DA7411">
              <w:rPr>
                <w:rFonts w:ascii="Arial" w:hAnsi="Arial" w:cs="Arial"/>
                <w:sz w:val="20"/>
                <w:szCs w:val="20"/>
              </w:rPr>
              <w:t>Retain a completed copy of this form for your files.</w:t>
            </w:r>
          </w:p>
        </w:tc>
      </w:tr>
      <w:tr w:rsidRPr="00DA7411" w:rsidR="00B35D6A" w:rsidTr="007A5159" w14:paraId="77905840" w14:textId="77777777">
        <w:trPr>
          <w:trHeight w:val="2330"/>
        </w:trPr>
        <w:tc>
          <w:tcPr>
            <w:tcW w:w="2250" w:type="dxa"/>
            <w:tcBorders>
              <w:right w:val="nil"/>
            </w:tcBorders>
          </w:tcPr>
          <w:p w:rsidRPr="00DA7411" w:rsidR="00B35D6A" w:rsidP="007A5159" w:rsidRDefault="00B35D6A" w14:paraId="7FA10831" w14:textId="77777777">
            <w:pPr>
              <w:spacing w:before="120"/>
              <w:rPr>
                <w:rFonts w:ascii="Arial" w:hAnsi="Arial" w:cs="Arial"/>
                <w:b/>
                <w:sz w:val="20"/>
                <w:szCs w:val="20"/>
              </w:rPr>
            </w:pPr>
            <w:r w:rsidRPr="00DA7411">
              <w:rPr>
                <w:rFonts w:ascii="Arial" w:hAnsi="Arial" w:cs="Arial"/>
                <w:b/>
                <w:sz w:val="20"/>
                <w:szCs w:val="20"/>
              </w:rPr>
              <w:t>CONTACTS</w:t>
            </w:r>
          </w:p>
        </w:tc>
        <w:tc>
          <w:tcPr>
            <w:tcW w:w="8663" w:type="dxa"/>
            <w:tcBorders>
              <w:left w:val="nil"/>
            </w:tcBorders>
          </w:tcPr>
          <w:p w:rsidRPr="00DA7411" w:rsidR="00B35D6A" w:rsidP="007A5159" w:rsidRDefault="00B35D6A" w14:paraId="5FC446F8" w14:textId="77777777">
            <w:pPr>
              <w:rPr>
                <w:rFonts w:ascii="Arial" w:hAnsi="Arial" w:eastAsia="Calibri" w:cs="Arial"/>
                <w:sz w:val="20"/>
                <w:szCs w:val="20"/>
              </w:rPr>
            </w:pPr>
            <w:r w:rsidRPr="00DA7411">
              <w:rPr>
                <w:rFonts w:ascii="Arial" w:hAnsi="Arial" w:eastAsia="Calibri" w:cs="Arial"/>
                <w:b/>
                <w:sz w:val="20"/>
                <w:szCs w:val="20"/>
              </w:rPr>
              <w:t>Internet</w:t>
            </w:r>
            <w:r w:rsidRPr="00DA7411">
              <w:rPr>
                <w:rFonts w:ascii="Arial" w:hAnsi="Arial" w:eastAsia="Calibri" w:cs="Arial"/>
                <w:b/>
                <w:spacing w:val="16"/>
                <w:sz w:val="20"/>
                <w:szCs w:val="20"/>
              </w:rPr>
              <w:t xml:space="preserve"> </w:t>
            </w:r>
            <w:r w:rsidRPr="00DA7411">
              <w:rPr>
                <w:rFonts w:ascii="Arial" w:hAnsi="Arial" w:eastAsia="Calibri" w:cs="Arial"/>
                <w:b/>
                <w:sz w:val="20"/>
                <w:szCs w:val="20"/>
              </w:rPr>
              <w:t>System</w:t>
            </w:r>
            <w:r w:rsidRPr="00DA7411">
              <w:rPr>
                <w:rFonts w:ascii="Arial" w:hAnsi="Arial" w:eastAsia="Calibri" w:cs="Arial"/>
                <w:b/>
                <w:spacing w:val="15"/>
                <w:sz w:val="20"/>
                <w:szCs w:val="20"/>
              </w:rPr>
              <w:t xml:space="preserve"> </w:t>
            </w:r>
            <w:r w:rsidRPr="00DA7411">
              <w:rPr>
                <w:rFonts w:ascii="Arial" w:hAnsi="Arial" w:eastAsia="Calibri" w:cs="Arial"/>
                <w:b/>
                <w:sz w:val="20"/>
                <w:szCs w:val="20"/>
              </w:rPr>
              <w:t>Questions</w:t>
            </w:r>
            <w:r w:rsidRPr="00DA7411">
              <w:rPr>
                <w:rFonts w:ascii="Arial" w:hAnsi="Arial" w:eastAsia="Calibri" w:cs="Arial"/>
                <w:sz w:val="20"/>
                <w:szCs w:val="20"/>
              </w:rPr>
              <w:t>:</w:t>
            </w:r>
            <w:r w:rsidRPr="00DA7411">
              <w:rPr>
                <w:rFonts w:ascii="Arial" w:hAnsi="Arial" w:eastAsia="Calibri" w:cs="Arial"/>
                <w:spacing w:val="14"/>
                <w:sz w:val="20"/>
                <w:szCs w:val="20"/>
              </w:rPr>
              <w:t xml:space="preserve"> </w:t>
            </w:r>
            <w:r w:rsidRPr="00DA7411">
              <w:rPr>
                <w:rFonts w:ascii="Arial" w:hAnsi="Arial" w:eastAsia="Calibri" w:cs="Arial"/>
                <w:sz w:val="20"/>
                <w:szCs w:val="20"/>
              </w:rPr>
              <w:t>For</w:t>
            </w:r>
            <w:r w:rsidRPr="00DA7411">
              <w:rPr>
                <w:rFonts w:ascii="Arial" w:hAnsi="Arial" w:eastAsia="Calibri" w:cs="Arial"/>
                <w:spacing w:val="15"/>
                <w:sz w:val="20"/>
                <w:szCs w:val="20"/>
              </w:rPr>
              <w:t xml:space="preserve"> </w:t>
            </w:r>
            <w:r w:rsidRPr="00DA7411">
              <w:rPr>
                <w:rFonts w:ascii="Arial" w:hAnsi="Arial" w:eastAsia="Calibri" w:cs="Arial"/>
                <w:sz w:val="20"/>
                <w:szCs w:val="20"/>
              </w:rPr>
              <w:t>questions</w:t>
            </w:r>
            <w:r w:rsidRPr="00DA7411">
              <w:rPr>
                <w:rFonts w:ascii="Arial" w:hAnsi="Arial" w:eastAsia="Calibri" w:cs="Arial"/>
                <w:spacing w:val="15"/>
                <w:sz w:val="20"/>
                <w:szCs w:val="20"/>
              </w:rPr>
              <w:t xml:space="preserve"> </w:t>
            </w:r>
            <w:r w:rsidRPr="00DA7411">
              <w:rPr>
                <w:rFonts w:ascii="Arial" w:hAnsi="Arial" w:eastAsia="Calibri" w:cs="Arial"/>
                <w:spacing w:val="-1"/>
                <w:sz w:val="20"/>
                <w:szCs w:val="20"/>
              </w:rPr>
              <w:t>related</w:t>
            </w:r>
            <w:r w:rsidRPr="00DA7411">
              <w:rPr>
                <w:rFonts w:ascii="Arial" w:hAnsi="Arial" w:eastAsia="Calibri" w:cs="Arial"/>
                <w:spacing w:val="14"/>
                <w:sz w:val="20"/>
                <w:szCs w:val="20"/>
              </w:rPr>
              <w:t xml:space="preserve"> </w:t>
            </w:r>
            <w:r w:rsidRPr="00DA7411">
              <w:rPr>
                <w:rFonts w:ascii="Arial" w:hAnsi="Arial" w:eastAsia="Calibri" w:cs="Arial"/>
                <w:spacing w:val="1"/>
                <w:sz w:val="20"/>
                <w:szCs w:val="20"/>
              </w:rPr>
              <w:t>to</w:t>
            </w:r>
            <w:r w:rsidRPr="00DA7411">
              <w:rPr>
                <w:rFonts w:ascii="Arial" w:hAnsi="Arial" w:eastAsia="Calibri" w:cs="Arial"/>
                <w:spacing w:val="15"/>
                <w:sz w:val="20"/>
                <w:szCs w:val="20"/>
              </w:rPr>
              <w:t xml:space="preserve"> </w:t>
            </w:r>
            <w:r w:rsidRPr="00DA7411">
              <w:rPr>
                <w:rFonts w:ascii="Arial" w:hAnsi="Arial" w:eastAsia="Calibri" w:cs="Arial"/>
                <w:sz w:val="20"/>
                <w:szCs w:val="20"/>
              </w:rPr>
              <w:t>the</w:t>
            </w:r>
            <w:r w:rsidRPr="00DA7411">
              <w:rPr>
                <w:rFonts w:ascii="Arial" w:hAnsi="Arial" w:eastAsia="Calibri" w:cs="Arial"/>
                <w:spacing w:val="19"/>
                <w:sz w:val="20"/>
                <w:szCs w:val="20"/>
              </w:rPr>
              <w:t xml:space="preserve"> </w:t>
            </w:r>
            <w:r w:rsidRPr="00DA7411">
              <w:rPr>
                <w:rFonts w:ascii="Arial" w:hAnsi="Arial" w:eastAsia="Calibri" w:cs="Arial"/>
                <w:spacing w:val="-1"/>
                <w:sz w:val="20"/>
                <w:szCs w:val="20"/>
              </w:rPr>
              <w:t>e-filing</w:t>
            </w:r>
            <w:r w:rsidRPr="00DA7411">
              <w:rPr>
                <w:rFonts w:ascii="Arial" w:hAnsi="Arial" w:eastAsia="Calibri" w:cs="Arial"/>
                <w:spacing w:val="15"/>
                <w:sz w:val="20"/>
                <w:szCs w:val="20"/>
              </w:rPr>
              <w:t xml:space="preserve"> </w:t>
            </w:r>
            <w:r w:rsidRPr="00DA7411">
              <w:rPr>
                <w:rFonts w:ascii="Arial" w:hAnsi="Arial" w:eastAsia="Calibri" w:cs="Arial"/>
                <w:sz w:val="20"/>
                <w:szCs w:val="20"/>
              </w:rPr>
              <w:t>system,</w:t>
            </w:r>
            <w:r w:rsidRPr="00DA7411">
              <w:rPr>
                <w:rFonts w:ascii="Arial" w:hAnsi="Arial" w:eastAsia="Calibri" w:cs="Arial"/>
                <w:spacing w:val="14"/>
                <w:sz w:val="20"/>
                <w:szCs w:val="20"/>
              </w:rPr>
              <w:t xml:space="preserve"> </w:t>
            </w:r>
            <w:r w:rsidRPr="00DA7411">
              <w:rPr>
                <w:rFonts w:ascii="Arial" w:hAnsi="Arial" w:eastAsia="Calibri" w:cs="Arial"/>
                <w:sz w:val="20"/>
                <w:szCs w:val="20"/>
              </w:rPr>
              <w:t>see</w:t>
            </w:r>
            <w:r w:rsidRPr="00DA7411">
              <w:rPr>
                <w:rFonts w:ascii="Arial" w:hAnsi="Arial" w:eastAsia="Calibri" w:cs="Arial"/>
                <w:spacing w:val="14"/>
                <w:sz w:val="20"/>
                <w:szCs w:val="20"/>
              </w:rPr>
              <w:t xml:space="preserve"> </w:t>
            </w:r>
            <w:r w:rsidRPr="00DA7411">
              <w:rPr>
                <w:rFonts w:ascii="Arial" w:hAnsi="Arial" w:eastAsia="Calibri" w:cs="Arial"/>
                <w:sz w:val="20"/>
                <w:szCs w:val="20"/>
              </w:rPr>
              <w:t>the</w:t>
            </w:r>
            <w:r w:rsidRPr="00DA7411">
              <w:rPr>
                <w:rFonts w:ascii="Arial" w:hAnsi="Arial" w:eastAsia="Calibri" w:cs="Arial"/>
                <w:spacing w:val="14"/>
                <w:sz w:val="20"/>
                <w:szCs w:val="20"/>
              </w:rPr>
              <w:t xml:space="preserve"> </w:t>
            </w:r>
            <w:r w:rsidRPr="00DA7411">
              <w:rPr>
                <w:rFonts w:ascii="Arial" w:hAnsi="Arial" w:eastAsia="Calibri" w:cs="Arial"/>
                <w:sz w:val="20"/>
                <w:szCs w:val="20"/>
              </w:rPr>
              <w:t>help</w:t>
            </w:r>
            <w:r w:rsidRPr="00DA7411">
              <w:rPr>
                <w:rFonts w:ascii="Arial" w:hAnsi="Arial" w:eastAsia="Calibri" w:cs="Arial"/>
                <w:spacing w:val="15"/>
                <w:sz w:val="20"/>
                <w:szCs w:val="20"/>
              </w:rPr>
              <w:t xml:space="preserve"> </w:t>
            </w:r>
            <w:r w:rsidRPr="00DA7411">
              <w:rPr>
                <w:rFonts w:ascii="Arial" w:hAnsi="Arial" w:eastAsia="Calibri" w:cs="Arial"/>
                <w:sz w:val="20"/>
                <w:szCs w:val="20"/>
              </w:rPr>
              <w:t>contact</w:t>
            </w:r>
            <w:r w:rsidRPr="00DA7411">
              <w:rPr>
                <w:rFonts w:ascii="Arial" w:hAnsi="Arial" w:eastAsia="Calibri" w:cs="Arial"/>
                <w:spacing w:val="58"/>
                <w:w w:val="99"/>
                <w:sz w:val="20"/>
                <w:szCs w:val="20"/>
              </w:rPr>
              <w:t xml:space="preserve"> </w:t>
            </w:r>
            <w:r w:rsidRPr="00DA7411">
              <w:rPr>
                <w:rFonts w:ascii="Arial" w:hAnsi="Arial" w:eastAsia="Calibri" w:cs="Arial"/>
                <w:sz w:val="20"/>
                <w:szCs w:val="20"/>
              </w:rPr>
              <w:t>information</w:t>
            </w:r>
            <w:r w:rsidRPr="00DA7411">
              <w:rPr>
                <w:rFonts w:ascii="Arial" w:hAnsi="Arial" w:eastAsia="Calibri" w:cs="Arial"/>
                <w:spacing w:val="-15"/>
                <w:sz w:val="20"/>
                <w:szCs w:val="20"/>
              </w:rPr>
              <w:t xml:space="preserve"> </w:t>
            </w:r>
            <w:r w:rsidRPr="00DA7411">
              <w:rPr>
                <w:rFonts w:ascii="Arial" w:hAnsi="Arial" w:eastAsia="Calibri" w:cs="Arial"/>
                <w:sz w:val="20"/>
                <w:szCs w:val="20"/>
              </w:rPr>
              <w:t>immediately</w:t>
            </w:r>
            <w:r w:rsidRPr="00DA7411">
              <w:rPr>
                <w:rFonts w:ascii="Arial" w:hAnsi="Arial" w:eastAsia="Calibri" w:cs="Arial"/>
                <w:spacing w:val="-15"/>
                <w:sz w:val="20"/>
                <w:szCs w:val="20"/>
              </w:rPr>
              <w:t xml:space="preserve"> </w:t>
            </w:r>
            <w:r w:rsidRPr="00DA7411">
              <w:rPr>
                <w:rFonts w:ascii="Arial" w:hAnsi="Arial" w:eastAsia="Calibri" w:cs="Arial"/>
                <w:sz w:val="20"/>
                <w:szCs w:val="20"/>
              </w:rPr>
              <w:t>above.</w:t>
            </w:r>
          </w:p>
          <w:p w:rsidRPr="00DA7411" w:rsidR="00B35D6A" w:rsidP="007A5159" w:rsidRDefault="00B35D6A" w14:paraId="07E38C03" w14:textId="77777777">
            <w:pPr>
              <w:rPr>
                <w:rFonts w:ascii="Arial" w:hAnsi="Arial" w:eastAsia="Calibri" w:cs="Arial"/>
                <w:sz w:val="20"/>
                <w:szCs w:val="20"/>
              </w:rPr>
            </w:pPr>
          </w:p>
          <w:p w:rsidRPr="00DA7411" w:rsidR="00B35D6A" w:rsidP="007A5159" w:rsidRDefault="00B35D6A" w14:paraId="3F7F027E" w14:textId="77777777">
            <w:pPr>
              <w:pStyle w:val="BodyText"/>
              <w:spacing w:line="242" w:lineRule="auto"/>
              <w:rPr>
                <w:rFonts w:ascii="Arial" w:hAnsi="Arial" w:cs="Arial"/>
                <w:sz w:val="20"/>
                <w:szCs w:val="20"/>
              </w:rPr>
            </w:pPr>
            <w:r w:rsidRPr="00DA7411">
              <w:rPr>
                <w:rFonts w:ascii="Arial" w:hAnsi="Arial" w:cs="Arial"/>
                <w:b/>
                <w:sz w:val="20"/>
                <w:szCs w:val="20"/>
              </w:rPr>
              <w:t>Data</w:t>
            </w:r>
            <w:r w:rsidRPr="00DA7411">
              <w:rPr>
                <w:rFonts w:ascii="Arial" w:hAnsi="Arial" w:cs="Arial"/>
                <w:b/>
                <w:spacing w:val="5"/>
                <w:sz w:val="20"/>
                <w:szCs w:val="20"/>
              </w:rPr>
              <w:t xml:space="preserve"> </w:t>
            </w:r>
            <w:r w:rsidRPr="00DA7411">
              <w:rPr>
                <w:rFonts w:ascii="Arial" w:hAnsi="Arial" w:cs="Arial"/>
                <w:b/>
                <w:sz w:val="20"/>
                <w:szCs w:val="20"/>
              </w:rPr>
              <w:t>Questions</w:t>
            </w:r>
            <w:r w:rsidRPr="00DA7411">
              <w:rPr>
                <w:rFonts w:ascii="Arial" w:hAnsi="Arial" w:cs="Arial"/>
                <w:b/>
                <w:i/>
                <w:sz w:val="20"/>
                <w:szCs w:val="20"/>
              </w:rPr>
              <w:t>:</w:t>
            </w:r>
            <w:r w:rsidRPr="00DA7411">
              <w:rPr>
                <w:rFonts w:ascii="Arial" w:hAnsi="Arial" w:cs="Arial"/>
                <w:b/>
                <w:i/>
                <w:spacing w:val="6"/>
                <w:sz w:val="20"/>
                <w:szCs w:val="20"/>
              </w:rPr>
              <w:t xml:space="preserve"> </w:t>
            </w:r>
            <w:r w:rsidRPr="00DA7411">
              <w:rPr>
                <w:rFonts w:ascii="Arial" w:hAnsi="Arial" w:cs="Arial"/>
                <w:sz w:val="20"/>
                <w:szCs w:val="20"/>
              </w:rPr>
              <w:t>For</w:t>
            </w:r>
            <w:r w:rsidRPr="00DA7411">
              <w:rPr>
                <w:rFonts w:ascii="Arial" w:hAnsi="Arial" w:cs="Arial"/>
                <w:spacing w:val="8"/>
                <w:sz w:val="20"/>
                <w:szCs w:val="20"/>
              </w:rPr>
              <w:t xml:space="preserve"> </w:t>
            </w:r>
            <w:r w:rsidRPr="00DA7411">
              <w:rPr>
                <w:rFonts w:ascii="Arial" w:hAnsi="Arial" w:cs="Arial"/>
                <w:spacing w:val="-1"/>
                <w:sz w:val="20"/>
                <w:szCs w:val="20"/>
              </w:rPr>
              <w:t>questions</w:t>
            </w:r>
            <w:r w:rsidRPr="00DA7411">
              <w:rPr>
                <w:rFonts w:ascii="Arial" w:hAnsi="Arial" w:cs="Arial"/>
                <w:spacing w:val="8"/>
                <w:sz w:val="20"/>
                <w:szCs w:val="20"/>
              </w:rPr>
              <w:t xml:space="preserve"> </w:t>
            </w:r>
            <w:r w:rsidRPr="00DA7411">
              <w:rPr>
                <w:rFonts w:ascii="Arial" w:hAnsi="Arial" w:cs="Arial"/>
                <w:sz w:val="20"/>
                <w:szCs w:val="20"/>
              </w:rPr>
              <w:t>about</w:t>
            </w:r>
            <w:r w:rsidRPr="00DA7411">
              <w:rPr>
                <w:rFonts w:ascii="Arial" w:hAnsi="Arial" w:cs="Arial"/>
                <w:spacing w:val="7"/>
                <w:sz w:val="20"/>
                <w:szCs w:val="20"/>
              </w:rPr>
              <w:t xml:space="preserve"> </w:t>
            </w:r>
            <w:r w:rsidRPr="00DA7411">
              <w:rPr>
                <w:rFonts w:ascii="Arial" w:hAnsi="Arial" w:cs="Arial"/>
                <w:sz w:val="20"/>
                <w:szCs w:val="20"/>
              </w:rPr>
              <w:t>the</w:t>
            </w:r>
            <w:r w:rsidRPr="00DA7411">
              <w:rPr>
                <w:rFonts w:ascii="Arial" w:hAnsi="Arial" w:cs="Arial"/>
                <w:spacing w:val="6"/>
                <w:sz w:val="20"/>
                <w:szCs w:val="20"/>
              </w:rPr>
              <w:t xml:space="preserve"> </w:t>
            </w:r>
            <w:r w:rsidRPr="00DA7411">
              <w:rPr>
                <w:rFonts w:ascii="Arial" w:hAnsi="Arial" w:cs="Arial"/>
                <w:sz w:val="20"/>
                <w:szCs w:val="20"/>
              </w:rPr>
              <w:t>data</w:t>
            </w:r>
            <w:r w:rsidRPr="00DA7411">
              <w:rPr>
                <w:rFonts w:ascii="Arial" w:hAnsi="Arial" w:cs="Arial"/>
                <w:spacing w:val="4"/>
                <w:sz w:val="20"/>
                <w:szCs w:val="20"/>
              </w:rPr>
              <w:t xml:space="preserve"> </w:t>
            </w:r>
            <w:r w:rsidRPr="00DA7411">
              <w:rPr>
                <w:rFonts w:ascii="Arial" w:hAnsi="Arial" w:cs="Arial"/>
                <w:sz w:val="20"/>
                <w:szCs w:val="20"/>
              </w:rPr>
              <w:t>requested</w:t>
            </w:r>
            <w:r w:rsidRPr="00DA7411">
              <w:rPr>
                <w:rFonts w:ascii="Arial" w:hAnsi="Arial" w:cs="Arial"/>
                <w:spacing w:val="4"/>
                <w:sz w:val="20"/>
                <w:szCs w:val="20"/>
              </w:rPr>
              <w:t xml:space="preserve"> </w:t>
            </w:r>
            <w:r w:rsidRPr="00DA7411">
              <w:rPr>
                <w:rFonts w:ascii="Arial" w:hAnsi="Arial" w:cs="Arial"/>
                <w:sz w:val="20"/>
                <w:szCs w:val="20"/>
              </w:rPr>
              <w:t>on</w:t>
            </w:r>
            <w:r w:rsidRPr="00DA7411">
              <w:rPr>
                <w:rFonts w:ascii="Arial" w:hAnsi="Arial" w:cs="Arial"/>
                <w:spacing w:val="6"/>
                <w:sz w:val="20"/>
                <w:szCs w:val="20"/>
              </w:rPr>
              <w:t xml:space="preserve"> </w:t>
            </w:r>
            <w:r w:rsidRPr="00DA7411">
              <w:rPr>
                <w:rFonts w:ascii="Arial" w:hAnsi="Arial" w:cs="Arial"/>
                <w:sz w:val="20"/>
                <w:szCs w:val="20"/>
              </w:rPr>
              <w:t>Form</w:t>
            </w:r>
            <w:r w:rsidRPr="00DA7411">
              <w:rPr>
                <w:rFonts w:ascii="Arial" w:hAnsi="Arial" w:cs="Arial"/>
                <w:spacing w:val="9"/>
                <w:sz w:val="20"/>
                <w:szCs w:val="20"/>
              </w:rPr>
              <w:t xml:space="preserve"> </w:t>
            </w:r>
            <w:r w:rsidRPr="00DA7411">
              <w:rPr>
                <w:rFonts w:ascii="Arial" w:hAnsi="Arial" w:cs="Arial"/>
                <w:sz w:val="20"/>
                <w:szCs w:val="20"/>
              </w:rPr>
              <w:t>EIA-</w:t>
            </w:r>
            <w:r>
              <w:rPr>
                <w:rFonts w:ascii="Arial" w:hAnsi="Arial" w:cs="Arial"/>
                <w:sz w:val="20"/>
                <w:szCs w:val="20"/>
              </w:rPr>
              <w:t>861M</w:t>
            </w:r>
            <w:r w:rsidRPr="00DA7411">
              <w:rPr>
                <w:rFonts w:ascii="Arial" w:hAnsi="Arial" w:cs="Arial"/>
                <w:sz w:val="20"/>
                <w:szCs w:val="20"/>
              </w:rPr>
              <w:t>,</w:t>
            </w:r>
            <w:r w:rsidRPr="00DA7411">
              <w:rPr>
                <w:rFonts w:ascii="Arial" w:hAnsi="Arial" w:cs="Arial"/>
                <w:spacing w:val="7"/>
                <w:sz w:val="20"/>
                <w:szCs w:val="20"/>
              </w:rPr>
              <w:t xml:space="preserve"> </w:t>
            </w:r>
            <w:r w:rsidRPr="00DA7411">
              <w:rPr>
                <w:rFonts w:ascii="Arial" w:hAnsi="Arial" w:cs="Arial"/>
                <w:sz w:val="20"/>
                <w:szCs w:val="20"/>
              </w:rPr>
              <w:t>contact</w:t>
            </w:r>
            <w:r w:rsidRPr="00DA7411">
              <w:rPr>
                <w:rFonts w:ascii="Arial" w:hAnsi="Arial" w:cs="Arial"/>
                <w:spacing w:val="7"/>
                <w:sz w:val="20"/>
                <w:szCs w:val="20"/>
              </w:rPr>
              <w:t xml:space="preserve"> </w:t>
            </w:r>
            <w:r w:rsidRPr="00DA7411">
              <w:rPr>
                <w:rFonts w:ascii="Arial" w:hAnsi="Arial" w:cs="Arial"/>
                <w:sz w:val="20"/>
                <w:szCs w:val="20"/>
              </w:rPr>
              <w:t>the</w:t>
            </w:r>
            <w:r w:rsidRPr="00DA7411">
              <w:rPr>
                <w:rFonts w:ascii="Arial" w:hAnsi="Arial" w:cs="Arial"/>
                <w:spacing w:val="7"/>
                <w:sz w:val="20"/>
                <w:szCs w:val="20"/>
              </w:rPr>
              <w:t xml:space="preserve"> </w:t>
            </w:r>
            <w:r w:rsidRPr="00DA7411">
              <w:rPr>
                <w:rFonts w:ascii="Arial" w:hAnsi="Arial" w:cs="Arial"/>
                <w:sz w:val="20"/>
                <w:szCs w:val="20"/>
              </w:rPr>
              <w:t>Survey</w:t>
            </w:r>
            <w:r w:rsidRPr="00DA7411">
              <w:rPr>
                <w:rFonts w:ascii="Arial" w:hAnsi="Arial" w:cs="Arial"/>
                <w:spacing w:val="50"/>
                <w:w w:val="99"/>
                <w:sz w:val="20"/>
                <w:szCs w:val="20"/>
              </w:rPr>
              <w:t xml:space="preserve"> </w:t>
            </w:r>
            <w:r w:rsidRPr="00DA7411">
              <w:rPr>
                <w:rFonts w:ascii="Arial" w:hAnsi="Arial" w:cs="Arial"/>
                <w:sz w:val="20"/>
                <w:szCs w:val="20"/>
              </w:rPr>
              <w:t>Manager:</w:t>
            </w:r>
          </w:p>
          <w:p w:rsidRPr="00B03773" w:rsidR="00B35D6A" w:rsidP="007A5159" w:rsidRDefault="00B35D6A" w14:paraId="068F667B" w14:textId="77777777">
            <w:pPr>
              <w:widowControl w:val="0"/>
              <w:ind w:right="2999"/>
              <w:jc w:val="center"/>
              <w:rPr>
                <w:rFonts w:ascii="Arial" w:hAnsi="Arial" w:eastAsia="Arial" w:cs="Arial"/>
                <w:sz w:val="20"/>
                <w:szCs w:val="20"/>
              </w:rPr>
            </w:pPr>
            <w:r w:rsidRPr="00B03773">
              <w:rPr>
                <w:rFonts w:ascii="Arial" w:hAnsi="Arial" w:eastAsia="Arial" w:cs="Arial"/>
                <w:spacing w:val="-1"/>
                <w:sz w:val="20"/>
                <w:szCs w:val="20"/>
              </w:rPr>
              <w:t>Peter</w:t>
            </w:r>
            <w:r w:rsidRPr="00B03773">
              <w:rPr>
                <w:rFonts w:ascii="Arial" w:hAnsi="Arial" w:eastAsia="Arial" w:cs="Arial"/>
                <w:spacing w:val="-13"/>
                <w:sz w:val="20"/>
                <w:szCs w:val="20"/>
              </w:rPr>
              <w:t xml:space="preserve"> </w:t>
            </w:r>
            <w:r w:rsidRPr="00B03773">
              <w:rPr>
                <w:rFonts w:ascii="Arial" w:hAnsi="Arial" w:eastAsia="Arial" w:cs="Arial"/>
                <w:spacing w:val="1"/>
                <w:sz w:val="20"/>
                <w:szCs w:val="20"/>
              </w:rPr>
              <w:t>Wong</w:t>
            </w:r>
          </w:p>
          <w:p w:rsidRPr="00B03773" w:rsidR="00B35D6A" w:rsidP="007A5159" w:rsidRDefault="00B35D6A" w14:paraId="465B33D5" w14:textId="77777777">
            <w:pPr>
              <w:widowControl w:val="0"/>
              <w:spacing w:before="1"/>
              <w:ind w:right="3004"/>
              <w:jc w:val="center"/>
              <w:rPr>
                <w:rFonts w:ascii="Arial" w:hAnsi="Arial" w:eastAsia="Arial" w:cs="Arial"/>
                <w:sz w:val="20"/>
                <w:szCs w:val="20"/>
              </w:rPr>
            </w:pPr>
            <w:r w:rsidRPr="00B03773">
              <w:rPr>
                <w:rFonts w:ascii="Arial" w:hAnsi="Arial" w:eastAsia="Arial" w:cs="Arial"/>
                <w:sz w:val="20"/>
                <w:szCs w:val="20"/>
              </w:rPr>
              <w:t>Telephone</w:t>
            </w:r>
            <w:r w:rsidRPr="00B03773">
              <w:rPr>
                <w:rFonts w:ascii="Arial" w:hAnsi="Arial" w:eastAsia="Arial" w:cs="Arial"/>
                <w:spacing w:val="-16"/>
                <w:sz w:val="20"/>
                <w:szCs w:val="20"/>
              </w:rPr>
              <w:t xml:space="preserve"> </w:t>
            </w:r>
            <w:r w:rsidRPr="00B03773">
              <w:rPr>
                <w:rFonts w:ascii="Arial" w:hAnsi="Arial" w:eastAsia="Arial" w:cs="Arial"/>
                <w:sz w:val="20"/>
                <w:szCs w:val="20"/>
              </w:rPr>
              <w:t>Number:</w:t>
            </w:r>
            <w:r w:rsidRPr="00B03773">
              <w:rPr>
                <w:rFonts w:ascii="Arial" w:hAnsi="Arial" w:eastAsia="Arial" w:cs="Arial"/>
                <w:spacing w:val="-16"/>
                <w:sz w:val="20"/>
                <w:szCs w:val="20"/>
              </w:rPr>
              <w:t xml:space="preserve"> </w:t>
            </w:r>
            <w:r w:rsidRPr="00B03773">
              <w:rPr>
                <w:rFonts w:ascii="Arial" w:hAnsi="Arial" w:eastAsia="Arial" w:cs="Arial"/>
                <w:sz w:val="20"/>
                <w:szCs w:val="20"/>
              </w:rPr>
              <w:t>202-586-7574</w:t>
            </w:r>
          </w:p>
          <w:p w:rsidRPr="00B03773" w:rsidR="00B35D6A" w:rsidP="007A5159" w:rsidRDefault="00B35D6A" w14:paraId="33E0403B" w14:textId="77777777">
            <w:pPr>
              <w:widowControl w:val="0"/>
              <w:spacing w:line="229" w:lineRule="exact"/>
              <w:ind w:right="3002"/>
              <w:jc w:val="center"/>
              <w:rPr>
                <w:rFonts w:ascii="Arial" w:hAnsi="Arial" w:eastAsia="Arial" w:cs="Arial"/>
                <w:sz w:val="20"/>
                <w:szCs w:val="20"/>
              </w:rPr>
            </w:pPr>
            <w:r w:rsidRPr="00DA7411">
              <w:rPr>
                <w:rFonts w:ascii="Arial" w:hAnsi="Arial" w:eastAsia="Arial" w:cs="Arial"/>
                <w:spacing w:val="-1"/>
                <w:sz w:val="20"/>
                <w:szCs w:val="20"/>
              </w:rPr>
              <w:t>Fax</w:t>
            </w:r>
            <w:r w:rsidRPr="00B03773">
              <w:rPr>
                <w:rFonts w:ascii="Arial" w:hAnsi="Arial" w:eastAsia="Arial" w:cs="Arial"/>
                <w:spacing w:val="-12"/>
                <w:sz w:val="20"/>
                <w:szCs w:val="20"/>
              </w:rPr>
              <w:t xml:space="preserve"> </w:t>
            </w:r>
            <w:r w:rsidRPr="00B03773">
              <w:rPr>
                <w:rFonts w:ascii="Arial" w:hAnsi="Arial" w:eastAsia="Arial" w:cs="Arial"/>
                <w:sz w:val="20"/>
                <w:szCs w:val="20"/>
              </w:rPr>
              <w:t>Number:</w:t>
            </w:r>
            <w:r w:rsidRPr="00B03773">
              <w:rPr>
                <w:rFonts w:ascii="Arial" w:hAnsi="Arial" w:eastAsia="Arial" w:cs="Arial"/>
                <w:spacing w:val="-12"/>
                <w:sz w:val="20"/>
                <w:szCs w:val="20"/>
              </w:rPr>
              <w:t xml:space="preserve"> </w:t>
            </w:r>
            <w:r w:rsidRPr="00B03773">
              <w:rPr>
                <w:rFonts w:ascii="Arial" w:hAnsi="Arial" w:eastAsia="Arial" w:cs="Arial"/>
                <w:sz w:val="20"/>
                <w:szCs w:val="20"/>
              </w:rPr>
              <w:t>202-287-1938</w:t>
            </w:r>
          </w:p>
          <w:p w:rsidRPr="00B03773" w:rsidR="00B35D6A" w:rsidP="007A5159" w:rsidRDefault="00B35D6A" w14:paraId="3D0CE6B5" w14:textId="77777777">
            <w:pPr>
              <w:widowControl w:val="0"/>
              <w:spacing w:line="229" w:lineRule="exact"/>
              <w:ind w:right="3004"/>
              <w:jc w:val="center"/>
              <w:rPr>
                <w:rFonts w:ascii="Arial" w:hAnsi="Arial" w:eastAsia="Arial" w:cs="Arial"/>
                <w:sz w:val="20"/>
                <w:szCs w:val="20"/>
              </w:rPr>
            </w:pPr>
            <w:r w:rsidRPr="00B03773">
              <w:rPr>
                <w:rFonts w:ascii="Arial" w:hAnsi="Arial" w:eastAsia="Arial" w:cs="Arial"/>
                <w:sz w:val="20"/>
                <w:szCs w:val="20"/>
              </w:rPr>
              <w:t>Email:</w:t>
            </w:r>
            <w:r w:rsidRPr="00B03773">
              <w:rPr>
                <w:rFonts w:ascii="Arial" w:hAnsi="Arial" w:eastAsia="Arial" w:cs="Arial"/>
                <w:spacing w:val="-23"/>
                <w:sz w:val="20"/>
                <w:szCs w:val="20"/>
              </w:rPr>
              <w:t xml:space="preserve"> </w:t>
            </w:r>
            <w:hyperlink r:id="rId12">
              <w:r w:rsidRPr="00B03773">
                <w:rPr>
                  <w:rFonts w:ascii="Arial" w:hAnsi="Arial" w:eastAsia="Arial" w:cs="Arial"/>
                  <w:color w:val="0000FF"/>
                  <w:sz w:val="20"/>
                  <w:szCs w:val="20"/>
                  <w:u w:val="single" w:color="0000FF"/>
                </w:rPr>
                <w:t>EIA-</w:t>
              </w:r>
              <w:r>
                <w:rPr>
                  <w:rFonts w:ascii="Arial" w:hAnsi="Arial" w:eastAsia="Arial" w:cs="Arial"/>
                  <w:color w:val="0000FF"/>
                  <w:sz w:val="20"/>
                  <w:szCs w:val="20"/>
                  <w:u w:val="single" w:color="0000FF"/>
                </w:rPr>
                <w:t>861M</w:t>
              </w:r>
              <w:r w:rsidRPr="00B03773">
                <w:rPr>
                  <w:rFonts w:ascii="Arial" w:hAnsi="Arial" w:eastAsia="Arial" w:cs="Arial"/>
                  <w:color w:val="0000FF"/>
                  <w:sz w:val="20"/>
                  <w:szCs w:val="20"/>
                  <w:u w:val="single" w:color="0000FF"/>
                </w:rPr>
                <w:t>@eia.gov</w:t>
              </w:r>
            </w:hyperlink>
          </w:p>
          <w:p w:rsidRPr="00DA7411" w:rsidR="00B35D6A" w:rsidP="007A5159" w:rsidRDefault="00B35D6A" w14:paraId="32FB8E56" w14:textId="77777777">
            <w:pPr>
              <w:rPr>
                <w:rFonts w:ascii="Arial" w:hAnsi="Arial" w:cs="Arial"/>
                <w:sz w:val="20"/>
                <w:szCs w:val="20"/>
              </w:rPr>
            </w:pPr>
          </w:p>
        </w:tc>
      </w:tr>
    </w:tbl>
    <w:p w:rsidR="00B35D6A" w:rsidP="00B35D6A" w:rsidRDefault="00B35D6A" w14:paraId="77967560" w14:textId="77777777"/>
    <w:p w:rsidR="00B35D6A" w:rsidP="00B35D6A" w:rsidRDefault="00B35D6A" w14:paraId="6221D3E4" w14:textId="77777777"/>
    <w:p w:rsidR="00B35D6A" w:rsidP="00B35D6A" w:rsidRDefault="00B35D6A" w14:paraId="46CAC0F2" w14:textId="77777777"/>
    <w:p w:rsidR="00B35D6A" w:rsidP="00B35D6A" w:rsidRDefault="00B35D6A" w14:paraId="6B58EC10" w14:textId="77777777"/>
    <w:p w:rsidR="00B35D6A" w:rsidP="00750986" w:rsidRDefault="00B35D6A" w14:paraId="4D650E15" w14:textId="77777777">
      <w:pPr>
        <w:jc w:val="center"/>
      </w:pPr>
    </w:p>
    <w:p w:rsidR="00750986" w:rsidP="00750986" w:rsidRDefault="00B35D6A" w14:paraId="38DA279A" w14:textId="77777777">
      <w:pPr>
        <w:spacing w:after="200" w:line="240" w:lineRule="auto"/>
        <w:ind w:left="1800" w:hanging="720"/>
        <w:jc w:val="center"/>
        <w:rPr>
          <w:b/>
        </w:rPr>
      </w:pPr>
      <w:r w:rsidRPr="00750986">
        <w:rPr>
          <w:b/>
        </w:rPr>
        <w:lastRenderedPageBreak/>
        <w:t>GENERAL INSTRUCTIONS</w:t>
      </w:r>
    </w:p>
    <w:p w:rsidR="00750986" w:rsidP="00750986" w:rsidRDefault="00B35D6A" w14:paraId="242E0EF9" w14:textId="77777777">
      <w:pPr>
        <w:pStyle w:val="ListParagraph"/>
        <w:numPr>
          <w:ilvl w:val="0"/>
          <w:numId w:val="4"/>
        </w:numPr>
        <w:spacing w:line="240" w:lineRule="auto"/>
        <w:rPr>
          <w:sz w:val="20"/>
          <w:szCs w:val="20"/>
        </w:rPr>
      </w:pPr>
      <w:r w:rsidRPr="00750986">
        <w:rPr>
          <w:sz w:val="20"/>
          <w:szCs w:val="20"/>
        </w:rPr>
        <w:t>Monthly data are due to the Energy Information Administration (EIA) by the last day of the month following the reporting period.</w:t>
      </w:r>
    </w:p>
    <w:p w:rsidRPr="00750986" w:rsidR="00750986" w:rsidP="00750986" w:rsidRDefault="00750986" w14:paraId="160119A3" w14:textId="77777777">
      <w:pPr>
        <w:pStyle w:val="ListParagraph"/>
        <w:spacing w:line="240" w:lineRule="auto"/>
        <w:ind w:left="360"/>
        <w:rPr>
          <w:sz w:val="20"/>
          <w:szCs w:val="20"/>
        </w:rPr>
      </w:pPr>
    </w:p>
    <w:p w:rsidR="00750986" w:rsidP="00750986" w:rsidRDefault="00B35D6A" w14:paraId="43413803" w14:textId="77777777">
      <w:pPr>
        <w:pStyle w:val="ListParagraph"/>
        <w:numPr>
          <w:ilvl w:val="0"/>
          <w:numId w:val="4"/>
        </w:numPr>
        <w:spacing w:line="240" w:lineRule="auto"/>
        <w:rPr>
          <w:sz w:val="20"/>
          <w:szCs w:val="20"/>
        </w:rPr>
      </w:pPr>
      <w:r w:rsidRPr="00750986">
        <w:rPr>
          <w:sz w:val="20"/>
          <w:szCs w:val="20"/>
        </w:rPr>
        <w:t>Enter zero for States without revenue, megawatt hours, or number of customers to report for a particular sector. Do not leave these data fields blank.</w:t>
      </w:r>
    </w:p>
    <w:p w:rsidRPr="00750986" w:rsidR="00750986" w:rsidP="00750986" w:rsidRDefault="00750986" w14:paraId="380EB4F7" w14:textId="77777777">
      <w:pPr>
        <w:pStyle w:val="ListParagraph"/>
        <w:rPr>
          <w:sz w:val="20"/>
          <w:szCs w:val="20"/>
        </w:rPr>
      </w:pPr>
    </w:p>
    <w:p w:rsidR="00B35D6A" w:rsidP="00750986" w:rsidRDefault="00B35D6A" w14:paraId="27413475" w14:textId="77777777">
      <w:pPr>
        <w:pStyle w:val="ListParagraph"/>
        <w:numPr>
          <w:ilvl w:val="0"/>
          <w:numId w:val="4"/>
        </w:numPr>
        <w:spacing w:line="240" w:lineRule="auto"/>
        <w:rPr>
          <w:sz w:val="20"/>
          <w:szCs w:val="20"/>
        </w:rPr>
      </w:pPr>
      <w:r w:rsidRPr="00750986">
        <w:rPr>
          <w:sz w:val="20"/>
          <w:szCs w:val="20"/>
        </w:rPr>
        <w:t>Submit revisions to data previously reported as soon as possible after the error or omission is discovered. Do not wait until the next reporting month's form is due to send resubmission(s). A new submission must be completed for each revised page.</w:t>
      </w:r>
    </w:p>
    <w:p w:rsidRPr="00750986" w:rsidR="00750986" w:rsidP="00750986" w:rsidRDefault="00750986" w14:paraId="0B864659" w14:textId="77777777">
      <w:pPr>
        <w:pStyle w:val="ListParagraph"/>
        <w:rPr>
          <w:sz w:val="20"/>
          <w:szCs w:val="20"/>
        </w:rPr>
      </w:pPr>
    </w:p>
    <w:p w:rsidR="00B35D6A" w:rsidP="00750986" w:rsidRDefault="00B35D6A" w14:paraId="39456FA4" w14:textId="77777777">
      <w:pPr>
        <w:pStyle w:val="ListParagraph"/>
        <w:numPr>
          <w:ilvl w:val="0"/>
          <w:numId w:val="4"/>
        </w:numPr>
        <w:spacing w:line="240" w:lineRule="auto"/>
        <w:rPr>
          <w:sz w:val="20"/>
          <w:szCs w:val="20"/>
        </w:rPr>
      </w:pPr>
      <w:r w:rsidRPr="00750986">
        <w:rPr>
          <w:sz w:val="20"/>
          <w:szCs w:val="20"/>
        </w:rPr>
        <w:t xml:space="preserve">If you are unable to make a revision through the E-filing system because the monthly data file has been locked, please email your revisions to </w:t>
      </w:r>
      <w:hyperlink w:history="1" r:id="rId13">
        <w:r w:rsidRPr="00056CC7" w:rsidR="00750986">
          <w:rPr>
            <w:rStyle w:val="Hyperlink"/>
            <w:color w:val="0000FF"/>
            <w:sz w:val="20"/>
            <w:szCs w:val="20"/>
          </w:rPr>
          <w:t>EIA-861M@eia.gov</w:t>
        </w:r>
      </w:hyperlink>
      <w:r w:rsidRPr="00750986">
        <w:rPr>
          <w:sz w:val="20"/>
          <w:szCs w:val="20"/>
        </w:rPr>
        <w:t>.</w:t>
      </w:r>
    </w:p>
    <w:p w:rsidRPr="00750986" w:rsidR="00750986" w:rsidP="00750986" w:rsidRDefault="00750986" w14:paraId="37D8BFF8" w14:textId="77777777">
      <w:pPr>
        <w:pStyle w:val="ListParagraph"/>
        <w:rPr>
          <w:sz w:val="20"/>
          <w:szCs w:val="20"/>
        </w:rPr>
      </w:pPr>
    </w:p>
    <w:p w:rsidR="00B35D6A" w:rsidP="00750986" w:rsidRDefault="00B35D6A" w14:paraId="11495B52" w14:textId="77777777">
      <w:pPr>
        <w:pStyle w:val="ListParagraph"/>
        <w:numPr>
          <w:ilvl w:val="0"/>
          <w:numId w:val="4"/>
        </w:numPr>
        <w:spacing w:line="240" w:lineRule="auto"/>
        <w:rPr>
          <w:sz w:val="20"/>
          <w:szCs w:val="20"/>
        </w:rPr>
      </w:pPr>
      <w:r w:rsidRPr="00750986">
        <w:rPr>
          <w:sz w:val="20"/>
          <w:szCs w:val="20"/>
        </w:rPr>
        <w:t>Respondents should coordinate the information submitted on Form EIA-861, “Annual Electric Power Report," and Form EIA-861M to ensure consistency.</w:t>
      </w:r>
    </w:p>
    <w:p w:rsidRPr="00750986" w:rsidR="00750986" w:rsidP="00750986" w:rsidRDefault="00750986" w14:paraId="4641248B" w14:textId="77777777">
      <w:pPr>
        <w:pStyle w:val="ListParagraph"/>
        <w:rPr>
          <w:sz w:val="20"/>
          <w:szCs w:val="20"/>
        </w:rPr>
      </w:pPr>
    </w:p>
    <w:p w:rsidR="00B35D6A" w:rsidP="00750986" w:rsidRDefault="00B35D6A" w14:paraId="4C23B479" w14:textId="77777777">
      <w:pPr>
        <w:pStyle w:val="ListParagraph"/>
        <w:numPr>
          <w:ilvl w:val="0"/>
          <w:numId w:val="4"/>
        </w:numPr>
        <w:spacing w:line="240" w:lineRule="auto"/>
        <w:rPr>
          <w:sz w:val="20"/>
          <w:szCs w:val="20"/>
        </w:rPr>
      </w:pPr>
      <w:r w:rsidRPr="00750986">
        <w:rPr>
          <w:sz w:val="20"/>
          <w:szCs w:val="20"/>
        </w:rPr>
        <w:t>Count each meter as a separate customer in cases where commercial franchise or residential customer-buying groups have been aggregated under one buyer representative. The customer counts for public-street and highway lighting should be one customer per community.</w:t>
      </w:r>
    </w:p>
    <w:p w:rsidRPr="00750986" w:rsidR="00750986" w:rsidP="00750986" w:rsidRDefault="00750986" w14:paraId="10CF66D8" w14:textId="77777777">
      <w:pPr>
        <w:pStyle w:val="ListParagraph"/>
        <w:rPr>
          <w:sz w:val="20"/>
          <w:szCs w:val="20"/>
        </w:rPr>
      </w:pPr>
    </w:p>
    <w:p w:rsidRPr="00750986" w:rsidR="00B35D6A" w:rsidP="00750986" w:rsidRDefault="00B35D6A" w14:paraId="7FA91A9F" w14:textId="77777777">
      <w:pPr>
        <w:pStyle w:val="ListParagraph"/>
        <w:numPr>
          <w:ilvl w:val="0"/>
          <w:numId w:val="4"/>
        </w:numPr>
        <w:spacing w:line="240" w:lineRule="auto"/>
        <w:rPr>
          <w:sz w:val="20"/>
          <w:szCs w:val="20"/>
        </w:rPr>
      </w:pPr>
      <w:r w:rsidRPr="00750986">
        <w:rPr>
          <w:sz w:val="20"/>
          <w:szCs w:val="20"/>
        </w:rPr>
        <w:t>If not pre-populated, enter the two-letter U.S. Postal Service abbreviation for the state in which the electric sales occur. If an additional state needs to be added, click the last state box and press the arrow down button on the keyboard. This will populate a new blank state field</w:t>
      </w:r>
    </w:p>
    <w:p w:rsidR="00B35D6A" w:rsidP="00B35D6A" w:rsidRDefault="00B35D6A" w14:paraId="156F41C5" w14:textId="77777777"/>
    <w:p w:rsidR="00760BA9" w:rsidP="00CF40F1" w:rsidRDefault="00760BA9" w14:paraId="683AEDB8" w14:textId="77777777">
      <w:pPr>
        <w:jc w:val="center"/>
        <w:rPr>
          <w:b/>
        </w:rPr>
      </w:pPr>
      <w:r>
        <w:rPr>
          <w:b/>
        </w:rPr>
        <w:t>OWNERSHIP CODES</w:t>
      </w:r>
    </w:p>
    <w:p w:rsidRPr="007E360E" w:rsidR="007E360E" w:rsidP="00760BA9" w:rsidRDefault="007E360E" w14:paraId="37BE8CCD" w14:textId="77777777">
      <w:pPr>
        <w:rPr>
          <w:rFonts w:ascii="Arial" w:hAnsi="Arial" w:cs="Arial"/>
          <w:sz w:val="20"/>
          <w:szCs w:val="20"/>
        </w:rPr>
      </w:pPr>
      <w:r w:rsidRPr="00400676">
        <w:rPr>
          <w:rFonts w:ascii="Arial" w:hAnsi="Arial" w:cs="Arial"/>
          <w:b/>
          <w:sz w:val="20"/>
          <w:szCs w:val="20"/>
        </w:rPr>
        <w:t>Municipal Marketing Authority</w:t>
      </w:r>
      <w:r w:rsidRPr="00400676">
        <w:rPr>
          <w:rFonts w:ascii="Arial" w:hAnsi="Arial" w:cs="Arial"/>
          <w:sz w:val="20"/>
          <w:szCs w:val="20"/>
        </w:rPr>
        <w:t xml:space="preserve"> </w:t>
      </w:r>
      <w:r w:rsidRPr="00400676">
        <w:rPr>
          <w:rFonts w:ascii="Arial" w:hAnsi="Arial" w:cs="Arial"/>
          <w:b/>
          <w:sz w:val="20"/>
          <w:szCs w:val="20"/>
        </w:rPr>
        <w:t>(A)</w:t>
      </w:r>
      <w:r w:rsidRPr="00400676">
        <w:rPr>
          <w:rFonts w:ascii="Arial" w:hAnsi="Arial" w:cs="Arial"/>
          <w:sz w:val="20"/>
          <w:szCs w:val="20"/>
        </w:rPr>
        <w:t>: Voted into existence by the residents of a municipality and given authority for creation by the state government. They are nonprofit organizations.</w:t>
      </w:r>
    </w:p>
    <w:p w:rsidRPr="00400676" w:rsidR="00760BA9" w:rsidP="00760BA9" w:rsidRDefault="00760BA9" w14:paraId="242C6FF6" w14:textId="77777777">
      <w:pPr>
        <w:rPr>
          <w:rFonts w:ascii="Arial" w:hAnsi="Arial" w:cs="Arial"/>
          <w:sz w:val="20"/>
          <w:szCs w:val="20"/>
        </w:rPr>
      </w:pPr>
      <w:r w:rsidRPr="00400676">
        <w:rPr>
          <w:rFonts w:ascii="Arial" w:hAnsi="Arial" w:cs="Arial"/>
          <w:b/>
          <w:sz w:val="20"/>
          <w:szCs w:val="20"/>
        </w:rPr>
        <w:t>Behind the Meter (B):</w:t>
      </w:r>
      <w:r w:rsidRPr="00400676">
        <w:rPr>
          <w:rFonts w:ascii="Arial" w:hAnsi="Arial" w:cs="Arial"/>
          <w:sz w:val="20"/>
          <w:szCs w:val="20"/>
        </w:rPr>
        <w:t xml:space="preserve"> Entities that install, own, and/or operate a system (usually photovoltaic), and sell, under a long term power purchase agreement (PPA) or lease, all the production from the system to the homeowner or business with which there is a net metering agreement.</w:t>
      </w:r>
    </w:p>
    <w:p w:rsidRPr="00400676" w:rsidR="00760BA9" w:rsidP="00760BA9" w:rsidRDefault="00760BA9" w14:paraId="57D001E3" w14:textId="77777777">
      <w:pPr>
        <w:rPr>
          <w:rFonts w:ascii="Arial" w:hAnsi="Arial" w:cs="Arial"/>
          <w:sz w:val="20"/>
          <w:szCs w:val="20"/>
        </w:rPr>
      </w:pPr>
      <w:r w:rsidRPr="00400676">
        <w:rPr>
          <w:rFonts w:ascii="Arial" w:hAnsi="Arial" w:cs="Arial"/>
          <w:b/>
          <w:sz w:val="20"/>
          <w:szCs w:val="20"/>
        </w:rPr>
        <w:t>Cooperative (C)</w:t>
      </w:r>
      <w:r w:rsidRPr="00400676">
        <w:rPr>
          <w:rFonts w:ascii="Arial" w:hAnsi="Arial" w:cs="Arial"/>
          <w:sz w:val="20"/>
          <w:szCs w:val="20"/>
        </w:rPr>
        <w:t>: Member-owned organizations.</w:t>
      </w:r>
    </w:p>
    <w:p w:rsidRPr="00400676" w:rsidR="00760BA9" w:rsidP="00760BA9" w:rsidRDefault="00760BA9" w14:paraId="61E55347" w14:textId="77777777">
      <w:pPr>
        <w:rPr>
          <w:rFonts w:ascii="Arial" w:hAnsi="Arial" w:cs="Arial"/>
          <w:sz w:val="20"/>
          <w:szCs w:val="20"/>
        </w:rPr>
      </w:pPr>
      <w:r w:rsidRPr="00400676">
        <w:rPr>
          <w:rFonts w:ascii="Arial" w:hAnsi="Arial" w:cs="Arial"/>
          <w:b/>
          <w:sz w:val="20"/>
          <w:szCs w:val="20"/>
        </w:rPr>
        <w:t>Federal (F)</w:t>
      </w:r>
      <w:r w:rsidRPr="00400676">
        <w:rPr>
          <w:rFonts w:ascii="Arial" w:hAnsi="Arial" w:cs="Arial"/>
          <w:sz w:val="20"/>
          <w:szCs w:val="20"/>
        </w:rPr>
        <w:t>: Government agencies with the authority to deliver energy to end-use customers.</w:t>
      </w:r>
    </w:p>
    <w:p w:rsidRPr="00400676" w:rsidR="00760BA9" w:rsidP="00760BA9" w:rsidRDefault="00760BA9" w14:paraId="35B8C7A0" w14:textId="77777777">
      <w:pPr>
        <w:rPr>
          <w:rFonts w:ascii="Arial" w:hAnsi="Arial" w:cs="Arial"/>
          <w:sz w:val="20"/>
          <w:szCs w:val="20"/>
        </w:rPr>
      </w:pPr>
      <w:r w:rsidRPr="00400676">
        <w:rPr>
          <w:rFonts w:ascii="Arial" w:hAnsi="Arial" w:cs="Arial"/>
          <w:b/>
          <w:sz w:val="20"/>
          <w:szCs w:val="20"/>
        </w:rPr>
        <w:t>Investor-Owned Utilities (I)</w:t>
      </w:r>
      <w:r w:rsidRPr="00400676">
        <w:rPr>
          <w:rFonts w:ascii="Arial" w:hAnsi="Arial" w:cs="Arial"/>
          <w:sz w:val="20"/>
          <w:szCs w:val="20"/>
        </w:rPr>
        <w:t>: Entities that are privately owned and provide a public service.</w:t>
      </w:r>
    </w:p>
    <w:p w:rsidRPr="00400676" w:rsidR="00760BA9" w:rsidP="00760BA9" w:rsidRDefault="00760BA9" w14:paraId="0CCF1022" w14:textId="77777777">
      <w:pPr>
        <w:rPr>
          <w:rFonts w:ascii="Arial" w:hAnsi="Arial" w:cs="Arial"/>
          <w:sz w:val="20"/>
          <w:szCs w:val="20"/>
        </w:rPr>
      </w:pPr>
      <w:r w:rsidRPr="00400676">
        <w:rPr>
          <w:rFonts w:ascii="Arial" w:hAnsi="Arial" w:cs="Arial"/>
          <w:b/>
          <w:sz w:val="20"/>
          <w:szCs w:val="20"/>
        </w:rPr>
        <w:t>Municipal (M)</w:t>
      </w:r>
      <w:r w:rsidRPr="00400676">
        <w:rPr>
          <w:rFonts w:ascii="Arial" w:hAnsi="Arial" w:cs="Arial"/>
          <w:sz w:val="20"/>
          <w:szCs w:val="20"/>
        </w:rPr>
        <w:t>: Entities that are organized under authority of state statute to provide a public service to residents of that area.</w:t>
      </w:r>
    </w:p>
    <w:p w:rsidR="00760BA9" w:rsidP="00760BA9" w:rsidRDefault="00760BA9" w14:paraId="7EAA9501" w14:textId="77777777">
      <w:pPr>
        <w:rPr>
          <w:rFonts w:ascii="Arial" w:hAnsi="Arial" w:cs="Arial"/>
          <w:sz w:val="20"/>
          <w:szCs w:val="20"/>
        </w:rPr>
      </w:pPr>
      <w:r w:rsidRPr="00400676">
        <w:rPr>
          <w:rFonts w:ascii="Arial" w:hAnsi="Arial" w:cs="Arial"/>
          <w:b/>
          <w:sz w:val="20"/>
          <w:szCs w:val="20"/>
        </w:rPr>
        <w:t>Political Subdivision (P)</w:t>
      </w:r>
      <w:r w:rsidRPr="00400676">
        <w:rPr>
          <w:rFonts w:ascii="Arial" w:hAnsi="Arial" w:cs="Arial"/>
          <w:sz w:val="20"/>
          <w:szCs w:val="20"/>
        </w:rPr>
        <w:t xml:space="preserve"> (also called "public utility district"): Independent of city or county government and voted into existence by a majority of the residents of any given area for the specific purpose of providing utility service to the voters. State laws provide for the formation of such districts.</w:t>
      </w:r>
    </w:p>
    <w:p w:rsidRPr="00400676" w:rsidR="007E360E" w:rsidP="00760BA9" w:rsidRDefault="007E360E" w14:paraId="71235174" w14:textId="77777777">
      <w:pPr>
        <w:rPr>
          <w:rFonts w:ascii="Arial" w:hAnsi="Arial" w:cs="Arial"/>
          <w:sz w:val="20"/>
          <w:szCs w:val="20"/>
        </w:rPr>
      </w:pPr>
      <w:r w:rsidRPr="00400676">
        <w:rPr>
          <w:rFonts w:ascii="Arial" w:hAnsi="Arial" w:cs="Arial"/>
          <w:b/>
          <w:sz w:val="20"/>
          <w:szCs w:val="20"/>
        </w:rPr>
        <w:t>Independent Power Producer or Qualifying Facility (Q)</w:t>
      </w:r>
      <w:r w:rsidRPr="00400676">
        <w:rPr>
          <w:rFonts w:ascii="Arial" w:hAnsi="Arial" w:cs="Arial"/>
          <w:sz w:val="20"/>
          <w:szCs w:val="20"/>
        </w:rPr>
        <w:t>: Entities that own power plants and sell their power into the wholesale market.</w:t>
      </w:r>
    </w:p>
    <w:p w:rsidRPr="00400676" w:rsidR="00760BA9" w:rsidP="00760BA9" w:rsidRDefault="00760BA9" w14:paraId="72F8C659" w14:textId="77777777">
      <w:pPr>
        <w:rPr>
          <w:rFonts w:ascii="Arial" w:hAnsi="Arial" w:cs="Arial"/>
          <w:sz w:val="20"/>
          <w:szCs w:val="20"/>
        </w:rPr>
      </w:pPr>
      <w:r w:rsidRPr="00400676">
        <w:rPr>
          <w:rFonts w:ascii="Arial" w:hAnsi="Arial" w:cs="Arial"/>
          <w:b/>
          <w:sz w:val="20"/>
          <w:szCs w:val="20"/>
        </w:rPr>
        <w:lastRenderedPageBreak/>
        <w:t>Retail Power Marketer (R)</w:t>
      </w:r>
      <w:r w:rsidRPr="00400676">
        <w:rPr>
          <w:rFonts w:ascii="Arial" w:hAnsi="Arial" w:cs="Arial"/>
          <w:sz w:val="20"/>
          <w:szCs w:val="20"/>
        </w:rPr>
        <w:t xml:space="preserve"> or Energy Service Provider: Entities that market power to customers in restructured markets.</w:t>
      </w:r>
    </w:p>
    <w:p w:rsidR="00760BA9" w:rsidP="00760BA9" w:rsidRDefault="00760BA9" w14:paraId="4CDE443C" w14:textId="77777777">
      <w:pPr>
        <w:rPr>
          <w:rFonts w:ascii="Arial" w:hAnsi="Arial" w:cs="Arial"/>
          <w:sz w:val="20"/>
          <w:szCs w:val="20"/>
        </w:rPr>
      </w:pPr>
      <w:r w:rsidRPr="00400676">
        <w:rPr>
          <w:rFonts w:ascii="Arial" w:hAnsi="Arial" w:cs="Arial"/>
          <w:b/>
          <w:sz w:val="20"/>
          <w:szCs w:val="20"/>
        </w:rPr>
        <w:t>State (S)</w:t>
      </w:r>
      <w:r w:rsidRPr="00400676">
        <w:rPr>
          <w:rFonts w:ascii="Arial" w:hAnsi="Arial" w:cs="Arial"/>
          <w:sz w:val="20"/>
          <w:szCs w:val="20"/>
        </w:rPr>
        <w:t>: Entities that own or operate facilities or provide a public service.</w:t>
      </w:r>
    </w:p>
    <w:p w:rsidRPr="00760BA9" w:rsidR="00760BA9" w:rsidP="00760BA9" w:rsidRDefault="00760BA9" w14:paraId="05EC8E0A" w14:textId="77777777"/>
    <w:p w:rsidRPr="00CF40F1" w:rsidR="00B35D6A" w:rsidP="00CF40F1" w:rsidRDefault="00F906E2" w14:paraId="5F11B9BF" w14:textId="77777777">
      <w:pPr>
        <w:jc w:val="center"/>
        <w:rPr>
          <w:b/>
        </w:rPr>
      </w:pPr>
      <w:r>
        <w:rPr>
          <w:b/>
        </w:rPr>
        <w:t>SCHEDULE 1</w:t>
      </w:r>
      <w:r w:rsidRPr="00CF40F1" w:rsidR="00CF40F1">
        <w:rPr>
          <w:b/>
        </w:rPr>
        <w:t>:</w:t>
      </w:r>
      <w:r w:rsidRPr="00CF40F1" w:rsidR="00B35D6A">
        <w:rPr>
          <w:b/>
        </w:rPr>
        <w:t xml:space="preserve"> IDENTIFICATION</w:t>
      </w:r>
    </w:p>
    <w:p w:rsidR="001122A8" w:rsidP="001122A8" w:rsidRDefault="001122A8" w14:paraId="460FC35B" w14:textId="77777777">
      <w:pPr>
        <w:pStyle w:val="ListParagraph"/>
        <w:numPr>
          <w:ilvl w:val="0"/>
          <w:numId w:val="11"/>
        </w:numPr>
        <w:rPr>
          <w:sz w:val="20"/>
          <w:szCs w:val="20"/>
        </w:rPr>
      </w:pPr>
      <w:r w:rsidRPr="001122A8">
        <w:rPr>
          <w:b/>
          <w:sz w:val="20"/>
          <w:szCs w:val="20"/>
        </w:rPr>
        <w:t>Survey Contact</w:t>
      </w:r>
      <w:r w:rsidRPr="001122A8">
        <w:rPr>
          <w:sz w:val="20"/>
          <w:szCs w:val="20"/>
        </w:rPr>
        <w:t>: Verify contact name, title, telephone number, fax number, and email address.</w:t>
      </w:r>
    </w:p>
    <w:p w:rsidR="001122A8" w:rsidP="001122A8" w:rsidRDefault="001122A8" w14:paraId="65C65445" w14:textId="77777777">
      <w:pPr>
        <w:pStyle w:val="ListParagraph"/>
        <w:ind w:left="360"/>
        <w:rPr>
          <w:sz w:val="20"/>
          <w:szCs w:val="20"/>
        </w:rPr>
      </w:pPr>
    </w:p>
    <w:p w:rsidR="001122A8" w:rsidP="001122A8" w:rsidRDefault="001122A8" w14:paraId="049BCF95" w14:textId="77777777">
      <w:pPr>
        <w:pStyle w:val="ListParagraph"/>
        <w:numPr>
          <w:ilvl w:val="0"/>
          <w:numId w:val="11"/>
        </w:numPr>
        <w:rPr>
          <w:sz w:val="20"/>
          <w:szCs w:val="20"/>
        </w:rPr>
      </w:pPr>
      <w:r w:rsidRPr="001122A8">
        <w:rPr>
          <w:b/>
          <w:sz w:val="20"/>
          <w:szCs w:val="20"/>
        </w:rPr>
        <w:t>Supervisor of Contact Person for Survey:</w:t>
      </w:r>
      <w:r w:rsidRPr="001122A8">
        <w:rPr>
          <w:sz w:val="20"/>
          <w:szCs w:val="20"/>
        </w:rPr>
        <w:t xml:space="preserve"> Verify the supervisor of the survey contact, the name, title, telephone number, fax number and email address.</w:t>
      </w:r>
    </w:p>
    <w:p w:rsidRPr="001122A8" w:rsidR="001122A8" w:rsidP="001122A8" w:rsidRDefault="001122A8" w14:paraId="68774BE9" w14:textId="77777777">
      <w:pPr>
        <w:pStyle w:val="ListParagraph"/>
        <w:rPr>
          <w:sz w:val="20"/>
          <w:szCs w:val="20"/>
        </w:rPr>
      </w:pPr>
    </w:p>
    <w:p w:rsidRPr="001122A8" w:rsidR="001122A8" w:rsidP="001122A8" w:rsidRDefault="001122A8" w14:paraId="43A8201B" w14:textId="77777777">
      <w:pPr>
        <w:pStyle w:val="ListParagraph"/>
        <w:numPr>
          <w:ilvl w:val="0"/>
          <w:numId w:val="11"/>
        </w:numPr>
        <w:rPr>
          <w:sz w:val="20"/>
          <w:szCs w:val="20"/>
        </w:rPr>
      </w:pPr>
      <w:r w:rsidRPr="001122A8">
        <w:rPr>
          <w:b/>
          <w:sz w:val="20"/>
          <w:szCs w:val="20"/>
        </w:rPr>
        <w:t>Report For:</w:t>
      </w:r>
      <w:r w:rsidRPr="001122A8">
        <w:rPr>
          <w:sz w:val="20"/>
          <w:szCs w:val="20"/>
        </w:rPr>
        <w:t xml:space="preserve"> Verify all information, including Company Name, Company Identification Number, and reporting month and year for which data are being reported. These fields cannot be revised online. Contact EIA if corrections are needed.</w:t>
      </w:r>
    </w:p>
    <w:p w:rsidR="001122A8" w:rsidP="001122A8" w:rsidRDefault="001122A8" w14:paraId="23E48C51" w14:textId="77777777">
      <w:pPr>
        <w:rPr>
          <w:sz w:val="20"/>
          <w:szCs w:val="20"/>
        </w:rPr>
      </w:pPr>
      <w:r w:rsidRPr="001122A8">
        <w:rPr>
          <w:sz w:val="20"/>
          <w:szCs w:val="20"/>
        </w:rPr>
        <w:t>If any of the above information is incorrect or missing, revise the entry and prov</w:t>
      </w:r>
      <w:r w:rsidR="001E0C88">
        <w:rPr>
          <w:sz w:val="20"/>
          <w:szCs w:val="20"/>
        </w:rPr>
        <w:t xml:space="preserve">ide the correct information to: </w:t>
      </w:r>
      <w:hyperlink w:history="1" r:id="rId14">
        <w:r w:rsidRPr="00056CC7" w:rsidR="001E0C88">
          <w:rPr>
            <w:rStyle w:val="Hyperlink"/>
            <w:color w:val="0000FF"/>
            <w:sz w:val="20"/>
            <w:szCs w:val="20"/>
          </w:rPr>
          <w:t>EIA-861M@eia.gov</w:t>
        </w:r>
      </w:hyperlink>
      <w:r w:rsidR="001E0C88">
        <w:rPr>
          <w:sz w:val="20"/>
          <w:szCs w:val="20"/>
        </w:rPr>
        <w:t xml:space="preserve">. </w:t>
      </w:r>
      <w:r w:rsidRPr="001122A8">
        <w:rPr>
          <w:sz w:val="20"/>
          <w:szCs w:val="20"/>
        </w:rPr>
        <w:t xml:space="preserve"> </w:t>
      </w:r>
    </w:p>
    <w:p w:rsidR="001122A8" w:rsidP="00760BA9" w:rsidRDefault="001122A8" w14:paraId="11E7D778" w14:textId="77777777">
      <w:pPr>
        <w:rPr>
          <w:b/>
        </w:rPr>
      </w:pPr>
    </w:p>
    <w:p w:rsidRPr="001122A8" w:rsidR="00B35D6A" w:rsidP="001122A8" w:rsidRDefault="00B35D6A" w14:paraId="0641DA7C" w14:textId="77777777">
      <w:pPr>
        <w:jc w:val="center"/>
        <w:rPr>
          <w:b/>
        </w:rPr>
      </w:pPr>
      <w:r w:rsidRPr="001122A8">
        <w:rPr>
          <w:b/>
        </w:rPr>
        <w:t>SCHEDULE 2. SALES TO ULTIMATE CUSTOMERS</w:t>
      </w:r>
    </w:p>
    <w:p w:rsidRPr="001122A8" w:rsidR="00B35D6A" w:rsidP="001122A8" w:rsidRDefault="00B35D6A" w14:paraId="276769E4" w14:textId="77777777">
      <w:pPr>
        <w:jc w:val="center"/>
        <w:rPr>
          <w:b/>
        </w:rPr>
      </w:pPr>
      <w:r w:rsidRPr="001122A8">
        <w:rPr>
          <w:b/>
        </w:rPr>
        <w:t>SCHEDULE 2. PARTS A-D</w:t>
      </w:r>
    </w:p>
    <w:p w:rsidR="00B35D6A" w:rsidP="001122A8" w:rsidRDefault="00B35D6A" w14:paraId="45561510" w14:textId="77777777">
      <w:pPr>
        <w:pStyle w:val="ListParagraph"/>
        <w:numPr>
          <w:ilvl w:val="0"/>
          <w:numId w:val="10"/>
        </w:numPr>
        <w:ind w:left="360"/>
        <w:rPr>
          <w:sz w:val="20"/>
          <w:szCs w:val="20"/>
        </w:rPr>
      </w:pPr>
      <w:r w:rsidRPr="001122A8">
        <w:rPr>
          <w:sz w:val="20"/>
          <w:szCs w:val="20"/>
        </w:rPr>
        <w:t xml:space="preserve">For column a, </w:t>
      </w:r>
      <w:r w:rsidRPr="004E7CA9">
        <w:rPr>
          <w:b/>
          <w:sz w:val="20"/>
          <w:szCs w:val="20"/>
        </w:rPr>
        <w:t>Residential</w:t>
      </w:r>
      <w:r w:rsidRPr="001122A8">
        <w:rPr>
          <w:sz w:val="20"/>
          <w:szCs w:val="20"/>
        </w:rPr>
        <w:t xml:space="preserve">, enter the revenue, megawatthours, and number of customers for residential (household) purposes. For the residential class, do not duplicate the customer accounts due to multiple metering for special services (e.g., water heating, etc.).  </w:t>
      </w:r>
    </w:p>
    <w:p w:rsidR="001122A8" w:rsidP="001122A8" w:rsidRDefault="001122A8" w14:paraId="1272DA5C" w14:textId="77777777">
      <w:pPr>
        <w:pStyle w:val="ListParagraph"/>
        <w:ind w:left="360"/>
        <w:rPr>
          <w:sz w:val="20"/>
          <w:szCs w:val="20"/>
        </w:rPr>
      </w:pPr>
    </w:p>
    <w:p w:rsidR="00B35D6A" w:rsidP="001308C5" w:rsidRDefault="00B35D6A" w14:paraId="5B2FC334" w14:textId="77777777">
      <w:pPr>
        <w:pStyle w:val="ListParagraph"/>
        <w:numPr>
          <w:ilvl w:val="0"/>
          <w:numId w:val="10"/>
        </w:numPr>
        <w:ind w:left="360"/>
        <w:rPr>
          <w:sz w:val="20"/>
          <w:szCs w:val="20"/>
        </w:rPr>
      </w:pPr>
      <w:r w:rsidRPr="001122A8">
        <w:rPr>
          <w:sz w:val="20"/>
          <w:szCs w:val="20"/>
        </w:rPr>
        <w:t xml:space="preserve">For column b, </w:t>
      </w:r>
      <w:r w:rsidRPr="004E7CA9">
        <w:rPr>
          <w:b/>
          <w:sz w:val="20"/>
          <w:szCs w:val="20"/>
        </w:rPr>
        <w:t>Commercial</w:t>
      </w:r>
      <w:r w:rsidRPr="001122A8">
        <w:rPr>
          <w:sz w:val="20"/>
          <w:szCs w:val="20"/>
        </w:rPr>
        <w:t xml:space="preserve">, enter the revenue, megawatthours, and number of customers for commercial purposes. Public street and highway lighting data should be included in the commercial sector. </w:t>
      </w:r>
    </w:p>
    <w:p w:rsidRPr="001122A8" w:rsidR="001122A8" w:rsidP="001122A8" w:rsidRDefault="001122A8" w14:paraId="52607C2E" w14:textId="77777777">
      <w:pPr>
        <w:pStyle w:val="ListParagraph"/>
        <w:rPr>
          <w:sz w:val="20"/>
          <w:szCs w:val="20"/>
        </w:rPr>
      </w:pPr>
    </w:p>
    <w:p w:rsidR="00B35D6A" w:rsidP="001122A8" w:rsidRDefault="00B35D6A" w14:paraId="5A88C5D4" w14:textId="77777777">
      <w:pPr>
        <w:pStyle w:val="ListParagraph"/>
        <w:numPr>
          <w:ilvl w:val="0"/>
          <w:numId w:val="10"/>
        </w:numPr>
        <w:ind w:left="360"/>
        <w:rPr>
          <w:sz w:val="20"/>
          <w:szCs w:val="20"/>
        </w:rPr>
      </w:pPr>
      <w:r w:rsidRPr="001122A8">
        <w:rPr>
          <w:sz w:val="20"/>
          <w:szCs w:val="20"/>
        </w:rPr>
        <w:t xml:space="preserve">For column c, </w:t>
      </w:r>
      <w:r w:rsidRPr="004E7CA9">
        <w:rPr>
          <w:b/>
          <w:sz w:val="20"/>
          <w:szCs w:val="20"/>
        </w:rPr>
        <w:t>Industrial</w:t>
      </w:r>
      <w:r w:rsidRPr="001122A8">
        <w:rPr>
          <w:sz w:val="20"/>
          <w:szCs w:val="20"/>
        </w:rPr>
        <w:t>, enter the revenue, megawatthours, and number of customers for industrial purposes. Irrigation data should be included in the industrial sector.</w:t>
      </w:r>
    </w:p>
    <w:p w:rsidRPr="001122A8" w:rsidR="001122A8" w:rsidP="001122A8" w:rsidRDefault="001122A8" w14:paraId="4C1A3D0B" w14:textId="77777777">
      <w:pPr>
        <w:pStyle w:val="ListParagraph"/>
        <w:rPr>
          <w:sz w:val="20"/>
          <w:szCs w:val="20"/>
        </w:rPr>
      </w:pPr>
    </w:p>
    <w:p w:rsidR="001122A8" w:rsidP="00CA747A" w:rsidRDefault="00B35D6A" w14:paraId="25A49F79" w14:textId="77777777">
      <w:pPr>
        <w:pStyle w:val="ListParagraph"/>
        <w:numPr>
          <w:ilvl w:val="0"/>
          <w:numId w:val="10"/>
        </w:numPr>
        <w:ind w:left="360"/>
        <w:rPr>
          <w:sz w:val="20"/>
          <w:szCs w:val="20"/>
        </w:rPr>
      </w:pPr>
      <w:r w:rsidRPr="001122A8">
        <w:rPr>
          <w:sz w:val="20"/>
          <w:szCs w:val="20"/>
        </w:rPr>
        <w:t xml:space="preserve">For column d, </w:t>
      </w:r>
      <w:r w:rsidRPr="004E7CA9">
        <w:rPr>
          <w:b/>
          <w:sz w:val="20"/>
          <w:szCs w:val="20"/>
        </w:rPr>
        <w:t>Transportation</w:t>
      </w:r>
      <w:r w:rsidRPr="001122A8">
        <w:rPr>
          <w:sz w:val="20"/>
          <w:szCs w:val="20"/>
        </w:rPr>
        <w:t xml:space="preserve">, enter the revenue, megawatt hours, and number of customers for electric energy supplied for transportation purposes. </w:t>
      </w:r>
    </w:p>
    <w:p w:rsidRPr="001122A8" w:rsidR="001122A8" w:rsidP="001122A8" w:rsidRDefault="001122A8" w14:paraId="37869B95" w14:textId="77777777">
      <w:pPr>
        <w:pStyle w:val="ListParagraph"/>
        <w:rPr>
          <w:sz w:val="20"/>
          <w:szCs w:val="20"/>
        </w:rPr>
      </w:pPr>
    </w:p>
    <w:p w:rsidRPr="001122A8" w:rsidR="00B35D6A" w:rsidP="00CA747A" w:rsidRDefault="00B35D6A" w14:paraId="420B6691" w14:textId="77777777">
      <w:pPr>
        <w:pStyle w:val="ListParagraph"/>
        <w:numPr>
          <w:ilvl w:val="0"/>
          <w:numId w:val="10"/>
        </w:numPr>
        <w:ind w:left="360"/>
        <w:rPr>
          <w:sz w:val="20"/>
          <w:szCs w:val="20"/>
        </w:rPr>
      </w:pPr>
      <w:r w:rsidRPr="001122A8">
        <w:rPr>
          <w:sz w:val="20"/>
          <w:szCs w:val="20"/>
        </w:rPr>
        <w:t xml:space="preserve">For column e, </w:t>
      </w:r>
      <w:r w:rsidRPr="004E7CA9">
        <w:rPr>
          <w:b/>
          <w:sz w:val="20"/>
          <w:szCs w:val="20"/>
        </w:rPr>
        <w:t>Total</w:t>
      </w:r>
      <w:r w:rsidRPr="001122A8">
        <w:rPr>
          <w:sz w:val="20"/>
          <w:szCs w:val="20"/>
        </w:rPr>
        <w:t xml:space="preserve">, enter, for each State, the sum of the revenue, megawatthours, and number of customers entered for residential, commercial, industrial, and transportation sales. </w:t>
      </w:r>
    </w:p>
    <w:p w:rsidR="001122A8" w:rsidP="001122A8" w:rsidRDefault="001122A8" w14:paraId="4A6A8E6F" w14:textId="77777777">
      <w:pPr>
        <w:pStyle w:val="ListParagraph"/>
        <w:ind w:left="360"/>
        <w:rPr>
          <w:sz w:val="20"/>
          <w:szCs w:val="20"/>
        </w:rPr>
      </w:pPr>
    </w:p>
    <w:p w:rsidRPr="001122A8" w:rsidR="00B35D6A" w:rsidP="001122A8" w:rsidRDefault="004E7CA9" w14:paraId="74E71648" w14:textId="77777777">
      <w:pPr>
        <w:pStyle w:val="ListParagraph"/>
        <w:numPr>
          <w:ilvl w:val="0"/>
          <w:numId w:val="10"/>
        </w:numPr>
        <w:ind w:left="360"/>
        <w:rPr>
          <w:sz w:val="20"/>
          <w:szCs w:val="20"/>
        </w:rPr>
      </w:pPr>
      <w:r>
        <w:rPr>
          <w:sz w:val="20"/>
          <w:szCs w:val="20"/>
        </w:rPr>
        <w:t>For columns a through e, show r</w:t>
      </w:r>
      <w:r w:rsidRPr="001122A8" w:rsidR="00B35D6A">
        <w:rPr>
          <w:sz w:val="20"/>
          <w:szCs w:val="20"/>
        </w:rPr>
        <w:t>evenue and megawatthours sold to the nearest 0.001 value.</w:t>
      </w:r>
    </w:p>
    <w:p w:rsidR="001122A8" w:rsidP="001122A8" w:rsidRDefault="001122A8" w14:paraId="604EBFD1" w14:textId="77777777">
      <w:pPr>
        <w:pStyle w:val="ListParagraph"/>
        <w:ind w:left="360"/>
        <w:rPr>
          <w:sz w:val="20"/>
          <w:szCs w:val="20"/>
        </w:rPr>
      </w:pPr>
    </w:p>
    <w:p w:rsidRPr="001122A8" w:rsidR="00B35D6A" w:rsidP="001122A8" w:rsidRDefault="00B35D6A" w14:paraId="482191E9" w14:textId="77777777">
      <w:pPr>
        <w:pStyle w:val="ListParagraph"/>
        <w:numPr>
          <w:ilvl w:val="0"/>
          <w:numId w:val="10"/>
        </w:numPr>
        <w:ind w:left="360"/>
        <w:rPr>
          <w:sz w:val="20"/>
          <w:szCs w:val="20"/>
        </w:rPr>
      </w:pPr>
      <w:r w:rsidRPr="001122A8">
        <w:rPr>
          <w:sz w:val="20"/>
          <w:szCs w:val="20"/>
        </w:rPr>
        <w:t>Attach additional sheet(s), if required.</w:t>
      </w:r>
    </w:p>
    <w:p w:rsidR="001122A8" w:rsidP="001122A8" w:rsidRDefault="001122A8" w14:paraId="4AE78171" w14:textId="77777777">
      <w:pPr>
        <w:pStyle w:val="ListParagraph"/>
        <w:ind w:left="360"/>
        <w:rPr>
          <w:sz w:val="20"/>
          <w:szCs w:val="20"/>
        </w:rPr>
      </w:pPr>
    </w:p>
    <w:p w:rsidRPr="00F906E2" w:rsidR="00167F2A" w:rsidP="00B35D6A" w:rsidRDefault="00B35D6A" w14:paraId="2E5DB82C" w14:textId="77777777">
      <w:pPr>
        <w:pStyle w:val="ListParagraph"/>
        <w:numPr>
          <w:ilvl w:val="0"/>
          <w:numId w:val="10"/>
        </w:numPr>
        <w:ind w:left="360"/>
        <w:rPr>
          <w:sz w:val="20"/>
          <w:szCs w:val="20"/>
        </w:rPr>
      </w:pPr>
      <w:r w:rsidRPr="001122A8">
        <w:rPr>
          <w:sz w:val="20"/>
          <w:szCs w:val="20"/>
        </w:rPr>
        <w:t>Refer to the Glossary for the definition of selected terms.</w:t>
      </w:r>
    </w:p>
    <w:p w:rsidR="00167F2A" w:rsidP="00167F2A" w:rsidRDefault="00167F2A" w14:paraId="5C6F4DF1" w14:textId="77777777">
      <w:pPr>
        <w:rPr>
          <w:sz w:val="20"/>
          <w:szCs w:val="20"/>
        </w:rPr>
      </w:pPr>
      <w:r w:rsidRPr="00167F2A">
        <w:rPr>
          <w:sz w:val="20"/>
          <w:szCs w:val="20"/>
        </w:rPr>
        <w:lastRenderedPageBreak/>
        <w:t>The table below should be used as a guide for the classification of your end-use customers; pay close attention to how your consumers should be organized based on our four Sectors: Residential, Commercial, Industrial, and Transportation. Please note that data for the Transportation Sector (see definitions) has replaced the “Other” Sector on all parts of Schedule 2. Non-Transportation customers previously reported under “Other,” including street and highway lighting, should now be included in the Commercial Sector.  Irrigation customers should be reported in the Industrial Sector.</w:t>
      </w:r>
    </w:p>
    <w:tbl>
      <w:tblPr>
        <w:tblStyle w:val="TableGrid"/>
        <w:tblW w:w="8527" w:type="dxa"/>
        <w:tblLook w:val="04A0" w:firstRow="1" w:lastRow="0" w:firstColumn="1" w:lastColumn="0" w:noHBand="0" w:noVBand="1"/>
      </w:tblPr>
      <w:tblGrid>
        <w:gridCol w:w="4020"/>
        <w:gridCol w:w="4507"/>
      </w:tblGrid>
      <w:tr w:rsidR="00167F2A" w:rsidTr="00056CC7" w14:paraId="2D7F9BF6" w14:textId="77777777">
        <w:trPr>
          <w:trHeight w:val="4553"/>
        </w:trPr>
        <w:tc>
          <w:tcPr>
            <w:tcW w:w="4020" w:type="dxa"/>
          </w:tcPr>
          <w:p w:rsidR="00167F2A" w:rsidP="007A5159" w:rsidRDefault="00167F2A" w14:paraId="350E0E36" w14:textId="77777777">
            <w:pPr>
              <w:pStyle w:val="BodyTextIndent"/>
              <w:ind w:left="0"/>
              <w:rPr>
                <w:rFonts w:ascii="Arial" w:hAnsi="Arial" w:cs="Arial"/>
                <w:sz w:val="20"/>
                <w:szCs w:val="20"/>
              </w:rPr>
            </w:pPr>
            <w:r>
              <w:rPr>
                <w:rFonts w:ascii="Arial" w:hAnsi="Arial" w:cs="Arial"/>
                <w:sz w:val="20"/>
                <w:szCs w:val="20"/>
              </w:rPr>
              <w:t xml:space="preserve">The </w:t>
            </w:r>
            <w:r>
              <w:rPr>
                <w:rFonts w:ascii="Arial" w:hAnsi="Arial" w:cs="Arial"/>
                <w:b/>
                <w:sz w:val="20"/>
                <w:szCs w:val="20"/>
              </w:rPr>
              <w:t>residential sector</w:t>
            </w:r>
            <w:r>
              <w:rPr>
                <w:rFonts w:ascii="Arial" w:hAnsi="Arial" w:cs="Arial"/>
                <w:sz w:val="20"/>
                <w:szCs w:val="20"/>
              </w:rPr>
              <w:t xml:space="preserve"> includes private households and apartment buildings where energy is consumed primarily for:</w:t>
            </w:r>
          </w:p>
          <w:p w:rsidR="00167F2A" w:rsidP="00167F2A" w:rsidRDefault="00167F2A" w14:paraId="77440A86"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space heating,</w:t>
            </w:r>
          </w:p>
          <w:p w:rsidR="00167F2A" w:rsidP="00167F2A" w:rsidRDefault="00167F2A" w14:paraId="0854BFE1"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water heating,</w:t>
            </w:r>
          </w:p>
          <w:p w:rsidR="00167F2A" w:rsidP="00167F2A" w:rsidRDefault="00167F2A" w14:paraId="3651BE55"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air conditioning,</w:t>
            </w:r>
          </w:p>
          <w:p w:rsidR="00167F2A" w:rsidP="00167F2A" w:rsidRDefault="00167F2A" w14:paraId="78FF8111"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lighting,</w:t>
            </w:r>
          </w:p>
          <w:p w:rsidR="00167F2A" w:rsidP="00167F2A" w:rsidRDefault="00167F2A" w14:paraId="7D07603C"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refrigeration,</w:t>
            </w:r>
          </w:p>
          <w:p w:rsidRPr="00B00C3C" w:rsidR="00167F2A" w:rsidP="00167F2A" w:rsidRDefault="00167F2A" w14:paraId="1F03CFC4" w14:textId="77777777">
            <w:pPr>
              <w:pStyle w:val="BodyTextIndent"/>
              <w:numPr>
                <w:ilvl w:val="0"/>
                <w:numId w:val="12"/>
              </w:numPr>
              <w:spacing w:after="0" w:line="240" w:lineRule="auto"/>
              <w:rPr>
                <w:rFonts w:ascii="Arial" w:hAnsi="Arial" w:cs="Arial"/>
                <w:sz w:val="20"/>
                <w:szCs w:val="20"/>
              </w:rPr>
            </w:pPr>
            <w:r>
              <w:rPr>
                <w:rFonts w:ascii="Arial" w:hAnsi="Arial" w:cs="Arial"/>
                <w:sz w:val="20"/>
                <w:szCs w:val="20"/>
              </w:rPr>
              <w:t>cooking, and clothes drying.</w:t>
            </w:r>
          </w:p>
        </w:tc>
        <w:tc>
          <w:tcPr>
            <w:tcW w:w="4507" w:type="dxa"/>
          </w:tcPr>
          <w:p w:rsidR="00167F2A" w:rsidP="007A5159" w:rsidRDefault="00167F2A" w14:paraId="70465051" w14:textId="77777777">
            <w:pPr>
              <w:pStyle w:val="BodyTextIndent"/>
              <w:ind w:left="0"/>
              <w:rPr>
                <w:rFonts w:ascii="Arial" w:hAnsi="Arial" w:cs="Arial"/>
                <w:sz w:val="20"/>
                <w:szCs w:val="20"/>
              </w:rPr>
            </w:pPr>
            <w:r>
              <w:rPr>
                <w:rFonts w:ascii="Arial" w:hAnsi="Arial" w:cs="Arial"/>
                <w:sz w:val="20"/>
                <w:szCs w:val="20"/>
              </w:rPr>
              <w:t xml:space="preserve">The </w:t>
            </w:r>
            <w:r>
              <w:rPr>
                <w:rFonts w:ascii="Arial" w:hAnsi="Arial" w:cs="Arial"/>
                <w:b/>
                <w:sz w:val="20"/>
                <w:szCs w:val="20"/>
              </w:rPr>
              <w:t xml:space="preserve">commercial sector </w:t>
            </w:r>
            <w:r>
              <w:rPr>
                <w:rFonts w:ascii="Arial" w:hAnsi="Arial" w:cs="Arial"/>
                <w:sz w:val="20"/>
                <w:szCs w:val="20"/>
              </w:rPr>
              <w:t>includes non-manufacturing business establishments such as:</w:t>
            </w:r>
          </w:p>
          <w:p w:rsidR="00167F2A" w:rsidP="00167F2A" w:rsidRDefault="00167F2A" w14:paraId="54842384"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hotels,</w:t>
            </w:r>
          </w:p>
          <w:p w:rsidR="00167F2A" w:rsidP="00167F2A" w:rsidRDefault="00167F2A" w14:paraId="6C5374F6"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motels,</w:t>
            </w:r>
          </w:p>
          <w:p w:rsidR="00167F2A" w:rsidP="00167F2A" w:rsidRDefault="00167F2A" w14:paraId="58BB04CA"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restaurants,</w:t>
            </w:r>
          </w:p>
          <w:p w:rsidR="00167F2A" w:rsidP="00167F2A" w:rsidRDefault="00167F2A" w14:paraId="19B3AA4D"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wholesale businesses,</w:t>
            </w:r>
          </w:p>
          <w:p w:rsidR="00167F2A" w:rsidP="00167F2A" w:rsidRDefault="00167F2A" w14:paraId="1C991B8D"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retail stores, and</w:t>
            </w:r>
          </w:p>
          <w:p w:rsidR="00167F2A" w:rsidP="00167F2A" w:rsidRDefault="00167F2A" w14:paraId="38C29FF4"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health, social, and educational institutions,</w:t>
            </w:r>
          </w:p>
          <w:p w:rsidR="00167F2A" w:rsidP="00167F2A" w:rsidRDefault="00167F2A" w14:paraId="1D7F222B"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public street and highway lighting, municipalities,</w:t>
            </w:r>
          </w:p>
          <w:p w:rsidRPr="00056CC7" w:rsidR="00167F2A" w:rsidP="00056CC7" w:rsidRDefault="00167F2A" w14:paraId="314E8CE3" w14:textId="77777777">
            <w:pPr>
              <w:pStyle w:val="BodyTextIndent"/>
              <w:numPr>
                <w:ilvl w:val="0"/>
                <w:numId w:val="13"/>
              </w:numPr>
              <w:spacing w:after="0" w:line="240" w:lineRule="auto"/>
              <w:rPr>
                <w:rFonts w:ascii="Arial" w:hAnsi="Arial" w:cs="Arial"/>
                <w:sz w:val="20"/>
                <w:szCs w:val="20"/>
              </w:rPr>
            </w:pPr>
            <w:r>
              <w:rPr>
                <w:rFonts w:ascii="Arial" w:hAnsi="Arial" w:cs="Arial"/>
                <w:sz w:val="20"/>
                <w:szCs w:val="20"/>
              </w:rPr>
              <w:t>divisions of agencies of states and Federal governments under special contracts or agreements, and other utility departments, such as defined by the pertinent regulatory agency and/or electric utility.</w:t>
            </w:r>
          </w:p>
        </w:tc>
      </w:tr>
      <w:tr w:rsidR="00167F2A" w:rsidTr="007A5159" w14:paraId="148DAD05" w14:textId="77777777">
        <w:trPr>
          <w:trHeight w:val="1059"/>
        </w:trPr>
        <w:tc>
          <w:tcPr>
            <w:tcW w:w="4020" w:type="dxa"/>
          </w:tcPr>
          <w:p w:rsidR="00167F2A" w:rsidP="007A5159" w:rsidRDefault="00167F2A" w14:paraId="138EE863" w14:textId="77777777">
            <w:pPr>
              <w:pStyle w:val="BodyTextIndent"/>
              <w:ind w:left="0"/>
              <w:rPr>
                <w:rFonts w:ascii="Arial" w:hAnsi="Arial" w:cs="Arial"/>
                <w:sz w:val="20"/>
                <w:szCs w:val="20"/>
              </w:rPr>
            </w:pPr>
            <w:r>
              <w:rPr>
                <w:rFonts w:ascii="Arial" w:hAnsi="Arial" w:cs="Arial"/>
                <w:sz w:val="20"/>
                <w:szCs w:val="20"/>
              </w:rPr>
              <w:t xml:space="preserve">The </w:t>
            </w:r>
            <w:r>
              <w:rPr>
                <w:rFonts w:ascii="Arial" w:hAnsi="Arial" w:cs="Arial"/>
                <w:b/>
                <w:sz w:val="20"/>
                <w:szCs w:val="20"/>
              </w:rPr>
              <w:t xml:space="preserve">industrial sector </w:t>
            </w:r>
            <w:r>
              <w:rPr>
                <w:rFonts w:ascii="Arial" w:hAnsi="Arial" w:cs="Arial"/>
                <w:sz w:val="20"/>
                <w:szCs w:val="20"/>
              </w:rPr>
              <w:t>includes:</w:t>
            </w:r>
          </w:p>
          <w:p w:rsidR="00167F2A" w:rsidP="00167F2A" w:rsidRDefault="00167F2A" w14:paraId="6C75E465"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manufacturing,</w:t>
            </w:r>
          </w:p>
          <w:p w:rsidR="00167F2A" w:rsidP="00167F2A" w:rsidRDefault="00167F2A" w14:paraId="01C7ED02"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construction,</w:t>
            </w:r>
          </w:p>
          <w:p w:rsidR="00167F2A" w:rsidP="00167F2A" w:rsidRDefault="00167F2A" w14:paraId="6DDC1202"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mining,</w:t>
            </w:r>
          </w:p>
          <w:p w:rsidR="00167F2A" w:rsidP="00167F2A" w:rsidRDefault="00167F2A" w14:paraId="2EABBDFB"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agriculture (irrigation),</w:t>
            </w:r>
          </w:p>
          <w:p w:rsidR="00167F2A" w:rsidP="00167F2A" w:rsidRDefault="00167F2A" w14:paraId="0DA41C48"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fishing, and</w:t>
            </w:r>
          </w:p>
          <w:p w:rsidRPr="00B00C3C" w:rsidR="00167F2A" w:rsidP="00167F2A" w:rsidRDefault="00167F2A" w14:paraId="6BDD9E51" w14:textId="77777777">
            <w:pPr>
              <w:pStyle w:val="BodyTextIndent"/>
              <w:numPr>
                <w:ilvl w:val="0"/>
                <w:numId w:val="14"/>
              </w:numPr>
              <w:spacing w:after="0" w:line="240" w:lineRule="auto"/>
              <w:rPr>
                <w:rFonts w:ascii="Arial" w:hAnsi="Arial" w:cs="Arial"/>
                <w:sz w:val="20"/>
                <w:szCs w:val="20"/>
              </w:rPr>
            </w:pPr>
            <w:r>
              <w:rPr>
                <w:rFonts w:ascii="Arial" w:hAnsi="Arial" w:cs="Arial"/>
                <w:sz w:val="20"/>
                <w:szCs w:val="20"/>
              </w:rPr>
              <w:t>forestry establishments.</w:t>
            </w:r>
          </w:p>
        </w:tc>
        <w:tc>
          <w:tcPr>
            <w:tcW w:w="4507" w:type="dxa"/>
          </w:tcPr>
          <w:p w:rsidR="00167F2A" w:rsidP="007A5159" w:rsidRDefault="00167F2A" w14:paraId="300F710E" w14:textId="77777777">
            <w:pPr>
              <w:pStyle w:val="BodyTextIndent"/>
              <w:ind w:left="0"/>
              <w:rPr>
                <w:rFonts w:ascii="Arial" w:hAnsi="Arial" w:cs="Arial"/>
                <w:sz w:val="20"/>
                <w:szCs w:val="20"/>
              </w:rPr>
            </w:pPr>
            <w:r>
              <w:rPr>
                <w:rFonts w:ascii="Arial" w:hAnsi="Arial" w:cs="Arial"/>
                <w:sz w:val="20"/>
                <w:szCs w:val="20"/>
              </w:rPr>
              <w:t xml:space="preserve">The </w:t>
            </w:r>
            <w:r>
              <w:rPr>
                <w:rFonts w:ascii="Arial" w:hAnsi="Arial" w:cs="Arial"/>
                <w:b/>
                <w:sz w:val="20"/>
                <w:szCs w:val="20"/>
              </w:rPr>
              <w:t xml:space="preserve">transportation sector </w:t>
            </w:r>
            <w:r>
              <w:rPr>
                <w:rFonts w:ascii="Arial" w:hAnsi="Arial" w:cs="Arial"/>
                <w:sz w:val="20"/>
                <w:szCs w:val="20"/>
              </w:rPr>
              <w:t>includes:</w:t>
            </w:r>
          </w:p>
          <w:p w:rsidRPr="00B00C3C" w:rsidR="00167F2A" w:rsidP="00167F2A" w:rsidRDefault="00167F2A" w14:paraId="5B70E1A7" w14:textId="77777777">
            <w:pPr>
              <w:pStyle w:val="BodyTextIndent"/>
              <w:numPr>
                <w:ilvl w:val="0"/>
                <w:numId w:val="15"/>
              </w:numPr>
              <w:spacing w:line="240" w:lineRule="auto"/>
              <w:rPr>
                <w:rFonts w:ascii="Arial" w:hAnsi="Arial" w:cs="Arial"/>
                <w:sz w:val="20"/>
                <w:szCs w:val="20"/>
              </w:rPr>
            </w:pPr>
            <w:r>
              <w:rPr>
                <w:rFonts w:ascii="Arial" w:hAnsi="Arial" w:cs="Arial"/>
                <w:sz w:val="20"/>
                <w:szCs w:val="20"/>
              </w:rPr>
              <w:t>railroads and railways (the fuel source of propulsion must be electrical like a metro system which exists in large cities) please count number of systems not meters.</w:t>
            </w:r>
          </w:p>
        </w:tc>
      </w:tr>
    </w:tbl>
    <w:p w:rsidR="00B35D6A" w:rsidP="00B35D6A" w:rsidRDefault="00B35D6A" w14:paraId="1A335B21" w14:textId="77777777"/>
    <w:p w:rsidRPr="00C54C42" w:rsidR="00B35D6A" w:rsidP="00C54C42" w:rsidRDefault="00B35D6A" w14:paraId="3F3BD150" w14:textId="77777777">
      <w:pPr>
        <w:spacing w:after="0" w:line="240" w:lineRule="auto"/>
        <w:jc w:val="center"/>
        <w:rPr>
          <w:b/>
        </w:rPr>
      </w:pPr>
      <w:r w:rsidRPr="00C54C42">
        <w:rPr>
          <w:b/>
        </w:rPr>
        <w:t>SCHEDULE 2. PART A. SALES TO ULTIMATE CUSTOMERS –</w:t>
      </w:r>
    </w:p>
    <w:p w:rsidR="00B35D6A" w:rsidP="00C54C42" w:rsidRDefault="00B35D6A" w14:paraId="74D9B91C" w14:textId="77777777">
      <w:pPr>
        <w:spacing w:after="0" w:line="240" w:lineRule="auto"/>
        <w:jc w:val="center"/>
        <w:rPr>
          <w:b/>
        </w:rPr>
      </w:pPr>
      <w:r w:rsidRPr="00C54C42">
        <w:rPr>
          <w:b/>
        </w:rPr>
        <w:t>FULL SERVICE – ENERGY AND DELIVERY SERVICE (BUNDLED)</w:t>
      </w:r>
    </w:p>
    <w:p w:rsidRPr="00C54C42" w:rsidR="00C54C42" w:rsidP="00C54C42" w:rsidRDefault="00C54C42" w14:paraId="5F9F5936" w14:textId="77777777">
      <w:pPr>
        <w:spacing w:after="0" w:line="240" w:lineRule="auto"/>
        <w:jc w:val="center"/>
        <w:rPr>
          <w:b/>
        </w:rPr>
      </w:pPr>
    </w:p>
    <w:p w:rsidRPr="00C54C42" w:rsidR="00B35D6A" w:rsidP="00B35D6A" w:rsidRDefault="00B35D6A" w14:paraId="7F2E5823" w14:textId="77777777">
      <w:pPr>
        <w:rPr>
          <w:sz w:val="20"/>
          <w:szCs w:val="20"/>
        </w:rPr>
      </w:pPr>
      <w:r w:rsidRPr="00C54C42">
        <w:rPr>
          <w:sz w:val="20"/>
          <w:szCs w:val="20"/>
        </w:rPr>
        <w:t xml:space="preserve">Enter the reporting month revenue (thousand dollars to the nearest .001), megawatthours sold and delivered (to the nearest .001 MWh), and the number of customers for sales of electricity to ultimate customers by state and customer class category for whom your utility provided both energy and delivery service. For public street and highway lighting, count all poles in a community as one customer. Note: For sales to customer groups using brokers or aggregators, continue to count each customer separately. For instance, count a group of franchised commercial establishments aggregated through a single broker as separate customers (as reported in prior years). Entities completing this Schedule are also required to complete Schedule 3 Part C. </w:t>
      </w:r>
    </w:p>
    <w:p w:rsidR="00B35D6A" w:rsidP="00B35D6A" w:rsidRDefault="00B35D6A" w14:paraId="2FF829A8" w14:textId="77777777"/>
    <w:p w:rsidR="005C365E" w:rsidP="00B35D6A" w:rsidRDefault="005C365E" w14:paraId="5E62DE15" w14:textId="77777777"/>
    <w:p w:rsidRPr="00C54C42" w:rsidR="00B35D6A" w:rsidP="00A439BC" w:rsidRDefault="00B35D6A" w14:paraId="11EEB37C" w14:textId="77777777">
      <w:pPr>
        <w:spacing w:after="0" w:line="240" w:lineRule="auto"/>
        <w:jc w:val="center"/>
        <w:rPr>
          <w:b/>
        </w:rPr>
      </w:pPr>
      <w:r w:rsidRPr="00C54C42">
        <w:rPr>
          <w:b/>
        </w:rPr>
        <w:lastRenderedPageBreak/>
        <w:t xml:space="preserve">SCHEDULE 2. PART B. SALES TO ULTIMATE CUSTOMERS – </w:t>
      </w:r>
    </w:p>
    <w:p w:rsidR="00B35D6A" w:rsidP="00A439BC" w:rsidRDefault="00B35D6A" w14:paraId="0D684616" w14:textId="77777777">
      <w:pPr>
        <w:spacing w:after="0" w:line="240" w:lineRule="auto"/>
        <w:jc w:val="center"/>
        <w:rPr>
          <w:b/>
        </w:rPr>
      </w:pPr>
      <w:r w:rsidRPr="00C54C42">
        <w:rPr>
          <w:b/>
        </w:rPr>
        <w:t>ENERGY-ONLY SERVICE (WITHOUT DELIVERY SERVICE)</w:t>
      </w:r>
    </w:p>
    <w:p w:rsidRPr="00C54C42" w:rsidR="00C54C42" w:rsidP="00A439BC" w:rsidRDefault="00C54C42" w14:paraId="745569A5" w14:textId="77777777">
      <w:pPr>
        <w:spacing w:after="0" w:line="240" w:lineRule="auto"/>
        <w:jc w:val="center"/>
        <w:rPr>
          <w:b/>
        </w:rPr>
      </w:pPr>
    </w:p>
    <w:p w:rsidR="00C54C42" w:rsidP="00A439BC" w:rsidRDefault="00B35D6A" w14:paraId="0BC2CCDD" w14:textId="77777777">
      <w:pPr>
        <w:spacing w:after="0" w:line="240" w:lineRule="auto"/>
        <w:rPr>
          <w:sz w:val="20"/>
          <w:szCs w:val="20"/>
        </w:rPr>
      </w:pPr>
      <w:r w:rsidRPr="00C54C42">
        <w:rPr>
          <w:sz w:val="20"/>
          <w:szCs w:val="20"/>
        </w:rPr>
        <w:t xml:space="preserve">Enter the reporting month revenue (thousand dollars to the nearest .001), megawatthours sold (to the nearest .001 MWh), and the number of customers for sales of electricity to ultimate customers by state and customer class category for which your company provided only the electricity consumed, where another electric company provided delivery services, including, for example, billing, administrative support, and line maintenance. Via the drop down list, submit a complete list of the names of distribution companies within each state providing delivery service for electricity delivered to an end use customer. Do not use acronyms. This list will rollover each month, but must be revised with newly active and/or inactive companies for the month being reported. If the name of a distribution company is not available via the drop down list, please email the entity’s name to: </w:t>
      </w:r>
      <w:hyperlink w:history="1" r:id="rId15">
        <w:r w:rsidRPr="00DC43B1" w:rsidR="00C54C42">
          <w:rPr>
            <w:rStyle w:val="Hyperlink"/>
            <w:color w:val="0000FF"/>
            <w:sz w:val="20"/>
            <w:szCs w:val="20"/>
          </w:rPr>
          <w:t>EIA-861M@eia.gov</w:t>
        </w:r>
      </w:hyperlink>
      <w:r w:rsidRPr="00C54C42">
        <w:rPr>
          <w:sz w:val="20"/>
          <w:szCs w:val="20"/>
        </w:rPr>
        <w:t>. This list of companies will aid EIA in matching up sales and delivery service in each state.</w:t>
      </w:r>
    </w:p>
    <w:p w:rsidR="00A439BC" w:rsidP="00A439BC" w:rsidRDefault="00A439BC" w14:paraId="4B39FFBE" w14:textId="77777777">
      <w:pPr>
        <w:spacing w:after="0" w:line="240" w:lineRule="auto"/>
        <w:rPr>
          <w:sz w:val="20"/>
          <w:szCs w:val="20"/>
        </w:rPr>
      </w:pPr>
    </w:p>
    <w:p w:rsidRPr="00C54C42" w:rsidR="00B35D6A" w:rsidP="00A439BC" w:rsidRDefault="00B35D6A" w14:paraId="0B15047A" w14:textId="77777777">
      <w:pPr>
        <w:spacing w:after="0" w:line="240" w:lineRule="auto"/>
        <w:jc w:val="center"/>
        <w:rPr>
          <w:b/>
        </w:rPr>
      </w:pPr>
      <w:r w:rsidRPr="00C54C42">
        <w:rPr>
          <w:b/>
        </w:rPr>
        <w:t>SCHEDULE 2. PART C. SALES TO ULTIMATE CUSTOMERS-</w:t>
      </w:r>
    </w:p>
    <w:p w:rsidR="00B35D6A" w:rsidP="00A439BC" w:rsidRDefault="00B35D6A" w14:paraId="405977BD" w14:textId="77777777">
      <w:pPr>
        <w:spacing w:after="0" w:line="240" w:lineRule="auto"/>
        <w:jc w:val="center"/>
        <w:rPr>
          <w:b/>
        </w:rPr>
      </w:pPr>
      <w:r w:rsidRPr="00C54C42">
        <w:rPr>
          <w:b/>
        </w:rPr>
        <w:t>DELIVERY-ONLY SERVICE (AND ALL OTHER CHARGES)</w:t>
      </w:r>
    </w:p>
    <w:p w:rsidRPr="00C54C42" w:rsidR="00C54C42" w:rsidP="00A439BC" w:rsidRDefault="00C54C42" w14:paraId="43536913" w14:textId="77777777">
      <w:pPr>
        <w:spacing w:after="0" w:line="240" w:lineRule="auto"/>
        <w:jc w:val="center"/>
        <w:rPr>
          <w:b/>
        </w:rPr>
      </w:pPr>
    </w:p>
    <w:p w:rsidR="00C54C42" w:rsidP="00A439BC" w:rsidRDefault="00B35D6A" w14:paraId="71F2C874" w14:textId="77777777">
      <w:pPr>
        <w:spacing w:after="0" w:line="240" w:lineRule="auto"/>
        <w:rPr>
          <w:sz w:val="20"/>
          <w:szCs w:val="20"/>
        </w:rPr>
      </w:pPr>
      <w:r w:rsidRPr="00C54C42">
        <w:rPr>
          <w:sz w:val="20"/>
          <w:szCs w:val="20"/>
        </w:rPr>
        <w:t xml:space="preserve">Enter the reporting month revenue (thousand dollars to the nearest .001), megawatthours delivered (to the nearest .001 MWh), and number of customers for sales of electricity to ultimate customers in your service territory by State and customer class category for which your company provided energy delivery services, where another electric entity or Power Marketer supplied the electricity. Do not provide delivery service provided on behalf of another delivery company or utility which would be defined as a sale for resale. Via the drop down list, submit a complete list of the names of companies (primarily Power Marketers) within each state supplying energy to an end use customer. Do not use acronyms. This list will rollover each month, but must be revised with newly active and/or inactive companies for the month being reported. If the name of an energy supplier is not available via the drop down list, please email the entity’s name to: </w:t>
      </w:r>
      <w:hyperlink w:history="1" r:id="rId16">
        <w:r w:rsidRPr="00DC43B1" w:rsidR="00C54C42">
          <w:rPr>
            <w:rStyle w:val="Hyperlink"/>
            <w:color w:val="0000FF"/>
            <w:sz w:val="20"/>
            <w:szCs w:val="20"/>
          </w:rPr>
          <w:t>EIA-861M@eia.gov</w:t>
        </w:r>
      </w:hyperlink>
      <w:r w:rsidRPr="00C54C42">
        <w:rPr>
          <w:sz w:val="20"/>
          <w:szCs w:val="20"/>
        </w:rPr>
        <w:t>. This list of companies will aid EIA in matching up sales and delivery service in each state. Entities completing this Schedule are also required to complete Schedule 3 Part C.</w:t>
      </w:r>
    </w:p>
    <w:p w:rsidR="00A439BC" w:rsidP="00A439BC" w:rsidRDefault="00A439BC" w14:paraId="0A010015" w14:textId="77777777">
      <w:pPr>
        <w:spacing w:after="0" w:line="240" w:lineRule="auto"/>
        <w:rPr>
          <w:sz w:val="20"/>
          <w:szCs w:val="20"/>
        </w:rPr>
      </w:pPr>
    </w:p>
    <w:p w:rsidRPr="00C54C42" w:rsidR="00B35D6A" w:rsidP="00A439BC" w:rsidRDefault="00B35D6A" w14:paraId="636CD582" w14:textId="77777777">
      <w:pPr>
        <w:spacing w:after="0" w:line="240" w:lineRule="auto"/>
        <w:jc w:val="center"/>
        <w:rPr>
          <w:b/>
        </w:rPr>
      </w:pPr>
      <w:r w:rsidRPr="00C54C42">
        <w:rPr>
          <w:b/>
        </w:rPr>
        <w:t>SCHEDULE 2. PART D. SALES TO ULTIMATE CUSTOMERS –</w:t>
      </w:r>
    </w:p>
    <w:p w:rsidR="00B35D6A" w:rsidP="00A439BC" w:rsidRDefault="00B35D6A" w14:paraId="6147B8B0" w14:textId="77777777">
      <w:pPr>
        <w:spacing w:after="0" w:line="240" w:lineRule="auto"/>
        <w:jc w:val="center"/>
        <w:rPr>
          <w:b/>
        </w:rPr>
      </w:pPr>
      <w:r w:rsidRPr="00C54C42">
        <w:rPr>
          <w:b/>
        </w:rPr>
        <w:t>BUNDLED SERVICE BY RETAIL ENERGY SERVICE PROVDERS OR ANY POWER MARKETER THAT PROVIDES “BUNDLED SERVICE.”</w:t>
      </w:r>
    </w:p>
    <w:p w:rsidRPr="00C54C42" w:rsidR="00C54C42" w:rsidP="00A439BC" w:rsidRDefault="00C54C42" w14:paraId="17851753" w14:textId="77777777">
      <w:pPr>
        <w:spacing w:after="0" w:line="240" w:lineRule="auto"/>
        <w:jc w:val="center"/>
        <w:rPr>
          <w:b/>
        </w:rPr>
      </w:pPr>
    </w:p>
    <w:p w:rsidRPr="00C54C42" w:rsidR="00B35D6A" w:rsidP="00A439BC" w:rsidRDefault="00B35D6A" w14:paraId="67DC8765" w14:textId="77777777">
      <w:pPr>
        <w:spacing w:after="0" w:line="240" w:lineRule="auto"/>
        <w:rPr>
          <w:sz w:val="20"/>
          <w:szCs w:val="20"/>
        </w:rPr>
      </w:pPr>
      <w:r w:rsidRPr="00C54C42">
        <w:rPr>
          <w:sz w:val="20"/>
          <w:szCs w:val="20"/>
        </w:rPr>
        <w:t>Enter the reporting month revenue (thousand dollars to the nearest .001), megawatthours sold and delivered (to the nearest .001 MWh), and the number of customers for sales of electricity to ultimate customers by State and customer class category for whom your company provided both energy and delivery service. For public street and highway lighting, count all poles in a community as one customer.</w:t>
      </w:r>
    </w:p>
    <w:p w:rsidRPr="00C54C42" w:rsidR="00B35D6A" w:rsidP="00A439BC" w:rsidRDefault="00B35D6A" w14:paraId="12430908" w14:textId="77777777">
      <w:pPr>
        <w:spacing w:after="0" w:line="240" w:lineRule="auto"/>
        <w:rPr>
          <w:sz w:val="20"/>
          <w:szCs w:val="20"/>
        </w:rPr>
      </w:pPr>
      <w:r w:rsidRPr="00C54C42">
        <w:rPr>
          <w:sz w:val="20"/>
          <w:szCs w:val="20"/>
        </w:rPr>
        <w:t xml:space="preserve">Note: For sales to customer groups using brokers or aggregators, continue to count each customer separately. For instance, count a group of franchised commercial establishments aggregated through a single broker as separate customers (as reported in prior years). (Note: Texas Retail Energy Providers (REPs) should include delivery revenues.)  </w:t>
      </w:r>
    </w:p>
    <w:p w:rsidR="00B35D6A" w:rsidP="00B35D6A" w:rsidRDefault="00B35D6A" w14:paraId="30BE3B7E" w14:textId="77777777"/>
    <w:p w:rsidR="00B35D6A" w:rsidP="00B35D6A" w:rsidRDefault="00B35D6A" w14:paraId="0CFD2479" w14:textId="77777777"/>
    <w:p w:rsidR="00C54C42" w:rsidP="00B35D6A" w:rsidRDefault="00C54C42" w14:paraId="666CE54F" w14:textId="77777777"/>
    <w:p w:rsidR="00C54C42" w:rsidP="00B35D6A" w:rsidRDefault="00C54C42" w14:paraId="7AA6001B" w14:textId="77777777"/>
    <w:p w:rsidR="00A439BC" w:rsidP="00B35D6A" w:rsidRDefault="00A439BC" w14:paraId="4D5F080A" w14:textId="77777777"/>
    <w:p w:rsidRPr="00C54C42" w:rsidR="00B35D6A" w:rsidP="00C54C42" w:rsidRDefault="00B35D6A" w14:paraId="51C447C4" w14:textId="77777777">
      <w:pPr>
        <w:jc w:val="center"/>
        <w:rPr>
          <w:b/>
        </w:rPr>
      </w:pPr>
    </w:p>
    <w:p w:rsidRPr="00C54C42" w:rsidR="00B35D6A" w:rsidP="00C54C42" w:rsidRDefault="00B35D6A" w14:paraId="720205C3" w14:textId="77777777">
      <w:pPr>
        <w:jc w:val="center"/>
        <w:rPr>
          <w:b/>
        </w:rPr>
      </w:pPr>
      <w:r w:rsidRPr="00C54C42">
        <w:rPr>
          <w:b/>
        </w:rPr>
        <w:lastRenderedPageBreak/>
        <w:t>SCHEDULE 3. PART A. NET METERING PROGRAMS</w:t>
      </w:r>
    </w:p>
    <w:p w:rsidRPr="00C54C42" w:rsidR="00B35D6A" w:rsidP="00C54C42" w:rsidRDefault="00B35D6A" w14:paraId="52A408B1" w14:textId="77777777">
      <w:pPr>
        <w:pStyle w:val="ListParagraph"/>
        <w:numPr>
          <w:ilvl w:val="0"/>
          <w:numId w:val="16"/>
        </w:numPr>
        <w:spacing w:after="0" w:line="240" w:lineRule="auto"/>
        <w:ind w:left="360"/>
        <w:rPr>
          <w:sz w:val="20"/>
          <w:szCs w:val="20"/>
        </w:rPr>
      </w:pPr>
      <w:r w:rsidRPr="000E06B8">
        <w:rPr>
          <w:b/>
          <w:sz w:val="20"/>
          <w:szCs w:val="20"/>
        </w:rPr>
        <w:t>Net Metering</w:t>
      </w:r>
      <w:r w:rsidRPr="00C54C42">
        <w:rPr>
          <w:sz w:val="20"/>
          <w:szCs w:val="20"/>
        </w:rPr>
        <w:t xml:space="preserve"> tariff arrangements permit a facility, typically generating electricity from a renewable resource, (using a meter that reads inflows and outflows of electricity) to sell excess power it generates over its load requirement back to the electrical grid, typically at a rate equivalent to the price of electricity.</w:t>
      </w:r>
    </w:p>
    <w:p w:rsidRPr="00C54C42" w:rsidR="00B35D6A" w:rsidP="00C54C42" w:rsidRDefault="00B35D6A" w14:paraId="79EE5C11" w14:textId="77777777">
      <w:pPr>
        <w:spacing w:after="0" w:line="240" w:lineRule="auto"/>
        <w:rPr>
          <w:sz w:val="20"/>
          <w:szCs w:val="20"/>
        </w:rPr>
      </w:pPr>
    </w:p>
    <w:p w:rsidRPr="00C54C42" w:rsidR="00B35D6A" w:rsidP="00C54C42" w:rsidRDefault="00B35D6A" w14:paraId="484EFC59" w14:textId="77777777">
      <w:pPr>
        <w:pStyle w:val="ListParagraph"/>
        <w:numPr>
          <w:ilvl w:val="0"/>
          <w:numId w:val="16"/>
        </w:numPr>
        <w:spacing w:after="0" w:line="240" w:lineRule="auto"/>
        <w:ind w:left="360"/>
        <w:rPr>
          <w:sz w:val="20"/>
          <w:szCs w:val="20"/>
        </w:rPr>
      </w:pPr>
      <w:r w:rsidRPr="000E06B8">
        <w:rPr>
          <w:b/>
          <w:sz w:val="20"/>
          <w:szCs w:val="20"/>
        </w:rPr>
        <w:t>Virtual Net Metering:</w:t>
      </w:r>
      <w:r w:rsidRPr="00C54C42">
        <w:rPr>
          <w:sz w:val="20"/>
          <w:szCs w:val="20"/>
        </w:rPr>
        <w:t xml:space="preserve">  </w:t>
      </w:r>
      <w:r w:rsidRPr="00CB4285" w:rsidR="00760BA9">
        <w:rPr>
          <w:rFonts w:ascii="Arial" w:hAnsi="Arial" w:cs="Arial"/>
          <w:sz w:val="20"/>
          <w:szCs w:val="20"/>
        </w:rPr>
        <w:t>A billing arrangement that allows multiple energy customers to receive net metering credit from a shared onsite or remote renewable energy system as if it was located behind the customer’s own meter</w:t>
      </w:r>
      <w:r w:rsidR="00760BA9">
        <w:rPr>
          <w:rFonts w:ascii="Arial" w:hAnsi="Arial" w:cs="Arial"/>
          <w:sz w:val="20"/>
          <w:szCs w:val="20"/>
        </w:rPr>
        <w:t>.</w:t>
      </w:r>
      <w:r w:rsidRPr="007C2198" w:rsidR="00760BA9">
        <w:rPr>
          <w:rFonts w:ascii="Arial" w:hAnsi="Arial" w:cs="Arial"/>
          <w:sz w:val="20"/>
          <w:szCs w:val="20"/>
        </w:rPr>
        <w:t xml:space="preserve"> </w:t>
      </w:r>
      <w:r w:rsidRPr="00A80425" w:rsidR="00760BA9">
        <w:rPr>
          <w:rFonts w:ascii="Arial" w:hAnsi="Arial" w:cs="Arial"/>
          <w:color w:val="000000" w:themeColor="text1"/>
          <w:sz w:val="20"/>
          <w:szCs w:val="20"/>
        </w:rPr>
        <w:t>Generally but not always virtual net metering programs have two primary business partners. One is the solar developer or operator, that sells a fraction (or all) of the system (usually measured in capacity or shares) to the ultimate customer(s) and an electric distribution company that bills the customer(s) for its energy use and provides a credit on the customer’s bill for the generation allocated to its share of the resource. In some cases the distribution company serves in both of these roles.</w:t>
      </w:r>
    </w:p>
    <w:p w:rsidRPr="00C54C42" w:rsidR="00B35D6A" w:rsidP="00C54C42" w:rsidRDefault="00B35D6A" w14:paraId="1933CC0F" w14:textId="77777777">
      <w:pPr>
        <w:spacing w:after="0" w:line="240" w:lineRule="auto"/>
        <w:rPr>
          <w:sz w:val="20"/>
          <w:szCs w:val="20"/>
        </w:rPr>
      </w:pPr>
    </w:p>
    <w:p w:rsidRPr="00C54C42" w:rsidR="00B35D6A" w:rsidP="00C54C42" w:rsidRDefault="00B35D6A" w14:paraId="73281A3D" w14:textId="77777777">
      <w:pPr>
        <w:pStyle w:val="ListParagraph"/>
        <w:numPr>
          <w:ilvl w:val="0"/>
          <w:numId w:val="16"/>
        </w:numPr>
        <w:spacing w:after="0" w:line="240" w:lineRule="auto"/>
        <w:ind w:left="360"/>
        <w:rPr>
          <w:sz w:val="20"/>
          <w:szCs w:val="20"/>
        </w:rPr>
      </w:pPr>
      <w:r w:rsidRPr="00C54C42">
        <w:rPr>
          <w:sz w:val="20"/>
          <w:szCs w:val="20"/>
        </w:rPr>
        <w:t xml:space="preserve">For all net metering applications, report the installed net metering capacity by state, customer class and technology.  Capacity for PV solar should be reported in MW in </w:t>
      </w:r>
      <w:r w:rsidR="00CC246F">
        <w:rPr>
          <w:sz w:val="20"/>
          <w:szCs w:val="20"/>
        </w:rPr>
        <w:t xml:space="preserve">AC or </w:t>
      </w:r>
      <w:r w:rsidRPr="00C54C42">
        <w:rPr>
          <w:sz w:val="20"/>
          <w:szCs w:val="20"/>
        </w:rPr>
        <w:t>DC. Capacity for wind and other technologies should be reported in MW as AC load capable. All of which should be reported to the nearest 0.001 MW.  Example: 8 kW should be 0.008 MW.</w:t>
      </w:r>
    </w:p>
    <w:p w:rsidRPr="00C54C42" w:rsidR="00B35D6A" w:rsidP="00C54C42" w:rsidRDefault="00B35D6A" w14:paraId="6483783D" w14:textId="77777777">
      <w:pPr>
        <w:spacing w:after="0" w:line="240" w:lineRule="auto"/>
        <w:rPr>
          <w:sz w:val="20"/>
          <w:szCs w:val="20"/>
        </w:rPr>
      </w:pPr>
    </w:p>
    <w:p w:rsidRPr="00C54C42" w:rsidR="00B35D6A" w:rsidP="00C54C42" w:rsidRDefault="00B35D6A" w14:paraId="22A8B386" w14:textId="77777777">
      <w:pPr>
        <w:pStyle w:val="ListParagraph"/>
        <w:numPr>
          <w:ilvl w:val="0"/>
          <w:numId w:val="16"/>
        </w:numPr>
        <w:spacing w:after="0" w:line="240" w:lineRule="auto"/>
        <w:ind w:left="360"/>
        <w:rPr>
          <w:sz w:val="20"/>
          <w:szCs w:val="20"/>
        </w:rPr>
      </w:pPr>
      <w:r w:rsidRPr="00C54C42">
        <w:rPr>
          <w:sz w:val="20"/>
          <w:szCs w:val="20"/>
        </w:rPr>
        <w:t xml:space="preserve">Report the number of net metering installations/customers that are actively enrolled in a net metering program as of the last day of the month.  For each program, technology type and sector, if you complete </w:t>
      </w:r>
      <w:r w:rsidRPr="000E06B8">
        <w:rPr>
          <w:sz w:val="20"/>
          <w:szCs w:val="20"/>
          <w:u w:val="single"/>
        </w:rPr>
        <w:t>installed capacity</w:t>
      </w:r>
      <w:r w:rsidRPr="00C54C42">
        <w:rPr>
          <w:sz w:val="20"/>
          <w:szCs w:val="20"/>
        </w:rPr>
        <w:t xml:space="preserve"> or </w:t>
      </w:r>
      <w:r w:rsidRPr="000E06B8">
        <w:rPr>
          <w:sz w:val="20"/>
          <w:szCs w:val="20"/>
          <w:u w:val="single"/>
        </w:rPr>
        <w:t>number of installations/customers</w:t>
      </w:r>
      <w:r w:rsidRPr="00C54C42">
        <w:rPr>
          <w:sz w:val="20"/>
          <w:szCs w:val="20"/>
        </w:rPr>
        <w:t xml:space="preserve"> then you will need to complete both lines of data.</w:t>
      </w:r>
    </w:p>
    <w:p w:rsidRPr="00C54C42" w:rsidR="00B35D6A" w:rsidP="00C54C42" w:rsidRDefault="00B35D6A" w14:paraId="3CFBDCB8" w14:textId="77777777">
      <w:pPr>
        <w:spacing w:after="0" w:line="240" w:lineRule="auto"/>
        <w:rPr>
          <w:sz w:val="20"/>
          <w:szCs w:val="20"/>
        </w:rPr>
      </w:pPr>
    </w:p>
    <w:p w:rsidRPr="00C54C42" w:rsidR="00B35D6A" w:rsidP="00C54C42" w:rsidRDefault="00B35D6A" w14:paraId="254F4BCC" w14:textId="77777777">
      <w:pPr>
        <w:pStyle w:val="ListParagraph"/>
        <w:numPr>
          <w:ilvl w:val="0"/>
          <w:numId w:val="16"/>
        </w:numPr>
        <w:spacing w:after="0" w:line="240" w:lineRule="auto"/>
        <w:ind w:left="360"/>
        <w:rPr>
          <w:sz w:val="20"/>
          <w:szCs w:val="20"/>
        </w:rPr>
      </w:pPr>
      <w:r w:rsidRPr="00C54C42">
        <w:rPr>
          <w:sz w:val="20"/>
          <w:szCs w:val="20"/>
        </w:rPr>
        <w:t>For PV solar installations also report the number of virtual net metered customers and the capacity of virtual net metering programs both for programs from resources that are less than one MW and resources that are 1 MW or greater. All three net metering programs, net metering, virtual net metering below 1 MW and virtual net metering above 1 MW should be mutually exclusive, meaning all three are added together to get the total.</w:t>
      </w:r>
    </w:p>
    <w:p w:rsidRPr="00C54C42" w:rsidR="00B35D6A" w:rsidP="00C54C42" w:rsidRDefault="00B35D6A" w14:paraId="6E1B997D" w14:textId="77777777">
      <w:pPr>
        <w:spacing w:after="0" w:line="240" w:lineRule="auto"/>
        <w:rPr>
          <w:sz w:val="20"/>
          <w:szCs w:val="20"/>
        </w:rPr>
      </w:pPr>
    </w:p>
    <w:p w:rsidRPr="00C54C42" w:rsidR="00B35D6A" w:rsidP="00C54C42" w:rsidRDefault="00B35D6A" w14:paraId="33DC3C15" w14:textId="77777777">
      <w:pPr>
        <w:pStyle w:val="ListParagraph"/>
        <w:numPr>
          <w:ilvl w:val="0"/>
          <w:numId w:val="16"/>
        </w:numPr>
        <w:spacing w:after="0" w:line="240" w:lineRule="auto"/>
        <w:ind w:left="360"/>
        <w:rPr>
          <w:sz w:val="20"/>
          <w:szCs w:val="20"/>
        </w:rPr>
      </w:pPr>
      <w:r w:rsidRPr="00C54C42">
        <w:rPr>
          <w:sz w:val="20"/>
          <w:szCs w:val="20"/>
        </w:rPr>
        <w:t>In addition, report the amount of known storage associated with the net PV metering installations</w:t>
      </w:r>
      <w:r w:rsidR="00760BA9">
        <w:rPr>
          <w:sz w:val="20"/>
          <w:szCs w:val="20"/>
        </w:rPr>
        <w:t xml:space="preserve">, </w:t>
      </w:r>
      <w:r w:rsidRPr="00760BA9" w:rsidR="00760BA9">
        <w:rPr>
          <w:b/>
          <w:sz w:val="20"/>
          <w:szCs w:val="20"/>
        </w:rPr>
        <w:t>if available</w:t>
      </w:r>
      <w:r w:rsidRPr="00C54C42">
        <w:rPr>
          <w:sz w:val="20"/>
          <w:szCs w:val="20"/>
        </w:rPr>
        <w:t>.</w:t>
      </w:r>
    </w:p>
    <w:p w:rsidRPr="00C54C42" w:rsidR="00B35D6A" w:rsidP="00C54C42" w:rsidRDefault="00B35D6A" w14:paraId="22F9CC38" w14:textId="77777777">
      <w:pPr>
        <w:spacing w:after="0" w:line="240" w:lineRule="auto"/>
        <w:rPr>
          <w:sz w:val="20"/>
          <w:szCs w:val="20"/>
        </w:rPr>
      </w:pPr>
    </w:p>
    <w:p w:rsidR="00C54C42" w:rsidP="00C54C42" w:rsidRDefault="00B35D6A" w14:paraId="641C4AF8" w14:textId="77777777">
      <w:pPr>
        <w:pStyle w:val="ListParagraph"/>
        <w:numPr>
          <w:ilvl w:val="0"/>
          <w:numId w:val="16"/>
        </w:numPr>
        <w:spacing w:after="0" w:line="240" w:lineRule="auto"/>
        <w:ind w:left="360"/>
        <w:rPr>
          <w:sz w:val="20"/>
          <w:szCs w:val="20"/>
        </w:rPr>
      </w:pPr>
      <w:r w:rsidRPr="00C54C42">
        <w:rPr>
          <w:sz w:val="20"/>
          <w:szCs w:val="20"/>
        </w:rPr>
        <w:t xml:space="preserve">If the data is available, enter the amount of electric energy sold back to the utility </w:t>
      </w:r>
      <w:r w:rsidRPr="000E06B8">
        <w:rPr>
          <w:b/>
          <w:sz w:val="20"/>
          <w:szCs w:val="20"/>
        </w:rPr>
        <w:t>(MWh)</w:t>
      </w:r>
      <w:r w:rsidRPr="00C54C42">
        <w:rPr>
          <w:sz w:val="20"/>
          <w:szCs w:val="20"/>
        </w:rPr>
        <w:t xml:space="preserve"> through the net metering application.  </w:t>
      </w:r>
    </w:p>
    <w:p w:rsidR="00C54C42" w:rsidP="00C54C42" w:rsidRDefault="00C54C42" w14:paraId="2C750900" w14:textId="77777777">
      <w:pPr>
        <w:spacing w:after="0" w:line="240" w:lineRule="auto"/>
        <w:rPr>
          <w:b/>
        </w:rPr>
      </w:pPr>
    </w:p>
    <w:p w:rsidR="00B35D6A" w:rsidP="00C54C42" w:rsidRDefault="00B35D6A" w14:paraId="20E716F9" w14:textId="77777777">
      <w:pPr>
        <w:spacing w:after="0" w:line="240" w:lineRule="auto"/>
        <w:jc w:val="center"/>
        <w:rPr>
          <w:b/>
        </w:rPr>
      </w:pPr>
      <w:r w:rsidRPr="00C54C42">
        <w:rPr>
          <w:b/>
        </w:rPr>
        <w:t>SCHEDULE 3, PART B. NON NET-METERED DISTRIBUTED GENERATORS</w:t>
      </w:r>
    </w:p>
    <w:p w:rsidRPr="00C54C42" w:rsidR="00C54C42" w:rsidP="00C54C42" w:rsidRDefault="00C54C42" w14:paraId="5C691D5B" w14:textId="77777777">
      <w:pPr>
        <w:spacing w:after="0" w:line="240" w:lineRule="auto"/>
        <w:jc w:val="center"/>
        <w:rPr>
          <w:sz w:val="20"/>
          <w:szCs w:val="20"/>
        </w:rPr>
      </w:pPr>
    </w:p>
    <w:p w:rsidRPr="00C54C42" w:rsidR="00B35D6A" w:rsidP="00B35D6A" w:rsidRDefault="00D342FD" w14:paraId="4798102A" w14:textId="77777777">
      <w:pPr>
        <w:rPr>
          <w:sz w:val="20"/>
          <w:szCs w:val="20"/>
        </w:rPr>
      </w:pPr>
      <w:r>
        <w:rPr>
          <w:b/>
          <w:sz w:val="20"/>
          <w:szCs w:val="20"/>
        </w:rPr>
        <w:t>Schedule 3, Part B</w:t>
      </w:r>
      <w:r w:rsidRPr="005622C3" w:rsidR="00B35D6A">
        <w:rPr>
          <w:b/>
          <w:sz w:val="20"/>
          <w:szCs w:val="20"/>
        </w:rPr>
        <w:t xml:space="preserve"> is intended to collect information about generators that are NOT reported on Form EIA-860, “Annual Electric Generator Report.”</w:t>
      </w:r>
      <w:r w:rsidRPr="00C54C42" w:rsidR="00B35D6A">
        <w:rPr>
          <w:sz w:val="20"/>
          <w:szCs w:val="20"/>
        </w:rPr>
        <w:t xml:space="preserve">  Plants with a capacity of 1 MW or greater which ARE grid-connected, meet the threshold criteria for reporting on the Form EIA-860 and as such, need not be reporte</w:t>
      </w:r>
      <w:r>
        <w:rPr>
          <w:sz w:val="20"/>
          <w:szCs w:val="20"/>
        </w:rPr>
        <w:t>d on Schedule 3B of Form EIA-861M</w:t>
      </w:r>
      <w:r w:rsidRPr="00C54C42" w:rsidR="00B35D6A">
        <w:rPr>
          <w:sz w:val="20"/>
          <w:szCs w:val="20"/>
        </w:rPr>
        <w:t xml:space="preserve">. </w:t>
      </w:r>
      <w:r w:rsidRPr="005622C3" w:rsidR="00B35D6A">
        <w:rPr>
          <w:b/>
          <w:sz w:val="20"/>
          <w:szCs w:val="20"/>
        </w:rPr>
        <w:t>Also Schedule 3B is intended to collect information about generators that are NOT reported in Schedule 3A (Net Metering Programs).</w:t>
      </w:r>
      <w:r w:rsidRPr="00C54C42" w:rsidR="00B35D6A">
        <w:rPr>
          <w:sz w:val="20"/>
          <w:szCs w:val="20"/>
        </w:rPr>
        <w:t xml:space="preserve"> Therefore, if the generator data has been reported in Schedule 3A, DO NOT include it under Schedule 3B, but include generators other than those that are net metered.</w:t>
      </w:r>
    </w:p>
    <w:p w:rsidRPr="00D342FD" w:rsidR="00D511AE" w:rsidP="00B35D6A" w:rsidRDefault="00B35D6A" w14:paraId="2FB0E883" w14:textId="77777777">
      <w:pPr>
        <w:rPr>
          <w:sz w:val="20"/>
          <w:szCs w:val="20"/>
        </w:rPr>
      </w:pPr>
      <w:r w:rsidRPr="00C54C42">
        <w:rPr>
          <w:sz w:val="20"/>
          <w:szCs w:val="20"/>
        </w:rPr>
        <w:t>This schedule now collects information from distribution companies by sector (residential, industrial, commercial and transportation) on generators of less than 1 megawatt (1000 kilowatts) installed at or near a customer’s site, or other sites within the system.  Provide actual data if available, otherwise provide best estimates.</w:t>
      </w:r>
    </w:p>
    <w:p w:rsidR="00C54C42" w:rsidP="00B35D6A" w:rsidRDefault="00C54C42" w14:paraId="30D4A77B" w14:textId="77777777"/>
    <w:p w:rsidRPr="00C54C42" w:rsidR="00B35D6A" w:rsidP="00C54C42" w:rsidRDefault="00B35D6A" w14:paraId="6929F4DE" w14:textId="77777777">
      <w:pPr>
        <w:jc w:val="center"/>
        <w:rPr>
          <w:b/>
        </w:rPr>
      </w:pPr>
      <w:r w:rsidRPr="00C54C42">
        <w:rPr>
          <w:b/>
        </w:rPr>
        <w:t>NUMBER AND CAPACITY</w:t>
      </w:r>
    </w:p>
    <w:p w:rsidRPr="00C54C42" w:rsidR="00B35D6A" w:rsidP="00C54C42" w:rsidRDefault="00B35D6A" w14:paraId="09A3EB07" w14:textId="77777777">
      <w:pPr>
        <w:pStyle w:val="ListParagraph"/>
        <w:numPr>
          <w:ilvl w:val="0"/>
          <w:numId w:val="18"/>
        </w:numPr>
        <w:rPr>
          <w:sz w:val="20"/>
          <w:szCs w:val="20"/>
        </w:rPr>
      </w:pPr>
      <w:r w:rsidRPr="00C54C42">
        <w:rPr>
          <w:sz w:val="20"/>
          <w:szCs w:val="20"/>
        </w:rPr>
        <w:t xml:space="preserve">For line 1, </w:t>
      </w:r>
      <w:r w:rsidRPr="00C72AAF">
        <w:rPr>
          <w:b/>
          <w:sz w:val="20"/>
          <w:szCs w:val="20"/>
        </w:rPr>
        <w:t>Number of generators</w:t>
      </w:r>
      <w:r w:rsidRPr="00C54C42">
        <w:rPr>
          <w:sz w:val="20"/>
          <w:szCs w:val="20"/>
        </w:rPr>
        <w:t xml:space="preserve">, provide the number of distributed generators in the area served by your distribution system, by state. </w:t>
      </w:r>
      <w:r w:rsidRPr="00C72AAF">
        <w:rPr>
          <w:b/>
          <w:sz w:val="20"/>
          <w:szCs w:val="20"/>
        </w:rPr>
        <w:t>(Less than 1 megawatt)</w:t>
      </w:r>
      <w:r w:rsidRPr="00C54C42">
        <w:rPr>
          <w:sz w:val="20"/>
          <w:szCs w:val="20"/>
        </w:rPr>
        <w:t xml:space="preserve">  </w:t>
      </w:r>
    </w:p>
    <w:p w:rsidRPr="00C54C42" w:rsidR="00C54C42" w:rsidP="00C54C42" w:rsidRDefault="00C54C42" w14:paraId="707C211D" w14:textId="77777777">
      <w:pPr>
        <w:pStyle w:val="ListParagraph"/>
        <w:ind w:left="360"/>
        <w:rPr>
          <w:sz w:val="20"/>
          <w:szCs w:val="20"/>
        </w:rPr>
      </w:pPr>
    </w:p>
    <w:p w:rsidRPr="00C54C42" w:rsidR="00B35D6A" w:rsidP="00C54C42" w:rsidRDefault="00B35D6A" w14:paraId="650F50DD" w14:textId="77777777">
      <w:pPr>
        <w:pStyle w:val="ListParagraph"/>
        <w:numPr>
          <w:ilvl w:val="0"/>
          <w:numId w:val="18"/>
        </w:numPr>
        <w:rPr>
          <w:sz w:val="20"/>
          <w:szCs w:val="20"/>
        </w:rPr>
      </w:pPr>
      <w:r w:rsidRPr="00C54C42">
        <w:rPr>
          <w:sz w:val="20"/>
          <w:szCs w:val="20"/>
        </w:rPr>
        <w:t xml:space="preserve">For line 2, </w:t>
      </w:r>
      <w:r w:rsidRPr="00C72AAF">
        <w:rPr>
          <w:b/>
          <w:sz w:val="20"/>
          <w:szCs w:val="20"/>
        </w:rPr>
        <w:t>Total combined capacity</w:t>
      </w:r>
      <w:r w:rsidRPr="00C54C42">
        <w:rPr>
          <w:sz w:val="20"/>
          <w:szCs w:val="20"/>
        </w:rPr>
        <w:t xml:space="preserve">, provide the nameplate capacity (to the nearest thousandths) </w:t>
      </w:r>
      <w:r w:rsidRPr="00C72AAF">
        <w:rPr>
          <w:b/>
          <w:sz w:val="20"/>
          <w:szCs w:val="20"/>
        </w:rPr>
        <w:t>for all generators with less than 1 megawatt</w:t>
      </w:r>
      <w:r w:rsidRPr="00C54C42">
        <w:rPr>
          <w:sz w:val="20"/>
          <w:szCs w:val="20"/>
        </w:rPr>
        <w:t xml:space="preserve"> that reported on line 1.  </w:t>
      </w:r>
    </w:p>
    <w:p w:rsidRPr="00C54C42" w:rsidR="00C54C42" w:rsidP="00C54C42" w:rsidRDefault="00C54C42" w14:paraId="179E2DE4" w14:textId="77777777">
      <w:pPr>
        <w:pStyle w:val="ListParagraph"/>
        <w:rPr>
          <w:sz w:val="20"/>
          <w:szCs w:val="20"/>
        </w:rPr>
      </w:pPr>
    </w:p>
    <w:p w:rsidRPr="00C54C42" w:rsidR="00B35D6A" w:rsidP="00C54C42" w:rsidRDefault="00B35D6A" w14:paraId="2A53441E" w14:textId="77777777">
      <w:pPr>
        <w:pStyle w:val="ListParagraph"/>
        <w:numPr>
          <w:ilvl w:val="0"/>
          <w:numId w:val="18"/>
        </w:numPr>
        <w:rPr>
          <w:sz w:val="20"/>
          <w:szCs w:val="20"/>
        </w:rPr>
      </w:pPr>
      <w:r w:rsidRPr="00C54C42">
        <w:rPr>
          <w:sz w:val="20"/>
          <w:szCs w:val="20"/>
        </w:rPr>
        <w:t xml:space="preserve">For line 3, Capacity that consists of </w:t>
      </w:r>
      <w:r w:rsidRPr="00C72AAF">
        <w:rPr>
          <w:b/>
          <w:sz w:val="20"/>
          <w:szCs w:val="20"/>
        </w:rPr>
        <w:t>backup-only units</w:t>
      </w:r>
      <w:r w:rsidRPr="00C54C42">
        <w:rPr>
          <w:sz w:val="20"/>
          <w:szCs w:val="20"/>
        </w:rPr>
        <w:t xml:space="preserve">, provide the total nameplate capacity of generators that are used only for emergency backup service.  </w:t>
      </w:r>
    </w:p>
    <w:p w:rsidRPr="00C54C42" w:rsidR="00C54C42" w:rsidP="00C54C42" w:rsidRDefault="00C54C42" w14:paraId="576906E4" w14:textId="77777777">
      <w:pPr>
        <w:pStyle w:val="ListParagraph"/>
        <w:rPr>
          <w:sz w:val="20"/>
          <w:szCs w:val="20"/>
        </w:rPr>
      </w:pPr>
    </w:p>
    <w:p w:rsidRPr="00C54C42" w:rsidR="00B35D6A" w:rsidP="00C54C42" w:rsidRDefault="00B35D6A" w14:paraId="733A4A6B" w14:textId="77777777">
      <w:pPr>
        <w:pStyle w:val="ListParagraph"/>
        <w:numPr>
          <w:ilvl w:val="0"/>
          <w:numId w:val="18"/>
        </w:numPr>
        <w:rPr>
          <w:sz w:val="20"/>
          <w:szCs w:val="20"/>
        </w:rPr>
      </w:pPr>
      <w:r w:rsidRPr="00C54C42">
        <w:rPr>
          <w:sz w:val="20"/>
          <w:szCs w:val="20"/>
        </w:rPr>
        <w:t xml:space="preserve">For Line 4, Capacity owned by respondent, provide the total nameplate capacity listed in line 2 that the respondent owns.  </w:t>
      </w:r>
    </w:p>
    <w:p w:rsidRPr="00C54C42" w:rsidR="00B35D6A" w:rsidP="00C54C42" w:rsidRDefault="00B35D6A" w14:paraId="1E45D2CD" w14:textId="77777777">
      <w:pPr>
        <w:jc w:val="center"/>
        <w:rPr>
          <w:b/>
        </w:rPr>
      </w:pPr>
      <w:r w:rsidRPr="00C54C42">
        <w:rPr>
          <w:b/>
        </w:rPr>
        <w:t>CAPACITY BY TECHNOLOGY AND SECTOR</w:t>
      </w:r>
    </w:p>
    <w:p w:rsidR="00B35D6A" w:rsidP="00B35D6A" w:rsidRDefault="00B35D6A" w14:paraId="77B4B38C" w14:textId="77777777">
      <w:pPr>
        <w:rPr>
          <w:sz w:val="20"/>
          <w:szCs w:val="20"/>
        </w:rPr>
      </w:pPr>
      <w:r w:rsidRPr="00C54C42">
        <w:rPr>
          <w:sz w:val="20"/>
          <w:szCs w:val="20"/>
        </w:rPr>
        <w:t xml:space="preserve">For each of the technologies listed in lines 5 through 13, provide the capacity and sector.  The total of lines 5 through 13 (line 14) should equal the total combined capacity in line 2. </w:t>
      </w:r>
    </w:p>
    <w:p w:rsidRPr="00C54C42" w:rsidR="00C72AAF" w:rsidP="00B35D6A" w:rsidRDefault="00C72AAF" w14:paraId="6A590116" w14:textId="77777777">
      <w:pPr>
        <w:rPr>
          <w:sz w:val="20"/>
          <w:szCs w:val="20"/>
        </w:rPr>
      </w:pPr>
      <w:r w:rsidRPr="00C72AAF">
        <w:rPr>
          <w:sz w:val="20"/>
          <w:szCs w:val="20"/>
        </w:rPr>
        <w:t>Storage should be included if available.</w:t>
      </w:r>
    </w:p>
    <w:p w:rsidR="00B35D6A" w:rsidP="00C54C42" w:rsidRDefault="00B35D6A" w14:paraId="738B9350" w14:textId="77777777">
      <w:pPr>
        <w:spacing w:after="0" w:line="240" w:lineRule="auto"/>
        <w:rPr>
          <w:sz w:val="20"/>
          <w:szCs w:val="20"/>
        </w:rPr>
      </w:pPr>
      <w:r w:rsidRPr="00C54C42">
        <w:rPr>
          <w:sz w:val="20"/>
          <w:szCs w:val="20"/>
        </w:rPr>
        <w:t>Direct Connected is for installations that are not located at an ultimate customer’s site but are in front of the meter and/or connected directly to a distribution system.</w:t>
      </w:r>
    </w:p>
    <w:p w:rsidR="00117C6F" w:rsidP="00C54C42" w:rsidRDefault="00117C6F" w14:paraId="4C9F5A99" w14:textId="77777777">
      <w:pPr>
        <w:spacing w:after="0" w:line="240" w:lineRule="auto"/>
        <w:rPr>
          <w:sz w:val="20"/>
          <w:szCs w:val="20"/>
        </w:rPr>
      </w:pPr>
    </w:p>
    <w:p w:rsidRPr="00C54C42" w:rsidR="00C54C42" w:rsidP="00C54C42" w:rsidRDefault="00C54C42" w14:paraId="18638736" w14:textId="77777777">
      <w:pPr>
        <w:spacing w:after="0" w:line="240" w:lineRule="auto"/>
        <w:rPr>
          <w:sz w:val="20"/>
          <w:szCs w:val="20"/>
        </w:rPr>
      </w:pPr>
    </w:p>
    <w:p w:rsidRPr="00C54C42" w:rsidR="00B35D6A" w:rsidP="00C54C42" w:rsidRDefault="00B35D6A" w14:paraId="3D46DE1C" w14:textId="77777777">
      <w:pPr>
        <w:spacing w:after="0" w:line="240" w:lineRule="auto"/>
        <w:jc w:val="center"/>
        <w:rPr>
          <w:b/>
        </w:rPr>
      </w:pPr>
      <w:r w:rsidRPr="00C54C42">
        <w:rPr>
          <w:b/>
        </w:rPr>
        <w:t>SCHEDULE 3, PART C. ADVANCED METERING</w:t>
      </w:r>
    </w:p>
    <w:p w:rsidR="00C54C42" w:rsidP="00C54C42" w:rsidRDefault="00C54C42" w14:paraId="62C3BA8D" w14:textId="77777777">
      <w:pPr>
        <w:spacing w:after="0" w:line="240" w:lineRule="auto"/>
      </w:pPr>
    </w:p>
    <w:p w:rsidRPr="00DC43B1" w:rsidR="00B35D6A" w:rsidP="00C54C42" w:rsidRDefault="00B35D6A" w14:paraId="09D8A006" w14:textId="77777777">
      <w:pPr>
        <w:spacing w:after="0" w:line="240" w:lineRule="auto"/>
        <w:rPr>
          <w:sz w:val="20"/>
          <w:szCs w:val="20"/>
        </w:rPr>
      </w:pPr>
      <w:r w:rsidRPr="00DC43B1">
        <w:rPr>
          <w:sz w:val="20"/>
          <w:szCs w:val="20"/>
        </w:rPr>
        <w:t>This data is no longer collected on this form.</w:t>
      </w:r>
    </w:p>
    <w:p w:rsidR="00117C6F" w:rsidP="00C54C42" w:rsidRDefault="00117C6F" w14:paraId="567FAFC4" w14:textId="77777777">
      <w:pPr>
        <w:spacing w:after="0" w:line="240" w:lineRule="auto"/>
      </w:pPr>
    </w:p>
    <w:p w:rsidR="00B35D6A" w:rsidP="00C54C42" w:rsidRDefault="00B35D6A" w14:paraId="7B86C4C5" w14:textId="77777777">
      <w:pPr>
        <w:spacing w:after="0" w:line="240" w:lineRule="auto"/>
      </w:pPr>
    </w:p>
    <w:p w:rsidRPr="00C54C42" w:rsidR="00B35D6A" w:rsidP="00C54C42" w:rsidRDefault="00B35D6A" w14:paraId="7C37C036" w14:textId="77777777">
      <w:pPr>
        <w:spacing w:after="0" w:line="240" w:lineRule="auto"/>
        <w:jc w:val="center"/>
        <w:rPr>
          <w:b/>
        </w:rPr>
      </w:pPr>
      <w:r w:rsidRPr="00C54C42">
        <w:rPr>
          <w:b/>
        </w:rPr>
        <w:t>SCHEDULE 4. MERGERS AND ACQUISITIONS</w:t>
      </w:r>
    </w:p>
    <w:p w:rsidR="00B35D6A" w:rsidP="00C54C42" w:rsidRDefault="00B35D6A" w14:paraId="01D5C132" w14:textId="77777777">
      <w:pPr>
        <w:spacing w:after="0" w:line="240" w:lineRule="auto"/>
      </w:pPr>
    </w:p>
    <w:p w:rsidRPr="00DC43B1" w:rsidR="00B35D6A" w:rsidP="00C54C42" w:rsidRDefault="00B35D6A" w14:paraId="00614C19" w14:textId="77777777">
      <w:pPr>
        <w:spacing w:after="0" w:line="240" w:lineRule="auto"/>
        <w:rPr>
          <w:sz w:val="20"/>
          <w:szCs w:val="20"/>
        </w:rPr>
      </w:pPr>
      <w:r w:rsidRPr="00DC43B1">
        <w:rPr>
          <w:sz w:val="20"/>
          <w:szCs w:val="20"/>
        </w:rPr>
        <w:t>If a merger or acquisition has occurred during the reporting period, report those newly-acquired entities whose operations are now included in this report.</w:t>
      </w:r>
    </w:p>
    <w:p w:rsidR="00B35D6A" w:rsidP="00B35D6A" w:rsidRDefault="00B35D6A" w14:paraId="2FB0FFA7" w14:textId="77777777"/>
    <w:p w:rsidR="00C54C42" w:rsidP="00B35D6A" w:rsidRDefault="00C54C42" w14:paraId="344C665B" w14:textId="77777777"/>
    <w:p w:rsidR="00C54C42" w:rsidP="00B35D6A" w:rsidRDefault="00C54C42" w14:paraId="71FF7F95" w14:textId="77777777"/>
    <w:p w:rsidR="00C54C42" w:rsidP="00B35D6A" w:rsidRDefault="00C54C42" w14:paraId="71CE5EC1" w14:textId="77777777"/>
    <w:p w:rsidR="00C54C42" w:rsidP="00B35D6A" w:rsidRDefault="00C54C42" w14:paraId="1515F40C" w14:textId="77777777"/>
    <w:p w:rsidR="00C54C42" w:rsidP="00B35D6A" w:rsidRDefault="00C54C42" w14:paraId="0640336D" w14:textId="77777777"/>
    <w:p w:rsidR="00C54C42" w:rsidP="00B35D6A" w:rsidRDefault="00C54C42" w14:paraId="68017F83" w14:textId="77777777"/>
    <w:p w:rsidR="00C54C42" w:rsidP="00B35D6A" w:rsidRDefault="00C54C42" w14:paraId="1C85B728" w14:textId="77777777"/>
    <w:p w:rsidR="00C54C42" w:rsidP="00B35D6A" w:rsidRDefault="00C54C42" w14:paraId="50D048F4" w14:textId="77777777"/>
    <w:tbl>
      <w:tblPr>
        <w:tblStyle w:val="TableGrid"/>
        <w:tblW w:w="10980" w:type="dxa"/>
        <w:tblInd w:w="-815" w:type="dxa"/>
        <w:tblLook w:val="04A0" w:firstRow="1" w:lastRow="0" w:firstColumn="1" w:lastColumn="0" w:noHBand="0" w:noVBand="1"/>
      </w:tblPr>
      <w:tblGrid>
        <w:gridCol w:w="4012"/>
        <w:gridCol w:w="6968"/>
      </w:tblGrid>
      <w:tr w:rsidR="00C54C42" w:rsidTr="00051C9C" w14:paraId="0C3E8846" w14:textId="77777777">
        <w:trPr>
          <w:trHeight w:val="611"/>
        </w:trPr>
        <w:tc>
          <w:tcPr>
            <w:tcW w:w="4012" w:type="dxa"/>
          </w:tcPr>
          <w:p w:rsidR="00C54C42" w:rsidP="007A5159" w:rsidRDefault="00C54C42" w14:paraId="618BA728" w14:textId="77777777">
            <w:pPr>
              <w:spacing w:before="120"/>
              <w:rPr>
                <w:rFonts w:ascii="Arial" w:hAnsi="Arial" w:cs="Arial"/>
                <w:b/>
              </w:rPr>
            </w:pPr>
            <w:r w:rsidRPr="00BE712C">
              <w:rPr>
                <w:rFonts w:ascii="Arial" w:hAnsi="Arial" w:cs="Arial"/>
                <w:b/>
              </w:rPr>
              <w:t>GLOSSARY</w:t>
            </w:r>
          </w:p>
        </w:tc>
        <w:tc>
          <w:tcPr>
            <w:tcW w:w="6968" w:type="dxa"/>
            <w:vAlign w:val="center"/>
          </w:tcPr>
          <w:p w:rsidRPr="00467CB4" w:rsidR="00C54C42" w:rsidP="007A5159" w:rsidRDefault="00C54C42" w14:paraId="4598A6A9" w14:textId="77777777">
            <w:pPr>
              <w:rPr>
                <w:rFonts w:ascii="Arial" w:hAnsi="Arial" w:cs="Arial"/>
                <w:b/>
                <w:sz w:val="20"/>
                <w:szCs w:val="20"/>
              </w:rPr>
            </w:pPr>
            <w:r w:rsidRPr="00467CB4">
              <w:rPr>
                <w:rFonts w:ascii="Arial" w:hAnsi="Arial" w:cs="Arial"/>
                <w:sz w:val="20"/>
                <w:szCs w:val="20"/>
              </w:rPr>
              <w:t xml:space="preserve">The glossary for this form is available online at the following URL: </w:t>
            </w:r>
            <w:hyperlink w:history="1" r:id="rId17">
              <w:r w:rsidRPr="00C63F57">
                <w:rPr>
                  <w:rStyle w:val="Hyperlink"/>
                  <w:rFonts w:ascii="Arial" w:hAnsi="Arial" w:cs="Arial"/>
                  <w:color w:val="0000FF"/>
                  <w:sz w:val="20"/>
                  <w:szCs w:val="20"/>
                </w:rPr>
                <w:t>http://www.eia.gov/glossary/index.html</w:t>
              </w:r>
            </w:hyperlink>
          </w:p>
        </w:tc>
      </w:tr>
      <w:tr w:rsidR="00C54C42" w:rsidTr="00051C9C" w14:paraId="03FF070F" w14:textId="77777777">
        <w:trPr>
          <w:trHeight w:val="3140"/>
        </w:trPr>
        <w:tc>
          <w:tcPr>
            <w:tcW w:w="4012" w:type="dxa"/>
          </w:tcPr>
          <w:p w:rsidR="00C54C42" w:rsidP="007A5159" w:rsidRDefault="00C54C42" w14:paraId="55FEA7F7" w14:textId="77777777">
            <w:pPr>
              <w:spacing w:before="120"/>
              <w:rPr>
                <w:rFonts w:ascii="Arial" w:hAnsi="Arial" w:cs="Arial"/>
                <w:b/>
              </w:rPr>
            </w:pPr>
            <w:r>
              <w:rPr>
                <w:rFonts w:ascii="Arial" w:hAnsi="Arial"/>
                <w:b/>
              </w:rPr>
              <w:t>SANCTIONS</w:t>
            </w:r>
          </w:p>
        </w:tc>
        <w:tc>
          <w:tcPr>
            <w:tcW w:w="6968" w:type="dxa"/>
            <w:vAlign w:val="center"/>
          </w:tcPr>
          <w:p w:rsidRPr="00233634" w:rsidR="005A7B3B" w:rsidP="005A7B3B" w:rsidRDefault="005A7B3B" w14:paraId="7A0E7B4A" w14:textId="77777777">
            <w:pPr>
              <w:spacing w:before="180"/>
              <w:rPr>
                <w:rFonts w:ascii="Arial" w:hAnsi="Arial" w:cs="Arial"/>
                <w:spacing w:val="2"/>
                <w:sz w:val="20"/>
                <w:szCs w:val="20"/>
              </w:rPr>
            </w:pPr>
            <w:r w:rsidRPr="00233634">
              <w:rPr>
                <w:sz w:val="20"/>
                <w:szCs w:val="20"/>
              </w:rPr>
              <w:t>The timely submission of Form EIA-860 by those required to report is mandatory under 15 U.S.C. §772(b),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Pr="009812F1" w:rsidR="00C54C42" w:rsidP="007A5159" w:rsidRDefault="00C54C42" w14:paraId="257E93F6" w14:textId="19D3D579">
            <w:pPr>
              <w:rPr>
                <w:rFonts w:ascii="Arial" w:hAnsi="Arial" w:cs="Arial"/>
                <w:b/>
                <w:sz w:val="20"/>
                <w:szCs w:val="20"/>
              </w:rPr>
            </w:pPr>
          </w:p>
        </w:tc>
      </w:tr>
      <w:tr w:rsidR="00C54C42" w:rsidTr="00051C9C" w14:paraId="20546BFC" w14:textId="77777777">
        <w:trPr>
          <w:trHeight w:val="3041"/>
        </w:trPr>
        <w:tc>
          <w:tcPr>
            <w:tcW w:w="4012" w:type="dxa"/>
          </w:tcPr>
          <w:p w:rsidR="00C54C42" w:rsidP="007A5159" w:rsidRDefault="00C54C42" w14:paraId="69BE70E3" w14:textId="77777777">
            <w:pPr>
              <w:spacing w:before="120"/>
              <w:rPr>
                <w:rFonts w:ascii="Arial" w:hAnsi="Arial" w:cs="Arial"/>
                <w:b/>
              </w:rPr>
            </w:pPr>
            <w:r>
              <w:rPr>
                <w:rFonts w:ascii="Arial" w:hAnsi="Arial"/>
                <w:b/>
              </w:rPr>
              <w:t>REPORTING BURDEN</w:t>
            </w:r>
          </w:p>
        </w:tc>
        <w:tc>
          <w:tcPr>
            <w:tcW w:w="6968" w:type="dxa"/>
            <w:vAlign w:val="center"/>
          </w:tcPr>
          <w:p w:rsidRPr="00467CB4" w:rsidR="00C54C42" w:rsidP="006061EC" w:rsidRDefault="00C54C42" w14:paraId="49FD9546" w14:textId="561D47C2">
            <w:pPr>
              <w:pStyle w:val="Footer"/>
              <w:spacing w:before="60"/>
              <w:rPr>
                <w:rFonts w:ascii="Arial" w:hAnsi="Arial" w:cs="Arial"/>
                <w:sz w:val="20"/>
                <w:szCs w:val="20"/>
              </w:rPr>
            </w:pPr>
            <w:r w:rsidRPr="00467CB4">
              <w:rPr>
                <w:rFonts w:ascii="Arial" w:hAnsi="Arial" w:cs="Arial"/>
                <w:sz w:val="20"/>
                <w:szCs w:val="20"/>
              </w:rPr>
              <w:t xml:space="preserve">Public reporting burden for this collection of information is estimated to average </w:t>
            </w:r>
            <w:r w:rsidR="006061EC">
              <w:rPr>
                <w:rFonts w:ascii="Arial" w:hAnsi="Arial" w:cs="Arial"/>
                <w:sz w:val="20"/>
                <w:szCs w:val="20"/>
              </w:rPr>
              <w:t>2.0</w:t>
            </w:r>
            <w:r w:rsidRPr="00467CB4">
              <w:rPr>
                <w:rFonts w:ascii="Arial" w:hAnsi="Arial" w:cs="Arial"/>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w:t>
            </w:r>
            <w:r>
              <w:rPr>
                <w:rFonts w:ascii="Arial" w:hAnsi="Arial" w:cs="Arial"/>
                <w:sz w:val="20"/>
                <w:szCs w:val="20"/>
              </w:rPr>
              <w:t xml:space="preserve">Office of Survey Development and </w:t>
            </w:r>
            <w:r w:rsidRPr="00467CB4">
              <w:rPr>
                <w:rFonts w:ascii="Arial" w:hAnsi="Arial" w:cs="Arial"/>
                <w:sz w:val="20"/>
                <w:szCs w:val="20"/>
              </w:rPr>
              <w:t>Statistic</w:t>
            </w:r>
            <w:r>
              <w:rPr>
                <w:rFonts w:ascii="Arial" w:hAnsi="Arial" w:cs="Arial"/>
                <w:sz w:val="20"/>
                <w:szCs w:val="20"/>
              </w:rPr>
              <w:t>al Integration</w:t>
            </w:r>
            <w:r w:rsidRPr="00467CB4">
              <w:rPr>
                <w:rFonts w:ascii="Arial" w:hAnsi="Arial" w:cs="Arial"/>
                <w:sz w:val="20"/>
                <w:szCs w:val="20"/>
              </w:rPr>
              <w:t>, EI-</w:t>
            </w:r>
            <w:r>
              <w:rPr>
                <w:rFonts w:ascii="Arial" w:hAnsi="Arial" w:cs="Arial"/>
                <w:sz w:val="20"/>
                <w:szCs w:val="20"/>
              </w:rPr>
              <w:t>21 Forrestal Building</w:t>
            </w:r>
            <w:r w:rsidRPr="00467CB4">
              <w:rPr>
                <w:rFonts w:ascii="Arial" w:hAnsi="Arial" w:cs="Arial"/>
                <w:sz w:val="20"/>
                <w:szCs w:val="20"/>
              </w:rPr>
              <w:t>, 1000 Independence Avenue SW, Washington, D.C. 20585-0670; and to the Office of Information and Regulatory Affairs, Office of Management and Budget, Washington, D.C. 20503.  A person is not required to respond to the collection of information unless the form displays a valid OMB number.</w:t>
            </w:r>
          </w:p>
        </w:tc>
      </w:tr>
      <w:tr w:rsidR="00C54C42" w:rsidTr="00051C9C" w14:paraId="6C851921" w14:textId="77777777">
        <w:trPr>
          <w:trHeight w:val="1529"/>
        </w:trPr>
        <w:tc>
          <w:tcPr>
            <w:tcW w:w="4012" w:type="dxa"/>
          </w:tcPr>
          <w:p w:rsidR="00C54C42" w:rsidP="007A5159" w:rsidRDefault="00C54C42" w14:paraId="61BF55F2" w14:textId="77777777">
            <w:pPr>
              <w:spacing w:before="120"/>
              <w:rPr>
                <w:rFonts w:ascii="Arial" w:hAnsi="Arial" w:cs="Arial"/>
                <w:b/>
              </w:rPr>
            </w:pPr>
            <w:r>
              <w:rPr>
                <w:rFonts w:ascii="Arial" w:hAnsi="Arial"/>
                <w:b/>
              </w:rPr>
              <w:t>DISCLOSURE OF INFORMATION</w:t>
            </w:r>
          </w:p>
        </w:tc>
        <w:tc>
          <w:tcPr>
            <w:tcW w:w="6968" w:type="dxa"/>
            <w:vAlign w:val="center"/>
          </w:tcPr>
          <w:p w:rsidR="00D66141" w:rsidP="00D66141" w:rsidRDefault="00D66141" w14:paraId="6646A957" w14:textId="0829A882">
            <w:pPr>
              <w:rPr>
                <w:rFonts w:ascii="Arial" w:hAnsi="Arial" w:cs="Arial"/>
                <w:sz w:val="20"/>
                <w:szCs w:val="20"/>
              </w:rPr>
            </w:pPr>
            <w:r w:rsidRPr="00D66141">
              <w:rPr>
                <w:rFonts w:ascii="Arial" w:hAnsi="Arial" w:cs="Arial"/>
                <w:sz w:val="20"/>
                <w:szCs w:val="20"/>
              </w:rPr>
              <w:t xml:space="preserve">The following information reported on this survey will be protected and not disclosed to the public to the extent that it satisfies the criteria for exemption under the Freedom of Information Act (FOIA), 5 U.S.C. §552, the Department of Energy (DOE) regulations, 10 C.F.R. §1004.11, implementing the FOIA, and the Trade Secrets Act, 18 U.S.C. §1905: </w:t>
            </w:r>
          </w:p>
          <w:p w:rsidRPr="00D66141" w:rsidR="00D66141" w:rsidP="00D66141" w:rsidRDefault="00D66141" w14:paraId="4E4A0188" w14:textId="77777777">
            <w:pPr>
              <w:rPr>
                <w:rFonts w:ascii="Arial" w:hAnsi="Arial" w:cs="Arial"/>
                <w:sz w:val="20"/>
                <w:szCs w:val="20"/>
              </w:rPr>
            </w:pPr>
          </w:p>
          <w:p w:rsidRPr="00D66141" w:rsidR="00D66141" w:rsidP="00D66141" w:rsidRDefault="00D66141" w14:paraId="3FDB54BC" w14:textId="77777777">
            <w:pPr>
              <w:numPr>
                <w:ilvl w:val="0"/>
                <w:numId w:val="21"/>
              </w:numPr>
              <w:rPr>
                <w:rFonts w:ascii="Arial" w:hAnsi="Arial" w:cs="Arial"/>
                <w:sz w:val="20"/>
                <w:szCs w:val="20"/>
              </w:rPr>
            </w:pPr>
            <w:r w:rsidRPr="00D66141">
              <w:rPr>
                <w:rFonts w:ascii="Arial" w:hAnsi="Arial" w:cs="Arial"/>
                <w:sz w:val="20"/>
                <w:szCs w:val="20"/>
              </w:rPr>
              <w:t>All information associated with the “Survey Contact” and the “Supervisor of Contact Person for Survey” on SCHEDULE 1 or SCHEDULE 4.</w:t>
            </w:r>
          </w:p>
          <w:p w:rsidR="00D66141" w:rsidP="00D66141" w:rsidRDefault="00D66141" w14:paraId="5C4E79E0" w14:textId="502CE207">
            <w:pPr>
              <w:numPr>
                <w:ilvl w:val="0"/>
                <w:numId w:val="21"/>
              </w:numPr>
              <w:rPr>
                <w:rFonts w:ascii="Arial" w:hAnsi="Arial" w:cs="Arial"/>
                <w:sz w:val="20"/>
                <w:szCs w:val="20"/>
              </w:rPr>
            </w:pPr>
            <w:r w:rsidRPr="00D66141">
              <w:rPr>
                <w:rFonts w:ascii="Arial" w:hAnsi="Arial" w:cs="Arial"/>
                <w:sz w:val="20"/>
                <w:szCs w:val="20"/>
              </w:rPr>
              <w:t xml:space="preserve">The information reported on SCHEDULE 2, PARTS B, C, and D, and SCHEDULE 3 for power marketers. This information will be protected and not publicly released in identifiable form for nine (9) months after the end of the reporting year. After nine (9) months from the end of the reporting year this information will be considered nonsensitive and may be publicly released in identifiable form. </w:t>
            </w:r>
          </w:p>
          <w:p w:rsidRPr="00D66141" w:rsidR="00D66141" w:rsidP="00D66141" w:rsidRDefault="00D66141" w14:paraId="34418234" w14:textId="77777777">
            <w:pPr>
              <w:ind w:left="360"/>
              <w:rPr>
                <w:rFonts w:ascii="Arial" w:hAnsi="Arial" w:cs="Arial"/>
                <w:sz w:val="20"/>
                <w:szCs w:val="20"/>
              </w:rPr>
            </w:pPr>
          </w:p>
          <w:p w:rsidRPr="00D66141" w:rsidR="00D66141" w:rsidP="00D66141" w:rsidRDefault="00D66141" w14:paraId="49A66E73" w14:textId="73DB60DE">
            <w:pPr>
              <w:rPr>
                <w:rFonts w:ascii="Arial" w:hAnsi="Arial" w:cs="Arial"/>
                <w:sz w:val="20"/>
                <w:szCs w:val="20"/>
              </w:rPr>
            </w:pPr>
            <w:r w:rsidRPr="00D66141">
              <w:rPr>
                <w:rFonts w:ascii="Arial" w:hAnsi="Arial" w:cs="Arial"/>
                <w:sz w:val="20"/>
                <w:szCs w:val="20"/>
              </w:rPr>
              <w:t>All other info</w:t>
            </w:r>
            <w:r>
              <w:rPr>
                <w:rFonts w:ascii="Arial" w:hAnsi="Arial" w:cs="Arial"/>
                <w:sz w:val="20"/>
                <w:szCs w:val="20"/>
              </w:rPr>
              <w:t>rmation reported on Form EIA-861</w:t>
            </w:r>
            <w:bookmarkStart w:name="_GoBack" w:id="0"/>
            <w:bookmarkEnd w:id="0"/>
            <w:r w:rsidRPr="00D66141">
              <w:rPr>
                <w:rFonts w:ascii="Arial" w:hAnsi="Arial" w:cs="Arial"/>
                <w:sz w:val="20"/>
                <w:szCs w:val="20"/>
              </w:rPr>
              <w:t xml:space="preserve"> is considered public information and may be publicly released in company identifiable form. The Federal Energy Administration Act requires EIA to provide company-specific data to other Federal agencies when requested for official use. The information reported on this form may also be made available, upon request, to another component of the Department of Energy (DOE) to any </w:t>
            </w:r>
            <w:r w:rsidRPr="00D66141">
              <w:rPr>
                <w:rFonts w:ascii="Arial" w:hAnsi="Arial" w:cs="Arial"/>
                <w:sz w:val="20"/>
                <w:szCs w:val="20"/>
              </w:rPr>
              <w:lastRenderedPageBreak/>
              <w:t>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 Disclosure limitation procedures are not applied to the aggregate statistical data published from this survey. There may be some statistics that are based on data from fewer than three respondents, or that are dominated by data from one or two large respondents. In these cases, it may be possible for a knowledgeable person to closely estimate the information reported by a respondent.</w:t>
            </w:r>
          </w:p>
          <w:p w:rsidRPr="00D0406B" w:rsidR="00C54C42" w:rsidP="007A5159" w:rsidRDefault="00C54C42" w14:paraId="2B708EAE" w14:textId="77777777">
            <w:pPr>
              <w:rPr>
                <w:rFonts w:ascii="Arial" w:hAnsi="Arial" w:cs="Arial"/>
                <w:sz w:val="20"/>
                <w:szCs w:val="20"/>
              </w:rPr>
            </w:pPr>
          </w:p>
          <w:p w:rsidR="00C54C42" w:rsidP="007A5159" w:rsidRDefault="00C54C42" w14:paraId="181E68FA" w14:textId="77777777">
            <w:pPr>
              <w:rPr>
                <w:rFonts w:ascii="Arial" w:hAnsi="Arial" w:cs="Arial"/>
                <w:sz w:val="20"/>
                <w:szCs w:val="20"/>
              </w:rPr>
            </w:pPr>
          </w:p>
          <w:p w:rsidRPr="00467CB4" w:rsidR="00C54C42" w:rsidP="007A5159" w:rsidRDefault="00C54C42" w14:paraId="61AE0866" w14:textId="77777777">
            <w:pPr>
              <w:spacing w:before="120"/>
              <w:rPr>
                <w:rFonts w:ascii="Arial" w:hAnsi="Arial" w:cs="Arial"/>
                <w:b/>
                <w:sz w:val="20"/>
                <w:szCs w:val="20"/>
              </w:rPr>
            </w:pPr>
          </w:p>
        </w:tc>
      </w:tr>
    </w:tbl>
    <w:p w:rsidR="00C54C42" w:rsidP="00B35D6A" w:rsidRDefault="00C54C42" w14:paraId="4921EC4B" w14:textId="77777777"/>
    <w:sectPr w:rsidR="00C54C4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C063" w14:textId="77777777" w:rsidR="00B35D6A" w:rsidRDefault="00B35D6A" w:rsidP="00B35D6A">
      <w:pPr>
        <w:spacing w:after="0" w:line="240" w:lineRule="auto"/>
      </w:pPr>
      <w:r>
        <w:separator/>
      </w:r>
    </w:p>
  </w:endnote>
  <w:endnote w:type="continuationSeparator" w:id="0">
    <w:p w14:paraId="0D99B9F1" w14:textId="77777777" w:rsidR="00B35D6A" w:rsidRDefault="00B35D6A" w:rsidP="00B3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B35D6A" w14:paraId="4269D938" w14:textId="77777777" w:rsidTr="007A5159">
      <w:trPr>
        <w:trHeight w:val="151"/>
      </w:trPr>
      <w:tc>
        <w:tcPr>
          <w:tcW w:w="2250" w:type="pct"/>
          <w:tcBorders>
            <w:bottom w:val="single" w:sz="4" w:space="0" w:color="0096D7" w:themeColor="accent1"/>
          </w:tcBorders>
        </w:tcPr>
        <w:p w14:paraId="0F8A52E7" w14:textId="77777777" w:rsidR="00B35D6A" w:rsidRDefault="00B35D6A" w:rsidP="00B35D6A">
          <w:pPr>
            <w:pStyle w:val="Header"/>
            <w:rPr>
              <w:rFonts w:asciiTheme="majorHAnsi" w:eastAsiaTheme="majorEastAsia" w:hAnsiTheme="majorHAnsi" w:cstheme="majorBidi"/>
              <w:b/>
              <w:bCs/>
            </w:rPr>
          </w:pPr>
        </w:p>
      </w:tc>
      <w:tc>
        <w:tcPr>
          <w:tcW w:w="500" w:type="pct"/>
          <w:vMerge w:val="restart"/>
          <w:noWrap/>
          <w:vAlign w:val="center"/>
        </w:tcPr>
        <w:p w14:paraId="489B13D3" w14:textId="77777777" w:rsidR="00B35D6A" w:rsidRDefault="00B35D6A" w:rsidP="00B35D6A">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BE4BB8" w:rsidRPr="00BE4BB8">
            <w:rPr>
              <w:rFonts w:asciiTheme="majorHAnsi" w:hAnsiTheme="majorHAnsi"/>
              <w:b/>
              <w:noProof/>
            </w:rPr>
            <w:t>9</w:t>
          </w:r>
          <w:r>
            <w:rPr>
              <w:rFonts w:asciiTheme="majorHAnsi" w:hAnsiTheme="majorHAnsi"/>
              <w:b/>
              <w:noProof/>
            </w:rPr>
            <w:fldChar w:fldCharType="end"/>
          </w:r>
          <w:r>
            <w:t xml:space="preserve"> </w:t>
          </w:r>
        </w:p>
      </w:tc>
      <w:tc>
        <w:tcPr>
          <w:tcW w:w="2250" w:type="pct"/>
          <w:tcBorders>
            <w:bottom w:val="single" w:sz="4" w:space="0" w:color="0096D7" w:themeColor="accent1"/>
          </w:tcBorders>
        </w:tcPr>
        <w:p w14:paraId="0054706E" w14:textId="77777777" w:rsidR="00B35D6A" w:rsidRDefault="00B35D6A" w:rsidP="00B35D6A">
          <w:pPr>
            <w:pStyle w:val="Header"/>
            <w:rPr>
              <w:rFonts w:asciiTheme="majorHAnsi" w:eastAsiaTheme="majorEastAsia" w:hAnsiTheme="majorHAnsi" w:cstheme="majorBidi"/>
              <w:b/>
              <w:bCs/>
            </w:rPr>
          </w:pPr>
        </w:p>
      </w:tc>
    </w:tr>
    <w:tr w:rsidR="00B35D6A" w14:paraId="26592042" w14:textId="77777777" w:rsidTr="007A5159">
      <w:trPr>
        <w:trHeight w:val="150"/>
      </w:trPr>
      <w:tc>
        <w:tcPr>
          <w:tcW w:w="2250" w:type="pct"/>
          <w:tcBorders>
            <w:top w:val="single" w:sz="4" w:space="0" w:color="0096D7" w:themeColor="accent1"/>
          </w:tcBorders>
        </w:tcPr>
        <w:p w14:paraId="71BF0818" w14:textId="77777777" w:rsidR="00B35D6A" w:rsidRDefault="00B35D6A" w:rsidP="00B35D6A">
          <w:pPr>
            <w:pStyle w:val="Header"/>
            <w:rPr>
              <w:rFonts w:asciiTheme="majorHAnsi" w:eastAsiaTheme="majorEastAsia" w:hAnsiTheme="majorHAnsi" w:cstheme="majorBidi"/>
              <w:b/>
              <w:bCs/>
            </w:rPr>
          </w:pPr>
        </w:p>
      </w:tc>
      <w:tc>
        <w:tcPr>
          <w:tcW w:w="500" w:type="pct"/>
          <w:vMerge/>
        </w:tcPr>
        <w:p w14:paraId="48A66546" w14:textId="77777777" w:rsidR="00B35D6A" w:rsidRDefault="00B35D6A" w:rsidP="00B35D6A">
          <w:pPr>
            <w:pStyle w:val="Header"/>
            <w:jc w:val="center"/>
            <w:rPr>
              <w:rFonts w:asciiTheme="majorHAnsi" w:eastAsiaTheme="majorEastAsia" w:hAnsiTheme="majorHAnsi" w:cstheme="majorBidi"/>
              <w:b/>
              <w:bCs/>
            </w:rPr>
          </w:pPr>
        </w:p>
      </w:tc>
      <w:tc>
        <w:tcPr>
          <w:tcW w:w="2250" w:type="pct"/>
          <w:tcBorders>
            <w:top w:val="single" w:sz="4" w:space="0" w:color="0096D7" w:themeColor="accent1"/>
          </w:tcBorders>
        </w:tcPr>
        <w:p w14:paraId="3287FF47" w14:textId="77777777" w:rsidR="00B35D6A" w:rsidRDefault="00B35D6A" w:rsidP="00B35D6A">
          <w:pPr>
            <w:pStyle w:val="Header"/>
            <w:rPr>
              <w:rFonts w:asciiTheme="majorHAnsi" w:eastAsiaTheme="majorEastAsia" w:hAnsiTheme="majorHAnsi" w:cstheme="majorBidi"/>
              <w:b/>
              <w:bCs/>
            </w:rPr>
          </w:pPr>
        </w:p>
      </w:tc>
    </w:tr>
  </w:tbl>
  <w:p w14:paraId="4437592C" w14:textId="77777777" w:rsidR="00B35D6A" w:rsidRDefault="00B35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30ED" w14:textId="77777777" w:rsidR="00B35D6A" w:rsidRDefault="00B35D6A" w:rsidP="00B35D6A">
      <w:pPr>
        <w:spacing w:after="0" w:line="240" w:lineRule="auto"/>
      </w:pPr>
      <w:r>
        <w:separator/>
      </w:r>
    </w:p>
  </w:footnote>
  <w:footnote w:type="continuationSeparator" w:id="0">
    <w:p w14:paraId="42D6A7AF" w14:textId="77777777" w:rsidR="00B35D6A" w:rsidRDefault="00B35D6A" w:rsidP="00B3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0" w:type="dxa"/>
      <w:tblInd w:w="-803" w:type="dxa"/>
      <w:shd w:val="pct10" w:color="auto" w:fill="auto"/>
      <w:tblLayout w:type="fixed"/>
      <w:tblLook w:val="04A0" w:firstRow="1" w:lastRow="0" w:firstColumn="1" w:lastColumn="0" w:noHBand="0" w:noVBand="1"/>
    </w:tblPr>
    <w:tblGrid>
      <w:gridCol w:w="3762"/>
      <w:gridCol w:w="4172"/>
      <w:gridCol w:w="3046"/>
    </w:tblGrid>
    <w:tr w:rsidR="00B35D6A" w14:paraId="0AD3E9E1" w14:textId="77777777" w:rsidTr="007A5159">
      <w:trPr>
        <w:trHeight w:val="1160"/>
      </w:trPr>
      <w:tc>
        <w:tcPr>
          <w:tcW w:w="3762" w:type="dxa"/>
          <w:shd w:val="clear" w:color="auto" w:fill="FFFFFF" w:themeFill="background1"/>
        </w:tcPr>
        <w:p w14:paraId="6D5089A0" w14:textId="77777777" w:rsidR="00B35D6A" w:rsidRPr="00A15368" w:rsidRDefault="00B35D6A" w:rsidP="00B35D6A">
          <w:pPr>
            <w:pStyle w:val="Header"/>
            <w:rPr>
              <w:b/>
            </w:rPr>
          </w:pPr>
          <w:r w:rsidRPr="00A15368">
            <w:rPr>
              <w:b/>
              <w:noProof/>
            </w:rPr>
            <w:drawing>
              <wp:inline distT="0" distB="0" distL="0" distR="0" wp14:anchorId="3F54EC1C" wp14:editId="37F2D473">
                <wp:extent cx="2217420" cy="617220"/>
                <wp:effectExtent l="0" t="0" r="0" b="0"/>
                <wp:docPr id="1" name="Picture 1" descr="large full EIA logo"/>
                <wp:cNvGraphicFramePr/>
                <a:graphic xmlns:a="http://schemas.openxmlformats.org/drawingml/2006/main">
                  <a:graphicData uri="http://schemas.openxmlformats.org/drawingml/2006/picture">
                    <pic:pic xmlns:pic="http://schemas.openxmlformats.org/drawingml/2006/picture">
                      <pic:nvPicPr>
                        <pic:cNvPr id="7" name="Picture 6" descr="large full EIA logo"/>
                        <pic:cNvPicPr/>
                      </pic:nvPicPr>
                      <pic:blipFill>
                        <a:blip r:embed="rId1" cstate="print"/>
                        <a:srcRect/>
                        <a:stretch>
                          <a:fillRect/>
                        </a:stretch>
                      </pic:blipFill>
                      <pic:spPr bwMode="auto">
                        <a:xfrm>
                          <a:off x="0" y="0"/>
                          <a:ext cx="2223193" cy="618827"/>
                        </a:xfrm>
                        <a:prstGeom prst="rect">
                          <a:avLst/>
                        </a:prstGeom>
                        <a:noFill/>
                        <a:ln w="9525">
                          <a:noFill/>
                          <a:miter lim="800000"/>
                          <a:headEnd/>
                          <a:tailEnd/>
                        </a:ln>
                      </pic:spPr>
                    </pic:pic>
                  </a:graphicData>
                </a:graphic>
              </wp:inline>
            </w:drawing>
          </w:r>
        </w:p>
      </w:tc>
      <w:tc>
        <w:tcPr>
          <w:tcW w:w="4172" w:type="dxa"/>
          <w:shd w:val="clear" w:color="auto" w:fill="FFFFFF" w:themeFill="background1"/>
        </w:tcPr>
        <w:p w14:paraId="45BCB92F" w14:textId="77777777" w:rsidR="00B35D6A" w:rsidRDefault="00B35D6A" w:rsidP="00B35D6A">
          <w:pPr>
            <w:pStyle w:val="Header"/>
            <w:jc w:val="center"/>
            <w:rPr>
              <w:b/>
              <w:sz w:val="24"/>
              <w:szCs w:val="24"/>
            </w:rPr>
          </w:pPr>
          <w:r w:rsidRPr="00661A04">
            <w:rPr>
              <w:b/>
              <w:sz w:val="24"/>
              <w:szCs w:val="24"/>
            </w:rPr>
            <w:t>FORM EIA-86</w:t>
          </w:r>
          <w:r>
            <w:rPr>
              <w:b/>
              <w:sz w:val="24"/>
              <w:szCs w:val="24"/>
            </w:rPr>
            <w:t>1M</w:t>
          </w:r>
          <w:r w:rsidRPr="00661A04">
            <w:rPr>
              <w:b/>
              <w:sz w:val="24"/>
              <w:szCs w:val="24"/>
            </w:rPr>
            <w:t xml:space="preserve"> </w:t>
          </w:r>
        </w:p>
        <w:p w14:paraId="741915DD" w14:textId="77777777" w:rsidR="00B35D6A" w:rsidRPr="00661A04" w:rsidRDefault="00B35D6A" w:rsidP="00B35D6A">
          <w:pPr>
            <w:pStyle w:val="Header"/>
            <w:jc w:val="center"/>
            <w:rPr>
              <w:b/>
              <w:sz w:val="24"/>
              <w:szCs w:val="24"/>
            </w:rPr>
          </w:pPr>
          <w:r>
            <w:rPr>
              <w:b/>
              <w:sz w:val="24"/>
              <w:szCs w:val="24"/>
            </w:rPr>
            <w:t>M</w:t>
          </w:r>
          <w:r w:rsidRPr="00661A04">
            <w:rPr>
              <w:b/>
              <w:sz w:val="24"/>
              <w:szCs w:val="24"/>
            </w:rPr>
            <w:t xml:space="preserve">ONTHLY ELECTRIC </w:t>
          </w:r>
          <w:r>
            <w:rPr>
              <w:b/>
              <w:sz w:val="24"/>
              <w:szCs w:val="24"/>
            </w:rPr>
            <w:t xml:space="preserve">POWER INDUSTRY </w:t>
          </w:r>
          <w:r w:rsidRPr="00661A04">
            <w:rPr>
              <w:b/>
              <w:sz w:val="24"/>
              <w:szCs w:val="24"/>
            </w:rPr>
            <w:t>REPORT INSTRUCTIONS</w:t>
          </w:r>
        </w:p>
      </w:tc>
      <w:tc>
        <w:tcPr>
          <w:tcW w:w="3046" w:type="dxa"/>
          <w:shd w:val="clear" w:color="auto" w:fill="FFFFFF" w:themeFill="background1"/>
        </w:tcPr>
        <w:p w14:paraId="0168BEAB" w14:textId="77777777" w:rsidR="00B35D6A" w:rsidRDefault="00B35D6A" w:rsidP="00B35D6A">
          <w:pPr>
            <w:pStyle w:val="TableParagraph"/>
            <w:jc w:val="right"/>
            <w:rPr>
              <w:rFonts w:ascii="Arial"/>
              <w:sz w:val="20"/>
            </w:rPr>
          </w:pPr>
        </w:p>
        <w:p w14:paraId="2A675182" w14:textId="77777777" w:rsidR="00B35D6A" w:rsidRDefault="00B35D6A" w:rsidP="00B35D6A">
          <w:pPr>
            <w:pStyle w:val="TableParagraph"/>
            <w:jc w:val="right"/>
            <w:rPr>
              <w:rFonts w:ascii="Arial" w:eastAsia="Arial" w:hAnsi="Arial" w:cs="Arial"/>
              <w:sz w:val="20"/>
              <w:szCs w:val="20"/>
            </w:rPr>
          </w:pPr>
          <w:r>
            <w:rPr>
              <w:rFonts w:ascii="Arial"/>
              <w:sz w:val="20"/>
            </w:rPr>
            <w:t>OMB</w:t>
          </w:r>
          <w:r>
            <w:rPr>
              <w:rFonts w:ascii="Arial"/>
              <w:spacing w:val="-11"/>
              <w:sz w:val="20"/>
            </w:rPr>
            <w:t xml:space="preserve"> </w:t>
          </w:r>
          <w:r>
            <w:rPr>
              <w:rFonts w:ascii="Arial"/>
              <w:sz w:val="20"/>
            </w:rPr>
            <w:t>No.</w:t>
          </w:r>
          <w:r>
            <w:rPr>
              <w:rFonts w:ascii="Arial"/>
              <w:spacing w:val="-10"/>
              <w:sz w:val="20"/>
            </w:rPr>
            <w:t xml:space="preserve"> </w:t>
          </w:r>
          <w:r>
            <w:rPr>
              <w:rFonts w:ascii="Arial"/>
              <w:sz w:val="20"/>
            </w:rPr>
            <w:t>1905-0129</w:t>
          </w:r>
        </w:p>
        <w:p w14:paraId="58AEA239" w14:textId="77777777" w:rsidR="00B35D6A" w:rsidRDefault="00B35D6A" w:rsidP="00B35D6A">
          <w:pPr>
            <w:pStyle w:val="TableParagraph"/>
            <w:jc w:val="right"/>
            <w:rPr>
              <w:rFonts w:ascii="Arial" w:eastAsia="Arial" w:hAnsi="Arial" w:cs="Arial"/>
              <w:sz w:val="20"/>
              <w:szCs w:val="20"/>
            </w:rPr>
          </w:pPr>
          <w:r>
            <w:rPr>
              <w:rFonts w:ascii="Arial"/>
              <w:spacing w:val="-1"/>
              <w:sz w:val="20"/>
            </w:rPr>
            <w:t>Approval</w:t>
          </w:r>
          <w:r>
            <w:rPr>
              <w:rFonts w:ascii="Arial"/>
              <w:spacing w:val="-13"/>
              <w:sz w:val="20"/>
            </w:rPr>
            <w:t xml:space="preserve"> </w:t>
          </w:r>
          <w:r>
            <w:rPr>
              <w:rFonts w:ascii="Arial"/>
              <w:spacing w:val="-1"/>
              <w:sz w:val="20"/>
            </w:rPr>
            <w:t>Expires:</w:t>
          </w:r>
          <w:r>
            <w:rPr>
              <w:rFonts w:ascii="Arial"/>
              <w:spacing w:val="-9"/>
              <w:sz w:val="20"/>
            </w:rPr>
            <w:t xml:space="preserve"> </w:t>
          </w:r>
          <w:r w:rsidR="009D2DF8">
            <w:rPr>
              <w:rFonts w:ascii="Arial"/>
              <w:spacing w:val="-9"/>
              <w:sz w:val="20"/>
            </w:rPr>
            <w:t>xx/xx/xxxx</w:t>
          </w:r>
        </w:p>
        <w:p w14:paraId="3E923A50" w14:textId="099272AE" w:rsidR="00B35D6A" w:rsidRPr="00A15368" w:rsidRDefault="00B35D6A" w:rsidP="0075571F">
          <w:pPr>
            <w:pStyle w:val="Header"/>
            <w:jc w:val="right"/>
            <w:rPr>
              <w:b/>
              <w:sz w:val="20"/>
              <w:szCs w:val="20"/>
            </w:rPr>
          </w:pPr>
          <w:r>
            <w:rPr>
              <w:rFonts w:ascii="Arial"/>
              <w:sz w:val="20"/>
            </w:rPr>
            <w:t>Burden:</w:t>
          </w:r>
          <w:r>
            <w:rPr>
              <w:rFonts w:ascii="Arial"/>
              <w:spacing w:val="45"/>
              <w:sz w:val="20"/>
            </w:rPr>
            <w:t xml:space="preserve"> </w:t>
          </w:r>
          <w:r w:rsidR="00CE68B4">
            <w:rPr>
              <w:rFonts w:ascii="Arial"/>
              <w:spacing w:val="-1"/>
              <w:sz w:val="20"/>
            </w:rPr>
            <w:t>2.0</w:t>
          </w:r>
          <w:r>
            <w:rPr>
              <w:rFonts w:ascii="Arial"/>
              <w:spacing w:val="-4"/>
              <w:sz w:val="20"/>
            </w:rPr>
            <w:t xml:space="preserve"> </w:t>
          </w:r>
          <w:r>
            <w:rPr>
              <w:rFonts w:ascii="Arial"/>
              <w:sz w:val="20"/>
            </w:rPr>
            <w:t>hours</w:t>
          </w:r>
        </w:p>
      </w:tc>
    </w:tr>
  </w:tbl>
  <w:p w14:paraId="7EC015E8" w14:textId="77777777" w:rsidR="00B35D6A" w:rsidRDefault="00B35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255"/>
    <w:multiLevelType w:val="hybridMultilevel"/>
    <w:tmpl w:val="D824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7F3E"/>
    <w:multiLevelType w:val="hybridMultilevel"/>
    <w:tmpl w:val="95544E6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85407E"/>
    <w:multiLevelType w:val="hybridMultilevel"/>
    <w:tmpl w:val="DE8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141F"/>
    <w:multiLevelType w:val="hybridMultilevel"/>
    <w:tmpl w:val="8D30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A434D"/>
    <w:multiLevelType w:val="hybridMultilevel"/>
    <w:tmpl w:val="483A43A8"/>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15:restartNumberingAfterBreak="0">
    <w:nsid w:val="24E52491"/>
    <w:multiLevelType w:val="hybridMultilevel"/>
    <w:tmpl w:val="8CC4B53E"/>
    <w:lvl w:ilvl="0" w:tplc="DB68C7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52007"/>
    <w:multiLevelType w:val="hybridMultilevel"/>
    <w:tmpl w:val="D1EC0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E84E73"/>
    <w:multiLevelType w:val="hybridMultilevel"/>
    <w:tmpl w:val="AF78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6771A"/>
    <w:multiLevelType w:val="hybridMultilevel"/>
    <w:tmpl w:val="E6E4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45BC"/>
    <w:multiLevelType w:val="hybridMultilevel"/>
    <w:tmpl w:val="6444F22A"/>
    <w:lvl w:ilvl="0" w:tplc="93DC07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80307"/>
    <w:multiLevelType w:val="hybridMultilevel"/>
    <w:tmpl w:val="956A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14F85"/>
    <w:multiLevelType w:val="hybridMultilevel"/>
    <w:tmpl w:val="C9648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15808"/>
    <w:multiLevelType w:val="hybridMultilevel"/>
    <w:tmpl w:val="21E4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6700B"/>
    <w:multiLevelType w:val="hybridMultilevel"/>
    <w:tmpl w:val="51E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42E5B"/>
    <w:multiLevelType w:val="hybridMultilevel"/>
    <w:tmpl w:val="CBAAD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B65D09"/>
    <w:multiLevelType w:val="hybridMultilevel"/>
    <w:tmpl w:val="1150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60DD"/>
    <w:multiLevelType w:val="hybridMultilevel"/>
    <w:tmpl w:val="A8EE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077FA"/>
    <w:multiLevelType w:val="hybridMultilevel"/>
    <w:tmpl w:val="E4AC5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D1AC0"/>
    <w:multiLevelType w:val="hybridMultilevel"/>
    <w:tmpl w:val="B9E0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A8570C"/>
    <w:multiLevelType w:val="hybridMultilevel"/>
    <w:tmpl w:val="4B5C7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4"/>
  </w:num>
  <w:num w:numId="4">
    <w:abstractNumId w:val="6"/>
  </w:num>
  <w:num w:numId="5">
    <w:abstractNumId w:val="20"/>
  </w:num>
  <w:num w:numId="6">
    <w:abstractNumId w:val="12"/>
  </w:num>
  <w:num w:numId="7">
    <w:abstractNumId w:val="15"/>
  </w:num>
  <w:num w:numId="8">
    <w:abstractNumId w:val="1"/>
  </w:num>
  <w:num w:numId="9">
    <w:abstractNumId w:val="7"/>
  </w:num>
  <w:num w:numId="10">
    <w:abstractNumId w:val="10"/>
  </w:num>
  <w:num w:numId="11">
    <w:abstractNumId w:val="11"/>
  </w:num>
  <w:num w:numId="12">
    <w:abstractNumId w:val="2"/>
  </w:num>
  <w:num w:numId="13">
    <w:abstractNumId w:val="16"/>
  </w:num>
  <w:num w:numId="14">
    <w:abstractNumId w:val="8"/>
  </w:num>
  <w:num w:numId="15">
    <w:abstractNumId w:val="3"/>
  </w:num>
  <w:num w:numId="16">
    <w:abstractNumId w:val="0"/>
  </w:num>
  <w:num w:numId="17">
    <w:abstractNumId w:val="5"/>
  </w:num>
  <w:num w:numId="18">
    <w:abstractNumId w:val="17"/>
  </w:num>
  <w:num w:numId="19">
    <w:abstractNumId w:val="9"/>
  </w:num>
  <w:num w:numId="20">
    <w:abstractNumId w:val="18"/>
  </w:num>
  <w:num w:numId="2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6A"/>
    <w:rsid w:val="00051C9C"/>
    <w:rsid w:val="00056CC7"/>
    <w:rsid w:val="000E06B8"/>
    <w:rsid w:val="001122A8"/>
    <w:rsid w:val="00117C6F"/>
    <w:rsid w:val="00167F2A"/>
    <w:rsid w:val="001E0C88"/>
    <w:rsid w:val="00233634"/>
    <w:rsid w:val="0034097B"/>
    <w:rsid w:val="00370A75"/>
    <w:rsid w:val="003C34B2"/>
    <w:rsid w:val="004E7CA9"/>
    <w:rsid w:val="005622C3"/>
    <w:rsid w:val="005A7B3B"/>
    <w:rsid w:val="005C365E"/>
    <w:rsid w:val="005E5F06"/>
    <w:rsid w:val="006061EC"/>
    <w:rsid w:val="00633C44"/>
    <w:rsid w:val="00703754"/>
    <w:rsid w:val="00750986"/>
    <w:rsid w:val="0075571F"/>
    <w:rsid w:val="00760BA9"/>
    <w:rsid w:val="007E360E"/>
    <w:rsid w:val="00830C71"/>
    <w:rsid w:val="0084162E"/>
    <w:rsid w:val="009224ED"/>
    <w:rsid w:val="009812F1"/>
    <w:rsid w:val="009D2DF8"/>
    <w:rsid w:val="00A06DB5"/>
    <w:rsid w:val="00A1055A"/>
    <w:rsid w:val="00A439BC"/>
    <w:rsid w:val="00AB1DEF"/>
    <w:rsid w:val="00AE3419"/>
    <w:rsid w:val="00B35D6A"/>
    <w:rsid w:val="00B55812"/>
    <w:rsid w:val="00B74A7F"/>
    <w:rsid w:val="00BE4BB8"/>
    <w:rsid w:val="00BE672E"/>
    <w:rsid w:val="00C119D7"/>
    <w:rsid w:val="00C54C42"/>
    <w:rsid w:val="00C63F57"/>
    <w:rsid w:val="00C72AAF"/>
    <w:rsid w:val="00C93C2F"/>
    <w:rsid w:val="00CC246F"/>
    <w:rsid w:val="00CE68B4"/>
    <w:rsid w:val="00CF40F1"/>
    <w:rsid w:val="00D342FD"/>
    <w:rsid w:val="00D511AE"/>
    <w:rsid w:val="00D66141"/>
    <w:rsid w:val="00DC43B1"/>
    <w:rsid w:val="00DE712A"/>
    <w:rsid w:val="00DF00A9"/>
    <w:rsid w:val="00F1662D"/>
    <w:rsid w:val="00F906E2"/>
    <w:rsid w:val="00FE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7814"/>
  <w15:chartTrackingRefBased/>
  <w15:docId w15:val="{F1B8517C-00DF-4F3B-AF09-7F45348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D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35D6A"/>
    <w:pPr>
      <w:spacing w:after="120" w:line="276" w:lineRule="auto"/>
    </w:pPr>
  </w:style>
  <w:style w:type="character" w:customStyle="1" w:styleId="BodyTextChar">
    <w:name w:val="Body Text Char"/>
    <w:basedOn w:val="DefaultParagraphFont"/>
    <w:link w:val="BodyText"/>
    <w:uiPriority w:val="99"/>
    <w:rsid w:val="00B35D6A"/>
  </w:style>
  <w:style w:type="paragraph" w:styleId="ListParagraph">
    <w:name w:val="List Paragraph"/>
    <w:basedOn w:val="Normal"/>
    <w:uiPriority w:val="1"/>
    <w:qFormat/>
    <w:rsid w:val="00B35D6A"/>
    <w:pPr>
      <w:spacing w:after="200" w:line="276" w:lineRule="auto"/>
      <w:ind w:left="720"/>
      <w:contextualSpacing/>
    </w:pPr>
  </w:style>
  <w:style w:type="character" w:styleId="Hyperlink">
    <w:name w:val="Hyperlink"/>
    <w:basedOn w:val="DefaultParagraphFont"/>
    <w:uiPriority w:val="99"/>
    <w:unhideWhenUsed/>
    <w:rsid w:val="00B35D6A"/>
    <w:rPr>
      <w:color w:val="0096D7" w:themeColor="hyperlink"/>
      <w:u w:val="single"/>
    </w:rPr>
  </w:style>
  <w:style w:type="paragraph" w:styleId="Header">
    <w:name w:val="header"/>
    <w:basedOn w:val="Normal"/>
    <w:link w:val="HeaderChar"/>
    <w:uiPriority w:val="99"/>
    <w:unhideWhenUsed/>
    <w:rsid w:val="00B35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D6A"/>
  </w:style>
  <w:style w:type="paragraph" w:styleId="Footer">
    <w:name w:val="footer"/>
    <w:basedOn w:val="Normal"/>
    <w:link w:val="FooterChar"/>
    <w:uiPriority w:val="99"/>
    <w:unhideWhenUsed/>
    <w:rsid w:val="00B35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D6A"/>
  </w:style>
  <w:style w:type="paragraph" w:customStyle="1" w:styleId="TableParagraph">
    <w:name w:val="Table Paragraph"/>
    <w:basedOn w:val="Normal"/>
    <w:uiPriority w:val="1"/>
    <w:qFormat/>
    <w:rsid w:val="00B35D6A"/>
    <w:pPr>
      <w:widowControl w:val="0"/>
      <w:spacing w:after="0" w:line="240" w:lineRule="auto"/>
    </w:pPr>
  </w:style>
  <w:style w:type="paragraph" w:styleId="NoSpacing">
    <w:name w:val="No Spacing"/>
    <w:link w:val="NoSpacingChar"/>
    <w:uiPriority w:val="1"/>
    <w:qFormat/>
    <w:rsid w:val="00B35D6A"/>
    <w:pPr>
      <w:spacing w:after="0" w:line="240" w:lineRule="auto"/>
    </w:pPr>
    <w:rPr>
      <w:rFonts w:eastAsiaTheme="minorEastAsia"/>
    </w:rPr>
  </w:style>
  <w:style w:type="character" w:customStyle="1" w:styleId="NoSpacingChar">
    <w:name w:val="No Spacing Char"/>
    <w:basedOn w:val="DefaultParagraphFont"/>
    <w:link w:val="NoSpacing"/>
    <w:uiPriority w:val="1"/>
    <w:rsid w:val="00B35D6A"/>
    <w:rPr>
      <w:rFonts w:eastAsiaTheme="minorEastAsia"/>
    </w:rPr>
  </w:style>
  <w:style w:type="paragraph" w:styleId="BodyTextIndent">
    <w:name w:val="Body Text Indent"/>
    <w:basedOn w:val="Normal"/>
    <w:link w:val="BodyTextIndentChar"/>
    <w:uiPriority w:val="99"/>
    <w:unhideWhenUsed/>
    <w:rsid w:val="00167F2A"/>
    <w:pPr>
      <w:spacing w:after="120" w:line="276" w:lineRule="auto"/>
      <w:ind w:left="360"/>
    </w:pPr>
  </w:style>
  <w:style w:type="character" w:customStyle="1" w:styleId="BodyTextIndentChar">
    <w:name w:val="Body Text Indent Char"/>
    <w:basedOn w:val="DefaultParagraphFont"/>
    <w:link w:val="BodyTextIndent"/>
    <w:uiPriority w:val="99"/>
    <w:rsid w:val="00167F2A"/>
  </w:style>
  <w:style w:type="paragraph" w:styleId="BalloonText">
    <w:name w:val="Balloon Text"/>
    <w:basedOn w:val="Normal"/>
    <w:link w:val="BalloonTextChar"/>
    <w:uiPriority w:val="99"/>
    <w:semiHidden/>
    <w:unhideWhenUsed/>
    <w:rsid w:val="0060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1EC"/>
    <w:rPr>
      <w:rFonts w:ascii="Segoe UI" w:hAnsi="Segoe UI" w:cs="Segoe UI"/>
      <w:sz w:val="18"/>
      <w:szCs w:val="18"/>
    </w:rPr>
  </w:style>
  <w:style w:type="character" w:styleId="FollowedHyperlink">
    <w:name w:val="FollowedHyperlink"/>
    <w:basedOn w:val="DefaultParagraphFont"/>
    <w:uiPriority w:val="99"/>
    <w:semiHidden/>
    <w:unhideWhenUsed/>
    <w:rsid w:val="0034097B"/>
    <w:rPr>
      <w:color w:val="5D9732" w:themeColor="followedHyperlink"/>
      <w:u w:val="single"/>
    </w:rPr>
  </w:style>
  <w:style w:type="character" w:styleId="CommentReference">
    <w:name w:val="annotation reference"/>
    <w:basedOn w:val="DefaultParagraphFont"/>
    <w:uiPriority w:val="99"/>
    <w:semiHidden/>
    <w:unhideWhenUsed/>
    <w:rsid w:val="0034097B"/>
    <w:rPr>
      <w:sz w:val="16"/>
      <w:szCs w:val="16"/>
    </w:rPr>
  </w:style>
  <w:style w:type="paragraph" w:styleId="CommentText">
    <w:name w:val="annotation text"/>
    <w:basedOn w:val="Normal"/>
    <w:link w:val="CommentTextChar"/>
    <w:uiPriority w:val="99"/>
    <w:semiHidden/>
    <w:unhideWhenUsed/>
    <w:rsid w:val="0034097B"/>
    <w:pPr>
      <w:spacing w:line="240" w:lineRule="auto"/>
    </w:pPr>
    <w:rPr>
      <w:sz w:val="20"/>
      <w:szCs w:val="20"/>
    </w:rPr>
  </w:style>
  <w:style w:type="character" w:customStyle="1" w:styleId="CommentTextChar">
    <w:name w:val="Comment Text Char"/>
    <w:basedOn w:val="DefaultParagraphFont"/>
    <w:link w:val="CommentText"/>
    <w:uiPriority w:val="99"/>
    <w:semiHidden/>
    <w:rsid w:val="0034097B"/>
    <w:rPr>
      <w:sz w:val="20"/>
      <w:szCs w:val="20"/>
    </w:rPr>
  </w:style>
  <w:style w:type="paragraph" w:styleId="CommentSubject">
    <w:name w:val="annotation subject"/>
    <w:basedOn w:val="CommentText"/>
    <w:next w:val="CommentText"/>
    <w:link w:val="CommentSubjectChar"/>
    <w:uiPriority w:val="99"/>
    <w:semiHidden/>
    <w:unhideWhenUsed/>
    <w:rsid w:val="0034097B"/>
    <w:rPr>
      <w:b/>
      <w:bCs/>
    </w:rPr>
  </w:style>
  <w:style w:type="character" w:customStyle="1" w:styleId="CommentSubjectChar">
    <w:name w:val="Comment Subject Char"/>
    <w:basedOn w:val="CommentTextChar"/>
    <w:link w:val="CommentSubject"/>
    <w:uiPriority w:val="99"/>
    <w:semiHidden/>
    <w:rsid w:val="00340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IA-861M@ei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IA-826@eia.gov" TargetMode="External"/><Relationship Id="rId17" Type="http://schemas.openxmlformats.org/officeDocument/2006/relationships/hyperlink" Target="http://www.eia.doe.gov/glossary/index.html" TargetMode="External"/><Relationship Id="rId2" Type="http://schemas.openxmlformats.org/officeDocument/2006/relationships/customXml" Target="../customXml/item2.xml"/><Relationship Id="rId16" Type="http://schemas.openxmlformats.org/officeDocument/2006/relationships/hyperlink" Target="mailto:EIA-861M@e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IA-826@eia.gov" TargetMode="External"/><Relationship Id="rId5" Type="http://schemas.openxmlformats.org/officeDocument/2006/relationships/styles" Target="styles.xml"/><Relationship Id="rId15" Type="http://schemas.openxmlformats.org/officeDocument/2006/relationships/hyperlink" Target="mailto:EIA-861M@eia.gov" TargetMode="External"/><Relationship Id="rId10" Type="http://schemas.openxmlformats.org/officeDocument/2006/relationships/hyperlink" Target="mailto:EIA-826@eia.go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IA-861M@e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F2FF5-7B05-4D3B-89CD-BC25A91F1D13}">
  <ds:schemaRefs>
    <ds:schemaRef ds:uri="http://schemas.microsoft.com/sharepoint/v3/contenttype/forms"/>
  </ds:schemaRefs>
</ds:datastoreItem>
</file>

<file path=customXml/itemProps2.xml><?xml version="1.0" encoding="utf-8"?>
<ds:datastoreItem xmlns:ds="http://schemas.openxmlformats.org/officeDocument/2006/customXml" ds:itemID="{BE290E16-BB43-4C94-91BB-D2CCCB55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69FB9-E35E-4BEA-9648-5424A81BF69D}">
  <ds:schemaRefs>
    <ds:schemaRef ds:uri="http://www.w3.org/XML/1998/namespace"/>
    <ds:schemaRef ds:uri="fe387294-2a31-40de-b73a-855586cea4d4"/>
    <ds:schemaRef ds:uri="http://purl.org/dc/terms/"/>
    <ds:schemaRef ds:uri="http://purl.org/dc/dcmitype/"/>
    <ds:schemaRef ds:uri="http://schemas.microsoft.com/office/2006/metadata/properties"/>
    <ds:schemaRef ds:uri="http://purl.org/dc/elements/1.1/"/>
    <ds:schemaRef ds:uri="http://schemas.microsoft.com/office/2006/documentManagement/types"/>
    <ds:schemaRef ds:uri="01cbf84b-8154-4c34-a5c2-b3e09542287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Zaccagnino, Michelle (CONTR)</dc:creator>
  <cp:keywords/>
  <dc:description/>
  <cp:lastModifiedBy>Hoff, Sara</cp:lastModifiedBy>
  <cp:revision>2</cp:revision>
  <dcterms:created xsi:type="dcterms:W3CDTF">2020-05-04T19:30:00Z</dcterms:created>
  <dcterms:modified xsi:type="dcterms:W3CDTF">2020-05-04T19:30:00Z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