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72C5" w:rsidR="004772C5" w:rsidP="004772C5" w:rsidRDefault="004772C5" w14:paraId="5A9EF9E2" w14:textId="7B21EC30">
      <w:pPr>
        <w:spacing w:after="100" w:afterAutospacing="1"/>
        <w:jc w:val="center"/>
        <w:rPr>
          <w:b/>
          <w:bCs/>
        </w:rPr>
      </w:pPr>
      <w:r>
        <w:rPr>
          <w:b/>
          <w:bCs/>
        </w:rPr>
        <w:t xml:space="preserve">Supporting Statement </w:t>
      </w:r>
      <w:r w:rsidRPr="004772C5">
        <w:rPr>
          <w:b/>
          <w:bCs/>
        </w:rPr>
        <w:t xml:space="preserve">for the Recordkeeping and Reporting Requirements for the Renewable Fuel Standard (RFS) Program: RFS Annual Rules  </w:t>
      </w:r>
    </w:p>
    <w:p w:rsidR="6AB033C2" w:rsidP="2A1646D5" w:rsidRDefault="6AB033C2" w14:paraId="2793B508" w14:textId="04CE41B7">
      <w:pPr>
        <w:spacing w:afterAutospacing="1"/>
        <w:rPr>
          <w:rFonts w:eastAsia="Calibri" w:cs="Arial"/>
          <w:color w:val="FF0000"/>
          <w:szCs w:val="24"/>
          <w:highlight w:val="yellow"/>
        </w:rPr>
      </w:pPr>
    </w:p>
    <w:p w:rsidR="00590EB4" w:rsidP="00590EB4" w:rsidRDefault="00590EB4" w14:paraId="7F380508" w14:textId="77777777">
      <w:pPr>
        <w:outlineLvl w:val="0"/>
        <w:rPr>
          <w:b/>
        </w:rPr>
      </w:pPr>
      <w:r>
        <w:rPr>
          <w:b/>
        </w:rPr>
        <w:t>1.</w:t>
      </w:r>
      <w:r>
        <w:rPr>
          <w:b/>
        </w:rPr>
        <w:tab/>
      </w:r>
      <w:r>
        <w:rPr>
          <w:b/>
          <w:u w:val="single"/>
        </w:rPr>
        <w:t>Identification of the Information Collection</w:t>
      </w:r>
    </w:p>
    <w:p w:rsidR="00590EB4" w:rsidP="00590EB4" w:rsidRDefault="00590EB4" w14:paraId="2325FD98" w14:textId="77777777">
      <w:pPr>
        <w:rPr>
          <w:b/>
        </w:rPr>
      </w:pPr>
    </w:p>
    <w:p w:rsidR="00590EB4" w:rsidP="00590EB4" w:rsidRDefault="00590EB4" w14:paraId="037E6319" w14:textId="77777777">
      <w:pPr>
        <w:ind w:firstLine="720"/>
        <w:outlineLvl w:val="1"/>
        <w:rPr>
          <w:b/>
        </w:rPr>
      </w:pPr>
      <w:r>
        <w:rPr>
          <w:b/>
        </w:rPr>
        <w:t>1(a)</w:t>
      </w:r>
      <w:r>
        <w:rPr>
          <w:b/>
        </w:rPr>
        <w:tab/>
        <w:t>Title of the Information Collection</w:t>
      </w:r>
    </w:p>
    <w:p w:rsidR="00590EB4" w:rsidP="00590EB4" w:rsidRDefault="00590EB4" w14:paraId="22AC765F" w14:textId="77777777">
      <w:pPr>
        <w:ind w:firstLine="720"/>
      </w:pPr>
    </w:p>
    <w:p w:rsidR="00590EB4" w:rsidP="00590EB4" w:rsidRDefault="004772C5" w14:paraId="4D45EE81" w14:textId="712061A9">
      <w:pPr>
        <w:ind w:firstLine="720"/>
      </w:pPr>
      <w:r>
        <w:t>Renewable Fuel Standard (RFS) Program: RFS Annual Rules</w:t>
      </w:r>
      <w:r w:rsidR="00306CDD">
        <w:t xml:space="preserve">, </w:t>
      </w:r>
      <w:r w:rsidR="00590EB4">
        <w:t xml:space="preserve">EPA ICR No. </w:t>
      </w:r>
      <w:r w:rsidR="00CC2062">
        <w:rPr>
          <w:rFonts w:cs="Times New Roman"/>
          <w:color w:val="000000" w:themeColor="text1"/>
        </w:rPr>
        <w:t>2691</w:t>
      </w:r>
      <w:r w:rsidR="00590EB4">
        <w:rPr>
          <w:rFonts w:cs="Times New Roman"/>
          <w:color w:val="000000" w:themeColor="text1"/>
        </w:rPr>
        <w:t>.01</w:t>
      </w:r>
      <w:r w:rsidR="00590EB4">
        <w:t>, OMB Control Number 2060-NEW.</w:t>
      </w:r>
    </w:p>
    <w:p w:rsidR="00590EB4" w:rsidP="00590EB4" w:rsidRDefault="00590EB4" w14:paraId="0EDBBC75" w14:textId="77777777">
      <w:pPr>
        <w:ind w:firstLine="720"/>
      </w:pPr>
      <w:r>
        <w:t xml:space="preserve"> </w:t>
      </w:r>
    </w:p>
    <w:p w:rsidR="2A1646D5" w:rsidP="004772C5" w:rsidRDefault="00590EB4" w14:paraId="79D6A582" w14:textId="54A961CD">
      <w:pPr>
        <w:spacing w:after="100" w:afterAutospacing="1"/>
        <w:ind w:firstLine="720"/>
        <w:rPr>
          <w:rFonts w:eastAsia="Calibri" w:cs="Arial"/>
          <w:b/>
          <w:bCs/>
          <w:szCs w:val="24"/>
        </w:rPr>
      </w:pPr>
      <w:r w:rsidRPr="2A1646D5">
        <w:rPr>
          <w:b/>
          <w:bCs/>
        </w:rPr>
        <w:t>1(b)</w:t>
      </w:r>
      <w:r>
        <w:tab/>
      </w:r>
      <w:r w:rsidRPr="2A1646D5">
        <w:rPr>
          <w:b/>
          <w:bCs/>
        </w:rPr>
        <w:t>Short characterization:</w:t>
      </w:r>
      <w:r w:rsidRPr="2A1646D5" w:rsidR="00475142">
        <w:rPr>
          <w:b/>
          <w:bCs/>
        </w:rPr>
        <w:t xml:space="preserve"> </w:t>
      </w:r>
    </w:p>
    <w:p w:rsidR="008F5AE6" w:rsidP="008A54BC" w:rsidRDefault="006C74BB" w14:paraId="04112761" w14:textId="77777777">
      <w:pPr>
        <w:tabs>
          <w:tab w:val="left" w:pos="6840"/>
        </w:tabs>
        <w:spacing w:after="100" w:afterAutospacing="1"/>
        <w:ind w:firstLine="720"/>
      </w:pPr>
      <w:r>
        <w:t xml:space="preserve">This </w:t>
      </w:r>
      <w:r w:rsidR="00F44157">
        <w:t xml:space="preserve">ICR is for a </w:t>
      </w:r>
      <w:r>
        <w:t>proposed</w:t>
      </w:r>
      <w:r w:rsidR="00F717DE">
        <w:t xml:space="preserve"> </w:t>
      </w:r>
      <w:r w:rsidR="00AE14B5">
        <w:t xml:space="preserve">rule makes a variety of amendments to the </w:t>
      </w:r>
      <w:r w:rsidR="002B3D80">
        <w:t>Renewable Fuel Standard (</w:t>
      </w:r>
      <w:r w:rsidR="00AE14B5">
        <w:t>RFS</w:t>
      </w:r>
      <w:r w:rsidR="002B3D80">
        <w:t>)</w:t>
      </w:r>
      <w:r w:rsidR="00AE14B5">
        <w:t xml:space="preserve"> regulations</w:t>
      </w:r>
      <w:r w:rsidR="005F63F9">
        <w:t>, including amendments that will permit biointermediates into the RFS program</w:t>
      </w:r>
      <w:r w:rsidR="00107624">
        <w:t xml:space="preserve">. </w:t>
      </w:r>
      <w:r w:rsidR="005F63F9">
        <w:t>A</w:t>
      </w:r>
      <w:r w:rsidRPr="005F63F9" w:rsidR="005F63F9">
        <w:t xml:space="preserve"> “biointermediate” </w:t>
      </w:r>
      <w:r w:rsidR="005F63F9">
        <w:t xml:space="preserve">is produced from renewable biomass </w:t>
      </w:r>
      <w:r w:rsidR="001354CD">
        <w:t xml:space="preserve">at a biointermediate production facility </w:t>
      </w:r>
      <w:r w:rsidR="00F44157">
        <w:t xml:space="preserve">and </w:t>
      </w:r>
      <w:r w:rsidR="005F63F9">
        <w:t xml:space="preserve">is not </w:t>
      </w:r>
      <w:r w:rsidR="00F44157">
        <w:t xml:space="preserve">itself </w:t>
      </w:r>
      <w:r w:rsidR="005F63F9">
        <w:t xml:space="preserve">a renewable fuel; </w:t>
      </w:r>
      <w:r w:rsidR="00F44157">
        <w:t>the biointermediate</w:t>
      </w:r>
      <w:r w:rsidR="005F63F9">
        <w:t xml:space="preserve"> will be </w:t>
      </w:r>
      <w:r w:rsidRPr="005F63F9" w:rsidR="005F63F9">
        <w:t xml:space="preserve">processed into </w:t>
      </w:r>
      <w:r w:rsidR="00F44157">
        <w:t xml:space="preserve">a </w:t>
      </w:r>
      <w:r w:rsidRPr="005F63F9" w:rsidR="005F63F9">
        <w:t xml:space="preserve">renewable fuel at </w:t>
      </w:r>
      <w:r w:rsidR="00F44157">
        <w:t xml:space="preserve">a </w:t>
      </w:r>
      <w:r w:rsidRPr="005F63F9" w:rsidR="005F63F9">
        <w:t xml:space="preserve">subsequent </w:t>
      </w:r>
      <w:r w:rsidR="001354CD">
        <w:t xml:space="preserve">renewable fuel production </w:t>
      </w:r>
      <w:r w:rsidRPr="005F63F9" w:rsidR="005F63F9">
        <w:t xml:space="preserve">facility. </w:t>
      </w:r>
      <w:r w:rsidR="00F44157">
        <w:t xml:space="preserve">Prior to this proposed rule, the RFS regulation did not include biointermediates, but there are economic and practical reasons that parties may wish to use them. </w:t>
      </w:r>
      <w:r w:rsidR="005F63F9">
        <w:t>The party who produces a biointermediate at their facili</w:t>
      </w:r>
      <w:r w:rsidR="00F44157">
        <w:t>ty</w:t>
      </w:r>
      <w:r w:rsidR="005F63F9">
        <w:t xml:space="preserve"> is a “biointermediate producer” and the party who processes the biointermediate into renewable fuel </w:t>
      </w:r>
      <w:r w:rsidR="00F44157">
        <w:t xml:space="preserve">at their subsequent facility </w:t>
      </w:r>
      <w:r w:rsidR="005F63F9">
        <w:t xml:space="preserve">is a “renewable fuel producer.” </w:t>
      </w:r>
    </w:p>
    <w:p w:rsidRPr="002C4DA7" w:rsidR="004772C5" w:rsidP="002C4DA7" w:rsidRDefault="00573E8D" w14:paraId="7B33F383" w14:textId="1EEAF8A2">
      <w:pPr>
        <w:tabs>
          <w:tab w:val="left" w:pos="6840"/>
        </w:tabs>
        <w:spacing w:after="100" w:afterAutospacing="1"/>
        <w:ind w:firstLine="720"/>
      </w:pPr>
      <w:r>
        <w:t>The proposed</w:t>
      </w:r>
      <w:r w:rsidR="002A29D9">
        <w:t xml:space="preserve"> </w:t>
      </w:r>
      <w:r w:rsidR="005F63F9">
        <w:t xml:space="preserve">regulations </w:t>
      </w:r>
      <w:r w:rsidR="002A29D9">
        <w:t>include</w:t>
      </w:r>
      <w:r w:rsidR="3178B81C">
        <w:t xml:space="preserve"> new</w:t>
      </w:r>
      <w:r w:rsidR="002A29D9">
        <w:t xml:space="preserve"> information collection burdens </w:t>
      </w:r>
      <w:r w:rsidR="00D452C2">
        <w:t xml:space="preserve">that </w:t>
      </w:r>
      <w:r w:rsidR="002A29D9">
        <w:t>are</w:t>
      </w:r>
      <w:r w:rsidR="00C77A83">
        <w:t xml:space="preserve"> related to</w:t>
      </w:r>
      <w:r w:rsidR="364C89B7">
        <w:t xml:space="preserve"> </w:t>
      </w:r>
      <w:r w:rsidR="00C77A83">
        <w:t xml:space="preserve">allowing </w:t>
      </w:r>
      <w:r w:rsidR="002A29D9">
        <w:t>biointermediates</w:t>
      </w:r>
      <w:r w:rsidR="00C77A83">
        <w:t xml:space="preserve"> in</w:t>
      </w:r>
      <w:r w:rsidR="00DC077E">
        <w:t>to</w:t>
      </w:r>
      <w:r w:rsidR="00C77A83">
        <w:t xml:space="preserve"> the RFS program</w:t>
      </w:r>
      <w:r w:rsidR="002A29D9">
        <w:t xml:space="preserve">. </w:t>
      </w:r>
      <w:r w:rsidRPr="005F63F9" w:rsidR="005F63F9">
        <w:t xml:space="preserve"> The recordkeeping and reporting requirements of this proposed regulation would allow the EPA to monitor compliance from biointermediate producers, </w:t>
      </w:r>
      <w:r w:rsidR="00F44157">
        <w:t xml:space="preserve">biointermediate importers, and renewable fuel producers who use biointermediates. Biointermediate producers (who have proposed recordkeeping and reporting requirements) and biointermediate importers (who have proposed recordkeeping requirements) are new regulated parties under the proposed rule. Renewable fuel producers are existing regulated parties who may increase in number (e.g., as new registrants who wish to make renewable fuel from biointermediates) or who may be subject to additional recordkeeping and reporting associated with their biointermediate use. </w:t>
      </w:r>
      <w:r w:rsidR="00E05D46">
        <w:t xml:space="preserve">Biointermediate producers and renewable fuel producers have proposed requirements related to having third party engineering reviews of their processes and facilities as part of registration, having a quality assurance plan (QAP) performed by an independent QAP provider, and have requirements for attest engagements performed as a check on their records and compliance report by a third party auditor. </w:t>
      </w:r>
      <w:r w:rsidR="00D80410">
        <w:t xml:space="preserve">Biointermediate </w:t>
      </w:r>
      <w:r w:rsidR="00E94A4D">
        <w:t>importers would need to engage a third party to provide a</w:t>
      </w:r>
      <w:r w:rsidR="003F2CC9">
        <w:t xml:space="preserve"> certification of volumes they import. </w:t>
      </w:r>
      <w:r w:rsidR="00E05D46">
        <w:t>These engineering review, QAP requirements, audit requirements</w:t>
      </w:r>
      <w:r w:rsidR="003F2CC9">
        <w:t>, and volume certifications</w:t>
      </w:r>
      <w:r w:rsidR="00E05D46">
        <w:t xml:space="preserve"> are “purchased services” for purposes of this ICR and are discussed in greater detail below. </w:t>
      </w:r>
    </w:p>
    <w:p w:rsidR="00717F40" w:rsidP="004772C5" w:rsidRDefault="00717F40" w14:paraId="5AB864C5" w14:textId="6EFEBBB9">
      <w:pPr>
        <w:ind w:firstLine="720"/>
      </w:pPr>
    </w:p>
    <w:p w:rsidR="00717F40" w:rsidP="004772C5" w:rsidRDefault="00E23CE9" w14:paraId="3D74971A" w14:textId="4D906E51">
      <w:pPr>
        <w:ind w:firstLine="720"/>
      </w:pPr>
      <w:r>
        <w:t>T</w:t>
      </w:r>
      <w:r w:rsidR="00717F40">
        <w:t xml:space="preserve">his information collection request is related to </w:t>
      </w:r>
      <w:r>
        <w:t xml:space="preserve">the following </w:t>
      </w:r>
      <w:r w:rsidR="00717F40">
        <w:t>approved information collection requests for the RFS program</w:t>
      </w:r>
      <w:r>
        <w:t>:</w:t>
      </w:r>
      <w:r w:rsidR="00717F40">
        <w:t xml:space="preserve"> </w:t>
      </w:r>
      <w:r w:rsidR="001A358F">
        <w:t>2060-0723 (expiring</w:t>
      </w:r>
      <w:r w:rsidR="00954D7D">
        <w:t xml:space="preserve"> 11/30/2022)</w:t>
      </w:r>
      <w:r w:rsidR="0069541B">
        <w:t xml:space="preserve">, </w:t>
      </w:r>
      <w:r w:rsidR="00954D7D">
        <w:t>2060-0725 (expiring 08/31/2022)</w:t>
      </w:r>
      <w:r w:rsidR="0069541B">
        <w:t xml:space="preserve"> and 2060-0728 (expiring </w:t>
      </w:r>
      <w:r w:rsidR="00C25114">
        <w:t>12/31/2023)</w:t>
      </w:r>
      <w:r w:rsidR="00954D7D">
        <w:t xml:space="preserve">. </w:t>
      </w:r>
      <w:r w:rsidR="00885438">
        <w:t xml:space="preserve">It </w:t>
      </w:r>
      <w:r w:rsidR="002C4DA7">
        <w:t>may be</w:t>
      </w:r>
      <w:r w:rsidR="00885438">
        <w:t xml:space="preserve"> helpful </w:t>
      </w:r>
      <w:r w:rsidR="002C4DA7">
        <w:t xml:space="preserve">for interested parties </w:t>
      </w:r>
      <w:r w:rsidR="00885438">
        <w:t xml:space="preserve">to </w:t>
      </w:r>
      <w:r w:rsidR="00885438">
        <w:lastRenderedPageBreak/>
        <w:t xml:space="preserve">look at these ICRs, since renewable fuel producers are existing respondents under these collections and have certain </w:t>
      </w:r>
      <w:r w:rsidR="002C4DA7">
        <w:t xml:space="preserve">existing </w:t>
      </w:r>
      <w:r w:rsidR="00885438">
        <w:t>recordkeeping and reporting items described in each of these ICRs. For this reason, i</w:t>
      </w:r>
      <w:r w:rsidR="00717F40">
        <w:t>nterested parties may wish to r</w:t>
      </w:r>
      <w:r w:rsidR="00527B48">
        <w:t>eference</w:t>
      </w:r>
      <w:r w:rsidR="00717F40">
        <w:t xml:space="preserve"> these</w:t>
      </w:r>
      <w:r w:rsidR="00527B48">
        <w:t xml:space="preserve"> existing</w:t>
      </w:r>
      <w:r w:rsidR="00717F40">
        <w:t xml:space="preserve"> information collection requests, which are available at</w:t>
      </w:r>
      <w:r w:rsidR="00F63B15">
        <w:t xml:space="preserve"> </w:t>
      </w:r>
      <w:r w:rsidR="001377BA">
        <w:t>the OMB Paperwork Reduction Act page (</w:t>
      </w:r>
      <w:r w:rsidRPr="00F63B15" w:rsidR="00F63B15">
        <w:t>https://www.reginfo.gov/public/do/PRAMain</w:t>
      </w:r>
      <w:r w:rsidR="001377BA">
        <w:t>)</w:t>
      </w:r>
      <w:r w:rsidR="00717F40">
        <w:t xml:space="preserve">. </w:t>
      </w:r>
    </w:p>
    <w:p w:rsidR="00DC077E" w:rsidP="009F129F" w:rsidRDefault="00DC077E" w14:paraId="7CC6BA6A" w14:textId="77777777">
      <w:pPr>
        <w:spacing w:after="100" w:afterAutospacing="1"/>
        <w:ind w:firstLine="720"/>
      </w:pPr>
    </w:p>
    <w:p w:rsidR="003166C3" w:rsidP="003166C3" w:rsidRDefault="003166C3" w14:paraId="61101129" w14:textId="77777777">
      <w:pPr>
        <w:pStyle w:val="Standard"/>
        <w:outlineLvl w:val="0"/>
        <w:rPr>
          <w:b/>
          <w:u w:val="single"/>
        </w:rPr>
      </w:pPr>
      <w:r>
        <w:rPr>
          <w:b/>
        </w:rPr>
        <w:t>2.</w:t>
      </w:r>
      <w:r>
        <w:rPr>
          <w:b/>
        </w:rPr>
        <w:tab/>
      </w:r>
      <w:r>
        <w:rPr>
          <w:b/>
          <w:u w:val="single"/>
        </w:rPr>
        <w:t>Need For, and Use of, the Collection</w:t>
      </w:r>
    </w:p>
    <w:p w:rsidR="003166C3" w:rsidP="003166C3" w:rsidRDefault="003166C3" w14:paraId="406F2F55" w14:textId="77777777">
      <w:pPr>
        <w:pStyle w:val="Standard"/>
        <w:ind w:firstLine="720"/>
        <w:rPr>
          <w:b/>
          <w:u w:val="single"/>
        </w:rPr>
      </w:pPr>
    </w:p>
    <w:p w:rsidR="003166C3" w:rsidP="003166C3" w:rsidRDefault="003166C3" w14:paraId="047796C4" w14:textId="77777777">
      <w:pPr>
        <w:pStyle w:val="Standard"/>
        <w:ind w:firstLine="720"/>
        <w:outlineLvl w:val="1"/>
        <w:rPr>
          <w:b/>
        </w:rPr>
      </w:pPr>
      <w:r>
        <w:rPr>
          <w:b/>
        </w:rPr>
        <w:t>2(a)</w:t>
      </w:r>
      <w:r>
        <w:rPr>
          <w:b/>
        </w:rPr>
        <w:tab/>
        <w:t>Authority for the Collection</w:t>
      </w:r>
    </w:p>
    <w:p w:rsidR="003166C3" w:rsidP="003166C3" w:rsidRDefault="003166C3" w14:paraId="7ADF8A3B" w14:textId="77777777">
      <w:pPr>
        <w:pStyle w:val="Standard"/>
        <w:ind w:left="720"/>
      </w:pPr>
    </w:p>
    <w:p w:rsidR="003166C3" w:rsidP="003166C3" w:rsidRDefault="003166C3" w14:paraId="6CC70001" w14:textId="51071238">
      <w:pPr>
        <w:pStyle w:val="Standard"/>
        <w:ind w:firstLine="720"/>
      </w:pPr>
      <w:r>
        <w:t xml:space="preserve">Sections 114 and 208 of the </w:t>
      </w:r>
      <w:r w:rsidR="00475142">
        <w:t>Clean Air Act (</w:t>
      </w:r>
      <w:r>
        <w:t>CAA</w:t>
      </w:r>
      <w:r w:rsidR="00475142">
        <w:t>)</w:t>
      </w:r>
      <w:r>
        <w:t>, 42 U.S.C. §§ 7414 and 7542, authorize EPA to require recordkeeping and reporting regarding enforcement of the provisions of Title II of the CAA.</w:t>
      </w:r>
    </w:p>
    <w:p w:rsidR="003166C3" w:rsidP="003166C3" w:rsidRDefault="003166C3" w14:paraId="295808E5" w14:textId="77777777">
      <w:pPr>
        <w:pStyle w:val="Standard"/>
        <w:ind w:firstLine="720"/>
      </w:pPr>
    </w:p>
    <w:p w:rsidR="003166C3" w:rsidP="003166C3" w:rsidRDefault="003166C3" w14:paraId="315A0DA3" w14:textId="77777777">
      <w:pPr>
        <w:pStyle w:val="Standard"/>
        <w:ind w:firstLine="720"/>
        <w:outlineLvl w:val="1"/>
        <w:rPr>
          <w:b/>
        </w:rPr>
      </w:pPr>
      <w:r>
        <w:rPr>
          <w:b/>
        </w:rPr>
        <w:t>2(b)</w:t>
      </w:r>
      <w:r>
        <w:rPr>
          <w:b/>
        </w:rPr>
        <w:tab/>
        <w:t>Practical Utility/Uses of the Data</w:t>
      </w:r>
    </w:p>
    <w:p w:rsidR="003166C3" w:rsidP="003166C3" w:rsidRDefault="003166C3" w14:paraId="66C9F4E3" w14:textId="77777777">
      <w:pPr>
        <w:pStyle w:val="Standard"/>
        <w:ind w:firstLine="720"/>
      </w:pPr>
    </w:p>
    <w:p w:rsidR="003166C3" w:rsidP="003166C3" w:rsidRDefault="003166C3" w14:paraId="6CC49E06" w14:textId="1752BFCB">
      <w:pPr>
        <w:pStyle w:val="Standard"/>
        <w:ind w:firstLine="720"/>
      </w:pPr>
      <w:bookmarkStart w:name="_Hlk73611395" w:id="0"/>
      <w:r>
        <w:t xml:space="preserve">The recordkeeping and reporting requirements of this proposed regulation would allow EPA to monitor compliance from biointermediate producers, </w:t>
      </w:r>
      <w:r w:rsidR="00C664EC">
        <w:t xml:space="preserve">biointermediate importers, and renewable fuel producers </w:t>
      </w:r>
      <w:r w:rsidR="00FC7162">
        <w:t xml:space="preserve">under </w:t>
      </w:r>
      <w:r>
        <w:t>the RFS program.</w:t>
      </w:r>
      <w:r w:rsidR="00E11823">
        <w:t xml:space="preserve"> </w:t>
      </w:r>
    </w:p>
    <w:bookmarkEnd w:id="0"/>
    <w:p w:rsidR="003166C3" w:rsidP="003166C3" w:rsidRDefault="003166C3" w14:paraId="4DEF4C28" w14:textId="77777777">
      <w:pPr>
        <w:ind w:firstLine="720"/>
      </w:pPr>
    </w:p>
    <w:p w:rsidR="003166C3" w:rsidP="003166C3" w:rsidRDefault="003166C3" w14:paraId="70497DA9" w14:textId="77777777">
      <w:pPr>
        <w:pStyle w:val="Standard"/>
        <w:outlineLvl w:val="0"/>
        <w:rPr>
          <w:b/>
        </w:rPr>
      </w:pPr>
      <w:r>
        <w:rPr>
          <w:b/>
        </w:rPr>
        <w:t>3.</w:t>
      </w:r>
      <w:r>
        <w:rPr>
          <w:b/>
        </w:rPr>
        <w:tab/>
      </w:r>
      <w:r>
        <w:rPr>
          <w:b/>
          <w:u w:val="single"/>
        </w:rPr>
        <w:t>Non-duplication, Consultation, and other Collection Criteria</w:t>
      </w:r>
    </w:p>
    <w:p w:rsidR="003166C3" w:rsidP="003166C3" w:rsidRDefault="003166C3" w14:paraId="4E66A226" w14:textId="77777777">
      <w:pPr>
        <w:pStyle w:val="Standard"/>
        <w:ind w:firstLine="720"/>
        <w:rPr>
          <w:b/>
          <w:u w:val="single"/>
        </w:rPr>
      </w:pPr>
    </w:p>
    <w:p w:rsidR="003166C3" w:rsidP="003166C3" w:rsidRDefault="003166C3" w14:paraId="5267590E" w14:textId="77777777">
      <w:pPr>
        <w:pStyle w:val="Standard"/>
        <w:ind w:firstLine="720"/>
        <w:outlineLvl w:val="1"/>
        <w:rPr>
          <w:b/>
        </w:rPr>
      </w:pPr>
      <w:r>
        <w:rPr>
          <w:b/>
        </w:rPr>
        <w:t>3(a)</w:t>
      </w:r>
      <w:r>
        <w:rPr>
          <w:b/>
        </w:rPr>
        <w:tab/>
        <w:t>Non-duplication</w:t>
      </w:r>
    </w:p>
    <w:p w:rsidR="003166C3" w:rsidP="003166C3" w:rsidRDefault="003166C3" w14:paraId="61D05257" w14:textId="77777777">
      <w:pPr>
        <w:pStyle w:val="Standard"/>
        <w:ind w:firstLine="720"/>
      </w:pPr>
    </w:p>
    <w:p w:rsidR="003166C3" w:rsidP="003166C3" w:rsidRDefault="003166C3" w14:paraId="0FF3AECC" w14:textId="66875636">
      <w:pPr>
        <w:pStyle w:val="Standard"/>
        <w:ind w:firstLine="720"/>
      </w:pPr>
      <w:r>
        <w:t>Efforts have been made to eliminate duplication in this information collection</w:t>
      </w:r>
      <w:r w:rsidR="001D76AF">
        <w:t xml:space="preserve"> and </w:t>
      </w:r>
      <w:r w:rsidR="00836953">
        <w:t>EPA is only requesting information necessary in order to implement a working biointermediate program</w:t>
      </w:r>
      <w:r w:rsidR="00FC7162">
        <w:t>.</w:t>
      </w:r>
      <w:r w:rsidR="00836953">
        <w:t xml:space="preserve"> We are not </w:t>
      </w:r>
      <w:r w:rsidR="00F34AB3">
        <w:t xml:space="preserve">seeking to collect </w:t>
      </w:r>
      <w:r w:rsidR="00836953">
        <w:t>information readily available to us in any other manner.</w:t>
      </w:r>
      <w:r w:rsidR="00FC7162">
        <w:t xml:space="preserve"> </w:t>
      </w:r>
      <w:r w:rsidR="003167D6">
        <w:t>The information requested is often claimed as confidential business information (CBI) by the submitter</w:t>
      </w:r>
      <w:r w:rsidR="00E603A5">
        <w:t xml:space="preserve"> and, as such, is not </w:t>
      </w:r>
      <w:r w:rsidR="007D3A7D">
        <w:t xml:space="preserve">readily or </w:t>
      </w:r>
      <w:r w:rsidR="00E603A5">
        <w:t>publicly available</w:t>
      </w:r>
      <w:r w:rsidR="007D3A7D">
        <w:t xml:space="preserve">. </w:t>
      </w:r>
    </w:p>
    <w:p w:rsidR="003166C3" w:rsidP="003166C3" w:rsidRDefault="003166C3" w14:paraId="12857DC3" w14:textId="77777777">
      <w:pPr>
        <w:pStyle w:val="Standard"/>
        <w:ind w:firstLine="720"/>
      </w:pPr>
    </w:p>
    <w:p w:rsidR="003166C3" w:rsidP="003166C3" w:rsidRDefault="003166C3" w14:paraId="2636576A" w14:textId="77777777">
      <w:pPr>
        <w:pStyle w:val="Standard"/>
        <w:ind w:firstLine="720"/>
        <w:outlineLvl w:val="1"/>
        <w:rPr>
          <w:b/>
        </w:rPr>
      </w:pPr>
      <w:r>
        <w:rPr>
          <w:b/>
        </w:rPr>
        <w:t>3(b)</w:t>
      </w:r>
      <w:r>
        <w:rPr>
          <w:b/>
        </w:rPr>
        <w:tab/>
        <w:t>Public Notice</w:t>
      </w:r>
    </w:p>
    <w:p w:rsidR="003166C3" w:rsidP="003166C3" w:rsidRDefault="003166C3" w14:paraId="0DC4527B" w14:textId="77777777">
      <w:pPr>
        <w:pStyle w:val="Standard"/>
        <w:ind w:firstLine="720"/>
      </w:pPr>
    </w:p>
    <w:p w:rsidR="003166C3" w:rsidP="003166C3" w:rsidRDefault="003166C3" w14:paraId="3F9CEB69" w14:textId="77777777">
      <w:pPr>
        <w:ind w:firstLine="720"/>
      </w:pPr>
      <w:r>
        <w:rPr>
          <w:color w:val="000000"/>
        </w:rPr>
        <w:t>Public notice of this ICR will be provided in the associated proposed rule. Any public comments received will be addressed in the ICR associated with the final rule.</w:t>
      </w:r>
    </w:p>
    <w:p w:rsidR="003166C3" w:rsidP="003166C3" w:rsidRDefault="003166C3" w14:paraId="01FFF3DD" w14:textId="77777777">
      <w:pPr>
        <w:pStyle w:val="Standard"/>
        <w:ind w:firstLine="720"/>
      </w:pPr>
    </w:p>
    <w:p w:rsidR="003166C3" w:rsidP="003166C3" w:rsidRDefault="003166C3" w14:paraId="533B1B28" w14:textId="77777777">
      <w:pPr>
        <w:pStyle w:val="Standard"/>
        <w:ind w:firstLine="720"/>
        <w:outlineLvl w:val="1"/>
        <w:rPr>
          <w:b/>
        </w:rPr>
      </w:pPr>
      <w:r>
        <w:rPr>
          <w:b/>
        </w:rPr>
        <w:t>3(c)</w:t>
      </w:r>
      <w:r>
        <w:rPr>
          <w:b/>
        </w:rPr>
        <w:tab/>
        <w:t>Consultations</w:t>
      </w:r>
    </w:p>
    <w:p w:rsidR="003166C3" w:rsidP="003166C3" w:rsidRDefault="003166C3" w14:paraId="1D8DBE61" w14:textId="77777777">
      <w:pPr>
        <w:pStyle w:val="Standard"/>
        <w:ind w:firstLine="720"/>
      </w:pPr>
    </w:p>
    <w:p w:rsidR="003166C3" w:rsidP="003166C3" w:rsidRDefault="003166C3" w14:paraId="1B628E32" w14:textId="04D2DDBF">
      <w:pPr>
        <w:pStyle w:val="Standard"/>
        <w:ind w:firstLine="720"/>
      </w:pPr>
      <w:r>
        <w:t xml:space="preserve">We have drawn upon our experience with RFS implementation and with similar fuels regulations to develop the estimates in this supporting statement. </w:t>
      </w:r>
      <w:r w:rsidR="33309203">
        <w:t xml:space="preserve">We encourage interested parties and those who may be respondents to this proposed ICR to provide comment on both the proposed rule and these estimates. </w:t>
      </w:r>
    </w:p>
    <w:p w:rsidR="00C26B49" w:rsidP="003166C3" w:rsidRDefault="00C26B49" w14:paraId="28919A5E" w14:textId="77777777">
      <w:pPr>
        <w:pStyle w:val="Standard"/>
        <w:ind w:firstLine="720"/>
      </w:pPr>
    </w:p>
    <w:p w:rsidR="003166C3" w:rsidP="003166C3" w:rsidRDefault="003166C3" w14:paraId="2EF5E324" w14:textId="77777777">
      <w:pPr>
        <w:pStyle w:val="Standard"/>
        <w:ind w:firstLine="720"/>
        <w:outlineLvl w:val="1"/>
        <w:rPr>
          <w:b/>
        </w:rPr>
      </w:pPr>
      <w:r>
        <w:rPr>
          <w:b/>
        </w:rPr>
        <w:t>3(d)</w:t>
      </w:r>
      <w:r>
        <w:rPr>
          <w:b/>
        </w:rPr>
        <w:tab/>
        <w:t>Effects of Less Frequent Data Collection</w:t>
      </w:r>
    </w:p>
    <w:p w:rsidR="003166C3" w:rsidP="003166C3" w:rsidRDefault="003166C3" w14:paraId="2A17A0CA" w14:textId="77777777">
      <w:pPr>
        <w:pStyle w:val="Standard"/>
        <w:ind w:firstLine="720"/>
      </w:pPr>
    </w:p>
    <w:p w:rsidR="003166C3" w:rsidP="003166C3" w:rsidRDefault="003166C3" w14:paraId="67802E83" w14:textId="612482F6">
      <w:pPr>
        <w:pStyle w:val="Standard"/>
        <w:ind w:firstLine="720"/>
      </w:pPr>
      <w:r>
        <w:lastRenderedPageBreak/>
        <w:t xml:space="preserve">We have designed the reporting schedule to coincide with existing reporting deadlines applicable to </w:t>
      </w:r>
      <w:r w:rsidR="003A5FCB">
        <w:t xml:space="preserve">these </w:t>
      </w:r>
      <w:r w:rsidR="00807DE7">
        <w:t>(i.e., renewable fuels producers</w:t>
      </w:r>
      <w:r w:rsidR="003C058A">
        <w:t xml:space="preserve"> and third parties </w:t>
      </w:r>
      <w:r w:rsidR="00807DE7">
        <w:t xml:space="preserve">already submit </w:t>
      </w:r>
      <w:r w:rsidR="004168C5">
        <w:t xml:space="preserve">the same or similar </w:t>
      </w:r>
      <w:r w:rsidR="00807DE7">
        <w:t>reports</w:t>
      </w:r>
      <w:r w:rsidR="003C058A">
        <w:t xml:space="preserve"> on the proposed schedule</w:t>
      </w:r>
      <w:r w:rsidR="00590CC7">
        <w:t>),</w:t>
      </w:r>
      <w:r w:rsidR="00807DE7">
        <w:t xml:space="preserve"> </w:t>
      </w:r>
      <w:r w:rsidR="003A5FCB">
        <w:t xml:space="preserve">and </w:t>
      </w:r>
      <w:r>
        <w:t>other parties regulated under the RFS program. Less frequent collection of data would make it impossible to carry out the provisions of the CAA.</w:t>
      </w:r>
    </w:p>
    <w:p w:rsidR="003166C3" w:rsidP="003166C3" w:rsidRDefault="003166C3" w14:paraId="3B853C38" w14:textId="77777777">
      <w:pPr>
        <w:pStyle w:val="Standard"/>
        <w:ind w:firstLine="720"/>
      </w:pPr>
    </w:p>
    <w:p w:rsidR="003166C3" w:rsidP="003166C3" w:rsidRDefault="003166C3" w14:paraId="01640804" w14:textId="77777777">
      <w:pPr>
        <w:pStyle w:val="Standard"/>
        <w:ind w:firstLine="720"/>
        <w:outlineLvl w:val="1"/>
        <w:rPr>
          <w:b/>
        </w:rPr>
      </w:pPr>
      <w:r>
        <w:rPr>
          <w:b/>
        </w:rPr>
        <w:t>3(e)</w:t>
      </w:r>
      <w:r>
        <w:rPr>
          <w:b/>
        </w:rPr>
        <w:tab/>
        <w:t>General Guidelines</w:t>
      </w:r>
    </w:p>
    <w:p w:rsidR="003166C3" w:rsidP="003166C3" w:rsidRDefault="003166C3" w14:paraId="7594227E" w14:textId="77777777">
      <w:pPr>
        <w:pStyle w:val="Standard"/>
        <w:ind w:firstLine="720"/>
      </w:pPr>
    </w:p>
    <w:p w:rsidR="003166C3" w:rsidP="003166C3" w:rsidRDefault="003166C3" w14:paraId="4EFC3FF3" w14:textId="77777777">
      <w:pPr>
        <w:ind w:firstLine="720"/>
      </w:pPr>
      <w:r>
        <w:t xml:space="preserve">This information collection activity complies with 5 CFR 1320.6, except that respondents would be required to keep certain records for longer than three years. Specifically, parties would be required to keep product transfer documents (PTDs) and records related to the production, transfer, and use of biointermediates and renewable fuels for five years, and parties would be required to keep their compliance records (e.g., copies of periodic reports) for five (5) years. Five years is the applicable statute of limitations for other EPA fuels programs. </w:t>
      </w:r>
      <w:r>
        <w:rPr>
          <w:i/>
          <w:iCs/>
        </w:rPr>
        <w:t>See</w:t>
      </w:r>
      <w:r>
        <w:t xml:space="preserve"> 28 U.S.C. 2462. Many records such as PTDs (e.g., bills of lading, invoices, etc.) and fuel production records should be kept by parties under normal business practice. Therefore, the recordkeeping requirements under the proposed requirements should impose little additional burden. </w:t>
      </w:r>
    </w:p>
    <w:p w:rsidR="003166C3" w:rsidP="003166C3" w:rsidRDefault="003166C3" w14:paraId="3E2E1C2D" w14:textId="77777777">
      <w:pPr>
        <w:pStyle w:val="Standard"/>
        <w:ind w:firstLine="720"/>
      </w:pPr>
    </w:p>
    <w:p w:rsidR="003166C3" w:rsidP="003166C3" w:rsidRDefault="003166C3" w14:paraId="09FBCE75" w14:textId="77777777">
      <w:pPr>
        <w:pStyle w:val="Standard"/>
        <w:ind w:firstLine="720"/>
        <w:outlineLvl w:val="1"/>
        <w:rPr>
          <w:b/>
        </w:rPr>
      </w:pPr>
      <w:r>
        <w:rPr>
          <w:b/>
        </w:rPr>
        <w:t>3(f)</w:t>
      </w:r>
      <w:r>
        <w:rPr>
          <w:b/>
        </w:rPr>
        <w:tab/>
        <w:t>Confidentiality</w:t>
      </w:r>
    </w:p>
    <w:p w:rsidR="003166C3" w:rsidP="003166C3" w:rsidRDefault="003166C3" w14:paraId="1C2C0565" w14:textId="77777777">
      <w:pPr>
        <w:pStyle w:val="Standard"/>
        <w:ind w:firstLine="720"/>
      </w:pPr>
    </w:p>
    <w:p w:rsidR="003166C3" w:rsidP="003166C3" w:rsidRDefault="003166C3" w14:paraId="5FD7B195" w14:textId="77777777">
      <w:pPr>
        <w:pStyle w:val="Standard"/>
        <w:ind w:firstLine="720"/>
      </w:pPr>
      <w:r>
        <w:t>We inform respondents that they may assert claims of CBI for information they submit. Any information claimed as confidential would be treated in accordance with 40 CFR part 2 and established EPA procedures. Information that is received without a claim of confidentiality may be made available to the public without further notice to the submitter under 40 CFR 2.203.</w:t>
      </w:r>
    </w:p>
    <w:p w:rsidR="003166C3" w:rsidP="003166C3" w:rsidRDefault="003166C3" w14:paraId="70C47C50" w14:textId="77777777">
      <w:pPr>
        <w:ind w:firstLine="720"/>
      </w:pPr>
    </w:p>
    <w:p w:rsidR="003166C3" w:rsidP="003166C3" w:rsidRDefault="003166C3" w14:paraId="3CE20B70" w14:textId="77777777">
      <w:pPr>
        <w:pStyle w:val="Standard"/>
        <w:ind w:firstLine="720"/>
        <w:outlineLvl w:val="1"/>
        <w:rPr>
          <w:b/>
        </w:rPr>
      </w:pPr>
      <w:r>
        <w:rPr>
          <w:b/>
        </w:rPr>
        <w:t>3(g)</w:t>
      </w:r>
      <w:r>
        <w:rPr>
          <w:b/>
        </w:rPr>
        <w:tab/>
        <w:t>Sensitive Information</w:t>
      </w:r>
    </w:p>
    <w:p w:rsidR="003166C3" w:rsidP="003166C3" w:rsidRDefault="003166C3" w14:paraId="46DDA3A0" w14:textId="77777777">
      <w:pPr>
        <w:pStyle w:val="Standard"/>
        <w:ind w:firstLine="720"/>
      </w:pPr>
    </w:p>
    <w:p w:rsidR="003166C3" w:rsidP="003166C3" w:rsidRDefault="003166C3" w14:paraId="3FDB0618" w14:textId="77777777">
      <w:pPr>
        <w:pStyle w:val="Standard"/>
        <w:ind w:firstLine="720"/>
      </w:pPr>
      <w:r>
        <w:t>This information collection does not require submission of any sensitive information (e.g., social security numbers, dates of birth, etc.).</w:t>
      </w:r>
    </w:p>
    <w:p w:rsidR="003166C3" w:rsidP="003166C3" w:rsidRDefault="003166C3" w14:paraId="50859FCF" w14:textId="77777777">
      <w:pPr>
        <w:ind w:firstLine="720"/>
      </w:pPr>
    </w:p>
    <w:p w:rsidR="003166C3" w:rsidP="003166C3" w:rsidRDefault="003166C3" w14:paraId="3150A0EA" w14:textId="77777777">
      <w:pPr>
        <w:pStyle w:val="Standard"/>
        <w:outlineLvl w:val="0"/>
        <w:rPr>
          <w:b/>
          <w:u w:val="single"/>
        </w:rPr>
      </w:pPr>
      <w:r>
        <w:rPr>
          <w:b/>
        </w:rPr>
        <w:t>4.</w:t>
      </w:r>
      <w:r>
        <w:rPr>
          <w:b/>
        </w:rPr>
        <w:tab/>
      </w:r>
      <w:r>
        <w:rPr>
          <w:b/>
          <w:u w:val="single"/>
        </w:rPr>
        <w:t>The Respondents and the Information Requested</w:t>
      </w:r>
    </w:p>
    <w:p w:rsidR="003166C3" w:rsidP="003166C3" w:rsidRDefault="003166C3" w14:paraId="7D3A0D3E" w14:textId="77777777">
      <w:pPr>
        <w:pStyle w:val="Standard"/>
        <w:ind w:firstLine="720"/>
        <w:rPr>
          <w:b/>
        </w:rPr>
      </w:pPr>
    </w:p>
    <w:p w:rsidR="003166C3" w:rsidP="003166C3" w:rsidRDefault="003166C3" w14:paraId="371AF45E" w14:textId="77777777">
      <w:pPr>
        <w:pStyle w:val="Standard"/>
        <w:ind w:firstLine="720"/>
        <w:outlineLvl w:val="1"/>
        <w:rPr>
          <w:b/>
        </w:rPr>
      </w:pPr>
      <w:r>
        <w:rPr>
          <w:b/>
        </w:rPr>
        <w:t>4(a)</w:t>
      </w:r>
      <w:r>
        <w:rPr>
          <w:b/>
        </w:rPr>
        <w:tab/>
        <w:t>Respondents with NAICS/SIC Codes</w:t>
      </w:r>
    </w:p>
    <w:p w:rsidR="003166C3" w:rsidP="003166C3" w:rsidRDefault="003166C3" w14:paraId="201D82E8" w14:textId="77777777">
      <w:pPr>
        <w:pStyle w:val="Standard"/>
        <w:ind w:firstLine="720"/>
      </w:pPr>
    </w:p>
    <w:p w:rsidR="003166C3" w:rsidP="003166C3" w:rsidRDefault="003166C3" w14:paraId="2733C012" w14:textId="77777777">
      <w:pPr>
        <w:pStyle w:val="Standard"/>
        <w:ind w:firstLine="720"/>
      </w:pPr>
      <w:r>
        <w:t>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and other fuel dealers (454319/5989).</w:t>
      </w:r>
    </w:p>
    <w:p w:rsidR="003166C3" w:rsidP="003166C3" w:rsidRDefault="003166C3" w14:paraId="075C3873" w14:textId="77777777">
      <w:pPr>
        <w:pStyle w:val="Standard"/>
        <w:ind w:firstLine="720"/>
      </w:pPr>
    </w:p>
    <w:p w:rsidR="003166C3" w:rsidP="003166C3" w:rsidRDefault="003C3CB0" w14:paraId="77EE594F" w14:textId="7B023FA4">
      <w:pPr>
        <w:pStyle w:val="Standard"/>
        <w:ind w:firstLine="720"/>
      </w:pPr>
      <w:r>
        <w:t xml:space="preserve">We </w:t>
      </w:r>
      <w:r w:rsidR="003166C3">
        <w:t>have assumed the following classes of party, which are covered by this supporting statement.</w:t>
      </w:r>
    </w:p>
    <w:p w:rsidR="00AE567E" w:rsidP="003166C3" w:rsidRDefault="00AE567E" w14:paraId="20507AD4" w14:textId="4A84E16B">
      <w:pPr>
        <w:pStyle w:val="Standard"/>
        <w:ind w:firstLine="720"/>
      </w:pPr>
    </w:p>
    <w:p w:rsidR="00AE567E" w:rsidP="00AE567E" w:rsidRDefault="00AE567E" w14:paraId="66C8ADDF" w14:textId="04D17E66">
      <w:pPr>
        <w:pStyle w:val="Standard"/>
        <w:numPr>
          <w:ilvl w:val="0"/>
          <w:numId w:val="10"/>
        </w:numPr>
      </w:pPr>
      <w:r>
        <w:t>Biointermediate producers</w:t>
      </w:r>
    </w:p>
    <w:p w:rsidR="00AE567E" w:rsidP="00AE567E" w:rsidRDefault="00AE567E" w14:paraId="73EAD0BA" w14:textId="0210925E">
      <w:pPr>
        <w:pStyle w:val="Standard"/>
        <w:numPr>
          <w:ilvl w:val="0"/>
          <w:numId w:val="10"/>
        </w:numPr>
      </w:pPr>
      <w:r>
        <w:t>R</w:t>
      </w:r>
      <w:r w:rsidR="00B114DE">
        <w:t xml:space="preserve">IN Generators </w:t>
      </w:r>
      <w:r w:rsidR="00B97825">
        <w:t>–</w:t>
      </w:r>
      <w:r w:rsidR="00B114DE">
        <w:t xml:space="preserve"> </w:t>
      </w:r>
      <w:r w:rsidR="00B97825">
        <w:t xml:space="preserve">specifically, </w:t>
      </w:r>
      <w:r w:rsidR="00B114DE">
        <w:t>r</w:t>
      </w:r>
      <w:r>
        <w:t xml:space="preserve">enewable </w:t>
      </w:r>
      <w:r w:rsidR="0017462F">
        <w:t>f</w:t>
      </w:r>
      <w:r>
        <w:t>uel producers</w:t>
      </w:r>
      <w:r w:rsidR="0017462F">
        <w:t xml:space="preserve"> who use biointermediates</w:t>
      </w:r>
    </w:p>
    <w:p w:rsidR="00AE567E" w:rsidP="00AE567E" w:rsidRDefault="00AE567E" w14:paraId="176B8F34" w14:textId="6585E05E">
      <w:pPr>
        <w:pStyle w:val="Standard"/>
        <w:numPr>
          <w:ilvl w:val="0"/>
          <w:numId w:val="10"/>
        </w:numPr>
      </w:pPr>
      <w:r>
        <w:lastRenderedPageBreak/>
        <w:t>Biointermediate importers</w:t>
      </w:r>
    </w:p>
    <w:p w:rsidR="00AE567E" w:rsidP="00AE567E" w:rsidRDefault="00AE567E" w14:paraId="5BFD5083" w14:textId="62B91C48">
      <w:pPr>
        <w:pStyle w:val="Standard"/>
        <w:numPr>
          <w:ilvl w:val="0"/>
          <w:numId w:val="10"/>
        </w:numPr>
      </w:pPr>
      <w:r>
        <w:t>Third parties, including third party engineers</w:t>
      </w:r>
      <w:r w:rsidR="00A06C59">
        <w:t xml:space="preserve">, </w:t>
      </w:r>
      <w:r>
        <w:t>attest auditor</w:t>
      </w:r>
      <w:r w:rsidR="002846FD">
        <w:t>s, QAP providers</w:t>
      </w:r>
      <w:r w:rsidR="007D1C4C">
        <w:t>, and independent parties</w:t>
      </w:r>
      <w:r w:rsidR="00797E33">
        <w:t xml:space="preserve"> who provide purchased professional services to the parties listed above.</w:t>
      </w:r>
    </w:p>
    <w:p w:rsidR="009759FF" w:rsidP="009759FF" w:rsidRDefault="009759FF" w14:paraId="1E7BDBA2" w14:textId="77777777">
      <w:pPr>
        <w:pStyle w:val="Standard"/>
        <w:ind w:left="720"/>
      </w:pPr>
    </w:p>
    <w:p w:rsidR="003166C3" w:rsidP="003166C3" w:rsidRDefault="003166C3" w14:paraId="0DE51B1F" w14:textId="77777777">
      <w:pPr>
        <w:pStyle w:val="Standard"/>
        <w:ind w:firstLine="720"/>
      </w:pPr>
    </w:p>
    <w:p w:rsidR="003166C3" w:rsidP="003166C3" w:rsidRDefault="003166C3" w14:paraId="280833EC" w14:textId="77777777">
      <w:pPr>
        <w:pStyle w:val="Standard"/>
        <w:ind w:firstLine="720"/>
      </w:pPr>
    </w:p>
    <w:p w:rsidR="003166C3" w:rsidP="6AB033C2" w:rsidRDefault="003166C3" w14:paraId="5DBCBF79" w14:textId="77777777">
      <w:pPr>
        <w:pStyle w:val="Standard"/>
        <w:ind w:firstLine="720"/>
        <w:outlineLvl w:val="1"/>
        <w:rPr>
          <w:b/>
          <w:bCs/>
        </w:rPr>
      </w:pPr>
      <w:r w:rsidRPr="798239CD">
        <w:rPr>
          <w:b/>
          <w:bCs/>
        </w:rPr>
        <w:t>4(b)</w:t>
      </w:r>
      <w:r>
        <w:tab/>
      </w:r>
      <w:r w:rsidRPr="798239CD">
        <w:rPr>
          <w:b/>
          <w:bCs/>
        </w:rPr>
        <w:t>Information Requested</w:t>
      </w:r>
    </w:p>
    <w:p w:rsidR="798239CD" w:rsidP="798239CD" w:rsidRDefault="798239CD" w14:paraId="73F4CAD7" w14:textId="03E13600">
      <w:pPr>
        <w:pStyle w:val="Standard"/>
        <w:ind w:firstLine="720"/>
        <w:outlineLvl w:val="1"/>
        <w:rPr>
          <w:b/>
          <w:bCs/>
        </w:rPr>
      </w:pPr>
    </w:p>
    <w:p w:rsidR="00D17BF4" w:rsidP="798239CD" w:rsidRDefault="00D17BF4" w14:paraId="71E15AC4" w14:textId="204DF0CE">
      <w:pPr>
        <w:pStyle w:val="Standard"/>
        <w:ind w:firstLine="720"/>
        <w:outlineLvl w:val="1"/>
      </w:pPr>
      <w:r>
        <w:t>The information requested is listed in detail in</w:t>
      </w:r>
      <w:r w:rsidR="00AF0B80">
        <w:t xml:space="preserve"> </w:t>
      </w:r>
      <w:r>
        <w:t xml:space="preserve"> Appendix A and may be summarized, by respondent, as follows: </w:t>
      </w:r>
    </w:p>
    <w:p w:rsidR="00D17BF4" w:rsidP="798239CD" w:rsidRDefault="00D17BF4" w14:paraId="39AF886D" w14:textId="1E117DBD">
      <w:pPr>
        <w:pStyle w:val="Standard"/>
        <w:ind w:firstLine="720"/>
        <w:outlineLvl w:val="1"/>
      </w:pPr>
    </w:p>
    <w:p w:rsidR="00D17BF4" w:rsidP="798239CD" w:rsidRDefault="00D17BF4" w14:paraId="201181B8" w14:textId="41A049B5">
      <w:pPr>
        <w:pStyle w:val="Standard"/>
        <w:ind w:firstLine="720"/>
        <w:outlineLvl w:val="1"/>
        <w:rPr>
          <w:i/>
          <w:iCs/>
        </w:rPr>
      </w:pPr>
      <w:r>
        <w:rPr>
          <w:i/>
          <w:iCs/>
        </w:rPr>
        <w:t>Biointermediate Producers (Table 1) and RIN Generators - Renewable Fuel</w:t>
      </w:r>
      <w:r w:rsidR="00B114DE">
        <w:rPr>
          <w:i/>
          <w:iCs/>
        </w:rPr>
        <w:t xml:space="preserve"> </w:t>
      </w:r>
      <w:r>
        <w:rPr>
          <w:i/>
          <w:iCs/>
        </w:rPr>
        <w:t>Producers (Table 2) who use biointermediates:</w:t>
      </w:r>
    </w:p>
    <w:p w:rsidR="00D17BF4" w:rsidP="798239CD" w:rsidRDefault="00D17BF4" w14:paraId="35CB4F6D" w14:textId="53B2E5A8">
      <w:pPr>
        <w:pStyle w:val="Standard"/>
        <w:ind w:firstLine="720"/>
        <w:outlineLvl w:val="1"/>
        <w:rPr>
          <w:i/>
          <w:iCs/>
        </w:rPr>
      </w:pPr>
    </w:p>
    <w:p w:rsidR="00D17BF4" w:rsidP="00D17BF4" w:rsidRDefault="00D17BF4" w14:paraId="11214ECD" w14:textId="7A05D82B">
      <w:pPr>
        <w:pStyle w:val="Standard"/>
        <w:numPr>
          <w:ilvl w:val="0"/>
          <w:numId w:val="13"/>
        </w:numPr>
        <w:outlineLvl w:val="1"/>
      </w:pPr>
      <w:r>
        <w:t xml:space="preserve">Reporting requirements including registration and periodic compliance reports. These parties must engage the services of independent third parties to provide engineering reviews (a part of registration that describes the process or making the biointermediate and related aspects of the facility in which is produced), QAP (a process of independent verification of feedstocks and renewable fuels), and attest engagements (an independent auditing requirement). </w:t>
      </w:r>
    </w:p>
    <w:p w:rsidR="00D17BF4" w:rsidP="00D17BF4" w:rsidRDefault="00D17BF4" w14:paraId="4D42D3A5" w14:textId="0D9BEE1B">
      <w:pPr>
        <w:pStyle w:val="Standard"/>
        <w:numPr>
          <w:ilvl w:val="0"/>
          <w:numId w:val="13"/>
        </w:numPr>
        <w:outlineLvl w:val="1"/>
      </w:pPr>
      <w:r>
        <w:t>Recordkeeping requirements that include keeping copies of all records that support compliance reports and the use and retention of product transfer documents (PTDs).</w:t>
      </w:r>
    </w:p>
    <w:p w:rsidRPr="00573E8D" w:rsidR="00D17BF4" w:rsidP="00573E8D" w:rsidRDefault="00D17BF4" w14:paraId="320A3EE0" w14:textId="77777777">
      <w:pPr>
        <w:pStyle w:val="Standard"/>
        <w:outlineLvl w:val="1"/>
      </w:pPr>
    </w:p>
    <w:p w:rsidR="00797E33" w:rsidP="798239CD" w:rsidRDefault="00D17BF4" w14:paraId="227422E3" w14:textId="601A2477">
      <w:pPr>
        <w:pStyle w:val="Standard"/>
        <w:ind w:firstLine="720"/>
        <w:outlineLvl w:val="1"/>
        <w:rPr>
          <w:i/>
          <w:iCs/>
        </w:rPr>
      </w:pPr>
      <w:r w:rsidRPr="00573E8D">
        <w:rPr>
          <w:i/>
          <w:iCs/>
        </w:rPr>
        <w:t>Biointermediate Importers</w:t>
      </w:r>
      <w:r w:rsidR="00A65BC6">
        <w:rPr>
          <w:i/>
          <w:iCs/>
        </w:rPr>
        <w:t xml:space="preserve"> (Table III):</w:t>
      </w:r>
    </w:p>
    <w:p w:rsidR="00A65BC6" w:rsidP="798239CD" w:rsidRDefault="00A65BC6" w14:paraId="65F5D02E" w14:textId="77777777">
      <w:pPr>
        <w:pStyle w:val="Standard"/>
        <w:ind w:firstLine="720"/>
        <w:outlineLvl w:val="1"/>
        <w:rPr>
          <w:i/>
          <w:iCs/>
        </w:rPr>
      </w:pPr>
    </w:p>
    <w:p w:rsidR="00D17BF4" w:rsidP="00D17BF4" w:rsidRDefault="00D17BF4" w14:paraId="380E960E" w14:textId="0989ED95">
      <w:pPr>
        <w:pStyle w:val="Standard"/>
        <w:numPr>
          <w:ilvl w:val="0"/>
          <w:numId w:val="14"/>
        </w:numPr>
        <w:outlineLvl w:val="1"/>
      </w:pPr>
      <w:r>
        <w:t>No reporting requirements.</w:t>
      </w:r>
    </w:p>
    <w:p w:rsidRPr="00573E8D" w:rsidR="00D17BF4" w:rsidP="00573E8D" w:rsidRDefault="00D17BF4" w14:paraId="0B6C33DD" w14:textId="07759968">
      <w:pPr>
        <w:pStyle w:val="Standard"/>
        <w:numPr>
          <w:ilvl w:val="0"/>
          <w:numId w:val="14"/>
        </w:numPr>
        <w:outlineLvl w:val="1"/>
      </w:pPr>
      <w:r>
        <w:t xml:space="preserve">Recordkeeping requirements that include keeping copies of PTDs and </w:t>
      </w:r>
      <w:r w:rsidR="000E11A9">
        <w:t xml:space="preserve">retaining/using </w:t>
      </w:r>
      <w:r>
        <w:t>volume certification records.</w:t>
      </w:r>
      <w:r w:rsidR="00BF7320">
        <w:t xml:space="preserve"> These parties must engage the services of an independent third party to perform volume certification. </w:t>
      </w:r>
    </w:p>
    <w:p w:rsidRPr="003B425A" w:rsidR="003B425A" w:rsidP="003B425A" w:rsidRDefault="003B425A" w14:paraId="203AA6B3" w14:textId="77777777">
      <w:pPr>
        <w:widowControl w:val="0"/>
        <w:suppressAutoHyphens/>
        <w:autoSpaceDN w:val="0"/>
        <w:rPr>
          <w:rFonts w:eastAsia="SimSun" w:cs="Mangal"/>
          <w:kern w:val="3"/>
          <w:szCs w:val="24"/>
          <w:lang w:eastAsia="zh-CN" w:bidi="hi-IN"/>
        </w:rPr>
      </w:pPr>
    </w:p>
    <w:p w:rsidRPr="003B425A" w:rsidR="003B425A" w:rsidP="003B425A" w:rsidRDefault="003B425A" w14:paraId="0519F613" w14:textId="77777777">
      <w:pPr>
        <w:widowControl w:val="0"/>
        <w:suppressAutoHyphens/>
        <w:autoSpaceDN w:val="0"/>
        <w:ind w:left="720" w:hanging="720"/>
        <w:outlineLvl w:val="0"/>
        <w:rPr>
          <w:rFonts w:eastAsia="SimSun" w:cs="Mangal"/>
          <w:b/>
          <w:kern w:val="3"/>
          <w:szCs w:val="24"/>
          <w:u w:val="single"/>
          <w:lang w:eastAsia="zh-CN" w:bidi="hi-IN"/>
        </w:rPr>
      </w:pPr>
      <w:r w:rsidRPr="003B425A">
        <w:rPr>
          <w:rFonts w:eastAsia="SimSun" w:cs="Mangal"/>
          <w:b/>
          <w:kern w:val="3"/>
          <w:szCs w:val="24"/>
          <w:lang w:eastAsia="zh-CN" w:bidi="hi-IN"/>
        </w:rPr>
        <w:t>5.</w:t>
      </w:r>
      <w:r w:rsidRPr="003B425A">
        <w:rPr>
          <w:rFonts w:eastAsia="SimSun" w:cs="Mangal"/>
          <w:b/>
          <w:kern w:val="3"/>
          <w:szCs w:val="24"/>
          <w:lang w:eastAsia="zh-CN" w:bidi="hi-IN"/>
        </w:rPr>
        <w:tab/>
      </w:r>
      <w:r w:rsidRPr="003B425A">
        <w:rPr>
          <w:rFonts w:eastAsia="SimSun" w:cs="Mangal"/>
          <w:b/>
          <w:kern w:val="3"/>
          <w:szCs w:val="24"/>
          <w:u w:val="single"/>
          <w:lang w:eastAsia="zh-CN" w:bidi="hi-IN"/>
        </w:rPr>
        <w:t>The Information Collected, Agency Activities, Collection Methodology, and Information Management</w:t>
      </w:r>
    </w:p>
    <w:p w:rsidRPr="003B425A" w:rsidR="003B425A" w:rsidP="003B425A" w:rsidRDefault="003B425A" w14:paraId="5001F099" w14:textId="77777777">
      <w:pPr>
        <w:widowControl w:val="0"/>
        <w:suppressAutoHyphens/>
        <w:autoSpaceDN w:val="0"/>
        <w:ind w:firstLine="720"/>
        <w:rPr>
          <w:rFonts w:eastAsia="SimSun" w:cs="Mangal"/>
          <w:b/>
          <w:kern w:val="3"/>
          <w:szCs w:val="24"/>
          <w:lang w:eastAsia="zh-CN" w:bidi="hi-IN"/>
        </w:rPr>
      </w:pPr>
    </w:p>
    <w:p w:rsidRPr="003B425A" w:rsidR="003B425A" w:rsidP="003B425A" w:rsidRDefault="003B425A" w14:paraId="7577F22C"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5(a)</w:t>
      </w:r>
      <w:r w:rsidRPr="003B425A">
        <w:rPr>
          <w:rFonts w:eastAsia="SimSun" w:cs="Mangal"/>
          <w:b/>
          <w:kern w:val="3"/>
          <w:szCs w:val="24"/>
          <w:lang w:eastAsia="zh-CN" w:bidi="hi-IN"/>
        </w:rPr>
        <w:tab/>
        <w:t>Agency Activities</w:t>
      </w:r>
    </w:p>
    <w:p w:rsidRPr="003B425A" w:rsidR="003B425A" w:rsidP="003B425A" w:rsidRDefault="003B425A" w14:paraId="159284F6"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31039853"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All reports and registrations will be reviewed by the EPA for completeness and for potential violations.</w:t>
      </w:r>
    </w:p>
    <w:p w:rsidRPr="003B425A" w:rsidR="003B425A" w:rsidP="003B425A" w:rsidRDefault="003B425A" w14:paraId="71F78283"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Potential violations will be referred to enforcement personnel.</w:t>
      </w:r>
    </w:p>
    <w:p w:rsidRPr="003B425A" w:rsidR="003B425A" w:rsidP="003B425A" w:rsidRDefault="003B425A" w14:paraId="3F56DE0A"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 xml:space="preserve">Registration numbers will be issued for new registrants. </w:t>
      </w:r>
    </w:p>
    <w:p w:rsidRPr="003B425A" w:rsidR="003B425A" w:rsidP="003B425A" w:rsidRDefault="003B425A" w14:paraId="0291089E" w14:textId="77777777">
      <w:pPr>
        <w:widowControl w:val="0"/>
        <w:numPr>
          <w:ilvl w:val="0"/>
          <w:numId w:val="8"/>
        </w:numPr>
        <w:suppressAutoHyphens/>
        <w:autoSpaceDN w:val="0"/>
        <w:ind w:left="1080"/>
        <w:rPr>
          <w:rFonts w:eastAsia="SimSun" w:cs="Mangal"/>
          <w:kern w:val="3"/>
          <w:szCs w:val="24"/>
          <w:lang w:eastAsia="zh-CN" w:bidi="hi-IN"/>
        </w:rPr>
      </w:pPr>
      <w:r w:rsidRPr="003B425A">
        <w:rPr>
          <w:rFonts w:eastAsia="SimSun" w:cs="Mangal"/>
          <w:kern w:val="3"/>
          <w:szCs w:val="24"/>
          <w:lang w:eastAsia="zh-CN" w:bidi="hi-IN"/>
        </w:rPr>
        <w:t>The EPA will contact reporting parties if there is a problem with their submission.</w:t>
      </w:r>
    </w:p>
    <w:p w:rsidRPr="003B425A" w:rsidR="003B425A" w:rsidP="003B425A" w:rsidRDefault="003B425A" w14:paraId="110446DB"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6C1EEE8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 xml:space="preserve">5(b) </w:t>
      </w:r>
      <w:r w:rsidRPr="003B425A">
        <w:rPr>
          <w:rFonts w:eastAsia="SimSun" w:cs="Mangal"/>
          <w:b/>
          <w:kern w:val="3"/>
          <w:szCs w:val="24"/>
          <w:lang w:eastAsia="zh-CN" w:bidi="hi-IN"/>
        </w:rPr>
        <w:tab/>
        <w:t>Collection Methodology and Management</w:t>
      </w:r>
    </w:p>
    <w:p w:rsidRPr="003B425A" w:rsidR="003B425A" w:rsidP="003B425A" w:rsidRDefault="003B425A" w14:paraId="79B210B3" w14:textId="77777777">
      <w:pPr>
        <w:suppressAutoHyphens/>
        <w:autoSpaceDN w:val="0"/>
        <w:ind w:firstLine="720"/>
        <w:rPr>
          <w:rFonts w:eastAsia="SimSun" w:cs="Mangal"/>
          <w:kern w:val="3"/>
          <w:szCs w:val="24"/>
          <w:lang w:eastAsia="zh-CN" w:bidi="hi-IN"/>
        </w:rPr>
      </w:pPr>
    </w:p>
    <w:p w:rsidRPr="003B425A" w:rsidR="003B425A" w:rsidP="003B425A" w:rsidRDefault="003B425A" w14:paraId="3F37AADF" w14:textId="648B904A">
      <w:pPr>
        <w:autoSpaceDE w:val="0"/>
        <w:autoSpaceDN w:val="0"/>
        <w:adjustRightInd w:val="0"/>
        <w:ind w:firstLine="720"/>
        <w:rPr>
          <w:rFonts w:eastAsia="SimSun" w:cs="Times New Roman"/>
          <w:kern w:val="3"/>
          <w:szCs w:val="24"/>
          <w:lang w:eastAsia="zh-CN" w:bidi="hi-IN"/>
        </w:rPr>
      </w:pPr>
      <w:r w:rsidRPr="003B425A">
        <w:rPr>
          <w:rFonts w:eastAsia="SimSun" w:cs="Mangal"/>
          <w:kern w:val="3"/>
          <w:szCs w:val="24"/>
          <w:lang w:eastAsia="zh-CN" w:bidi="hi-IN"/>
        </w:rPr>
        <w:lastRenderedPageBreak/>
        <w:t>The EPA will</w:t>
      </w:r>
      <w:r w:rsidR="00B44D58">
        <w:rPr>
          <w:rFonts w:eastAsia="SimSun" w:cs="Mangal"/>
          <w:kern w:val="3"/>
          <w:szCs w:val="24"/>
          <w:lang w:eastAsia="zh-CN" w:bidi="hi-IN"/>
        </w:rPr>
        <w:t xml:space="preserve"> </w:t>
      </w:r>
      <w:r w:rsidRPr="003B425A">
        <w:rPr>
          <w:rFonts w:eastAsia="SimSun" w:cs="Mangal"/>
          <w:kern w:val="3"/>
          <w:szCs w:val="24"/>
          <w:lang w:eastAsia="zh-CN" w:bidi="hi-IN"/>
        </w:rPr>
        <w:t>continue to receive all reports, registrations, initial registrations, and updates</w:t>
      </w:r>
      <w:r w:rsidR="00B44D58">
        <w:rPr>
          <w:rFonts w:eastAsia="SimSun" w:cs="Mangal"/>
          <w:kern w:val="3"/>
          <w:szCs w:val="24"/>
          <w:lang w:eastAsia="zh-CN" w:bidi="hi-IN"/>
        </w:rPr>
        <w:t xml:space="preserve"> via existing reporting systems, which are grouped under the name of TeRRA and include DCFUEL and EMTS modules</w:t>
      </w:r>
      <w:r w:rsidRPr="003B425A">
        <w:rPr>
          <w:rFonts w:eastAsia="SimSun" w:cs="Mangal"/>
          <w:kern w:val="3"/>
          <w:szCs w:val="24"/>
          <w:lang w:eastAsia="zh-CN" w:bidi="hi-IN"/>
        </w:rPr>
        <w:t>.</w:t>
      </w:r>
      <w:r w:rsidR="00B44D58">
        <w:rPr>
          <w:rFonts w:eastAsia="SimSun" w:cs="Mangal"/>
          <w:kern w:val="3"/>
          <w:szCs w:val="24"/>
          <w:lang w:eastAsia="zh-CN" w:bidi="hi-IN"/>
        </w:rPr>
        <w:t xml:space="preserve"> EPA utilizes the Central Data Exchange (CDX), which is a secure portal, for many submissions.</w:t>
      </w:r>
      <w:r w:rsidRPr="003B425A">
        <w:rPr>
          <w:rFonts w:eastAsia="SimSun" w:cs="Mangal"/>
          <w:kern w:val="3"/>
          <w:szCs w:val="24"/>
          <w:lang w:eastAsia="zh-CN" w:bidi="hi-IN"/>
        </w:rPr>
        <w:t xml:space="preserve"> Information claimed as CBI will be stored in appropriately controlled areas. The </w:t>
      </w:r>
      <w:r w:rsidRPr="003B425A">
        <w:rPr>
          <w:rFonts w:eastAsia="SimSun" w:cs="Times New Roman"/>
          <w:szCs w:val="24"/>
          <w:lang w:eastAsia="zh-CN"/>
        </w:rPr>
        <w:t xml:space="preserve">EPA will provide Guidance Documents, Report Instructions, and Report Templates at: </w:t>
      </w:r>
      <w:r w:rsidRPr="003B425A">
        <w:rPr>
          <w:rFonts w:eastAsia="SimSun" w:cs="Times New Roman"/>
          <w:szCs w:val="24"/>
          <w:u w:val="single"/>
          <w:lang w:eastAsia="zh-CN"/>
        </w:rPr>
        <w:t>https://www.epa.gov/fuels-registration-reporting-and-compliance-help/list-all-quarterly-and-annual-reports-renewable</w:t>
      </w:r>
      <w:r w:rsidRPr="003B425A">
        <w:rPr>
          <w:rFonts w:eastAsia="SimSun" w:cs="Times New Roman"/>
          <w:szCs w:val="24"/>
          <w:lang w:eastAsia="zh-CN"/>
        </w:rPr>
        <w:t>.</w:t>
      </w:r>
    </w:p>
    <w:p w:rsidRPr="003B425A" w:rsidR="003B425A" w:rsidP="003B425A" w:rsidRDefault="003B425A" w14:paraId="55A312FD"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6C1C55E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5(c)</w:t>
      </w:r>
      <w:r w:rsidRPr="003B425A">
        <w:rPr>
          <w:rFonts w:eastAsia="SimSun" w:cs="Mangal"/>
          <w:b/>
          <w:kern w:val="3"/>
          <w:szCs w:val="24"/>
          <w:lang w:eastAsia="zh-CN" w:bidi="hi-IN"/>
        </w:rPr>
        <w:tab/>
        <w:t>Small Entity Flexibility</w:t>
      </w:r>
    </w:p>
    <w:p w:rsidRPr="003B425A" w:rsidR="003B425A" w:rsidP="003B425A" w:rsidRDefault="003B425A" w14:paraId="1618E254"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53AF6EC8" w14:textId="5D22A32C">
      <w:pPr>
        <w:widowControl w:val="0"/>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This collection would not adversely affect small entities</w:t>
      </w:r>
      <w:r w:rsidR="00575C8B">
        <w:rPr>
          <w:rFonts w:eastAsia="SimSun" w:cs="Mangal"/>
          <w:kern w:val="3"/>
          <w:szCs w:val="24"/>
          <w:lang w:eastAsia="zh-CN" w:bidi="hi-IN"/>
        </w:rPr>
        <w:t xml:space="preserve"> and may benefit small entities who are either biointermediate producers or renewable fuel producers. </w:t>
      </w:r>
    </w:p>
    <w:p w:rsidRPr="003B425A" w:rsidR="003B425A" w:rsidP="003B425A" w:rsidRDefault="003B425A" w14:paraId="0C39C653"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1F7A2590"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5(d)</w:t>
      </w:r>
      <w:r w:rsidRPr="003B425A">
        <w:rPr>
          <w:rFonts w:eastAsia="SimSun" w:cs="Mangal"/>
          <w:b/>
          <w:kern w:val="3"/>
          <w:szCs w:val="24"/>
          <w:lang w:eastAsia="zh-CN" w:bidi="hi-IN"/>
        </w:rPr>
        <w:tab/>
        <w:t>Collection Schedule</w:t>
      </w:r>
    </w:p>
    <w:p w:rsidRPr="003B425A" w:rsidR="003B425A" w:rsidP="003B425A" w:rsidRDefault="003B425A" w14:paraId="2BFFBCC3"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0CF94834" w14:textId="1D7B6179">
      <w:pPr>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 xml:space="preserve">Registrations are received on a rolling basis. Updates may be sent in at any time after initial registration. New parties may enter the regulated industry at any time, triggering registration requirements. Reports are submitted to the EPA as needed </w:t>
      </w:r>
      <w:r w:rsidR="00CB3AB0">
        <w:rPr>
          <w:rFonts w:eastAsia="SimSun" w:cs="Mangal"/>
          <w:kern w:val="3"/>
          <w:szCs w:val="24"/>
          <w:lang w:eastAsia="zh-CN" w:bidi="hi-IN"/>
        </w:rPr>
        <w:t xml:space="preserve">or on </w:t>
      </w:r>
      <w:r w:rsidRPr="003B425A">
        <w:rPr>
          <w:rFonts w:eastAsia="SimSun" w:cs="Mangal"/>
          <w:kern w:val="3"/>
          <w:szCs w:val="24"/>
          <w:lang w:eastAsia="zh-CN" w:bidi="hi-IN"/>
        </w:rPr>
        <w:t>quarterly</w:t>
      </w:r>
      <w:r w:rsidR="00CB3AB0">
        <w:rPr>
          <w:rFonts w:eastAsia="SimSun" w:cs="Mangal"/>
          <w:kern w:val="3"/>
          <w:szCs w:val="24"/>
          <w:lang w:eastAsia="zh-CN" w:bidi="hi-IN"/>
        </w:rPr>
        <w:t xml:space="preserve"> and </w:t>
      </w:r>
      <w:r w:rsidRPr="003B425A">
        <w:rPr>
          <w:rFonts w:eastAsia="SimSun" w:cs="Mangal"/>
          <w:kern w:val="3"/>
          <w:szCs w:val="24"/>
          <w:lang w:eastAsia="zh-CN" w:bidi="hi-IN"/>
        </w:rPr>
        <w:t>annual basis.</w:t>
      </w:r>
    </w:p>
    <w:p w:rsidRPr="003B425A" w:rsidR="003B425A" w:rsidP="003B425A" w:rsidRDefault="003B425A" w14:paraId="5253B1AE" w14:textId="77777777">
      <w:pPr>
        <w:widowControl w:val="0"/>
        <w:suppressAutoHyphens/>
        <w:autoSpaceDE w:val="0"/>
        <w:autoSpaceDN w:val="0"/>
        <w:adjustRightInd w:val="0"/>
        <w:ind w:firstLine="720"/>
        <w:rPr>
          <w:rFonts w:eastAsia="SimSun" w:cs="Mangal"/>
          <w:kern w:val="3"/>
          <w:szCs w:val="24"/>
          <w:lang w:eastAsia="zh-CN" w:bidi="hi-IN"/>
        </w:rPr>
      </w:pPr>
    </w:p>
    <w:p w:rsidRPr="003B425A" w:rsidR="003B425A" w:rsidP="003B425A" w:rsidRDefault="003B425A" w14:paraId="6FD4424A" w14:textId="77777777">
      <w:pPr>
        <w:widowControl w:val="0"/>
        <w:suppressAutoHyphens/>
        <w:autoSpaceDN w:val="0"/>
        <w:outlineLvl w:val="0"/>
        <w:rPr>
          <w:rFonts w:eastAsia="SimSun" w:cs="Mangal"/>
          <w:b/>
          <w:kern w:val="3"/>
          <w:szCs w:val="24"/>
          <w:lang w:eastAsia="zh-CN" w:bidi="hi-IN"/>
        </w:rPr>
      </w:pPr>
      <w:r w:rsidRPr="003B425A">
        <w:rPr>
          <w:rFonts w:eastAsia="SimSun" w:cs="Mangal"/>
          <w:b/>
          <w:kern w:val="3"/>
          <w:szCs w:val="24"/>
          <w:lang w:eastAsia="zh-CN" w:bidi="hi-IN"/>
        </w:rPr>
        <w:t>6.</w:t>
      </w:r>
      <w:r w:rsidRPr="003B425A">
        <w:rPr>
          <w:rFonts w:eastAsia="SimSun" w:cs="Mangal"/>
          <w:b/>
          <w:kern w:val="3"/>
          <w:szCs w:val="24"/>
          <w:lang w:eastAsia="zh-CN" w:bidi="hi-IN"/>
        </w:rPr>
        <w:tab/>
      </w:r>
      <w:r w:rsidRPr="003B425A">
        <w:rPr>
          <w:rFonts w:eastAsia="SimSun" w:cs="Mangal"/>
          <w:b/>
          <w:kern w:val="3"/>
          <w:szCs w:val="24"/>
          <w:u w:val="single"/>
          <w:lang w:eastAsia="zh-CN" w:bidi="hi-IN"/>
        </w:rPr>
        <w:t>Estimating the Burden and Cost of Collection</w:t>
      </w:r>
    </w:p>
    <w:p w:rsidRPr="003B425A" w:rsidR="003B425A" w:rsidP="003B425A" w:rsidRDefault="003B425A" w14:paraId="3D00082B" w14:textId="77777777">
      <w:pPr>
        <w:widowControl w:val="0"/>
        <w:suppressAutoHyphens/>
        <w:autoSpaceDN w:val="0"/>
        <w:ind w:firstLine="720"/>
        <w:rPr>
          <w:rFonts w:eastAsia="SimSun" w:cs="Mangal"/>
          <w:b/>
          <w:kern w:val="3"/>
          <w:szCs w:val="24"/>
          <w:lang w:eastAsia="zh-CN" w:bidi="hi-IN"/>
        </w:rPr>
      </w:pPr>
    </w:p>
    <w:p w:rsidRPr="003B425A" w:rsidR="003B425A" w:rsidP="003B425A" w:rsidRDefault="003B425A" w14:paraId="45463A0E"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6(a)</w:t>
      </w:r>
      <w:r w:rsidRPr="003B425A">
        <w:rPr>
          <w:rFonts w:eastAsia="SimSun" w:cs="Mangal"/>
          <w:b/>
          <w:kern w:val="3"/>
          <w:szCs w:val="24"/>
          <w:lang w:eastAsia="zh-CN" w:bidi="hi-IN"/>
        </w:rPr>
        <w:tab/>
        <w:t xml:space="preserve">Estimating the Respondent Universe </w:t>
      </w:r>
    </w:p>
    <w:p w:rsidRPr="003B425A" w:rsidR="003B425A" w:rsidP="003B425A" w:rsidRDefault="003B425A" w14:paraId="322DFC29"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292F78E7" w14:textId="030258F4">
      <w:pPr>
        <w:widowControl w:val="0"/>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 xml:space="preserve">We drew upon experience implementing similar regulations among the same entities to develop estimates of the burden associated with this collection. </w:t>
      </w:r>
      <w:r w:rsidR="00E12F66">
        <w:rPr>
          <w:rFonts w:eastAsia="SimSun" w:cs="Mangal"/>
          <w:kern w:val="3"/>
          <w:szCs w:val="24"/>
          <w:lang w:eastAsia="zh-CN" w:bidi="hi-IN"/>
        </w:rPr>
        <w:t xml:space="preserve">Detailed burden estimates for each party </w:t>
      </w:r>
      <w:r w:rsidR="00573E8D">
        <w:rPr>
          <w:rFonts w:eastAsia="SimSun" w:cs="Mangal"/>
          <w:kern w:val="3"/>
          <w:szCs w:val="24"/>
          <w:lang w:eastAsia="zh-CN" w:bidi="hi-IN"/>
        </w:rPr>
        <w:t>are in</w:t>
      </w:r>
      <w:r w:rsidR="00E12F66">
        <w:rPr>
          <w:rFonts w:eastAsia="SimSun" w:cs="Mangal"/>
          <w:kern w:val="3"/>
          <w:szCs w:val="24"/>
          <w:lang w:eastAsia="zh-CN" w:bidi="hi-IN"/>
        </w:rPr>
        <w:t xml:space="preserve"> Appendix A. </w:t>
      </w:r>
      <w:r w:rsidRPr="003B425A">
        <w:rPr>
          <w:rFonts w:eastAsia="SimSun" w:cs="Mangal"/>
          <w:kern w:val="3"/>
          <w:szCs w:val="24"/>
          <w:lang w:eastAsia="zh-CN" w:bidi="hi-IN"/>
        </w:rPr>
        <w:t>The following parties are identified as part of this collection with the number of each category of respondent in parentheticals:</w:t>
      </w:r>
    </w:p>
    <w:p w:rsidRPr="003B425A" w:rsidR="003B425A" w:rsidP="003B425A" w:rsidRDefault="003B425A" w14:paraId="1D3DFEC0" w14:textId="77777777">
      <w:pPr>
        <w:widowControl w:val="0"/>
        <w:suppressAutoHyphens/>
        <w:autoSpaceDN w:val="0"/>
        <w:ind w:firstLine="720"/>
        <w:rPr>
          <w:rFonts w:eastAsia="SimSun" w:cs="Mangal"/>
          <w:kern w:val="3"/>
          <w:szCs w:val="24"/>
          <w:lang w:eastAsia="zh-CN" w:bidi="hi-IN"/>
        </w:rPr>
      </w:pPr>
    </w:p>
    <w:p w:rsidR="0017462F" w:rsidP="003B425A" w:rsidRDefault="0017462F" w14:paraId="68E033EA" w14:textId="13055A02">
      <w:pPr>
        <w:widowControl w:val="0"/>
        <w:numPr>
          <w:ilvl w:val="0"/>
          <w:numId w:val="7"/>
        </w:numPr>
        <w:suppressAutoHyphens/>
        <w:autoSpaceDN w:val="0"/>
        <w:ind w:firstLine="720"/>
        <w:rPr>
          <w:rFonts w:eastAsia="SimSun" w:cs="Mangal"/>
          <w:kern w:val="3"/>
          <w:szCs w:val="24"/>
          <w:lang w:eastAsia="zh-CN" w:bidi="hi-IN"/>
        </w:rPr>
      </w:pPr>
      <w:r>
        <w:rPr>
          <w:rFonts w:eastAsia="SimSun" w:cs="Mangal"/>
          <w:kern w:val="3"/>
          <w:szCs w:val="24"/>
          <w:lang w:eastAsia="zh-CN" w:bidi="hi-IN"/>
        </w:rPr>
        <w:t>Biointermediate producers</w:t>
      </w:r>
      <w:r w:rsidR="001B5111">
        <w:rPr>
          <w:rFonts w:eastAsia="SimSun" w:cs="Mangal"/>
          <w:kern w:val="3"/>
          <w:szCs w:val="24"/>
          <w:lang w:eastAsia="zh-CN" w:bidi="hi-IN"/>
        </w:rPr>
        <w:t xml:space="preserve"> – we estimate 60 new foreign and domestic biointermediate producers </w:t>
      </w:r>
      <w:r w:rsidR="00035FA6">
        <w:rPr>
          <w:rFonts w:eastAsia="SimSun" w:cs="Mangal"/>
          <w:kern w:val="3"/>
          <w:szCs w:val="24"/>
          <w:lang w:eastAsia="zh-CN" w:bidi="hi-IN"/>
        </w:rPr>
        <w:t>(Table I of Appendix A)</w:t>
      </w:r>
    </w:p>
    <w:p w:rsidR="0017462F" w:rsidP="003B425A" w:rsidRDefault="00B114DE" w14:paraId="41C14C49" w14:textId="216D57A6">
      <w:pPr>
        <w:widowControl w:val="0"/>
        <w:numPr>
          <w:ilvl w:val="0"/>
          <w:numId w:val="7"/>
        </w:numPr>
        <w:suppressAutoHyphens/>
        <w:autoSpaceDN w:val="0"/>
        <w:ind w:firstLine="720"/>
        <w:rPr>
          <w:rFonts w:eastAsia="SimSun" w:cs="Mangal"/>
          <w:kern w:val="3"/>
          <w:szCs w:val="24"/>
          <w:lang w:eastAsia="zh-CN" w:bidi="hi-IN"/>
        </w:rPr>
      </w:pPr>
      <w:r>
        <w:rPr>
          <w:rFonts w:eastAsia="SimSun" w:cs="Mangal"/>
          <w:kern w:val="3"/>
          <w:szCs w:val="24"/>
          <w:lang w:eastAsia="zh-CN" w:bidi="hi-IN"/>
        </w:rPr>
        <w:t>RIN Generators - r</w:t>
      </w:r>
      <w:r w:rsidR="0017462F">
        <w:rPr>
          <w:rFonts w:eastAsia="SimSun" w:cs="Mangal"/>
          <w:kern w:val="3"/>
          <w:szCs w:val="24"/>
          <w:lang w:eastAsia="zh-CN" w:bidi="hi-IN"/>
        </w:rPr>
        <w:t>enewable fuels</w:t>
      </w:r>
      <w:r>
        <w:rPr>
          <w:rFonts w:eastAsia="SimSun" w:cs="Mangal"/>
          <w:kern w:val="3"/>
          <w:szCs w:val="24"/>
          <w:lang w:eastAsia="zh-CN" w:bidi="hi-IN"/>
        </w:rPr>
        <w:t xml:space="preserve"> </w:t>
      </w:r>
      <w:r w:rsidR="0017462F">
        <w:rPr>
          <w:rFonts w:eastAsia="SimSun" w:cs="Mangal"/>
          <w:kern w:val="3"/>
          <w:szCs w:val="24"/>
          <w:lang w:eastAsia="zh-CN" w:bidi="hi-IN"/>
        </w:rPr>
        <w:t>producers who use biointermediates</w:t>
      </w:r>
      <w:r w:rsidR="001B5111">
        <w:rPr>
          <w:rFonts w:eastAsia="SimSun" w:cs="Mangal"/>
          <w:kern w:val="3"/>
          <w:szCs w:val="24"/>
          <w:lang w:eastAsia="zh-CN" w:bidi="hi-IN"/>
        </w:rPr>
        <w:t xml:space="preserve"> – we estimate that there will be 40 </w:t>
      </w:r>
      <w:r w:rsidR="00986AE7">
        <w:rPr>
          <w:rFonts w:eastAsia="SimSun" w:cs="Mangal"/>
          <w:kern w:val="3"/>
          <w:szCs w:val="24"/>
          <w:lang w:eastAsia="zh-CN" w:bidi="hi-IN"/>
        </w:rPr>
        <w:t xml:space="preserve">renewable fuel producers using biointermediates, of whom 20 would be new registrants. </w:t>
      </w:r>
      <w:r w:rsidR="00035FA6">
        <w:rPr>
          <w:rFonts w:eastAsia="SimSun" w:cs="Mangal"/>
          <w:kern w:val="3"/>
          <w:szCs w:val="24"/>
          <w:lang w:eastAsia="zh-CN" w:bidi="hi-IN"/>
        </w:rPr>
        <w:t>(Table II of Appendix A)</w:t>
      </w:r>
    </w:p>
    <w:p w:rsidR="00191D45" w:rsidP="00434AAB" w:rsidRDefault="0017462F" w14:paraId="46CFDFDC" w14:textId="77777777">
      <w:pPr>
        <w:widowControl w:val="0"/>
        <w:numPr>
          <w:ilvl w:val="0"/>
          <w:numId w:val="7"/>
        </w:numPr>
        <w:suppressAutoHyphens/>
        <w:autoSpaceDN w:val="0"/>
        <w:ind w:firstLine="720"/>
        <w:rPr>
          <w:rFonts w:eastAsia="SimSun" w:cs="Mangal"/>
          <w:kern w:val="3"/>
          <w:szCs w:val="24"/>
          <w:lang w:eastAsia="zh-CN" w:bidi="hi-IN"/>
        </w:rPr>
      </w:pPr>
      <w:r w:rsidRPr="00191D45">
        <w:rPr>
          <w:rFonts w:eastAsia="SimSun" w:cs="Mangal"/>
          <w:kern w:val="3"/>
          <w:szCs w:val="24"/>
          <w:lang w:eastAsia="zh-CN" w:bidi="hi-IN"/>
        </w:rPr>
        <w:t>Biointermediate importers</w:t>
      </w:r>
      <w:r w:rsidRPr="00191D45" w:rsidR="00986AE7">
        <w:rPr>
          <w:rFonts w:eastAsia="SimSun" w:cs="Mangal"/>
          <w:kern w:val="3"/>
          <w:szCs w:val="24"/>
          <w:lang w:eastAsia="zh-CN" w:bidi="hi-IN"/>
        </w:rPr>
        <w:t xml:space="preserve"> – we estimate five (5)</w:t>
      </w:r>
      <w:r w:rsidRPr="00191D45" w:rsidR="00191D45">
        <w:rPr>
          <w:rFonts w:eastAsia="SimSun" w:cs="Mangal"/>
          <w:kern w:val="3"/>
          <w:szCs w:val="24"/>
          <w:lang w:eastAsia="zh-CN" w:bidi="hi-IN"/>
        </w:rPr>
        <w:t xml:space="preserve"> biointermediate importers</w:t>
      </w:r>
      <w:r w:rsidRPr="00191D45" w:rsidR="00E46048">
        <w:rPr>
          <w:rFonts w:eastAsia="SimSun" w:cs="Mangal"/>
          <w:kern w:val="3"/>
          <w:szCs w:val="24"/>
          <w:lang w:eastAsia="zh-CN" w:bidi="hi-IN"/>
        </w:rPr>
        <w:t xml:space="preserve">. </w:t>
      </w:r>
      <w:r w:rsidRPr="00191D45" w:rsidR="00035FA6">
        <w:rPr>
          <w:rFonts w:eastAsia="SimSun" w:cs="Mangal"/>
          <w:kern w:val="3"/>
          <w:szCs w:val="24"/>
          <w:lang w:eastAsia="zh-CN" w:bidi="hi-IN"/>
        </w:rPr>
        <w:t>(Table III of Appendix A.)</w:t>
      </w:r>
    </w:p>
    <w:p w:rsidR="00A06C59" w:rsidP="00434AAB" w:rsidRDefault="0017462F" w14:paraId="53669F9C" w14:textId="2C5F6C92">
      <w:pPr>
        <w:widowControl w:val="0"/>
        <w:numPr>
          <w:ilvl w:val="0"/>
          <w:numId w:val="7"/>
        </w:numPr>
        <w:suppressAutoHyphens/>
        <w:autoSpaceDN w:val="0"/>
        <w:ind w:firstLine="720"/>
        <w:rPr>
          <w:rFonts w:eastAsia="SimSun" w:cs="Mangal"/>
          <w:kern w:val="3"/>
          <w:szCs w:val="24"/>
          <w:lang w:eastAsia="zh-CN" w:bidi="hi-IN"/>
        </w:rPr>
      </w:pPr>
      <w:r w:rsidRPr="00191D45">
        <w:rPr>
          <w:rFonts w:eastAsia="SimSun" w:cs="Mangal"/>
          <w:kern w:val="3"/>
          <w:szCs w:val="24"/>
          <w:lang w:eastAsia="zh-CN" w:bidi="hi-IN"/>
        </w:rPr>
        <w:t>Third parties, including third party engineers</w:t>
      </w:r>
      <w:r w:rsidRPr="00191D45" w:rsidR="00E46048">
        <w:rPr>
          <w:rFonts w:eastAsia="SimSun" w:cs="Mangal"/>
          <w:kern w:val="3"/>
          <w:szCs w:val="24"/>
          <w:lang w:eastAsia="zh-CN" w:bidi="hi-IN"/>
        </w:rPr>
        <w:t xml:space="preserve">, </w:t>
      </w:r>
      <w:r w:rsidRPr="00191D45">
        <w:rPr>
          <w:rFonts w:eastAsia="SimSun" w:cs="Mangal"/>
          <w:kern w:val="3"/>
          <w:szCs w:val="24"/>
          <w:lang w:eastAsia="zh-CN" w:bidi="hi-IN"/>
        </w:rPr>
        <w:t>attest auditors</w:t>
      </w:r>
      <w:r w:rsidRPr="00191D45" w:rsidR="002846FD">
        <w:rPr>
          <w:rFonts w:eastAsia="SimSun" w:cs="Mangal"/>
          <w:kern w:val="3"/>
          <w:szCs w:val="24"/>
          <w:lang w:eastAsia="zh-CN" w:bidi="hi-IN"/>
        </w:rPr>
        <w:t>, and QAP providers</w:t>
      </w:r>
      <w:r w:rsidRPr="00191D45" w:rsidR="00E46048">
        <w:rPr>
          <w:rFonts w:eastAsia="SimSun" w:cs="Mangal"/>
          <w:kern w:val="3"/>
          <w:szCs w:val="24"/>
          <w:lang w:eastAsia="zh-CN" w:bidi="hi-IN"/>
        </w:rPr>
        <w:t xml:space="preserve"> – we estimate 10 third party engineers, </w:t>
      </w:r>
      <w:r w:rsidRPr="00191D45" w:rsidR="00A06C59">
        <w:rPr>
          <w:rFonts w:eastAsia="SimSun" w:cs="Mangal"/>
          <w:kern w:val="3"/>
          <w:szCs w:val="24"/>
          <w:lang w:eastAsia="zh-CN" w:bidi="hi-IN"/>
        </w:rPr>
        <w:t xml:space="preserve">10 attest auditors, </w:t>
      </w:r>
      <w:r w:rsidRPr="00191D45" w:rsidR="00B114DE">
        <w:rPr>
          <w:rFonts w:eastAsia="SimSun" w:cs="Mangal"/>
          <w:kern w:val="3"/>
          <w:szCs w:val="24"/>
          <w:lang w:eastAsia="zh-CN" w:bidi="hi-IN"/>
        </w:rPr>
        <w:t>t</w:t>
      </w:r>
      <w:r w:rsidRPr="00191D45" w:rsidR="00A06C59">
        <w:rPr>
          <w:rFonts w:eastAsia="SimSun" w:cs="Mangal"/>
          <w:kern w:val="3"/>
          <w:szCs w:val="24"/>
          <w:lang w:eastAsia="zh-CN" w:bidi="hi-IN"/>
        </w:rPr>
        <w:t>wo (2) QAP providers</w:t>
      </w:r>
      <w:r w:rsidRPr="00191D45" w:rsidR="00B114DE">
        <w:rPr>
          <w:rFonts w:eastAsia="SimSun" w:cs="Mangal"/>
          <w:kern w:val="3"/>
          <w:szCs w:val="24"/>
          <w:lang w:eastAsia="zh-CN" w:bidi="hi-IN"/>
        </w:rPr>
        <w:t xml:space="preserve">, and two (2) </w:t>
      </w:r>
      <w:r w:rsidRPr="00191D45" w:rsidR="00AC4C71">
        <w:rPr>
          <w:rFonts w:eastAsia="SimSun" w:cs="Mangal"/>
          <w:kern w:val="3"/>
          <w:szCs w:val="24"/>
          <w:lang w:eastAsia="zh-CN" w:bidi="hi-IN"/>
        </w:rPr>
        <w:t xml:space="preserve">independent </w:t>
      </w:r>
      <w:r w:rsidRPr="00191D45" w:rsidR="00B114DE">
        <w:rPr>
          <w:rFonts w:eastAsia="SimSun" w:cs="Mangal"/>
          <w:kern w:val="3"/>
          <w:szCs w:val="24"/>
          <w:lang w:eastAsia="zh-CN" w:bidi="hi-IN"/>
        </w:rPr>
        <w:t>parties who provide volume certification to biointermediate importers</w:t>
      </w:r>
      <w:r w:rsidRPr="00191D45" w:rsidR="00A06C59">
        <w:rPr>
          <w:rFonts w:eastAsia="SimSun" w:cs="Mangal"/>
          <w:kern w:val="3"/>
          <w:szCs w:val="24"/>
          <w:lang w:eastAsia="zh-CN" w:bidi="hi-IN"/>
        </w:rPr>
        <w:t>.</w:t>
      </w:r>
      <w:r w:rsidRPr="00191D45" w:rsidR="00B114DE">
        <w:rPr>
          <w:rFonts w:eastAsia="SimSun" w:cs="Mangal"/>
          <w:kern w:val="3"/>
          <w:szCs w:val="24"/>
          <w:lang w:eastAsia="zh-CN" w:bidi="hi-IN"/>
        </w:rPr>
        <w:t xml:space="preserve"> These are the outside parties whom biointermediate producers, renewable fuel producers who use biointermediates, and biointermediate </w:t>
      </w:r>
      <w:r w:rsidR="0098761C">
        <w:rPr>
          <w:rFonts w:eastAsia="SimSun" w:cs="Mangal"/>
          <w:kern w:val="3"/>
          <w:szCs w:val="24"/>
          <w:lang w:eastAsia="zh-CN" w:bidi="hi-IN"/>
        </w:rPr>
        <w:t>importer</w:t>
      </w:r>
      <w:r w:rsidRPr="00191D45" w:rsidR="00B114DE">
        <w:rPr>
          <w:rFonts w:eastAsia="SimSun" w:cs="Mangal"/>
          <w:kern w:val="3"/>
          <w:szCs w:val="24"/>
          <w:lang w:eastAsia="zh-CN" w:bidi="hi-IN"/>
        </w:rPr>
        <w:t xml:space="preserve">s must purchase services from in order to perform certain </w:t>
      </w:r>
      <w:r w:rsidR="0098761C">
        <w:rPr>
          <w:rFonts w:eastAsia="SimSun" w:cs="Mangal"/>
          <w:kern w:val="3"/>
          <w:szCs w:val="24"/>
          <w:lang w:eastAsia="zh-CN" w:bidi="hi-IN"/>
        </w:rPr>
        <w:t xml:space="preserve">recordkeeping and </w:t>
      </w:r>
      <w:r w:rsidRPr="00191D45" w:rsidR="00B114DE">
        <w:rPr>
          <w:rFonts w:eastAsia="SimSun" w:cs="Mangal"/>
          <w:kern w:val="3"/>
          <w:szCs w:val="24"/>
          <w:lang w:eastAsia="zh-CN" w:bidi="hi-IN"/>
        </w:rPr>
        <w:t xml:space="preserve">reporting tasks. </w:t>
      </w:r>
      <w:r w:rsidRPr="00191D45" w:rsidR="00035FA6">
        <w:rPr>
          <w:rFonts w:eastAsia="SimSun" w:cs="Mangal"/>
          <w:kern w:val="3"/>
          <w:szCs w:val="24"/>
          <w:lang w:eastAsia="zh-CN" w:bidi="hi-IN"/>
        </w:rPr>
        <w:t>(Table IV of Appendix A.)</w:t>
      </w:r>
    </w:p>
    <w:p w:rsidRPr="00191D45" w:rsidR="0098761C" w:rsidP="0098761C" w:rsidRDefault="0098761C" w14:paraId="233DF4A4" w14:textId="77777777">
      <w:pPr>
        <w:widowControl w:val="0"/>
        <w:suppressAutoHyphens/>
        <w:autoSpaceDN w:val="0"/>
        <w:ind w:left="720"/>
        <w:rPr>
          <w:rFonts w:eastAsia="SimSun" w:cs="Mangal"/>
          <w:kern w:val="3"/>
          <w:szCs w:val="24"/>
          <w:lang w:eastAsia="zh-CN" w:bidi="hi-IN"/>
        </w:rPr>
      </w:pPr>
    </w:p>
    <w:p w:rsidR="008F510C" w:rsidP="00573E8D" w:rsidRDefault="008F510C" w14:paraId="75FDCC23" w14:textId="545F20A9">
      <w:pPr>
        <w:widowControl w:val="0"/>
        <w:suppressAutoHyphens/>
        <w:autoSpaceDN w:val="0"/>
        <w:ind w:firstLine="720"/>
        <w:rPr>
          <w:rFonts w:eastAsia="SimSun" w:cs="Mangal"/>
          <w:kern w:val="3"/>
          <w:szCs w:val="24"/>
          <w:lang w:eastAsia="zh-CN" w:bidi="hi-IN"/>
        </w:rPr>
      </w:pPr>
      <w:r>
        <w:rPr>
          <w:rFonts w:eastAsia="SimSun" w:cs="Mangal"/>
          <w:kern w:val="3"/>
          <w:szCs w:val="24"/>
          <w:lang w:eastAsia="zh-CN" w:bidi="hi-IN"/>
        </w:rPr>
        <w:t xml:space="preserve">Biointermediate producers </w:t>
      </w:r>
      <w:r w:rsidR="00DA6708">
        <w:rPr>
          <w:rFonts w:eastAsia="SimSun" w:cs="Mangal"/>
          <w:kern w:val="3"/>
          <w:szCs w:val="24"/>
          <w:lang w:eastAsia="zh-CN" w:bidi="hi-IN"/>
        </w:rPr>
        <w:t xml:space="preserve">and biointermediate importers </w:t>
      </w:r>
      <w:r w:rsidR="00035FA6">
        <w:rPr>
          <w:rFonts w:eastAsia="SimSun" w:cs="Mangal"/>
          <w:kern w:val="3"/>
          <w:szCs w:val="24"/>
          <w:lang w:eastAsia="zh-CN" w:bidi="hi-IN"/>
        </w:rPr>
        <w:t xml:space="preserve">are </w:t>
      </w:r>
      <w:r>
        <w:rPr>
          <w:rFonts w:eastAsia="SimSun" w:cs="Mangal"/>
          <w:kern w:val="3"/>
          <w:szCs w:val="24"/>
          <w:lang w:eastAsia="zh-CN" w:bidi="hi-IN"/>
        </w:rPr>
        <w:t xml:space="preserve">new respondents under this </w:t>
      </w:r>
      <w:r w:rsidR="00DA6708">
        <w:rPr>
          <w:rFonts w:eastAsia="SimSun" w:cs="Mangal"/>
          <w:kern w:val="3"/>
          <w:szCs w:val="24"/>
          <w:lang w:eastAsia="zh-CN" w:bidi="hi-IN"/>
        </w:rPr>
        <w:t>proposed regulation</w:t>
      </w:r>
      <w:r w:rsidR="00035FA6">
        <w:rPr>
          <w:rFonts w:eastAsia="SimSun" w:cs="Mangal"/>
          <w:kern w:val="3"/>
          <w:szCs w:val="24"/>
          <w:lang w:eastAsia="zh-CN" w:bidi="hi-IN"/>
        </w:rPr>
        <w:t xml:space="preserve"> and this ICR</w:t>
      </w:r>
      <w:r w:rsidR="00DA6708">
        <w:rPr>
          <w:rFonts w:eastAsia="SimSun" w:cs="Mangal"/>
          <w:kern w:val="3"/>
          <w:szCs w:val="24"/>
          <w:lang w:eastAsia="zh-CN" w:bidi="hi-IN"/>
        </w:rPr>
        <w:t xml:space="preserve">. Renewable fuels producers are existing respondents, but we </w:t>
      </w:r>
      <w:r w:rsidR="00D16F0B">
        <w:rPr>
          <w:rFonts w:eastAsia="SimSun" w:cs="Mangal"/>
          <w:kern w:val="3"/>
          <w:szCs w:val="24"/>
          <w:lang w:eastAsia="zh-CN" w:bidi="hi-IN"/>
        </w:rPr>
        <w:t xml:space="preserve">anticipate </w:t>
      </w:r>
      <w:r w:rsidR="00DA6708">
        <w:rPr>
          <w:rFonts w:eastAsia="SimSun" w:cs="Mangal"/>
          <w:kern w:val="3"/>
          <w:szCs w:val="24"/>
          <w:lang w:eastAsia="zh-CN" w:bidi="hi-IN"/>
        </w:rPr>
        <w:t xml:space="preserve">that they may grow in number </w:t>
      </w:r>
      <w:r w:rsidR="00D16F0B">
        <w:rPr>
          <w:rFonts w:eastAsia="SimSun" w:cs="Mangal"/>
          <w:kern w:val="3"/>
          <w:szCs w:val="24"/>
          <w:lang w:eastAsia="zh-CN" w:bidi="hi-IN"/>
        </w:rPr>
        <w:t xml:space="preserve">due to the inclusion of biointermediates in RFS and </w:t>
      </w:r>
      <w:r w:rsidR="00035FA6">
        <w:rPr>
          <w:rFonts w:eastAsia="SimSun" w:cs="Mangal"/>
          <w:kern w:val="3"/>
          <w:szCs w:val="24"/>
          <w:lang w:eastAsia="zh-CN" w:bidi="hi-IN"/>
        </w:rPr>
        <w:t xml:space="preserve">our </w:t>
      </w:r>
      <w:r w:rsidR="00035FA6">
        <w:rPr>
          <w:rFonts w:eastAsia="SimSun" w:cs="Mangal"/>
          <w:kern w:val="3"/>
          <w:szCs w:val="24"/>
          <w:lang w:eastAsia="zh-CN" w:bidi="hi-IN"/>
        </w:rPr>
        <w:lastRenderedPageBreak/>
        <w:t>estimates in Appendix A reflect this</w:t>
      </w:r>
      <w:r w:rsidR="00D16F0B">
        <w:rPr>
          <w:rFonts w:eastAsia="SimSun" w:cs="Mangal"/>
          <w:kern w:val="3"/>
          <w:szCs w:val="24"/>
          <w:lang w:eastAsia="zh-CN" w:bidi="hi-IN"/>
        </w:rPr>
        <w:t xml:space="preserve"> expectation.</w:t>
      </w:r>
    </w:p>
    <w:p w:rsidR="00B114DE" w:rsidP="008F510C" w:rsidRDefault="00B114DE" w14:paraId="120A1B59" w14:textId="28C7E4CC">
      <w:pPr>
        <w:widowControl w:val="0"/>
        <w:suppressAutoHyphens/>
        <w:autoSpaceDN w:val="0"/>
        <w:rPr>
          <w:rFonts w:eastAsia="SimSun" w:cs="Mangal"/>
          <w:kern w:val="3"/>
          <w:szCs w:val="24"/>
          <w:lang w:eastAsia="zh-CN" w:bidi="hi-IN"/>
        </w:rPr>
      </w:pPr>
    </w:p>
    <w:p w:rsidR="00B114DE" w:rsidP="00573E8D" w:rsidRDefault="00B114DE" w14:paraId="17A13A2F" w14:textId="363F808B">
      <w:pPr>
        <w:widowControl w:val="0"/>
        <w:suppressAutoHyphens/>
        <w:autoSpaceDN w:val="0"/>
        <w:ind w:firstLine="720"/>
        <w:rPr>
          <w:rFonts w:eastAsia="SimSun" w:cs="Mangal"/>
          <w:kern w:val="3"/>
          <w:szCs w:val="24"/>
          <w:lang w:eastAsia="zh-CN" w:bidi="hi-IN"/>
        </w:rPr>
      </w:pPr>
      <w:r>
        <w:rPr>
          <w:rFonts w:eastAsia="SimSun" w:cs="Mangal"/>
          <w:kern w:val="3"/>
          <w:szCs w:val="24"/>
          <w:lang w:eastAsia="zh-CN" w:bidi="hi-IN"/>
        </w:rPr>
        <w:t xml:space="preserve">In order to assign the costs to the parties who </w:t>
      </w:r>
      <w:r w:rsidR="00035FA6">
        <w:rPr>
          <w:rFonts w:eastAsia="SimSun" w:cs="Mangal"/>
          <w:kern w:val="3"/>
          <w:szCs w:val="24"/>
          <w:lang w:eastAsia="zh-CN" w:bidi="hi-IN"/>
        </w:rPr>
        <w:t xml:space="preserve">bear them, and in order to avoid </w:t>
      </w:r>
      <w:r w:rsidR="00D16F0B">
        <w:rPr>
          <w:rFonts w:eastAsia="SimSun" w:cs="Mangal"/>
          <w:kern w:val="3"/>
          <w:szCs w:val="24"/>
          <w:lang w:eastAsia="zh-CN" w:bidi="hi-IN"/>
        </w:rPr>
        <w:t>double counting</w:t>
      </w:r>
      <w:r w:rsidR="00035FA6">
        <w:rPr>
          <w:rFonts w:eastAsia="SimSun" w:cs="Mangal"/>
          <w:kern w:val="3"/>
          <w:szCs w:val="24"/>
          <w:lang w:eastAsia="zh-CN" w:bidi="hi-IN"/>
        </w:rPr>
        <w:t xml:space="preserve">, this ICR assigns the responses, hours, and costs to the respondents in Tables I-III who engage the services of third parties to submit information on their behalf (and who purchase those services). However, in order to properly count all respondents, Table IV includes the third parties in the </w:t>
      </w:r>
      <w:r w:rsidR="005C60E4">
        <w:rPr>
          <w:rFonts w:eastAsia="SimSun" w:cs="Mangal"/>
          <w:kern w:val="3"/>
          <w:szCs w:val="24"/>
          <w:lang w:eastAsia="zh-CN" w:bidi="hi-IN"/>
        </w:rPr>
        <w:t xml:space="preserve">total </w:t>
      </w:r>
      <w:r w:rsidR="00035FA6">
        <w:rPr>
          <w:rFonts w:eastAsia="SimSun" w:cs="Mangal"/>
          <w:kern w:val="3"/>
          <w:szCs w:val="24"/>
          <w:lang w:eastAsia="zh-CN" w:bidi="hi-IN"/>
        </w:rPr>
        <w:t xml:space="preserve">number of respondents. </w:t>
      </w:r>
      <w:r w:rsidR="005C60E4">
        <w:rPr>
          <w:rFonts w:eastAsia="SimSun" w:cs="Mangal"/>
          <w:kern w:val="3"/>
          <w:szCs w:val="24"/>
          <w:lang w:eastAsia="zh-CN" w:bidi="hi-IN"/>
        </w:rPr>
        <w:t xml:space="preserve">Please refer to Appendix A for the detailed estimates and explanations. </w:t>
      </w:r>
    </w:p>
    <w:p w:rsidRPr="003B425A" w:rsidR="003B425A" w:rsidP="003B425A" w:rsidRDefault="003B425A" w14:paraId="005360FB"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19BC3382"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6(b)</w:t>
      </w:r>
      <w:r w:rsidRPr="003B425A">
        <w:rPr>
          <w:rFonts w:eastAsia="SimSun" w:cs="Mangal"/>
          <w:b/>
          <w:kern w:val="3"/>
          <w:szCs w:val="24"/>
          <w:lang w:eastAsia="zh-CN" w:bidi="hi-IN"/>
        </w:rPr>
        <w:tab/>
        <w:t>Estimating the Respondent Burden and Cost</w:t>
      </w:r>
    </w:p>
    <w:p w:rsidRPr="003B425A" w:rsidR="003B425A" w:rsidP="003B425A" w:rsidRDefault="003B425A" w14:paraId="6410D027" w14:textId="77777777">
      <w:pPr>
        <w:widowControl w:val="0"/>
        <w:suppressAutoHyphens/>
        <w:autoSpaceDN w:val="0"/>
        <w:ind w:firstLine="720"/>
        <w:rPr>
          <w:rFonts w:eastAsia="SimSun" w:cs="Mangal"/>
          <w:kern w:val="3"/>
          <w:szCs w:val="24"/>
          <w:lang w:eastAsia="zh-CN" w:bidi="hi-IN"/>
        </w:rPr>
      </w:pPr>
    </w:p>
    <w:p w:rsidR="003B425A" w:rsidP="00591902" w:rsidRDefault="001D1719" w14:paraId="740E4CC6" w14:textId="05D4BB70">
      <w:pPr>
        <w:suppressAutoHyphens/>
        <w:autoSpaceDN w:val="0"/>
        <w:ind w:firstLine="720"/>
      </w:pPr>
      <w:r>
        <w:rPr>
          <w:rFonts w:eastAsia="SimSun" w:cs="Mangal"/>
          <w:kern w:val="3"/>
          <w:szCs w:val="24"/>
          <w:lang w:eastAsia="zh-CN" w:bidi="hi-IN"/>
        </w:rPr>
        <w:t xml:space="preserve">The burden estimates are provided in Appendix A. </w:t>
      </w:r>
      <w:r w:rsidRPr="001008F3" w:rsidR="003B425A">
        <w:rPr>
          <w:rFonts w:eastAsia="SimSun" w:cs="Mangal"/>
          <w:kern w:val="3"/>
          <w:szCs w:val="24"/>
          <w:lang w:eastAsia="zh-CN" w:bidi="hi-IN"/>
        </w:rPr>
        <w:t>Four labor categories are involved</w:t>
      </w:r>
      <w:r>
        <w:rPr>
          <w:rFonts w:eastAsia="SimSun" w:cs="Mangal"/>
          <w:kern w:val="3"/>
          <w:szCs w:val="24"/>
          <w:lang w:eastAsia="zh-CN" w:bidi="hi-IN"/>
        </w:rPr>
        <w:t xml:space="preserve"> in these estimates</w:t>
      </w:r>
      <w:r w:rsidRPr="001008F3" w:rsidR="003B425A">
        <w:rPr>
          <w:rFonts w:eastAsia="SimSun" w:cs="Mangal"/>
          <w:kern w:val="3"/>
          <w:szCs w:val="24"/>
          <w:lang w:eastAsia="zh-CN" w:bidi="hi-IN"/>
        </w:rPr>
        <w:t xml:space="preserve">: managerial, technical, clerical, and legal. The estimates </w:t>
      </w:r>
      <w:r w:rsidR="006619B4">
        <w:rPr>
          <w:rFonts w:eastAsia="SimSun" w:cs="Mangal"/>
          <w:kern w:val="3"/>
          <w:szCs w:val="24"/>
          <w:lang w:eastAsia="zh-CN" w:bidi="hi-IN"/>
        </w:rPr>
        <w:t>are based</w:t>
      </w:r>
      <w:r w:rsidR="00A90AAA">
        <w:rPr>
          <w:rFonts w:eastAsia="SimSun" w:cs="Mangal"/>
          <w:kern w:val="3"/>
          <w:szCs w:val="24"/>
          <w:lang w:eastAsia="zh-CN" w:bidi="hi-IN"/>
        </w:rPr>
        <w:t xml:space="preserve"> on </w:t>
      </w:r>
      <w:r w:rsidRPr="001008F3" w:rsidR="003B425A">
        <w:rPr>
          <w:rFonts w:eastAsia="SimSun" w:cs="Mangal"/>
          <w:kern w:val="3"/>
          <w:szCs w:val="24"/>
          <w:lang w:eastAsia="zh-CN" w:bidi="hi-IN"/>
        </w:rPr>
        <w:t>the Bureau of Labor Statistics figures from “National Industry-Specific Occupational Employment &amp; Wage Estimate: Petroleum and Coal Products Manufacturing” (March 20</w:t>
      </w:r>
      <w:r w:rsidR="00591902">
        <w:rPr>
          <w:rFonts w:eastAsia="SimSun" w:cs="Mangal"/>
          <w:kern w:val="3"/>
          <w:szCs w:val="24"/>
          <w:lang w:eastAsia="zh-CN" w:bidi="hi-IN"/>
        </w:rPr>
        <w:t>20</w:t>
      </w:r>
      <w:r w:rsidRPr="001008F3" w:rsidR="003B425A">
        <w:rPr>
          <w:rFonts w:eastAsia="SimSun" w:cs="Mangal"/>
          <w:kern w:val="3"/>
          <w:szCs w:val="24"/>
          <w:lang w:eastAsia="zh-CN" w:bidi="hi-IN"/>
        </w:rPr>
        <w:t>). Using this method, the following wages and benefits apply by category:</w:t>
      </w:r>
      <w:r w:rsidRPr="00591902" w:rsidR="00591902">
        <w:t xml:space="preserve"> </w:t>
      </w:r>
    </w:p>
    <w:p w:rsidRPr="001008F3" w:rsidR="00F022CD" w:rsidP="00591902" w:rsidRDefault="00F022CD" w14:paraId="6F9EBCD8" w14:textId="77777777">
      <w:pPr>
        <w:suppressAutoHyphens/>
        <w:autoSpaceDN w:val="0"/>
        <w:ind w:firstLine="720"/>
        <w:rPr>
          <w:rFonts w:eastAsia="SimSun" w:cs="Mangal"/>
          <w:kern w:val="3"/>
          <w:szCs w:val="24"/>
          <w:lang w:eastAsia="zh-CN" w:bidi="hi-IN"/>
        </w:rPr>
      </w:pPr>
    </w:p>
    <w:tbl>
      <w:tblPr>
        <w:tblW w:w="7420" w:type="dxa"/>
        <w:tblLook w:val="04A0" w:firstRow="1" w:lastRow="0" w:firstColumn="1" w:lastColumn="0" w:noHBand="0" w:noVBand="1"/>
      </w:tblPr>
      <w:tblGrid>
        <w:gridCol w:w="2222"/>
        <w:gridCol w:w="1202"/>
        <w:gridCol w:w="1238"/>
        <w:gridCol w:w="1556"/>
        <w:gridCol w:w="1202"/>
      </w:tblGrid>
      <w:tr w:rsidRPr="00BB1817" w:rsidR="00BB1817" w:rsidTr="6AB033C2" w14:paraId="0E87ED25" w14:textId="77777777">
        <w:trPr>
          <w:trHeight w:val="380"/>
        </w:trPr>
        <w:tc>
          <w:tcPr>
            <w:tcW w:w="7420" w:type="dxa"/>
            <w:gridSpan w:val="5"/>
            <w:tcBorders>
              <w:top w:val="single" w:color="auto" w:sz="8" w:space="0"/>
              <w:left w:val="single" w:color="auto" w:sz="8" w:space="0"/>
              <w:bottom w:val="single" w:color="auto" w:sz="8" w:space="0"/>
              <w:right w:val="single" w:color="000000" w:themeColor="text1" w:sz="8" w:space="0"/>
            </w:tcBorders>
            <w:shd w:val="clear" w:color="auto" w:fill="auto"/>
            <w:noWrap/>
            <w:vAlign w:val="bottom"/>
            <w:hideMark/>
          </w:tcPr>
          <w:p w:rsidRPr="00BB1817" w:rsidR="00BB1817" w:rsidP="00BB1817" w:rsidRDefault="00BB1817" w14:paraId="79A01D10" w14:textId="77777777">
            <w:pPr>
              <w:jc w:val="center"/>
              <w:rPr>
                <w:rFonts w:eastAsia="Times New Roman" w:cs="Times New Roman"/>
                <w:b/>
                <w:bCs/>
                <w:color w:val="000000"/>
                <w:sz w:val="28"/>
                <w:szCs w:val="28"/>
              </w:rPr>
            </w:pPr>
            <w:r w:rsidRPr="00BB1817">
              <w:rPr>
                <w:rFonts w:eastAsia="Times New Roman" w:cs="Times New Roman"/>
                <w:b/>
                <w:bCs/>
                <w:color w:val="000000"/>
                <w:sz w:val="28"/>
                <w:szCs w:val="28"/>
              </w:rPr>
              <w:t>Labor Costs*</w:t>
            </w:r>
          </w:p>
        </w:tc>
      </w:tr>
      <w:tr w:rsidRPr="00BB1817" w:rsidR="00BB1817" w:rsidTr="6AB033C2" w14:paraId="72266196" w14:textId="77777777">
        <w:trPr>
          <w:trHeight w:val="910"/>
        </w:trPr>
        <w:tc>
          <w:tcPr>
            <w:tcW w:w="2222" w:type="dxa"/>
            <w:tcBorders>
              <w:top w:val="nil"/>
              <w:left w:val="single" w:color="auto" w:sz="8" w:space="0"/>
              <w:bottom w:val="single" w:color="auto" w:sz="4" w:space="0"/>
              <w:right w:val="single" w:color="auto" w:sz="4" w:space="0"/>
            </w:tcBorders>
            <w:shd w:val="clear" w:color="auto" w:fill="auto"/>
            <w:noWrap/>
            <w:vAlign w:val="bottom"/>
            <w:hideMark/>
          </w:tcPr>
          <w:p w:rsidRPr="00BB1817" w:rsidR="00BB1817" w:rsidP="00BB1817" w:rsidRDefault="00BB1817" w14:paraId="0FA16183" w14:textId="77777777">
            <w:pPr>
              <w:jc w:val="center"/>
              <w:rPr>
                <w:rFonts w:eastAsia="Times New Roman" w:cs="Times New Roman"/>
                <w:i/>
                <w:iCs/>
                <w:color w:val="000000"/>
                <w:sz w:val="22"/>
              </w:rPr>
            </w:pPr>
            <w:r w:rsidRPr="00BB1817">
              <w:rPr>
                <w:rFonts w:eastAsia="Times New Roman" w:cs="Times New Roman"/>
                <w:i/>
                <w:iCs/>
                <w:color w:val="000000"/>
                <w:sz w:val="22"/>
              </w:rPr>
              <w:t>Labor Type</w:t>
            </w:r>
          </w:p>
        </w:tc>
        <w:tc>
          <w:tcPr>
            <w:tcW w:w="1202" w:type="dxa"/>
            <w:tcBorders>
              <w:top w:val="nil"/>
              <w:left w:val="nil"/>
              <w:bottom w:val="single" w:color="auto" w:sz="4" w:space="0"/>
              <w:right w:val="single" w:color="auto" w:sz="4" w:space="0"/>
            </w:tcBorders>
            <w:shd w:val="clear" w:color="auto" w:fill="auto"/>
            <w:vAlign w:val="bottom"/>
            <w:hideMark/>
          </w:tcPr>
          <w:p w:rsidRPr="00BB1817" w:rsidR="00BB1817" w:rsidP="6AB033C2" w:rsidRDefault="00BB1817" w14:paraId="32DE9725" w14:textId="0508C525">
            <w:pPr>
              <w:jc w:val="center"/>
              <w:rPr>
                <w:rFonts w:eastAsia="Times New Roman" w:cs="Times New Roman"/>
                <w:i/>
                <w:iCs/>
                <w:color w:val="000000" w:themeColor="text1"/>
                <w:sz w:val="22"/>
              </w:rPr>
            </w:pPr>
            <w:r w:rsidRPr="6AB033C2">
              <w:rPr>
                <w:rFonts w:eastAsia="Times New Roman" w:cs="Times New Roman"/>
                <w:i/>
                <w:iCs/>
                <w:color w:val="000000" w:themeColor="text1"/>
                <w:sz w:val="22"/>
              </w:rPr>
              <w:t>Labor Cost/hour</w:t>
            </w:r>
          </w:p>
          <w:p w:rsidRPr="00BB1817" w:rsidR="00BB1817" w:rsidP="6AB033C2" w:rsidRDefault="098C4095" w14:paraId="3D26937D" w14:textId="18382D10">
            <w:pPr>
              <w:jc w:val="center"/>
              <w:rPr>
                <w:rFonts w:eastAsia="Times New Roman" w:cs="Times New Roman"/>
                <w:i/>
                <w:iCs/>
                <w:color w:val="000000"/>
                <w:sz w:val="22"/>
              </w:rPr>
            </w:pPr>
            <w:r w:rsidRPr="6AB033C2">
              <w:rPr>
                <w:rFonts w:eastAsia="Times New Roman" w:cs="Times New Roman"/>
                <w:i/>
                <w:iCs/>
                <w:color w:val="000000" w:themeColor="text1"/>
                <w:sz w:val="22"/>
              </w:rPr>
              <w:t>Dollars</w:t>
            </w:r>
          </w:p>
        </w:tc>
        <w:tc>
          <w:tcPr>
            <w:tcW w:w="1238" w:type="dxa"/>
            <w:tcBorders>
              <w:top w:val="nil"/>
              <w:left w:val="nil"/>
              <w:bottom w:val="single" w:color="auto" w:sz="4" w:space="0"/>
              <w:right w:val="single" w:color="auto" w:sz="4" w:space="0"/>
            </w:tcBorders>
            <w:shd w:val="clear" w:color="auto" w:fill="auto"/>
            <w:vAlign w:val="bottom"/>
            <w:hideMark/>
          </w:tcPr>
          <w:p w:rsidRPr="00BB1817" w:rsidR="00BB1817" w:rsidP="00BB1817" w:rsidRDefault="00BB1817" w14:paraId="0BF50565" w14:textId="77777777">
            <w:pPr>
              <w:jc w:val="center"/>
              <w:rPr>
                <w:rFonts w:eastAsia="Times New Roman" w:cs="Times New Roman"/>
                <w:i/>
                <w:iCs/>
                <w:color w:val="000000"/>
                <w:sz w:val="22"/>
              </w:rPr>
            </w:pPr>
            <w:r w:rsidRPr="00BB1817">
              <w:rPr>
                <w:rFonts w:eastAsia="Times New Roman" w:cs="Times New Roman"/>
                <w:i/>
                <w:iCs/>
                <w:color w:val="000000"/>
                <w:sz w:val="22"/>
              </w:rPr>
              <w:t xml:space="preserve">Labor + Overhead/ </w:t>
            </w:r>
            <w:proofErr w:type="spellStart"/>
            <w:r w:rsidRPr="00BB1817">
              <w:rPr>
                <w:rFonts w:eastAsia="Times New Roman" w:cs="Times New Roman"/>
                <w:i/>
                <w:iCs/>
                <w:color w:val="000000"/>
                <w:sz w:val="22"/>
              </w:rPr>
              <w:t>hour</w:t>
            </w:r>
            <w:r w:rsidRPr="00BB1817">
              <w:rPr>
                <w:rFonts w:eastAsia="Times New Roman" w:cs="Times New Roman"/>
                <w:i/>
                <w:iCs/>
                <w:color w:val="000000"/>
                <w:sz w:val="22"/>
                <w:vertAlign w:val="superscript"/>
              </w:rPr>
              <w:t>a</w:t>
            </w:r>
            <w:proofErr w:type="spellEnd"/>
          </w:p>
        </w:tc>
        <w:tc>
          <w:tcPr>
            <w:tcW w:w="1556" w:type="dxa"/>
            <w:tcBorders>
              <w:top w:val="nil"/>
              <w:left w:val="nil"/>
              <w:bottom w:val="single" w:color="auto" w:sz="4" w:space="0"/>
              <w:right w:val="single" w:color="auto" w:sz="4" w:space="0"/>
            </w:tcBorders>
            <w:shd w:val="clear" w:color="auto" w:fill="auto"/>
            <w:vAlign w:val="bottom"/>
            <w:hideMark/>
          </w:tcPr>
          <w:p w:rsidRPr="00BB1817" w:rsidR="00BB1817" w:rsidP="6AB033C2" w:rsidRDefault="00BB1817" w14:paraId="51DCA525" w14:textId="77777777">
            <w:pPr>
              <w:jc w:val="center"/>
              <w:rPr>
                <w:rFonts w:eastAsia="Times New Roman" w:cs="Times New Roman"/>
                <w:i/>
                <w:iCs/>
                <w:color w:val="000000"/>
                <w:sz w:val="20"/>
                <w:szCs w:val="20"/>
              </w:rPr>
            </w:pPr>
            <w:r w:rsidRPr="6AB033C2">
              <w:rPr>
                <w:rFonts w:eastAsia="Times New Roman" w:cs="Times New Roman"/>
                <w:i/>
                <w:iCs/>
                <w:color w:val="000000" w:themeColor="text1"/>
                <w:sz w:val="20"/>
                <w:szCs w:val="20"/>
              </w:rPr>
              <w:t>Portion attributed/hour</w:t>
            </w:r>
          </w:p>
        </w:tc>
        <w:tc>
          <w:tcPr>
            <w:tcW w:w="1202" w:type="dxa"/>
            <w:tcBorders>
              <w:top w:val="nil"/>
              <w:left w:val="nil"/>
              <w:bottom w:val="single" w:color="auto" w:sz="4" w:space="0"/>
              <w:right w:val="single" w:color="auto" w:sz="8" w:space="0"/>
            </w:tcBorders>
            <w:shd w:val="clear" w:color="auto" w:fill="auto"/>
            <w:vAlign w:val="bottom"/>
            <w:hideMark/>
          </w:tcPr>
          <w:p w:rsidRPr="00BB1817" w:rsidR="00BB1817" w:rsidP="6AB033C2" w:rsidRDefault="00BB1817" w14:paraId="39ED83C3" w14:textId="1D4A1A7D">
            <w:pPr>
              <w:jc w:val="center"/>
              <w:rPr>
                <w:rFonts w:eastAsia="Times New Roman" w:cs="Times New Roman"/>
                <w:i/>
                <w:iCs/>
                <w:color w:val="000000" w:themeColor="text1"/>
                <w:sz w:val="22"/>
              </w:rPr>
            </w:pPr>
            <w:r w:rsidRPr="6AB033C2">
              <w:rPr>
                <w:rFonts w:eastAsia="Times New Roman" w:cs="Times New Roman"/>
                <w:i/>
                <w:iCs/>
                <w:color w:val="000000" w:themeColor="text1"/>
                <w:sz w:val="22"/>
              </w:rPr>
              <w:t>Employer Cost/hour</w:t>
            </w:r>
          </w:p>
          <w:p w:rsidRPr="00BB1817" w:rsidR="00BB1817" w:rsidP="6AB033C2" w:rsidRDefault="75269E66" w14:paraId="18B851CA" w14:textId="6004A4FA">
            <w:pPr>
              <w:jc w:val="center"/>
              <w:rPr>
                <w:rFonts w:eastAsia="Times New Roman" w:cs="Times New Roman"/>
                <w:i/>
                <w:iCs/>
                <w:color w:val="000000"/>
                <w:sz w:val="22"/>
              </w:rPr>
            </w:pPr>
            <w:r w:rsidRPr="6AB033C2">
              <w:rPr>
                <w:rFonts w:eastAsia="Times New Roman" w:cs="Times New Roman"/>
                <w:i/>
                <w:iCs/>
                <w:color w:val="000000" w:themeColor="text1"/>
                <w:sz w:val="22"/>
              </w:rPr>
              <w:t>Dollars</w:t>
            </w:r>
          </w:p>
        </w:tc>
      </w:tr>
      <w:tr w:rsidRPr="00BB1817" w:rsidR="00BB1817" w:rsidTr="6AB033C2" w14:paraId="5EA3C94C" w14:textId="77777777">
        <w:trPr>
          <w:trHeight w:val="290"/>
        </w:trPr>
        <w:tc>
          <w:tcPr>
            <w:tcW w:w="2222" w:type="dxa"/>
            <w:tcBorders>
              <w:top w:val="nil"/>
              <w:left w:val="single" w:color="auto" w:sz="8" w:space="0"/>
              <w:bottom w:val="single" w:color="auto" w:sz="4" w:space="0"/>
              <w:right w:val="single" w:color="auto" w:sz="4" w:space="0"/>
            </w:tcBorders>
            <w:shd w:val="clear" w:color="auto" w:fill="auto"/>
            <w:noWrap/>
            <w:vAlign w:val="bottom"/>
            <w:hideMark/>
          </w:tcPr>
          <w:p w:rsidRPr="00BB1817" w:rsidR="00BB1817" w:rsidP="00BB1817" w:rsidRDefault="00BB1817" w14:paraId="457AA1F7" w14:textId="77777777">
            <w:pPr>
              <w:rPr>
                <w:rFonts w:eastAsia="Times New Roman" w:cs="Times New Roman"/>
                <w:color w:val="000000"/>
                <w:sz w:val="22"/>
              </w:rPr>
            </w:pPr>
            <w:r w:rsidRPr="00BB1817">
              <w:rPr>
                <w:rFonts w:eastAsia="Times New Roman" w:cs="Times New Roman"/>
                <w:color w:val="000000"/>
                <w:sz w:val="22"/>
              </w:rPr>
              <w:t>Managerial</w:t>
            </w:r>
          </w:p>
        </w:tc>
        <w:tc>
          <w:tcPr>
            <w:tcW w:w="1202"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0CA45EEB" w14:textId="77777777">
            <w:pPr>
              <w:rPr>
                <w:rFonts w:eastAsia="Times New Roman" w:cs="Times New Roman"/>
                <w:color w:val="000000"/>
                <w:sz w:val="22"/>
              </w:rPr>
            </w:pPr>
            <w:r w:rsidRPr="00BB1817">
              <w:rPr>
                <w:rFonts w:eastAsia="Times New Roman" w:cs="Times New Roman"/>
                <w:color w:val="000000"/>
                <w:sz w:val="22"/>
              </w:rPr>
              <w:t>104.23</w:t>
            </w:r>
          </w:p>
        </w:tc>
        <w:tc>
          <w:tcPr>
            <w:tcW w:w="1238"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18DA1D36" w14:textId="77777777">
            <w:pPr>
              <w:rPr>
                <w:rFonts w:eastAsia="Times New Roman" w:cs="Times New Roman"/>
                <w:color w:val="000000"/>
                <w:sz w:val="22"/>
              </w:rPr>
            </w:pPr>
            <w:r w:rsidRPr="00BB1817">
              <w:rPr>
                <w:rFonts w:eastAsia="Times New Roman" w:cs="Times New Roman"/>
                <w:color w:val="000000"/>
                <w:sz w:val="22"/>
              </w:rPr>
              <w:t>209</w:t>
            </w:r>
          </w:p>
        </w:tc>
        <w:tc>
          <w:tcPr>
            <w:tcW w:w="1556"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029F712B" w14:textId="77777777">
            <w:pPr>
              <w:rPr>
                <w:rFonts w:eastAsia="Times New Roman" w:cs="Times New Roman"/>
                <w:color w:val="000000"/>
                <w:sz w:val="22"/>
              </w:rPr>
            </w:pPr>
            <w:r w:rsidRPr="00BB1817">
              <w:rPr>
                <w:rFonts w:eastAsia="Times New Roman" w:cs="Times New Roman"/>
                <w:color w:val="000000"/>
                <w:sz w:val="22"/>
              </w:rPr>
              <w:t>0.05</w:t>
            </w:r>
          </w:p>
        </w:tc>
        <w:tc>
          <w:tcPr>
            <w:tcW w:w="1202" w:type="dxa"/>
            <w:tcBorders>
              <w:top w:val="nil"/>
              <w:left w:val="nil"/>
              <w:bottom w:val="single" w:color="auto" w:sz="4" w:space="0"/>
              <w:right w:val="single" w:color="auto" w:sz="8" w:space="0"/>
            </w:tcBorders>
            <w:shd w:val="clear" w:color="auto" w:fill="auto"/>
            <w:noWrap/>
            <w:vAlign w:val="bottom"/>
            <w:hideMark/>
          </w:tcPr>
          <w:p w:rsidRPr="00BB1817" w:rsidR="00BB1817" w:rsidP="00BB1817" w:rsidRDefault="00BB1817" w14:paraId="39C53C36" w14:textId="77777777">
            <w:pPr>
              <w:jc w:val="center"/>
              <w:rPr>
                <w:rFonts w:eastAsia="Times New Roman" w:cs="Times New Roman"/>
                <w:color w:val="000000"/>
                <w:sz w:val="22"/>
              </w:rPr>
            </w:pPr>
            <w:r w:rsidRPr="00BB1817">
              <w:rPr>
                <w:rFonts w:eastAsia="Times New Roman" w:cs="Times New Roman"/>
                <w:color w:val="000000"/>
                <w:sz w:val="22"/>
              </w:rPr>
              <w:t>10.45</w:t>
            </w:r>
          </w:p>
        </w:tc>
      </w:tr>
      <w:tr w:rsidRPr="00BB1817" w:rsidR="00BB1817" w:rsidTr="6AB033C2" w14:paraId="66F96D5A" w14:textId="77777777">
        <w:trPr>
          <w:trHeight w:val="290"/>
        </w:trPr>
        <w:tc>
          <w:tcPr>
            <w:tcW w:w="2222" w:type="dxa"/>
            <w:tcBorders>
              <w:top w:val="nil"/>
              <w:left w:val="single" w:color="auto" w:sz="8" w:space="0"/>
              <w:bottom w:val="single" w:color="auto" w:sz="4" w:space="0"/>
              <w:right w:val="single" w:color="auto" w:sz="4" w:space="0"/>
            </w:tcBorders>
            <w:shd w:val="clear" w:color="auto" w:fill="auto"/>
            <w:noWrap/>
            <w:vAlign w:val="bottom"/>
            <w:hideMark/>
          </w:tcPr>
          <w:p w:rsidRPr="00BB1817" w:rsidR="00BB1817" w:rsidP="6AB033C2" w:rsidRDefault="00BB1817" w14:paraId="4C6E45BF" w14:textId="77777777">
            <w:pPr>
              <w:rPr>
                <w:rFonts w:eastAsia="Times New Roman" w:cs="Times New Roman"/>
                <w:color w:val="000000"/>
                <w:sz w:val="20"/>
                <w:szCs w:val="20"/>
              </w:rPr>
            </w:pPr>
            <w:r w:rsidRPr="6AB033C2">
              <w:rPr>
                <w:rFonts w:eastAsia="Times New Roman" w:cs="Times New Roman"/>
                <w:color w:val="000000" w:themeColor="text1"/>
                <w:sz w:val="20"/>
                <w:szCs w:val="20"/>
              </w:rPr>
              <w:t>Technical/Professional</w:t>
            </w:r>
          </w:p>
        </w:tc>
        <w:tc>
          <w:tcPr>
            <w:tcW w:w="1202"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3D7681C2" w14:textId="77777777">
            <w:pPr>
              <w:rPr>
                <w:rFonts w:eastAsia="Times New Roman" w:cs="Times New Roman"/>
                <w:color w:val="000000"/>
                <w:sz w:val="22"/>
              </w:rPr>
            </w:pPr>
            <w:r w:rsidRPr="00BB1817">
              <w:rPr>
                <w:rFonts w:eastAsia="Times New Roman" w:cs="Times New Roman"/>
                <w:color w:val="000000"/>
                <w:sz w:val="22"/>
              </w:rPr>
              <w:t>38.29</w:t>
            </w:r>
          </w:p>
        </w:tc>
        <w:tc>
          <w:tcPr>
            <w:tcW w:w="1238"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065CD35C" w14:textId="77777777">
            <w:pPr>
              <w:rPr>
                <w:rFonts w:eastAsia="Times New Roman" w:cs="Times New Roman"/>
                <w:color w:val="000000"/>
                <w:sz w:val="22"/>
              </w:rPr>
            </w:pPr>
            <w:r w:rsidRPr="00BB1817">
              <w:rPr>
                <w:rFonts w:eastAsia="Times New Roman" w:cs="Times New Roman"/>
                <w:color w:val="000000"/>
                <w:sz w:val="22"/>
              </w:rPr>
              <w:t>77</w:t>
            </w:r>
          </w:p>
        </w:tc>
        <w:tc>
          <w:tcPr>
            <w:tcW w:w="1556"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322528C5" w14:textId="77777777">
            <w:pPr>
              <w:rPr>
                <w:rFonts w:eastAsia="Times New Roman" w:cs="Times New Roman"/>
                <w:color w:val="000000"/>
                <w:sz w:val="22"/>
              </w:rPr>
            </w:pPr>
            <w:r w:rsidRPr="00BB1817">
              <w:rPr>
                <w:rFonts w:eastAsia="Times New Roman" w:cs="Times New Roman"/>
                <w:color w:val="000000"/>
                <w:sz w:val="22"/>
              </w:rPr>
              <w:t>0.7</w:t>
            </w:r>
          </w:p>
        </w:tc>
        <w:tc>
          <w:tcPr>
            <w:tcW w:w="1202" w:type="dxa"/>
            <w:tcBorders>
              <w:top w:val="nil"/>
              <w:left w:val="nil"/>
              <w:bottom w:val="single" w:color="auto" w:sz="4" w:space="0"/>
              <w:right w:val="single" w:color="auto" w:sz="8" w:space="0"/>
            </w:tcBorders>
            <w:shd w:val="clear" w:color="auto" w:fill="auto"/>
            <w:noWrap/>
            <w:vAlign w:val="bottom"/>
            <w:hideMark/>
          </w:tcPr>
          <w:p w:rsidRPr="00BB1817" w:rsidR="00BB1817" w:rsidP="6AB033C2" w:rsidRDefault="00BB1817" w14:paraId="5699D7D2" w14:textId="2316F9BC">
            <w:pPr>
              <w:jc w:val="center"/>
              <w:rPr>
                <w:rFonts w:eastAsia="Times New Roman" w:cs="Times New Roman"/>
                <w:color w:val="000000"/>
                <w:sz w:val="22"/>
              </w:rPr>
            </w:pPr>
            <w:r w:rsidRPr="6AB033C2">
              <w:rPr>
                <w:rFonts w:eastAsia="Times New Roman" w:cs="Times New Roman"/>
                <w:color w:val="000000" w:themeColor="text1"/>
                <w:sz w:val="22"/>
              </w:rPr>
              <w:t>53.9</w:t>
            </w:r>
            <w:r w:rsidRPr="6AB033C2" w:rsidR="5D0760AD">
              <w:rPr>
                <w:rFonts w:eastAsia="Times New Roman" w:cs="Times New Roman"/>
                <w:color w:val="000000" w:themeColor="text1"/>
                <w:sz w:val="22"/>
              </w:rPr>
              <w:t>0</w:t>
            </w:r>
          </w:p>
        </w:tc>
      </w:tr>
      <w:tr w:rsidRPr="00BB1817" w:rsidR="00BB1817" w:rsidTr="6AB033C2" w14:paraId="523CC101" w14:textId="77777777">
        <w:trPr>
          <w:trHeight w:val="290"/>
        </w:trPr>
        <w:tc>
          <w:tcPr>
            <w:tcW w:w="2222" w:type="dxa"/>
            <w:tcBorders>
              <w:top w:val="nil"/>
              <w:left w:val="single" w:color="auto" w:sz="8" w:space="0"/>
              <w:bottom w:val="single" w:color="auto" w:sz="4" w:space="0"/>
              <w:right w:val="single" w:color="auto" w:sz="4" w:space="0"/>
            </w:tcBorders>
            <w:shd w:val="clear" w:color="auto" w:fill="auto"/>
            <w:noWrap/>
            <w:vAlign w:val="bottom"/>
            <w:hideMark/>
          </w:tcPr>
          <w:p w:rsidRPr="00BB1817" w:rsidR="00BB1817" w:rsidP="00BB1817" w:rsidRDefault="00BB1817" w14:paraId="09E4FC47" w14:textId="77777777">
            <w:pPr>
              <w:rPr>
                <w:rFonts w:eastAsia="Times New Roman" w:cs="Times New Roman"/>
                <w:color w:val="000000"/>
                <w:sz w:val="22"/>
              </w:rPr>
            </w:pPr>
            <w:r w:rsidRPr="00BB1817">
              <w:rPr>
                <w:rFonts w:eastAsia="Times New Roman" w:cs="Times New Roman"/>
                <w:color w:val="000000"/>
                <w:sz w:val="22"/>
              </w:rPr>
              <w:t>Clerical</w:t>
            </w:r>
          </w:p>
        </w:tc>
        <w:tc>
          <w:tcPr>
            <w:tcW w:w="1202"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30AED675" w14:textId="77777777">
            <w:pPr>
              <w:rPr>
                <w:rFonts w:eastAsia="Times New Roman" w:cs="Times New Roman"/>
                <w:color w:val="000000"/>
                <w:sz w:val="22"/>
              </w:rPr>
            </w:pPr>
            <w:r w:rsidRPr="00BB1817">
              <w:rPr>
                <w:rFonts w:eastAsia="Times New Roman" w:cs="Times New Roman"/>
                <w:color w:val="000000"/>
                <w:sz w:val="22"/>
              </w:rPr>
              <w:t>21.75</w:t>
            </w:r>
          </w:p>
        </w:tc>
        <w:tc>
          <w:tcPr>
            <w:tcW w:w="1238"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3E6615DA" w14:textId="77777777">
            <w:pPr>
              <w:rPr>
                <w:rFonts w:eastAsia="Times New Roman" w:cs="Times New Roman"/>
                <w:color w:val="000000"/>
                <w:sz w:val="22"/>
              </w:rPr>
            </w:pPr>
            <w:r w:rsidRPr="00BB1817">
              <w:rPr>
                <w:rFonts w:eastAsia="Times New Roman" w:cs="Times New Roman"/>
                <w:color w:val="000000"/>
                <w:sz w:val="22"/>
              </w:rPr>
              <w:t>44</w:t>
            </w:r>
          </w:p>
        </w:tc>
        <w:tc>
          <w:tcPr>
            <w:tcW w:w="1556"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6D6133BE" w14:textId="77777777">
            <w:pPr>
              <w:rPr>
                <w:rFonts w:eastAsia="Times New Roman" w:cs="Times New Roman"/>
                <w:color w:val="000000"/>
                <w:sz w:val="22"/>
              </w:rPr>
            </w:pPr>
            <w:r w:rsidRPr="00BB1817">
              <w:rPr>
                <w:rFonts w:eastAsia="Times New Roman" w:cs="Times New Roman"/>
                <w:color w:val="000000"/>
                <w:sz w:val="22"/>
              </w:rPr>
              <w:t>0.2</w:t>
            </w:r>
          </w:p>
        </w:tc>
        <w:tc>
          <w:tcPr>
            <w:tcW w:w="1202" w:type="dxa"/>
            <w:tcBorders>
              <w:top w:val="nil"/>
              <w:left w:val="nil"/>
              <w:bottom w:val="single" w:color="auto" w:sz="4" w:space="0"/>
              <w:right w:val="single" w:color="auto" w:sz="8" w:space="0"/>
            </w:tcBorders>
            <w:shd w:val="clear" w:color="auto" w:fill="auto"/>
            <w:noWrap/>
            <w:vAlign w:val="bottom"/>
            <w:hideMark/>
          </w:tcPr>
          <w:p w:rsidRPr="00BB1817" w:rsidR="00BB1817" w:rsidP="6AB033C2" w:rsidRDefault="00BB1817" w14:paraId="450B0146" w14:textId="47B499D9">
            <w:pPr>
              <w:jc w:val="center"/>
              <w:rPr>
                <w:rFonts w:eastAsia="Times New Roman" w:cs="Times New Roman"/>
                <w:color w:val="000000"/>
                <w:sz w:val="22"/>
              </w:rPr>
            </w:pPr>
            <w:r w:rsidRPr="6AB033C2">
              <w:rPr>
                <w:rFonts w:eastAsia="Times New Roman" w:cs="Times New Roman"/>
                <w:color w:val="000000" w:themeColor="text1"/>
                <w:sz w:val="22"/>
              </w:rPr>
              <w:t>8.8</w:t>
            </w:r>
            <w:r w:rsidRPr="6AB033C2" w:rsidR="5FB01B4B">
              <w:rPr>
                <w:rFonts w:eastAsia="Times New Roman" w:cs="Times New Roman"/>
                <w:color w:val="000000" w:themeColor="text1"/>
                <w:sz w:val="22"/>
              </w:rPr>
              <w:t>0</w:t>
            </w:r>
          </w:p>
        </w:tc>
      </w:tr>
      <w:tr w:rsidRPr="00BB1817" w:rsidR="00BB1817" w:rsidTr="6AB033C2" w14:paraId="69259D71" w14:textId="77777777">
        <w:trPr>
          <w:trHeight w:val="300"/>
        </w:trPr>
        <w:tc>
          <w:tcPr>
            <w:tcW w:w="2222" w:type="dxa"/>
            <w:tcBorders>
              <w:top w:val="nil"/>
              <w:left w:val="single" w:color="auto" w:sz="8" w:space="0"/>
              <w:bottom w:val="single" w:color="auto" w:sz="8" w:space="0"/>
              <w:right w:val="single" w:color="auto" w:sz="4" w:space="0"/>
            </w:tcBorders>
            <w:shd w:val="clear" w:color="auto" w:fill="auto"/>
            <w:noWrap/>
            <w:vAlign w:val="bottom"/>
            <w:hideMark/>
          </w:tcPr>
          <w:p w:rsidRPr="00BB1817" w:rsidR="00BB1817" w:rsidP="00BB1817" w:rsidRDefault="00BB1817" w14:paraId="7FC536C0" w14:textId="77777777">
            <w:pPr>
              <w:rPr>
                <w:rFonts w:eastAsia="Times New Roman" w:cs="Times New Roman"/>
                <w:color w:val="000000"/>
                <w:sz w:val="22"/>
              </w:rPr>
            </w:pPr>
            <w:r w:rsidRPr="00BB1817">
              <w:rPr>
                <w:rFonts w:eastAsia="Times New Roman" w:cs="Times New Roman"/>
                <w:color w:val="000000"/>
                <w:sz w:val="22"/>
              </w:rPr>
              <w:t>Legal</w:t>
            </w:r>
          </w:p>
        </w:tc>
        <w:tc>
          <w:tcPr>
            <w:tcW w:w="1202" w:type="dxa"/>
            <w:tcBorders>
              <w:top w:val="nil"/>
              <w:left w:val="nil"/>
              <w:bottom w:val="single" w:color="auto" w:sz="8" w:space="0"/>
              <w:right w:val="single" w:color="auto" w:sz="4" w:space="0"/>
            </w:tcBorders>
            <w:shd w:val="clear" w:color="auto" w:fill="auto"/>
            <w:noWrap/>
            <w:vAlign w:val="bottom"/>
            <w:hideMark/>
          </w:tcPr>
          <w:p w:rsidRPr="00BB1817" w:rsidR="00BB1817" w:rsidP="00BB1817" w:rsidRDefault="00BB1817" w14:paraId="4BD25976" w14:textId="77777777">
            <w:pPr>
              <w:rPr>
                <w:rFonts w:eastAsia="Times New Roman" w:cs="Times New Roman"/>
                <w:color w:val="000000"/>
                <w:sz w:val="22"/>
              </w:rPr>
            </w:pPr>
            <w:r w:rsidRPr="00BB1817">
              <w:rPr>
                <w:rFonts w:eastAsia="Times New Roman" w:cs="Times New Roman"/>
                <w:color w:val="000000"/>
                <w:sz w:val="22"/>
              </w:rPr>
              <w:t>83.03</w:t>
            </w:r>
          </w:p>
        </w:tc>
        <w:tc>
          <w:tcPr>
            <w:tcW w:w="1238" w:type="dxa"/>
            <w:tcBorders>
              <w:top w:val="nil"/>
              <w:left w:val="nil"/>
              <w:bottom w:val="single" w:color="auto" w:sz="4" w:space="0"/>
              <w:right w:val="single" w:color="auto" w:sz="4" w:space="0"/>
            </w:tcBorders>
            <w:shd w:val="clear" w:color="auto" w:fill="auto"/>
            <w:noWrap/>
            <w:vAlign w:val="bottom"/>
            <w:hideMark/>
          </w:tcPr>
          <w:p w:rsidRPr="00BB1817" w:rsidR="00BB1817" w:rsidP="00BB1817" w:rsidRDefault="00BB1817" w14:paraId="5FBEEB7E" w14:textId="77777777">
            <w:pPr>
              <w:rPr>
                <w:rFonts w:eastAsia="Times New Roman" w:cs="Times New Roman"/>
                <w:color w:val="000000"/>
                <w:sz w:val="22"/>
              </w:rPr>
            </w:pPr>
            <w:r w:rsidRPr="00BB1817">
              <w:rPr>
                <w:rFonts w:eastAsia="Times New Roman" w:cs="Times New Roman"/>
                <w:color w:val="000000"/>
                <w:sz w:val="22"/>
              </w:rPr>
              <w:t>167</w:t>
            </w:r>
          </w:p>
        </w:tc>
        <w:tc>
          <w:tcPr>
            <w:tcW w:w="1556" w:type="dxa"/>
            <w:tcBorders>
              <w:top w:val="nil"/>
              <w:left w:val="nil"/>
              <w:bottom w:val="single" w:color="auto" w:sz="8" w:space="0"/>
              <w:right w:val="single" w:color="auto" w:sz="4" w:space="0"/>
            </w:tcBorders>
            <w:shd w:val="clear" w:color="auto" w:fill="auto"/>
            <w:noWrap/>
            <w:vAlign w:val="bottom"/>
            <w:hideMark/>
          </w:tcPr>
          <w:p w:rsidRPr="00BB1817" w:rsidR="00BB1817" w:rsidP="00BB1817" w:rsidRDefault="00BB1817" w14:paraId="3A5D22A1" w14:textId="77777777">
            <w:pPr>
              <w:rPr>
                <w:rFonts w:eastAsia="Times New Roman" w:cs="Times New Roman"/>
                <w:color w:val="000000"/>
                <w:sz w:val="22"/>
              </w:rPr>
            </w:pPr>
            <w:r w:rsidRPr="00BB1817">
              <w:rPr>
                <w:rFonts w:eastAsia="Times New Roman" w:cs="Times New Roman"/>
                <w:color w:val="000000"/>
                <w:sz w:val="22"/>
              </w:rPr>
              <w:t>0.05</w:t>
            </w:r>
          </w:p>
        </w:tc>
        <w:tc>
          <w:tcPr>
            <w:tcW w:w="1202" w:type="dxa"/>
            <w:tcBorders>
              <w:top w:val="nil"/>
              <w:left w:val="nil"/>
              <w:bottom w:val="single" w:color="auto" w:sz="8" w:space="0"/>
              <w:right w:val="single" w:color="auto" w:sz="8" w:space="0"/>
            </w:tcBorders>
            <w:shd w:val="clear" w:color="auto" w:fill="auto"/>
            <w:noWrap/>
            <w:vAlign w:val="bottom"/>
            <w:hideMark/>
          </w:tcPr>
          <w:p w:rsidRPr="00BB1817" w:rsidR="00BB1817" w:rsidP="00BB1817" w:rsidRDefault="00BB1817" w14:paraId="22065CDF" w14:textId="77777777">
            <w:pPr>
              <w:jc w:val="center"/>
              <w:rPr>
                <w:rFonts w:eastAsia="Times New Roman" w:cs="Times New Roman"/>
                <w:color w:val="000000"/>
                <w:sz w:val="22"/>
              </w:rPr>
            </w:pPr>
            <w:r w:rsidRPr="00BB1817">
              <w:rPr>
                <w:rFonts w:eastAsia="Times New Roman" w:cs="Times New Roman"/>
                <w:color w:val="000000"/>
                <w:sz w:val="22"/>
              </w:rPr>
              <w:t>8.35</w:t>
            </w:r>
          </w:p>
        </w:tc>
      </w:tr>
      <w:tr w:rsidRPr="00BB1817" w:rsidR="00BB1817" w:rsidTr="6AB033C2" w14:paraId="7B8CDB57" w14:textId="77777777">
        <w:trPr>
          <w:trHeight w:val="290"/>
        </w:trPr>
        <w:tc>
          <w:tcPr>
            <w:tcW w:w="6218" w:type="dxa"/>
            <w:gridSpan w:val="4"/>
            <w:tcBorders>
              <w:top w:val="single" w:color="auto" w:sz="8" w:space="0"/>
              <w:left w:val="single" w:color="auto" w:sz="8" w:space="0"/>
              <w:bottom w:val="nil"/>
              <w:right w:val="single" w:color="000000" w:themeColor="text1" w:sz="4" w:space="0"/>
            </w:tcBorders>
            <w:shd w:val="clear" w:color="auto" w:fill="auto"/>
            <w:noWrap/>
            <w:vAlign w:val="bottom"/>
            <w:hideMark/>
          </w:tcPr>
          <w:p w:rsidRPr="00BB1817" w:rsidR="00BB1817" w:rsidP="00BB1817" w:rsidRDefault="00BB1817" w14:paraId="6315EE5C" w14:textId="77777777">
            <w:pPr>
              <w:rPr>
                <w:rFonts w:eastAsia="Times New Roman" w:cs="Times New Roman"/>
                <w:sz w:val="22"/>
              </w:rPr>
            </w:pPr>
            <w:r w:rsidRPr="00BB1817">
              <w:rPr>
                <w:rFonts w:eastAsia="Times New Roman" w:cs="Times New Roman"/>
                <w:sz w:val="22"/>
              </w:rPr>
              <w:t>Total Employer Cost/hour</w:t>
            </w:r>
          </w:p>
        </w:tc>
        <w:tc>
          <w:tcPr>
            <w:tcW w:w="1202" w:type="dxa"/>
            <w:tcBorders>
              <w:top w:val="nil"/>
              <w:left w:val="nil"/>
              <w:bottom w:val="nil"/>
              <w:right w:val="single" w:color="auto" w:sz="8" w:space="0"/>
            </w:tcBorders>
            <w:shd w:val="clear" w:color="auto" w:fill="auto"/>
            <w:noWrap/>
            <w:vAlign w:val="bottom"/>
            <w:hideMark/>
          </w:tcPr>
          <w:p w:rsidRPr="00BB1817" w:rsidR="00BB1817" w:rsidP="6AB033C2" w:rsidRDefault="4DCF8998" w14:paraId="5B66385B" w14:textId="01159129">
            <w:pPr>
              <w:jc w:val="center"/>
              <w:rPr>
                <w:rFonts w:eastAsia="Times New Roman" w:cs="Times New Roman"/>
                <w:sz w:val="22"/>
              </w:rPr>
            </w:pPr>
            <w:r w:rsidRPr="6AB033C2">
              <w:rPr>
                <w:rFonts w:eastAsia="Times New Roman" w:cs="Times New Roman"/>
                <w:sz w:val="22"/>
              </w:rPr>
              <w:t xml:space="preserve">$ </w:t>
            </w:r>
            <w:r w:rsidRPr="6AB033C2" w:rsidR="00BB1817">
              <w:rPr>
                <w:rFonts w:eastAsia="Times New Roman" w:cs="Times New Roman"/>
                <w:sz w:val="22"/>
              </w:rPr>
              <w:t>82</w:t>
            </w:r>
            <w:r w:rsidRPr="6AB033C2" w:rsidR="515FCF10">
              <w:rPr>
                <w:rFonts w:eastAsia="Times New Roman" w:cs="Times New Roman"/>
                <w:sz w:val="22"/>
              </w:rPr>
              <w:t>.00</w:t>
            </w:r>
          </w:p>
        </w:tc>
      </w:tr>
      <w:tr w:rsidRPr="00BB1817" w:rsidR="00BB1817" w:rsidTr="6AB033C2" w14:paraId="23760588" w14:textId="77777777">
        <w:trPr>
          <w:trHeight w:val="340"/>
        </w:trPr>
        <w:tc>
          <w:tcPr>
            <w:tcW w:w="6218" w:type="dxa"/>
            <w:gridSpan w:val="4"/>
            <w:tcBorders>
              <w:top w:val="single" w:color="auto" w:sz="4" w:space="0"/>
              <w:left w:val="single" w:color="auto" w:sz="8" w:space="0"/>
              <w:bottom w:val="single" w:color="auto" w:sz="8" w:space="0"/>
              <w:right w:val="single" w:color="000000" w:themeColor="text1" w:sz="4" w:space="0"/>
            </w:tcBorders>
            <w:shd w:val="clear" w:color="auto" w:fill="auto"/>
            <w:noWrap/>
            <w:vAlign w:val="bottom"/>
            <w:hideMark/>
          </w:tcPr>
          <w:p w:rsidRPr="00BB1817" w:rsidR="00BB1817" w:rsidP="00BB1817" w:rsidRDefault="00BB1817" w14:paraId="65C7821A" w14:textId="77777777">
            <w:pPr>
              <w:rPr>
                <w:rFonts w:eastAsia="Times New Roman" w:cs="Times New Roman"/>
                <w:sz w:val="22"/>
              </w:rPr>
            </w:pPr>
            <w:r w:rsidRPr="00BB1817">
              <w:rPr>
                <w:rFonts w:eastAsia="Times New Roman" w:cs="Times New Roman"/>
                <w:sz w:val="22"/>
              </w:rPr>
              <w:t xml:space="preserve">Purchased </w:t>
            </w:r>
            <w:proofErr w:type="spellStart"/>
            <w:r w:rsidRPr="00BB1817">
              <w:rPr>
                <w:rFonts w:eastAsia="Times New Roman" w:cs="Times New Roman"/>
                <w:sz w:val="22"/>
              </w:rPr>
              <w:t>Services</w:t>
            </w:r>
            <w:r w:rsidRPr="00BB1817">
              <w:rPr>
                <w:rFonts w:eastAsia="Times New Roman" w:cs="Times New Roman"/>
                <w:sz w:val="22"/>
                <w:vertAlign w:val="superscript"/>
              </w:rPr>
              <w:t>b</w:t>
            </w:r>
            <w:proofErr w:type="spellEnd"/>
          </w:p>
        </w:tc>
        <w:tc>
          <w:tcPr>
            <w:tcW w:w="1202" w:type="dxa"/>
            <w:tcBorders>
              <w:top w:val="single" w:color="auto" w:sz="4" w:space="0"/>
              <w:left w:val="nil"/>
              <w:bottom w:val="single" w:color="auto" w:sz="8" w:space="0"/>
              <w:right w:val="single" w:color="auto" w:sz="8" w:space="0"/>
            </w:tcBorders>
            <w:shd w:val="clear" w:color="auto" w:fill="auto"/>
            <w:noWrap/>
            <w:vAlign w:val="bottom"/>
            <w:hideMark/>
          </w:tcPr>
          <w:p w:rsidRPr="00BB1817" w:rsidR="00BB1817" w:rsidP="6AB033C2" w:rsidRDefault="4B4646D4" w14:paraId="31D7160F" w14:textId="17062861">
            <w:pPr>
              <w:jc w:val="center"/>
              <w:rPr>
                <w:rFonts w:eastAsia="Times New Roman" w:cs="Times New Roman"/>
                <w:sz w:val="22"/>
              </w:rPr>
            </w:pPr>
            <w:r w:rsidRPr="6AB033C2">
              <w:rPr>
                <w:rFonts w:eastAsia="Times New Roman" w:cs="Times New Roman"/>
                <w:sz w:val="22"/>
              </w:rPr>
              <w:t xml:space="preserve">$ </w:t>
            </w:r>
            <w:r w:rsidRPr="6AB033C2" w:rsidR="00BB1817">
              <w:rPr>
                <w:rFonts w:eastAsia="Times New Roman" w:cs="Times New Roman"/>
                <w:sz w:val="22"/>
              </w:rPr>
              <w:t>164</w:t>
            </w:r>
            <w:r w:rsidRPr="6AB033C2" w:rsidR="1C360531">
              <w:rPr>
                <w:rFonts w:eastAsia="Times New Roman" w:cs="Times New Roman"/>
                <w:sz w:val="22"/>
              </w:rPr>
              <w:t>.00</w:t>
            </w:r>
          </w:p>
        </w:tc>
      </w:tr>
    </w:tbl>
    <w:p w:rsidRPr="001C25EF" w:rsidR="003B425A" w:rsidP="003B425A" w:rsidRDefault="003B425A" w14:paraId="7F68ACA7" w14:textId="77777777">
      <w:pPr>
        <w:suppressAutoHyphens/>
        <w:autoSpaceDN w:val="0"/>
        <w:ind w:firstLine="720"/>
        <w:rPr>
          <w:rFonts w:eastAsia="SimSun" w:cs="Times New Roman"/>
          <w:strike/>
          <w:kern w:val="3"/>
          <w:szCs w:val="24"/>
          <w:lang w:eastAsia="zh-CN" w:bidi="hi-IN"/>
        </w:rPr>
      </w:pPr>
    </w:p>
    <w:tbl>
      <w:tblPr>
        <w:tblW w:w="9340" w:type="dxa"/>
        <w:tblCellMar>
          <w:top w:w="15" w:type="dxa"/>
        </w:tblCellMar>
        <w:tblLook w:val="04A0" w:firstRow="1" w:lastRow="0" w:firstColumn="1" w:lastColumn="0" w:noHBand="0" w:noVBand="1"/>
      </w:tblPr>
      <w:tblGrid>
        <w:gridCol w:w="9118"/>
        <w:gridCol w:w="222"/>
      </w:tblGrid>
      <w:tr w:rsidRPr="00576385" w:rsidR="00576385" w:rsidTr="00576385" w14:paraId="6AD975AD" w14:textId="77777777">
        <w:trPr>
          <w:gridAfter w:val="1"/>
          <w:wAfter w:w="36" w:type="dxa"/>
          <w:trHeight w:val="458"/>
        </w:trPr>
        <w:tc>
          <w:tcPr>
            <w:tcW w:w="9304" w:type="dxa"/>
            <w:vMerge w:val="restart"/>
            <w:tcBorders>
              <w:top w:val="nil"/>
              <w:left w:val="nil"/>
              <w:bottom w:val="nil"/>
              <w:right w:val="nil"/>
            </w:tcBorders>
            <w:shd w:val="clear" w:color="auto" w:fill="auto"/>
            <w:vAlign w:val="bottom"/>
            <w:hideMark/>
          </w:tcPr>
          <w:p w:rsidRPr="00576385" w:rsidR="00576385" w:rsidP="00576385" w:rsidRDefault="00576385" w14:paraId="2E7F75DD" w14:textId="77777777">
            <w:pPr>
              <w:rPr>
                <w:rFonts w:eastAsia="Times New Roman" w:cs="Times New Roman"/>
                <w:color w:val="000000"/>
                <w:sz w:val="18"/>
                <w:szCs w:val="18"/>
              </w:rPr>
            </w:pPr>
            <w:proofErr w:type="spellStart"/>
            <w:proofErr w:type="gramStart"/>
            <w:r w:rsidRPr="00576385">
              <w:rPr>
                <w:rFonts w:eastAsia="Times New Roman" w:cs="Times New Roman"/>
                <w:color w:val="000000"/>
                <w:sz w:val="18"/>
                <w:szCs w:val="18"/>
                <w:vertAlign w:val="superscript"/>
              </w:rPr>
              <w:t>a</w:t>
            </w:r>
            <w:proofErr w:type="spellEnd"/>
            <w:proofErr w:type="gramEnd"/>
            <w:r w:rsidRPr="00576385">
              <w:rPr>
                <w:rFonts w:eastAsia="Times New Roman" w:cs="Times New Roman"/>
                <w:color w:val="000000"/>
                <w:sz w:val="18"/>
                <w:szCs w:val="18"/>
                <w:vertAlign w:val="superscript"/>
              </w:rPr>
              <w:t xml:space="preserve"> </w:t>
            </w:r>
            <w:r w:rsidRPr="00576385">
              <w:rPr>
                <w:rFonts w:eastAsia="Times New Roman" w:cs="Times New Roman"/>
                <w:color w:val="000000"/>
                <w:sz w:val="18"/>
                <w:szCs w:val="18"/>
              </w:rPr>
              <w:t>Overhead is calculated to be equal to the cost of labor.</w:t>
            </w:r>
          </w:p>
        </w:tc>
      </w:tr>
      <w:tr w:rsidRPr="00576385" w:rsidR="00576385" w:rsidTr="00576385" w14:paraId="10B72FE7" w14:textId="77777777">
        <w:trPr>
          <w:trHeight w:val="290"/>
        </w:trPr>
        <w:tc>
          <w:tcPr>
            <w:tcW w:w="9304" w:type="dxa"/>
            <w:vMerge/>
            <w:tcBorders>
              <w:top w:val="nil"/>
              <w:left w:val="nil"/>
              <w:bottom w:val="nil"/>
              <w:right w:val="nil"/>
            </w:tcBorders>
            <w:vAlign w:val="center"/>
            <w:hideMark/>
          </w:tcPr>
          <w:p w:rsidRPr="00576385" w:rsidR="00576385" w:rsidP="00576385" w:rsidRDefault="00576385" w14:paraId="3384583F" w14:textId="77777777">
            <w:pPr>
              <w:rPr>
                <w:rFonts w:eastAsia="Times New Roman" w:cs="Times New Roman"/>
                <w:color w:val="000000"/>
                <w:sz w:val="18"/>
                <w:szCs w:val="18"/>
              </w:rPr>
            </w:pPr>
          </w:p>
        </w:tc>
        <w:tc>
          <w:tcPr>
            <w:tcW w:w="36" w:type="dxa"/>
            <w:tcBorders>
              <w:top w:val="nil"/>
              <w:left w:val="nil"/>
              <w:bottom w:val="nil"/>
              <w:right w:val="nil"/>
            </w:tcBorders>
            <w:shd w:val="clear" w:color="auto" w:fill="auto"/>
            <w:noWrap/>
            <w:vAlign w:val="bottom"/>
            <w:hideMark/>
          </w:tcPr>
          <w:p w:rsidRPr="00576385" w:rsidR="00576385" w:rsidP="00576385" w:rsidRDefault="00576385" w14:paraId="773A4006" w14:textId="77777777">
            <w:pPr>
              <w:rPr>
                <w:rFonts w:eastAsia="Times New Roman" w:cs="Times New Roman"/>
                <w:color w:val="000000"/>
                <w:sz w:val="18"/>
                <w:szCs w:val="18"/>
              </w:rPr>
            </w:pPr>
          </w:p>
        </w:tc>
      </w:tr>
      <w:tr w:rsidRPr="00576385" w:rsidR="00576385" w:rsidTr="00576385" w14:paraId="79EC290B" w14:textId="77777777">
        <w:trPr>
          <w:trHeight w:val="290"/>
        </w:trPr>
        <w:tc>
          <w:tcPr>
            <w:tcW w:w="9304" w:type="dxa"/>
            <w:vMerge w:val="restart"/>
            <w:tcBorders>
              <w:top w:val="nil"/>
              <w:left w:val="nil"/>
              <w:bottom w:val="nil"/>
              <w:right w:val="nil"/>
            </w:tcBorders>
            <w:shd w:val="clear" w:color="auto" w:fill="auto"/>
            <w:vAlign w:val="bottom"/>
            <w:hideMark/>
          </w:tcPr>
          <w:p w:rsidRPr="00576385" w:rsidR="00576385" w:rsidP="00576385" w:rsidRDefault="00576385" w14:paraId="5EB55EFF" w14:textId="1675D246">
            <w:pPr>
              <w:rPr>
                <w:rFonts w:eastAsia="Times New Roman" w:cs="Times New Roman"/>
                <w:color w:val="000000"/>
                <w:sz w:val="18"/>
                <w:szCs w:val="18"/>
              </w:rPr>
            </w:pPr>
            <w:r w:rsidRPr="00576385">
              <w:rPr>
                <w:rFonts w:eastAsia="Times New Roman" w:cs="Times New Roman"/>
                <w:color w:val="000000"/>
                <w:sz w:val="18"/>
                <w:szCs w:val="18"/>
                <w:vertAlign w:val="superscript"/>
              </w:rPr>
              <w:t>b</w:t>
            </w:r>
            <w:r w:rsidRPr="00576385">
              <w:rPr>
                <w:rFonts w:eastAsia="Times New Roman" w:cs="Times New Roman"/>
                <w:color w:val="000000"/>
                <w:sz w:val="18"/>
                <w:szCs w:val="18"/>
              </w:rPr>
              <w:t xml:space="preserve"> </w:t>
            </w:r>
            <w:proofErr w:type="gramStart"/>
            <w:r w:rsidRPr="00576385">
              <w:rPr>
                <w:rFonts w:eastAsia="Times New Roman" w:cs="Times New Roman"/>
                <w:color w:val="000000"/>
                <w:sz w:val="18"/>
                <w:szCs w:val="18"/>
              </w:rPr>
              <w:t>The</w:t>
            </w:r>
            <w:proofErr w:type="gramEnd"/>
            <w:r w:rsidRPr="00576385">
              <w:rPr>
                <w:rFonts w:eastAsia="Times New Roman" w:cs="Times New Roman"/>
                <w:color w:val="000000"/>
                <w:sz w:val="18"/>
                <w:szCs w:val="18"/>
              </w:rPr>
              <w:t xml:space="preserve"> cost of purchased services (for example, cost of attest auditors) is calculated at twice the Total Employer Cost. This figure makes for an easily understandable </w:t>
            </w:r>
            <w:r w:rsidRPr="00576385" w:rsidR="00BF67BA">
              <w:rPr>
                <w:rFonts w:eastAsia="Times New Roman" w:cs="Times New Roman"/>
                <w:color w:val="000000"/>
                <w:sz w:val="18"/>
                <w:szCs w:val="18"/>
              </w:rPr>
              <w:t>estimate and</w:t>
            </w:r>
            <w:r w:rsidRPr="00576385">
              <w:rPr>
                <w:rFonts w:eastAsia="Times New Roman" w:cs="Times New Roman"/>
                <w:color w:val="000000"/>
                <w:sz w:val="18"/>
                <w:szCs w:val="18"/>
              </w:rPr>
              <w:t xml:space="preserve"> matches feedback we received from industry on the actual cost of such services.</w:t>
            </w:r>
          </w:p>
        </w:tc>
        <w:tc>
          <w:tcPr>
            <w:tcW w:w="36" w:type="dxa"/>
            <w:vAlign w:val="center"/>
            <w:hideMark/>
          </w:tcPr>
          <w:p w:rsidRPr="00576385" w:rsidR="00576385" w:rsidP="00576385" w:rsidRDefault="00576385" w14:paraId="6F0A51AC" w14:textId="77777777">
            <w:pPr>
              <w:rPr>
                <w:rFonts w:eastAsia="Times New Roman" w:cs="Times New Roman"/>
                <w:sz w:val="18"/>
                <w:szCs w:val="18"/>
              </w:rPr>
            </w:pPr>
          </w:p>
        </w:tc>
      </w:tr>
      <w:tr w:rsidRPr="00576385" w:rsidR="00576385" w:rsidTr="00576385" w14:paraId="34308B15" w14:textId="77777777">
        <w:trPr>
          <w:trHeight w:val="290"/>
        </w:trPr>
        <w:tc>
          <w:tcPr>
            <w:tcW w:w="9304" w:type="dxa"/>
            <w:vMerge/>
            <w:tcBorders>
              <w:top w:val="nil"/>
              <w:left w:val="nil"/>
              <w:bottom w:val="nil"/>
              <w:right w:val="nil"/>
            </w:tcBorders>
            <w:vAlign w:val="center"/>
            <w:hideMark/>
          </w:tcPr>
          <w:p w:rsidRPr="00576385" w:rsidR="00576385" w:rsidP="00576385" w:rsidRDefault="00576385" w14:paraId="73EF8B0C" w14:textId="77777777">
            <w:pPr>
              <w:rPr>
                <w:rFonts w:eastAsia="Times New Roman" w:cs="Times New Roman"/>
                <w:color w:val="000000"/>
                <w:sz w:val="18"/>
                <w:szCs w:val="18"/>
              </w:rPr>
            </w:pPr>
          </w:p>
        </w:tc>
        <w:tc>
          <w:tcPr>
            <w:tcW w:w="36" w:type="dxa"/>
            <w:tcBorders>
              <w:top w:val="nil"/>
              <w:left w:val="nil"/>
              <w:bottom w:val="nil"/>
              <w:right w:val="nil"/>
            </w:tcBorders>
            <w:shd w:val="clear" w:color="auto" w:fill="auto"/>
            <w:noWrap/>
            <w:vAlign w:val="bottom"/>
            <w:hideMark/>
          </w:tcPr>
          <w:p w:rsidRPr="00576385" w:rsidR="00576385" w:rsidP="00576385" w:rsidRDefault="00576385" w14:paraId="47B63588" w14:textId="77777777">
            <w:pPr>
              <w:rPr>
                <w:rFonts w:eastAsia="Times New Roman" w:cs="Times New Roman"/>
                <w:color w:val="000000"/>
                <w:sz w:val="18"/>
                <w:szCs w:val="18"/>
              </w:rPr>
            </w:pPr>
          </w:p>
        </w:tc>
      </w:tr>
    </w:tbl>
    <w:p w:rsidR="003B425A" w:rsidP="003B425A" w:rsidRDefault="003B425A" w14:paraId="26E58E16" w14:textId="2CD5592E">
      <w:pPr>
        <w:suppressAutoHyphens/>
        <w:autoSpaceDN w:val="0"/>
        <w:ind w:firstLine="720"/>
        <w:rPr>
          <w:rFonts w:eastAsia="SimSun" w:cs="Times New Roman"/>
          <w:strike/>
          <w:kern w:val="3"/>
          <w:sz w:val="18"/>
          <w:szCs w:val="18"/>
          <w:lang w:eastAsia="zh-CN" w:bidi="hi-IN"/>
        </w:rPr>
      </w:pPr>
    </w:p>
    <w:p w:rsidR="00A43F6E" w:rsidP="00A43F6E" w:rsidRDefault="00A43F6E" w14:paraId="3258E5DC" w14:textId="77777777">
      <w:pPr>
        <w:outlineLvl w:val="1"/>
        <w:rPr>
          <w:b/>
        </w:rPr>
      </w:pPr>
      <w:r>
        <w:rPr>
          <w:b/>
        </w:rPr>
        <w:t>6(c)</w:t>
      </w:r>
      <w:r>
        <w:rPr>
          <w:b/>
        </w:rPr>
        <w:tab/>
        <w:t xml:space="preserve">Estimating the Agency Burden and Costs </w:t>
      </w:r>
    </w:p>
    <w:p w:rsidR="00A43F6E" w:rsidP="00A43F6E" w:rsidRDefault="00A43F6E" w14:paraId="1776F93F" w14:textId="77777777">
      <w:pPr>
        <w:ind w:firstLine="720"/>
      </w:pPr>
    </w:p>
    <w:p w:rsidR="00A43F6E" w:rsidP="00A43F6E" w:rsidRDefault="00A43F6E" w14:paraId="4A44B4F0" w14:textId="00FE2806">
      <w:pPr>
        <w:ind w:firstLine="720"/>
      </w:pPr>
      <w:r>
        <w:t xml:space="preserve">The EPA would generate company and facility registration number(s) for new registrants and notify them of these numbers, which would appear on reports. </w:t>
      </w:r>
      <w:r w:rsidR="002062B5">
        <w:t xml:space="preserve">EPA would also process pathway applications and examine registration materials, such as engineering reviews. </w:t>
      </w:r>
      <w:r>
        <w:t>Report formats and instructions/guidance would be prepared by EPA personnel. Reports would be processed by contractors and must be reviewed by EPA personnel using automated processes to the greatest extent practical. Reporting parties would be contacted if there is a problem with their submission. We would have to develop forms for the reporting requirements for many of the parties covered in the proposed rulemaking. We have provided sample reporting templates as an attachment to this document in the docket for the proposed rulemaking.</w:t>
      </w:r>
    </w:p>
    <w:p w:rsidR="00A43F6E" w:rsidP="00A43F6E" w:rsidRDefault="00A43F6E" w14:paraId="48DE26DD" w14:textId="77777777">
      <w:pPr>
        <w:ind w:firstLine="720"/>
      </w:pPr>
      <w:r>
        <w:lastRenderedPageBreak/>
        <w:t xml:space="preserve"> </w:t>
      </w:r>
    </w:p>
    <w:p w:rsidR="00A43F6E" w:rsidP="00A43F6E" w:rsidRDefault="00A43F6E" w14:paraId="0D85D7A9" w14:textId="72B97C4E">
      <w:pPr>
        <w:ind w:firstLine="720"/>
      </w:pPr>
      <w:r>
        <w:t xml:space="preserve">This supporting statement considers all EPA costs associated with accepting new registrants and new reports associated with the proposed rule. Using the RFS-related ICRs as a guide in developing these initial estimates, we anticipate that the proposed rule would require the equivalent labor of </w:t>
      </w:r>
      <w:r w:rsidR="00A97E9F">
        <w:t xml:space="preserve">the equivalent </w:t>
      </w:r>
      <w:r w:rsidR="00134931">
        <w:t xml:space="preserve">of </w:t>
      </w:r>
      <w:r w:rsidR="00712B13">
        <w:t>two</w:t>
      </w:r>
      <w:r w:rsidR="00A97E9F">
        <w:t xml:space="preserve"> full-time </w:t>
      </w:r>
      <w:r w:rsidR="00134931">
        <w:t xml:space="preserve">GS-13 </w:t>
      </w:r>
      <w:r>
        <w:t xml:space="preserve">technical </w:t>
      </w:r>
      <w:r w:rsidR="00521B23">
        <w:t xml:space="preserve">employee </w:t>
      </w:r>
      <w:r>
        <w:t>for a total of $</w:t>
      </w:r>
      <w:r w:rsidR="009A40B2">
        <w:t xml:space="preserve">216,000 </w:t>
      </w:r>
      <w:r w:rsidR="00751DF5">
        <w:t xml:space="preserve">labor cost </w:t>
      </w:r>
      <w:r>
        <w:t xml:space="preserve">and </w:t>
      </w:r>
      <w:r w:rsidR="00521B23">
        <w:t>one-eight</w:t>
      </w:r>
      <w:r w:rsidR="00C51167">
        <w:t>h</w:t>
      </w:r>
      <w:r w:rsidR="00521B23">
        <w:t xml:space="preserve"> of a GS-15 management employee for a total of </w:t>
      </w:r>
      <w:r>
        <w:t>$32,000</w:t>
      </w:r>
      <w:r w:rsidR="00751DF5">
        <w:t xml:space="preserve"> labor cost</w:t>
      </w:r>
      <w:r>
        <w:t>.</w:t>
      </w:r>
      <w:r>
        <w:rPr>
          <w:rStyle w:val="FootnoteReference"/>
        </w:rPr>
        <w:footnoteReference w:id="2"/>
      </w:r>
    </w:p>
    <w:p w:rsidR="00A43F6E" w:rsidP="00A43F6E" w:rsidRDefault="00A43F6E" w14:paraId="62AF2D08" w14:textId="77777777">
      <w:pPr>
        <w:ind w:firstLine="720"/>
      </w:pPr>
    </w:p>
    <w:p w:rsidR="00A43F6E" w:rsidP="00A43F6E" w:rsidRDefault="00A43F6E" w14:paraId="755F8669" w14:textId="5FC0DC43">
      <w:pPr>
        <w:ind w:firstLine="720"/>
      </w:pPr>
      <w:r>
        <w:t>Since we are using CDX, some costs incurred by the EPA will be tied to the number of registrants who send us reports. Specifically, there is an annual "subscription cost" associated with the use of CDX that is passed on to the EPA program office and we estimate that registrants due to the RFS program would increase by approximately $</w:t>
      </w:r>
      <w:r w:rsidR="00D45C6C">
        <w:t>33</w:t>
      </w:r>
      <w:r>
        <w:t>,000 per year as a result of the proposed rule. We anticipate an increase of $</w:t>
      </w:r>
      <w:r w:rsidR="00D45C6C">
        <w:t>50</w:t>
      </w:r>
      <w:r>
        <w:t>,000 in annual contract costs related to registration and reporting activities related to the RFS program. We anticipate</w:t>
      </w:r>
      <w:r w:rsidR="00F166B3">
        <w:t xml:space="preserve"> increased</w:t>
      </w:r>
      <w:r>
        <w:t xml:space="preserve"> IT development and testing costs at $</w:t>
      </w:r>
      <w:r w:rsidR="00311471">
        <w:t>2</w:t>
      </w:r>
      <w:r w:rsidR="00271C4A">
        <w:t>5</w:t>
      </w:r>
      <w:r w:rsidR="00311471">
        <w:t>0,000</w:t>
      </w:r>
      <w:r>
        <w:t xml:space="preserve">. Adding the following values results in an annual estimated EPA burden </w:t>
      </w:r>
      <w:r w:rsidR="00F166B3">
        <w:t xml:space="preserve">associated with this information collection, </w:t>
      </w:r>
      <w:r>
        <w:t>as follows:</w:t>
      </w:r>
    </w:p>
    <w:p w:rsidR="00A43F6E" w:rsidP="00A43F6E" w:rsidRDefault="00A43F6E" w14:paraId="6CB469AC" w14:textId="77777777">
      <w:pPr>
        <w:ind w:firstLine="720"/>
      </w:pPr>
    </w:p>
    <w:p w:rsidR="00A43F6E" w:rsidP="00A43F6E" w:rsidRDefault="007D04D2" w14:paraId="6046CB51" w14:textId="714F4252">
      <w:pPr>
        <w:pStyle w:val="Standard"/>
        <w:keepNext/>
        <w:tabs>
          <w:tab w:val="left" w:pos="5400"/>
          <w:tab w:val="right" w:pos="6480"/>
        </w:tabs>
        <w:suppressAutoHyphens w:val="0"/>
        <w:ind w:firstLine="720"/>
      </w:pPr>
      <w:r>
        <w:t>Two</w:t>
      </w:r>
      <w:r w:rsidR="00A43F6E">
        <w:t xml:space="preserve"> GS-13 technical employee (</w:t>
      </w:r>
      <w:r>
        <w:t>full-</w:t>
      </w:r>
      <w:r w:rsidR="00134931">
        <w:t>time</w:t>
      </w:r>
      <w:r w:rsidR="00A43F6E">
        <w:t xml:space="preserve">) = </w:t>
      </w:r>
      <w:r w:rsidR="00A43F6E">
        <w:tab/>
        <w:t>$</w:t>
      </w:r>
      <w:r w:rsidR="00A43F6E">
        <w:tab/>
      </w:r>
      <w:r>
        <w:t>432</w:t>
      </w:r>
      <w:r w:rsidR="000D5AD0">
        <w:t>,000</w:t>
      </w:r>
    </w:p>
    <w:p w:rsidR="00A43F6E" w:rsidP="00A43F6E" w:rsidRDefault="00A43F6E" w14:paraId="7B04B92A" w14:textId="5CC7A6AA">
      <w:pPr>
        <w:pStyle w:val="Standard"/>
        <w:keepNext/>
        <w:tabs>
          <w:tab w:val="right" w:pos="6480"/>
        </w:tabs>
        <w:suppressAutoHyphens w:val="0"/>
        <w:ind w:firstLine="720"/>
      </w:pPr>
      <w:r>
        <w:t xml:space="preserve">One GS-15 manager (1/8 time) = </w:t>
      </w:r>
      <w:r>
        <w:tab/>
      </w:r>
      <w:r w:rsidR="000D5AD0">
        <w:t>34,500</w:t>
      </w:r>
    </w:p>
    <w:p w:rsidR="00A43F6E" w:rsidP="00A43F6E" w:rsidRDefault="00A43F6E" w14:paraId="7F406854" w14:textId="6E1173F2">
      <w:pPr>
        <w:pStyle w:val="Standard"/>
        <w:keepNext/>
        <w:tabs>
          <w:tab w:val="right" w:pos="6480"/>
        </w:tabs>
        <w:suppressAutoHyphens w:val="0"/>
        <w:ind w:firstLine="720"/>
      </w:pPr>
      <w:r>
        <w:t xml:space="preserve">Annual CDX subscription fee = </w:t>
      </w:r>
      <w:r>
        <w:tab/>
      </w:r>
      <w:r w:rsidR="00D45C6C">
        <w:t>33</w:t>
      </w:r>
      <w:r>
        <w:t>,000</w:t>
      </w:r>
    </w:p>
    <w:p w:rsidR="00A43F6E" w:rsidP="00A43F6E" w:rsidRDefault="00A43F6E" w14:paraId="64EF6A41" w14:textId="226A8C97">
      <w:pPr>
        <w:pStyle w:val="Standard"/>
        <w:keepNext/>
        <w:tabs>
          <w:tab w:val="right" w:pos="6480"/>
        </w:tabs>
        <w:suppressAutoHyphens w:val="0"/>
        <w:ind w:firstLine="720"/>
      </w:pPr>
      <w:r>
        <w:t xml:space="preserve">Annual contract costs = </w:t>
      </w:r>
      <w:r>
        <w:tab/>
      </w:r>
      <w:r w:rsidR="00311471">
        <w:t>50</w:t>
      </w:r>
      <w:r>
        <w:t>,000</w:t>
      </w:r>
    </w:p>
    <w:p w:rsidR="00A43F6E" w:rsidP="00A43F6E" w:rsidRDefault="00A43F6E" w14:paraId="4FCC36AC" w14:textId="7BAFCB11">
      <w:pPr>
        <w:pStyle w:val="Standard"/>
        <w:keepNext/>
        <w:tabs>
          <w:tab w:val="right" w:pos="6480"/>
        </w:tabs>
        <w:suppressAutoHyphens w:val="0"/>
        <w:ind w:firstLine="720"/>
      </w:pPr>
      <w:r>
        <w:t xml:space="preserve">Testing and development= </w:t>
      </w:r>
      <w:r>
        <w:tab/>
      </w:r>
      <w:r w:rsidR="00311471">
        <w:t>2</w:t>
      </w:r>
      <w:r w:rsidR="00271C4A">
        <w:t>5</w:t>
      </w:r>
      <w:r w:rsidR="00311471">
        <w:t>0</w:t>
      </w:r>
      <w:r>
        <w:t>,000</w:t>
      </w:r>
    </w:p>
    <w:p w:rsidR="00A43F6E" w:rsidP="00A43F6E" w:rsidRDefault="00A43F6E" w14:paraId="685A5660" w14:textId="593E43B6">
      <w:pPr>
        <w:pStyle w:val="Standard"/>
        <w:keepNext/>
        <w:tabs>
          <w:tab w:val="left" w:pos="5400"/>
          <w:tab w:val="right" w:pos="6480"/>
        </w:tabs>
        <w:suppressAutoHyphens w:val="0"/>
        <w:ind w:firstLine="720"/>
        <w:rPr>
          <w:b/>
        </w:rPr>
      </w:pPr>
      <w:r>
        <w:rPr>
          <w:b/>
        </w:rPr>
        <w:t xml:space="preserve">TOTAL = </w:t>
      </w:r>
      <w:r>
        <w:rPr>
          <w:b/>
        </w:rPr>
        <w:tab/>
      </w:r>
      <w:r w:rsidR="000D4108">
        <w:rPr>
          <w:b/>
        </w:rPr>
        <w:t xml:space="preserve">     </w:t>
      </w:r>
      <w:r w:rsidR="00A32A4E">
        <w:rPr>
          <w:b/>
        </w:rPr>
        <w:t>799</w:t>
      </w:r>
      <w:r w:rsidR="00BA2052">
        <w:rPr>
          <w:b/>
        </w:rPr>
        <w:t>,500</w:t>
      </w:r>
    </w:p>
    <w:p w:rsidR="00A43F6E" w:rsidP="00A43F6E" w:rsidRDefault="00A43F6E" w14:paraId="6CB07E4F" w14:textId="77777777">
      <w:pPr>
        <w:ind w:firstLine="720"/>
      </w:pPr>
    </w:p>
    <w:p w:rsidR="00A43F6E" w:rsidP="00A43F6E" w:rsidRDefault="00A43F6E" w14:paraId="49EA89F2" w14:textId="674D3E2C">
      <w:pPr>
        <w:ind w:firstLine="720"/>
      </w:pPr>
      <w:r>
        <w:t xml:space="preserve">As with all items in this supporting statement, we strongly encourage comment on the estimated EPA burden and on </w:t>
      </w:r>
      <w:r w:rsidR="00B731FD">
        <w:t xml:space="preserve">EPA </w:t>
      </w:r>
      <w:r>
        <w:t>activities associated with this proposed information collection.</w:t>
      </w:r>
    </w:p>
    <w:p w:rsidR="00A43F6E" w:rsidP="00A43F6E" w:rsidRDefault="00A43F6E" w14:paraId="45BADC76" w14:textId="77777777">
      <w:pPr>
        <w:ind w:firstLine="720"/>
      </w:pPr>
    </w:p>
    <w:p w:rsidR="00A43F6E" w:rsidP="00A43F6E" w:rsidRDefault="00A43F6E" w14:paraId="2CA862A6" w14:textId="77777777">
      <w:pPr>
        <w:ind w:firstLine="720"/>
        <w:outlineLvl w:val="1"/>
        <w:rPr>
          <w:b/>
        </w:rPr>
      </w:pPr>
      <w:r>
        <w:rPr>
          <w:b/>
        </w:rPr>
        <w:t>6(d)</w:t>
      </w:r>
      <w:r>
        <w:rPr>
          <w:b/>
        </w:rPr>
        <w:tab/>
        <w:t xml:space="preserve">Estimating the Respondent Universe </w:t>
      </w:r>
    </w:p>
    <w:p w:rsidR="00A43F6E" w:rsidP="00A43F6E" w:rsidRDefault="00A43F6E" w14:paraId="52DD5498" w14:textId="77777777">
      <w:pPr>
        <w:ind w:firstLine="720"/>
      </w:pPr>
    </w:p>
    <w:p w:rsidR="00A43F6E" w:rsidP="00A43F6E" w:rsidRDefault="00A43F6E" w14:paraId="10032057" w14:textId="73DF9E66">
      <w:pPr>
        <w:ind w:firstLine="720"/>
      </w:pPr>
      <w:r>
        <w:t>We estimated the number of regulated entities for this proposed ICR by drawing upon our experience regulating the same or similar entities under the RFS program. Where possible, we used estimates based on parties that have expressed interest in a particular portion of the proposed rule.</w:t>
      </w:r>
    </w:p>
    <w:p w:rsidR="00A43F6E" w:rsidP="00A43F6E" w:rsidRDefault="00A43F6E" w14:paraId="62FC6A44" w14:textId="77777777">
      <w:pPr>
        <w:ind w:firstLine="720"/>
      </w:pPr>
    </w:p>
    <w:p w:rsidR="00A43F6E" w:rsidP="00A43F6E" w:rsidRDefault="00A43F6E" w14:paraId="0885A98B" w14:textId="77777777">
      <w:pPr>
        <w:ind w:firstLine="720"/>
        <w:outlineLvl w:val="1"/>
        <w:rPr>
          <w:b/>
        </w:rPr>
      </w:pPr>
      <w:r>
        <w:rPr>
          <w:b/>
        </w:rPr>
        <w:t>6(e)</w:t>
      </w:r>
      <w:r>
        <w:rPr>
          <w:b/>
        </w:rPr>
        <w:tab/>
        <w:t>Bottom Line Burden Hours and Costs</w:t>
      </w:r>
    </w:p>
    <w:p w:rsidR="00A43F6E" w:rsidP="00A43F6E" w:rsidRDefault="00A43F6E" w14:paraId="0AC5F01F" w14:textId="77777777">
      <w:pPr>
        <w:ind w:firstLine="720"/>
      </w:pPr>
    </w:p>
    <w:p w:rsidR="00A43F6E" w:rsidP="00A43F6E" w:rsidRDefault="00A43F6E" w14:paraId="669998B2" w14:textId="77777777">
      <w:pPr>
        <w:ind w:firstLine="720"/>
      </w:pPr>
      <w:r>
        <w:t>From the tables, we estimate the following annual totals:</w:t>
      </w:r>
    </w:p>
    <w:p w:rsidR="00A43F6E" w:rsidP="00A43F6E" w:rsidRDefault="00A43F6E" w14:paraId="2D83D0C9" w14:textId="77777777">
      <w:pPr>
        <w:ind w:firstLine="720"/>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83"/>
        <w:gridCol w:w="2155"/>
      </w:tblGrid>
      <w:tr w:rsidR="00A43F6E" w:rsidTr="00860EF3" w14:paraId="5BA42D98" w14:textId="77777777">
        <w:trPr>
          <w:trHeight w:val="316"/>
        </w:trPr>
        <w:tc>
          <w:tcPr>
            <w:tcW w:w="5283" w:type="dxa"/>
            <w:hideMark/>
          </w:tcPr>
          <w:p w:rsidR="00A43F6E" w:rsidRDefault="00A43F6E" w14:paraId="34ED8CFB" w14:textId="77777777">
            <w:pPr>
              <w:ind w:firstLine="720"/>
              <w:rPr>
                <w:b/>
              </w:rPr>
            </w:pPr>
            <w:r>
              <w:rPr>
                <w:b/>
              </w:rPr>
              <w:t>TOTAL NO. OF RESPONDENTS:</w:t>
            </w:r>
          </w:p>
        </w:tc>
        <w:tc>
          <w:tcPr>
            <w:tcW w:w="2155" w:type="dxa"/>
            <w:hideMark/>
          </w:tcPr>
          <w:p w:rsidRPr="002E122F" w:rsidR="00A43F6E" w:rsidP="00FD4583" w:rsidRDefault="00F209B4" w14:paraId="18464A7C" w14:textId="781CDC02">
            <w:pPr>
              <w:rPr>
                <w:bCs/>
              </w:rPr>
            </w:pPr>
            <w:r w:rsidRPr="002E122F">
              <w:rPr>
                <w:bCs/>
              </w:rPr>
              <w:t>1,6</w:t>
            </w:r>
            <w:r w:rsidR="00F709D7">
              <w:rPr>
                <w:bCs/>
              </w:rPr>
              <w:t>70</w:t>
            </w:r>
          </w:p>
        </w:tc>
      </w:tr>
      <w:tr w:rsidR="00A43F6E" w:rsidTr="00860EF3" w14:paraId="3D459888" w14:textId="77777777">
        <w:trPr>
          <w:trHeight w:val="305"/>
        </w:trPr>
        <w:tc>
          <w:tcPr>
            <w:tcW w:w="5283" w:type="dxa"/>
            <w:hideMark/>
          </w:tcPr>
          <w:p w:rsidR="00A43F6E" w:rsidRDefault="00A43F6E" w14:paraId="4476030D" w14:textId="7254BBB1">
            <w:pPr>
              <w:ind w:firstLine="720"/>
              <w:rPr>
                <w:b/>
              </w:rPr>
            </w:pPr>
            <w:r>
              <w:rPr>
                <w:b/>
              </w:rPr>
              <w:lastRenderedPageBreak/>
              <w:t>TOTAL NO. OF RESPONSES:</w:t>
            </w:r>
          </w:p>
        </w:tc>
        <w:tc>
          <w:tcPr>
            <w:tcW w:w="2155" w:type="dxa"/>
            <w:hideMark/>
          </w:tcPr>
          <w:p w:rsidRPr="002E122F" w:rsidR="00A43F6E" w:rsidP="00F209B4" w:rsidRDefault="00F209B4" w14:paraId="7E5FD399" w14:textId="484718CB">
            <w:pPr>
              <w:rPr>
                <w:bCs/>
              </w:rPr>
            </w:pPr>
            <w:r w:rsidRPr="002E122F">
              <w:rPr>
                <w:bCs/>
              </w:rPr>
              <w:t>56,207</w:t>
            </w:r>
          </w:p>
        </w:tc>
      </w:tr>
      <w:tr w:rsidR="00A43F6E" w:rsidTr="00860EF3" w14:paraId="059F3F8F" w14:textId="77777777">
        <w:trPr>
          <w:trHeight w:val="316"/>
        </w:trPr>
        <w:tc>
          <w:tcPr>
            <w:tcW w:w="5283" w:type="dxa"/>
            <w:hideMark/>
          </w:tcPr>
          <w:p w:rsidR="00A43F6E" w:rsidRDefault="00A43F6E" w14:paraId="31F96E4D" w14:textId="77777777">
            <w:pPr>
              <w:ind w:firstLine="720"/>
              <w:rPr>
                <w:b/>
              </w:rPr>
            </w:pPr>
            <w:r>
              <w:rPr>
                <w:b/>
              </w:rPr>
              <w:t xml:space="preserve">TOTAL BURDEN HOURS: </w:t>
            </w:r>
          </w:p>
        </w:tc>
        <w:tc>
          <w:tcPr>
            <w:tcW w:w="2155" w:type="dxa"/>
            <w:hideMark/>
          </w:tcPr>
          <w:p w:rsidRPr="002E122F" w:rsidR="00A43F6E" w:rsidP="00F209B4" w:rsidRDefault="002E122F" w14:paraId="49095218" w14:textId="3F76445F">
            <w:pPr>
              <w:rPr>
                <w:bCs/>
              </w:rPr>
            </w:pPr>
            <w:r w:rsidRPr="002E122F">
              <w:rPr>
                <w:bCs/>
              </w:rPr>
              <w:t>47,988</w:t>
            </w:r>
          </w:p>
        </w:tc>
      </w:tr>
      <w:tr w:rsidR="00A43F6E" w:rsidTr="00860EF3" w14:paraId="7B62AA80" w14:textId="77777777">
        <w:trPr>
          <w:trHeight w:val="448"/>
        </w:trPr>
        <w:tc>
          <w:tcPr>
            <w:tcW w:w="5283" w:type="dxa"/>
            <w:hideMark/>
          </w:tcPr>
          <w:p w:rsidR="00A43F6E" w:rsidP="00EE5031" w:rsidRDefault="00A43F6E" w14:paraId="49560673" w14:textId="6E951398">
            <w:pPr>
              <w:ind w:firstLine="720"/>
              <w:rPr>
                <w:b/>
              </w:rPr>
            </w:pPr>
            <w:r>
              <w:rPr>
                <w:b/>
              </w:rPr>
              <w:t>TOTAL COST TO RESPONDENTS:</w:t>
            </w:r>
            <w:r w:rsidR="00EE5031">
              <w:rPr>
                <w:b/>
              </w:rPr>
              <w:t xml:space="preserve"> </w:t>
            </w:r>
          </w:p>
        </w:tc>
        <w:tc>
          <w:tcPr>
            <w:tcW w:w="2155" w:type="dxa"/>
            <w:hideMark/>
          </w:tcPr>
          <w:p w:rsidRPr="002E122F" w:rsidR="00A43F6E" w:rsidP="002E122F" w:rsidRDefault="00860EF3" w14:paraId="044237C8" w14:textId="22A308A3">
            <w:pPr>
              <w:rPr>
                <w:bCs/>
              </w:rPr>
            </w:pPr>
            <w:r>
              <w:rPr>
                <w:bCs/>
              </w:rPr>
              <w:t>$ 2,</w:t>
            </w:r>
            <w:r w:rsidR="00F709D7">
              <w:rPr>
                <w:bCs/>
              </w:rPr>
              <w:t>828</w:t>
            </w:r>
            <w:r>
              <w:rPr>
                <w:bCs/>
              </w:rPr>
              <w:t>,</w:t>
            </w:r>
            <w:r w:rsidR="00F709D7">
              <w:rPr>
                <w:bCs/>
              </w:rPr>
              <w:t>180</w:t>
            </w:r>
            <w:r w:rsidR="00060F70">
              <w:rPr>
                <w:rStyle w:val="FootnoteReference"/>
                <w:bCs/>
              </w:rPr>
              <w:footnoteReference w:id="3"/>
            </w:r>
          </w:p>
        </w:tc>
      </w:tr>
    </w:tbl>
    <w:p w:rsidR="00A43F6E" w:rsidP="00A43F6E" w:rsidRDefault="00A43F6E" w14:paraId="1333EF35" w14:textId="77777777">
      <w:pPr>
        <w:ind w:firstLine="720"/>
        <w:rPr>
          <w:rFonts w:eastAsia="SimSun" w:cs="Mangal"/>
          <w:kern w:val="3"/>
          <w:lang w:eastAsia="zh-CN" w:bidi="hi-IN"/>
        </w:rPr>
      </w:pPr>
    </w:p>
    <w:p w:rsidR="00A43F6E" w:rsidP="00A43F6E" w:rsidRDefault="00A43F6E" w14:paraId="4A6C7DB9" w14:textId="77777777">
      <w:pPr>
        <w:ind w:firstLine="720"/>
        <w:rPr>
          <w:b/>
        </w:rPr>
      </w:pPr>
      <w:r>
        <w:rPr>
          <w:b/>
        </w:rPr>
        <w:t>6(f)</w:t>
      </w:r>
      <w:r>
        <w:rPr>
          <w:b/>
        </w:rPr>
        <w:tab/>
        <w:t>Burden Statement</w:t>
      </w:r>
    </w:p>
    <w:p w:rsidR="00A43F6E" w:rsidP="00A43F6E" w:rsidRDefault="00A43F6E" w14:paraId="3F200842" w14:textId="77777777">
      <w:pPr>
        <w:ind w:firstLine="720"/>
      </w:pPr>
    </w:p>
    <w:p w:rsidR="00A43F6E" w:rsidP="00A43F6E" w:rsidRDefault="00A43F6E" w14:paraId="4AE9B4F3" w14:textId="4F939F73">
      <w:pPr>
        <w:ind w:firstLine="720"/>
      </w:pPr>
      <w:r>
        <w:t xml:space="preserve">The annual burden is estimated to </w:t>
      </w:r>
      <w:r w:rsidR="00423B9C">
        <w:t xml:space="preserve">average </w:t>
      </w:r>
      <w:r w:rsidR="00BD458F">
        <w:t xml:space="preserve">29 hours </w:t>
      </w:r>
      <w:r>
        <w:t xml:space="preserve">per respondent, depending on the information collection requirements of the </w:t>
      </w:r>
      <w:r w:rsidR="00BF67BA">
        <w:t>party</w:t>
      </w:r>
      <w:r>
        <w:t xml:space="preserve">, and the average number of hours per response is estimated to be approximately </w:t>
      </w:r>
      <w:r w:rsidR="008803D5">
        <w:t xml:space="preserve">one </w:t>
      </w:r>
      <w:r>
        <w:t>hour</w:t>
      </w:r>
      <w:r w:rsidR="008803D5">
        <w:t>, rounded to the nearest full number</w:t>
      </w:r>
      <w:r>
        <w:t>.</w:t>
      </w:r>
    </w:p>
    <w:p w:rsidR="00A43F6E" w:rsidP="00A43F6E" w:rsidRDefault="00A43F6E" w14:paraId="02CFBA7A" w14:textId="77777777">
      <w:pPr>
        <w:ind w:firstLine="720"/>
      </w:pPr>
    </w:p>
    <w:p w:rsidR="00A43F6E" w:rsidP="00A43F6E" w:rsidRDefault="00A43F6E" w14:paraId="763198E2" w14:textId="77777777">
      <w:pPr>
        <w:ind w:firstLine="720"/>
      </w:pPr>
      <w: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the EPA’s regulations are listed in 40 CFR part 9 and 48 CFR chapter 15.</w:t>
      </w:r>
    </w:p>
    <w:p w:rsidR="00A43F6E" w:rsidP="00A43F6E" w:rsidRDefault="00A43F6E" w14:paraId="67C309A4" w14:textId="77777777">
      <w:pPr>
        <w:ind w:firstLine="720"/>
      </w:pPr>
    </w:p>
    <w:p w:rsidR="00A43F6E" w:rsidP="00A43F6E" w:rsidRDefault="00A43F6E" w14:paraId="4055CCF1" w14:textId="163370BC">
      <w:pPr>
        <w:ind w:firstLine="720"/>
      </w:pPr>
      <w:r>
        <w:t>To comment on the EPA’s need for this information, the accuracy of the provided burden estimates, and any suggested methods for minimizing respondent burden, including the use of automated collection techniques, EPA has established a public docket for this ICR under Docket ID No. EPA-HQ-OAR-</w:t>
      </w:r>
      <w:r w:rsidR="00F113D2">
        <w:t>2021-0324</w:t>
      </w:r>
      <w:r>
        <w:t xml:space="preserve">, which is available for online viewing at </w:t>
      </w:r>
      <w:r>
        <w:rPr>
          <w:u w:val="single"/>
        </w:rPr>
        <w:t>www.regulations.gov</w:t>
      </w:r>
      <w:r>
        <w:t xml:space="preserve">, or in-person viewing at the Air and Radiation Docket and Information Center in the EPA Docket Center (EPA/DC). The docket </w:t>
      </w:r>
      <w:r w:rsidR="00BF67BA">
        <w:t>is in</w:t>
      </w:r>
      <w:r>
        <w:t xml:space="preserve"> the William Jefferson Clinton Building West, 1301 Constitution Avenue, NW, Room 3334, Washington, DC, and is open from 8:30 a.m. to 4:30 p.m., Eastern Standard Time, Monday through Friday, excluding legal holidays. The telephone number for the Reading Room is (202) 566-1744, and the telephone number for the Air and Radiation Docket and Information Center is (202) 566-1742.</w:t>
      </w:r>
    </w:p>
    <w:p w:rsidR="00A43F6E" w:rsidP="00A43F6E" w:rsidRDefault="00A43F6E" w14:paraId="36A416C3" w14:textId="77777777">
      <w:pPr>
        <w:ind w:firstLine="720"/>
      </w:pPr>
    </w:p>
    <w:p w:rsidR="00A43F6E" w:rsidP="00A43F6E" w:rsidRDefault="00A43F6E" w14:paraId="500A0F2E" w14:textId="2B9E0BD8">
      <w:pPr>
        <w:ind w:firstLine="720"/>
      </w:pPr>
      <w:r>
        <w:t xml:space="preserve">An electronic version of the public docket is available at </w:t>
      </w:r>
      <w:r w:rsidRPr="6AB033C2">
        <w:rPr>
          <w:u w:val="single"/>
        </w:rPr>
        <w:t>www.regulations.gov</w:t>
      </w:r>
      <w:r>
        <w:t>. This site can be used to submit or view public comments, access the index listing of the contents of the public docket, and to access those documents in the public docket that are available electronically. When in the system, select “search,” then key in the Docket ID No. identified above. Also, you can send comments to the Office of Information and Regulatory Affairs, Office of Management and Budget, 725 17th Street, NW, Washington, D.C. 20503, Attention: Desk Officer for EPA. Please include the EPA Docket ID No. EPA-HQ-OAR</w:t>
      </w:r>
      <w:r w:rsidR="007400B4">
        <w:t>-</w:t>
      </w:r>
      <w:r w:rsidR="00881B9D">
        <w:t>2021-0324</w:t>
      </w:r>
      <w:r w:rsidR="001D79BC">
        <w:t xml:space="preserve"> </w:t>
      </w:r>
      <w:r>
        <w:t>and OMB Control Number 2060-</w:t>
      </w:r>
      <w:r w:rsidR="001D79BC">
        <w:t>NEW</w:t>
      </w:r>
      <w:r>
        <w:t xml:space="preserve"> in any correspondence.</w:t>
      </w:r>
    </w:p>
    <w:p w:rsidR="6AB033C2" w:rsidP="6AB033C2" w:rsidRDefault="6AB033C2" w14:paraId="144E5470" w14:textId="5DB9A7D9">
      <w:pPr>
        <w:ind w:firstLine="720"/>
      </w:pPr>
    </w:p>
    <w:p w:rsidR="6AB033C2" w:rsidP="6AB033C2" w:rsidRDefault="6AB033C2" w14:paraId="71D2B96C" w14:textId="6403C7DE">
      <w:pPr>
        <w:ind w:firstLine="720"/>
      </w:pPr>
    </w:p>
    <w:p w:rsidR="7AE107E8" w:rsidP="6AB033C2" w:rsidRDefault="7AE107E8" w14:paraId="6CE76455" w14:textId="728A244E">
      <w:pPr>
        <w:ind w:firstLine="720"/>
      </w:pPr>
      <w:r>
        <w:lastRenderedPageBreak/>
        <w:t>Appendix A – Detailed Burden Estimates (Tables in Excel format)</w:t>
      </w:r>
    </w:p>
    <w:p w:rsidR="00303A33" w:rsidP="00303A33" w:rsidRDefault="7AE107E8" w14:paraId="43CE5024" w14:textId="75319AAD">
      <w:pPr>
        <w:ind w:firstLine="720"/>
      </w:pPr>
      <w:r>
        <w:t xml:space="preserve">Appendix B – </w:t>
      </w:r>
      <w:r w:rsidR="00303A33">
        <w:t xml:space="preserve">Proposed Forms: </w:t>
      </w:r>
      <w:r w:rsidR="00035FA6">
        <w:t xml:space="preserve"> AT0100, </w:t>
      </w:r>
      <w:r w:rsidR="001E46CC">
        <w:t>RFS0702, RFS080</w:t>
      </w:r>
      <w:r w:rsidR="00496814">
        <w:t>2</w:t>
      </w:r>
      <w:r w:rsidR="001E46CC">
        <w:t>, RFS090</w:t>
      </w:r>
      <w:r w:rsidR="00496814">
        <w:t>2</w:t>
      </w:r>
      <w:r w:rsidR="001E46CC">
        <w:t xml:space="preserve">, </w:t>
      </w:r>
      <w:r w:rsidR="00FC4AF7">
        <w:t xml:space="preserve">RFS2000, RFS2200, RFS2300, RFS2400, </w:t>
      </w:r>
      <w:r w:rsidR="001E46CC">
        <w:t>RFS4000</w:t>
      </w:r>
    </w:p>
    <w:p w:rsidR="00035FA6" w:rsidP="00303A33" w:rsidRDefault="00035FA6" w14:paraId="5B1DAB71" w14:textId="77777777">
      <w:pPr>
        <w:ind w:firstLine="720"/>
      </w:pPr>
    </w:p>
    <w:p w:rsidR="7AE107E8" w:rsidP="6AB033C2" w:rsidRDefault="7AE107E8" w14:paraId="3FC12C52" w14:textId="16327338">
      <w:pPr>
        <w:ind w:firstLine="720"/>
      </w:pPr>
    </w:p>
    <w:p w:rsidR="00A43F6E" w:rsidP="00A43F6E" w:rsidRDefault="00A43F6E" w14:paraId="2CF53779" w14:textId="77777777">
      <w:pPr>
        <w:ind w:firstLine="720"/>
      </w:pPr>
    </w:p>
    <w:p w:rsidRPr="001C25EF" w:rsidR="00A43F6E" w:rsidP="003B425A" w:rsidRDefault="00A43F6E" w14:paraId="0FCB1008" w14:textId="77777777">
      <w:pPr>
        <w:suppressAutoHyphens/>
        <w:autoSpaceDN w:val="0"/>
        <w:ind w:firstLine="720"/>
        <w:rPr>
          <w:rFonts w:eastAsia="SimSun" w:cs="Times New Roman"/>
          <w:strike/>
          <w:kern w:val="3"/>
          <w:sz w:val="18"/>
          <w:szCs w:val="18"/>
          <w:lang w:eastAsia="zh-CN" w:bidi="hi-IN"/>
        </w:rPr>
      </w:pPr>
    </w:p>
    <w:sectPr w:rsidRPr="001C25EF" w:rsidR="00A43F6E">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B9111" w14:textId="77777777" w:rsidR="006054C8" w:rsidRDefault="006054C8" w:rsidP="008E1572">
      <w:r>
        <w:separator/>
      </w:r>
    </w:p>
  </w:endnote>
  <w:endnote w:type="continuationSeparator" w:id="0">
    <w:p w14:paraId="5F3CCD69" w14:textId="77777777" w:rsidR="006054C8" w:rsidRDefault="006054C8" w:rsidP="008E1572">
      <w:r>
        <w:continuationSeparator/>
      </w:r>
    </w:p>
  </w:endnote>
  <w:endnote w:type="continuationNotice" w:id="1">
    <w:p w14:paraId="538B9FE5" w14:textId="77777777" w:rsidR="006054C8" w:rsidRDefault="00605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968754"/>
      <w:docPartObj>
        <w:docPartGallery w:val="Page Numbers (Bottom of Page)"/>
        <w:docPartUnique/>
      </w:docPartObj>
    </w:sdtPr>
    <w:sdtEndPr>
      <w:rPr>
        <w:noProof/>
      </w:rPr>
    </w:sdtEndPr>
    <w:sdtContent>
      <w:p w14:paraId="1CA1BE3E" w14:textId="5DF66F2B" w:rsidR="00437362" w:rsidRDefault="004373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EE8AB" w14:textId="77777777" w:rsidR="00437362" w:rsidRDefault="00437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E0780" w14:textId="77777777" w:rsidR="006054C8" w:rsidRDefault="006054C8" w:rsidP="008E1572">
      <w:r>
        <w:separator/>
      </w:r>
    </w:p>
  </w:footnote>
  <w:footnote w:type="continuationSeparator" w:id="0">
    <w:p w14:paraId="7D2655EE" w14:textId="77777777" w:rsidR="006054C8" w:rsidRDefault="006054C8" w:rsidP="008E1572">
      <w:r>
        <w:continuationSeparator/>
      </w:r>
    </w:p>
  </w:footnote>
  <w:footnote w:type="continuationNotice" w:id="1">
    <w:p w14:paraId="31C1354C" w14:textId="77777777" w:rsidR="006054C8" w:rsidRDefault="006054C8"/>
  </w:footnote>
  <w:footnote w:id="2">
    <w:p w14:paraId="565DD5AD" w14:textId="3EA5AFA3" w:rsidR="00A43F6E" w:rsidRDefault="00A43F6E" w:rsidP="0014490B">
      <w:pPr>
        <w:pStyle w:val="FootnoteText"/>
        <w:ind w:left="360"/>
      </w:pPr>
      <w:r>
        <w:rPr>
          <w:rStyle w:val="FootnoteReference"/>
        </w:rPr>
        <w:footnoteRef/>
      </w:r>
      <w:r>
        <w:t xml:space="preserve"> These estimates are derived from "OPM Salary Table </w:t>
      </w:r>
      <w:r w:rsidRPr="00C51167">
        <w:t>2</w:t>
      </w:r>
      <w:r w:rsidR="00B63B71">
        <w:t>021</w:t>
      </w:r>
      <w:r>
        <w:t>-DCB," effective January 20</w:t>
      </w:r>
      <w:r w:rsidR="00B63B71">
        <w:t>21</w:t>
      </w:r>
      <w:r>
        <w:t>. This table may be found at</w:t>
      </w:r>
      <w:r w:rsidR="00B63B71">
        <w:rPr>
          <w:u w:val="single"/>
        </w:rPr>
        <w:t xml:space="preserve"> </w:t>
      </w:r>
      <w:r w:rsidR="00B63B71" w:rsidRPr="00B63B71">
        <w:rPr>
          <w:u w:val="single"/>
        </w:rPr>
        <w:t>https://www.opm.gov/policy-data-oversight/pay-leave/salaries-wages/salary-tables/pdf/2021/DCB.pdf</w:t>
      </w:r>
      <w:r>
        <w:t xml:space="preserve">. The extreme of step 10 was assumed for all categories. We </w:t>
      </w:r>
      <w:r w:rsidR="00472750">
        <w:t>have assumed a quarter</w:t>
      </w:r>
      <w:r>
        <w:t>-time GS-13 technical worker, and a GS-15 manager working one-eighth of his/her time managing this project (0.125). All values were multiplied by 1.6 (which is a common factor utilized in ICRs to account for overhead costs)</w:t>
      </w:r>
      <w:r w:rsidR="00751DF5">
        <w:t xml:space="preserve"> to determine labor cost</w:t>
      </w:r>
      <w:r>
        <w:t xml:space="preserve">. </w:t>
      </w:r>
      <w:r w:rsidR="000D5AD0">
        <w:t xml:space="preserve">They were </w:t>
      </w:r>
      <w:r w:rsidR="00751DF5">
        <w:t xml:space="preserve">then </w:t>
      </w:r>
      <w:r w:rsidR="000D5AD0">
        <w:t xml:space="preserve">rounded to the nearest </w:t>
      </w:r>
      <w:r w:rsidR="00C51167">
        <w:t xml:space="preserve">$ </w:t>
      </w:r>
      <w:r w:rsidR="000D5AD0">
        <w:t xml:space="preserve">500. </w:t>
      </w:r>
    </w:p>
  </w:footnote>
  <w:footnote w:id="3">
    <w:p w14:paraId="363F2DB9" w14:textId="53748070" w:rsidR="00060F70" w:rsidRDefault="00060F70" w:rsidP="00060F70">
      <w:pPr>
        <w:pStyle w:val="FootnoteText"/>
        <w:ind w:left="360"/>
      </w:pPr>
      <w:r>
        <w:rPr>
          <w:rStyle w:val="FootnoteReference"/>
        </w:rPr>
        <w:footnoteRef/>
      </w:r>
      <w:r>
        <w:t xml:space="preserve">  This is the total non-labor cost, all of which is </w:t>
      </w:r>
      <w:r w:rsidRPr="00B9615D">
        <w:rPr>
          <w:i/>
          <w:iCs/>
        </w:rPr>
        <w:t>purchased services</w:t>
      </w:r>
      <w:r w:rsidR="00B9615D">
        <w:t xml:space="preserve"> for this ICR</w:t>
      </w:r>
      <w:r>
        <w:t xml:space="preserve">. </w:t>
      </w:r>
      <w:r w:rsidR="00B9615D">
        <w:t xml:space="preserve">This is the figure that is included in the OMB inventory.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B359F" w14:textId="54D0FED3" w:rsidR="008E1572" w:rsidRDefault="00F242BD">
    <w:pPr>
      <w:pStyle w:val="Header"/>
    </w:pPr>
    <w:r>
      <w:rPr>
        <w:noProof/>
      </w:rPr>
      <w:pict w14:anchorId="30234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29391" o:spid="_x0000_s2050" type="#_x0000_t136" style="position:absolute;margin-left:0;margin-top:0;width:558.35pt;height:101.5pt;rotation:315;z-index:-251658239;mso-position-horizontal:center;mso-position-horizontal-relative:margin;mso-position-vertical:center;mso-position-vertical-relative:margin" o:allowincell="f" fillcolor="silver" stroked="f">
          <v:fill opacity=".5"/>
          <v:textpath style="font-family:&quot;Times New Roman&quot;;font-size:1pt" string="ROUGH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07040" w14:textId="16B8E0B0" w:rsidR="008E1572" w:rsidRDefault="008E1572" w:rsidP="6AB033C2">
    <w:pPr>
      <w:pStyle w:val="Header"/>
      <w:jc w:val="cent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D5A57" w14:textId="1A9903E1" w:rsidR="008E1572" w:rsidRDefault="00F242BD">
    <w:pPr>
      <w:pStyle w:val="Header"/>
    </w:pPr>
    <w:r>
      <w:rPr>
        <w:noProof/>
      </w:rPr>
      <w:pict w14:anchorId="18193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29390" o:spid="_x0000_s2049" type="#_x0000_t136" style="position:absolute;margin-left:0;margin-top:0;width:558.35pt;height:101.5pt;rotation:315;z-index:-251658240;mso-position-horizontal:center;mso-position-horizontal-relative:margin;mso-position-vertical:center;mso-position-vertical-relative:margin" o:allowincell="f" fillcolor="silver" stroked="f">
          <v:fill opacity=".5"/>
          <v:textpath style="font-family:&quot;Times New Roman&quot;;font-size:1pt" string="ROUGH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5FC"/>
    <w:multiLevelType w:val="hybridMultilevel"/>
    <w:tmpl w:val="5650C8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33B7C"/>
    <w:multiLevelType w:val="hybridMultilevel"/>
    <w:tmpl w:val="6C265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83400"/>
    <w:multiLevelType w:val="hybridMultilevel"/>
    <w:tmpl w:val="29A4F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3E4D29"/>
    <w:multiLevelType w:val="hybridMultilevel"/>
    <w:tmpl w:val="E9F03C90"/>
    <w:styleLink w:val="WWNum19"/>
    <w:lvl w:ilvl="0" w:tplc="ADD4145E">
      <w:numFmt w:val="bullet"/>
      <w:lvlText w:val=""/>
      <w:lvlJc w:val="left"/>
      <w:pPr>
        <w:ind w:left="0" w:firstLine="0"/>
      </w:pPr>
      <w:rPr>
        <w:rFonts w:ascii="Symbol" w:hAnsi="Symbol"/>
      </w:rPr>
    </w:lvl>
    <w:lvl w:ilvl="1" w:tplc="9CA6056A">
      <w:numFmt w:val="bullet"/>
      <w:lvlText w:val="o"/>
      <w:lvlJc w:val="left"/>
      <w:pPr>
        <w:ind w:left="0" w:firstLine="0"/>
      </w:pPr>
      <w:rPr>
        <w:rFonts w:ascii="Courier New" w:hAnsi="Courier New" w:cs="Courier New"/>
      </w:rPr>
    </w:lvl>
    <w:lvl w:ilvl="2" w:tplc="F904A6B4">
      <w:numFmt w:val="bullet"/>
      <w:lvlText w:val=""/>
      <w:lvlJc w:val="left"/>
      <w:pPr>
        <w:ind w:left="0" w:firstLine="0"/>
      </w:pPr>
      <w:rPr>
        <w:rFonts w:ascii="Wingdings" w:hAnsi="Wingdings"/>
      </w:rPr>
    </w:lvl>
    <w:lvl w:ilvl="3" w:tplc="B66CEC4A">
      <w:numFmt w:val="bullet"/>
      <w:lvlText w:val=""/>
      <w:lvlJc w:val="left"/>
      <w:pPr>
        <w:ind w:left="0" w:firstLine="0"/>
      </w:pPr>
      <w:rPr>
        <w:rFonts w:ascii="Symbol" w:hAnsi="Symbol"/>
      </w:rPr>
    </w:lvl>
    <w:lvl w:ilvl="4" w:tplc="630C1B46">
      <w:numFmt w:val="bullet"/>
      <w:lvlText w:val="o"/>
      <w:lvlJc w:val="left"/>
      <w:pPr>
        <w:ind w:left="0" w:firstLine="0"/>
      </w:pPr>
      <w:rPr>
        <w:rFonts w:ascii="Courier New" w:hAnsi="Courier New" w:cs="Courier New"/>
      </w:rPr>
    </w:lvl>
    <w:lvl w:ilvl="5" w:tplc="AEE87D9E">
      <w:numFmt w:val="bullet"/>
      <w:lvlText w:val=""/>
      <w:lvlJc w:val="left"/>
      <w:pPr>
        <w:ind w:left="0" w:firstLine="0"/>
      </w:pPr>
      <w:rPr>
        <w:rFonts w:ascii="Wingdings" w:hAnsi="Wingdings"/>
      </w:rPr>
    </w:lvl>
    <w:lvl w:ilvl="6" w:tplc="B3D46994">
      <w:numFmt w:val="bullet"/>
      <w:lvlText w:val=""/>
      <w:lvlJc w:val="left"/>
      <w:pPr>
        <w:ind w:left="0" w:firstLine="0"/>
      </w:pPr>
      <w:rPr>
        <w:rFonts w:ascii="Symbol" w:hAnsi="Symbol"/>
      </w:rPr>
    </w:lvl>
    <w:lvl w:ilvl="7" w:tplc="E0CED706">
      <w:numFmt w:val="bullet"/>
      <w:lvlText w:val="o"/>
      <w:lvlJc w:val="left"/>
      <w:pPr>
        <w:ind w:left="0" w:firstLine="0"/>
      </w:pPr>
      <w:rPr>
        <w:rFonts w:ascii="Courier New" w:hAnsi="Courier New" w:cs="Courier New"/>
      </w:rPr>
    </w:lvl>
    <w:lvl w:ilvl="8" w:tplc="957C5576">
      <w:numFmt w:val="bullet"/>
      <w:lvlText w:val=""/>
      <w:lvlJc w:val="left"/>
      <w:pPr>
        <w:ind w:left="0" w:firstLine="0"/>
      </w:pPr>
      <w:rPr>
        <w:rFonts w:ascii="Wingdings" w:hAnsi="Wingdings"/>
      </w:rPr>
    </w:lvl>
  </w:abstractNum>
  <w:abstractNum w:abstractNumId="4" w15:restartNumberingAfterBreak="0">
    <w:nsid w:val="36C8479E"/>
    <w:multiLevelType w:val="hybridMultilevel"/>
    <w:tmpl w:val="04090001"/>
    <w:lvl w:ilvl="0" w:tplc="63DAFAB2">
      <w:start w:val="1"/>
      <w:numFmt w:val="bullet"/>
      <w:lvlText w:val=""/>
      <w:lvlJc w:val="left"/>
      <w:pPr>
        <w:tabs>
          <w:tab w:val="num" w:pos="360"/>
        </w:tabs>
        <w:ind w:left="360" w:hanging="360"/>
      </w:pPr>
      <w:rPr>
        <w:rFonts w:ascii="Symbol" w:hAnsi="Symbol" w:hint="default"/>
      </w:rPr>
    </w:lvl>
    <w:lvl w:ilvl="1" w:tplc="0ED2F69A">
      <w:numFmt w:val="decimal"/>
      <w:lvlText w:val=""/>
      <w:lvlJc w:val="left"/>
    </w:lvl>
    <w:lvl w:ilvl="2" w:tplc="295AE322">
      <w:numFmt w:val="decimal"/>
      <w:lvlText w:val=""/>
      <w:lvlJc w:val="left"/>
    </w:lvl>
    <w:lvl w:ilvl="3" w:tplc="52F60FDA">
      <w:numFmt w:val="decimal"/>
      <w:lvlText w:val=""/>
      <w:lvlJc w:val="left"/>
    </w:lvl>
    <w:lvl w:ilvl="4" w:tplc="5FF24298">
      <w:numFmt w:val="decimal"/>
      <w:lvlText w:val=""/>
      <w:lvlJc w:val="left"/>
    </w:lvl>
    <w:lvl w:ilvl="5" w:tplc="2E109844">
      <w:numFmt w:val="decimal"/>
      <w:lvlText w:val=""/>
      <w:lvlJc w:val="left"/>
    </w:lvl>
    <w:lvl w:ilvl="6" w:tplc="E0780870">
      <w:numFmt w:val="decimal"/>
      <w:lvlText w:val=""/>
      <w:lvlJc w:val="left"/>
    </w:lvl>
    <w:lvl w:ilvl="7" w:tplc="12FA810C">
      <w:numFmt w:val="decimal"/>
      <w:lvlText w:val=""/>
      <w:lvlJc w:val="left"/>
    </w:lvl>
    <w:lvl w:ilvl="8" w:tplc="298E8EFC">
      <w:numFmt w:val="decimal"/>
      <w:lvlText w:val=""/>
      <w:lvlJc w:val="left"/>
    </w:lvl>
  </w:abstractNum>
  <w:abstractNum w:abstractNumId="5" w15:restartNumberingAfterBreak="0">
    <w:nsid w:val="38B94F90"/>
    <w:multiLevelType w:val="hybridMultilevel"/>
    <w:tmpl w:val="2EFCC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DA637E"/>
    <w:multiLevelType w:val="hybridMultilevel"/>
    <w:tmpl w:val="2886EFF4"/>
    <w:lvl w:ilvl="0" w:tplc="E9A28788">
      <w:start w:val="1"/>
      <w:numFmt w:val="decimal"/>
      <w:lvlText w:val="%1."/>
      <w:lvlJc w:val="left"/>
      <w:pPr>
        <w:ind w:left="720" w:hanging="360"/>
      </w:pPr>
    </w:lvl>
    <w:lvl w:ilvl="1" w:tplc="DFDE0B08">
      <w:start w:val="1"/>
      <w:numFmt w:val="lowerLetter"/>
      <w:lvlText w:val="%2."/>
      <w:lvlJc w:val="left"/>
      <w:pPr>
        <w:ind w:left="1440" w:hanging="360"/>
      </w:pPr>
    </w:lvl>
    <w:lvl w:ilvl="2" w:tplc="B2389E2C">
      <w:start w:val="1"/>
      <w:numFmt w:val="lowerRoman"/>
      <w:lvlText w:val="%3."/>
      <w:lvlJc w:val="right"/>
      <w:pPr>
        <w:ind w:left="2160" w:hanging="180"/>
      </w:pPr>
    </w:lvl>
    <w:lvl w:ilvl="3" w:tplc="9CCA66DE">
      <w:start w:val="1"/>
      <w:numFmt w:val="decimal"/>
      <w:lvlText w:val="%4."/>
      <w:lvlJc w:val="left"/>
      <w:pPr>
        <w:ind w:left="2880" w:hanging="360"/>
      </w:pPr>
    </w:lvl>
    <w:lvl w:ilvl="4" w:tplc="E0CC7578">
      <w:start w:val="1"/>
      <w:numFmt w:val="lowerLetter"/>
      <w:lvlText w:val="%5."/>
      <w:lvlJc w:val="left"/>
      <w:pPr>
        <w:ind w:left="3600" w:hanging="360"/>
      </w:pPr>
    </w:lvl>
    <w:lvl w:ilvl="5" w:tplc="1EAE778A">
      <w:start w:val="1"/>
      <w:numFmt w:val="lowerRoman"/>
      <w:lvlText w:val="%6."/>
      <w:lvlJc w:val="right"/>
      <w:pPr>
        <w:ind w:left="4320" w:hanging="180"/>
      </w:pPr>
    </w:lvl>
    <w:lvl w:ilvl="6" w:tplc="817C0448">
      <w:start w:val="1"/>
      <w:numFmt w:val="decimal"/>
      <w:lvlText w:val="%7."/>
      <w:lvlJc w:val="left"/>
      <w:pPr>
        <w:ind w:left="5040" w:hanging="360"/>
      </w:pPr>
    </w:lvl>
    <w:lvl w:ilvl="7" w:tplc="818A0FF8">
      <w:start w:val="1"/>
      <w:numFmt w:val="lowerLetter"/>
      <w:lvlText w:val="%8."/>
      <w:lvlJc w:val="left"/>
      <w:pPr>
        <w:ind w:left="5760" w:hanging="360"/>
      </w:pPr>
    </w:lvl>
    <w:lvl w:ilvl="8" w:tplc="DEACEE6E">
      <w:start w:val="1"/>
      <w:numFmt w:val="lowerRoman"/>
      <w:lvlText w:val="%9."/>
      <w:lvlJc w:val="right"/>
      <w:pPr>
        <w:ind w:left="6480" w:hanging="180"/>
      </w:pPr>
    </w:lvl>
  </w:abstractNum>
  <w:abstractNum w:abstractNumId="7" w15:restartNumberingAfterBreak="0">
    <w:nsid w:val="45D829B4"/>
    <w:multiLevelType w:val="hybridMultilevel"/>
    <w:tmpl w:val="22FC7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6B524C"/>
    <w:multiLevelType w:val="hybridMultilevel"/>
    <w:tmpl w:val="76E4892E"/>
    <w:lvl w:ilvl="0" w:tplc="F134FCCA">
      <w:start w:val="1"/>
      <w:numFmt w:val="bullet"/>
      <w:lvlText w:val=""/>
      <w:lvlJc w:val="left"/>
      <w:pPr>
        <w:ind w:left="720" w:hanging="360"/>
      </w:pPr>
      <w:rPr>
        <w:rFonts w:ascii="Symbol" w:hAnsi="Symbol" w:hint="default"/>
      </w:rPr>
    </w:lvl>
    <w:lvl w:ilvl="1" w:tplc="86AA9C24">
      <w:start w:val="1"/>
      <w:numFmt w:val="bullet"/>
      <w:lvlText w:val=""/>
      <w:lvlJc w:val="left"/>
      <w:pPr>
        <w:ind w:left="1440" w:hanging="360"/>
      </w:pPr>
      <w:rPr>
        <w:rFonts w:ascii="Symbol" w:hAnsi="Symbol" w:hint="default"/>
      </w:rPr>
    </w:lvl>
    <w:lvl w:ilvl="2" w:tplc="7F82313C">
      <w:start w:val="1"/>
      <w:numFmt w:val="bullet"/>
      <w:lvlText w:val=""/>
      <w:lvlJc w:val="left"/>
      <w:pPr>
        <w:ind w:left="2160" w:hanging="360"/>
      </w:pPr>
      <w:rPr>
        <w:rFonts w:ascii="Wingdings" w:hAnsi="Wingdings" w:hint="default"/>
      </w:rPr>
    </w:lvl>
    <w:lvl w:ilvl="3" w:tplc="11E62314">
      <w:start w:val="1"/>
      <w:numFmt w:val="bullet"/>
      <w:lvlText w:val=""/>
      <w:lvlJc w:val="left"/>
      <w:pPr>
        <w:ind w:left="2880" w:hanging="360"/>
      </w:pPr>
      <w:rPr>
        <w:rFonts w:ascii="Symbol" w:hAnsi="Symbol" w:hint="default"/>
      </w:rPr>
    </w:lvl>
    <w:lvl w:ilvl="4" w:tplc="40347A8C">
      <w:start w:val="1"/>
      <w:numFmt w:val="bullet"/>
      <w:lvlText w:val="o"/>
      <w:lvlJc w:val="left"/>
      <w:pPr>
        <w:ind w:left="3600" w:hanging="360"/>
      </w:pPr>
      <w:rPr>
        <w:rFonts w:ascii="Courier New" w:hAnsi="Courier New" w:hint="default"/>
      </w:rPr>
    </w:lvl>
    <w:lvl w:ilvl="5" w:tplc="E5B6323C">
      <w:start w:val="1"/>
      <w:numFmt w:val="bullet"/>
      <w:lvlText w:val=""/>
      <w:lvlJc w:val="left"/>
      <w:pPr>
        <w:ind w:left="4320" w:hanging="360"/>
      </w:pPr>
      <w:rPr>
        <w:rFonts w:ascii="Wingdings" w:hAnsi="Wingdings" w:hint="default"/>
      </w:rPr>
    </w:lvl>
    <w:lvl w:ilvl="6" w:tplc="7DB8600E">
      <w:start w:val="1"/>
      <w:numFmt w:val="bullet"/>
      <w:lvlText w:val=""/>
      <w:lvlJc w:val="left"/>
      <w:pPr>
        <w:ind w:left="5040" w:hanging="360"/>
      </w:pPr>
      <w:rPr>
        <w:rFonts w:ascii="Symbol" w:hAnsi="Symbol" w:hint="default"/>
      </w:rPr>
    </w:lvl>
    <w:lvl w:ilvl="7" w:tplc="5CF69CE8">
      <w:start w:val="1"/>
      <w:numFmt w:val="bullet"/>
      <w:lvlText w:val="o"/>
      <w:lvlJc w:val="left"/>
      <w:pPr>
        <w:ind w:left="5760" w:hanging="360"/>
      </w:pPr>
      <w:rPr>
        <w:rFonts w:ascii="Courier New" w:hAnsi="Courier New" w:hint="default"/>
      </w:rPr>
    </w:lvl>
    <w:lvl w:ilvl="8" w:tplc="FA4E2F50">
      <w:start w:val="1"/>
      <w:numFmt w:val="bullet"/>
      <w:lvlText w:val=""/>
      <w:lvlJc w:val="left"/>
      <w:pPr>
        <w:ind w:left="6480" w:hanging="360"/>
      </w:pPr>
      <w:rPr>
        <w:rFonts w:ascii="Wingdings" w:hAnsi="Wingdings" w:hint="default"/>
      </w:rPr>
    </w:lvl>
  </w:abstractNum>
  <w:abstractNum w:abstractNumId="9" w15:restartNumberingAfterBreak="0">
    <w:nsid w:val="5AB80DA0"/>
    <w:multiLevelType w:val="hybridMultilevel"/>
    <w:tmpl w:val="C9380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312904"/>
    <w:multiLevelType w:val="hybridMultilevel"/>
    <w:tmpl w:val="5E66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324D9"/>
    <w:multiLevelType w:val="hybridMultilevel"/>
    <w:tmpl w:val="C3F28E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F02B00"/>
    <w:multiLevelType w:val="hybridMultilevel"/>
    <w:tmpl w:val="AB349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1"/>
  </w:num>
  <w:num w:numId="4">
    <w:abstractNumId w:val="12"/>
  </w:num>
  <w:num w:numId="5">
    <w:abstractNumId w:val="2"/>
  </w:num>
  <w:num w:numId="6">
    <w:abstractNumId w:val="3"/>
  </w:num>
  <w:num w:numId="7">
    <w:abstractNumId w:val="3"/>
  </w:num>
  <w:num w:numId="8">
    <w:abstractNumId w:val="4"/>
  </w:num>
  <w:num w:numId="9">
    <w:abstractNumId w:val="0"/>
  </w:num>
  <w:num w:numId="10">
    <w:abstractNumId w:val="5"/>
  </w:num>
  <w:num w:numId="11">
    <w:abstractNumId w:val="10"/>
  </w:num>
  <w:num w:numId="12">
    <w:abstractNumId w:val="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F6"/>
    <w:rsid w:val="00022A44"/>
    <w:rsid w:val="00030A89"/>
    <w:rsid w:val="00035B78"/>
    <w:rsid w:val="00035FA6"/>
    <w:rsid w:val="00060F70"/>
    <w:rsid w:val="00073409"/>
    <w:rsid w:val="00082ACF"/>
    <w:rsid w:val="00095524"/>
    <w:rsid w:val="00097F69"/>
    <w:rsid w:val="000B20E8"/>
    <w:rsid w:val="000C17A0"/>
    <w:rsid w:val="000C5F16"/>
    <w:rsid w:val="000D4108"/>
    <w:rsid w:val="000D5AD0"/>
    <w:rsid w:val="000E11A9"/>
    <w:rsid w:val="001008F3"/>
    <w:rsid w:val="00107624"/>
    <w:rsid w:val="00117E7C"/>
    <w:rsid w:val="00121178"/>
    <w:rsid w:val="0012296C"/>
    <w:rsid w:val="001244B5"/>
    <w:rsid w:val="00134931"/>
    <w:rsid w:val="001354CD"/>
    <w:rsid w:val="001377BA"/>
    <w:rsid w:val="0014490B"/>
    <w:rsid w:val="00144E19"/>
    <w:rsid w:val="0017462F"/>
    <w:rsid w:val="00191425"/>
    <w:rsid w:val="00191D45"/>
    <w:rsid w:val="001A358F"/>
    <w:rsid w:val="001A4CAF"/>
    <w:rsid w:val="001B5111"/>
    <w:rsid w:val="001C25EF"/>
    <w:rsid w:val="001D1719"/>
    <w:rsid w:val="001D76AF"/>
    <w:rsid w:val="001D79BC"/>
    <w:rsid w:val="001E46CC"/>
    <w:rsid w:val="001F106B"/>
    <w:rsid w:val="001F1499"/>
    <w:rsid w:val="002062B5"/>
    <w:rsid w:val="002400BC"/>
    <w:rsid w:val="00271C4A"/>
    <w:rsid w:val="00273639"/>
    <w:rsid w:val="002812ED"/>
    <w:rsid w:val="002846FD"/>
    <w:rsid w:val="002A2168"/>
    <w:rsid w:val="002A29D9"/>
    <w:rsid w:val="002A55AA"/>
    <w:rsid w:val="002B34F6"/>
    <w:rsid w:val="002B3D80"/>
    <w:rsid w:val="002C13FC"/>
    <w:rsid w:val="002C4DA7"/>
    <w:rsid w:val="002D6ABB"/>
    <w:rsid w:val="002E04C2"/>
    <w:rsid w:val="002E122F"/>
    <w:rsid w:val="00303A33"/>
    <w:rsid w:val="00306CDD"/>
    <w:rsid w:val="00311471"/>
    <w:rsid w:val="003166C3"/>
    <w:rsid w:val="003167D6"/>
    <w:rsid w:val="003367AD"/>
    <w:rsid w:val="00376466"/>
    <w:rsid w:val="00384D8B"/>
    <w:rsid w:val="003863AB"/>
    <w:rsid w:val="003A5FCB"/>
    <w:rsid w:val="003B425A"/>
    <w:rsid w:val="003C058A"/>
    <w:rsid w:val="003C3CB0"/>
    <w:rsid w:val="003F2CC9"/>
    <w:rsid w:val="00400D46"/>
    <w:rsid w:val="00410048"/>
    <w:rsid w:val="004168C5"/>
    <w:rsid w:val="00423B9C"/>
    <w:rsid w:val="00425D8A"/>
    <w:rsid w:val="00431C0F"/>
    <w:rsid w:val="00437362"/>
    <w:rsid w:val="00444A2B"/>
    <w:rsid w:val="0045170A"/>
    <w:rsid w:val="004574AC"/>
    <w:rsid w:val="00457A65"/>
    <w:rsid w:val="00462969"/>
    <w:rsid w:val="00472750"/>
    <w:rsid w:val="004731EA"/>
    <w:rsid w:val="00475142"/>
    <w:rsid w:val="004772C5"/>
    <w:rsid w:val="00496814"/>
    <w:rsid w:val="004E43C6"/>
    <w:rsid w:val="00503A15"/>
    <w:rsid w:val="00506C14"/>
    <w:rsid w:val="00521B23"/>
    <w:rsid w:val="00527B48"/>
    <w:rsid w:val="00535212"/>
    <w:rsid w:val="00537FCD"/>
    <w:rsid w:val="00550DBC"/>
    <w:rsid w:val="00567DAD"/>
    <w:rsid w:val="00573E8D"/>
    <w:rsid w:val="00575C8B"/>
    <w:rsid w:val="00576385"/>
    <w:rsid w:val="00582CA6"/>
    <w:rsid w:val="00586D91"/>
    <w:rsid w:val="00590CC7"/>
    <w:rsid w:val="00590EB4"/>
    <w:rsid w:val="00591902"/>
    <w:rsid w:val="005924BA"/>
    <w:rsid w:val="00594AB6"/>
    <w:rsid w:val="005C37A0"/>
    <w:rsid w:val="005C60E4"/>
    <w:rsid w:val="005F0321"/>
    <w:rsid w:val="005F63F9"/>
    <w:rsid w:val="006054C8"/>
    <w:rsid w:val="00612463"/>
    <w:rsid w:val="00631A7B"/>
    <w:rsid w:val="006601D7"/>
    <w:rsid w:val="006619B4"/>
    <w:rsid w:val="0067005B"/>
    <w:rsid w:val="00676D5B"/>
    <w:rsid w:val="006837A1"/>
    <w:rsid w:val="00691CD3"/>
    <w:rsid w:val="0069541B"/>
    <w:rsid w:val="006A0A23"/>
    <w:rsid w:val="006B3DB2"/>
    <w:rsid w:val="006C1490"/>
    <w:rsid w:val="006C1D83"/>
    <w:rsid w:val="006C69E0"/>
    <w:rsid w:val="006C74BB"/>
    <w:rsid w:val="006F6AAA"/>
    <w:rsid w:val="006F7EE7"/>
    <w:rsid w:val="00703E91"/>
    <w:rsid w:val="00712B13"/>
    <w:rsid w:val="00714D54"/>
    <w:rsid w:val="00717F40"/>
    <w:rsid w:val="00726203"/>
    <w:rsid w:val="007400B4"/>
    <w:rsid w:val="00745501"/>
    <w:rsid w:val="00751456"/>
    <w:rsid w:val="0075198B"/>
    <w:rsid w:val="00751DF5"/>
    <w:rsid w:val="007865C0"/>
    <w:rsid w:val="007901F3"/>
    <w:rsid w:val="00795159"/>
    <w:rsid w:val="00797E33"/>
    <w:rsid w:val="007B531E"/>
    <w:rsid w:val="007B6C11"/>
    <w:rsid w:val="007D04D2"/>
    <w:rsid w:val="007D1C4C"/>
    <w:rsid w:val="007D3A7D"/>
    <w:rsid w:val="007D6286"/>
    <w:rsid w:val="007F2C39"/>
    <w:rsid w:val="00807DE7"/>
    <w:rsid w:val="00836953"/>
    <w:rsid w:val="0086070D"/>
    <w:rsid w:val="00860EF3"/>
    <w:rsid w:val="008661B1"/>
    <w:rsid w:val="00873467"/>
    <w:rsid w:val="00876E4E"/>
    <w:rsid w:val="008803D5"/>
    <w:rsid w:val="00881B9D"/>
    <w:rsid w:val="00885438"/>
    <w:rsid w:val="008A54BC"/>
    <w:rsid w:val="008B58EA"/>
    <w:rsid w:val="008E1572"/>
    <w:rsid w:val="008F510C"/>
    <w:rsid w:val="008F5AE6"/>
    <w:rsid w:val="00920191"/>
    <w:rsid w:val="00926CCF"/>
    <w:rsid w:val="00944E12"/>
    <w:rsid w:val="009535E6"/>
    <w:rsid w:val="00954D7D"/>
    <w:rsid w:val="00957116"/>
    <w:rsid w:val="009650B2"/>
    <w:rsid w:val="009759FF"/>
    <w:rsid w:val="00986AE7"/>
    <w:rsid w:val="0098761C"/>
    <w:rsid w:val="009A40B2"/>
    <w:rsid w:val="009C1674"/>
    <w:rsid w:val="009C285D"/>
    <w:rsid w:val="009C6B38"/>
    <w:rsid w:val="009F129F"/>
    <w:rsid w:val="00A06C59"/>
    <w:rsid w:val="00A1357E"/>
    <w:rsid w:val="00A32A4E"/>
    <w:rsid w:val="00A368B5"/>
    <w:rsid w:val="00A41569"/>
    <w:rsid w:val="00A43F6E"/>
    <w:rsid w:val="00A65BC6"/>
    <w:rsid w:val="00A81C1D"/>
    <w:rsid w:val="00A83369"/>
    <w:rsid w:val="00A879AC"/>
    <w:rsid w:val="00A90AAA"/>
    <w:rsid w:val="00A97E9F"/>
    <w:rsid w:val="00AA1B7E"/>
    <w:rsid w:val="00AB6AB7"/>
    <w:rsid w:val="00AC4C71"/>
    <w:rsid w:val="00AE14B5"/>
    <w:rsid w:val="00AE4308"/>
    <w:rsid w:val="00AE4ABA"/>
    <w:rsid w:val="00AE567E"/>
    <w:rsid w:val="00AF0B80"/>
    <w:rsid w:val="00AF705D"/>
    <w:rsid w:val="00B067B3"/>
    <w:rsid w:val="00B114DE"/>
    <w:rsid w:val="00B23109"/>
    <w:rsid w:val="00B30CC9"/>
    <w:rsid w:val="00B427DB"/>
    <w:rsid w:val="00B44D58"/>
    <w:rsid w:val="00B63B71"/>
    <w:rsid w:val="00B72DE8"/>
    <w:rsid w:val="00B731FD"/>
    <w:rsid w:val="00B862F7"/>
    <w:rsid w:val="00B9615D"/>
    <w:rsid w:val="00B97825"/>
    <w:rsid w:val="00BA2052"/>
    <w:rsid w:val="00BB1817"/>
    <w:rsid w:val="00BC3676"/>
    <w:rsid w:val="00BD458F"/>
    <w:rsid w:val="00BF4259"/>
    <w:rsid w:val="00BF67BA"/>
    <w:rsid w:val="00BF7320"/>
    <w:rsid w:val="00C16450"/>
    <w:rsid w:val="00C20F13"/>
    <w:rsid w:val="00C24141"/>
    <w:rsid w:val="00C25114"/>
    <w:rsid w:val="00C26B49"/>
    <w:rsid w:val="00C30336"/>
    <w:rsid w:val="00C3600A"/>
    <w:rsid w:val="00C51167"/>
    <w:rsid w:val="00C664EC"/>
    <w:rsid w:val="00C72982"/>
    <w:rsid w:val="00C77A83"/>
    <w:rsid w:val="00C85145"/>
    <w:rsid w:val="00C96C88"/>
    <w:rsid w:val="00C978A9"/>
    <w:rsid w:val="00C97A2D"/>
    <w:rsid w:val="00CA1641"/>
    <w:rsid w:val="00CA41CB"/>
    <w:rsid w:val="00CB0D63"/>
    <w:rsid w:val="00CB3AB0"/>
    <w:rsid w:val="00CC2062"/>
    <w:rsid w:val="00CC42DC"/>
    <w:rsid w:val="00CC4795"/>
    <w:rsid w:val="00CD056E"/>
    <w:rsid w:val="00CD311A"/>
    <w:rsid w:val="00D16F0B"/>
    <w:rsid w:val="00D17BF4"/>
    <w:rsid w:val="00D21913"/>
    <w:rsid w:val="00D452C2"/>
    <w:rsid w:val="00D45C6C"/>
    <w:rsid w:val="00D51159"/>
    <w:rsid w:val="00D52D73"/>
    <w:rsid w:val="00D778CD"/>
    <w:rsid w:val="00D80410"/>
    <w:rsid w:val="00DA6708"/>
    <w:rsid w:val="00DB5298"/>
    <w:rsid w:val="00DC077E"/>
    <w:rsid w:val="00DE14DA"/>
    <w:rsid w:val="00DE24B4"/>
    <w:rsid w:val="00DE5945"/>
    <w:rsid w:val="00DE67C7"/>
    <w:rsid w:val="00DF2BAF"/>
    <w:rsid w:val="00E05D46"/>
    <w:rsid w:val="00E11823"/>
    <w:rsid w:val="00E12F66"/>
    <w:rsid w:val="00E23CE9"/>
    <w:rsid w:val="00E42D19"/>
    <w:rsid w:val="00E435B4"/>
    <w:rsid w:val="00E44935"/>
    <w:rsid w:val="00E44BB5"/>
    <w:rsid w:val="00E46048"/>
    <w:rsid w:val="00E603A5"/>
    <w:rsid w:val="00E606F4"/>
    <w:rsid w:val="00E872DA"/>
    <w:rsid w:val="00E94A4D"/>
    <w:rsid w:val="00E95D23"/>
    <w:rsid w:val="00ED12D4"/>
    <w:rsid w:val="00EE22FD"/>
    <w:rsid w:val="00EE5031"/>
    <w:rsid w:val="00F022CD"/>
    <w:rsid w:val="00F113D2"/>
    <w:rsid w:val="00F166B3"/>
    <w:rsid w:val="00F209B4"/>
    <w:rsid w:val="00F242BD"/>
    <w:rsid w:val="00F25998"/>
    <w:rsid w:val="00F34AB3"/>
    <w:rsid w:val="00F44157"/>
    <w:rsid w:val="00F54DF1"/>
    <w:rsid w:val="00F63B15"/>
    <w:rsid w:val="00F70971"/>
    <w:rsid w:val="00F709D7"/>
    <w:rsid w:val="00F717DE"/>
    <w:rsid w:val="00FB2F94"/>
    <w:rsid w:val="00FC4AF7"/>
    <w:rsid w:val="00FC7162"/>
    <w:rsid w:val="00FD4583"/>
    <w:rsid w:val="00FF38D5"/>
    <w:rsid w:val="0381249F"/>
    <w:rsid w:val="0446884F"/>
    <w:rsid w:val="07009665"/>
    <w:rsid w:val="098C4095"/>
    <w:rsid w:val="0B730E27"/>
    <w:rsid w:val="108491FE"/>
    <w:rsid w:val="1129DEA5"/>
    <w:rsid w:val="1291B327"/>
    <w:rsid w:val="14C5E9B6"/>
    <w:rsid w:val="180A40E9"/>
    <w:rsid w:val="1882A50B"/>
    <w:rsid w:val="1A54B3E5"/>
    <w:rsid w:val="1AE12483"/>
    <w:rsid w:val="1B14636E"/>
    <w:rsid w:val="1BA68833"/>
    <w:rsid w:val="1C360531"/>
    <w:rsid w:val="21A75428"/>
    <w:rsid w:val="23064CF6"/>
    <w:rsid w:val="272D02D9"/>
    <w:rsid w:val="2776FEEC"/>
    <w:rsid w:val="278C1056"/>
    <w:rsid w:val="29A3EDEB"/>
    <w:rsid w:val="29B89E0D"/>
    <w:rsid w:val="2A1646D5"/>
    <w:rsid w:val="2A30E87E"/>
    <w:rsid w:val="2C0E9596"/>
    <w:rsid w:val="2D5D4FAC"/>
    <w:rsid w:val="30161A6C"/>
    <w:rsid w:val="3178B81C"/>
    <w:rsid w:val="33309203"/>
    <w:rsid w:val="340A89C2"/>
    <w:rsid w:val="352CDDCE"/>
    <w:rsid w:val="35CFB34A"/>
    <w:rsid w:val="35F2417E"/>
    <w:rsid w:val="364C89B7"/>
    <w:rsid w:val="3A143F5C"/>
    <w:rsid w:val="3F997CD1"/>
    <w:rsid w:val="421E125F"/>
    <w:rsid w:val="42675513"/>
    <w:rsid w:val="44032574"/>
    <w:rsid w:val="44BD4F90"/>
    <w:rsid w:val="4947F390"/>
    <w:rsid w:val="49F916B4"/>
    <w:rsid w:val="4B4646D4"/>
    <w:rsid w:val="4BC9A824"/>
    <w:rsid w:val="4DCF8998"/>
    <w:rsid w:val="4DE0B26A"/>
    <w:rsid w:val="4F4BCC68"/>
    <w:rsid w:val="5018931C"/>
    <w:rsid w:val="515FCF10"/>
    <w:rsid w:val="5A40D14C"/>
    <w:rsid w:val="5A7F7709"/>
    <w:rsid w:val="5D0760AD"/>
    <w:rsid w:val="5D4ADD14"/>
    <w:rsid w:val="5DB8FA59"/>
    <w:rsid w:val="5E5C281F"/>
    <w:rsid w:val="5E5E4998"/>
    <w:rsid w:val="5EBEC869"/>
    <w:rsid w:val="5F96A869"/>
    <w:rsid w:val="5FB01B4B"/>
    <w:rsid w:val="607CAC5E"/>
    <w:rsid w:val="63550EE0"/>
    <w:rsid w:val="63F18B68"/>
    <w:rsid w:val="654DCF9D"/>
    <w:rsid w:val="65DB2F08"/>
    <w:rsid w:val="67AF03AE"/>
    <w:rsid w:val="68539F92"/>
    <w:rsid w:val="6AB033C2"/>
    <w:rsid w:val="6B07AAF3"/>
    <w:rsid w:val="6B969F64"/>
    <w:rsid w:val="6C5C0314"/>
    <w:rsid w:val="6D744C7C"/>
    <w:rsid w:val="6D7E5720"/>
    <w:rsid w:val="7301C337"/>
    <w:rsid w:val="738888EC"/>
    <w:rsid w:val="748A152C"/>
    <w:rsid w:val="75269E66"/>
    <w:rsid w:val="75E2430A"/>
    <w:rsid w:val="765DAACD"/>
    <w:rsid w:val="77CB29B6"/>
    <w:rsid w:val="77E27DBA"/>
    <w:rsid w:val="798239CD"/>
    <w:rsid w:val="7AE107E8"/>
    <w:rsid w:val="7B02CA78"/>
    <w:rsid w:val="7CFDA28E"/>
    <w:rsid w:val="7D7147E9"/>
    <w:rsid w:val="7F0F0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70C3F"/>
  <w15:chartTrackingRefBased/>
  <w15:docId w15:val="{25FBF6E6-E75E-4B6D-A473-1E19FC0C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F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4F6"/>
    <w:rPr>
      <w:rFonts w:ascii="Segoe UI" w:hAnsi="Segoe UI" w:cs="Segoe UI"/>
      <w:sz w:val="18"/>
      <w:szCs w:val="18"/>
    </w:rPr>
  </w:style>
  <w:style w:type="paragraph" w:styleId="ListParagraph">
    <w:name w:val="List Paragraph"/>
    <w:basedOn w:val="Normal"/>
    <w:uiPriority w:val="34"/>
    <w:qFormat/>
    <w:rsid w:val="00795159"/>
    <w:pPr>
      <w:ind w:left="720"/>
      <w:contextualSpacing/>
    </w:pPr>
  </w:style>
  <w:style w:type="character" w:styleId="CommentReference">
    <w:name w:val="annotation reference"/>
    <w:basedOn w:val="DefaultParagraphFont"/>
    <w:uiPriority w:val="99"/>
    <w:semiHidden/>
    <w:unhideWhenUsed/>
    <w:rsid w:val="001F106B"/>
    <w:rPr>
      <w:sz w:val="16"/>
      <w:szCs w:val="16"/>
    </w:rPr>
  </w:style>
  <w:style w:type="paragraph" w:styleId="CommentText">
    <w:name w:val="annotation text"/>
    <w:basedOn w:val="Normal"/>
    <w:link w:val="CommentTextChar"/>
    <w:uiPriority w:val="99"/>
    <w:semiHidden/>
    <w:unhideWhenUsed/>
    <w:rsid w:val="001F106B"/>
    <w:rPr>
      <w:sz w:val="20"/>
      <w:szCs w:val="20"/>
    </w:rPr>
  </w:style>
  <w:style w:type="character" w:customStyle="1" w:styleId="CommentTextChar">
    <w:name w:val="Comment Text Char"/>
    <w:basedOn w:val="DefaultParagraphFont"/>
    <w:link w:val="CommentText"/>
    <w:uiPriority w:val="99"/>
    <w:semiHidden/>
    <w:rsid w:val="001F1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106B"/>
    <w:rPr>
      <w:b/>
      <w:bCs/>
    </w:rPr>
  </w:style>
  <w:style w:type="character" w:customStyle="1" w:styleId="CommentSubjectChar">
    <w:name w:val="Comment Subject Char"/>
    <w:basedOn w:val="CommentTextChar"/>
    <w:link w:val="CommentSubject"/>
    <w:uiPriority w:val="99"/>
    <w:semiHidden/>
    <w:rsid w:val="001F106B"/>
    <w:rPr>
      <w:rFonts w:ascii="Times New Roman" w:hAnsi="Times New Roman"/>
      <w:b/>
      <w:bCs/>
      <w:sz w:val="20"/>
      <w:szCs w:val="20"/>
    </w:rPr>
  </w:style>
  <w:style w:type="character" w:customStyle="1" w:styleId="normaltextrun">
    <w:name w:val="normaltextrun"/>
    <w:basedOn w:val="DefaultParagraphFont"/>
    <w:rsid w:val="00A1357E"/>
  </w:style>
  <w:style w:type="character" w:customStyle="1" w:styleId="eop">
    <w:name w:val="eop"/>
    <w:basedOn w:val="DefaultParagraphFont"/>
    <w:rsid w:val="00A1357E"/>
  </w:style>
  <w:style w:type="paragraph" w:customStyle="1" w:styleId="Standard">
    <w:name w:val="Standard"/>
    <w:rsid w:val="003166C3"/>
    <w:pPr>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9">
    <w:name w:val="WWNum19"/>
    <w:rsid w:val="003166C3"/>
    <w:pPr>
      <w:numPr>
        <w:numId w:val="6"/>
      </w:numPr>
    </w:pPr>
  </w:style>
  <w:style w:type="numbering" w:customStyle="1" w:styleId="WWNum191">
    <w:name w:val="WWNum191"/>
    <w:rsid w:val="003B425A"/>
  </w:style>
  <w:style w:type="paragraph" w:styleId="Header">
    <w:name w:val="header"/>
    <w:basedOn w:val="Normal"/>
    <w:link w:val="HeaderChar"/>
    <w:uiPriority w:val="99"/>
    <w:unhideWhenUsed/>
    <w:rsid w:val="008E1572"/>
    <w:pPr>
      <w:tabs>
        <w:tab w:val="center" w:pos="4680"/>
        <w:tab w:val="right" w:pos="9360"/>
      </w:tabs>
    </w:pPr>
  </w:style>
  <w:style w:type="character" w:customStyle="1" w:styleId="HeaderChar">
    <w:name w:val="Header Char"/>
    <w:basedOn w:val="DefaultParagraphFont"/>
    <w:link w:val="Header"/>
    <w:uiPriority w:val="99"/>
    <w:rsid w:val="008E1572"/>
    <w:rPr>
      <w:rFonts w:ascii="Times New Roman" w:hAnsi="Times New Roman"/>
      <w:sz w:val="24"/>
    </w:rPr>
  </w:style>
  <w:style w:type="paragraph" w:styleId="Footer">
    <w:name w:val="footer"/>
    <w:basedOn w:val="Normal"/>
    <w:link w:val="FooterChar"/>
    <w:uiPriority w:val="99"/>
    <w:unhideWhenUsed/>
    <w:rsid w:val="008E1572"/>
    <w:pPr>
      <w:tabs>
        <w:tab w:val="center" w:pos="4680"/>
        <w:tab w:val="right" w:pos="9360"/>
      </w:tabs>
    </w:pPr>
  </w:style>
  <w:style w:type="character" w:customStyle="1" w:styleId="FooterChar">
    <w:name w:val="Footer Char"/>
    <w:basedOn w:val="DefaultParagraphFont"/>
    <w:link w:val="Footer"/>
    <w:uiPriority w:val="99"/>
    <w:rsid w:val="008E1572"/>
    <w:rPr>
      <w:rFonts w:ascii="Times New Roman" w:hAnsi="Times New Roman"/>
      <w:sz w:val="24"/>
    </w:rPr>
  </w:style>
  <w:style w:type="numbering" w:customStyle="1" w:styleId="WWNum192">
    <w:name w:val="WWNum192"/>
    <w:rsid w:val="00410048"/>
  </w:style>
  <w:style w:type="character" w:customStyle="1" w:styleId="FootnoteTextChar">
    <w:name w:val="Footnote Text Char"/>
    <w:aliases w:val="Char Char,Char1 Char,Footnote Text - Preamble Char,Char2 Char,Footnote Text - Preamble1 Char,Char3 Char,Char11 Char,Footnote Text - Preamble2 Char,Char21 Char,Footnote Text - Preamble11 Char,Char4 Char,Char5 Char,Char6 Char,Char7 Char"/>
    <w:basedOn w:val="DefaultParagraphFont"/>
    <w:link w:val="FootnoteText"/>
    <w:semiHidden/>
    <w:locked/>
    <w:rsid w:val="00A43F6E"/>
    <w:rPr>
      <w:rFonts w:ascii="Times New Roman" w:hAnsi="Times New Roman" w:cs="Calibri"/>
      <w:sz w:val="20"/>
      <w:szCs w:val="20"/>
    </w:rPr>
  </w:style>
  <w:style w:type="paragraph" w:styleId="FootnoteText">
    <w:name w:val="footnote text"/>
    <w:aliases w:val="Char,Char1,Footnote Text - Preamble,Char2,Footnote Text - Preamble1,Char3,Char11,Footnote Text - Preamble2,Char21,Footnote Text - Preamble11,Char4,Char5,Footnote Text - Preamble3,Char6,Footnote Text - Preamble4,Char7,Char12,Cha"/>
    <w:basedOn w:val="Normal"/>
    <w:link w:val="FootnoteTextChar"/>
    <w:semiHidden/>
    <w:unhideWhenUsed/>
    <w:qFormat/>
    <w:rsid w:val="00A43F6E"/>
    <w:rPr>
      <w:rFonts w:cs="Calibri"/>
      <w:sz w:val="20"/>
      <w:szCs w:val="20"/>
    </w:rPr>
  </w:style>
  <w:style w:type="character" w:customStyle="1" w:styleId="FootnoteTextChar1">
    <w:name w:val="Footnote Text Char1"/>
    <w:basedOn w:val="DefaultParagraphFont"/>
    <w:uiPriority w:val="99"/>
    <w:semiHidden/>
    <w:rsid w:val="00A43F6E"/>
    <w:rPr>
      <w:rFonts w:ascii="Times New Roman" w:hAnsi="Times New Roman"/>
      <w:sz w:val="20"/>
      <w:szCs w:val="20"/>
    </w:rPr>
  </w:style>
  <w:style w:type="character" w:styleId="FootnoteReference">
    <w:name w:val="footnote reference"/>
    <w:basedOn w:val="DefaultParagraphFont"/>
    <w:uiPriority w:val="99"/>
    <w:semiHidden/>
    <w:unhideWhenUsed/>
    <w:rsid w:val="00A43F6E"/>
    <w:rPr>
      <w:vertAlign w:val="superscript"/>
    </w:rPr>
  </w:style>
  <w:style w:type="table" w:styleId="TableGrid">
    <w:name w:val="Table Grid"/>
    <w:basedOn w:val="TableNormal"/>
    <w:uiPriority w:val="39"/>
    <w:rsid w:val="00A43F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60079">
      <w:bodyDiv w:val="1"/>
      <w:marLeft w:val="0"/>
      <w:marRight w:val="0"/>
      <w:marTop w:val="0"/>
      <w:marBottom w:val="0"/>
      <w:divBdr>
        <w:top w:val="none" w:sz="0" w:space="0" w:color="auto"/>
        <w:left w:val="none" w:sz="0" w:space="0" w:color="auto"/>
        <w:bottom w:val="none" w:sz="0" w:space="0" w:color="auto"/>
        <w:right w:val="none" w:sz="0" w:space="0" w:color="auto"/>
      </w:divBdr>
    </w:div>
    <w:div w:id="79259927">
      <w:bodyDiv w:val="1"/>
      <w:marLeft w:val="0"/>
      <w:marRight w:val="0"/>
      <w:marTop w:val="0"/>
      <w:marBottom w:val="0"/>
      <w:divBdr>
        <w:top w:val="none" w:sz="0" w:space="0" w:color="auto"/>
        <w:left w:val="none" w:sz="0" w:space="0" w:color="auto"/>
        <w:bottom w:val="none" w:sz="0" w:space="0" w:color="auto"/>
        <w:right w:val="none" w:sz="0" w:space="0" w:color="auto"/>
      </w:divBdr>
    </w:div>
    <w:div w:id="593057363">
      <w:bodyDiv w:val="1"/>
      <w:marLeft w:val="0"/>
      <w:marRight w:val="0"/>
      <w:marTop w:val="0"/>
      <w:marBottom w:val="0"/>
      <w:divBdr>
        <w:top w:val="none" w:sz="0" w:space="0" w:color="auto"/>
        <w:left w:val="none" w:sz="0" w:space="0" w:color="auto"/>
        <w:bottom w:val="none" w:sz="0" w:space="0" w:color="auto"/>
        <w:right w:val="none" w:sz="0" w:space="0" w:color="auto"/>
      </w:divBdr>
    </w:div>
    <w:div w:id="629437428">
      <w:bodyDiv w:val="1"/>
      <w:marLeft w:val="0"/>
      <w:marRight w:val="0"/>
      <w:marTop w:val="0"/>
      <w:marBottom w:val="0"/>
      <w:divBdr>
        <w:top w:val="none" w:sz="0" w:space="0" w:color="auto"/>
        <w:left w:val="none" w:sz="0" w:space="0" w:color="auto"/>
        <w:bottom w:val="none" w:sz="0" w:space="0" w:color="auto"/>
        <w:right w:val="none" w:sz="0" w:space="0" w:color="auto"/>
      </w:divBdr>
    </w:div>
    <w:div w:id="649096787">
      <w:bodyDiv w:val="1"/>
      <w:marLeft w:val="0"/>
      <w:marRight w:val="0"/>
      <w:marTop w:val="0"/>
      <w:marBottom w:val="0"/>
      <w:divBdr>
        <w:top w:val="none" w:sz="0" w:space="0" w:color="auto"/>
        <w:left w:val="none" w:sz="0" w:space="0" w:color="auto"/>
        <w:bottom w:val="none" w:sz="0" w:space="0" w:color="auto"/>
        <w:right w:val="none" w:sz="0" w:space="0" w:color="auto"/>
      </w:divBdr>
    </w:div>
    <w:div w:id="1256674992">
      <w:bodyDiv w:val="1"/>
      <w:marLeft w:val="0"/>
      <w:marRight w:val="0"/>
      <w:marTop w:val="0"/>
      <w:marBottom w:val="0"/>
      <w:divBdr>
        <w:top w:val="none" w:sz="0" w:space="0" w:color="auto"/>
        <w:left w:val="none" w:sz="0" w:space="0" w:color="auto"/>
        <w:bottom w:val="none" w:sz="0" w:space="0" w:color="auto"/>
        <w:right w:val="none" w:sz="0" w:space="0" w:color="auto"/>
      </w:divBdr>
    </w:div>
    <w:div w:id="1506093387">
      <w:bodyDiv w:val="1"/>
      <w:marLeft w:val="0"/>
      <w:marRight w:val="0"/>
      <w:marTop w:val="0"/>
      <w:marBottom w:val="0"/>
      <w:divBdr>
        <w:top w:val="none" w:sz="0" w:space="0" w:color="auto"/>
        <w:left w:val="none" w:sz="0" w:space="0" w:color="auto"/>
        <w:bottom w:val="none" w:sz="0" w:space="0" w:color="auto"/>
        <w:right w:val="none" w:sz="0" w:space="0" w:color="auto"/>
      </w:divBdr>
    </w:div>
    <w:div w:id="16089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2021-05-04T21:20:06+00:00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7B5260BD15C44495D3C02D071CF4F8" ma:contentTypeVersion="6" ma:contentTypeDescription="Create a new document." ma:contentTypeScope="" ma:versionID="800693b022eb6de97c25ab3262fe751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ad2773d-1859-41f0-a27a-8ad8cda8d800" xmlns:ns6="843abc47-319f-4a77-b6a5-5f283e9f5a73" targetNamespace="http://schemas.microsoft.com/office/2006/metadata/properties" ma:root="true" ma:fieldsID="af1694fde06f6a98ddccaeba7e449838" ns1:_="" ns2:_="" ns3:_="" ns4:_="" ns5:_="" ns6:_="">
    <xsd:import namespace="http://schemas.microsoft.com/sharepoint/v3"/>
    <xsd:import namespace="4ffa91fb-a0ff-4ac5-b2db-65c790d184a4"/>
    <xsd:import namespace="http://schemas.microsoft.com/sharepoint.v3"/>
    <xsd:import namespace="http://schemas.microsoft.com/sharepoint/v3/fields"/>
    <xsd:import namespace="4ad2773d-1859-41f0-a27a-8ad8cda8d800"/>
    <xsd:import namespace="843abc47-319f-4a77-b6a5-5f283e9f5a7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b2a092d-c16d-4392-ab1e-3ab52f1eb100}" ma:internalName="TaxCatchAllLabel" ma:readOnly="true" ma:showField="CatchAllDataLabel" ma:web="843abc47-319f-4a77-b6a5-5f283e9f5a7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b2a092d-c16d-4392-ab1e-3ab52f1eb100}" ma:internalName="TaxCatchAll" ma:showField="CatchAllData" ma:web="843abc47-319f-4a77-b6a5-5f283e9f5a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2773d-1859-41f0-a27a-8ad8cda8d80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abc47-319f-4a77-b6a5-5f283e9f5a7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DE3C0-0013-48DE-85D0-84FCC290C6A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6E21B636-6C6B-412E-BC17-032CEF22F8F0}">
  <ds:schemaRefs>
    <ds:schemaRef ds:uri="http://schemas.openxmlformats.org/officeDocument/2006/bibliography"/>
  </ds:schemaRefs>
</ds:datastoreItem>
</file>

<file path=customXml/itemProps3.xml><?xml version="1.0" encoding="utf-8"?>
<ds:datastoreItem xmlns:ds="http://schemas.openxmlformats.org/officeDocument/2006/customXml" ds:itemID="{062B0473-9F69-447D-8E17-A39D9661D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ad2773d-1859-41f0-a27a-8ad8cda8d800"/>
    <ds:schemaRef ds:uri="843abc47-319f-4a77-b6a5-5f283e9f5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2F7CD8-6B44-4D0E-B450-3780DCAE5182}">
  <ds:schemaRefs>
    <ds:schemaRef ds:uri="Microsoft.SharePoint.Taxonomy.ContentTypeSync"/>
  </ds:schemaRefs>
</ds:datastoreItem>
</file>

<file path=customXml/itemProps5.xml><?xml version="1.0" encoding="utf-8"?>
<ds:datastoreItem xmlns:ds="http://schemas.openxmlformats.org/officeDocument/2006/customXml" ds:itemID="{6BF0F9D9-78F9-46C3-A69D-9569CB0A6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2966</Words>
  <Characters>16908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Pastorkovich, Anne-Marie</dc:creator>
  <cp:keywords/>
  <dc:description/>
  <cp:lastModifiedBy>Purdy, Mark</cp:lastModifiedBy>
  <cp:revision>2</cp:revision>
  <dcterms:created xsi:type="dcterms:W3CDTF">2021-12-13T15:30:00Z</dcterms:created>
  <dcterms:modified xsi:type="dcterms:W3CDTF">2021-12-13T15:30:00Z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0x010100787B5260BD15C44495D3C02D071CF4F8</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