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1723" w:rsidR="00B1351A" w:rsidP="0075527B" w:rsidRDefault="001B56E8" w14:paraId="3E6F55AE" w14:textId="77777777">
      <w:pPr>
        <w:widowControl/>
        <w:spacing w:line="480" w:lineRule="auto"/>
        <w:jc w:val="center"/>
        <w:rPr>
          <w:b/>
          <w:bCs/>
          <w:sz w:val="24"/>
          <w:szCs w:val="24"/>
        </w:rPr>
      </w:pPr>
      <w:r w:rsidRPr="00481723">
        <w:rPr>
          <w:sz w:val="24"/>
          <w:szCs w:val="24"/>
          <w:lang w:val="en-CA"/>
        </w:rPr>
        <w:fldChar w:fldCharType="begin"/>
      </w:r>
      <w:r w:rsidRPr="00481723" w:rsidR="00B1351A">
        <w:rPr>
          <w:sz w:val="24"/>
          <w:szCs w:val="24"/>
          <w:lang w:val="en-CA"/>
        </w:rPr>
        <w:instrText xml:space="preserve"> SEQ CHAPTER \h \r 1</w:instrText>
      </w:r>
      <w:r w:rsidRPr="00481723">
        <w:rPr>
          <w:sz w:val="24"/>
          <w:szCs w:val="24"/>
          <w:lang w:val="en-CA"/>
        </w:rPr>
        <w:fldChar w:fldCharType="end"/>
      </w:r>
      <w:r w:rsidRPr="00481723" w:rsidR="00B1351A">
        <w:rPr>
          <w:b/>
          <w:bCs/>
          <w:sz w:val="24"/>
          <w:szCs w:val="24"/>
        </w:rPr>
        <w:t>SUPPORTING STATEMENT</w:t>
      </w:r>
    </w:p>
    <w:p w:rsidR="004061A8" w:rsidP="0075527B" w:rsidRDefault="00BD1052" w14:paraId="268E1FE2" w14:textId="6FA314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BD1052">
        <w:rPr>
          <w:b/>
          <w:sz w:val="24"/>
          <w:szCs w:val="24"/>
        </w:rPr>
        <w:t>Standards of Performance for Crude Oil and Natural Gas Facilities for which Construction, Modification or Reconstruction Commenced After September 18, 2015</w:t>
      </w:r>
      <w:r w:rsidR="00CD2C6A">
        <w:rPr>
          <w:b/>
          <w:sz w:val="24"/>
          <w:szCs w:val="24"/>
        </w:rPr>
        <w:t xml:space="preserve"> and on o</w:t>
      </w:r>
      <w:r w:rsidR="00345589">
        <w:rPr>
          <w:b/>
          <w:sz w:val="24"/>
          <w:szCs w:val="24"/>
        </w:rPr>
        <w:t>r</w:t>
      </w:r>
      <w:r w:rsidR="00CD2C6A">
        <w:rPr>
          <w:b/>
          <w:sz w:val="24"/>
          <w:szCs w:val="24"/>
        </w:rPr>
        <w:t xml:space="preserve"> before </w:t>
      </w:r>
      <w:proofErr w:type="gramStart"/>
      <w:r w:rsidRPr="0026408E" w:rsidR="00CD2C6A">
        <w:rPr>
          <w:b/>
          <w:sz w:val="24"/>
          <w:szCs w:val="24"/>
        </w:rPr>
        <w:t>September XX,</w:t>
      </w:r>
      <w:proofErr w:type="gramEnd"/>
      <w:r w:rsidRPr="0026408E" w:rsidR="00CD2C6A">
        <w:rPr>
          <w:b/>
          <w:sz w:val="24"/>
          <w:szCs w:val="24"/>
        </w:rPr>
        <w:t xml:space="preserve"> 2021.</w:t>
      </w:r>
      <w:r w:rsidRPr="008869B3" w:rsidDel="00BD1052">
        <w:rPr>
          <w:b/>
          <w:bCs/>
          <w:sz w:val="24"/>
          <w:szCs w:val="24"/>
        </w:rPr>
        <w:t xml:space="preserve"> </w:t>
      </w:r>
    </w:p>
    <w:p w:rsidRPr="002C6D07" w:rsidR="00B1351A" w:rsidP="5A950119" w:rsidRDefault="5A950119" w14:paraId="5FB14FBB" w14:textId="07843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5A950119">
        <w:rPr>
          <w:b/>
          <w:bCs/>
          <w:sz w:val="24"/>
          <w:szCs w:val="24"/>
        </w:rPr>
        <w:t>(40 CFR part 60, subpart OOOOa)</w:t>
      </w:r>
    </w:p>
    <w:p w:rsidRPr="002C6D07" w:rsidR="00B1351A" w:rsidP="0075527B" w:rsidRDefault="00B1351A" w14:paraId="304CAE1F" w14:textId="77777777">
      <w:pPr>
        <w:widowControl/>
        <w:rPr>
          <w:b/>
          <w:sz w:val="24"/>
          <w:szCs w:val="24"/>
        </w:rPr>
      </w:pPr>
    </w:p>
    <w:p w:rsidRPr="00481723" w:rsidR="00B1351A" w:rsidP="0075527B" w:rsidRDefault="00B1351A" w14:paraId="08C0B867" w14:textId="77777777">
      <w:pPr>
        <w:widowControl/>
        <w:spacing w:line="480" w:lineRule="auto"/>
        <w:rPr>
          <w:sz w:val="24"/>
          <w:szCs w:val="24"/>
        </w:rPr>
      </w:pPr>
      <w:r w:rsidRPr="00481723">
        <w:rPr>
          <w:b/>
          <w:bCs/>
          <w:sz w:val="24"/>
          <w:szCs w:val="24"/>
        </w:rPr>
        <w:t>PART A</w:t>
      </w:r>
    </w:p>
    <w:p w:rsidRPr="00481723" w:rsidR="00B1351A" w:rsidP="0075527B" w:rsidRDefault="00B1351A" w14:paraId="646EF26D" w14:textId="260B121F">
      <w:pPr>
        <w:widowControl/>
        <w:spacing w:line="480" w:lineRule="auto"/>
        <w:rPr>
          <w:sz w:val="24"/>
          <w:szCs w:val="24"/>
        </w:rPr>
      </w:pPr>
      <w:r w:rsidRPr="00481723">
        <w:rPr>
          <w:b/>
          <w:bCs/>
          <w:sz w:val="24"/>
          <w:szCs w:val="24"/>
        </w:rPr>
        <w:t>1.0</w:t>
      </w:r>
      <w:r w:rsidR="00D24FBD">
        <w:rPr>
          <w:b/>
          <w:bCs/>
          <w:sz w:val="24"/>
          <w:szCs w:val="24"/>
        </w:rPr>
        <w:tab/>
      </w:r>
      <w:r w:rsidRPr="00481723">
        <w:rPr>
          <w:b/>
          <w:bCs/>
          <w:sz w:val="24"/>
          <w:szCs w:val="24"/>
        </w:rPr>
        <w:t>Identification of the Information Collection</w:t>
      </w:r>
    </w:p>
    <w:p w:rsidRPr="00481723" w:rsidR="00B1351A" w:rsidP="00DA39BB" w:rsidRDefault="00270646" w14:paraId="0F57237B" w14:textId="3A985316">
      <w:pPr>
        <w:widowControl/>
        <w:spacing w:line="360" w:lineRule="auto"/>
        <w:rPr>
          <w:i/>
          <w:iCs/>
          <w:sz w:val="24"/>
          <w:szCs w:val="24"/>
        </w:rPr>
      </w:pPr>
      <w:r>
        <w:rPr>
          <w:i/>
          <w:iCs/>
          <w:sz w:val="24"/>
          <w:szCs w:val="24"/>
        </w:rPr>
        <w:t>(a)</w:t>
      </w:r>
      <w:r w:rsidR="00DC4234">
        <w:rPr>
          <w:i/>
          <w:iCs/>
          <w:sz w:val="24"/>
          <w:szCs w:val="24"/>
        </w:rPr>
        <w:tab/>
      </w:r>
      <w:r w:rsidRPr="00481723" w:rsidR="00B1351A">
        <w:rPr>
          <w:i/>
          <w:iCs/>
          <w:sz w:val="24"/>
          <w:szCs w:val="24"/>
        </w:rPr>
        <w:t>Title and Number of the Information Collection.</w:t>
      </w:r>
    </w:p>
    <w:p w:rsidR="004822CC" w:rsidP="0061759F" w:rsidRDefault="00B1351A" w14:paraId="1CF8DE08" w14:textId="7B041317">
      <w:pPr>
        <w:spacing w:line="360" w:lineRule="auto"/>
        <w:rPr>
          <w:sz w:val="24"/>
          <w:szCs w:val="24"/>
        </w:rPr>
      </w:pPr>
      <w:r w:rsidRPr="00481723">
        <w:rPr>
          <w:i/>
          <w:iCs/>
          <w:sz w:val="24"/>
          <w:szCs w:val="24"/>
        </w:rPr>
        <w:tab/>
      </w:r>
      <w:r w:rsidRPr="617053D7" w:rsidR="00B871A4">
        <w:rPr>
          <w:sz w:val="24"/>
          <w:szCs w:val="24"/>
        </w:rPr>
        <w:t xml:space="preserve">The title of the Information Collection Request (ICR) is </w:t>
      </w:r>
      <w:r w:rsidRPr="617053D7" w:rsidR="00B55FB1">
        <w:rPr>
          <w:sz w:val="24"/>
          <w:szCs w:val="24"/>
        </w:rPr>
        <w:t xml:space="preserve">Standards of Performance for Crude Oil and Natural Gas Facilities for Construction, Modification, or Reconstruction Commenced </w:t>
      </w:r>
      <w:r w:rsidRPr="617053D7" w:rsidR="00C32300">
        <w:rPr>
          <w:sz w:val="24"/>
          <w:szCs w:val="24"/>
        </w:rPr>
        <w:t xml:space="preserve">After September 18, </w:t>
      </w:r>
      <w:r w:rsidRPr="617053D7" w:rsidR="00380A52">
        <w:rPr>
          <w:sz w:val="24"/>
          <w:szCs w:val="24"/>
        </w:rPr>
        <w:t>2015,</w:t>
      </w:r>
      <w:r w:rsidRPr="617053D7" w:rsidR="00E35518">
        <w:rPr>
          <w:sz w:val="24"/>
          <w:szCs w:val="24"/>
        </w:rPr>
        <w:t xml:space="preserve"> </w:t>
      </w:r>
      <w:r w:rsidR="00345589">
        <w:rPr>
          <w:sz w:val="24"/>
          <w:szCs w:val="24"/>
        </w:rPr>
        <w:t xml:space="preserve">and on or before </w:t>
      </w:r>
      <w:proofErr w:type="gramStart"/>
      <w:r w:rsidR="00345589">
        <w:rPr>
          <w:sz w:val="24"/>
          <w:szCs w:val="24"/>
        </w:rPr>
        <w:t xml:space="preserve">September </w:t>
      </w:r>
      <w:r w:rsidRPr="0026408E" w:rsidR="00345589">
        <w:rPr>
          <w:sz w:val="24"/>
          <w:szCs w:val="24"/>
        </w:rPr>
        <w:t>XX</w:t>
      </w:r>
      <w:r w:rsidR="00345589">
        <w:rPr>
          <w:sz w:val="24"/>
          <w:szCs w:val="24"/>
        </w:rPr>
        <w:t>,</w:t>
      </w:r>
      <w:proofErr w:type="gramEnd"/>
      <w:r w:rsidR="00345589">
        <w:rPr>
          <w:sz w:val="24"/>
          <w:szCs w:val="24"/>
        </w:rPr>
        <w:t xml:space="preserve"> 2021 </w:t>
      </w:r>
      <w:r w:rsidRPr="617053D7" w:rsidR="00E35518">
        <w:rPr>
          <w:sz w:val="24"/>
          <w:szCs w:val="24"/>
        </w:rPr>
        <w:t>(</w:t>
      </w:r>
      <w:r w:rsidRPr="617053D7" w:rsidR="00634A23">
        <w:rPr>
          <w:sz w:val="24"/>
          <w:szCs w:val="24"/>
        </w:rPr>
        <w:t>40 CFR part 60, subpart OOOO</w:t>
      </w:r>
      <w:r w:rsidRPr="617053D7" w:rsidR="00B70E23">
        <w:rPr>
          <w:sz w:val="24"/>
          <w:szCs w:val="24"/>
        </w:rPr>
        <w:t>a</w:t>
      </w:r>
      <w:r w:rsidRPr="617053D7" w:rsidR="00634A23">
        <w:rPr>
          <w:sz w:val="24"/>
          <w:szCs w:val="24"/>
        </w:rPr>
        <w:t>)</w:t>
      </w:r>
      <w:r w:rsidRPr="617053D7" w:rsidR="00646A58">
        <w:rPr>
          <w:sz w:val="24"/>
          <w:szCs w:val="24"/>
        </w:rPr>
        <w:t>, U.S. Environmental Protection Agency (EPA)</w:t>
      </w:r>
      <w:r w:rsidRPr="00481723" w:rsidR="008E12CB">
        <w:rPr>
          <w:sz w:val="24"/>
          <w:szCs w:val="24"/>
        </w:rPr>
        <w:t xml:space="preserve"> tracking number </w:t>
      </w:r>
      <w:r w:rsidRPr="0026408E" w:rsidR="00AA757D">
        <w:rPr>
          <w:sz w:val="24"/>
          <w:szCs w:val="24"/>
        </w:rPr>
        <w:t>i</w:t>
      </w:r>
      <w:r w:rsidRPr="0026408E" w:rsidR="008E12CB">
        <w:rPr>
          <w:sz w:val="24"/>
          <w:szCs w:val="24"/>
        </w:rPr>
        <w:t>s</w:t>
      </w:r>
      <w:r w:rsidRPr="0026408E" w:rsidR="00383857">
        <w:rPr>
          <w:sz w:val="24"/>
          <w:szCs w:val="24"/>
        </w:rPr>
        <w:t xml:space="preserve"> </w:t>
      </w:r>
      <w:bookmarkStart w:name="_Hlk86418856" w:id="0"/>
      <w:r w:rsidRPr="0026408E" w:rsidR="00383857">
        <w:rPr>
          <w:sz w:val="24"/>
          <w:szCs w:val="24"/>
        </w:rPr>
        <w:t>2523.0</w:t>
      </w:r>
      <w:r w:rsidRPr="0026408E" w:rsidR="00924DA0">
        <w:rPr>
          <w:sz w:val="24"/>
          <w:szCs w:val="24"/>
        </w:rPr>
        <w:t>4</w:t>
      </w:r>
      <w:bookmarkEnd w:id="0"/>
      <w:r w:rsidRPr="0026408E" w:rsidR="00B65BDD">
        <w:rPr>
          <w:sz w:val="24"/>
          <w:szCs w:val="24"/>
        </w:rPr>
        <w:t>,</w:t>
      </w:r>
      <w:r w:rsidR="00B65BDD">
        <w:rPr>
          <w:sz w:val="24"/>
          <w:szCs w:val="24"/>
        </w:rPr>
        <w:t xml:space="preserve"> Office of Management and Budget (OMB) Control </w:t>
      </w:r>
      <w:r w:rsidRPr="0026408E" w:rsidR="00B65BDD">
        <w:rPr>
          <w:sz w:val="24"/>
          <w:szCs w:val="24"/>
        </w:rPr>
        <w:t>Nu</w:t>
      </w:r>
      <w:r w:rsidRPr="0026408E" w:rsidR="005C49AD">
        <w:rPr>
          <w:sz w:val="24"/>
          <w:szCs w:val="24"/>
        </w:rPr>
        <w:t xml:space="preserve">mber </w:t>
      </w:r>
      <w:r w:rsidR="00112457">
        <w:rPr>
          <w:sz w:val="24"/>
          <w:szCs w:val="24"/>
        </w:rPr>
        <w:t>2060-0721</w:t>
      </w:r>
      <w:r w:rsidRPr="0026408E" w:rsidR="00907CBA">
        <w:rPr>
          <w:sz w:val="24"/>
          <w:szCs w:val="24"/>
        </w:rPr>
        <w:t>.</w:t>
      </w:r>
      <w:r w:rsidRPr="00411F71" w:rsidR="00411F71">
        <w:rPr>
          <w:rFonts w:eastAsia="Calibri"/>
          <w:sz w:val="24"/>
          <w:szCs w:val="24"/>
        </w:rPr>
        <w:t xml:space="preserve"> </w:t>
      </w:r>
    </w:p>
    <w:p w:rsidR="00B1351A" w:rsidP="0075527B" w:rsidRDefault="00270646" w14:paraId="126AA32A" w14:textId="6D75B531">
      <w:pPr>
        <w:widowControl/>
        <w:spacing w:line="360" w:lineRule="auto"/>
        <w:rPr>
          <w:i/>
          <w:iCs/>
          <w:sz w:val="24"/>
          <w:szCs w:val="24"/>
        </w:rPr>
      </w:pPr>
      <w:r>
        <w:rPr>
          <w:i/>
          <w:iCs/>
          <w:sz w:val="24"/>
          <w:szCs w:val="24"/>
        </w:rPr>
        <w:t>(b)</w:t>
      </w:r>
      <w:r w:rsidR="00DC4234">
        <w:rPr>
          <w:i/>
          <w:iCs/>
          <w:sz w:val="24"/>
          <w:szCs w:val="24"/>
        </w:rPr>
        <w:tab/>
      </w:r>
      <w:r w:rsidRPr="00481723" w:rsidR="00B1351A">
        <w:rPr>
          <w:i/>
          <w:iCs/>
          <w:sz w:val="24"/>
          <w:szCs w:val="24"/>
        </w:rPr>
        <w:t>Short Characterization.</w:t>
      </w:r>
    </w:p>
    <w:p w:rsidRPr="00E311CE" w:rsidR="00D979B3" w:rsidP="0075527B" w:rsidRDefault="00390705" w14:paraId="66683027" w14:textId="08A8D86B">
      <w:pPr>
        <w:widowControl/>
        <w:spacing w:line="360" w:lineRule="auto"/>
        <w:rPr>
          <w:sz w:val="24"/>
          <w:szCs w:val="24"/>
        </w:rPr>
      </w:pPr>
      <w:r>
        <w:rPr>
          <w:i/>
          <w:iCs/>
          <w:sz w:val="24"/>
          <w:szCs w:val="24"/>
        </w:rPr>
        <w:tab/>
      </w:r>
      <w:r w:rsidRPr="00E311CE">
        <w:rPr>
          <w:sz w:val="24"/>
          <w:szCs w:val="24"/>
        </w:rPr>
        <w:t xml:space="preserve">This </w:t>
      </w:r>
      <w:r w:rsidRPr="00E311CE" w:rsidR="008D57C9">
        <w:rPr>
          <w:sz w:val="24"/>
          <w:szCs w:val="24"/>
        </w:rPr>
        <w:t xml:space="preserve">rule </w:t>
      </w:r>
      <w:r w:rsidRPr="00E311CE" w:rsidR="00E311CE">
        <w:rPr>
          <w:sz w:val="24"/>
          <w:szCs w:val="24"/>
        </w:rPr>
        <w:t>p</w:t>
      </w:r>
      <w:r w:rsidRPr="00E311CE" w:rsidR="00D979B3">
        <w:rPr>
          <w:sz w:val="24"/>
          <w:szCs w:val="24"/>
        </w:rPr>
        <w:t xml:space="preserve">roposes to implement regulatory changes resulting from the June 30, 2021, joint resolution of disapproval of the final rule titled “Oil and Natural Gas Sector: Emission Standards for New, Reconstructed, and Modified Sources Review,” 85 FR 57018 (September 14, 2020) (2020 Policy Rule), enacted pursuant to the </w:t>
      </w:r>
      <w:r w:rsidR="00F03784">
        <w:rPr>
          <w:sz w:val="24"/>
          <w:szCs w:val="24"/>
        </w:rPr>
        <w:t>Congressional Review Act (</w:t>
      </w:r>
      <w:r w:rsidRPr="00E311CE" w:rsidR="00D979B3">
        <w:rPr>
          <w:sz w:val="24"/>
          <w:szCs w:val="24"/>
        </w:rPr>
        <w:t>CRA</w:t>
      </w:r>
      <w:r w:rsidR="00F03784">
        <w:rPr>
          <w:sz w:val="24"/>
          <w:szCs w:val="24"/>
        </w:rPr>
        <w:t>)</w:t>
      </w:r>
      <w:r w:rsidRPr="00E311CE" w:rsidR="00D979B3">
        <w:rPr>
          <w:sz w:val="24"/>
          <w:szCs w:val="24"/>
        </w:rPr>
        <w:t xml:space="preserve">, and to address (1) certain resulting inconsistencies between the </w:t>
      </w:r>
      <w:r w:rsidR="00380A52">
        <w:rPr>
          <w:sz w:val="24"/>
          <w:szCs w:val="24"/>
        </w:rPr>
        <w:t>volatile organic compounds (</w:t>
      </w:r>
      <w:r w:rsidRPr="00E311CE" w:rsidR="00D979B3">
        <w:rPr>
          <w:sz w:val="24"/>
          <w:szCs w:val="24"/>
        </w:rPr>
        <w:t>VOC</w:t>
      </w:r>
      <w:r w:rsidR="00380A52">
        <w:rPr>
          <w:sz w:val="24"/>
          <w:szCs w:val="24"/>
        </w:rPr>
        <w:t>)</w:t>
      </w:r>
      <w:r w:rsidRPr="00E311CE" w:rsidR="00D979B3">
        <w:rPr>
          <w:sz w:val="24"/>
          <w:szCs w:val="24"/>
        </w:rPr>
        <w:t xml:space="preserve"> and methane standards resulting from the CRA, and (2) revisiting certain determinations made in the final rule titled “Oil and Natural Gas Sector: Emission Standards for New, Reconstructed, and Modified Sources Reconsideration,” 85 FR 57398 (September 15, 2020) (2020 Technical Rule), particularly with respect to fugitive emissions monitoring at low production well sites and gathering and boosting stations. As described below, the EPA also proposed to rescind provisions of the 2020 Technical Rule that were not supported by the record for that rule, or by our subsequent information and analysis. </w:t>
      </w:r>
      <w:r w:rsidR="00075004">
        <w:rPr>
          <w:sz w:val="24"/>
          <w:szCs w:val="24"/>
        </w:rPr>
        <w:t>The</w:t>
      </w:r>
      <w:r w:rsidRPr="00E311CE" w:rsidR="00D979B3">
        <w:rPr>
          <w:sz w:val="24"/>
          <w:szCs w:val="24"/>
        </w:rPr>
        <w:t xml:space="preserve"> EPA is </w:t>
      </w:r>
      <w:r w:rsidR="00075004">
        <w:rPr>
          <w:sz w:val="24"/>
          <w:szCs w:val="24"/>
        </w:rPr>
        <w:t xml:space="preserve">also </w:t>
      </w:r>
      <w:r w:rsidRPr="00E311CE" w:rsidR="00D979B3">
        <w:rPr>
          <w:sz w:val="24"/>
          <w:szCs w:val="24"/>
        </w:rPr>
        <w:t xml:space="preserve">proposing amendments to its 2016 NSPS OOOOa (as amended by 2020 Technical Rule).   </w:t>
      </w:r>
    </w:p>
    <w:p w:rsidR="00061EAA" w:rsidP="00061EAA" w:rsidRDefault="00EE3920" w14:paraId="3CB5EEFC" w14:textId="41E4343E">
      <w:pPr>
        <w:widowControl/>
        <w:spacing w:line="360" w:lineRule="auto"/>
        <w:ind w:firstLine="720"/>
        <w:rPr>
          <w:iCs/>
          <w:sz w:val="24"/>
          <w:szCs w:val="24"/>
        </w:rPr>
      </w:pPr>
      <w:r>
        <w:rPr>
          <w:rFonts w:cs="Courier New"/>
          <w:sz w:val="24"/>
          <w:szCs w:val="24"/>
        </w:rPr>
        <w:t>Th</w:t>
      </w:r>
      <w:r w:rsidR="00883F2A">
        <w:rPr>
          <w:rFonts w:cs="Courier New"/>
          <w:sz w:val="24"/>
          <w:szCs w:val="24"/>
        </w:rPr>
        <w:t xml:space="preserve">is ICR reflects </w:t>
      </w:r>
      <w:r w:rsidR="00125689">
        <w:rPr>
          <w:rFonts w:cs="Courier New"/>
          <w:sz w:val="24"/>
          <w:szCs w:val="24"/>
        </w:rPr>
        <w:t xml:space="preserve">the </w:t>
      </w:r>
      <w:r w:rsidRPr="00883F2A" w:rsidR="00883F2A">
        <w:rPr>
          <w:rFonts w:cs="Courier New"/>
          <w:sz w:val="24"/>
          <w:szCs w:val="24"/>
        </w:rPr>
        <w:t>EPA</w:t>
      </w:r>
      <w:r w:rsidR="00125689">
        <w:rPr>
          <w:rFonts w:cs="Courier New"/>
          <w:sz w:val="24"/>
          <w:szCs w:val="24"/>
        </w:rPr>
        <w:t>’s</w:t>
      </w:r>
      <w:r w:rsidRPr="00883F2A" w:rsidR="00883F2A">
        <w:rPr>
          <w:rFonts w:cs="Courier New"/>
          <w:sz w:val="24"/>
          <w:szCs w:val="24"/>
        </w:rPr>
        <w:t xml:space="preserve"> </w:t>
      </w:r>
      <w:r>
        <w:rPr>
          <w:rFonts w:cs="Courier New"/>
          <w:sz w:val="24"/>
          <w:szCs w:val="24"/>
        </w:rPr>
        <w:t>proposed</w:t>
      </w:r>
      <w:r w:rsidRPr="00883F2A" w:rsidR="00883F2A">
        <w:rPr>
          <w:rFonts w:cs="Courier New"/>
          <w:sz w:val="24"/>
          <w:szCs w:val="24"/>
        </w:rPr>
        <w:t xml:space="preserve"> amendments to 2016 NSPS OOOOa</w:t>
      </w:r>
      <w:r w:rsidR="00F35B0E">
        <w:rPr>
          <w:rFonts w:cs="Courier New"/>
          <w:sz w:val="24"/>
          <w:szCs w:val="24"/>
        </w:rPr>
        <w:t xml:space="preserve">. </w:t>
      </w:r>
      <w:r w:rsidRPr="00AB7175" w:rsidR="00061EAA">
        <w:rPr>
          <w:iCs/>
          <w:sz w:val="24"/>
          <w:szCs w:val="24"/>
        </w:rPr>
        <w:t xml:space="preserve">The information collected will be used by </w:t>
      </w:r>
      <w:r w:rsidR="00061EAA">
        <w:rPr>
          <w:iCs/>
          <w:sz w:val="24"/>
          <w:szCs w:val="24"/>
        </w:rPr>
        <w:t>the EPA</w:t>
      </w:r>
      <w:r w:rsidRPr="00AB7175" w:rsidR="00061EAA">
        <w:rPr>
          <w:iCs/>
          <w:sz w:val="24"/>
          <w:szCs w:val="24"/>
        </w:rPr>
        <w:t xml:space="preserve"> and delegated state and local agencies to determine the compliance status of </w:t>
      </w:r>
      <w:r w:rsidR="00061EAA">
        <w:rPr>
          <w:iCs/>
          <w:sz w:val="24"/>
          <w:szCs w:val="24"/>
        </w:rPr>
        <w:t>affected facilities</w:t>
      </w:r>
      <w:r w:rsidRPr="00AB7175" w:rsidR="00061EAA">
        <w:rPr>
          <w:iCs/>
          <w:sz w:val="24"/>
          <w:szCs w:val="24"/>
        </w:rPr>
        <w:t xml:space="preserve"> subject to the rule.</w:t>
      </w:r>
    </w:p>
    <w:p w:rsidR="00640F52" w:rsidP="0075527B" w:rsidRDefault="009B5D34" w14:paraId="439D4825" w14:textId="145A9426">
      <w:pPr>
        <w:widowControl/>
        <w:spacing w:line="360" w:lineRule="auto"/>
        <w:ind w:firstLine="720"/>
        <w:rPr>
          <w:rFonts w:cs="Courier New"/>
          <w:sz w:val="24"/>
          <w:szCs w:val="24"/>
        </w:rPr>
      </w:pPr>
      <w:r w:rsidRPr="009B5D34">
        <w:rPr>
          <w:rFonts w:cs="Courier New"/>
          <w:iCs/>
          <w:sz w:val="24"/>
          <w:szCs w:val="24"/>
        </w:rPr>
        <w:lastRenderedPageBreak/>
        <w:t xml:space="preserve">The respondents are owners or operators of </w:t>
      </w:r>
      <w:r w:rsidR="00715F4C">
        <w:rPr>
          <w:rFonts w:cs="Courier New"/>
          <w:iCs/>
          <w:sz w:val="24"/>
          <w:szCs w:val="24"/>
        </w:rPr>
        <w:t xml:space="preserve">onshore </w:t>
      </w:r>
      <w:r w:rsidRPr="009B5D34">
        <w:rPr>
          <w:rFonts w:cs="Courier New"/>
          <w:iCs/>
          <w:sz w:val="24"/>
          <w:szCs w:val="24"/>
        </w:rPr>
        <w:t xml:space="preserve">oil and </w:t>
      </w:r>
      <w:r w:rsidR="00B752F8">
        <w:rPr>
          <w:rFonts w:cs="Courier New"/>
          <w:iCs/>
          <w:sz w:val="24"/>
          <w:szCs w:val="24"/>
        </w:rPr>
        <w:t xml:space="preserve">natural </w:t>
      </w:r>
      <w:r w:rsidRPr="009B5D34">
        <w:rPr>
          <w:rFonts w:cs="Courier New"/>
          <w:iCs/>
          <w:sz w:val="24"/>
          <w:szCs w:val="24"/>
        </w:rPr>
        <w:t xml:space="preserve">gas affected facilities </w:t>
      </w:r>
      <w:r w:rsidR="00660D9F">
        <w:rPr>
          <w:rFonts w:cs="Courier New"/>
          <w:iCs/>
          <w:sz w:val="24"/>
          <w:szCs w:val="24"/>
        </w:rPr>
        <w:t>(40 CFR 60.</w:t>
      </w:r>
      <w:r w:rsidR="00580EA8">
        <w:rPr>
          <w:rFonts w:cs="Courier New"/>
          <w:iCs/>
          <w:sz w:val="24"/>
          <w:szCs w:val="24"/>
        </w:rPr>
        <w:t>5365a)</w:t>
      </w:r>
      <w:r w:rsidR="00634A23">
        <w:rPr>
          <w:rFonts w:cs="Courier New"/>
          <w:iCs/>
          <w:sz w:val="24"/>
          <w:szCs w:val="24"/>
        </w:rPr>
        <w:t xml:space="preserve">. </w:t>
      </w:r>
      <w:r w:rsidR="00BE32BD">
        <w:rPr>
          <w:rFonts w:cs="Courier New"/>
          <w:iCs/>
          <w:sz w:val="24"/>
          <w:szCs w:val="24"/>
        </w:rPr>
        <w:t>For the purposes of this ICR</w:t>
      </w:r>
      <w:r w:rsidR="00345BA2">
        <w:rPr>
          <w:rFonts w:cs="Courier New"/>
          <w:iCs/>
          <w:sz w:val="24"/>
          <w:szCs w:val="24"/>
        </w:rPr>
        <w:t>, it is assumed that</w:t>
      </w:r>
      <w:r w:rsidR="006A787B">
        <w:rPr>
          <w:rFonts w:cs="Courier New"/>
          <w:iCs/>
          <w:sz w:val="24"/>
          <w:szCs w:val="24"/>
        </w:rPr>
        <w:t xml:space="preserve"> </w:t>
      </w:r>
      <w:r w:rsidRPr="00E66678" w:rsidR="00E66678">
        <w:rPr>
          <w:rFonts w:cs="Courier New"/>
          <w:iCs/>
          <w:sz w:val="24"/>
          <w:szCs w:val="24"/>
        </w:rPr>
        <w:t xml:space="preserve">oil and natural gas </w:t>
      </w:r>
      <w:r w:rsidR="002603B4">
        <w:rPr>
          <w:rFonts w:cs="Courier New"/>
          <w:iCs/>
          <w:sz w:val="24"/>
          <w:szCs w:val="24"/>
        </w:rPr>
        <w:t xml:space="preserve">affected </w:t>
      </w:r>
      <w:r w:rsidRPr="00E66678" w:rsidR="00E66678">
        <w:rPr>
          <w:rFonts w:cs="Courier New"/>
          <w:iCs/>
          <w:sz w:val="24"/>
          <w:szCs w:val="24"/>
        </w:rPr>
        <w:t>facilities located in the United States are owned and operated by the oil and natural gas ind</w:t>
      </w:r>
      <w:r w:rsidR="00270646">
        <w:rPr>
          <w:rFonts w:cs="Courier New"/>
          <w:iCs/>
          <w:sz w:val="24"/>
          <w:szCs w:val="24"/>
        </w:rPr>
        <w:t>ustry (the “Affected Public”)</w:t>
      </w:r>
      <w:r w:rsidR="00FF5660">
        <w:rPr>
          <w:rFonts w:cs="Courier New"/>
          <w:iCs/>
          <w:sz w:val="24"/>
          <w:szCs w:val="24"/>
        </w:rPr>
        <w:t>, and that n</w:t>
      </w:r>
      <w:r w:rsidRPr="00E66678" w:rsidR="00E66678">
        <w:rPr>
          <w:rFonts w:cs="Courier New"/>
          <w:iCs/>
          <w:sz w:val="24"/>
          <w:szCs w:val="24"/>
        </w:rPr>
        <w:t xml:space="preserve">one of the </w:t>
      </w:r>
      <w:r w:rsidR="0007199D">
        <w:rPr>
          <w:rFonts w:cs="Courier New"/>
          <w:iCs/>
          <w:sz w:val="24"/>
          <w:szCs w:val="24"/>
        </w:rPr>
        <w:t xml:space="preserve">affected </w:t>
      </w:r>
      <w:r w:rsidRPr="00E66678" w:rsidR="00E66678">
        <w:rPr>
          <w:rFonts w:cs="Courier New"/>
          <w:iCs/>
          <w:sz w:val="24"/>
          <w:szCs w:val="24"/>
        </w:rPr>
        <w:t>facilities in the United States are owned or operated by state, local, tri</w:t>
      </w:r>
      <w:r w:rsidR="00634A23">
        <w:rPr>
          <w:rFonts w:cs="Courier New"/>
          <w:iCs/>
          <w:sz w:val="24"/>
          <w:szCs w:val="24"/>
        </w:rPr>
        <w:t xml:space="preserve">bal or the Federal government. </w:t>
      </w:r>
      <w:r w:rsidRPr="00E66678" w:rsidR="00E66678">
        <w:rPr>
          <w:rFonts w:cs="Courier New"/>
          <w:iCs/>
          <w:sz w:val="24"/>
          <w:szCs w:val="24"/>
        </w:rPr>
        <w:t xml:space="preserve">All </w:t>
      </w:r>
      <w:r w:rsidR="00350FA0">
        <w:rPr>
          <w:rFonts w:cs="Courier New"/>
          <w:iCs/>
          <w:sz w:val="24"/>
          <w:szCs w:val="24"/>
        </w:rPr>
        <w:t>affected</w:t>
      </w:r>
      <w:r w:rsidRPr="00E66678" w:rsidR="00E66678">
        <w:rPr>
          <w:rFonts w:cs="Courier New"/>
          <w:iCs/>
          <w:sz w:val="24"/>
          <w:szCs w:val="24"/>
        </w:rPr>
        <w:t xml:space="preserve"> facilities are </w:t>
      </w:r>
      <w:r w:rsidR="00400F74">
        <w:rPr>
          <w:rFonts w:cs="Courier New"/>
          <w:iCs/>
          <w:sz w:val="24"/>
          <w:szCs w:val="24"/>
        </w:rPr>
        <w:t xml:space="preserve">assumed to be </w:t>
      </w:r>
      <w:r w:rsidRPr="00E66678" w:rsidR="00E66678">
        <w:rPr>
          <w:rFonts w:cs="Courier New"/>
          <w:iCs/>
          <w:sz w:val="24"/>
          <w:szCs w:val="24"/>
        </w:rPr>
        <w:t>privately owned for-profit business</w:t>
      </w:r>
      <w:r w:rsidR="00BF78AD">
        <w:rPr>
          <w:rFonts w:cs="Courier New"/>
          <w:iCs/>
          <w:sz w:val="24"/>
          <w:szCs w:val="24"/>
        </w:rPr>
        <w:t>es</w:t>
      </w:r>
      <w:r w:rsidR="00275D51">
        <w:rPr>
          <w:rFonts w:cs="Courier New"/>
          <w:iCs/>
          <w:sz w:val="24"/>
          <w:szCs w:val="24"/>
        </w:rPr>
        <w:t xml:space="preserve">. </w:t>
      </w:r>
    </w:p>
    <w:p w:rsidRPr="00D6503A" w:rsidR="00D2139D" w:rsidP="4E246ACC" w:rsidRDefault="00163980" w14:paraId="234EA5A5" w14:textId="2282C3A6">
      <w:pPr>
        <w:widowControl/>
        <w:spacing w:line="360" w:lineRule="auto"/>
        <w:ind w:firstLine="720"/>
        <w:rPr>
          <w:rFonts w:eastAsia="Courier New"/>
          <w:i/>
          <w:iCs/>
          <w:sz w:val="24"/>
          <w:szCs w:val="24"/>
        </w:rPr>
      </w:pPr>
      <w:r>
        <w:rPr>
          <w:sz w:val="24"/>
          <w:szCs w:val="24"/>
        </w:rPr>
        <w:t xml:space="preserve">The </w:t>
      </w:r>
      <w:r w:rsidRPr="4E246ACC" w:rsidR="617053D7">
        <w:rPr>
          <w:sz w:val="24"/>
          <w:szCs w:val="24"/>
        </w:rPr>
        <w:t>EPA estimates</w:t>
      </w:r>
      <w:r w:rsidRPr="4E246ACC" w:rsidR="617053D7">
        <w:rPr>
          <w:rFonts w:eastAsia="Courier New"/>
          <w:sz w:val="24"/>
          <w:szCs w:val="24"/>
        </w:rPr>
        <w:t xml:space="preserve"> </w:t>
      </w:r>
      <w:r w:rsidRPr="4E246ACC" w:rsidR="617053D7">
        <w:rPr>
          <w:sz w:val="24"/>
          <w:szCs w:val="24"/>
        </w:rPr>
        <w:t xml:space="preserve">an average of </w:t>
      </w:r>
      <w:r w:rsidR="000C1AE7">
        <w:rPr>
          <w:sz w:val="24"/>
          <w:szCs w:val="24"/>
        </w:rPr>
        <w:t>3,268</w:t>
      </w:r>
      <w:r w:rsidRPr="4E246ACC" w:rsidR="617053D7">
        <w:rPr>
          <w:rFonts w:eastAsia="Courier New"/>
          <w:sz w:val="24"/>
          <w:szCs w:val="24"/>
        </w:rPr>
        <w:t xml:space="preserve"> </w:t>
      </w:r>
      <w:r w:rsidRPr="4E246ACC" w:rsidR="617053D7">
        <w:rPr>
          <w:sz w:val="24"/>
          <w:szCs w:val="24"/>
        </w:rPr>
        <w:t>respondents</w:t>
      </w:r>
      <w:r w:rsidRPr="4E246ACC" w:rsidR="617053D7">
        <w:rPr>
          <w:rFonts w:eastAsia="Courier New"/>
          <w:sz w:val="24"/>
          <w:szCs w:val="24"/>
        </w:rPr>
        <w:t xml:space="preserve"> </w:t>
      </w:r>
      <w:r w:rsidRPr="4E246ACC" w:rsidR="617053D7">
        <w:rPr>
          <w:sz w:val="24"/>
          <w:szCs w:val="24"/>
        </w:rPr>
        <w:t xml:space="preserve">will be affected by </w:t>
      </w:r>
      <w:r w:rsidRPr="4E246ACC" w:rsidR="000B2803">
        <w:rPr>
          <w:sz w:val="24"/>
          <w:szCs w:val="24"/>
        </w:rPr>
        <w:t xml:space="preserve">NSPS </w:t>
      </w:r>
      <w:r w:rsidRPr="4E246ACC" w:rsidR="617053D7">
        <w:rPr>
          <w:sz w:val="24"/>
          <w:szCs w:val="24"/>
        </w:rPr>
        <w:t>OOOOa over the three</w:t>
      </w:r>
      <w:r w:rsidRPr="4E246ACC" w:rsidR="617053D7">
        <w:rPr>
          <w:rFonts w:eastAsia="Courier New"/>
          <w:sz w:val="24"/>
          <w:szCs w:val="24"/>
        </w:rPr>
        <w:t>-</w:t>
      </w:r>
      <w:r w:rsidRPr="4E246ACC" w:rsidR="617053D7">
        <w:rPr>
          <w:sz w:val="24"/>
          <w:szCs w:val="24"/>
        </w:rPr>
        <w:t>year period (20</w:t>
      </w:r>
      <w:r w:rsidR="00926871">
        <w:rPr>
          <w:sz w:val="24"/>
          <w:szCs w:val="24"/>
        </w:rPr>
        <w:t>21</w:t>
      </w:r>
      <w:r w:rsidRPr="4E246ACC" w:rsidR="617053D7">
        <w:rPr>
          <w:sz w:val="24"/>
          <w:szCs w:val="24"/>
        </w:rPr>
        <w:t>-202</w:t>
      </w:r>
      <w:r w:rsidR="00926871">
        <w:rPr>
          <w:sz w:val="24"/>
          <w:szCs w:val="24"/>
        </w:rPr>
        <w:t>3</w:t>
      </w:r>
      <w:r w:rsidRPr="4E246ACC" w:rsidR="617053D7">
        <w:rPr>
          <w:sz w:val="24"/>
          <w:szCs w:val="24"/>
        </w:rPr>
        <w:t>). The average annual burden for the recordkeeping and reporting requirements for these owner</w:t>
      </w:r>
      <w:r w:rsidR="005D4AA8">
        <w:rPr>
          <w:sz w:val="24"/>
          <w:szCs w:val="24"/>
        </w:rPr>
        <w:t>s</w:t>
      </w:r>
      <w:r w:rsidRPr="4E246ACC" w:rsidR="617053D7">
        <w:rPr>
          <w:sz w:val="24"/>
          <w:szCs w:val="24"/>
        </w:rPr>
        <w:t xml:space="preserve"> and operators is </w:t>
      </w:r>
      <w:r w:rsidR="000C1AE7">
        <w:rPr>
          <w:sz w:val="24"/>
          <w:szCs w:val="24"/>
        </w:rPr>
        <w:t>28</w:t>
      </w:r>
      <w:r w:rsidR="007C5378">
        <w:rPr>
          <w:sz w:val="24"/>
          <w:szCs w:val="24"/>
        </w:rPr>
        <w:t>3</w:t>
      </w:r>
      <w:r w:rsidR="000C1AE7">
        <w:rPr>
          <w:sz w:val="24"/>
          <w:szCs w:val="24"/>
        </w:rPr>
        <w:t>,0</w:t>
      </w:r>
      <w:r w:rsidR="007C5378">
        <w:rPr>
          <w:sz w:val="24"/>
          <w:szCs w:val="24"/>
        </w:rPr>
        <w:t>30</w:t>
      </w:r>
      <w:r w:rsidRPr="00926871" w:rsidR="00926871">
        <w:rPr>
          <w:sz w:val="24"/>
          <w:szCs w:val="24"/>
        </w:rPr>
        <w:t xml:space="preserve"> </w:t>
      </w:r>
      <w:r w:rsidRPr="4E246ACC" w:rsidR="617053D7">
        <w:rPr>
          <w:sz w:val="24"/>
          <w:szCs w:val="24"/>
        </w:rPr>
        <w:t xml:space="preserve">person-hours, with an average annual cost of </w:t>
      </w:r>
      <w:r w:rsidRPr="00957001" w:rsidR="617053D7">
        <w:rPr>
          <w:sz w:val="24"/>
          <w:szCs w:val="24"/>
        </w:rPr>
        <w:t>$</w:t>
      </w:r>
      <w:r w:rsidR="0079780F">
        <w:rPr>
          <w:sz w:val="24"/>
          <w:szCs w:val="24"/>
        </w:rPr>
        <w:t>93,7</w:t>
      </w:r>
      <w:r w:rsidR="007C5378">
        <w:rPr>
          <w:sz w:val="24"/>
          <w:szCs w:val="24"/>
        </w:rPr>
        <w:t>79</w:t>
      </w:r>
      <w:r w:rsidR="0079780F">
        <w:rPr>
          <w:sz w:val="24"/>
          <w:szCs w:val="24"/>
        </w:rPr>
        <w:t>,</w:t>
      </w:r>
      <w:r w:rsidR="007C5378">
        <w:rPr>
          <w:sz w:val="24"/>
          <w:szCs w:val="24"/>
        </w:rPr>
        <w:t>839</w:t>
      </w:r>
      <w:r w:rsidRPr="00800446" w:rsidR="00800446">
        <w:rPr>
          <w:sz w:val="24"/>
          <w:szCs w:val="24"/>
        </w:rPr>
        <w:t xml:space="preserve"> </w:t>
      </w:r>
      <w:r w:rsidRPr="4E246ACC" w:rsidR="617053D7">
        <w:rPr>
          <w:sz w:val="24"/>
          <w:szCs w:val="24"/>
        </w:rPr>
        <w:t>over the three</w:t>
      </w:r>
      <w:r w:rsidRPr="4E246ACC" w:rsidR="617053D7">
        <w:rPr>
          <w:rFonts w:eastAsia="Courier New"/>
          <w:sz w:val="24"/>
          <w:szCs w:val="24"/>
        </w:rPr>
        <w:t>-</w:t>
      </w:r>
      <w:r w:rsidRPr="4E246ACC" w:rsidR="617053D7">
        <w:rPr>
          <w:sz w:val="24"/>
          <w:szCs w:val="24"/>
        </w:rPr>
        <w:t>year period (20</w:t>
      </w:r>
      <w:r w:rsidR="000C6F57">
        <w:rPr>
          <w:sz w:val="24"/>
          <w:szCs w:val="24"/>
        </w:rPr>
        <w:t>21</w:t>
      </w:r>
      <w:r w:rsidRPr="4E246ACC" w:rsidR="617053D7">
        <w:rPr>
          <w:sz w:val="24"/>
          <w:szCs w:val="24"/>
        </w:rPr>
        <w:t>-202</w:t>
      </w:r>
      <w:r w:rsidR="000C6F57">
        <w:rPr>
          <w:sz w:val="24"/>
          <w:szCs w:val="24"/>
        </w:rPr>
        <w:t>3</w:t>
      </w:r>
      <w:r w:rsidRPr="4E246ACC" w:rsidR="617053D7">
        <w:rPr>
          <w:sz w:val="24"/>
          <w:szCs w:val="24"/>
        </w:rPr>
        <w:t>)</w:t>
      </w:r>
      <w:r w:rsidRPr="4E246ACC" w:rsidR="617053D7">
        <w:rPr>
          <w:rFonts w:eastAsia="Courier New"/>
          <w:sz w:val="24"/>
          <w:szCs w:val="24"/>
        </w:rPr>
        <w:t xml:space="preserve">. </w:t>
      </w:r>
    </w:p>
    <w:p w:rsidRPr="00481723" w:rsidR="00B1351A" w:rsidP="0075527B" w:rsidRDefault="00270646" w14:paraId="060DE71B" w14:textId="393D8802">
      <w:pPr>
        <w:keepNext/>
        <w:keepLines/>
        <w:widowControl/>
        <w:spacing w:line="360" w:lineRule="auto"/>
        <w:rPr>
          <w:sz w:val="24"/>
          <w:szCs w:val="24"/>
        </w:rPr>
      </w:pPr>
      <w:r>
        <w:rPr>
          <w:b/>
          <w:bCs/>
          <w:sz w:val="24"/>
          <w:szCs w:val="24"/>
        </w:rPr>
        <w:t>2.</w:t>
      </w:r>
      <w:r w:rsidR="00E351AB">
        <w:rPr>
          <w:b/>
          <w:bCs/>
          <w:sz w:val="24"/>
          <w:szCs w:val="24"/>
        </w:rPr>
        <w:tab/>
      </w:r>
      <w:r w:rsidRPr="00481723" w:rsidR="00B1351A">
        <w:rPr>
          <w:b/>
          <w:bCs/>
          <w:sz w:val="24"/>
          <w:szCs w:val="24"/>
        </w:rPr>
        <w:t>Need For and Use of the Collection</w:t>
      </w:r>
    </w:p>
    <w:p w:rsidRPr="00481723" w:rsidR="00B1351A" w:rsidP="0075527B" w:rsidRDefault="00B1351A" w14:paraId="5E67AB55" w14:textId="77777777">
      <w:pPr>
        <w:keepNext/>
        <w:keepLines/>
        <w:widowControl/>
        <w:tabs>
          <w:tab w:val="left" w:pos="720"/>
        </w:tabs>
        <w:spacing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Pr="008869B3" w:rsidR="008869B3" w:rsidP="0060153E" w:rsidRDefault="00335537" w14:paraId="7F41EFA8" w14:textId="0C547DD0">
      <w:pPr>
        <w:widowControl/>
        <w:spacing w:line="360" w:lineRule="auto"/>
        <w:ind w:firstLine="720"/>
        <w:rPr>
          <w:sz w:val="24"/>
          <w:szCs w:val="24"/>
        </w:rPr>
      </w:pPr>
      <w:r>
        <w:rPr>
          <w:sz w:val="24"/>
          <w:szCs w:val="24"/>
        </w:rPr>
        <w:t xml:space="preserve">The </w:t>
      </w:r>
      <w:r w:rsidR="007F789C">
        <w:rPr>
          <w:sz w:val="24"/>
          <w:szCs w:val="24"/>
        </w:rPr>
        <w:t>EPA</w:t>
      </w:r>
      <w:r w:rsidR="00201893">
        <w:rPr>
          <w:sz w:val="24"/>
          <w:szCs w:val="24"/>
        </w:rPr>
        <w:t xml:space="preserve"> is charged under s</w:t>
      </w:r>
      <w:r w:rsidRPr="008869B3" w:rsidR="008869B3">
        <w:rPr>
          <w:sz w:val="24"/>
          <w:szCs w:val="24"/>
        </w:rPr>
        <w:t xml:space="preserve">ection 111 of the Clean Air Act (CAA), as amended, to establish standards of performance for new stationary sources that reflect: </w:t>
      </w:r>
    </w:p>
    <w:p w:rsidRPr="008869B3" w:rsidR="008869B3" w:rsidP="0075527B" w:rsidRDefault="008869B3" w14:paraId="1F93F9DE" w14:textId="0B752049">
      <w:pPr>
        <w:widowControl/>
        <w:pBdr>
          <w:top w:val="single" w:color="FFFFFF" w:sz="6" w:space="0"/>
          <w:left w:val="single" w:color="FFFFFF" w:sz="6" w:space="0"/>
          <w:bottom w:val="single" w:color="FFFFFF" w:sz="6" w:space="0"/>
          <w:right w:val="single" w:color="FFFFFF" w:sz="6" w:space="0"/>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275D51">
        <w:rPr>
          <w:sz w:val="24"/>
          <w:szCs w:val="24"/>
        </w:rPr>
        <w:t xml:space="preserve">. </w:t>
      </w:r>
      <w:r w:rsidRPr="008869B3">
        <w:rPr>
          <w:sz w:val="24"/>
          <w:szCs w:val="24"/>
        </w:rPr>
        <w:t>Section 111(a)(l).</w:t>
      </w:r>
    </w:p>
    <w:p w:rsidRPr="008869B3" w:rsidR="008869B3" w:rsidP="0075527B" w:rsidRDefault="008869B3" w14:paraId="0AE57A9D" w14:textId="77777777">
      <w:pPr>
        <w:widowControl/>
        <w:pBdr>
          <w:top w:val="single" w:color="FFFFFF" w:sz="6" w:space="0"/>
          <w:left w:val="single" w:color="FFFFFF" w:sz="6" w:space="0"/>
          <w:bottom w:val="single" w:color="FFFFFF" w:sz="6" w:space="0"/>
          <w:right w:val="single" w:color="FFFFFF" w:sz="6" w:space="0"/>
        </w:pBdr>
        <w:rPr>
          <w:sz w:val="24"/>
          <w:szCs w:val="24"/>
        </w:rPr>
      </w:pPr>
    </w:p>
    <w:p w:rsidRPr="008869B3" w:rsidR="008869B3" w:rsidP="002B490C" w:rsidRDefault="008869B3" w14:paraId="59EA4F51" w14:textId="548AD88C">
      <w:pPr>
        <w:widowControl/>
        <w:spacing w:line="360" w:lineRule="auto"/>
        <w:ind w:firstLine="720"/>
        <w:contextualSpacing/>
        <w:rPr>
          <w:sz w:val="24"/>
          <w:szCs w:val="24"/>
        </w:rPr>
      </w:pPr>
      <w:r w:rsidRPr="008869B3">
        <w:rPr>
          <w:sz w:val="24"/>
          <w:szCs w:val="24"/>
        </w:rPr>
        <w:t xml:space="preserve">The Agency refers to this charge as selecting the best </w:t>
      </w:r>
      <w:r w:rsidR="00366FC6">
        <w:rPr>
          <w:sz w:val="24"/>
          <w:szCs w:val="24"/>
        </w:rPr>
        <w:t>system of emissions reduction</w:t>
      </w:r>
      <w:r w:rsidR="00201893">
        <w:rPr>
          <w:sz w:val="24"/>
          <w:szCs w:val="24"/>
        </w:rPr>
        <w:t xml:space="preserve"> (</w:t>
      </w:r>
      <w:r w:rsidR="00366FC6">
        <w:rPr>
          <w:sz w:val="24"/>
          <w:szCs w:val="24"/>
        </w:rPr>
        <w:t>BSER</w:t>
      </w:r>
      <w:r w:rsidR="00201893">
        <w:rPr>
          <w:sz w:val="24"/>
          <w:szCs w:val="24"/>
        </w:rPr>
        <w:t>)</w:t>
      </w:r>
      <w:r w:rsidR="00275D51">
        <w:rPr>
          <w:sz w:val="24"/>
          <w:szCs w:val="24"/>
        </w:rPr>
        <w:t xml:space="preserve">. </w:t>
      </w:r>
      <w:r w:rsidR="00201893">
        <w:rPr>
          <w:sz w:val="24"/>
          <w:szCs w:val="24"/>
        </w:rPr>
        <w:t>Section </w:t>
      </w:r>
      <w:r w:rsidRPr="008869B3">
        <w:rPr>
          <w:sz w:val="24"/>
          <w:szCs w:val="24"/>
        </w:rPr>
        <w:t xml:space="preserve">111 </w:t>
      </w:r>
      <w:r w:rsidR="000D0282">
        <w:rPr>
          <w:sz w:val="24"/>
          <w:szCs w:val="24"/>
        </w:rPr>
        <w:t xml:space="preserve">of the CAA </w:t>
      </w:r>
      <w:r w:rsidRPr="008869B3">
        <w:rPr>
          <w:sz w:val="24"/>
          <w:szCs w:val="24"/>
        </w:rPr>
        <w:t xml:space="preserve">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rsidRPr="008869B3" w:rsidR="008869B3" w:rsidP="002B490C" w:rsidRDefault="008869B3" w14:paraId="31A1B43E" w14:textId="12B15CDB">
      <w:pPr>
        <w:widowControl/>
        <w:spacing w:line="360" w:lineRule="auto"/>
        <w:ind w:firstLine="720"/>
        <w:contextualSpacing/>
        <w:rPr>
          <w:sz w:val="24"/>
          <w:szCs w:val="24"/>
        </w:rPr>
      </w:pPr>
      <w:r w:rsidRPr="008869B3">
        <w:rPr>
          <w:sz w:val="24"/>
          <w:szCs w:val="24"/>
        </w:rPr>
        <w:t xml:space="preserve">In addition, section 114(a) </w:t>
      </w:r>
      <w:r w:rsidR="007E4565">
        <w:rPr>
          <w:sz w:val="24"/>
          <w:szCs w:val="24"/>
        </w:rPr>
        <w:t xml:space="preserve">of the CAA </w:t>
      </w:r>
      <w:r w:rsidRPr="008869B3">
        <w:rPr>
          <w:sz w:val="24"/>
          <w:szCs w:val="24"/>
        </w:rPr>
        <w:t>states that the Administrator may require any owner or operator subject to any requirement of this Act to:</w:t>
      </w:r>
    </w:p>
    <w:p w:rsidR="00201893" w:rsidP="002B490C" w:rsidRDefault="00B07730" w14:paraId="238C86CB" w14:textId="77777777">
      <w:pPr>
        <w:widowControl/>
        <w:numPr>
          <w:ilvl w:val="0"/>
          <w:numId w:val="9"/>
        </w:numPr>
        <w:spacing w:line="360" w:lineRule="auto"/>
        <w:ind w:left="1080" w:right="1440"/>
        <w:contextualSpacing/>
        <w:rPr>
          <w:sz w:val="24"/>
          <w:szCs w:val="24"/>
        </w:rPr>
      </w:pPr>
      <w:r>
        <w:rPr>
          <w:sz w:val="24"/>
          <w:szCs w:val="24"/>
        </w:rPr>
        <w:t>e</w:t>
      </w:r>
      <w:r w:rsidRPr="008869B3" w:rsidR="008869B3">
        <w:rPr>
          <w:sz w:val="24"/>
          <w:szCs w:val="24"/>
        </w:rPr>
        <w:t xml:space="preserve">stablish and maintain such records; </w:t>
      </w:r>
    </w:p>
    <w:p w:rsidR="00366FC6" w:rsidP="002B490C" w:rsidRDefault="008869B3" w14:paraId="611BCC2C" w14:textId="77777777">
      <w:pPr>
        <w:widowControl/>
        <w:numPr>
          <w:ilvl w:val="0"/>
          <w:numId w:val="9"/>
        </w:numPr>
        <w:spacing w:line="360" w:lineRule="auto"/>
        <w:ind w:left="1080" w:right="1440"/>
        <w:contextualSpacing/>
        <w:rPr>
          <w:sz w:val="24"/>
          <w:szCs w:val="24"/>
        </w:rPr>
      </w:pPr>
      <w:r w:rsidRPr="008869B3">
        <w:rPr>
          <w:sz w:val="24"/>
          <w:szCs w:val="24"/>
        </w:rPr>
        <w:t xml:space="preserve">make such reports; </w:t>
      </w:r>
    </w:p>
    <w:p w:rsidR="00201893" w:rsidP="002B490C" w:rsidRDefault="008869B3" w14:paraId="02749732" w14:textId="77777777">
      <w:pPr>
        <w:widowControl/>
        <w:numPr>
          <w:ilvl w:val="0"/>
          <w:numId w:val="9"/>
        </w:numPr>
        <w:spacing w:line="360" w:lineRule="auto"/>
        <w:ind w:left="1080" w:right="1440"/>
        <w:contextualSpacing/>
        <w:rPr>
          <w:sz w:val="24"/>
          <w:szCs w:val="24"/>
        </w:rPr>
      </w:pPr>
      <w:r w:rsidRPr="008869B3">
        <w:rPr>
          <w:sz w:val="24"/>
          <w:szCs w:val="24"/>
        </w:rPr>
        <w:t>install, use, and maintain such monitoring equipment</w:t>
      </w:r>
      <w:r w:rsidR="00366FC6">
        <w:rPr>
          <w:sz w:val="24"/>
          <w:szCs w:val="24"/>
        </w:rPr>
        <w:t>;</w:t>
      </w:r>
    </w:p>
    <w:p w:rsidR="00201893" w:rsidP="002B490C" w:rsidRDefault="008869B3" w14:paraId="4DD8F928" w14:textId="77777777">
      <w:pPr>
        <w:widowControl/>
        <w:numPr>
          <w:ilvl w:val="0"/>
          <w:numId w:val="9"/>
        </w:numPr>
        <w:spacing w:line="360" w:lineRule="auto"/>
        <w:ind w:left="1080" w:right="1440"/>
        <w:contextualSpacing/>
        <w:rPr>
          <w:sz w:val="24"/>
          <w:szCs w:val="24"/>
        </w:rPr>
      </w:pPr>
      <w:r w:rsidRPr="008869B3">
        <w:rPr>
          <w:sz w:val="24"/>
          <w:szCs w:val="24"/>
        </w:rPr>
        <w:t>use such</w:t>
      </w:r>
      <w:r w:rsidR="00201893">
        <w:rPr>
          <w:sz w:val="24"/>
          <w:szCs w:val="24"/>
        </w:rPr>
        <w:t xml:space="preserve"> audit procedures, or methods; </w:t>
      </w:r>
    </w:p>
    <w:p w:rsidR="00201893" w:rsidP="002B490C" w:rsidRDefault="008869B3" w14:paraId="17DB62E1" w14:textId="77777777">
      <w:pPr>
        <w:widowControl/>
        <w:numPr>
          <w:ilvl w:val="0"/>
          <w:numId w:val="9"/>
        </w:numPr>
        <w:spacing w:line="360" w:lineRule="auto"/>
        <w:ind w:left="1080" w:right="1440"/>
        <w:contextualSpacing/>
        <w:rPr>
          <w:sz w:val="24"/>
          <w:szCs w:val="24"/>
        </w:rPr>
      </w:pPr>
      <w:r w:rsidRPr="008869B3">
        <w:rPr>
          <w:sz w:val="24"/>
          <w:szCs w:val="24"/>
        </w:rPr>
        <w:t xml:space="preserve">sample such emissions (in accordance with such procedures or methods, at such locations, at such intervals, during such periods, and in such manner as the Administrator shall prescribe); </w:t>
      </w:r>
    </w:p>
    <w:p w:rsidR="00201893" w:rsidP="002B490C" w:rsidRDefault="008869B3" w14:paraId="566D1912" w14:textId="77777777">
      <w:pPr>
        <w:widowControl/>
        <w:numPr>
          <w:ilvl w:val="0"/>
          <w:numId w:val="9"/>
        </w:numPr>
        <w:spacing w:line="360" w:lineRule="auto"/>
        <w:ind w:left="1080" w:right="1440"/>
        <w:contextualSpacing/>
        <w:rPr>
          <w:sz w:val="24"/>
          <w:szCs w:val="24"/>
        </w:rPr>
      </w:pPr>
      <w:r w:rsidRPr="008869B3">
        <w:rPr>
          <w:sz w:val="24"/>
          <w:szCs w:val="24"/>
        </w:rPr>
        <w:lastRenderedPageBreak/>
        <w:t xml:space="preserve">keep records on control equipment parameters, production variables or other indirect data when direct monitoring of emissions is impractical; </w:t>
      </w:r>
    </w:p>
    <w:p w:rsidR="00201893" w:rsidP="002B490C" w:rsidRDefault="008869B3" w14:paraId="32679E62" w14:textId="5CCB45CE">
      <w:pPr>
        <w:widowControl/>
        <w:numPr>
          <w:ilvl w:val="0"/>
          <w:numId w:val="9"/>
        </w:numPr>
        <w:spacing w:line="360" w:lineRule="auto"/>
        <w:ind w:left="1080" w:right="1440"/>
        <w:contextualSpacing/>
        <w:rPr>
          <w:sz w:val="24"/>
          <w:szCs w:val="24"/>
        </w:rPr>
      </w:pPr>
      <w:r w:rsidRPr="008869B3">
        <w:rPr>
          <w:sz w:val="24"/>
          <w:szCs w:val="24"/>
        </w:rPr>
        <w:t xml:space="preserve">submit compliance certifications in accordance with </w:t>
      </w:r>
      <w:r w:rsidR="007E4565">
        <w:rPr>
          <w:sz w:val="24"/>
          <w:szCs w:val="24"/>
        </w:rPr>
        <w:t>s</w:t>
      </w:r>
      <w:r w:rsidRPr="008869B3">
        <w:rPr>
          <w:sz w:val="24"/>
          <w:szCs w:val="24"/>
        </w:rPr>
        <w:t>ection 114(a)(3)</w:t>
      </w:r>
      <w:r w:rsidR="00D96DBB">
        <w:rPr>
          <w:sz w:val="24"/>
          <w:szCs w:val="24"/>
        </w:rPr>
        <w:t xml:space="preserve"> of the CAA</w:t>
      </w:r>
      <w:r w:rsidRPr="008869B3">
        <w:rPr>
          <w:sz w:val="24"/>
          <w:szCs w:val="24"/>
        </w:rPr>
        <w:t>; and</w:t>
      </w:r>
    </w:p>
    <w:p w:rsidR="001868F5" w:rsidP="002B490C" w:rsidRDefault="008869B3" w14:paraId="4C33DD15" w14:textId="7E26CF8F">
      <w:pPr>
        <w:widowControl/>
        <w:numPr>
          <w:ilvl w:val="0"/>
          <w:numId w:val="9"/>
        </w:numPr>
        <w:spacing w:line="360" w:lineRule="auto"/>
        <w:ind w:left="1080" w:right="1440"/>
        <w:contextualSpacing/>
        <w:rPr>
          <w:sz w:val="24"/>
          <w:szCs w:val="24"/>
        </w:rPr>
      </w:pPr>
      <w:r w:rsidRPr="008869B3">
        <w:rPr>
          <w:sz w:val="24"/>
          <w:szCs w:val="24"/>
        </w:rPr>
        <w:t>provide such other information as the Administrator may reasonably require.</w:t>
      </w:r>
    </w:p>
    <w:p w:rsidRPr="00123B90" w:rsidR="00123B90" w:rsidP="00D2139D" w:rsidRDefault="007E4565" w14:paraId="7CB55367" w14:textId="0D9884A2">
      <w:pPr>
        <w:widowControl/>
        <w:spacing w:line="360" w:lineRule="auto"/>
        <w:contextualSpacing/>
        <w:rPr>
          <w:sz w:val="24"/>
          <w:szCs w:val="24"/>
        </w:rPr>
      </w:pPr>
      <w:r>
        <w:rPr>
          <w:sz w:val="24"/>
          <w:szCs w:val="24"/>
        </w:rPr>
        <w:t xml:space="preserve">The </w:t>
      </w:r>
      <w:r w:rsidR="00CF3165">
        <w:rPr>
          <w:sz w:val="24"/>
          <w:szCs w:val="24"/>
        </w:rPr>
        <w:t>information collection activities</w:t>
      </w:r>
      <w:r>
        <w:rPr>
          <w:sz w:val="24"/>
          <w:szCs w:val="24"/>
        </w:rPr>
        <w:t xml:space="preserve"> </w:t>
      </w:r>
      <w:r w:rsidR="00386BA6">
        <w:rPr>
          <w:sz w:val="24"/>
          <w:szCs w:val="24"/>
        </w:rPr>
        <w:t>under the</w:t>
      </w:r>
      <w:r>
        <w:rPr>
          <w:sz w:val="24"/>
          <w:szCs w:val="24"/>
        </w:rPr>
        <w:t xml:space="preserve"> </w:t>
      </w:r>
      <w:r w:rsidR="00E612DD">
        <w:rPr>
          <w:sz w:val="24"/>
          <w:szCs w:val="24"/>
        </w:rPr>
        <w:t xml:space="preserve">proposed </w:t>
      </w:r>
      <w:r>
        <w:rPr>
          <w:sz w:val="24"/>
          <w:szCs w:val="24"/>
        </w:rPr>
        <w:t>amend</w:t>
      </w:r>
      <w:r w:rsidR="00E612DD">
        <w:rPr>
          <w:sz w:val="24"/>
          <w:szCs w:val="24"/>
        </w:rPr>
        <w:t>ments to the 2016</w:t>
      </w:r>
      <w:r w:rsidR="007C5378">
        <w:rPr>
          <w:sz w:val="24"/>
          <w:szCs w:val="24"/>
        </w:rPr>
        <w:t xml:space="preserve"> </w:t>
      </w:r>
      <w:r w:rsidR="00E14F01">
        <w:rPr>
          <w:sz w:val="24"/>
          <w:szCs w:val="24"/>
        </w:rPr>
        <w:t>NSPS OOOOa</w:t>
      </w:r>
      <w:r w:rsidR="00862556">
        <w:rPr>
          <w:sz w:val="24"/>
          <w:szCs w:val="24"/>
        </w:rPr>
        <w:t xml:space="preserve"> </w:t>
      </w:r>
      <w:r w:rsidR="00A6000D">
        <w:rPr>
          <w:sz w:val="24"/>
          <w:szCs w:val="24"/>
        </w:rPr>
        <w:t>are necessary</w:t>
      </w:r>
      <w:r>
        <w:rPr>
          <w:sz w:val="24"/>
          <w:szCs w:val="24"/>
        </w:rPr>
        <w:t xml:space="preserve"> for the Administrator to confirm the compliance status of </w:t>
      </w:r>
      <w:r w:rsidR="00A44792">
        <w:rPr>
          <w:sz w:val="24"/>
          <w:szCs w:val="24"/>
        </w:rPr>
        <w:t xml:space="preserve">new </w:t>
      </w:r>
      <w:r w:rsidR="00876A74">
        <w:rPr>
          <w:sz w:val="24"/>
          <w:szCs w:val="24"/>
        </w:rPr>
        <w:t xml:space="preserve">and modified </w:t>
      </w:r>
      <w:r>
        <w:rPr>
          <w:sz w:val="24"/>
          <w:szCs w:val="24"/>
        </w:rPr>
        <w:t xml:space="preserve">oil and natural gas </w:t>
      </w:r>
      <w:r w:rsidR="00A44792">
        <w:rPr>
          <w:sz w:val="24"/>
          <w:szCs w:val="24"/>
        </w:rPr>
        <w:t>affected facilities</w:t>
      </w:r>
      <w:r w:rsidR="00876A74">
        <w:rPr>
          <w:sz w:val="24"/>
          <w:szCs w:val="24"/>
        </w:rPr>
        <w:t>.</w:t>
      </w:r>
      <w:r>
        <w:rPr>
          <w:sz w:val="24"/>
          <w:szCs w:val="24"/>
        </w:rPr>
        <w:t xml:space="preserve"> </w:t>
      </w:r>
      <w:r w:rsidR="00876A74">
        <w:rPr>
          <w:sz w:val="24"/>
          <w:szCs w:val="24"/>
        </w:rPr>
        <w:t>These recordkeeping and reporting requirements</w:t>
      </w:r>
      <w:r>
        <w:rPr>
          <w:sz w:val="24"/>
          <w:szCs w:val="24"/>
        </w:rPr>
        <w:t xml:space="preserve"> are authorized by CAA section 114.</w:t>
      </w:r>
    </w:p>
    <w:p w:rsidRPr="00481723" w:rsidR="00B1351A" w:rsidP="0075527B" w:rsidRDefault="00B1351A" w14:paraId="534DA262" w14:textId="25281E1C">
      <w:pPr>
        <w:widowControl/>
        <w:spacing w:line="360" w:lineRule="auto"/>
        <w:rPr>
          <w:sz w:val="24"/>
          <w:szCs w:val="24"/>
        </w:rPr>
      </w:pPr>
      <w:r w:rsidRPr="00481723">
        <w:rPr>
          <w:i/>
          <w:iCs/>
          <w:sz w:val="24"/>
          <w:szCs w:val="24"/>
        </w:rPr>
        <w:t>(b)</w:t>
      </w:r>
      <w:r w:rsidRPr="00481723">
        <w:rPr>
          <w:i/>
          <w:iCs/>
          <w:sz w:val="24"/>
          <w:szCs w:val="24"/>
        </w:rPr>
        <w:tab/>
      </w:r>
      <w:r w:rsidR="007E4565">
        <w:rPr>
          <w:i/>
          <w:iCs/>
          <w:sz w:val="24"/>
          <w:szCs w:val="24"/>
        </w:rPr>
        <w:t>Practical Utility</w:t>
      </w:r>
      <w:r w:rsidRPr="00481723">
        <w:rPr>
          <w:i/>
          <w:iCs/>
          <w:sz w:val="24"/>
          <w:szCs w:val="24"/>
        </w:rPr>
        <w:t>/Users of the Data.</w:t>
      </w:r>
    </w:p>
    <w:p w:rsidR="00FA23B5" w:rsidP="0075527B" w:rsidRDefault="00B1351A" w14:paraId="6A8D0EEA" w14:textId="4C0A7BE4">
      <w:pPr>
        <w:widowControl/>
        <w:spacing w:line="360" w:lineRule="auto"/>
        <w:rPr>
          <w:sz w:val="24"/>
          <w:szCs w:val="24"/>
        </w:rPr>
      </w:pPr>
      <w:r w:rsidRPr="00481723">
        <w:rPr>
          <w:sz w:val="24"/>
          <w:szCs w:val="24"/>
        </w:rPr>
        <w:tab/>
        <w:t xml:space="preserve">The information will be used by </w:t>
      </w:r>
      <w:r w:rsidRPr="00481723" w:rsidR="00D85131">
        <w:rPr>
          <w:sz w:val="24"/>
          <w:szCs w:val="24"/>
        </w:rPr>
        <w:t>the delegated authority (</w:t>
      </w:r>
      <w:r w:rsidR="00666982">
        <w:rPr>
          <w:sz w:val="24"/>
          <w:szCs w:val="24"/>
        </w:rPr>
        <w:t>s</w:t>
      </w:r>
      <w:r w:rsidRPr="00481723" w:rsidR="00D85131">
        <w:rPr>
          <w:sz w:val="24"/>
          <w:szCs w:val="24"/>
        </w:rPr>
        <w:t>tate agency</w:t>
      </w:r>
      <w:r w:rsidR="00D52263">
        <w:rPr>
          <w:sz w:val="24"/>
          <w:szCs w:val="24"/>
        </w:rPr>
        <w:t>,</w:t>
      </w:r>
      <w:r w:rsidRPr="00481723" w:rsidR="00D85131">
        <w:rPr>
          <w:sz w:val="24"/>
          <w:szCs w:val="24"/>
        </w:rPr>
        <w:t xml:space="preserve"> or Regional Administrator if there is no delegated </w:t>
      </w:r>
      <w:r w:rsidR="00666982">
        <w:rPr>
          <w:sz w:val="24"/>
          <w:szCs w:val="24"/>
        </w:rPr>
        <w:t>s</w:t>
      </w:r>
      <w:r w:rsidRPr="00481723" w:rsidR="00D85131">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Pr="00481723" w:rsidR="00E07085">
        <w:rPr>
          <w:sz w:val="24"/>
          <w:szCs w:val="24"/>
        </w:rPr>
        <w:t xml:space="preserve">and other requirements </w:t>
      </w:r>
      <w:r w:rsidR="007E4565">
        <w:rPr>
          <w:sz w:val="24"/>
          <w:szCs w:val="24"/>
        </w:rPr>
        <w:t xml:space="preserve">of </w:t>
      </w:r>
      <w:r w:rsidR="00E14F01">
        <w:rPr>
          <w:iCs/>
          <w:sz w:val="24"/>
          <w:szCs w:val="24"/>
        </w:rPr>
        <w:t xml:space="preserve">NSPS </w:t>
      </w:r>
      <w:r w:rsidRPr="007E4565" w:rsidR="007E4565">
        <w:rPr>
          <w:iCs/>
          <w:sz w:val="24"/>
          <w:szCs w:val="24"/>
        </w:rPr>
        <w:t>OOOOa</w:t>
      </w:r>
      <w:r w:rsidR="007E4565">
        <w:rPr>
          <w:sz w:val="24"/>
          <w:szCs w:val="24"/>
        </w:rPr>
        <w:t xml:space="preserve"> </w:t>
      </w:r>
      <w:r w:rsidR="00634A23">
        <w:rPr>
          <w:sz w:val="24"/>
          <w:szCs w:val="24"/>
        </w:rPr>
        <w:t xml:space="preserve">are being achieved. </w:t>
      </w:r>
      <w:r w:rsidRPr="00481723">
        <w:rPr>
          <w:sz w:val="24"/>
          <w:szCs w:val="24"/>
        </w:rPr>
        <w:t xml:space="preserve">Based on review of the recorded information at the site and the reported information, </w:t>
      </w:r>
      <w:r w:rsidRPr="00481723" w:rsidR="00D85131">
        <w:rPr>
          <w:sz w:val="24"/>
          <w:szCs w:val="24"/>
        </w:rPr>
        <w:t xml:space="preserve">the delegated permitting authority </w:t>
      </w:r>
      <w:r w:rsidRPr="00481723">
        <w:rPr>
          <w:sz w:val="24"/>
          <w:szCs w:val="24"/>
        </w:rPr>
        <w:t xml:space="preserve">can identify </w:t>
      </w:r>
      <w:r w:rsidR="0041038D">
        <w:rPr>
          <w:sz w:val="24"/>
          <w:szCs w:val="24"/>
        </w:rPr>
        <w:t xml:space="preserve">affected </w:t>
      </w:r>
      <w:r w:rsidRPr="00481723">
        <w:rPr>
          <w:sz w:val="24"/>
          <w:szCs w:val="24"/>
        </w:rPr>
        <w:t xml:space="preserve">facilities that may not be in compliance and decide which </w:t>
      </w:r>
      <w:r w:rsidR="003978F4">
        <w:rPr>
          <w:sz w:val="24"/>
          <w:szCs w:val="24"/>
        </w:rPr>
        <w:t xml:space="preserve">affected </w:t>
      </w:r>
      <w:r w:rsidR="00522875">
        <w:rPr>
          <w:sz w:val="24"/>
          <w:szCs w:val="24"/>
        </w:rPr>
        <w:t>facilitie</w:t>
      </w:r>
      <w:r w:rsidRPr="00481723">
        <w:rPr>
          <w:sz w:val="24"/>
          <w:szCs w:val="24"/>
        </w:rPr>
        <w:t xml:space="preserve">s, records, or processes </w:t>
      </w:r>
      <w:r w:rsidRPr="00481723" w:rsidR="00D85131">
        <w:rPr>
          <w:sz w:val="24"/>
          <w:szCs w:val="24"/>
        </w:rPr>
        <w:t>may need inspection</w:t>
      </w:r>
      <w:r w:rsidRPr="00481723">
        <w:rPr>
          <w:sz w:val="24"/>
          <w:szCs w:val="24"/>
        </w:rPr>
        <w:t>.</w:t>
      </w:r>
      <w:r w:rsidRPr="00481723" w:rsidR="00D85131">
        <w:rPr>
          <w:sz w:val="24"/>
          <w:szCs w:val="24"/>
        </w:rPr>
        <w:t xml:space="preserve"> </w:t>
      </w:r>
    </w:p>
    <w:p w:rsidR="00123B90" w:rsidP="0075527B" w:rsidRDefault="00B1351A" w14:paraId="22C3238D" w14:textId="77777777">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rsidR="00123B90" w:rsidP="0075527B" w:rsidRDefault="00B1351A" w14:paraId="3337948B" w14:textId="77777777">
      <w:pPr>
        <w:widowControl/>
        <w:spacing w:line="360" w:lineRule="auto"/>
        <w:rPr>
          <w:sz w:val="24"/>
          <w:szCs w:val="24"/>
        </w:rPr>
      </w:pPr>
      <w:r w:rsidRPr="00481723">
        <w:rPr>
          <w:i/>
          <w:iCs/>
          <w:sz w:val="24"/>
          <w:szCs w:val="24"/>
        </w:rPr>
        <w:t>(a)</w:t>
      </w:r>
      <w:r w:rsidRPr="00481723">
        <w:rPr>
          <w:i/>
          <w:iCs/>
          <w:sz w:val="24"/>
          <w:szCs w:val="24"/>
        </w:rPr>
        <w:tab/>
        <w:t>Nonduplication.</w:t>
      </w:r>
    </w:p>
    <w:p w:rsidRPr="00574D9E" w:rsidR="00911C8F" w:rsidP="0075527B" w:rsidRDefault="00A37D95" w14:paraId="764A5470" w14:textId="56F69A51">
      <w:pPr>
        <w:widowControl/>
        <w:spacing w:line="360" w:lineRule="auto"/>
        <w:ind w:firstLine="720"/>
        <w:rPr>
          <w:sz w:val="24"/>
          <w:szCs w:val="24"/>
        </w:rPr>
      </w:pPr>
      <w:r>
        <w:rPr>
          <w:sz w:val="24"/>
          <w:szCs w:val="24"/>
        </w:rPr>
        <w:t xml:space="preserve">The information-gathered under the </w:t>
      </w:r>
      <w:r w:rsidR="00004B20">
        <w:rPr>
          <w:sz w:val="24"/>
          <w:szCs w:val="24"/>
        </w:rPr>
        <w:t xml:space="preserve">proposed </w:t>
      </w:r>
      <w:r>
        <w:rPr>
          <w:sz w:val="24"/>
          <w:szCs w:val="24"/>
        </w:rPr>
        <w:t>amend</w:t>
      </w:r>
      <w:r w:rsidR="00004B20">
        <w:rPr>
          <w:sz w:val="24"/>
          <w:szCs w:val="24"/>
        </w:rPr>
        <w:t>ments to the 2016</w:t>
      </w:r>
      <w:r>
        <w:rPr>
          <w:sz w:val="24"/>
          <w:szCs w:val="24"/>
        </w:rPr>
        <w:t xml:space="preserve"> </w:t>
      </w:r>
      <w:r w:rsidR="00E14F01">
        <w:rPr>
          <w:sz w:val="24"/>
          <w:szCs w:val="24"/>
        </w:rPr>
        <w:t>NSPS OOOOa</w:t>
      </w:r>
      <w:r w:rsidR="00FE08B2">
        <w:rPr>
          <w:sz w:val="24"/>
          <w:szCs w:val="24"/>
        </w:rPr>
        <w:t xml:space="preserve"> </w:t>
      </w:r>
      <w:r>
        <w:rPr>
          <w:sz w:val="24"/>
          <w:szCs w:val="24"/>
        </w:rPr>
        <w:t xml:space="preserve">will replace the information gathered under the rule prior to being amended. </w:t>
      </w:r>
      <w:r w:rsidR="0080375C">
        <w:rPr>
          <w:sz w:val="24"/>
          <w:szCs w:val="24"/>
        </w:rPr>
        <w:t>W</w:t>
      </w:r>
      <w:r w:rsidR="00FA248E">
        <w:rPr>
          <w:sz w:val="24"/>
          <w:szCs w:val="24"/>
        </w:rPr>
        <w:t>h</w:t>
      </w:r>
      <w:r w:rsidR="0080375C">
        <w:rPr>
          <w:sz w:val="24"/>
          <w:szCs w:val="24"/>
        </w:rPr>
        <w:t xml:space="preserve">ere </w:t>
      </w:r>
      <w:r w:rsidR="00FA248E">
        <w:rPr>
          <w:sz w:val="24"/>
          <w:szCs w:val="24"/>
        </w:rPr>
        <w:t xml:space="preserve">it </w:t>
      </w:r>
      <w:r>
        <w:rPr>
          <w:sz w:val="24"/>
          <w:szCs w:val="24"/>
        </w:rPr>
        <w:t>was</w:t>
      </w:r>
      <w:r w:rsidR="00FA248E">
        <w:rPr>
          <w:sz w:val="24"/>
          <w:szCs w:val="24"/>
        </w:rPr>
        <w:t xml:space="preserve"> deemed applicable</w:t>
      </w:r>
      <w:r w:rsidR="00574D9E">
        <w:rPr>
          <w:sz w:val="24"/>
          <w:szCs w:val="24"/>
        </w:rPr>
        <w:t>,</w:t>
      </w:r>
      <w:r w:rsidR="00FA248E">
        <w:rPr>
          <w:sz w:val="24"/>
          <w:szCs w:val="24"/>
        </w:rPr>
        <w:t xml:space="preserve"> </w:t>
      </w:r>
      <w:r w:rsidR="0080375C">
        <w:rPr>
          <w:sz w:val="24"/>
          <w:szCs w:val="24"/>
        </w:rPr>
        <w:t xml:space="preserve">the recordkeeping and reporting requirements </w:t>
      </w:r>
      <w:r w:rsidR="00FA248E">
        <w:rPr>
          <w:sz w:val="24"/>
          <w:szCs w:val="24"/>
        </w:rPr>
        <w:t xml:space="preserve">for </w:t>
      </w:r>
      <w:r>
        <w:rPr>
          <w:sz w:val="24"/>
          <w:szCs w:val="24"/>
        </w:rPr>
        <w:t xml:space="preserve">the 2016 </w:t>
      </w:r>
      <w:r w:rsidR="00FA248E">
        <w:rPr>
          <w:sz w:val="24"/>
          <w:szCs w:val="24"/>
        </w:rPr>
        <w:t xml:space="preserve">NSPS </w:t>
      </w:r>
      <w:r w:rsidR="00557966">
        <w:rPr>
          <w:sz w:val="24"/>
          <w:szCs w:val="24"/>
        </w:rPr>
        <w:t xml:space="preserve">OOOOa </w:t>
      </w:r>
      <w:r>
        <w:rPr>
          <w:sz w:val="24"/>
          <w:szCs w:val="24"/>
        </w:rPr>
        <w:t>were</w:t>
      </w:r>
      <w:r w:rsidR="0080375C">
        <w:rPr>
          <w:sz w:val="24"/>
          <w:szCs w:val="24"/>
        </w:rPr>
        <w:t xml:space="preserve"> developed </w:t>
      </w:r>
      <w:r w:rsidR="003F62F2">
        <w:rPr>
          <w:sz w:val="24"/>
          <w:szCs w:val="24"/>
        </w:rPr>
        <w:t xml:space="preserve">following </w:t>
      </w:r>
      <w:r w:rsidR="00FA248E">
        <w:rPr>
          <w:sz w:val="24"/>
          <w:szCs w:val="24"/>
        </w:rPr>
        <w:t>similar</w:t>
      </w:r>
      <w:r w:rsidR="003F62F2">
        <w:rPr>
          <w:sz w:val="24"/>
          <w:szCs w:val="24"/>
        </w:rPr>
        <w:t xml:space="preserve"> reporting requirements </w:t>
      </w:r>
      <w:r w:rsidR="0080375C">
        <w:rPr>
          <w:sz w:val="24"/>
          <w:szCs w:val="24"/>
        </w:rPr>
        <w:t xml:space="preserve">as </w:t>
      </w:r>
      <w:r w:rsidR="00B248CC">
        <w:rPr>
          <w:sz w:val="24"/>
          <w:szCs w:val="24"/>
        </w:rPr>
        <w:t>outlined</w:t>
      </w:r>
      <w:r w:rsidR="00574D9E">
        <w:rPr>
          <w:sz w:val="24"/>
          <w:szCs w:val="24"/>
        </w:rPr>
        <w:t xml:space="preserve"> in </w:t>
      </w:r>
      <w:r w:rsidRPr="00911C8F" w:rsidR="00911C8F">
        <w:rPr>
          <w:sz w:val="24"/>
          <w:szCs w:val="24"/>
        </w:rPr>
        <w:t>“Mandatory Reporting of Green</w:t>
      </w:r>
      <w:r w:rsidR="0080375C">
        <w:rPr>
          <w:sz w:val="24"/>
          <w:szCs w:val="24"/>
        </w:rPr>
        <w:t>house Gases</w:t>
      </w:r>
      <w:r w:rsidR="00911C8F">
        <w:rPr>
          <w:sz w:val="24"/>
          <w:szCs w:val="24"/>
        </w:rPr>
        <w:t>: Subpart W Oil and Natural Gas</w:t>
      </w:r>
      <w:r w:rsidR="00BC08FE">
        <w:rPr>
          <w:sz w:val="24"/>
          <w:szCs w:val="24"/>
        </w:rPr>
        <w:t>”</w:t>
      </w:r>
      <w:r w:rsidR="00FA248E">
        <w:rPr>
          <w:sz w:val="24"/>
          <w:szCs w:val="24"/>
        </w:rPr>
        <w:t xml:space="preserve"> in 40 CFR 98.2 and 40 CFR 98.4</w:t>
      </w:r>
      <w:r w:rsidR="00634A23">
        <w:rPr>
          <w:sz w:val="24"/>
          <w:szCs w:val="24"/>
        </w:rPr>
        <w:t xml:space="preserve">. </w:t>
      </w:r>
      <w:r w:rsidR="00201893">
        <w:rPr>
          <w:sz w:val="24"/>
          <w:szCs w:val="24"/>
        </w:rPr>
        <w:t>By remaining consistent with s</w:t>
      </w:r>
      <w:r w:rsidRPr="00FA248E" w:rsidR="00FA248E">
        <w:rPr>
          <w:sz w:val="24"/>
          <w:szCs w:val="24"/>
        </w:rPr>
        <w:t xml:space="preserve">ubpart W, </w:t>
      </w:r>
      <w:r w:rsidR="00283FF8">
        <w:rPr>
          <w:sz w:val="24"/>
          <w:szCs w:val="24"/>
        </w:rPr>
        <w:t xml:space="preserve">the </w:t>
      </w:r>
      <w:r w:rsidR="007F789C">
        <w:rPr>
          <w:sz w:val="24"/>
          <w:szCs w:val="24"/>
        </w:rPr>
        <w:t>EPA</w:t>
      </w:r>
      <w:r w:rsidRPr="00FA248E" w:rsidR="00FA248E">
        <w:rPr>
          <w:sz w:val="24"/>
          <w:szCs w:val="24"/>
        </w:rPr>
        <w:t xml:space="preserve"> </w:t>
      </w:r>
      <w:r w:rsidR="00FA248E">
        <w:rPr>
          <w:sz w:val="24"/>
          <w:szCs w:val="24"/>
        </w:rPr>
        <w:t>reduce</w:t>
      </w:r>
      <w:r>
        <w:rPr>
          <w:sz w:val="24"/>
          <w:szCs w:val="24"/>
        </w:rPr>
        <w:t>d</w:t>
      </w:r>
      <w:r w:rsidR="00FA248E">
        <w:rPr>
          <w:sz w:val="24"/>
          <w:szCs w:val="24"/>
        </w:rPr>
        <w:t xml:space="preserve"> </w:t>
      </w:r>
      <w:r w:rsidR="00B248CC">
        <w:rPr>
          <w:sz w:val="24"/>
          <w:szCs w:val="24"/>
        </w:rPr>
        <w:t xml:space="preserve">the </w:t>
      </w:r>
      <w:r w:rsidR="00FA248E">
        <w:rPr>
          <w:sz w:val="24"/>
          <w:szCs w:val="24"/>
        </w:rPr>
        <w:t xml:space="preserve">burden </w:t>
      </w:r>
      <w:r w:rsidR="006F6F93">
        <w:rPr>
          <w:sz w:val="24"/>
          <w:szCs w:val="24"/>
        </w:rPr>
        <w:t>required t</w:t>
      </w:r>
      <w:r w:rsidR="00634A23">
        <w:rPr>
          <w:sz w:val="24"/>
          <w:szCs w:val="24"/>
        </w:rPr>
        <w:t xml:space="preserve">o monitor and show compliance. </w:t>
      </w:r>
      <w:r w:rsidR="00B93C9F">
        <w:rPr>
          <w:sz w:val="24"/>
          <w:szCs w:val="24"/>
        </w:rPr>
        <w:t xml:space="preserve">In addition, </w:t>
      </w:r>
      <w:r w:rsidR="00175564">
        <w:rPr>
          <w:sz w:val="24"/>
          <w:szCs w:val="24"/>
        </w:rPr>
        <w:t xml:space="preserve">if a State or local agency has adopted their own </w:t>
      </w:r>
      <w:r w:rsidR="00634A23">
        <w:rPr>
          <w:sz w:val="24"/>
          <w:szCs w:val="24"/>
        </w:rPr>
        <w:t>similar standards to implement</w:t>
      </w:r>
      <w:r w:rsidR="00967632">
        <w:rPr>
          <w:sz w:val="24"/>
          <w:szCs w:val="24"/>
        </w:rPr>
        <w:t xml:space="preserve"> </w:t>
      </w:r>
      <w:r w:rsidR="00175564">
        <w:rPr>
          <w:sz w:val="24"/>
          <w:szCs w:val="24"/>
        </w:rPr>
        <w:t>the Federal standards, a copy of the report submitted to the state or local agency can be sent to the Administrator in lieu of the report required by the</w:t>
      </w:r>
      <w:r w:rsidR="006E2FF4">
        <w:rPr>
          <w:sz w:val="24"/>
          <w:szCs w:val="24"/>
        </w:rPr>
        <w:t xml:space="preserve"> Federal standards.</w:t>
      </w:r>
      <w:r w:rsidR="00FF3A10">
        <w:rPr>
          <w:rStyle w:val="FootnoteReference"/>
          <w:sz w:val="24"/>
          <w:szCs w:val="24"/>
        </w:rPr>
        <w:footnoteReference w:id="2"/>
      </w:r>
      <w:r w:rsidR="006E2FF4">
        <w:rPr>
          <w:sz w:val="24"/>
          <w:szCs w:val="24"/>
        </w:rPr>
        <w:t xml:space="preserve"> Therefore</w:t>
      </w:r>
      <w:r w:rsidR="00175564">
        <w:rPr>
          <w:sz w:val="24"/>
          <w:szCs w:val="24"/>
        </w:rPr>
        <w:t xml:space="preserve">, no duplication exists. </w:t>
      </w:r>
    </w:p>
    <w:p w:rsidRPr="00481723" w:rsidR="00B1351A" w:rsidP="0075527B" w:rsidRDefault="00270646" w14:paraId="1C963284" w14:textId="011322D9">
      <w:pPr>
        <w:keepNext/>
        <w:keepLines/>
        <w:widowControl/>
        <w:spacing w:line="360" w:lineRule="auto"/>
        <w:rPr>
          <w:i/>
          <w:iCs/>
          <w:sz w:val="24"/>
          <w:szCs w:val="24"/>
        </w:rPr>
      </w:pPr>
      <w:r>
        <w:rPr>
          <w:i/>
          <w:iCs/>
          <w:sz w:val="24"/>
          <w:szCs w:val="24"/>
        </w:rPr>
        <w:lastRenderedPageBreak/>
        <w:t>(b)</w:t>
      </w:r>
      <w:r w:rsidR="00DC4234">
        <w:rPr>
          <w:i/>
          <w:iCs/>
          <w:sz w:val="24"/>
          <w:szCs w:val="24"/>
        </w:rPr>
        <w:tab/>
      </w:r>
      <w:r w:rsidRPr="00481723" w:rsidR="00B1351A">
        <w:rPr>
          <w:i/>
          <w:iCs/>
          <w:sz w:val="24"/>
          <w:szCs w:val="24"/>
        </w:rPr>
        <w:t>Public Notice Required Prior to ICR Submission to OMB.</w:t>
      </w:r>
    </w:p>
    <w:p w:rsidRPr="00481723" w:rsidR="00D46160" w:rsidP="0075527B" w:rsidRDefault="00B1351A" w14:paraId="55CA5C10" w14:textId="25E3C012">
      <w:pPr>
        <w:widowControl/>
        <w:spacing w:line="360" w:lineRule="auto"/>
        <w:rPr>
          <w:sz w:val="24"/>
          <w:szCs w:val="24"/>
        </w:rPr>
      </w:pPr>
      <w:r w:rsidRPr="00481723">
        <w:rPr>
          <w:i/>
          <w:iCs/>
          <w:sz w:val="24"/>
          <w:szCs w:val="24"/>
        </w:rPr>
        <w:tab/>
      </w:r>
      <w:r w:rsidRPr="00D46160" w:rsidR="00D46160">
        <w:rPr>
          <w:sz w:val="24"/>
          <w:szCs w:val="24"/>
        </w:rPr>
        <w:t xml:space="preserve">The preamble for the </w:t>
      </w:r>
      <w:r w:rsidR="000947E7">
        <w:rPr>
          <w:sz w:val="24"/>
          <w:szCs w:val="24"/>
        </w:rPr>
        <w:t>proposed</w:t>
      </w:r>
      <w:r w:rsidRPr="00D46160" w:rsidR="00D46160">
        <w:rPr>
          <w:sz w:val="24"/>
          <w:szCs w:val="24"/>
        </w:rPr>
        <w:t xml:space="preserve"> amendments </w:t>
      </w:r>
      <w:r w:rsidR="000947E7">
        <w:rPr>
          <w:sz w:val="24"/>
          <w:szCs w:val="24"/>
        </w:rPr>
        <w:t xml:space="preserve">to the 2016 NSPS OOOOa </w:t>
      </w:r>
      <w:r w:rsidRPr="00D46160" w:rsidR="00D46160">
        <w:rPr>
          <w:sz w:val="24"/>
          <w:szCs w:val="24"/>
        </w:rPr>
        <w:t xml:space="preserve">provides public notice of this </w:t>
      </w:r>
      <w:r w:rsidR="000947E7">
        <w:rPr>
          <w:sz w:val="24"/>
          <w:szCs w:val="24"/>
        </w:rPr>
        <w:t>proposed</w:t>
      </w:r>
      <w:r w:rsidRPr="00D46160" w:rsidR="00D46160">
        <w:rPr>
          <w:sz w:val="24"/>
          <w:szCs w:val="24"/>
        </w:rPr>
        <w:t xml:space="preserve"> ICR. </w:t>
      </w:r>
      <w:r w:rsidR="000947E7">
        <w:rPr>
          <w:sz w:val="24"/>
          <w:szCs w:val="24"/>
        </w:rPr>
        <w:t xml:space="preserve">The </w:t>
      </w:r>
      <w:r w:rsidRPr="00D46160" w:rsidR="00D46160">
        <w:rPr>
          <w:sz w:val="24"/>
          <w:szCs w:val="24"/>
        </w:rPr>
        <w:t xml:space="preserve">EPA will consider comments when preparing the </w:t>
      </w:r>
      <w:r w:rsidR="000947E7">
        <w:rPr>
          <w:sz w:val="24"/>
          <w:szCs w:val="24"/>
        </w:rPr>
        <w:t>final</w:t>
      </w:r>
      <w:r w:rsidRPr="00D46160" w:rsidR="00D46160">
        <w:rPr>
          <w:sz w:val="24"/>
          <w:szCs w:val="24"/>
        </w:rPr>
        <w:t xml:space="preserve"> ICR. The preamble to the final rule will provide public notice on the revised ICR.</w:t>
      </w:r>
    </w:p>
    <w:p w:rsidR="00B1351A" w:rsidP="0075527B" w:rsidRDefault="00B1351A" w14:paraId="6FE8863E" w14:textId="77777777">
      <w:pPr>
        <w:widowControl/>
        <w:spacing w:line="360" w:lineRule="auto"/>
        <w:rPr>
          <w:i/>
          <w:iCs/>
          <w:sz w:val="24"/>
          <w:szCs w:val="24"/>
        </w:rPr>
      </w:pPr>
      <w:r w:rsidRPr="00481723">
        <w:rPr>
          <w:i/>
          <w:iCs/>
          <w:sz w:val="24"/>
          <w:szCs w:val="24"/>
        </w:rPr>
        <w:t>(c)</w:t>
      </w:r>
      <w:r w:rsidRPr="00481723">
        <w:rPr>
          <w:i/>
          <w:iCs/>
          <w:sz w:val="24"/>
          <w:szCs w:val="24"/>
        </w:rPr>
        <w:tab/>
        <w:t>Consultations.</w:t>
      </w:r>
    </w:p>
    <w:p w:rsidR="00516597" w:rsidP="0075527B" w:rsidRDefault="00911C8F" w14:paraId="4672FE92" w14:textId="66089073">
      <w:pPr>
        <w:widowControl/>
        <w:spacing w:line="360" w:lineRule="auto"/>
        <w:ind w:firstLine="720"/>
        <w:rPr>
          <w:sz w:val="24"/>
          <w:szCs w:val="24"/>
        </w:rPr>
      </w:pPr>
      <w:r w:rsidRPr="00911C8F">
        <w:rPr>
          <w:sz w:val="24"/>
          <w:szCs w:val="24"/>
        </w:rPr>
        <w:t xml:space="preserve">In developing </w:t>
      </w:r>
      <w:r w:rsidR="00C81471">
        <w:rPr>
          <w:sz w:val="24"/>
          <w:szCs w:val="24"/>
        </w:rPr>
        <w:t xml:space="preserve">the </w:t>
      </w:r>
      <w:r w:rsidR="00D6615A">
        <w:rPr>
          <w:sz w:val="24"/>
          <w:szCs w:val="24"/>
        </w:rPr>
        <w:t>proposed amendments to the 2016</w:t>
      </w:r>
      <w:r w:rsidR="00014C23">
        <w:rPr>
          <w:sz w:val="24"/>
          <w:szCs w:val="24"/>
        </w:rPr>
        <w:t xml:space="preserve"> </w:t>
      </w:r>
      <w:r w:rsidR="00C81471">
        <w:rPr>
          <w:sz w:val="24"/>
          <w:szCs w:val="24"/>
        </w:rPr>
        <w:t>NSPS OOOOa, the</w:t>
      </w:r>
      <w:r w:rsidRPr="00911C8F">
        <w:rPr>
          <w:sz w:val="24"/>
          <w:szCs w:val="24"/>
        </w:rPr>
        <w:t xml:space="preserve"> </w:t>
      </w:r>
      <w:r w:rsidR="007F789C">
        <w:rPr>
          <w:sz w:val="24"/>
          <w:szCs w:val="24"/>
        </w:rPr>
        <w:t>EPA</w:t>
      </w:r>
      <w:r w:rsidRPr="00911C8F">
        <w:rPr>
          <w:sz w:val="24"/>
          <w:szCs w:val="24"/>
        </w:rPr>
        <w:t xml:space="preserve"> performed a comprehensive review of existing</w:t>
      </w:r>
      <w:r>
        <w:rPr>
          <w:sz w:val="24"/>
          <w:szCs w:val="24"/>
        </w:rPr>
        <w:t xml:space="preserve"> state rules and industry standards</w:t>
      </w:r>
      <w:r w:rsidRPr="00911C8F">
        <w:rPr>
          <w:sz w:val="24"/>
          <w:szCs w:val="24"/>
        </w:rPr>
        <w:t xml:space="preserve">, </w:t>
      </w:r>
      <w:r w:rsidR="003D39B0">
        <w:rPr>
          <w:sz w:val="24"/>
          <w:szCs w:val="24"/>
        </w:rPr>
        <w:t>consulted with</w:t>
      </w:r>
      <w:r w:rsidRPr="003D39B0" w:rsidR="003D39B0">
        <w:rPr>
          <w:sz w:val="24"/>
          <w:szCs w:val="24"/>
        </w:rPr>
        <w:t xml:space="preserve"> individual companies</w:t>
      </w:r>
      <w:r w:rsidR="001049BD">
        <w:rPr>
          <w:sz w:val="24"/>
          <w:szCs w:val="24"/>
        </w:rPr>
        <w:t xml:space="preserve"> and trade organizations</w:t>
      </w:r>
      <w:r w:rsidRPr="003D39B0" w:rsidR="003D39B0">
        <w:rPr>
          <w:sz w:val="24"/>
          <w:szCs w:val="24"/>
        </w:rPr>
        <w:t>, state agencies, and environmental groups</w:t>
      </w:r>
      <w:r w:rsidR="001049BD">
        <w:rPr>
          <w:sz w:val="24"/>
          <w:szCs w:val="24"/>
        </w:rPr>
        <w:t xml:space="preserve">, and consider public comments from </w:t>
      </w:r>
      <w:r w:rsidR="00962F8D">
        <w:rPr>
          <w:sz w:val="24"/>
          <w:szCs w:val="24"/>
        </w:rPr>
        <w:t>a variety of interests</w:t>
      </w:r>
      <w:r w:rsidR="00A37D95">
        <w:rPr>
          <w:sz w:val="24"/>
          <w:szCs w:val="24"/>
        </w:rPr>
        <w:t>.</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r w:rsidRPr="0073014D" w:rsidR="0073014D">
        <w:rPr>
          <w:sz w:val="24"/>
          <w:szCs w:val="24"/>
        </w:rPr>
        <w:t xml:space="preserve"> </w:t>
      </w:r>
    </w:p>
    <w:p w:rsidR="00907CBA" w:rsidP="00007AD6" w:rsidRDefault="00B1351A" w14:paraId="449CFF3B" w14:textId="77777777">
      <w:pPr>
        <w:keepNext/>
        <w:widowControl/>
        <w:spacing w:line="360" w:lineRule="auto"/>
        <w:rPr>
          <w:i/>
          <w:iCs/>
          <w:sz w:val="24"/>
          <w:szCs w:val="24"/>
        </w:rPr>
      </w:pPr>
      <w:r>
        <w:rPr>
          <w:i/>
          <w:iCs/>
          <w:sz w:val="24"/>
          <w:szCs w:val="24"/>
        </w:rPr>
        <w:t>(d)</w:t>
      </w:r>
      <w:r>
        <w:rPr>
          <w:i/>
          <w:iCs/>
          <w:sz w:val="24"/>
          <w:szCs w:val="24"/>
        </w:rPr>
        <w:tab/>
        <w:t>Effects of Less Frequent Collection.</w:t>
      </w:r>
    </w:p>
    <w:p w:rsidR="00E87308" w:rsidP="00007AD6" w:rsidRDefault="00E87308" w14:paraId="55F84C41" w14:textId="7CFA3FAA">
      <w:pPr>
        <w:keepNext/>
        <w:widowControl/>
        <w:spacing w:line="360" w:lineRule="auto"/>
        <w:ind w:firstLine="720"/>
        <w:rPr>
          <w:sz w:val="24"/>
          <w:szCs w:val="24"/>
        </w:rPr>
      </w:pPr>
      <w:r>
        <w:rPr>
          <w:sz w:val="24"/>
          <w:szCs w:val="24"/>
        </w:rPr>
        <w:t xml:space="preserve">Respondents must monitor all specified criteria at each affected facility and maintain these records for </w:t>
      </w:r>
      <w:r w:rsidR="00736988">
        <w:rPr>
          <w:sz w:val="24"/>
          <w:szCs w:val="24"/>
        </w:rPr>
        <w:t>2</w:t>
      </w:r>
      <w:r w:rsidRPr="000865F3" w:rsidR="006313AA">
        <w:rPr>
          <w:sz w:val="24"/>
          <w:szCs w:val="24"/>
        </w:rPr>
        <w:t xml:space="preserve"> </w:t>
      </w:r>
      <w:r w:rsidRPr="000865F3" w:rsidR="00FE2FF0">
        <w:rPr>
          <w:sz w:val="24"/>
          <w:szCs w:val="24"/>
        </w:rPr>
        <w:t>years</w:t>
      </w:r>
      <w:r w:rsidR="002F5537">
        <w:rPr>
          <w:sz w:val="24"/>
          <w:szCs w:val="24"/>
        </w:rPr>
        <w:t>, as specified under 40 CFR 60.7</w:t>
      </w:r>
      <w:r w:rsidR="00FE2FF0">
        <w:rPr>
          <w:sz w:val="24"/>
          <w:szCs w:val="24"/>
        </w:rPr>
        <w:t>.</w:t>
      </w:r>
      <w:r>
        <w:rPr>
          <w:sz w:val="24"/>
          <w:szCs w:val="24"/>
        </w:rPr>
        <w:t xml:space="preserve"> </w:t>
      </w:r>
      <w:r w:rsidRPr="00E87308">
        <w:rPr>
          <w:sz w:val="24"/>
          <w:szCs w:val="24"/>
        </w:rPr>
        <w:t xml:space="preserve">The reporting frequency to </w:t>
      </w:r>
      <w:r w:rsidR="00F91139">
        <w:rPr>
          <w:sz w:val="24"/>
          <w:szCs w:val="24"/>
        </w:rPr>
        <w:t xml:space="preserve">the </w:t>
      </w:r>
      <w:r w:rsidR="007F789C">
        <w:rPr>
          <w:sz w:val="24"/>
          <w:szCs w:val="24"/>
        </w:rPr>
        <w:t>EPA</w:t>
      </w:r>
      <w:r w:rsidRPr="00E87308">
        <w:rPr>
          <w:sz w:val="24"/>
          <w:szCs w:val="24"/>
        </w:rPr>
        <w:t xml:space="preserve"> has been </w:t>
      </w:r>
      <w:r w:rsidR="005B5A7E">
        <w:rPr>
          <w:sz w:val="24"/>
          <w:szCs w:val="24"/>
        </w:rPr>
        <w:t>established/amended</w:t>
      </w:r>
      <w:r w:rsidR="00530E4D">
        <w:rPr>
          <w:sz w:val="24"/>
          <w:szCs w:val="24"/>
        </w:rPr>
        <w:t xml:space="preserve"> </w:t>
      </w:r>
      <w:r w:rsidRPr="00E87308">
        <w:rPr>
          <w:sz w:val="24"/>
          <w:szCs w:val="24"/>
        </w:rPr>
        <w:t>to minimize the burden on owners and ope</w:t>
      </w:r>
      <w:r w:rsidR="00516597">
        <w:rPr>
          <w:sz w:val="24"/>
          <w:szCs w:val="24"/>
        </w:rPr>
        <w:t>rators of affected facilities</w:t>
      </w:r>
      <w:r w:rsidR="005B5A7E">
        <w:rPr>
          <w:sz w:val="24"/>
          <w:szCs w:val="24"/>
        </w:rPr>
        <w:t xml:space="preserve">. If the information required by </w:t>
      </w:r>
      <w:r w:rsidR="00E14F01">
        <w:rPr>
          <w:sz w:val="24"/>
          <w:szCs w:val="24"/>
        </w:rPr>
        <w:t>NSPS OOOOa</w:t>
      </w:r>
      <w:r w:rsidR="005B5A7E">
        <w:rPr>
          <w:sz w:val="24"/>
          <w:szCs w:val="24"/>
        </w:rPr>
        <w:t xml:space="preserve"> were collected less frequently, the likelihood of detecting violations would be reduced.</w:t>
      </w:r>
    </w:p>
    <w:p w:rsidRPr="00E87308" w:rsidR="00E87308" w:rsidP="0075527B" w:rsidRDefault="00B1351A" w14:paraId="319240F1" w14:textId="77777777">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Pr="00F06160" w:rsidR="00F06160" w:rsidP="0075527B" w:rsidRDefault="00E87308" w14:paraId="52D22388" w14:textId="5F58A30D">
      <w:pPr>
        <w:keepNext/>
        <w:keepLines/>
        <w:widowControl/>
        <w:spacing w:line="360" w:lineRule="auto"/>
        <w:ind w:firstLine="720"/>
        <w:rPr>
          <w:sz w:val="24"/>
          <w:szCs w:val="24"/>
        </w:rPr>
      </w:pPr>
      <w:r w:rsidRPr="00E87308">
        <w:rPr>
          <w:sz w:val="24"/>
          <w:szCs w:val="24"/>
        </w:rPr>
        <w:t xml:space="preserve">This collection of information is consistent with all OMB guidelines </w:t>
      </w:r>
      <w:r w:rsidRPr="00F06160" w:rsidR="00F06160">
        <w:rPr>
          <w:sz w:val="24"/>
          <w:szCs w:val="24"/>
        </w:rPr>
        <w:t>established by OMB at 5 CFR part 1320, section 1320.5.</w:t>
      </w:r>
    </w:p>
    <w:p w:rsidR="00B1351A" w:rsidP="0075527B" w:rsidRDefault="00B1351A" w14:paraId="62AA0B45" w14:textId="74192895">
      <w:pPr>
        <w:widowControl/>
        <w:spacing w:line="360" w:lineRule="auto"/>
        <w:rPr>
          <w:sz w:val="24"/>
          <w:szCs w:val="24"/>
        </w:rPr>
      </w:pPr>
      <w:r>
        <w:rPr>
          <w:i/>
          <w:iCs/>
          <w:sz w:val="24"/>
          <w:szCs w:val="24"/>
        </w:rPr>
        <w:t>(f)</w:t>
      </w:r>
      <w:r>
        <w:rPr>
          <w:i/>
          <w:iCs/>
          <w:sz w:val="24"/>
          <w:szCs w:val="24"/>
        </w:rPr>
        <w:tab/>
        <w:t>Confidentiality.</w:t>
      </w:r>
    </w:p>
    <w:p w:rsidR="00B1351A" w:rsidP="0075527B" w:rsidRDefault="00B1351A" w14:paraId="307F415D" w14:textId="1D26F859">
      <w:pPr>
        <w:widowControl/>
        <w:spacing w:line="360" w:lineRule="auto"/>
        <w:rPr>
          <w:i/>
          <w:iCs/>
          <w:sz w:val="24"/>
          <w:szCs w:val="24"/>
        </w:rPr>
      </w:pPr>
      <w:r>
        <w:rPr>
          <w:sz w:val="24"/>
          <w:szCs w:val="24"/>
        </w:rPr>
        <w:tab/>
        <w:t xml:space="preserve">All information submitted to the Agency for which a claim of confidentiality is made will be safeguarded according to </w:t>
      </w:r>
      <w:r w:rsidR="008F1FCA">
        <w:rPr>
          <w:sz w:val="24"/>
          <w:szCs w:val="24"/>
        </w:rPr>
        <w:t xml:space="preserve">the </w:t>
      </w:r>
      <w:r w:rsidR="007F789C">
        <w:rPr>
          <w:sz w:val="24"/>
          <w:szCs w:val="24"/>
        </w:rPr>
        <w:t>EPA</w:t>
      </w:r>
      <w:r w:rsidR="00FA5EAA">
        <w:rPr>
          <w:sz w:val="24"/>
          <w:szCs w:val="24"/>
        </w:rPr>
        <w:t xml:space="preserve"> regulations set forth in 40 CFR 2.201 et seq., Chapter 1, Part 2, Subpart B-Confidentiality of Business Information.</w:t>
      </w:r>
      <w:r>
        <w:rPr>
          <w:sz w:val="24"/>
          <w:szCs w:val="24"/>
        </w:rPr>
        <w:t xml:space="preserve"> </w:t>
      </w:r>
    </w:p>
    <w:p w:rsidR="00B1351A" w:rsidP="0075527B" w:rsidRDefault="00270646" w14:paraId="1CFB6AD3" w14:textId="31650BA3">
      <w:pPr>
        <w:keepNext/>
        <w:widowControl/>
        <w:spacing w:line="360" w:lineRule="auto"/>
        <w:rPr>
          <w:sz w:val="24"/>
          <w:szCs w:val="24"/>
        </w:rPr>
      </w:pPr>
      <w:r>
        <w:rPr>
          <w:i/>
          <w:iCs/>
          <w:sz w:val="24"/>
          <w:szCs w:val="24"/>
        </w:rPr>
        <w:lastRenderedPageBreak/>
        <w:t>(g)</w:t>
      </w:r>
      <w:r w:rsidR="00DC4234">
        <w:rPr>
          <w:i/>
          <w:iCs/>
          <w:sz w:val="24"/>
          <w:szCs w:val="24"/>
        </w:rPr>
        <w:tab/>
      </w:r>
      <w:r w:rsidR="00B1351A">
        <w:rPr>
          <w:i/>
          <w:iCs/>
          <w:sz w:val="24"/>
          <w:szCs w:val="24"/>
        </w:rPr>
        <w:t>Sensitive Questions</w:t>
      </w:r>
      <w:r w:rsidR="00275D51">
        <w:rPr>
          <w:i/>
          <w:iCs/>
          <w:sz w:val="24"/>
          <w:szCs w:val="24"/>
        </w:rPr>
        <w:t xml:space="preserve">. </w:t>
      </w:r>
    </w:p>
    <w:p w:rsidRPr="00626A54" w:rsidR="004107C1" w:rsidP="0075527B" w:rsidRDefault="00B1351A" w14:paraId="743DD28D" w14:textId="77777777">
      <w:pPr>
        <w:keepNext/>
        <w:widowControl/>
        <w:spacing w:line="360" w:lineRule="auto"/>
        <w:rPr>
          <w:sz w:val="24"/>
          <w:szCs w:val="24"/>
        </w:rPr>
      </w:pPr>
      <w:r>
        <w:rPr>
          <w:sz w:val="24"/>
          <w:szCs w:val="24"/>
        </w:rPr>
        <w:tab/>
        <w:t>This section is not applicable because this ICR does not involve matters of a sensitive nature.</w:t>
      </w:r>
    </w:p>
    <w:p w:rsidR="00B1351A" w:rsidP="00551559" w:rsidRDefault="00B1351A" w14:paraId="02C36A61" w14:textId="77777777">
      <w:pPr>
        <w:keepNext/>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1351A" w:rsidP="00551559" w:rsidRDefault="00B1351A" w14:paraId="1DD4C828" w14:textId="77777777">
      <w:pPr>
        <w:keepNext/>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rsidR="00F42ECB" w:rsidP="007C5378" w:rsidRDefault="00E52FAC" w14:paraId="205FF36D" w14:textId="43582845">
      <w:pPr>
        <w:spacing w:line="360" w:lineRule="auto"/>
        <w:ind w:firstLine="720"/>
        <w:rPr>
          <w:sz w:val="24"/>
          <w:szCs w:val="24"/>
        </w:rPr>
      </w:pPr>
      <w:r w:rsidRPr="00E52FAC">
        <w:rPr>
          <w:sz w:val="24"/>
          <w:szCs w:val="24"/>
        </w:rPr>
        <w:t>Potential respondents under NSPS OOOOa are owners or operators of new, modified or reconstructed oil and natural gas affected facilities as defined under the rule. The North American Industry Classification System (NAICS) codes for the oil and gas industry include: 211120 (Crude</w:t>
      </w:r>
      <w:r w:rsidR="007C5378">
        <w:rPr>
          <w:sz w:val="24"/>
          <w:szCs w:val="24"/>
        </w:rPr>
        <w:t xml:space="preserve"> </w:t>
      </w:r>
      <w:r w:rsidRPr="00E52FAC">
        <w:rPr>
          <w:sz w:val="24"/>
          <w:szCs w:val="24"/>
        </w:rPr>
        <w:t xml:space="preserve">Petroleum Extraction); 211130 (Natural Gas Extraction); 221210 (Natural Gas Distribution); 486110 (Pipeline Distribution of Crude Oil); </w:t>
      </w:r>
      <w:r w:rsidR="007C5378">
        <w:rPr>
          <w:sz w:val="24"/>
          <w:szCs w:val="24"/>
        </w:rPr>
        <w:t xml:space="preserve">and </w:t>
      </w:r>
      <w:r w:rsidRPr="00E52FAC">
        <w:rPr>
          <w:sz w:val="24"/>
          <w:szCs w:val="24"/>
        </w:rPr>
        <w:t xml:space="preserve">486210 (Pipeline Transportation of Natural Gas).  </w:t>
      </w:r>
    </w:p>
    <w:p w:rsidR="00B1351A" w:rsidP="00162DA8" w:rsidRDefault="00270646" w14:paraId="76DC9AC8" w14:textId="48297925">
      <w:pPr>
        <w:keepNext/>
        <w:widowControl/>
        <w:spacing w:line="360" w:lineRule="auto"/>
        <w:rPr>
          <w:sz w:val="24"/>
          <w:szCs w:val="24"/>
        </w:rPr>
      </w:pPr>
      <w:r>
        <w:rPr>
          <w:i/>
          <w:iCs/>
          <w:sz w:val="24"/>
          <w:szCs w:val="24"/>
        </w:rPr>
        <w:lastRenderedPageBreak/>
        <w:t>(b)</w:t>
      </w:r>
      <w:r>
        <w:rPr>
          <w:i/>
          <w:iCs/>
          <w:sz w:val="24"/>
          <w:szCs w:val="24"/>
        </w:rPr>
        <w:tab/>
      </w:r>
      <w:r w:rsidR="00B1351A">
        <w:rPr>
          <w:i/>
          <w:iCs/>
          <w:sz w:val="24"/>
          <w:szCs w:val="24"/>
        </w:rPr>
        <w:t>Information Requested.</w:t>
      </w:r>
    </w:p>
    <w:p w:rsidR="00B1351A" w:rsidP="00162DA8" w:rsidRDefault="00B1351A" w14:paraId="082ADF06" w14:textId="3D5B1B13">
      <w:pPr>
        <w:keepNext/>
        <w:widowControl/>
        <w:spacing w:line="360" w:lineRule="auto"/>
        <w:rPr>
          <w:i/>
          <w:iCs/>
          <w:sz w:val="24"/>
          <w:szCs w:val="24"/>
        </w:rPr>
      </w:pPr>
      <w:r w:rsidRPr="006761F0">
        <w:rPr>
          <w:i/>
          <w:iCs/>
          <w:sz w:val="24"/>
          <w:szCs w:val="24"/>
        </w:rPr>
        <w:t>(</w:t>
      </w:r>
      <w:proofErr w:type="spellStart"/>
      <w:r w:rsidRPr="006761F0">
        <w:rPr>
          <w:i/>
          <w:iCs/>
          <w:sz w:val="24"/>
          <w:szCs w:val="24"/>
        </w:rPr>
        <w:t>i</w:t>
      </w:r>
      <w:proofErr w:type="spellEnd"/>
      <w:r w:rsidRPr="006761F0">
        <w:rPr>
          <w:i/>
          <w:iCs/>
          <w:sz w:val="24"/>
          <w:szCs w:val="24"/>
        </w:rPr>
        <w:t>)</w:t>
      </w:r>
      <w:r w:rsidR="00270646">
        <w:rPr>
          <w:i/>
          <w:iCs/>
          <w:sz w:val="24"/>
          <w:szCs w:val="24"/>
        </w:rPr>
        <w:tab/>
      </w:r>
      <w:r w:rsidRPr="006761F0">
        <w:rPr>
          <w:i/>
          <w:iCs/>
          <w:sz w:val="24"/>
          <w:szCs w:val="24"/>
        </w:rPr>
        <w:t>Data Items, Including Recordkeeping Requirements</w:t>
      </w:r>
    </w:p>
    <w:tbl>
      <w:tblPr>
        <w:tblW w:w="5688" w:type="pct"/>
        <w:tblInd w:w="-635" w:type="dxa"/>
        <w:tblLook w:val="04A0" w:firstRow="1" w:lastRow="0" w:firstColumn="1" w:lastColumn="0" w:noHBand="0" w:noVBand="1"/>
      </w:tblPr>
      <w:tblGrid>
        <w:gridCol w:w="7403"/>
        <w:gridCol w:w="3397"/>
      </w:tblGrid>
      <w:tr w:rsidRPr="00DA551A" w:rsidR="006377AE" w:rsidTr="00391501" w14:paraId="78E5A05A" w14:textId="77777777">
        <w:trPr>
          <w:trHeight w:val="315"/>
        </w:trPr>
        <w:tc>
          <w:tcPr>
            <w:tcW w:w="1080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E742B7" w:rsidR="006377AE" w:rsidP="006377AE" w:rsidRDefault="006377AE" w14:paraId="63F99568" w14:textId="43B0C0E9">
            <w:pPr>
              <w:keepNext/>
              <w:widowControl/>
              <w:autoSpaceDE/>
              <w:autoSpaceDN/>
              <w:adjustRightInd/>
              <w:jc w:val="center"/>
              <w:rPr>
                <w:b/>
                <w:bCs/>
                <w:sz w:val="16"/>
                <w:szCs w:val="16"/>
              </w:rPr>
            </w:pPr>
            <w:r w:rsidRPr="00E742B7">
              <w:rPr>
                <w:b/>
                <w:bCs/>
                <w:sz w:val="16"/>
                <w:szCs w:val="16"/>
              </w:rPr>
              <w:t>Recordkeeping</w:t>
            </w:r>
          </w:p>
        </w:tc>
      </w:tr>
      <w:tr w:rsidRPr="00DA551A" w:rsidR="008461F2" w:rsidTr="00E4510C" w14:paraId="674C1149"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hideMark/>
          </w:tcPr>
          <w:p w:rsidRPr="00E742B7" w:rsidR="008461F2" w:rsidP="00BF34EF" w:rsidRDefault="008461F2" w14:paraId="1C459A47" w14:textId="77777777">
            <w:pPr>
              <w:keepNext/>
              <w:widowControl/>
              <w:autoSpaceDE/>
              <w:autoSpaceDN/>
              <w:adjustRightInd/>
              <w:rPr>
                <w:sz w:val="16"/>
                <w:szCs w:val="16"/>
              </w:rPr>
            </w:pPr>
            <w:r>
              <w:rPr>
                <w:sz w:val="16"/>
                <w:szCs w:val="16"/>
              </w:rPr>
              <w:t>For well affected facilities, record location and well identification information. M</w:t>
            </w:r>
            <w:r w:rsidRPr="00E742B7">
              <w:rPr>
                <w:sz w:val="16"/>
                <w:szCs w:val="16"/>
              </w:rPr>
              <w:t xml:space="preserve">aintain </w:t>
            </w:r>
            <w:r>
              <w:rPr>
                <w:sz w:val="16"/>
                <w:szCs w:val="16"/>
              </w:rPr>
              <w:t xml:space="preserve">completion log </w:t>
            </w:r>
            <w:r w:rsidRPr="00E742B7">
              <w:rPr>
                <w:sz w:val="16"/>
                <w:szCs w:val="16"/>
              </w:rPr>
              <w:t>records f</w:t>
            </w:r>
            <w:r>
              <w:rPr>
                <w:sz w:val="16"/>
                <w:szCs w:val="16"/>
              </w:rPr>
              <w:t xml:space="preserve">or </w:t>
            </w:r>
            <w:r w:rsidRPr="00E742B7">
              <w:rPr>
                <w:sz w:val="16"/>
                <w:szCs w:val="16"/>
              </w:rPr>
              <w:t>each completion operation</w:t>
            </w:r>
            <w:r>
              <w:rPr>
                <w:sz w:val="16"/>
                <w:szCs w:val="16"/>
              </w:rPr>
              <w:t>. For wells exempt from one or more requirements, maintain records to support exemption.</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353C59C1" w14:textId="77777777">
            <w:pPr>
              <w:keepNext/>
              <w:widowControl/>
              <w:autoSpaceDE/>
              <w:autoSpaceDN/>
              <w:adjustRightInd/>
              <w:rPr>
                <w:sz w:val="16"/>
                <w:szCs w:val="16"/>
              </w:rPr>
            </w:pPr>
            <w:r>
              <w:rPr>
                <w:sz w:val="16"/>
                <w:szCs w:val="16"/>
              </w:rPr>
              <w:t xml:space="preserve">60.5375a(b); 60.5410a(a); </w:t>
            </w:r>
            <w:r w:rsidRPr="00E742B7">
              <w:rPr>
                <w:sz w:val="16"/>
                <w:szCs w:val="16"/>
              </w:rPr>
              <w:t>60.5415a</w:t>
            </w:r>
            <w:r>
              <w:rPr>
                <w:sz w:val="16"/>
                <w:szCs w:val="16"/>
              </w:rPr>
              <w:t xml:space="preserve">(a); </w:t>
            </w:r>
            <w:r w:rsidRPr="00E742B7">
              <w:rPr>
                <w:sz w:val="16"/>
                <w:szCs w:val="16"/>
              </w:rPr>
              <w:t>60.5420a(c)(1)</w:t>
            </w:r>
          </w:p>
        </w:tc>
      </w:tr>
      <w:tr w:rsidRPr="00DA551A" w:rsidR="008461F2" w:rsidTr="00F70213" w14:paraId="4D5FF835" w14:textId="77777777">
        <w:trPr>
          <w:trHeight w:val="314"/>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6C4004FE" w14:textId="2368296C">
            <w:pPr>
              <w:keepNext/>
              <w:widowControl/>
              <w:autoSpaceDE/>
              <w:autoSpaceDN/>
              <w:adjustRightInd/>
              <w:rPr>
                <w:sz w:val="16"/>
                <w:szCs w:val="16"/>
              </w:rPr>
            </w:pPr>
            <w:r>
              <w:rPr>
                <w:sz w:val="16"/>
                <w:szCs w:val="16"/>
              </w:rPr>
              <w:t xml:space="preserve">For well affected facilities with </w:t>
            </w:r>
            <w:r w:rsidR="001F0017">
              <w:rPr>
                <w:sz w:val="16"/>
                <w:szCs w:val="16"/>
              </w:rPr>
              <w:t>≤</w:t>
            </w:r>
            <w:r>
              <w:rPr>
                <w:sz w:val="16"/>
                <w:szCs w:val="16"/>
              </w:rPr>
              <w:t>300 scf of gas per stock tank barrel of oil produced, keep records to demonstrate exemption.</w:t>
            </w:r>
          </w:p>
        </w:tc>
        <w:tc>
          <w:tcPr>
            <w:tcW w:w="3397"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6F0C7E8E" w14:textId="77777777">
            <w:pPr>
              <w:keepNext/>
              <w:widowControl/>
              <w:autoSpaceDE/>
              <w:autoSpaceDN/>
              <w:adjustRightInd/>
              <w:rPr>
                <w:sz w:val="16"/>
                <w:szCs w:val="16"/>
              </w:rPr>
            </w:pPr>
            <w:r>
              <w:rPr>
                <w:sz w:val="16"/>
                <w:szCs w:val="16"/>
              </w:rPr>
              <w:t>60.5375a(g)(2); 60.5420a(c)(1)(vi).</w:t>
            </w:r>
          </w:p>
        </w:tc>
      </w:tr>
      <w:tr w:rsidRPr="00DA551A" w:rsidR="008461F2" w:rsidTr="00E4510C" w14:paraId="71BD8030"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75C1F55F" w14:textId="613ABD8F">
            <w:pPr>
              <w:keepNext/>
              <w:widowControl/>
              <w:autoSpaceDE/>
              <w:autoSpaceDN/>
              <w:adjustRightInd/>
              <w:rPr>
                <w:sz w:val="16"/>
                <w:szCs w:val="16"/>
              </w:rPr>
            </w:pPr>
            <w:r>
              <w:rPr>
                <w:sz w:val="16"/>
                <w:szCs w:val="16"/>
              </w:rPr>
              <w:t xml:space="preserve">For centrifugal compressor affected facilities, maintain records related to equipment, purchase, location, and control. Develop site-specific monitoring plan. Maintain compliance records for control device including continuous parameter monitoring results, visible emission observation results, inspection results, corrective actions, and maintenance. Maintain certification of </w:t>
            </w:r>
            <w:r w:rsidR="005B3543">
              <w:rPr>
                <w:sz w:val="16"/>
                <w:szCs w:val="16"/>
              </w:rPr>
              <w:t>closed vent system (</w:t>
            </w:r>
            <w:r w:rsidR="002A23A6">
              <w:rPr>
                <w:sz w:val="16"/>
                <w:szCs w:val="16"/>
              </w:rPr>
              <w:t>CVS</w:t>
            </w:r>
            <w:r w:rsidR="005B3543">
              <w:rPr>
                <w:sz w:val="16"/>
                <w:szCs w:val="16"/>
              </w:rPr>
              <w:t>)</w:t>
            </w:r>
            <w:r w:rsidR="002A23A6">
              <w:rPr>
                <w:sz w:val="16"/>
                <w:szCs w:val="16"/>
              </w:rPr>
              <w:t xml:space="preserve"> </w:t>
            </w:r>
            <w:r>
              <w:rPr>
                <w:sz w:val="16"/>
                <w:szCs w:val="16"/>
              </w:rPr>
              <w:t xml:space="preserve">capacity; record results of </w:t>
            </w:r>
            <w:r w:rsidR="002A23A6">
              <w:rPr>
                <w:sz w:val="16"/>
                <w:szCs w:val="16"/>
              </w:rPr>
              <w:t xml:space="preserve">CVS </w:t>
            </w:r>
            <w:r>
              <w:rPr>
                <w:sz w:val="16"/>
                <w:szCs w:val="16"/>
              </w:rPr>
              <w:t>and by-pass inspections, maintenance, and corrective actions. Maintain records for no detectable emissions requirement.</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2CEF41D6" w14:textId="77777777">
            <w:pPr>
              <w:keepNext/>
              <w:widowControl/>
              <w:autoSpaceDE/>
              <w:autoSpaceDN/>
              <w:adjustRightInd/>
              <w:rPr>
                <w:sz w:val="16"/>
                <w:szCs w:val="16"/>
              </w:rPr>
            </w:pPr>
            <w:r>
              <w:rPr>
                <w:sz w:val="16"/>
                <w:szCs w:val="16"/>
              </w:rPr>
              <w:t>60.5380a(d); 60.5410a(b)(8); 60.5411a(a)(3)(</w:t>
            </w:r>
            <w:proofErr w:type="spellStart"/>
            <w:r>
              <w:rPr>
                <w:sz w:val="16"/>
                <w:szCs w:val="16"/>
              </w:rPr>
              <w:t>i</w:t>
            </w:r>
            <w:proofErr w:type="spellEnd"/>
            <w:r>
              <w:rPr>
                <w:sz w:val="16"/>
                <w:szCs w:val="16"/>
              </w:rPr>
              <w:t>)(A); 60.5411a(d); 60.5412a(c) and (d); 60.5413a(d) and (e); 60.5415a(b); 60.5416a(a) and (b); 60.5417a(c), (e), and (f); 60.5420a(c)(2), (6)-(9), and (17).</w:t>
            </w:r>
          </w:p>
        </w:tc>
      </w:tr>
      <w:tr w:rsidRPr="00DA551A" w:rsidR="008461F2" w:rsidTr="00F70213" w14:paraId="3F06F78B" w14:textId="77777777">
        <w:trPr>
          <w:trHeight w:val="539"/>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0DEB9C4A" w14:textId="77777777">
            <w:pPr>
              <w:keepNext/>
              <w:widowControl/>
              <w:autoSpaceDE/>
              <w:autoSpaceDN/>
              <w:adjustRightInd/>
              <w:rPr>
                <w:sz w:val="16"/>
                <w:szCs w:val="16"/>
              </w:rPr>
            </w:pPr>
            <w:r>
              <w:rPr>
                <w:sz w:val="16"/>
                <w:szCs w:val="16"/>
              </w:rPr>
              <w:t>For reciprocating compressor affected facilities, maintenance records of rod packing replacement and operating data.</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22D77743" w14:textId="77777777">
            <w:pPr>
              <w:keepNext/>
              <w:widowControl/>
              <w:autoSpaceDE/>
              <w:autoSpaceDN/>
              <w:adjustRightInd/>
              <w:rPr>
                <w:sz w:val="16"/>
                <w:szCs w:val="16"/>
              </w:rPr>
            </w:pPr>
            <w:r>
              <w:rPr>
                <w:sz w:val="16"/>
                <w:szCs w:val="16"/>
              </w:rPr>
              <w:t>60.5385a(d); 60.5410a(c)(4); 60.5415a(c); 60.5420a(c)(3)</w:t>
            </w:r>
          </w:p>
        </w:tc>
      </w:tr>
      <w:tr w:rsidRPr="00DA551A" w:rsidR="008461F2" w:rsidTr="00E4510C" w14:paraId="2BE50C3D"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09535DCD" w14:textId="6D193B35">
            <w:pPr>
              <w:keepNext/>
              <w:widowControl/>
              <w:autoSpaceDE/>
              <w:autoSpaceDN/>
              <w:adjustRightInd/>
              <w:rPr>
                <w:sz w:val="16"/>
                <w:szCs w:val="16"/>
              </w:rPr>
            </w:pPr>
            <w:r>
              <w:rPr>
                <w:sz w:val="16"/>
                <w:szCs w:val="16"/>
              </w:rPr>
              <w:t xml:space="preserve">For reciprocating compressor affected facilities that collect emissions through a </w:t>
            </w:r>
            <w:r w:rsidR="002A23A6">
              <w:rPr>
                <w:sz w:val="16"/>
                <w:szCs w:val="16"/>
              </w:rPr>
              <w:t>CVS</w:t>
            </w:r>
            <w:r>
              <w:rPr>
                <w:sz w:val="16"/>
                <w:szCs w:val="16"/>
              </w:rPr>
              <w:t xml:space="preserve"> to a process, maintain certification of </w:t>
            </w:r>
            <w:r w:rsidR="002A23A6">
              <w:rPr>
                <w:sz w:val="16"/>
                <w:szCs w:val="16"/>
              </w:rPr>
              <w:t>CVS</w:t>
            </w:r>
            <w:r>
              <w:rPr>
                <w:sz w:val="16"/>
                <w:szCs w:val="16"/>
              </w:rPr>
              <w:t xml:space="preserve"> capacity; record results of </w:t>
            </w:r>
            <w:r w:rsidR="002A23A6">
              <w:rPr>
                <w:sz w:val="16"/>
                <w:szCs w:val="16"/>
              </w:rPr>
              <w:t>CVS</w:t>
            </w:r>
            <w:r>
              <w:rPr>
                <w:sz w:val="16"/>
                <w:szCs w:val="16"/>
              </w:rPr>
              <w:t xml:space="preserve"> and by-pass inspections, maintenance, and corrective actions. Maintain records for no detectable emissions requirement.</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5E422DD4" w14:textId="77777777">
            <w:pPr>
              <w:keepNext/>
              <w:widowControl/>
              <w:autoSpaceDE/>
              <w:autoSpaceDN/>
              <w:adjustRightInd/>
              <w:rPr>
                <w:sz w:val="16"/>
                <w:szCs w:val="16"/>
              </w:rPr>
            </w:pPr>
            <w:r>
              <w:rPr>
                <w:sz w:val="16"/>
                <w:szCs w:val="16"/>
              </w:rPr>
              <w:t>60.5385a(d); 60.5410a(c)(4); 60.5411a(a)(3)(</w:t>
            </w:r>
            <w:proofErr w:type="spellStart"/>
            <w:r>
              <w:rPr>
                <w:sz w:val="16"/>
                <w:szCs w:val="16"/>
              </w:rPr>
              <w:t>i</w:t>
            </w:r>
            <w:proofErr w:type="spellEnd"/>
            <w:r>
              <w:rPr>
                <w:sz w:val="16"/>
                <w:szCs w:val="16"/>
              </w:rPr>
              <w:t>)(A); 60.5411a(d); 60.5416a(a) and (b)(13); 60.5420a(c)(3), (6)-(9), and (17).</w:t>
            </w:r>
          </w:p>
        </w:tc>
      </w:tr>
      <w:tr w:rsidRPr="00DA551A" w:rsidR="008461F2" w:rsidTr="00E4510C" w14:paraId="21DF6208"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0D133B0F" w14:textId="33A0FA30">
            <w:pPr>
              <w:keepNext/>
              <w:widowControl/>
              <w:autoSpaceDE/>
              <w:autoSpaceDN/>
              <w:adjustRightInd/>
              <w:rPr>
                <w:sz w:val="16"/>
                <w:szCs w:val="16"/>
              </w:rPr>
            </w:pPr>
            <w:r>
              <w:rPr>
                <w:sz w:val="16"/>
                <w:szCs w:val="16"/>
              </w:rPr>
              <w:t>For pneumatic controller affected facilities, maintain information related to equipment, purchase, and location. Requirements to tag devices. Documentation of bleed rate and justification for use of device &gt;6 scfh.</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35CD5916" w14:textId="77777777">
            <w:pPr>
              <w:keepNext/>
              <w:widowControl/>
              <w:autoSpaceDE/>
              <w:autoSpaceDN/>
              <w:adjustRightInd/>
              <w:rPr>
                <w:sz w:val="16"/>
                <w:szCs w:val="16"/>
              </w:rPr>
            </w:pPr>
            <w:r>
              <w:rPr>
                <w:sz w:val="16"/>
                <w:szCs w:val="16"/>
              </w:rPr>
              <w:t>60.4390a(a), (b)(2), (c)(2), (f); 60.5410a(d)(4) and (6); 60.5413a(d)(3); 60.5420a(c)(4)</w:t>
            </w:r>
          </w:p>
        </w:tc>
      </w:tr>
      <w:tr w:rsidRPr="00DA551A" w:rsidR="008461F2" w:rsidTr="00E4510C" w14:paraId="0D6456A6"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11C099DC" w14:textId="77777777">
            <w:pPr>
              <w:keepNext/>
              <w:widowControl/>
              <w:autoSpaceDE/>
              <w:autoSpaceDN/>
              <w:adjustRightInd/>
              <w:rPr>
                <w:sz w:val="16"/>
                <w:szCs w:val="16"/>
              </w:rPr>
            </w:pPr>
            <w:r>
              <w:rPr>
                <w:sz w:val="16"/>
                <w:szCs w:val="16"/>
              </w:rPr>
              <w:t>For pneumatic pump affected facilities that are not controlled, maintain information related to equipment, purchase, location, and manufacturer specifications. Prepare and submit applicable certification and m</w:t>
            </w:r>
            <w:r w:rsidRPr="00E742B7">
              <w:rPr>
                <w:sz w:val="16"/>
                <w:szCs w:val="16"/>
              </w:rPr>
              <w:t xml:space="preserve">aintain </w:t>
            </w:r>
            <w:r>
              <w:rPr>
                <w:sz w:val="16"/>
                <w:szCs w:val="16"/>
              </w:rPr>
              <w:t>records. Maintain information related to equipment, purchase, location, and manufacturer specifications.</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24DB554E" w14:textId="77777777">
            <w:pPr>
              <w:keepNext/>
              <w:widowControl/>
              <w:autoSpaceDE/>
              <w:autoSpaceDN/>
              <w:adjustRightInd/>
              <w:rPr>
                <w:sz w:val="16"/>
                <w:szCs w:val="16"/>
              </w:rPr>
            </w:pPr>
            <w:r>
              <w:rPr>
                <w:sz w:val="16"/>
                <w:szCs w:val="16"/>
              </w:rPr>
              <w:t>60.5393a(b)(3)-(5); 60.5393a(e); 60.5410a(e)(8); 60.5420a(c)(16)</w:t>
            </w:r>
          </w:p>
        </w:tc>
      </w:tr>
      <w:tr w:rsidRPr="00DA551A" w:rsidR="008461F2" w:rsidTr="00E4510C" w14:paraId="7747A3EB"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5D5CD274" w14:textId="714B8371">
            <w:pPr>
              <w:keepNext/>
              <w:widowControl/>
              <w:autoSpaceDE/>
              <w:autoSpaceDN/>
              <w:adjustRightInd/>
              <w:rPr>
                <w:sz w:val="16"/>
                <w:szCs w:val="16"/>
              </w:rPr>
            </w:pPr>
            <w:r>
              <w:rPr>
                <w:sz w:val="16"/>
                <w:szCs w:val="16"/>
              </w:rPr>
              <w:t xml:space="preserve">For pneumatic pump affected facilities that are controlled, maintain information related to equipment, purchase, location, manufacturer specifications, and control. Maintain certification of </w:t>
            </w:r>
            <w:r w:rsidR="002A23A6">
              <w:rPr>
                <w:sz w:val="16"/>
                <w:szCs w:val="16"/>
              </w:rPr>
              <w:t>CVS</w:t>
            </w:r>
            <w:r>
              <w:rPr>
                <w:sz w:val="16"/>
                <w:szCs w:val="16"/>
              </w:rPr>
              <w:t xml:space="preserve"> capacity; record results of </w:t>
            </w:r>
            <w:r w:rsidR="002A23A6">
              <w:rPr>
                <w:sz w:val="16"/>
                <w:szCs w:val="16"/>
              </w:rPr>
              <w:t>CVS</w:t>
            </w:r>
            <w:r>
              <w:rPr>
                <w:sz w:val="16"/>
                <w:szCs w:val="16"/>
              </w:rPr>
              <w:t xml:space="preserve"> and by-pass inspections, maintenance, and corrective actions.</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4D02962A" w14:textId="77777777">
            <w:pPr>
              <w:keepNext/>
              <w:widowControl/>
              <w:autoSpaceDE/>
              <w:autoSpaceDN/>
              <w:adjustRightInd/>
              <w:rPr>
                <w:sz w:val="16"/>
                <w:szCs w:val="16"/>
              </w:rPr>
            </w:pPr>
            <w:r>
              <w:rPr>
                <w:sz w:val="16"/>
                <w:szCs w:val="16"/>
              </w:rPr>
              <w:t xml:space="preserve">60.5393a(c), (e); 60.5410a(e)(8); 60.5420a(c)(16); </w:t>
            </w:r>
            <w:r w:rsidRPr="0045757B">
              <w:rPr>
                <w:sz w:val="16"/>
                <w:szCs w:val="16"/>
              </w:rPr>
              <w:t>60.5411a(c)(3)(</w:t>
            </w:r>
            <w:proofErr w:type="spellStart"/>
            <w:r w:rsidRPr="0045757B">
              <w:rPr>
                <w:sz w:val="16"/>
                <w:szCs w:val="16"/>
              </w:rPr>
              <w:t>i</w:t>
            </w:r>
            <w:proofErr w:type="spellEnd"/>
            <w:r w:rsidRPr="0045757B">
              <w:rPr>
                <w:sz w:val="16"/>
                <w:szCs w:val="16"/>
              </w:rPr>
              <w:t>)(A);</w:t>
            </w:r>
            <w:r>
              <w:rPr>
                <w:sz w:val="16"/>
                <w:szCs w:val="16"/>
              </w:rPr>
              <w:t xml:space="preserve"> 60.5411a(d); 60.5416a(c); 60.5420a(c)(6)-(8), (16) and (17).</w:t>
            </w:r>
          </w:p>
        </w:tc>
      </w:tr>
      <w:tr w:rsidRPr="00DA551A" w:rsidR="008461F2" w:rsidTr="00E4510C" w14:paraId="5FE44530" w14:textId="77777777">
        <w:trPr>
          <w:trHeight w:val="63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12686656" w14:textId="30BC3D97">
            <w:pPr>
              <w:keepNext/>
              <w:widowControl/>
              <w:autoSpaceDE/>
              <w:autoSpaceDN/>
              <w:adjustRightInd/>
              <w:rPr>
                <w:sz w:val="16"/>
                <w:szCs w:val="16"/>
              </w:rPr>
            </w:pPr>
            <w:r>
              <w:rPr>
                <w:sz w:val="16"/>
                <w:szCs w:val="16"/>
              </w:rPr>
              <w:t xml:space="preserve">For storage vessel affected facilities, maintain compliance records for control device including visible emission observation results, inspection results, corrective actions, and maintenance. Maintain certification of </w:t>
            </w:r>
            <w:r w:rsidR="002A23A6">
              <w:rPr>
                <w:sz w:val="16"/>
                <w:szCs w:val="16"/>
              </w:rPr>
              <w:t>CVS</w:t>
            </w:r>
            <w:r>
              <w:rPr>
                <w:sz w:val="16"/>
                <w:szCs w:val="16"/>
              </w:rPr>
              <w:t xml:space="preserve"> capacity; record results of </w:t>
            </w:r>
            <w:r w:rsidR="002A23A6">
              <w:rPr>
                <w:sz w:val="16"/>
                <w:szCs w:val="16"/>
              </w:rPr>
              <w:t>CVS</w:t>
            </w:r>
            <w:r>
              <w:rPr>
                <w:sz w:val="16"/>
                <w:szCs w:val="16"/>
              </w:rPr>
              <w:t xml:space="preserve"> and by-pass inspections, maintenance, and corrective actions.</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4A2A9D60" w14:textId="77777777">
            <w:pPr>
              <w:keepNext/>
              <w:widowControl/>
              <w:autoSpaceDE/>
              <w:autoSpaceDN/>
              <w:adjustRightInd/>
              <w:rPr>
                <w:sz w:val="16"/>
                <w:szCs w:val="16"/>
              </w:rPr>
            </w:pPr>
            <w:r>
              <w:rPr>
                <w:sz w:val="16"/>
                <w:szCs w:val="16"/>
              </w:rPr>
              <w:t>60.5395a(d)(3); 60.5411a(c)(3)(</w:t>
            </w:r>
            <w:proofErr w:type="spellStart"/>
            <w:r>
              <w:rPr>
                <w:sz w:val="16"/>
                <w:szCs w:val="16"/>
              </w:rPr>
              <w:t>i</w:t>
            </w:r>
            <w:proofErr w:type="spellEnd"/>
            <w:r>
              <w:rPr>
                <w:sz w:val="16"/>
                <w:szCs w:val="16"/>
              </w:rPr>
              <w:t>)(A); 60.5411a(d); 60.5412a(c) and (d); 60.5413a(d) and (e); 60.5416a(c); 60.5417a(h)60.5420a(c)(5)-(8), (12)-(14), and (17).</w:t>
            </w:r>
          </w:p>
        </w:tc>
      </w:tr>
      <w:tr w:rsidRPr="00DA551A" w:rsidR="001B6516" w:rsidTr="00F70213" w14:paraId="5F56F722" w14:textId="77777777">
        <w:trPr>
          <w:trHeight w:val="359"/>
        </w:trPr>
        <w:tc>
          <w:tcPr>
            <w:tcW w:w="7403" w:type="dxa"/>
            <w:tcBorders>
              <w:top w:val="nil"/>
              <w:left w:val="single" w:color="auto" w:sz="4" w:space="0"/>
              <w:bottom w:val="single" w:color="auto" w:sz="4" w:space="0"/>
              <w:right w:val="single" w:color="auto" w:sz="4" w:space="0"/>
            </w:tcBorders>
            <w:shd w:val="clear" w:color="auto" w:fill="auto"/>
            <w:vAlign w:val="center"/>
          </w:tcPr>
          <w:p w:rsidR="001B6516" w:rsidP="00BF34EF" w:rsidRDefault="00134BAC" w14:paraId="654C6CF4" w14:textId="72E3FE32">
            <w:pPr>
              <w:keepNext/>
              <w:widowControl/>
              <w:autoSpaceDE/>
              <w:autoSpaceDN/>
              <w:adjustRightInd/>
              <w:rPr>
                <w:sz w:val="16"/>
                <w:szCs w:val="16"/>
              </w:rPr>
            </w:pPr>
            <w:r w:rsidRPr="00134BAC">
              <w:rPr>
                <w:sz w:val="16"/>
                <w:szCs w:val="16"/>
              </w:rPr>
              <w:t xml:space="preserve">For each collection of fugitive emissions components at a well site and each collection of fugitive emissions components at a compressor station, maintain records </w:t>
            </w:r>
            <w:r w:rsidR="001D6F64">
              <w:rPr>
                <w:sz w:val="16"/>
                <w:szCs w:val="16"/>
              </w:rPr>
              <w:t>of the date of startup of production</w:t>
            </w:r>
            <w:r w:rsidR="00FC1297">
              <w:rPr>
                <w:sz w:val="16"/>
                <w:szCs w:val="16"/>
              </w:rPr>
              <w:t xml:space="preserve">/modification, </w:t>
            </w:r>
            <w:r w:rsidR="00021002">
              <w:rPr>
                <w:sz w:val="16"/>
                <w:szCs w:val="16"/>
              </w:rPr>
              <w:t xml:space="preserve">daily well site production and calculations of rolling average calculation for well sites, </w:t>
            </w:r>
            <w:r w:rsidR="00575418">
              <w:rPr>
                <w:sz w:val="16"/>
                <w:szCs w:val="16"/>
              </w:rPr>
              <w:t>records of removal of major production and processing equipment at a well site, fugitive emissions monitoring plan, monitoring survey, and records of alternative fugitive emissions standards</w:t>
            </w:r>
            <w:r w:rsidR="00E5242C">
              <w:rPr>
                <w:sz w:val="16"/>
                <w:szCs w:val="16"/>
              </w:rPr>
              <w:t xml:space="preserve"> (if applicable).</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1B6516" w:rsidP="00BF34EF" w:rsidRDefault="0098018A" w14:paraId="3FFCC679" w14:textId="522F8851">
            <w:pPr>
              <w:keepNext/>
              <w:widowControl/>
              <w:autoSpaceDE/>
              <w:autoSpaceDN/>
              <w:adjustRightInd/>
              <w:rPr>
                <w:color w:val="000000" w:themeColor="text1"/>
                <w:sz w:val="16"/>
                <w:szCs w:val="16"/>
              </w:rPr>
            </w:pPr>
            <w:r>
              <w:rPr>
                <w:color w:val="000000" w:themeColor="text1"/>
                <w:sz w:val="16"/>
                <w:szCs w:val="16"/>
              </w:rPr>
              <w:t>60.5420a(c)</w:t>
            </w:r>
            <w:r w:rsidR="007146CC">
              <w:rPr>
                <w:color w:val="000000" w:themeColor="text1"/>
                <w:sz w:val="16"/>
                <w:szCs w:val="16"/>
              </w:rPr>
              <w:t>(15)(</w:t>
            </w:r>
            <w:proofErr w:type="spellStart"/>
            <w:r w:rsidR="007146CC">
              <w:rPr>
                <w:color w:val="000000" w:themeColor="text1"/>
                <w:sz w:val="16"/>
                <w:szCs w:val="16"/>
              </w:rPr>
              <w:t>i</w:t>
            </w:r>
            <w:proofErr w:type="spellEnd"/>
            <w:r w:rsidR="007146CC">
              <w:rPr>
                <w:color w:val="000000" w:themeColor="text1"/>
                <w:sz w:val="16"/>
                <w:szCs w:val="16"/>
              </w:rPr>
              <w:t>)</w:t>
            </w:r>
            <w:r w:rsidR="007133FE">
              <w:rPr>
                <w:color w:val="000000" w:themeColor="text1"/>
                <w:sz w:val="16"/>
                <w:szCs w:val="16"/>
              </w:rPr>
              <w:t>-</w:t>
            </w:r>
            <w:r w:rsidR="007146CC">
              <w:rPr>
                <w:color w:val="000000" w:themeColor="text1"/>
                <w:sz w:val="16"/>
                <w:szCs w:val="16"/>
              </w:rPr>
              <w:t>(vii)</w:t>
            </w:r>
            <w:r w:rsidR="002C6295">
              <w:rPr>
                <w:color w:val="000000" w:themeColor="text1"/>
                <w:sz w:val="16"/>
                <w:szCs w:val="16"/>
              </w:rPr>
              <w:t>.</w:t>
            </w:r>
          </w:p>
        </w:tc>
      </w:tr>
      <w:tr w:rsidRPr="00DA551A" w:rsidR="008461F2" w:rsidTr="00F70213" w14:paraId="7ED85EC0" w14:textId="77777777">
        <w:trPr>
          <w:trHeight w:val="359"/>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533F300F" w14:textId="77777777">
            <w:pPr>
              <w:keepNext/>
              <w:widowControl/>
              <w:autoSpaceDE/>
              <w:autoSpaceDN/>
              <w:adjustRightInd/>
              <w:rPr>
                <w:sz w:val="16"/>
                <w:szCs w:val="16"/>
              </w:rPr>
            </w:pPr>
            <w:r>
              <w:rPr>
                <w:sz w:val="16"/>
                <w:szCs w:val="16"/>
              </w:rPr>
              <w:t xml:space="preserve">For affected facilities at onshore gas processing plants, records of subject equipment, records of leak detection and repair program. </w:t>
            </w:r>
          </w:p>
        </w:tc>
        <w:tc>
          <w:tcPr>
            <w:tcW w:w="3397" w:type="dxa"/>
            <w:tcBorders>
              <w:top w:val="nil"/>
              <w:left w:val="single" w:color="auto" w:sz="4" w:space="0"/>
              <w:bottom w:val="single" w:color="auto" w:sz="4" w:space="0"/>
              <w:right w:val="single" w:color="auto" w:sz="4" w:space="0"/>
            </w:tcBorders>
            <w:shd w:val="clear" w:color="auto" w:fill="auto"/>
            <w:vAlign w:val="center"/>
          </w:tcPr>
          <w:p w:rsidRPr="00C940C9" w:rsidR="008461F2" w:rsidP="00BF34EF" w:rsidRDefault="008461F2" w14:paraId="3A237F53" w14:textId="77777777">
            <w:pPr>
              <w:keepNext/>
              <w:widowControl/>
              <w:autoSpaceDE/>
              <w:autoSpaceDN/>
              <w:adjustRightInd/>
              <w:rPr>
                <w:color w:val="FF0000"/>
                <w:sz w:val="16"/>
                <w:szCs w:val="16"/>
              </w:rPr>
            </w:pPr>
            <w:r w:rsidRPr="00BE0863">
              <w:rPr>
                <w:color w:val="000000" w:themeColor="text1"/>
                <w:sz w:val="16"/>
                <w:szCs w:val="16"/>
              </w:rPr>
              <w:t>60.5400a(a)</w:t>
            </w:r>
            <w:r>
              <w:rPr>
                <w:color w:val="000000" w:themeColor="text1"/>
                <w:sz w:val="16"/>
                <w:szCs w:val="16"/>
              </w:rPr>
              <w:t xml:space="preserve">, </w:t>
            </w:r>
            <w:r w:rsidRPr="00BE0863">
              <w:rPr>
                <w:color w:val="000000" w:themeColor="text1"/>
                <w:sz w:val="16"/>
                <w:szCs w:val="16"/>
              </w:rPr>
              <w:t>60.482-1a(b) and (d); 60.482-7a; 60.482-10a</w:t>
            </w:r>
          </w:p>
        </w:tc>
      </w:tr>
      <w:tr w:rsidRPr="00DA551A" w:rsidR="008461F2" w:rsidTr="00F70213" w14:paraId="30444609" w14:textId="77777777">
        <w:trPr>
          <w:trHeight w:val="440"/>
        </w:trPr>
        <w:tc>
          <w:tcPr>
            <w:tcW w:w="7403" w:type="dxa"/>
            <w:tcBorders>
              <w:top w:val="nil"/>
              <w:left w:val="single" w:color="auto" w:sz="4" w:space="0"/>
              <w:bottom w:val="single" w:color="auto" w:sz="4" w:space="0"/>
              <w:right w:val="single" w:color="auto" w:sz="4" w:space="0"/>
            </w:tcBorders>
            <w:shd w:val="clear" w:color="auto" w:fill="auto"/>
            <w:vAlign w:val="center"/>
          </w:tcPr>
          <w:p w:rsidR="008461F2" w:rsidP="00BF34EF" w:rsidRDefault="008461F2" w14:paraId="4DB7F684" w14:textId="77777777">
            <w:pPr>
              <w:keepNext/>
              <w:widowControl/>
              <w:autoSpaceDE/>
              <w:autoSpaceDN/>
              <w:adjustRightInd/>
              <w:rPr>
                <w:sz w:val="16"/>
                <w:szCs w:val="16"/>
              </w:rPr>
            </w:pPr>
            <w:r>
              <w:rPr>
                <w:sz w:val="16"/>
                <w:szCs w:val="16"/>
              </w:rPr>
              <w:t>For sweetening unit affected facilities at onshore natural gas processing plants, records of sulfur levels, acid gas, calculations, measurements, and compliance records.</w:t>
            </w:r>
          </w:p>
        </w:tc>
        <w:tc>
          <w:tcPr>
            <w:tcW w:w="3397" w:type="dxa"/>
            <w:tcBorders>
              <w:top w:val="nil"/>
              <w:left w:val="single" w:color="auto" w:sz="4" w:space="0"/>
              <w:bottom w:val="single" w:color="auto" w:sz="4" w:space="0"/>
              <w:right w:val="single" w:color="auto" w:sz="4" w:space="0"/>
            </w:tcBorders>
            <w:shd w:val="clear" w:color="auto" w:fill="auto"/>
            <w:vAlign w:val="center"/>
          </w:tcPr>
          <w:p w:rsidRPr="00E742B7" w:rsidR="008461F2" w:rsidP="00BF34EF" w:rsidRDefault="008461F2" w14:paraId="25790F14" w14:textId="77777777">
            <w:pPr>
              <w:keepNext/>
              <w:widowControl/>
              <w:autoSpaceDE/>
              <w:autoSpaceDN/>
              <w:adjustRightInd/>
              <w:rPr>
                <w:sz w:val="16"/>
                <w:szCs w:val="16"/>
              </w:rPr>
            </w:pPr>
            <w:r>
              <w:rPr>
                <w:sz w:val="16"/>
                <w:szCs w:val="16"/>
              </w:rPr>
              <w:t>60.5407a(a); 60.5423a</w:t>
            </w:r>
          </w:p>
        </w:tc>
      </w:tr>
      <w:tr w:rsidRPr="00DA551A" w:rsidR="006377AE" w:rsidTr="00391501" w14:paraId="16136FB5" w14:textId="77777777">
        <w:trPr>
          <w:trHeight w:val="315"/>
        </w:trPr>
        <w:tc>
          <w:tcPr>
            <w:tcW w:w="10800" w:type="dxa"/>
            <w:gridSpan w:val="2"/>
            <w:tcBorders>
              <w:top w:val="nil"/>
              <w:left w:val="single" w:color="auto" w:sz="4" w:space="0"/>
              <w:bottom w:val="single" w:color="auto" w:sz="4" w:space="0"/>
              <w:right w:val="single" w:color="auto" w:sz="4" w:space="0"/>
            </w:tcBorders>
            <w:shd w:val="clear" w:color="auto" w:fill="auto"/>
            <w:vAlign w:val="center"/>
            <w:hideMark/>
          </w:tcPr>
          <w:p w:rsidRPr="00BE0863" w:rsidR="006377AE" w:rsidP="006377AE" w:rsidRDefault="006377AE" w14:paraId="1281BBEF" w14:textId="0E9CDEE9">
            <w:pPr>
              <w:keepNext/>
              <w:widowControl/>
              <w:autoSpaceDE/>
              <w:autoSpaceDN/>
              <w:adjustRightInd/>
              <w:jc w:val="center"/>
              <w:rPr>
                <w:b/>
                <w:bCs/>
                <w:sz w:val="16"/>
                <w:szCs w:val="16"/>
              </w:rPr>
            </w:pPr>
            <w:r w:rsidRPr="00BE0863">
              <w:rPr>
                <w:b/>
                <w:bCs/>
                <w:sz w:val="16"/>
                <w:szCs w:val="16"/>
              </w:rPr>
              <w:t>Notifications and Reporting</w:t>
            </w:r>
          </w:p>
        </w:tc>
      </w:tr>
      <w:tr w:rsidRPr="00DA551A" w:rsidR="008461F2" w:rsidTr="00E4510C" w14:paraId="7CCA9A5F" w14:textId="77777777">
        <w:trPr>
          <w:trHeight w:val="315"/>
        </w:trPr>
        <w:tc>
          <w:tcPr>
            <w:tcW w:w="7403" w:type="dxa"/>
            <w:tcBorders>
              <w:top w:val="nil"/>
              <w:left w:val="single" w:color="auto" w:sz="4" w:space="0"/>
              <w:bottom w:val="single" w:color="auto" w:sz="4" w:space="0"/>
              <w:right w:val="single" w:color="auto" w:sz="4" w:space="0"/>
            </w:tcBorders>
            <w:shd w:val="clear" w:color="auto" w:fill="auto"/>
            <w:vAlign w:val="center"/>
          </w:tcPr>
          <w:p w:rsidRPr="00BE0863" w:rsidR="008461F2" w:rsidP="00BF34EF" w:rsidRDefault="008461F2" w14:paraId="02B128DB" w14:textId="77777777">
            <w:pPr>
              <w:keepNext/>
              <w:widowControl/>
              <w:autoSpaceDE/>
              <w:autoSpaceDN/>
              <w:adjustRightInd/>
              <w:rPr>
                <w:sz w:val="16"/>
                <w:szCs w:val="16"/>
              </w:rPr>
            </w:pPr>
            <w:r w:rsidRPr="00BE0863">
              <w:rPr>
                <w:sz w:val="16"/>
                <w:szCs w:val="16"/>
              </w:rPr>
              <w:t>Notify the Administrator at least two days prior to a well completion operation.</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8461F2" w:rsidP="00BF34EF" w:rsidRDefault="008461F2" w14:paraId="61791294" w14:textId="77777777">
            <w:pPr>
              <w:keepNext/>
              <w:widowControl/>
              <w:autoSpaceDE/>
              <w:autoSpaceDN/>
              <w:adjustRightInd/>
              <w:rPr>
                <w:sz w:val="16"/>
                <w:szCs w:val="16"/>
              </w:rPr>
            </w:pPr>
            <w:r w:rsidRPr="00BE0863">
              <w:rPr>
                <w:sz w:val="16"/>
                <w:szCs w:val="16"/>
              </w:rPr>
              <w:t>60.5420a(a)(2)</w:t>
            </w:r>
          </w:p>
        </w:tc>
      </w:tr>
      <w:tr w:rsidRPr="00DA551A" w:rsidR="008461F2" w:rsidTr="00E4510C" w14:paraId="0EFB8F88" w14:textId="77777777">
        <w:trPr>
          <w:trHeight w:val="315"/>
        </w:trPr>
        <w:tc>
          <w:tcPr>
            <w:tcW w:w="7403" w:type="dxa"/>
            <w:tcBorders>
              <w:top w:val="nil"/>
              <w:left w:val="single" w:color="auto" w:sz="4" w:space="0"/>
              <w:bottom w:val="single" w:color="auto" w:sz="4" w:space="0"/>
              <w:right w:val="single" w:color="auto" w:sz="4" w:space="0"/>
            </w:tcBorders>
            <w:shd w:val="clear" w:color="auto" w:fill="auto"/>
            <w:vAlign w:val="center"/>
            <w:hideMark/>
          </w:tcPr>
          <w:p w:rsidRPr="00BE0863" w:rsidR="008461F2" w:rsidP="00BF34EF" w:rsidRDefault="008461F2" w14:paraId="039120DB" w14:textId="77777777">
            <w:pPr>
              <w:keepNext/>
              <w:widowControl/>
              <w:autoSpaceDE/>
              <w:autoSpaceDN/>
              <w:adjustRightInd/>
              <w:rPr>
                <w:sz w:val="16"/>
                <w:szCs w:val="16"/>
              </w:rPr>
            </w:pPr>
            <w:r w:rsidRPr="00BE0863">
              <w:rPr>
                <w:sz w:val="16"/>
                <w:szCs w:val="16"/>
              </w:rPr>
              <w:t>Submit an annual report, per operating entity, for all wellhead, pneumat</w:t>
            </w:r>
            <w:r>
              <w:rPr>
                <w:sz w:val="16"/>
                <w:szCs w:val="16"/>
              </w:rPr>
              <w:t xml:space="preserve">ic controller, pneumatic pump, </w:t>
            </w:r>
            <w:r w:rsidRPr="00BE0863">
              <w:rPr>
                <w:sz w:val="16"/>
                <w:szCs w:val="16"/>
              </w:rPr>
              <w:t>storage vessel, centrifugal and reciprocating compressor</w:t>
            </w:r>
            <w:r>
              <w:rPr>
                <w:sz w:val="16"/>
                <w:szCs w:val="16"/>
              </w:rPr>
              <w:t xml:space="preserve"> affected facil</w:t>
            </w:r>
            <w:r w:rsidRPr="00B505B9">
              <w:rPr>
                <w:sz w:val="16"/>
                <w:szCs w:val="16"/>
              </w:rPr>
              <w:t>itie</w:t>
            </w:r>
            <w:r>
              <w:rPr>
                <w:sz w:val="16"/>
                <w:szCs w:val="16"/>
              </w:rPr>
              <w:t>s.</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8461F2" w:rsidP="00BF34EF" w:rsidRDefault="008461F2" w14:paraId="71A62C3A" w14:textId="77777777">
            <w:pPr>
              <w:keepNext/>
              <w:widowControl/>
              <w:autoSpaceDE/>
              <w:autoSpaceDN/>
              <w:adjustRightInd/>
              <w:rPr>
                <w:sz w:val="16"/>
                <w:szCs w:val="16"/>
              </w:rPr>
            </w:pPr>
            <w:r w:rsidRPr="00BE0863">
              <w:rPr>
                <w:sz w:val="16"/>
                <w:szCs w:val="16"/>
              </w:rPr>
              <w:t>60.5420a(b)</w:t>
            </w:r>
          </w:p>
        </w:tc>
      </w:tr>
      <w:tr w:rsidRPr="00DA551A" w:rsidR="00C55840" w:rsidTr="00E4510C" w14:paraId="40536177" w14:textId="77777777">
        <w:trPr>
          <w:trHeight w:val="315"/>
        </w:trPr>
        <w:tc>
          <w:tcPr>
            <w:tcW w:w="7403" w:type="dxa"/>
            <w:tcBorders>
              <w:top w:val="nil"/>
              <w:left w:val="single" w:color="auto" w:sz="4" w:space="0"/>
              <w:bottom w:val="single" w:color="auto" w:sz="4" w:space="0"/>
              <w:right w:val="single" w:color="auto" w:sz="4" w:space="0"/>
            </w:tcBorders>
            <w:shd w:val="clear" w:color="auto" w:fill="auto"/>
            <w:vAlign w:val="center"/>
          </w:tcPr>
          <w:p w:rsidRPr="00BE0863" w:rsidR="00C55840" w:rsidP="00C55840" w:rsidRDefault="004370EC" w14:paraId="2DFC9B4B" w14:textId="64920101">
            <w:pPr>
              <w:keepNext/>
              <w:widowControl/>
              <w:autoSpaceDE/>
              <w:autoSpaceDN/>
              <w:adjustRightInd/>
              <w:rPr>
                <w:sz w:val="16"/>
                <w:szCs w:val="16"/>
              </w:rPr>
            </w:pPr>
            <w:r>
              <w:rPr>
                <w:sz w:val="16"/>
                <w:szCs w:val="16"/>
              </w:rPr>
              <w:t xml:space="preserve">Submit an annual report </w:t>
            </w:r>
            <w:r w:rsidR="009857E3">
              <w:rPr>
                <w:sz w:val="16"/>
                <w:szCs w:val="16"/>
              </w:rPr>
              <w:t>f</w:t>
            </w:r>
            <w:r w:rsidRPr="00B17668" w:rsidR="00C55840">
              <w:rPr>
                <w:sz w:val="16"/>
                <w:szCs w:val="16"/>
              </w:rPr>
              <w:t>or the collection of fugitive emissions components at each well site and the collection of fugitive emissions components at each compressor station</w:t>
            </w:r>
            <w:r w:rsidR="009857E3">
              <w:rPr>
                <w:sz w:val="16"/>
                <w:szCs w:val="16"/>
              </w:rPr>
              <w:t>.</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C55840" w:rsidP="00C55840" w:rsidRDefault="00C55840" w14:paraId="4EDE46EA" w14:textId="741CA87B">
            <w:pPr>
              <w:keepNext/>
              <w:widowControl/>
              <w:autoSpaceDE/>
              <w:autoSpaceDN/>
              <w:adjustRightInd/>
              <w:rPr>
                <w:sz w:val="16"/>
                <w:szCs w:val="16"/>
              </w:rPr>
            </w:pPr>
            <w:r>
              <w:rPr>
                <w:color w:val="000000" w:themeColor="text1"/>
                <w:sz w:val="16"/>
                <w:szCs w:val="16"/>
              </w:rPr>
              <w:t>60.5420a(b)(1); (7)</w:t>
            </w:r>
          </w:p>
        </w:tc>
      </w:tr>
      <w:tr w:rsidRPr="00DA551A" w:rsidR="00C55840" w:rsidTr="00E4510C" w14:paraId="185CC141" w14:textId="77777777">
        <w:trPr>
          <w:trHeight w:val="315"/>
        </w:trPr>
        <w:tc>
          <w:tcPr>
            <w:tcW w:w="7403" w:type="dxa"/>
            <w:tcBorders>
              <w:top w:val="nil"/>
              <w:left w:val="single" w:color="auto" w:sz="4" w:space="0"/>
              <w:bottom w:val="single" w:color="auto" w:sz="4" w:space="0"/>
              <w:right w:val="single" w:color="auto" w:sz="4" w:space="0"/>
            </w:tcBorders>
            <w:shd w:val="clear" w:color="auto" w:fill="auto"/>
            <w:vAlign w:val="center"/>
          </w:tcPr>
          <w:p w:rsidRPr="00BE0863" w:rsidR="00C55840" w:rsidP="00C55840" w:rsidRDefault="00C55840" w14:paraId="63BDFB98" w14:textId="77777777">
            <w:pPr>
              <w:keepNext/>
              <w:widowControl/>
              <w:autoSpaceDE/>
              <w:autoSpaceDN/>
              <w:adjustRightInd/>
              <w:rPr>
                <w:sz w:val="16"/>
                <w:szCs w:val="16"/>
              </w:rPr>
            </w:pPr>
            <w:r w:rsidRPr="00BE0863">
              <w:rPr>
                <w:sz w:val="16"/>
                <w:szCs w:val="16"/>
              </w:rPr>
              <w:t>Notification of construction or reconstruction.</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C55840" w:rsidP="00C55840" w:rsidRDefault="00C55840" w14:paraId="0A69CFFD" w14:textId="77777777">
            <w:pPr>
              <w:keepNext/>
              <w:widowControl/>
              <w:autoSpaceDE/>
              <w:autoSpaceDN/>
              <w:adjustRightInd/>
              <w:rPr>
                <w:sz w:val="16"/>
                <w:szCs w:val="16"/>
              </w:rPr>
            </w:pPr>
            <w:r w:rsidRPr="00BE0863">
              <w:rPr>
                <w:sz w:val="16"/>
                <w:szCs w:val="16"/>
              </w:rPr>
              <w:t>60.7(a)(1)</w:t>
            </w:r>
          </w:p>
        </w:tc>
      </w:tr>
      <w:tr w:rsidRPr="00DA551A" w:rsidR="00C55840" w:rsidTr="00E4510C" w14:paraId="1E2C5C94" w14:textId="77777777">
        <w:trPr>
          <w:cantSplit/>
          <w:trHeight w:val="315"/>
        </w:trPr>
        <w:tc>
          <w:tcPr>
            <w:tcW w:w="740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E0863" w:rsidR="00C55840" w:rsidP="00C55840" w:rsidRDefault="00C55840" w14:paraId="396E91C3" w14:textId="77777777">
            <w:pPr>
              <w:keepNext/>
              <w:widowControl/>
              <w:autoSpaceDE/>
              <w:autoSpaceDN/>
              <w:adjustRightInd/>
              <w:rPr>
                <w:sz w:val="16"/>
                <w:szCs w:val="16"/>
              </w:rPr>
            </w:pPr>
            <w:r w:rsidRPr="00BE0863">
              <w:rPr>
                <w:sz w:val="16"/>
                <w:szCs w:val="16"/>
              </w:rPr>
              <w:t>Notification of performance test.</w:t>
            </w:r>
          </w:p>
        </w:tc>
        <w:tc>
          <w:tcPr>
            <w:tcW w:w="3397" w:type="dxa"/>
            <w:tcBorders>
              <w:top w:val="single" w:color="auto" w:sz="4" w:space="0"/>
              <w:left w:val="single" w:color="auto" w:sz="4" w:space="0"/>
              <w:bottom w:val="single" w:color="auto" w:sz="4" w:space="0"/>
              <w:right w:val="single" w:color="auto" w:sz="4" w:space="0"/>
            </w:tcBorders>
            <w:shd w:val="clear" w:color="auto" w:fill="auto"/>
            <w:vAlign w:val="center"/>
          </w:tcPr>
          <w:p w:rsidRPr="00BE0863" w:rsidR="00C55840" w:rsidP="00C55840" w:rsidRDefault="00C55840" w14:paraId="61DAB3B0" w14:textId="77777777">
            <w:pPr>
              <w:keepNext/>
              <w:widowControl/>
              <w:autoSpaceDE/>
              <w:autoSpaceDN/>
              <w:adjustRightInd/>
              <w:rPr>
                <w:sz w:val="16"/>
                <w:szCs w:val="16"/>
              </w:rPr>
            </w:pPr>
            <w:r w:rsidRPr="00BE0863">
              <w:rPr>
                <w:sz w:val="16"/>
                <w:szCs w:val="16"/>
              </w:rPr>
              <w:t>60.8(d)</w:t>
            </w:r>
          </w:p>
        </w:tc>
      </w:tr>
      <w:tr w:rsidRPr="00DA551A" w:rsidR="00C55840" w:rsidTr="00E4510C" w14:paraId="7F4332B6" w14:textId="77777777">
        <w:trPr>
          <w:cantSplit/>
          <w:trHeight w:val="315"/>
        </w:trPr>
        <w:tc>
          <w:tcPr>
            <w:tcW w:w="740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E0863" w:rsidR="00C55840" w:rsidP="00C55840" w:rsidRDefault="00C55840" w14:paraId="26E853FD" w14:textId="77777777">
            <w:pPr>
              <w:keepNext/>
              <w:widowControl/>
              <w:autoSpaceDE/>
              <w:autoSpaceDN/>
              <w:adjustRightInd/>
              <w:rPr>
                <w:sz w:val="16"/>
                <w:szCs w:val="16"/>
              </w:rPr>
            </w:pPr>
            <w:r w:rsidRPr="00BE0863">
              <w:rPr>
                <w:sz w:val="16"/>
                <w:szCs w:val="16"/>
              </w:rPr>
              <w:t>Annual reports including those of excess emissions.</w:t>
            </w:r>
          </w:p>
        </w:tc>
        <w:tc>
          <w:tcPr>
            <w:tcW w:w="3397" w:type="dxa"/>
            <w:tcBorders>
              <w:top w:val="single" w:color="auto" w:sz="4" w:space="0"/>
              <w:left w:val="single" w:color="auto" w:sz="4" w:space="0"/>
              <w:bottom w:val="single" w:color="auto" w:sz="4" w:space="0"/>
              <w:right w:val="single" w:color="auto" w:sz="4" w:space="0"/>
            </w:tcBorders>
            <w:shd w:val="clear" w:color="auto" w:fill="auto"/>
            <w:vAlign w:val="center"/>
          </w:tcPr>
          <w:p w:rsidRPr="00BE0863" w:rsidR="00C55840" w:rsidP="00C55840" w:rsidRDefault="00C55840" w14:paraId="39EAC98F" w14:textId="14BB59C9">
            <w:pPr>
              <w:keepNext/>
              <w:widowControl/>
              <w:autoSpaceDE/>
              <w:autoSpaceDN/>
              <w:adjustRightInd/>
              <w:rPr>
                <w:sz w:val="16"/>
                <w:szCs w:val="16"/>
              </w:rPr>
            </w:pPr>
            <w:r w:rsidRPr="00BE0863">
              <w:rPr>
                <w:sz w:val="16"/>
                <w:szCs w:val="16"/>
              </w:rPr>
              <w:t>60.5417a(c); 60.487a(c)(2)(</w:t>
            </w:r>
            <w:proofErr w:type="spellStart"/>
            <w:r w:rsidRPr="00BE0863">
              <w:rPr>
                <w:sz w:val="16"/>
                <w:szCs w:val="16"/>
              </w:rPr>
              <w:t>i</w:t>
            </w:r>
            <w:proofErr w:type="spellEnd"/>
            <w:r w:rsidRPr="00BE0863">
              <w:rPr>
                <w:sz w:val="16"/>
                <w:szCs w:val="16"/>
              </w:rPr>
              <w:t>)-(vi)</w:t>
            </w:r>
          </w:p>
        </w:tc>
      </w:tr>
      <w:tr w:rsidRPr="00DA551A" w:rsidR="00E708F7" w:rsidTr="002726E7" w14:paraId="5BB5A2C1" w14:textId="77777777">
        <w:trPr>
          <w:cantSplit/>
          <w:trHeight w:val="269"/>
        </w:trPr>
        <w:tc>
          <w:tcPr>
            <w:tcW w:w="7403" w:type="dxa"/>
            <w:tcBorders>
              <w:top w:val="nil"/>
              <w:left w:val="single" w:color="auto" w:sz="4" w:space="0"/>
              <w:bottom w:val="single" w:color="auto" w:sz="4" w:space="0"/>
              <w:right w:val="single" w:color="auto" w:sz="4" w:space="0"/>
            </w:tcBorders>
            <w:shd w:val="clear" w:color="auto" w:fill="auto"/>
            <w:noWrap/>
            <w:vAlign w:val="center"/>
          </w:tcPr>
          <w:p w:rsidRPr="00BE0863" w:rsidR="00E708F7" w:rsidP="00E708F7" w:rsidRDefault="00E708F7" w14:paraId="14CB4CC5" w14:textId="740F0BD8">
            <w:pPr>
              <w:keepNext/>
              <w:widowControl/>
              <w:autoSpaceDE/>
              <w:autoSpaceDN/>
              <w:adjustRightInd/>
              <w:rPr>
                <w:sz w:val="16"/>
                <w:szCs w:val="16"/>
              </w:rPr>
            </w:pPr>
            <w:r w:rsidRPr="00BE0863">
              <w:rPr>
                <w:sz w:val="16"/>
                <w:szCs w:val="16"/>
              </w:rPr>
              <w:t xml:space="preserve">Performance test results. </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E708F7" w:rsidP="00E708F7" w:rsidRDefault="00E708F7" w14:paraId="564CCF32" w14:textId="004641E0">
            <w:pPr>
              <w:keepNext/>
              <w:widowControl/>
              <w:autoSpaceDE/>
              <w:autoSpaceDN/>
              <w:adjustRightInd/>
              <w:rPr>
                <w:sz w:val="16"/>
                <w:szCs w:val="16"/>
              </w:rPr>
            </w:pPr>
            <w:r w:rsidRPr="00BE0863">
              <w:rPr>
                <w:sz w:val="16"/>
                <w:szCs w:val="16"/>
              </w:rPr>
              <w:t>60.487a(e)</w:t>
            </w:r>
          </w:p>
        </w:tc>
      </w:tr>
      <w:tr w:rsidRPr="00DA551A" w:rsidR="00E708F7" w:rsidTr="00E708F7" w14:paraId="2D4244BA" w14:textId="77777777">
        <w:trPr>
          <w:cantSplit/>
          <w:trHeight w:val="269"/>
        </w:trPr>
        <w:tc>
          <w:tcPr>
            <w:tcW w:w="7403" w:type="dxa"/>
            <w:tcBorders>
              <w:top w:val="nil"/>
              <w:left w:val="single" w:color="auto" w:sz="4" w:space="0"/>
              <w:bottom w:val="single" w:color="auto" w:sz="4" w:space="0"/>
              <w:right w:val="single" w:color="auto" w:sz="4" w:space="0"/>
            </w:tcBorders>
            <w:shd w:val="clear" w:color="auto" w:fill="auto"/>
            <w:noWrap/>
            <w:vAlign w:val="center"/>
          </w:tcPr>
          <w:p w:rsidRPr="00BE0863" w:rsidR="00E708F7" w:rsidP="00E708F7" w:rsidRDefault="00E708F7" w14:paraId="4FFD600F" w14:textId="2259F123">
            <w:pPr>
              <w:keepNext/>
              <w:widowControl/>
              <w:autoSpaceDE/>
              <w:autoSpaceDN/>
              <w:adjustRightInd/>
              <w:rPr>
                <w:sz w:val="16"/>
                <w:szCs w:val="16"/>
              </w:rPr>
            </w:pPr>
            <w:r w:rsidRPr="00BE0863">
              <w:rPr>
                <w:sz w:val="16"/>
                <w:szCs w:val="16"/>
              </w:rPr>
              <w:t>Semiannual report on excess emissions from and performance of continuous monitoring system, and/or summary report forms at processing plants</w:t>
            </w:r>
            <w:r>
              <w:rPr>
                <w:sz w:val="16"/>
                <w:szCs w:val="16"/>
              </w:rPr>
              <w:t>. Annual report on excess emissions from and performance of continuous monitoring system for sweetening units.</w:t>
            </w: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E708F7" w:rsidP="00E708F7" w:rsidRDefault="00E708F7" w14:paraId="465B07AD" w14:textId="6F849F7C">
            <w:pPr>
              <w:keepNext/>
              <w:widowControl/>
              <w:autoSpaceDE/>
              <w:autoSpaceDN/>
              <w:adjustRightInd/>
              <w:rPr>
                <w:sz w:val="16"/>
                <w:szCs w:val="16"/>
              </w:rPr>
            </w:pPr>
            <w:r w:rsidRPr="00BE0863">
              <w:rPr>
                <w:sz w:val="16"/>
                <w:szCs w:val="16"/>
              </w:rPr>
              <w:t>60.5422a(b)</w:t>
            </w:r>
            <w:r>
              <w:rPr>
                <w:sz w:val="16"/>
                <w:szCs w:val="16"/>
              </w:rPr>
              <w:t>, 60.5410a(g)(3); 60.5423a(b)</w:t>
            </w:r>
          </w:p>
        </w:tc>
      </w:tr>
      <w:tr w:rsidRPr="00DA551A" w:rsidR="00C60D0E" w:rsidTr="002726E7" w14:paraId="61C820F5" w14:textId="77777777">
        <w:trPr>
          <w:cantSplit/>
          <w:trHeight w:val="315"/>
        </w:trPr>
        <w:tc>
          <w:tcPr>
            <w:tcW w:w="7403" w:type="dxa"/>
            <w:tcBorders>
              <w:top w:val="nil"/>
              <w:left w:val="single" w:color="auto" w:sz="4" w:space="0"/>
              <w:bottom w:val="nil"/>
              <w:right w:val="single" w:color="auto" w:sz="4" w:space="0"/>
            </w:tcBorders>
            <w:shd w:val="clear" w:color="auto" w:fill="auto"/>
            <w:noWrap/>
            <w:vAlign w:val="center"/>
          </w:tcPr>
          <w:p w:rsidRPr="00BE0863" w:rsidR="00C60D0E" w:rsidP="00C60D0E" w:rsidRDefault="00C60D0E" w14:paraId="625354FB" w14:textId="41E882C0">
            <w:pPr>
              <w:keepNext/>
              <w:widowControl/>
              <w:autoSpaceDE/>
              <w:autoSpaceDN/>
              <w:adjustRightInd/>
              <w:rPr>
                <w:sz w:val="16"/>
                <w:szCs w:val="16"/>
              </w:rPr>
            </w:pPr>
            <w:r>
              <w:rPr>
                <w:sz w:val="16"/>
                <w:szCs w:val="16"/>
              </w:rPr>
              <w:t>Instructions for submitting reports to the EPA v</w:t>
            </w:r>
            <w:r w:rsidRPr="00471DC0">
              <w:rPr>
                <w:sz w:val="16"/>
                <w:szCs w:val="16"/>
              </w:rPr>
              <w:t>ia CEDRI</w:t>
            </w:r>
            <w:r>
              <w:rPr>
                <w:sz w:val="16"/>
                <w:szCs w:val="16"/>
              </w:rPr>
              <w:t>.</w:t>
            </w:r>
          </w:p>
        </w:tc>
        <w:tc>
          <w:tcPr>
            <w:tcW w:w="3397" w:type="dxa"/>
            <w:tcBorders>
              <w:top w:val="nil"/>
              <w:left w:val="single" w:color="auto" w:sz="4" w:space="0"/>
              <w:bottom w:val="nil"/>
              <w:right w:val="single" w:color="auto" w:sz="4" w:space="0"/>
            </w:tcBorders>
            <w:shd w:val="clear" w:color="auto" w:fill="auto"/>
            <w:vAlign w:val="center"/>
          </w:tcPr>
          <w:p w:rsidRPr="00BE0863" w:rsidR="00C60D0E" w:rsidP="00C60D0E" w:rsidRDefault="00C60D0E" w14:paraId="31F010FA" w14:textId="0FECC48A">
            <w:pPr>
              <w:keepNext/>
              <w:widowControl/>
              <w:autoSpaceDE/>
              <w:autoSpaceDN/>
              <w:adjustRightInd/>
              <w:rPr>
                <w:sz w:val="16"/>
                <w:szCs w:val="16"/>
              </w:rPr>
            </w:pPr>
            <w:r>
              <w:rPr>
                <w:sz w:val="16"/>
                <w:szCs w:val="16"/>
              </w:rPr>
              <w:t>60.5420a(c)(11)</w:t>
            </w:r>
          </w:p>
        </w:tc>
      </w:tr>
      <w:tr w:rsidRPr="00DA551A" w:rsidR="00C60D0E" w:rsidTr="002726E7" w14:paraId="7D1627B5" w14:textId="77777777">
        <w:trPr>
          <w:cantSplit/>
          <w:trHeight w:val="68"/>
        </w:trPr>
        <w:tc>
          <w:tcPr>
            <w:tcW w:w="7403" w:type="dxa"/>
            <w:tcBorders>
              <w:top w:val="nil"/>
              <w:left w:val="single" w:color="auto" w:sz="4" w:space="0"/>
              <w:bottom w:val="single" w:color="auto" w:sz="4" w:space="0"/>
              <w:right w:val="single" w:color="auto" w:sz="4" w:space="0"/>
            </w:tcBorders>
            <w:shd w:val="clear" w:color="auto" w:fill="auto"/>
            <w:noWrap/>
            <w:vAlign w:val="center"/>
          </w:tcPr>
          <w:p w:rsidRPr="00BE0863" w:rsidR="00C60D0E" w:rsidP="00C60D0E" w:rsidRDefault="00C60D0E" w14:paraId="55A5448C" w14:textId="6723B976">
            <w:pPr>
              <w:keepNext/>
              <w:widowControl/>
              <w:autoSpaceDE/>
              <w:autoSpaceDN/>
              <w:adjustRightInd/>
              <w:rPr>
                <w:sz w:val="16"/>
                <w:szCs w:val="16"/>
              </w:rPr>
            </w:pPr>
          </w:p>
        </w:tc>
        <w:tc>
          <w:tcPr>
            <w:tcW w:w="3397" w:type="dxa"/>
            <w:tcBorders>
              <w:top w:val="nil"/>
              <w:left w:val="single" w:color="auto" w:sz="4" w:space="0"/>
              <w:bottom w:val="single" w:color="auto" w:sz="4" w:space="0"/>
              <w:right w:val="single" w:color="auto" w:sz="4" w:space="0"/>
            </w:tcBorders>
            <w:shd w:val="clear" w:color="auto" w:fill="auto"/>
            <w:vAlign w:val="center"/>
          </w:tcPr>
          <w:p w:rsidRPr="00BE0863" w:rsidR="00C60D0E" w:rsidP="00C60D0E" w:rsidRDefault="00C60D0E" w14:paraId="40439E21" w14:textId="77777777">
            <w:pPr>
              <w:keepNext/>
              <w:widowControl/>
              <w:autoSpaceDE/>
              <w:autoSpaceDN/>
              <w:adjustRightInd/>
              <w:rPr>
                <w:sz w:val="16"/>
                <w:szCs w:val="16"/>
              </w:rPr>
            </w:pPr>
          </w:p>
        </w:tc>
      </w:tr>
    </w:tbl>
    <w:p w:rsidR="009A71A0" w:rsidP="00F70213" w:rsidRDefault="008B3F9C" w14:paraId="69DB8537" w14:textId="22BD1EC8">
      <w:pPr>
        <w:keepNext/>
        <w:widowControl/>
        <w:spacing w:line="276" w:lineRule="auto"/>
        <w:rPr>
          <w:i/>
          <w:sz w:val="24"/>
          <w:szCs w:val="24"/>
        </w:rPr>
      </w:pPr>
      <w:r w:rsidRPr="00270646">
        <w:rPr>
          <w:i/>
          <w:sz w:val="24"/>
          <w:szCs w:val="24"/>
        </w:rPr>
        <w:lastRenderedPageBreak/>
        <w:t>(ii)</w:t>
      </w:r>
      <w:r w:rsidRPr="00270646">
        <w:rPr>
          <w:i/>
          <w:sz w:val="24"/>
          <w:szCs w:val="24"/>
        </w:rPr>
        <w:tab/>
        <w:t>Respondent Activities</w:t>
      </w:r>
      <w:r>
        <w:rPr>
          <w:i/>
          <w:sz w:val="24"/>
          <w:szCs w:val="24"/>
        </w:rPr>
        <w:t>.</w:t>
      </w:r>
    </w:p>
    <w:p w:rsidRPr="00BC08FE" w:rsidR="008A2727" w:rsidP="00F70213" w:rsidRDefault="008A2727" w14:paraId="4C529BCC" w14:textId="77777777">
      <w:pPr>
        <w:keepNext/>
        <w:widowControl/>
        <w:spacing w:line="276" w:lineRule="auto"/>
        <w:rPr>
          <w:b/>
          <w:sz w:val="24"/>
          <w:szCs w:val="24"/>
        </w:rPr>
      </w:pPr>
    </w:p>
    <w:tbl>
      <w:tblPr>
        <w:tblW w:w="4984" w:type="pct"/>
        <w:jc w:val="center"/>
        <w:tblCellMar>
          <w:left w:w="120" w:type="dxa"/>
          <w:right w:w="120" w:type="dxa"/>
        </w:tblCellMar>
        <w:tblLook w:val="0000" w:firstRow="0" w:lastRow="0" w:firstColumn="0" w:lastColumn="0" w:noHBand="0" w:noVBand="0"/>
      </w:tblPr>
      <w:tblGrid>
        <w:gridCol w:w="9464"/>
      </w:tblGrid>
      <w:tr w:rsidRPr="008A2727" w:rsidR="00E339AD" w:rsidTr="007C5378" w14:paraId="7FD42F0A" w14:textId="77777777">
        <w:trPr>
          <w:cantSplit/>
          <w:tblHeader/>
          <w:jc w:val="center"/>
        </w:trPr>
        <w:tc>
          <w:tcPr>
            <w:tcW w:w="5000" w:type="pct"/>
            <w:tcBorders>
              <w:top w:val="single" w:color="auto" w:sz="4" w:space="0"/>
              <w:left w:val="single" w:color="auto" w:sz="4" w:space="0"/>
              <w:bottom w:val="single" w:color="auto" w:sz="4" w:space="0"/>
              <w:right w:val="single" w:color="auto" w:sz="4" w:space="0"/>
            </w:tcBorders>
            <w:vAlign w:val="center"/>
          </w:tcPr>
          <w:p w:rsidRPr="008A2727" w:rsidR="00E339AD" w:rsidP="00F70213" w:rsidRDefault="00E339AD" w14:paraId="25927D0D" w14:textId="77777777">
            <w:pPr>
              <w:keepNext/>
              <w:widowControl/>
              <w:spacing w:line="276" w:lineRule="auto"/>
              <w:jc w:val="center"/>
              <w:rPr>
                <w:b/>
                <w:bCs/>
              </w:rPr>
            </w:pPr>
            <w:r w:rsidRPr="008A2727">
              <w:rPr>
                <w:b/>
                <w:bCs/>
              </w:rPr>
              <w:t>Respondent Activities</w:t>
            </w:r>
          </w:p>
        </w:tc>
      </w:tr>
      <w:tr w:rsidRPr="008A2727" w:rsidR="00E339AD" w:rsidTr="007C5378" w14:paraId="2B7FEE86" w14:textId="77777777">
        <w:trPr>
          <w:cantSplit/>
          <w:jc w:val="center"/>
        </w:trPr>
        <w:tc>
          <w:tcPr>
            <w:tcW w:w="5000" w:type="pct"/>
            <w:tcBorders>
              <w:top w:val="single" w:color="auto" w:sz="4" w:space="0"/>
              <w:left w:val="single" w:color="auto" w:sz="4" w:space="0"/>
              <w:bottom w:val="single" w:color="auto" w:sz="4" w:space="0"/>
              <w:right w:val="single" w:color="auto" w:sz="4" w:space="0"/>
            </w:tcBorders>
          </w:tcPr>
          <w:p w:rsidRPr="008A2727" w:rsidR="00E339AD" w:rsidP="00F70213" w:rsidRDefault="00E339AD" w14:paraId="0A1D923D" w14:textId="447B816B">
            <w:pPr>
              <w:keepNext/>
              <w:widowControl/>
              <w:spacing w:line="276" w:lineRule="auto"/>
            </w:pPr>
            <w:r w:rsidRPr="008A2727">
              <w:t>Read instructions</w:t>
            </w:r>
            <w:r w:rsidRPr="008A2727" w:rsidR="004E0BF2">
              <w:t>/rule</w:t>
            </w:r>
            <w:r w:rsidRPr="008A2727">
              <w:t>.</w:t>
            </w:r>
          </w:p>
        </w:tc>
      </w:tr>
      <w:tr w:rsidRPr="008A2727" w:rsidR="002F4CB1" w:rsidTr="007C5378" w14:paraId="05BE320D" w14:textId="77777777">
        <w:trPr>
          <w:cantSplit/>
          <w:jc w:val="center"/>
        </w:trPr>
        <w:tc>
          <w:tcPr>
            <w:tcW w:w="5000" w:type="pct"/>
            <w:tcBorders>
              <w:top w:val="single" w:color="auto" w:sz="4" w:space="0"/>
              <w:left w:val="single" w:color="000000" w:sz="7" w:space="0"/>
              <w:bottom w:val="single" w:color="000000" w:sz="7" w:space="0"/>
              <w:right w:val="single" w:color="000000" w:sz="7" w:space="0"/>
            </w:tcBorders>
          </w:tcPr>
          <w:p w:rsidRPr="008A2727" w:rsidR="00E339AD" w:rsidP="00F70213" w:rsidRDefault="00E339AD" w14:paraId="65EE65A4" w14:textId="77777777">
            <w:pPr>
              <w:keepNext/>
              <w:widowControl/>
              <w:spacing w:line="276" w:lineRule="auto"/>
              <w:rPr>
                <w:color w:val="000000" w:themeColor="text1"/>
              </w:rPr>
            </w:pPr>
            <w:r w:rsidRPr="008A2727">
              <w:rPr>
                <w:color w:val="000000" w:themeColor="text1"/>
              </w:rPr>
              <w:t>Gather relevant information.</w:t>
            </w:r>
          </w:p>
        </w:tc>
      </w:tr>
      <w:tr w:rsidRPr="008A2727" w:rsidR="00E339AD" w:rsidTr="00E339AD" w14:paraId="5974CD3D" w14:textId="77777777">
        <w:trPr>
          <w:cantSplit/>
          <w:jc w:val="center"/>
        </w:trPr>
        <w:tc>
          <w:tcPr>
            <w:tcW w:w="5000" w:type="pct"/>
            <w:tcBorders>
              <w:top w:val="single" w:color="000000" w:sz="7" w:space="0"/>
              <w:left w:val="single" w:color="000000" w:sz="7" w:space="0"/>
              <w:bottom w:val="single" w:color="000000" w:sz="7" w:space="0"/>
              <w:right w:val="single" w:color="000000" w:sz="7" w:space="0"/>
            </w:tcBorders>
          </w:tcPr>
          <w:p w:rsidRPr="008A2727" w:rsidR="00E339AD" w:rsidP="00F70213" w:rsidRDefault="00E339AD" w14:paraId="6C92DEA8" w14:textId="77777777">
            <w:pPr>
              <w:keepNext/>
              <w:widowControl/>
              <w:spacing w:line="276" w:lineRule="auto"/>
              <w:rPr>
                <w:color w:val="000000" w:themeColor="text1"/>
              </w:rPr>
            </w:pPr>
            <w:r w:rsidRPr="008A2727">
              <w:rPr>
                <w:color w:val="000000" w:themeColor="text1"/>
              </w:rPr>
              <w:t>Perform initial performance test and repeat performance tests if necessary.</w:t>
            </w:r>
          </w:p>
        </w:tc>
      </w:tr>
      <w:tr w:rsidRPr="008A2727" w:rsidR="00E339AD" w:rsidTr="00E339AD" w14:paraId="22477B9A" w14:textId="77777777">
        <w:trPr>
          <w:cantSplit/>
          <w:jc w:val="center"/>
        </w:trPr>
        <w:tc>
          <w:tcPr>
            <w:tcW w:w="5000" w:type="pct"/>
            <w:tcBorders>
              <w:top w:val="single" w:color="000000" w:sz="7" w:space="0"/>
              <w:left w:val="single" w:color="000000" w:sz="7" w:space="0"/>
              <w:bottom w:val="single" w:color="auto" w:sz="4" w:space="0"/>
              <w:right w:val="single" w:color="000000" w:sz="7" w:space="0"/>
            </w:tcBorders>
          </w:tcPr>
          <w:p w:rsidRPr="008A2727" w:rsidR="00E339AD" w:rsidP="00F70213" w:rsidRDefault="00E339AD" w14:paraId="70F280E3" w14:textId="77777777">
            <w:pPr>
              <w:keepNext/>
              <w:widowControl/>
              <w:spacing w:line="276" w:lineRule="auto"/>
            </w:pPr>
            <w:r w:rsidRPr="008A2727">
              <w:t xml:space="preserve">Write the notifications and reports listed above. </w:t>
            </w:r>
          </w:p>
        </w:tc>
      </w:tr>
      <w:tr w:rsidRPr="008A2727" w:rsidR="00E339AD" w:rsidTr="00E339AD" w14:paraId="4040A91B" w14:textId="77777777">
        <w:trPr>
          <w:cantSplit/>
          <w:jc w:val="center"/>
        </w:trPr>
        <w:tc>
          <w:tcPr>
            <w:tcW w:w="5000" w:type="pct"/>
            <w:tcBorders>
              <w:top w:val="single" w:color="auto" w:sz="4" w:space="0"/>
              <w:left w:val="single" w:color="auto" w:sz="4" w:space="0"/>
              <w:bottom w:val="single" w:color="auto" w:sz="4" w:space="0"/>
              <w:right w:val="single" w:color="auto" w:sz="4" w:space="0"/>
            </w:tcBorders>
          </w:tcPr>
          <w:p w:rsidRPr="008A2727" w:rsidR="00E339AD" w:rsidP="00F70213" w:rsidRDefault="00E339AD" w14:paraId="2B5D9598" w14:textId="77777777">
            <w:pPr>
              <w:keepNext/>
              <w:widowControl/>
              <w:spacing w:line="276" w:lineRule="auto"/>
            </w:pPr>
            <w:r w:rsidRPr="008A2727">
              <w:t>Enter information required to be recorded above.</w:t>
            </w:r>
          </w:p>
        </w:tc>
      </w:tr>
      <w:tr w:rsidRPr="008A2727" w:rsidR="00E339AD" w:rsidTr="00E339AD" w14:paraId="3A8B4010"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8A2727" w:rsidR="00E339AD" w:rsidP="00F70213" w:rsidRDefault="00E339AD" w14:paraId="0BA45631" w14:textId="77777777">
            <w:pPr>
              <w:keepNext/>
              <w:widowControl/>
              <w:spacing w:line="276" w:lineRule="auto"/>
            </w:pPr>
            <w:r w:rsidRPr="008A2727">
              <w:t>Submit the required reports developing, acquiring, installing, and utilizing technology and systems for the purpose of collecting, validating, and verifying information.</w:t>
            </w:r>
          </w:p>
        </w:tc>
      </w:tr>
      <w:tr w:rsidRPr="008A2727" w:rsidR="00E339AD" w:rsidTr="00E339AD" w14:paraId="356EA012"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8A2727" w:rsidR="00E339AD" w:rsidP="00F70213" w:rsidRDefault="00E339AD" w14:paraId="0B256A60" w14:textId="77777777">
            <w:pPr>
              <w:keepNext/>
              <w:widowControl/>
              <w:spacing w:line="276" w:lineRule="auto"/>
            </w:pPr>
            <w:r w:rsidRPr="008A2727">
              <w:t>Develop, acquire, install, and utilize technology and systems for the purpose of processing and maintaining information.</w:t>
            </w:r>
          </w:p>
        </w:tc>
      </w:tr>
      <w:tr w:rsidRPr="008A2727" w:rsidR="00E339AD" w:rsidTr="00E339AD" w14:paraId="3B9F3847"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8A2727" w:rsidR="00E339AD" w:rsidP="00F70213" w:rsidRDefault="00E339AD" w14:paraId="6FFF990B" w14:textId="77777777">
            <w:pPr>
              <w:keepNext/>
              <w:widowControl/>
              <w:spacing w:line="276" w:lineRule="auto"/>
            </w:pPr>
            <w:r w:rsidRPr="008A2727">
              <w:t>Develop, acquire, install, and utilize technology and systems for the purpose of disclosing and providing information.</w:t>
            </w:r>
          </w:p>
        </w:tc>
      </w:tr>
      <w:tr w:rsidRPr="008A2727" w:rsidR="00E339AD" w:rsidTr="00E339AD" w14:paraId="11E18D2F"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8A2727" w:rsidR="00E339AD" w:rsidP="00F70213" w:rsidRDefault="00E339AD" w14:paraId="663ECA3E" w14:textId="77777777">
            <w:pPr>
              <w:keepNext/>
              <w:widowControl/>
              <w:spacing w:line="276" w:lineRule="auto"/>
            </w:pPr>
            <w:r w:rsidRPr="008A2727">
              <w:t>Adjust the existing ways to comply with any previously applicable instructions and requirements.</w:t>
            </w:r>
          </w:p>
        </w:tc>
      </w:tr>
      <w:tr w:rsidRPr="008A2727" w:rsidR="00E339AD" w:rsidTr="00E339AD" w14:paraId="238458F2"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tcPr>
          <w:p w:rsidRPr="008A2727" w:rsidR="00E339AD" w:rsidP="00F70213" w:rsidRDefault="00E339AD" w14:paraId="14F203B1" w14:textId="77777777">
            <w:pPr>
              <w:keepNext/>
              <w:widowControl/>
              <w:spacing w:line="276" w:lineRule="auto"/>
            </w:pPr>
            <w:r w:rsidRPr="008A2727">
              <w:t>Train personnel to be able to respond to a collection of information.</w:t>
            </w:r>
          </w:p>
        </w:tc>
      </w:tr>
      <w:tr w:rsidRPr="008A2727" w:rsidR="00E339AD" w:rsidTr="00E339AD" w14:paraId="03CEFA35" w14:textId="77777777">
        <w:trPr>
          <w:cantSplit/>
          <w:jc w:val="center"/>
        </w:trPr>
        <w:tc>
          <w:tcPr>
            <w:tcW w:w="5000" w:type="pct"/>
            <w:tcBorders>
              <w:top w:val="single" w:color="000000" w:sz="7" w:space="0"/>
              <w:left w:val="single" w:color="000000" w:sz="7" w:space="0"/>
              <w:bottom w:val="single" w:color="000000" w:sz="4" w:space="0"/>
              <w:right w:val="single" w:color="000000" w:sz="7" w:space="0"/>
            </w:tcBorders>
            <w:vAlign w:val="center"/>
          </w:tcPr>
          <w:p w:rsidRPr="008A2727" w:rsidR="00E339AD" w:rsidP="00F70213" w:rsidRDefault="00E339AD" w14:paraId="275505DF" w14:textId="77777777">
            <w:pPr>
              <w:keepNext/>
              <w:widowControl/>
              <w:spacing w:line="276" w:lineRule="auto"/>
            </w:pPr>
            <w:r w:rsidRPr="008A2727">
              <w:t>Transmit, or otherwise disclose the information.</w:t>
            </w:r>
          </w:p>
        </w:tc>
      </w:tr>
    </w:tbl>
    <w:p w:rsidR="007D42EF" w:rsidP="00F70213" w:rsidRDefault="007D42EF" w14:paraId="36616D97" w14:textId="77777777">
      <w:pPr>
        <w:keepNext/>
        <w:widowControl/>
        <w:tabs>
          <w:tab w:val="left" w:pos="720"/>
        </w:tabs>
        <w:spacing w:line="360" w:lineRule="auto"/>
        <w:rPr>
          <w:sz w:val="24"/>
          <w:szCs w:val="24"/>
        </w:rPr>
      </w:pPr>
    </w:p>
    <w:p w:rsidRPr="00530E4D" w:rsidR="00B1351A" w:rsidP="0075527B" w:rsidRDefault="00B1351A" w14:paraId="52B60562" w14:textId="77777777">
      <w:pPr>
        <w:widowControl/>
        <w:tabs>
          <w:tab w:val="left" w:pos="720"/>
        </w:tabs>
        <w:spacing w:line="360" w:lineRule="auto"/>
        <w:ind w:left="720" w:hanging="720"/>
        <w:rPr>
          <w:b/>
          <w:sz w:val="24"/>
          <w:szCs w:val="24"/>
        </w:rPr>
      </w:pPr>
      <w:r w:rsidRPr="00FA2680">
        <w:rPr>
          <w:b/>
          <w:bCs/>
          <w:sz w:val="24"/>
          <w:szCs w:val="24"/>
        </w:rPr>
        <w:t>5.</w:t>
      </w:r>
      <w:r w:rsidRPr="00FA2680">
        <w:rPr>
          <w:b/>
          <w:bCs/>
          <w:sz w:val="24"/>
          <w:szCs w:val="24"/>
        </w:rPr>
        <w:tab/>
      </w:r>
      <w:r w:rsidRPr="00530E4D">
        <w:rPr>
          <w:b/>
          <w:bCs/>
          <w:sz w:val="24"/>
          <w:szCs w:val="24"/>
        </w:rPr>
        <w:t>The Information Collected–Agency Activities, Collection Methodology, and Information Management</w:t>
      </w:r>
    </w:p>
    <w:p w:rsidR="00B1351A" w:rsidP="0075527B" w:rsidRDefault="00B1351A" w14:paraId="2BF95E0A" w14:textId="77777777">
      <w:pPr>
        <w:widowControl/>
        <w:spacing w:line="360" w:lineRule="auto"/>
        <w:rPr>
          <w:sz w:val="24"/>
          <w:szCs w:val="24"/>
        </w:rPr>
      </w:pPr>
      <w:r>
        <w:rPr>
          <w:i/>
          <w:iCs/>
          <w:sz w:val="24"/>
          <w:szCs w:val="24"/>
        </w:rPr>
        <w:t>(a)</w:t>
      </w:r>
      <w:r>
        <w:rPr>
          <w:i/>
          <w:iCs/>
          <w:sz w:val="24"/>
          <w:szCs w:val="24"/>
        </w:rPr>
        <w:tab/>
        <w:t>Agency Activities.</w:t>
      </w:r>
    </w:p>
    <w:p w:rsidR="00B1351A" w:rsidP="0075527B" w:rsidRDefault="00B1351A" w14:paraId="18996C85" w14:textId="47AFDFA6">
      <w:pPr>
        <w:widowControl/>
        <w:spacing w:line="360" w:lineRule="auto"/>
        <w:rPr>
          <w:sz w:val="24"/>
          <w:szCs w:val="24"/>
        </w:rPr>
      </w:pPr>
      <w:r>
        <w:rPr>
          <w:sz w:val="24"/>
          <w:szCs w:val="24"/>
        </w:rPr>
        <w:tab/>
      </w:r>
      <w:r w:rsidRPr="00483C3F" w:rsidR="009D0C20">
        <w:rPr>
          <w:sz w:val="24"/>
          <w:szCs w:val="24"/>
        </w:rPr>
        <w:t>The</w:t>
      </w:r>
      <w:r w:rsidRPr="00483C3F">
        <w:rPr>
          <w:sz w:val="24"/>
          <w:szCs w:val="24"/>
        </w:rPr>
        <w:t xml:space="preserve"> </w:t>
      </w:r>
      <w:r w:rsidR="00AD7D59">
        <w:rPr>
          <w:sz w:val="24"/>
          <w:szCs w:val="24"/>
        </w:rPr>
        <w:t xml:space="preserve">federal </w:t>
      </w:r>
      <w:r w:rsidR="004714A4">
        <w:rPr>
          <w:sz w:val="24"/>
          <w:szCs w:val="24"/>
        </w:rPr>
        <w:t>government (EPA)</w:t>
      </w:r>
      <w:r w:rsidRPr="00483C3F">
        <w:rPr>
          <w:sz w:val="24"/>
          <w:szCs w:val="24"/>
        </w:rPr>
        <w:t xml:space="preserve"> activities </w:t>
      </w:r>
      <w:r w:rsidRPr="00483C3F" w:rsidR="004206E1">
        <w:rPr>
          <w:sz w:val="24"/>
          <w:szCs w:val="24"/>
        </w:rPr>
        <w:t xml:space="preserve">associated with </w:t>
      </w:r>
      <w:r w:rsidR="008B7523">
        <w:rPr>
          <w:sz w:val="24"/>
          <w:szCs w:val="24"/>
        </w:rPr>
        <w:t xml:space="preserve">the </w:t>
      </w:r>
      <w:r w:rsidR="008E328D">
        <w:rPr>
          <w:sz w:val="24"/>
          <w:szCs w:val="24"/>
        </w:rPr>
        <w:t xml:space="preserve">proposed </w:t>
      </w:r>
      <w:r w:rsidR="008B7523">
        <w:rPr>
          <w:sz w:val="24"/>
          <w:szCs w:val="24"/>
        </w:rPr>
        <w:t>amend</w:t>
      </w:r>
      <w:r w:rsidR="008E328D">
        <w:rPr>
          <w:sz w:val="24"/>
          <w:szCs w:val="24"/>
        </w:rPr>
        <w:t>ments to</w:t>
      </w:r>
      <w:r w:rsidR="008B7523">
        <w:rPr>
          <w:sz w:val="24"/>
          <w:szCs w:val="24"/>
        </w:rPr>
        <w:t xml:space="preserve"> </w:t>
      </w:r>
      <w:r w:rsidR="00E14F01">
        <w:rPr>
          <w:sz w:val="24"/>
          <w:szCs w:val="24"/>
        </w:rPr>
        <w:t>NSPS OOOOa</w:t>
      </w:r>
      <w:r w:rsidRPr="00483C3F" w:rsidR="003B2EFA">
        <w:rPr>
          <w:sz w:val="24"/>
          <w:szCs w:val="24"/>
        </w:rPr>
        <w:t xml:space="preserve"> </w:t>
      </w:r>
      <w:r w:rsidRPr="00483C3F" w:rsidR="009D0C20">
        <w:rPr>
          <w:sz w:val="24"/>
          <w:szCs w:val="24"/>
        </w:rPr>
        <w:t>are</w:t>
      </w:r>
      <w:r w:rsidRPr="00483C3F">
        <w:rPr>
          <w:sz w:val="24"/>
          <w:szCs w:val="24"/>
        </w:rPr>
        <w:t xml:space="preserve"> provided in </w:t>
      </w:r>
      <w:r w:rsidRPr="00483C3F" w:rsidR="00664E61">
        <w:rPr>
          <w:sz w:val="24"/>
          <w:szCs w:val="24"/>
        </w:rPr>
        <w:t>Table</w:t>
      </w:r>
      <w:r w:rsidR="00664E61">
        <w:rPr>
          <w:sz w:val="24"/>
          <w:szCs w:val="24"/>
        </w:rPr>
        <w:t>s</w:t>
      </w:r>
      <w:r w:rsidRPr="00483C3F" w:rsidR="00664E61">
        <w:rPr>
          <w:sz w:val="24"/>
          <w:szCs w:val="24"/>
        </w:rPr>
        <w:t xml:space="preserve"> 2</w:t>
      </w:r>
      <w:r w:rsidR="00664E61">
        <w:rPr>
          <w:sz w:val="24"/>
          <w:szCs w:val="24"/>
        </w:rPr>
        <w:t>a-2d</w:t>
      </w:r>
      <w:r w:rsidRPr="00483C3F">
        <w:rPr>
          <w:sz w:val="24"/>
          <w:szCs w:val="24"/>
        </w:rPr>
        <w:t xml:space="preserve"> </w:t>
      </w:r>
      <w:r w:rsidRPr="00483C3F" w:rsidR="00E51270">
        <w:rPr>
          <w:sz w:val="24"/>
          <w:szCs w:val="24"/>
        </w:rPr>
        <w:t xml:space="preserve">(located at the end of this supporting statement) </w:t>
      </w:r>
      <w:r w:rsidRPr="00483C3F">
        <w:rPr>
          <w:sz w:val="24"/>
          <w:szCs w:val="24"/>
        </w:rPr>
        <w:t>and</w:t>
      </w:r>
      <w:r w:rsidRPr="00483C3F" w:rsidR="009D0C20">
        <w:rPr>
          <w:sz w:val="24"/>
          <w:szCs w:val="24"/>
        </w:rPr>
        <w:t xml:space="preserve"> are</w:t>
      </w:r>
      <w:r w:rsidRPr="00483C3F">
        <w:rPr>
          <w:sz w:val="24"/>
          <w:szCs w:val="24"/>
        </w:rPr>
        <w:t xml:space="preserve"> introduced in section 6(c).</w:t>
      </w:r>
    </w:p>
    <w:p w:rsidR="00B1351A" w:rsidP="0075527B" w:rsidRDefault="00B1351A" w14:paraId="50E4D759" w14:textId="77777777">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Pr="00123B90" w:rsidR="008F7DE3" w:rsidP="008F7DE3" w:rsidRDefault="00B1351A" w14:paraId="11163533" w14:textId="735899E6">
      <w:pPr>
        <w:widowControl/>
        <w:spacing w:line="360" w:lineRule="auto"/>
        <w:rPr>
          <w:sz w:val="24"/>
          <w:szCs w:val="24"/>
        </w:rPr>
      </w:pPr>
      <w:r>
        <w:rPr>
          <w:sz w:val="24"/>
          <w:szCs w:val="24"/>
        </w:rPr>
        <w:tab/>
      </w:r>
      <w:r w:rsidRPr="00483C3F">
        <w:rPr>
          <w:sz w:val="24"/>
          <w:szCs w:val="24"/>
        </w:rPr>
        <w:t>Data and records maintained by the respondents are tabulated and published for use in compliance and enforcement programs</w:t>
      </w:r>
      <w:r w:rsidRPr="00483C3F" w:rsidR="008922DE">
        <w:rPr>
          <w:sz w:val="24"/>
          <w:szCs w:val="24"/>
        </w:rPr>
        <w:t xml:space="preserve"> of the delegated permitting authority</w:t>
      </w:r>
      <w:r w:rsidRPr="00483C3F">
        <w:rPr>
          <w:sz w:val="24"/>
          <w:szCs w:val="24"/>
        </w:rPr>
        <w:t xml:space="preserve">. </w:t>
      </w:r>
      <w:r w:rsidRPr="00967632" w:rsidR="00967632">
        <w:rPr>
          <w:sz w:val="24"/>
          <w:szCs w:val="24"/>
        </w:rPr>
        <w:t xml:space="preserve">Information contained in the reports will be required to </w:t>
      </w:r>
      <w:r w:rsidR="000557B3">
        <w:rPr>
          <w:sz w:val="24"/>
          <w:szCs w:val="24"/>
        </w:rPr>
        <w:t xml:space="preserve">be </w:t>
      </w:r>
      <w:r w:rsidRPr="00967632" w:rsidR="00967632">
        <w:rPr>
          <w:sz w:val="24"/>
          <w:szCs w:val="24"/>
        </w:rPr>
        <w:t>submit</w:t>
      </w:r>
      <w:r w:rsidR="000557B3">
        <w:rPr>
          <w:sz w:val="24"/>
          <w:szCs w:val="24"/>
        </w:rPr>
        <w:t>ted</w:t>
      </w:r>
      <w:r w:rsidRPr="00967632" w:rsidR="00967632">
        <w:rPr>
          <w:sz w:val="24"/>
          <w:szCs w:val="24"/>
        </w:rPr>
        <w:t xml:space="preserve"> electronically to </w:t>
      </w:r>
      <w:r w:rsidR="007F789C">
        <w:rPr>
          <w:sz w:val="24"/>
          <w:szCs w:val="24"/>
        </w:rPr>
        <w:t>EPA</w:t>
      </w:r>
      <w:r w:rsidRPr="00967632" w:rsidR="00967632">
        <w:rPr>
          <w:sz w:val="24"/>
          <w:szCs w:val="24"/>
        </w:rPr>
        <w:t xml:space="preserve">’s Central DATA Exchange (CDX) using the </w:t>
      </w:r>
      <w:r w:rsidRPr="00A51D01" w:rsidR="00A51D01">
        <w:rPr>
          <w:sz w:val="24"/>
          <w:szCs w:val="24"/>
        </w:rPr>
        <w:t>Compliance and Emissions Data Reporting Interface (CEDRI)</w:t>
      </w:r>
      <w:r w:rsidR="00275D51">
        <w:rPr>
          <w:sz w:val="24"/>
          <w:szCs w:val="24"/>
        </w:rPr>
        <w:t xml:space="preserve">. </w:t>
      </w:r>
      <w:r w:rsidR="00020FF9">
        <w:rPr>
          <w:sz w:val="24"/>
          <w:szCs w:val="24"/>
        </w:rPr>
        <w:t>CDX</w:t>
      </w:r>
      <w:r w:rsidRPr="00967632" w:rsidR="00967632">
        <w:rPr>
          <w:sz w:val="24"/>
          <w:szCs w:val="24"/>
        </w:rPr>
        <w:t xml:space="preserve"> enables fast, efficient and more accurate environmental data submissions from state and local governments, industry and tribes to </w:t>
      </w:r>
      <w:r w:rsidR="007F789C">
        <w:rPr>
          <w:sz w:val="24"/>
          <w:szCs w:val="24"/>
        </w:rPr>
        <w:t>EPA</w:t>
      </w:r>
      <w:r w:rsidR="00020FF9">
        <w:rPr>
          <w:sz w:val="24"/>
          <w:szCs w:val="24"/>
        </w:rPr>
        <w:t xml:space="preserve"> </w:t>
      </w:r>
      <w:r w:rsidRPr="00967632" w:rsidR="00967632">
        <w:rPr>
          <w:sz w:val="24"/>
          <w:szCs w:val="24"/>
        </w:rPr>
        <w:t>and participating program offices</w:t>
      </w:r>
      <w:r w:rsidR="00275D51">
        <w:rPr>
          <w:sz w:val="24"/>
          <w:szCs w:val="24"/>
        </w:rPr>
        <w:t xml:space="preserve">. </w:t>
      </w:r>
      <w:r w:rsidR="007F789C">
        <w:rPr>
          <w:sz w:val="24"/>
          <w:szCs w:val="24"/>
        </w:rPr>
        <w:t>EPA</w:t>
      </w:r>
      <w:r w:rsidR="00F854E0">
        <w:rPr>
          <w:sz w:val="24"/>
          <w:szCs w:val="24"/>
        </w:rPr>
        <w:t>’</w:t>
      </w:r>
      <w:r w:rsidRPr="00967632" w:rsidR="00967632">
        <w:rPr>
          <w:sz w:val="24"/>
          <w:szCs w:val="24"/>
        </w:rPr>
        <w:t>s CDX is the point of entry on the Environmental Information Exchange Network (Exchange Network) for environmental data submissions to the Agency</w:t>
      </w:r>
      <w:r w:rsidR="00275D51">
        <w:rPr>
          <w:sz w:val="24"/>
          <w:szCs w:val="24"/>
        </w:rPr>
        <w:t xml:space="preserve">. </w:t>
      </w:r>
      <w:r w:rsidRPr="00967632" w:rsidR="00967632">
        <w:rPr>
          <w:sz w:val="24"/>
          <w:szCs w:val="24"/>
        </w:rPr>
        <w:t xml:space="preserve">CDX works with both EPA program offices looking for a way to better manage incoming data, and stakeholders looking for a way to reduce burden from reporting requirements. </w:t>
      </w:r>
      <w:r w:rsidR="008F7DE3">
        <w:rPr>
          <w:sz w:val="24"/>
          <w:szCs w:val="24"/>
        </w:rPr>
        <w:t xml:space="preserve">Appendix </w:t>
      </w:r>
      <w:r w:rsidR="00A626A6">
        <w:rPr>
          <w:sz w:val="24"/>
          <w:szCs w:val="24"/>
        </w:rPr>
        <w:t>B</w:t>
      </w:r>
      <w:r w:rsidR="008F7DE3">
        <w:rPr>
          <w:sz w:val="24"/>
          <w:szCs w:val="24"/>
        </w:rPr>
        <w:t xml:space="preserve"> includes the </w:t>
      </w:r>
      <w:r w:rsidRPr="00BA3A16" w:rsidR="008F7DE3">
        <w:rPr>
          <w:sz w:val="24"/>
          <w:szCs w:val="24"/>
        </w:rPr>
        <w:t xml:space="preserve">CEDRI </w:t>
      </w:r>
      <w:r w:rsidR="008F7DE3">
        <w:rPr>
          <w:sz w:val="24"/>
          <w:szCs w:val="24"/>
        </w:rPr>
        <w:t xml:space="preserve">electronic portal for submitting reports under </w:t>
      </w:r>
      <w:r w:rsidRPr="00BA3A16" w:rsidR="008F7DE3">
        <w:rPr>
          <w:sz w:val="24"/>
          <w:szCs w:val="24"/>
        </w:rPr>
        <w:t>40 CFR part 60, subpart OOOOa</w:t>
      </w:r>
      <w:r w:rsidR="008F7DE3">
        <w:rPr>
          <w:sz w:val="24"/>
          <w:szCs w:val="24"/>
        </w:rPr>
        <w:t xml:space="preserve">. The electronic portal to submit reports online </w:t>
      </w:r>
      <w:r w:rsidRPr="00BA3A16" w:rsidR="008F7DE3">
        <w:rPr>
          <w:sz w:val="24"/>
          <w:szCs w:val="24"/>
        </w:rPr>
        <w:t>is accessed through the EPA</w:t>
      </w:r>
      <w:r w:rsidR="008F7DE3">
        <w:rPr>
          <w:sz w:val="24"/>
          <w:szCs w:val="24"/>
        </w:rPr>
        <w:t>’</w:t>
      </w:r>
      <w:r w:rsidRPr="00BA3A16" w:rsidR="008F7DE3">
        <w:rPr>
          <w:sz w:val="24"/>
          <w:szCs w:val="24"/>
        </w:rPr>
        <w:t xml:space="preserve">s </w:t>
      </w:r>
      <w:r w:rsidR="008F7DE3">
        <w:rPr>
          <w:sz w:val="24"/>
          <w:szCs w:val="24"/>
        </w:rPr>
        <w:t xml:space="preserve">CDX at </w:t>
      </w:r>
      <w:hyperlink w:history="1" r:id="rId12">
        <w:r w:rsidRPr="000A3AA8" w:rsidR="008F7DE3">
          <w:rPr>
            <w:rStyle w:val="Hyperlink"/>
            <w:sz w:val="24"/>
            <w:szCs w:val="24"/>
          </w:rPr>
          <w:t>https://cdx.epa.gov</w:t>
        </w:r>
      </w:hyperlink>
      <w:r w:rsidR="008F7DE3">
        <w:rPr>
          <w:sz w:val="24"/>
          <w:szCs w:val="24"/>
        </w:rPr>
        <w:t xml:space="preserve">. The spreadsheet templates </w:t>
      </w:r>
      <w:r w:rsidR="008F7DE3">
        <w:rPr>
          <w:sz w:val="24"/>
          <w:szCs w:val="24"/>
        </w:rPr>
        <w:lastRenderedPageBreak/>
        <w:t xml:space="preserve">created </w:t>
      </w:r>
      <w:r w:rsidRPr="00BA3A16" w:rsidR="008F7DE3">
        <w:rPr>
          <w:sz w:val="24"/>
          <w:szCs w:val="24"/>
        </w:rPr>
        <w:t>by the EPA to facilitate annual reporting for Oil and Gas Facilities under 40 CFR part 60, subpart OOOOa</w:t>
      </w:r>
      <w:r w:rsidR="008F7DE3">
        <w:rPr>
          <w:sz w:val="24"/>
          <w:szCs w:val="24"/>
        </w:rPr>
        <w:t xml:space="preserve"> can be obtained at</w:t>
      </w:r>
      <w:r w:rsidRPr="004627FF" w:rsidR="008F7DE3">
        <w:rPr>
          <w:sz w:val="24"/>
          <w:szCs w:val="24"/>
        </w:rPr>
        <w:t xml:space="preserve"> https://www.epa.gov/electronic-reporting-air-emissions/cedri#list as well as https://www.epa.gov/co</w:t>
      </w:r>
      <w:r w:rsidRPr="00EC73AE" w:rsidR="008F7DE3">
        <w:rPr>
          <w:sz w:val="24"/>
          <w:szCs w:val="24"/>
        </w:rPr>
        <w:t>ntrolling-air-pollution-oil-and-natural-gas-industry/implementation-oil-and-natural-gas-air#report</w:t>
      </w:r>
      <w:r w:rsidR="008F7DE3">
        <w:rPr>
          <w:sz w:val="24"/>
          <w:szCs w:val="24"/>
        </w:rPr>
        <w:t>.</w:t>
      </w:r>
    </w:p>
    <w:p w:rsidR="00822E3E" w:rsidP="0075527B" w:rsidRDefault="00B1351A" w14:paraId="3712FDAA" w14:textId="2F147A8D">
      <w:pPr>
        <w:widowControl/>
        <w:spacing w:line="360" w:lineRule="auto"/>
        <w:rPr>
          <w:i/>
          <w:iCs/>
          <w:sz w:val="24"/>
          <w:szCs w:val="24"/>
        </w:rPr>
      </w:pPr>
      <w:r>
        <w:rPr>
          <w:i/>
          <w:iCs/>
          <w:sz w:val="24"/>
          <w:szCs w:val="24"/>
        </w:rPr>
        <w:t>(c)</w:t>
      </w:r>
      <w:r w:rsidR="00DC4234">
        <w:rPr>
          <w:i/>
          <w:iCs/>
          <w:sz w:val="24"/>
          <w:szCs w:val="24"/>
        </w:rPr>
        <w:tab/>
      </w:r>
      <w:r>
        <w:rPr>
          <w:i/>
          <w:iCs/>
          <w:sz w:val="24"/>
          <w:szCs w:val="24"/>
        </w:rPr>
        <w:t>Small Entity Flexibility.</w:t>
      </w:r>
    </w:p>
    <w:p w:rsidR="00F56D1F" w:rsidP="0075527B" w:rsidRDefault="001778DF" w14:paraId="6E9A3733" w14:textId="06907FC9">
      <w:pPr>
        <w:widowControl/>
        <w:spacing w:line="360" w:lineRule="auto"/>
        <w:ind w:firstLine="720"/>
        <w:rPr>
          <w:sz w:val="24"/>
          <w:szCs w:val="24"/>
        </w:rPr>
      </w:pPr>
      <w:r>
        <w:rPr>
          <w:sz w:val="24"/>
          <w:szCs w:val="24"/>
        </w:rPr>
        <w:t xml:space="preserve">The </w:t>
      </w:r>
      <w:r w:rsidR="007F789C">
        <w:rPr>
          <w:sz w:val="24"/>
          <w:szCs w:val="24"/>
        </w:rPr>
        <w:t>EPA</w:t>
      </w:r>
      <w:r w:rsidRPr="00FD5569" w:rsidR="00FD5569">
        <w:rPr>
          <w:sz w:val="24"/>
          <w:szCs w:val="24"/>
        </w:rPr>
        <w:t xml:space="preserve"> performed a screening analysis for impacts on a sample of expected affected small entities by comparing compliance costs to entity revenues</w:t>
      </w:r>
      <w:r w:rsidR="00FA5EAA">
        <w:rPr>
          <w:sz w:val="24"/>
          <w:szCs w:val="24"/>
        </w:rPr>
        <w:t xml:space="preserve"> during the development of the 2016 NSPS</w:t>
      </w:r>
      <w:r w:rsidRPr="00B85498" w:rsidR="00B85498">
        <w:rPr>
          <w:sz w:val="24"/>
          <w:szCs w:val="24"/>
        </w:rPr>
        <w:t xml:space="preserve"> </w:t>
      </w:r>
      <w:r w:rsidR="00B85498">
        <w:rPr>
          <w:sz w:val="24"/>
          <w:szCs w:val="24"/>
        </w:rPr>
        <w:t>OOOOa</w:t>
      </w:r>
      <w:r w:rsidR="00275D51">
        <w:rPr>
          <w:sz w:val="24"/>
          <w:szCs w:val="24"/>
        </w:rPr>
        <w:t xml:space="preserve">. </w:t>
      </w:r>
      <w:r w:rsidR="00D371DE">
        <w:rPr>
          <w:sz w:val="24"/>
          <w:szCs w:val="24"/>
        </w:rPr>
        <w:t>T</w:t>
      </w:r>
      <w:r w:rsidRPr="00F56D1F" w:rsidR="00F56D1F">
        <w:rPr>
          <w:sz w:val="24"/>
          <w:szCs w:val="24"/>
        </w:rPr>
        <w:t>he impact on small entities (</w:t>
      </w:r>
      <w:r w:rsidRPr="00FC4A6C" w:rsidR="00F56D1F">
        <w:rPr>
          <w:i/>
          <w:iCs/>
          <w:sz w:val="24"/>
          <w:szCs w:val="24"/>
        </w:rPr>
        <w:t>i.e.,</w:t>
      </w:r>
      <w:r w:rsidRPr="00F56D1F" w:rsidR="00F56D1F">
        <w:rPr>
          <w:sz w:val="24"/>
          <w:szCs w:val="24"/>
        </w:rPr>
        <w:t xml:space="preserve"> small businesses) was taken into consideration during the development of </w:t>
      </w:r>
      <w:r w:rsidR="00FA5EAA">
        <w:rPr>
          <w:sz w:val="24"/>
          <w:szCs w:val="24"/>
        </w:rPr>
        <w:t xml:space="preserve">the 2016 NSPS </w:t>
      </w:r>
      <w:r w:rsidR="001722FF">
        <w:rPr>
          <w:sz w:val="24"/>
          <w:szCs w:val="24"/>
        </w:rPr>
        <w:t xml:space="preserve">OOOOa </w:t>
      </w:r>
      <w:r w:rsidR="00FA5EAA">
        <w:rPr>
          <w:sz w:val="24"/>
          <w:szCs w:val="24"/>
        </w:rPr>
        <w:t xml:space="preserve">and during the development of the </w:t>
      </w:r>
      <w:r w:rsidR="00001CA7">
        <w:rPr>
          <w:rFonts w:cs="Courier New"/>
          <w:sz w:val="24"/>
          <w:szCs w:val="24"/>
        </w:rPr>
        <w:t>R</w:t>
      </w:r>
      <w:r w:rsidRPr="000738E9" w:rsidR="00001CA7">
        <w:rPr>
          <w:rFonts w:cs="Courier New"/>
          <w:sz w:val="24"/>
          <w:szCs w:val="24"/>
        </w:rPr>
        <w:t xml:space="preserve">econsideration </w:t>
      </w:r>
      <w:r w:rsidR="00001CA7">
        <w:rPr>
          <w:rFonts w:cs="Courier New"/>
          <w:sz w:val="24"/>
          <w:szCs w:val="24"/>
        </w:rPr>
        <w:t>A</w:t>
      </w:r>
      <w:r w:rsidRPr="00E677A4" w:rsidR="00001CA7">
        <w:rPr>
          <w:rFonts w:cs="Courier New"/>
          <w:sz w:val="24"/>
          <w:szCs w:val="24"/>
        </w:rPr>
        <w:t>mendments</w:t>
      </w:r>
      <w:r w:rsidR="00275D51">
        <w:rPr>
          <w:sz w:val="24"/>
          <w:szCs w:val="24"/>
        </w:rPr>
        <w:t xml:space="preserve">. </w:t>
      </w:r>
      <w:r w:rsidR="00235A3C">
        <w:rPr>
          <w:sz w:val="24"/>
          <w:szCs w:val="24"/>
        </w:rPr>
        <w:t xml:space="preserve">The </w:t>
      </w:r>
      <w:r w:rsidR="007F789C">
        <w:rPr>
          <w:sz w:val="24"/>
          <w:szCs w:val="24"/>
        </w:rPr>
        <w:t>EPA</w:t>
      </w:r>
      <w:r w:rsidRPr="00FD5569" w:rsidR="00FD5569">
        <w:rPr>
          <w:sz w:val="24"/>
          <w:szCs w:val="24"/>
        </w:rPr>
        <w:t xml:space="preserve"> has tried to reduce the impact of this rule on small entities by specifying monitoring</w:t>
      </w:r>
      <w:r w:rsidR="00B93B02">
        <w:rPr>
          <w:sz w:val="24"/>
          <w:szCs w:val="24"/>
        </w:rPr>
        <w:t>, recordkeeping and reporting</w:t>
      </w:r>
      <w:r w:rsidR="00530E4D">
        <w:rPr>
          <w:sz w:val="24"/>
          <w:szCs w:val="24"/>
        </w:rPr>
        <w:t xml:space="preserve"> </w:t>
      </w:r>
      <w:r w:rsidRPr="00FD5569" w:rsidR="00FD5569">
        <w:rPr>
          <w:sz w:val="24"/>
          <w:szCs w:val="24"/>
        </w:rPr>
        <w:t xml:space="preserve">requirements that are the minimum </w:t>
      </w:r>
      <w:r w:rsidR="003E7DC9">
        <w:rPr>
          <w:sz w:val="24"/>
          <w:szCs w:val="24"/>
        </w:rPr>
        <w:t xml:space="preserve">necessary </w:t>
      </w:r>
      <w:r w:rsidRPr="00FD5569" w:rsidR="00FD5569">
        <w:rPr>
          <w:sz w:val="24"/>
          <w:szCs w:val="24"/>
        </w:rPr>
        <w:t xml:space="preserve">to </w:t>
      </w:r>
      <w:r w:rsidRPr="00FD5569" w:rsidR="004764E4">
        <w:rPr>
          <w:sz w:val="24"/>
          <w:szCs w:val="24"/>
        </w:rPr>
        <w:t>ensure</w:t>
      </w:r>
      <w:r w:rsidRPr="00FD5569" w:rsidR="00FD5569">
        <w:rPr>
          <w:sz w:val="24"/>
          <w:szCs w:val="24"/>
        </w:rPr>
        <w:t xml:space="preserve"> compliance.</w:t>
      </w:r>
    </w:p>
    <w:p w:rsidR="00B1351A" w:rsidP="0075527B" w:rsidRDefault="00270646" w14:paraId="2D449491" w14:textId="2EC41866">
      <w:pPr>
        <w:widowControl/>
        <w:spacing w:line="360" w:lineRule="auto"/>
        <w:rPr>
          <w:sz w:val="24"/>
          <w:szCs w:val="24"/>
        </w:rPr>
      </w:pPr>
      <w:r>
        <w:rPr>
          <w:i/>
          <w:iCs/>
          <w:sz w:val="24"/>
          <w:szCs w:val="24"/>
        </w:rPr>
        <w:t>(d)</w:t>
      </w:r>
      <w:r w:rsidR="00DC4234">
        <w:rPr>
          <w:i/>
          <w:iCs/>
          <w:sz w:val="24"/>
          <w:szCs w:val="24"/>
        </w:rPr>
        <w:tab/>
      </w:r>
      <w:r w:rsidR="00B1351A">
        <w:rPr>
          <w:i/>
          <w:iCs/>
          <w:sz w:val="24"/>
          <w:szCs w:val="24"/>
        </w:rPr>
        <w:t>Collection Schedule</w:t>
      </w:r>
      <w:r w:rsidR="00B1351A">
        <w:rPr>
          <w:sz w:val="24"/>
          <w:szCs w:val="24"/>
        </w:rPr>
        <w:t>.</w:t>
      </w:r>
    </w:p>
    <w:p w:rsidR="00822E3E" w:rsidP="0075527B" w:rsidRDefault="00B1351A" w14:paraId="3B044E07" w14:textId="77777777">
      <w:pPr>
        <w:widowControl/>
        <w:spacing w:line="360" w:lineRule="auto"/>
        <w:rPr>
          <w:sz w:val="24"/>
          <w:szCs w:val="24"/>
        </w:rPr>
      </w:pPr>
      <w:r>
        <w:rPr>
          <w:sz w:val="24"/>
          <w:szCs w:val="24"/>
        </w:rPr>
        <w:tab/>
        <w:t xml:space="preserve">The specific frequency for each information collection activity within this request is shown in </w:t>
      </w:r>
      <w:r w:rsidR="00E54B89">
        <w:rPr>
          <w:sz w:val="24"/>
          <w:szCs w:val="24"/>
        </w:rPr>
        <w:t>Tables 1a-</w:t>
      </w:r>
      <w:r w:rsidR="006642EA">
        <w:rPr>
          <w:sz w:val="24"/>
          <w:szCs w:val="24"/>
        </w:rPr>
        <w:t>1</w:t>
      </w:r>
      <w:r w:rsidR="00E54B89">
        <w:rPr>
          <w:sz w:val="24"/>
          <w:szCs w:val="24"/>
        </w:rPr>
        <w:t>d</w:t>
      </w:r>
      <w:r w:rsidR="00483C3F">
        <w:rPr>
          <w:sz w:val="24"/>
          <w:szCs w:val="24"/>
        </w:rPr>
        <w:t xml:space="preserve">. </w:t>
      </w:r>
    </w:p>
    <w:p w:rsidR="00FE00CB" w:rsidP="0075527B" w:rsidRDefault="00270646" w14:paraId="2F3223BB" w14:textId="03BB5C0E">
      <w:pPr>
        <w:keepNext/>
        <w:keepLines/>
        <w:widowControl/>
        <w:spacing w:line="360" w:lineRule="auto"/>
        <w:rPr>
          <w:sz w:val="24"/>
          <w:szCs w:val="24"/>
        </w:rPr>
      </w:pPr>
      <w:r>
        <w:rPr>
          <w:b/>
          <w:bCs/>
          <w:sz w:val="24"/>
          <w:szCs w:val="24"/>
        </w:rPr>
        <w:t>6.</w:t>
      </w:r>
      <w:r w:rsidR="00FE00CB">
        <w:rPr>
          <w:b/>
          <w:bCs/>
          <w:sz w:val="24"/>
          <w:szCs w:val="24"/>
        </w:rPr>
        <w:tab/>
        <w:t>Estimating the Burden and Cost of the Collection</w:t>
      </w:r>
    </w:p>
    <w:p w:rsidRPr="00BE6230" w:rsidR="009D7094" w:rsidP="00BE6230" w:rsidRDefault="00270646" w14:paraId="3BB4195E" w14:textId="21070E35">
      <w:pPr>
        <w:keepNext/>
        <w:widowControl/>
        <w:tabs>
          <w:tab w:val="left" w:pos="720"/>
        </w:tabs>
        <w:spacing w:line="360" w:lineRule="auto"/>
        <w:ind w:left="720" w:hanging="720"/>
        <w:rPr>
          <w:i/>
          <w:iCs/>
          <w:sz w:val="24"/>
          <w:szCs w:val="24"/>
        </w:rPr>
      </w:pPr>
      <w:r>
        <w:rPr>
          <w:i/>
          <w:iCs/>
          <w:sz w:val="24"/>
          <w:szCs w:val="24"/>
        </w:rPr>
        <w:t>(a)</w:t>
      </w:r>
      <w:r w:rsidR="00FE00CB">
        <w:rPr>
          <w:i/>
          <w:iCs/>
          <w:sz w:val="24"/>
          <w:szCs w:val="24"/>
        </w:rPr>
        <w:tab/>
        <w:t>Estimating Respondent Burden.</w:t>
      </w:r>
      <w:r w:rsidR="00ED64AC">
        <w:rPr>
          <w:iCs/>
          <w:sz w:val="24"/>
          <w:szCs w:val="24"/>
        </w:rPr>
        <w:t xml:space="preserve"> </w:t>
      </w:r>
    </w:p>
    <w:p w:rsidR="00275D51" w:rsidP="009F7AE3" w:rsidRDefault="00FE00CB" w14:paraId="7860632C" w14:textId="511F8EFD">
      <w:pPr>
        <w:widowControl/>
        <w:spacing w:line="360" w:lineRule="auto"/>
        <w:rPr>
          <w:i/>
          <w:iCs/>
          <w:sz w:val="24"/>
          <w:szCs w:val="24"/>
        </w:rPr>
      </w:pPr>
      <w:r>
        <w:rPr>
          <w:sz w:val="24"/>
          <w:szCs w:val="24"/>
        </w:rPr>
        <w:tab/>
        <w:t xml:space="preserve">The annual burden estimates for the </w:t>
      </w:r>
      <w:r w:rsidR="00E14F01">
        <w:rPr>
          <w:sz w:val="24"/>
          <w:szCs w:val="24"/>
        </w:rPr>
        <w:t>NSPS OOOOa</w:t>
      </w:r>
      <w:r w:rsidR="00123B90">
        <w:rPr>
          <w:sz w:val="24"/>
          <w:szCs w:val="24"/>
        </w:rPr>
        <w:t xml:space="preserve"> </w:t>
      </w:r>
      <w:r>
        <w:rPr>
          <w:sz w:val="24"/>
          <w:szCs w:val="24"/>
        </w:rPr>
        <w:t xml:space="preserve">are shown in </w:t>
      </w:r>
      <w:r w:rsidR="00050F47">
        <w:rPr>
          <w:sz w:val="24"/>
          <w:szCs w:val="24"/>
        </w:rPr>
        <w:t>Tables 1a-</w:t>
      </w:r>
      <w:r w:rsidR="006642EA">
        <w:rPr>
          <w:sz w:val="24"/>
          <w:szCs w:val="24"/>
        </w:rPr>
        <w:t>1</w:t>
      </w:r>
      <w:r w:rsidR="00050F47">
        <w:rPr>
          <w:sz w:val="24"/>
          <w:szCs w:val="24"/>
        </w:rPr>
        <w:t>d</w:t>
      </w:r>
      <w:r w:rsidR="00275D51">
        <w:rPr>
          <w:sz w:val="24"/>
          <w:szCs w:val="24"/>
        </w:rPr>
        <w:t xml:space="preserve">. </w:t>
      </w:r>
      <w:r>
        <w:rPr>
          <w:sz w:val="24"/>
          <w:szCs w:val="24"/>
        </w:rPr>
        <w:t xml:space="preserve">These numbers </w:t>
      </w:r>
      <w:r w:rsidR="00B93B02">
        <w:rPr>
          <w:sz w:val="24"/>
          <w:szCs w:val="24"/>
        </w:rPr>
        <w:t>are based on the</w:t>
      </w:r>
      <w:r>
        <w:rPr>
          <w:sz w:val="24"/>
          <w:szCs w:val="24"/>
        </w:rPr>
        <w:t xml:space="preserve"> estimate</w:t>
      </w:r>
      <w:r w:rsidR="00B93B02">
        <w:rPr>
          <w:sz w:val="24"/>
          <w:szCs w:val="24"/>
        </w:rPr>
        <w:t xml:space="preserve">d number </w:t>
      </w:r>
      <w:r>
        <w:rPr>
          <w:sz w:val="24"/>
          <w:szCs w:val="24"/>
        </w:rPr>
        <w:t xml:space="preserve">of </w:t>
      </w:r>
      <w:r w:rsidR="00FA7689">
        <w:rPr>
          <w:sz w:val="24"/>
          <w:szCs w:val="24"/>
        </w:rPr>
        <w:t>affected facilities</w:t>
      </w:r>
      <w:r>
        <w:rPr>
          <w:sz w:val="24"/>
          <w:szCs w:val="24"/>
        </w:rPr>
        <w:t xml:space="preserve"> that would be </w:t>
      </w:r>
      <w:r w:rsidR="00B93B02">
        <w:rPr>
          <w:sz w:val="24"/>
          <w:szCs w:val="24"/>
        </w:rPr>
        <w:t>subject to the requirements of the NSPS from years 20</w:t>
      </w:r>
      <w:r w:rsidR="00FC4A6C">
        <w:rPr>
          <w:sz w:val="24"/>
          <w:szCs w:val="24"/>
        </w:rPr>
        <w:t>21</w:t>
      </w:r>
      <w:r w:rsidR="00B93B02">
        <w:rPr>
          <w:sz w:val="24"/>
          <w:szCs w:val="24"/>
        </w:rPr>
        <w:t xml:space="preserve"> to 202</w:t>
      </w:r>
      <w:r w:rsidR="00FC4A6C">
        <w:rPr>
          <w:sz w:val="24"/>
          <w:szCs w:val="24"/>
        </w:rPr>
        <w:t>3</w:t>
      </w:r>
      <w:r w:rsidR="00CE4FDE">
        <w:rPr>
          <w:sz w:val="24"/>
          <w:szCs w:val="24"/>
        </w:rPr>
        <w:t>.</w:t>
      </w:r>
    </w:p>
    <w:p w:rsidR="00FE00CB" w:rsidP="0075527B" w:rsidRDefault="00270646" w14:paraId="472E404E" w14:textId="62616B23">
      <w:pPr>
        <w:widowControl/>
        <w:tabs>
          <w:tab w:val="left" w:pos="720"/>
        </w:tabs>
        <w:spacing w:line="360" w:lineRule="auto"/>
        <w:ind w:left="720" w:hanging="720"/>
        <w:rPr>
          <w:i/>
          <w:iCs/>
          <w:sz w:val="24"/>
          <w:szCs w:val="24"/>
        </w:rPr>
      </w:pPr>
      <w:r>
        <w:rPr>
          <w:i/>
          <w:iCs/>
          <w:sz w:val="24"/>
          <w:szCs w:val="24"/>
        </w:rPr>
        <w:t>(b)</w:t>
      </w:r>
      <w:r w:rsidR="00FE00CB">
        <w:rPr>
          <w:i/>
          <w:iCs/>
          <w:sz w:val="24"/>
          <w:szCs w:val="24"/>
        </w:rPr>
        <w:tab/>
        <w:t>Estimating Respondent Costs.</w:t>
      </w:r>
    </w:p>
    <w:p w:rsidR="00FE00CB" w:rsidP="0075527B" w:rsidRDefault="00771E52" w14:paraId="62099AFF" w14:textId="4544CC35">
      <w:pPr>
        <w:widowControl/>
        <w:spacing w:line="360" w:lineRule="auto"/>
        <w:ind w:firstLine="720"/>
        <w:rPr>
          <w:sz w:val="24"/>
          <w:szCs w:val="24"/>
        </w:rPr>
      </w:pPr>
      <w:r w:rsidDel="00771E52">
        <w:rPr>
          <w:sz w:val="24"/>
          <w:szCs w:val="24"/>
        </w:rPr>
        <w:t xml:space="preserve"> </w:t>
      </w:r>
      <w:r w:rsidR="00270646">
        <w:rPr>
          <w:sz w:val="24"/>
          <w:szCs w:val="24"/>
        </w:rPr>
        <w:t>(</w:t>
      </w:r>
      <w:proofErr w:type="spellStart"/>
      <w:r w:rsidR="00270646">
        <w:rPr>
          <w:sz w:val="24"/>
          <w:szCs w:val="24"/>
        </w:rPr>
        <w:t>i</w:t>
      </w:r>
      <w:proofErr w:type="spellEnd"/>
      <w:r w:rsidR="00270646">
        <w:rPr>
          <w:sz w:val="24"/>
          <w:szCs w:val="24"/>
        </w:rPr>
        <w:t>)</w:t>
      </w:r>
      <w:r w:rsidR="00270646">
        <w:rPr>
          <w:sz w:val="24"/>
          <w:szCs w:val="24"/>
        </w:rPr>
        <w:tab/>
      </w:r>
      <w:r w:rsidR="00FE00CB">
        <w:rPr>
          <w:i/>
          <w:iCs/>
          <w:sz w:val="24"/>
          <w:szCs w:val="24"/>
        </w:rPr>
        <w:t>Estimating Labor Costs</w:t>
      </w:r>
      <w:r w:rsidR="00275D51">
        <w:rPr>
          <w:sz w:val="24"/>
          <w:szCs w:val="24"/>
        </w:rPr>
        <w:t xml:space="preserve">. </w:t>
      </w:r>
    </w:p>
    <w:p w:rsidR="00771E52" w:rsidP="00530E4D" w:rsidRDefault="00771E52" w14:paraId="4FE36750" w14:textId="29743686">
      <w:pPr>
        <w:keepNext/>
        <w:widowControl/>
        <w:spacing w:line="360" w:lineRule="auto"/>
        <w:ind w:firstLine="720"/>
        <w:rPr>
          <w:sz w:val="24"/>
          <w:szCs w:val="24"/>
        </w:rPr>
      </w:pPr>
      <w:r w:rsidRPr="00F025B0">
        <w:rPr>
          <w:color w:val="000000"/>
          <w:sz w:val="24"/>
          <w:szCs w:val="24"/>
        </w:rPr>
        <w:t>This ICR uses the following labor rates: $</w:t>
      </w:r>
      <w:r>
        <w:rPr>
          <w:color w:val="000000"/>
          <w:sz w:val="24"/>
          <w:szCs w:val="24"/>
        </w:rPr>
        <w:t>6</w:t>
      </w:r>
      <w:r w:rsidR="001E6DE0">
        <w:rPr>
          <w:color w:val="000000"/>
          <w:sz w:val="24"/>
          <w:szCs w:val="24"/>
        </w:rPr>
        <w:t>6.32</w:t>
      </w:r>
      <w:r w:rsidRPr="00F025B0">
        <w:rPr>
          <w:color w:val="000000"/>
          <w:sz w:val="24"/>
          <w:szCs w:val="24"/>
        </w:rPr>
        <w:t xml:space="preserve"> per hour for technical labor, $</w:t>
      </w:r>
      <w:r>
        <w:rPr>
          <w:color w:val="000000"/>
          <w:sz w:val="24"/>
          <w:szCs w:val="24"/>
        </w:rPr>
        <w:t>12</w:t>
      </w:r>
      <w:r w:rsidR="001E6DE0">
        <w:rPr>
          <w:color w:val="000000"/>
          <w:sz w:val="24"/>
          <w:szCs w:val="24"/>
        </w:rPr>
        <w:t>6.95</w:t>
      </w:r>
      <w:r w:rsidRPr="00F025B0">
        <w:rPr>
          <w:color w:val="000000"/>
          <w:sz w:val="24"/>
          <w:szCs w:val="24"/>
        </w:rPr>
        <w:t xml:space="preserve"> per hour for management labor, and $</w:t>
      </w:r>
      <w:r>
        <w:rPr>
          <w:color w:val="000000"/>
          <w:sz w:val="24"/>
          <w:szCs w:val="24"/>
        </w:rPr>
        <w:t>4</w:t>
      </w:r>
      <w:r w:rsidR="001E6DE0">
        <w:rPr>
          <w:color w:val="000000"/>
          <w:sz w:val="24"/>
          <w:szCs w:val="24"/>
        </w:rPr>
        <w:t>5.23</w:t>
      </w:r>
      <w:r w:rsidRPr="00F025B0">
        <w:rPr>
          <w:color w:val="000000"/>
          <w:sz w:val="24"/>
          <w:szCs w:val="24"/>
        </w:rPr>
        <w:t xml:space="preserve"> for clerical labor. The</w:t>
      </w:r>
      <w:r>
        <w:rPr>
          <w:color w:val="000000"/>
          <w:sz w:val="24"/>
          <w:szCs w:val="24"/>
        </w:rPr>
        <w:t>se</w:t>
      </w:r>
      <w:r w:rsidRPr="00F025B0">
        <w:rPr>
          <w:color w:val="000000"/>
          <w:sz w:val="24"/>
          <w:szCs w:val="24"/>
        </w:rPr>
        <w:t xml:space="preserve"> rates </w:t>
      </w:r>
      <w:r>
        <w:rPr>
          <w:color w:val="000000"/>
          <w:sz w:val="24"/>
          <w:szCs w:val="24"/>
        </w:rPr>
        <w:t xml:space="preserve">include an increase of </w:t>
      </w:r>
      <w:r w:rsidRPr="00F025B0">
        <w:rPr>
          <w:color w:val="000000"/>
          <w:sz w:val="24"/>
          <w:szCs w:val="24"/>
        </w:rPr>
        <w:t>110 percent to account for the benefit packages available to those employed by private industry. These rates are from the</w:t>
      </w:r>
      <w:r w:rsidRPr="00F025B0">
        <w:rPr>
          <w:i/>
          <w:iCs/>
          <w:color w:val="000000"/>
          <w:sz w:val="24"/>
          <w:szCs w:val="24"/>
        </w:rPr>
        <w:t xml:space="preserve"> </w:t>
      </w:r>
      <w:r w:rsidRPr="00F76788">
        <w:rPr>
          <w:i/>
          <w:iCs/>
          <w:color w:val="000000"/>
          <w:sz w:val="24"/>
          <w:szCs w:val="24"/>
        </w:rPr>
        <w:t>May 20</w:t>
      </w:r>
      <w:r w:rsidR="001E6DE0">
        <w:rPr>
          <w:i/>
          <w:iCs/>
          <w:color w:val="000000"/>
          <w:sz w:val="24"/>
          <w:szCs w:val="24"/>
        </w:rPr>
        <w:t>20</w:t>
      </w:r>
      <w:r w:rsidRPr="00F76788">
        <w:rPr>
          <w:i/>
          <w:iCs/>
          <w:color w:val="000000"/>
          <w:sz w:val="24"/>
          <w:szCs w:val="24"/>
        </w:rPr>
        <w:t xml:space="preserve"> National Occupational Employment and Wage Estimates United States</w:t>
      </w:r>
      <w:r>
        <w:rPr>
          <w:i/>
          <w:iCs/>
          <w:color w:val="000000"/>
          <w:sz w:val="24"/>
          <w:szCs w:val="24"/>
        </w:rPr>
        <w:t xml:space="preserve"> </w:t>
      </w:r>
      <w:r w:rsidRPr="00F025B0">
        <w:rPr>
          <w:color w:val="000000"/>
          <w:sz w:val="24"/>
          <w:szCs w:val="24"/>
        </w:rPr>
        <w:t xml:space="preserve">published by the Bureau of Labor and Statistics </w:t>
      </w:r>
      <w:r>
        <w:rPr>
          <w:color w:val="000000"/>
          <w:sz w:val="24"/>
          <w:szCs w:val="24"/>
        </w:rPr>
        <w:t>(</w:t>
      </w:r>
      <w:r w:rsidRPr="000A72D1">
        <w:rPr>
          <w:color w:val="000000"/>
          <w:sz w:val="24"/>
          <w:szCs w:val="24"/>
        </w:rPr>
        <w:t>https://www.bls.gov/oes/current/oes_nat.htm</w:t>
      </w:r>
      <w:r w:rsidRPr="00F025B0">
        <w:rPr>
          <w:color w:val="000000"/>
          <w:sz w:val="24"/>
          <w:szCs w:val="24"/>
        </w:rPr>
        <w:t xml:space="preserve">). </w:t>
      </w:r>
      <w:r w:rsidRPr="00F025B0">
        <w:rPr>
          <w:sz w:val="24"/>
          <w:szCs w:val="24"/>
        </w:rPr>
        <w:t>Costs have been estimated in 201</w:t>
      </w:r>
      <w:r w:rsidR="004B459B">
        <w:rPr>
          <w:sz w:val="24"/>
          <w:szCs w:val="24"/>
        </w:rPr>
        <w:t>9</w:t>
      </w:r>
      <w:r w:rsidRPr="00F025B0">
        <w:rPr>
          <w:sz w:val="24"/>
          <w:szCs w:val="24"/>
        </w:rPr>
        <w:t xml:space="preserve"> dollars for this </w:t>
      </w:r>
      <w:r w:rsidRPr="00F025B0">
        <w:rPr>
          <w:sz w:val="24"/>
          <w:szCs w:val="24"/>
        </w:rPr>
        <w:lastRenderedPageBreak/>
        <w:t>ICR</w:t>
      </w:r>
      <w:r>
        <w:rPr>
          <w:sz w:val="24"/>
          <w:szCs w:val="24"/>
        </w:rPr>
        <w:t>, which is</w:t>
      </w:r>
      <w:r w:rsidRPr="00F025B0">
        <w:rPr>
          <w:sz w:val="24"/>
          <w:szCs w:val="24"/>
        </w:rPr>
        <w:t xml:space="preserve"> consistent with </w:t>
      </w:r>
      <w:r>
        <w:rPr>
          <w:sz w:val="24"/>
          <w:szCs w:val="24"/>
        </w:rPr>
        <w:t>the</w:t>
      </w:r>
      <w:r w:rsidRPr="00F025B0">
        <w:rPr>
          <w:sz w:val="24"/>
          <w:szCs w:val="24"/>
        </w:rPr>
        <w:t xml:space="preserve"> costs (</w:t>
      </w:r>
      <w:r w:rsidRPr="004B459B">
        <w:rPr>
          <w:i/>
          <w:iCs/>
          <w:sz w:val="24"/>
          <w:szCs w:val="24"/>
        </w:rPr>
        <w:t>i.e.</w:t>
      </w:r>
      <w:r w:rsidRPr="004B459B" w:rsidR="004B459B">
        <w:rPr>
          <w:i/>
          <w:iCs/>
          <w:sz w:val="24"/>
          <w:szCs w:val="24"/>
        </w:rPr>
        <w:t>,</w:t>
      </w:r>
      <w:r w:rsidRPr="00F025B0">
        <w:rPr>
          <w:sz w:val="24"/>
          <w:szCs w:val="24"/>
        </w:rPr>
        <w:t xml:space="preserve"> cost of control) estimated in the </w:t>
      </w:r>
      <w:r>
        <w:rPr>
          <w:sz w:val="24"/>
          <w:szCs w:val="24"/>
        </w:rPr>
        <w:t xml:space="preserve">supporting documents </w:t>
      </w:r>
      <w:r w:rsidRPr="00F025B0">
        <w:rPr>
          <w:sz w:val="24"/>
          <w:szCs w:val="24"/>
        </w:rPr>
        <w:t>develo</w:t>
      </w:r>
      <w:r>
        <w:rPr>
          <w:sz w:val="24"/>
          <w:szCs w:val="24"/>
        </w:rPr>
        <w:t xml:space="preserve">ped for the </w:t>
      </w:r>
      <w:r w:rsidR="004B459B">
        <w:rPr>
          <w:sz w:val="24"/>
          <w:szCs w:val="24"/>
        </w:rPr>
        <w:t>proposed</w:t>
      </w:r>
      <w:r>
        <w:rPr>
          <w:sz w:val="24"/>
          <w:szCs w:val="24"/>
        </w:rPr>
        <w:t xml:space="preserve"> amendments to</w:t>
      </w:r>
      <w:r w:rsidR="0040553C">
        <w:rPr>
          <w:sz w:val="24"/>
          <w:szCs w:val="24"/>
        </w:rPr>
        <w:t xml:space="preserve"> the</w:t>
      </w:r>
      <w:r>
        <w:rPr>
          <w:sz w:val="24"/>
          <w:szCs w:val="24"/>
        </w:rPr>
        <w:t xml:space="preserve"> </w:t>
      </w:r>
      <w:r w:rsidR="00041BF8">
        <w:rPr>
          <w:sz w:val="24"/>
          <w:szCs w:val="24"/>
        </w:rPr>
        <w:t xml:space="preserve">2016 </w:t>
      </w:r>
      <w:r w:rsidR="00E14F01">
        <w:rPr>
          <w:sz w:val="24"/>
          <w:szCs w:val="24"/>
        </w:rPr>
        <w:t>NSPS OOOOa</w:t>
      </w:r>
      <w:r w:rsidRPr="00F025B0">
        <w:rPr>
          <w:sz w:val="24"/>
          <w:szCs w:val="24"/>
        </w:rPr>
        <w:t>.</w:t>
      </w:r>
    </w:p>
    <w:p w:rsidR="00771E52" w:rsidP="00530E4D" w:rsidRDefault="00771E52" w14:paraId="7752DB36" w14:textId="4A73784C">
      <w:pPr>
        <w:widowControl/>
        <w:spacing w:line="360" w:lineRule="auto"/>
        <w:rPr>
          <w:sz w:val="24"/>
          <w:szCs w:val="24"/>
        </w:rPr>
      </w:pPr>
      <w:r>
        <w:rPr>
          <w:sz w:val="24"/>
          <w:szCs w:val="24"/>
        </w:rPr>
        <w:tab/>
        <w:t xml:space="preserve">The information collection activities for </w:t>
      </w:r>
      <w:r w:rsidR="00E14F01">
        <w:rPr>
          <w:sz w:val="24"/>
          <w:szCs w:val="24"/>
        </w:rPr>
        <w:t>NSPS OOOOa</w:t>
      </w:r>
      <w:r>
        <w:rPr>
          <w:sz w:val="24"/>
          <w:szCs w:val="24"/>
        </w:rPr>
        <w:t xml:space="preserve"> are presented in Tables 1a-1d.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costs are associated with information collection activities.</w:t>
      </w:r>
    </w:p>
    <w:p w:rsidR="00953210" w:rsidP="00F423AB" w:rsidRDefault="00FE00CB" w14:paraId="743CCEBA" w14:textId="77777777">
      <w:pPr>
        <w:keepNext/>
        <w:widowControl/>
        <w:spacing w:line="360" w:lineRule="auto"/>
        <w:rPr>
          <w:sz w:val="24"/>
          <w:szCs w:val="24"/>
        </w:rPr>
      </w:pPr>
      <w:r>
        <w:rPr>
          <w:sz w:val="24"/>
          <w:szCs w:val="24"/>
        </w:rPr>
        <w:tab/>
      </w:r>
      <w:r>
        <w:rPr>
          <w:i/>
          <w:iCs/>
          <w:sz w:val="24"/>
          <w:szCs w:val="24"/>
        </w:rPr>
        <w:t>(</w:t>
      </w:r>
      <w:r w:rsidR="00270646">
        <w:rPr>
          <w:i/>
          <w:iCs/>
          <w:sz w:val="24"/>
          <w:szCs w:val="24"/>
        </w:rPr>
        <w:t>ii)</w:t>
      </w:r>
      <w:r w:rsidR="00270646">
        <w:rPr>
          <w:i/>
          <w:iCs/>
          <w:sz w:val="24"/>
          <w:szCs w:val="24"/>
        </w:rPr>
        <w:tab/>
      </w:r>
      <w:r w:rsidRPr="00FE0616">
        <w:rPr>
          <w:i/>
          <w:iCs/>
          <w:sz w:val="24"/>
          <w:szCs w:val="24"/>
        </w:rPr>
        <w:t>Estimating Capital and Operations and Maintenance (O&amp;M) Costs</w:t>
      </w:r>
      <w:r w:rsidRPr="00FE0616">
        <w:rPr>
          <w:sz w:val="24"/>
          <w:szCs w:val="24"/>
        </w:rPr>
        <w:t>.</w:t>
      </w:r>
      <w:r>
        <w:rPr>
          <w:sz w:val="24"/>
          <w:szCs w:val="24"/>
        </w:rPr>
        <w:t xml:space="preserve"> </w:t>
      </w:r>
    </w:p>
    <w:p w:rsidR="00FE0616" w:rsidP="00F423AB" w:rsidRDefault="00DC3B6C" w14:paraId="258C23BF" w14:textId="2227B4D2">
      <w:pPr>
        <w:keepNext/>
        <w:spacing w:line="360" w:lineRule="auto"/>
        <w:ind w:firstLine="720"/>
        <w:contextualSpacing/>
        <w:rPr>
          <w:sz w:val="24"/>
          <w:szCs w:val="24"/>
        </w:rPr>
      </w:pPr>
      <w:r>
        <w:rPr>
          <w:sz w:val="24"/>
          <w:szCs w:val="24"/>
        </w:rPr>
        <w:t>A</w:t>
      </w:r>
      <w:r w:rsidR="004C189B">
        <w:rPr>
          <w:sz w:val="24"/>
          <w:szCs w:val="24"/>
        </w:rPr>
        <w:t xml:space="preserve"> </w:t>
      </w:r>
      <w:r w:rsidR="0098444C">
        <w:rPr>
          <w:sz w:val="24"/>
          <w:szCs w:val="24"/>
        </w:rPr>
        <w:t>significant capital cost component</w:t>
      </w:r>
      <w:r w:rsidR="004C189B">
        <w:rPr>
          <w:sz w:val="24"/>
          <w:szCs w:val="24"/>
        </w:rPr>
        <w:t xml:space="preserve"> to the fugitives monitoring program, is the </w:t>
      </w:r>
      <w:r w:rsidR="005503E8">
        <w:rPr>
          <w:sz w:val="24"/>
          <w:szCs w:val="24"/>
        </w:rPr>
        <w:t>cost and set-up of a recordkeeping system database</w:t>
      </w:r>
      <w:r w:rsidR="006B2FC5">
        <w:rPr>
          <w:sz w:val="24"/>
          <w:szCs w:val="24"/>
        </w:rPr>
        <w:t>. The recordkeeping system database</w:t>
      </w:r>
      <w:r w:rsidR="00152E49">
        <w:rPr>
          <w:sz w:val="24"/>
          <w:szCs w:val="24"/>
        </w:rPr>
        <w:t xml:space="preserve"> is a key part of the fugitives monitoring program</w:t>
      </w:r>
      <w:r w:rsidR="005503E8">
        <w:rPr>
          <w:sz w:val="24"/>
          <w:szCs w:val="24"/>
        </w:rPr>
        <w:t xml:space="preserve"> </w:t>
      </w:r>
      <w:r w:rsidR="006B2FC5">
        <w:rPr>
          <w:sz w:val="24"/>
          <w:szCs w:val="24"/>
        </w:rPr>
        <w:t>under</w:t>
      </w:r>
      <w:r>
        <w:rPr>
          <w:sz w:val="24"/>
          <w:szCs w:val="24"/>
        </w:rPr>
        <w:t xml:space="preserve"> 2016 NSPS OOOOa ICR</w:t>
      </w:r>
      <w:r w:rsidR="006B2FC5">
        <w:rPr>
          <w:sz w:val="24"/>
          <w:szCs w:val="24"/>
        </w:rPr>
        <w:t xml:space="preserve">. </w:t>
      </w:r>
      <w:r w:rsidR="00A65C4B">
        <w:rPr>
          <w:sz w:val="24"/>
          <w:szCs w:val="24"/>
        </w:rPr>
        <w:t>Because e</w:t>
      </w:r>
      <w:r w:rsidR="00E87C63">
        <w:rPr>
          <w:sz w:val="24"/>
          <w:szCs w:val="24"/>
        </w:rPr>
        <w:t>xtensive records</w:t>
      </w:r>
      <w:r w:rsidR="00A65C4B">
        <w:rPr>
          <w:sz w:val="24"/>
          <w:szCs w:val="24"/>
        </w:rPr>
        <w:t xml:space="preserve"> are</w:t>
      </w:r>
      <w:r w:rsidR="00E87C63">
        <w:rPr>
          <w:sz w:val="24"/>
          <w:szCs w:val="24"/>
        </w:rPr>
        <w:t xml:space="preserve"> required for each</w:t>
      </w:r>
      <w:r w:rsidR="00A65C4B">
        <w:rPr>
          <w:sz w:val="24"/>
          <w:szCs w:val="24"/>
        </w:rPr>
        <w:t xml:space="preserve"> fugitive emissions </w:t>
      </w:r>
      <w:r w:rsidR="00E87C63">
        <w:rPr>
          <w:sz w:val="24"/>
          <w:szCs w:val="24"/>
        </w:rPr>
        <w:t xml:space="preserve">survey that is </w:t>
      </w:r>
      <w:r w:rsidR="00331805">
        <w:rPr>
          <w:sz w:val="24"/>
          <w:szCs w:val="24"/>
        </w:rPr>
        <w:t xml:space="preserve">conducted it is critical that an </w:t>
      </w:r>
      <w:r w:rsidR="00E87C63">
        <w:rPr>
          <w:sz w:val="24"/>
          <w:szCs w:val="24"/>
        </w:rPr>
        <w:t xml:space="preserve">appropriate data management </w:t>
      </w:r>
      <w:r w:rsidR="00331805">
        <w:rPr>
          <w:sz w:val="24"/>
          <w:szCs w:val="24"/>
        </w:rPr>
        <w:t xml:space="preserve">system is used </w:t>
      </w:r>
      <w:proofErr w:type="gramStart"/>
      <w:r w:rsidR="00331805">
        <w:rPr>
          <w:sz w:val="24"/>
          <w:szCs w:val="24"/>
        </w:rPr>
        <w:t>in order to</w:t>
      </w:r>
      <w:proofErr w:type="gramEnd"/>
      <w:r w:rsidR="00331805">
        <w:rPr>
          <w:sz w:val="24"/>
          <w:szCs w:val="24"/>
        </w:rPr>
        <w:t xml:space="preserve"> manage </w:t>
      </w:r>
      <w:r w:rsidR="00762DD1">
        <w:rPr>
          <w:sz w:val="24"/>
          <w:szCs w:val="24"/>
        </w:rPr>
        <w:t xml:space="preserve">the compliance </w:t>
      </w:r>
      <w:r w:rsidR="0033069E">
        <w:rPr>
          <w:sz w:val="24"/>
          <w:szCs w:val="24"/>
        </w:rPr>
        <w:t>data</w:t>
      </w:r>
      <w:r w:rsidR="00762DD1">
        <w:rPr>
          <w:sz w:val="24"/>
          <w:szCs w:val="24"/>
        </w:rPr>
        <w:t xml:space="preserve"> collect</w:t>
      </w:r>
      <w:r w:rsidR="009B5B86">
        <w:rPr>
          <w:sz w:val="24"/>
          <w:szCs w:val="24"/>
        </w:rPr>
        <w:t>ed</w:t>
      </w:r>
      <w:r w:rsidR="00E87C63">
        <w:rPr>
          <w:sz w:val="24"/>
          <w:szCs w:val="24"/>
        </w:rPr>
        <w:t xml:space="preserve">. </w:t>
      </w:r>
      <w:r w:rsidR="0000382F">
        <w:rPr>
          <w:sz w:val="24"/>
          <w:szCs w:val="24"/>
        </w:rPr>
        <w:t xml:space="preserve">The </w:t>
      </w:r>
      <w:r w:rsidR="00845EB0">
        <w:rPr>
          <w:sz w:val="24"/>
          <w:szCs w:val="24"/>
        </w:rPr>
        <w:t xml:space="preserve">capital cost associated with the </w:t>
      </w:r>
      <w:r w:rsidR="00271791">
        <w:rPr>
          <w:sz w:val="24"/>
          <w:szCs w:val="24"/>
        </w:rPr>
        <w:t xml:space="preserve">initial </w:t>
      </w:r>
      <w:r w:rsidR="00845EB0">
        <w:rPr>
          <w:sz w:val="24"/>
          <w:szCs w:val="24"/>
        </w:rPr>
        <w:t xml:space="preserve">set-up of the </w:t>
      </w:r>
      <w:r w:rsidR="00271791">
        <w:rPr>
          <w:sz w:val="24"/>
          <w:szCs w:val="24"/>
        </w:rPr>
        <w:t xml:space="preserve">database </w:t>
      </w:r>
      <w:r w:rsidR="00845EB0">
        <w:rPr>
          <w:sz w:val="24"/>
          <w:szCs w:val="24"/>
        </w:rPr>
        <w:t>recordkeeping system was</w:t>
      </w:r>
      <w:r w:rsidR="00271791">
        <w:rPr>
          <w:sz w:val="24"/>
          <w:szCs w:val="24"/>
        </w:rPr>
        <w:t xml:space="preserve"> estimated </w:t>
      </w:r>
      <w:r w:rsidR="00845EB0">
        <w:rPr>
          <w:sz w:val="24"/>
          <w:szCs w:val="24"/>
        </w:rPr>
        <w:t>at</w:t>
      </w:r>
      <w:r w:rsidR="00271791">
        <w:rPr>
          <w:sz w:val="24"/>
          <w:szCs w:val="24"/>
        </w:rPr>
        <w:t xml:space="preserve"> $1</w:t>
      </w:r>
      <w:r w:rsidR="00DF70BD">
        <w:rPr>
          <w:sz w:val="24"/>
          <w:szCs w:val="24"/>
        </w:rPr>
        <w:t>9,728</w:t>
      </w:r>
      <w:r w:rsidR="00101720">
        <w:rPr>
          <w:sz w:val="24"/>
          <w:szCs w:val="24"/>
        </w:rPr>
        <w:t xml:space="preserve">. </w:t>
      </w:r>
      <w:r w:rsidR="00271791">
        <w:rPr>
          <w:sz w:val="24"/>
          <w:szCs w:val="24"/>
        </w:rPr>
        <w:t xml:space="preserve"> </w:t>
      </w:r>
      <w:r w:rsidR="00845EB0">
        <w:rPr>
          <w:sz w:val="24"/>
          <w:szCs w:val="24"/>
        </w:rPr>
        <w:t>Th</w:t>
      </w:r>
      <w:r w:rsidR="007A532A">
        <w:rPr>
          <w:sz w:val="24"/>
          <w:szCs w:val="24"/>
        </w:rPr>
        <w:t>is one-</w:t>
      </w:r>
      <w:r w:rsidR="009040D1">
        <w:rPr>
          <w:sz w:val="24"/>
          <w:szCs w:val="24"/>
        </w:rPr>
        <w:t>time</w:t>
      </w:r>
      <w:r w:rsidR="00845EB0">
        <w:rPr>
          <w:sz w:val="24"/>
          <w:szCs w:val="24"/>
        </w:rPr>
        <w:t xml:space="preserve"> cos</w:t>
      </w:r>
      <w:r w:rsidR="007A532A">
        <w:rPr>
          <w:sz w:val="24"/>
          <w:szCs w:val="24"/>
        </w:rPr>
        <w:t xml:space="preserve">t is </w:t>
      </w:r>
      <w:r w:rsidR="00845EB0">
        <w:rPr>
          <w:sz w:val="24"/>
          <w:szCs w:val="24"/>
        </w:rPr>
        <w:t>accounted for in the first</w:t>
      </w:r>
      <w:r w:rsidR="009040D1">
        <w:rPr>
          <w:sz w:val="24"/>
          <w:szCs w:val="24"/>
        </w:rPr>
        <w:t>-</w:t>
      </w:r>
      <w:r w:rsidR="00845EB0">
        <w:rPr>
          <w:sz w:val="24"/>
          <w:szCs w:val="24"/>
        </w:rPr>
        <w:t>year capital costs for each new well site</w:t>
      </w:r>
      <w:r w:rsidR="00E83291">
        <w:rPr>
          <w:sz w:val="24"/>
          <w:szCs w:val="24"/>
        </w:rPr>
        <w:t xml:space="preserve"> </w:t>
      </w:r>
      <w:r w:rsidR="007A532A">
        <w:rPr>
          <w:sz w:val="24"/>
          <w:szCs w:val="24"/>
        </w:rPr>
        <w:t>compressor station</w:t>
      </w:r>
      <w:r w:rsidR="0033702E">
        <w:rPr>
          <w:sz w:val="24"/>
          <w:szCs w:val="24"/>
        </w:rPr>
        <w:t xml:space="preserve">. </w:t>
      </w:r>
      <w:r w:rsidRPr="00EF2A02" w:rsidR="00EF2A02">
        <w:rPr>
          <w:sz w:val="24"/>
          <w:szCs w:val="24"/>
        </w:rPr>
        <w:t>Consistent with the analyses used for the 2016 NSPS OOOOa and 2020 Technical Rule, the EPA assumes that each company will develop a monitoring plan and recordkeeping system that covers a company-defined area, which is assumed to include 22 well sites</w:t>
      </w:r>
      <w:r w:rsidR="005870D2">
        <w:rPr>
          <w:sz w:val="24"/>
          <w:szCs w:val="24"/>
        </w:rPr>
        <w:t xml:space="preserve">, </w:t>
      </w:r>
      <w:r w:rsidR="00EF2A02">
        <w:rPr>
          <w:sz w:val="24"/>
          <w:szCs w:val="24"/>
        </w:rPr>
        <w:t>7 gathering and boosting stations</w:t>
      </w:r>
      <w:r w:rsidR="007A532A">
        <w:rPr>
          <w:sz w:val="24"/>
          <w:szCs w:val="24"/>
        </w:rPr>
        <w:t>, or one transmission or storage station</w:t>
      </w:r>
      <w:r w:rsidRPr="00EF2A02" w:rsidR="00EF2A02">
        <w:rPr>
          <w:sz w:val="24"/>
          <w:szCs w:val="24"/>
        </w:rPr>
        <w:t xml:space="preserve">. This assumption is used because there are several elements of the fugitive monitoring program that are not site-specific. </w:t>
      </w:r>
    </w:p>
    <w:p w:rsidR="00FE00CB" w:rsidP="0075527B" w:rsidRDefault="00270646" w14:paraId="0C441A93" w14:textId="57A19ED0">
      <w:pPr>
        <w:widowControl/>
        <w:spacing w:line="360" w:lineRule="auto"/>
        <w:rPr>
          <w:sz w:val="24"/>
          <w:szCs w:val="24"/>
        </w:rPr>
      </w:pPr>
      <w:r>
        <w:rPr>
          <w:i/>
          <w:iCs/>
          <w:sz w:val="24"/>
          <w:szCs w:val="24"/>
        </w:rPr>
        <w:t>(c)</w:t>
      </w:r>
      <w:r w:rsidR="00FE00CB">
        <w:rPr>
          <w:i/>
          <w:iCs/>
          <w:sz w:val="24"/>
          <w:szCs w:val="24"/>
        </w:rPr>
        <w:tab/>
        <w:t>Estimating Agency Burden and Cost</w:t>
      </w:r>
      <w:r w:rsidR="00FE00CB">
        <w:rPr>
          <w:sz w:val="24"/>
          <w:szCs w:val="24"/>
        </w:rPr>
        <w:t>.</w:t>
      </w:r>
    </w:p>
    <w:p w:rsidR="004C1E09" w:rsidP="0075527B" w:rsidRDefault="00FE00CB" w14:paraId="2BBC381E" w14:textId="1EBA56FD">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Publication and distribution of the information are part of the Compliance Data System, with the result that no Federal costs can be d</w:t>
      </w:r>
      <w:r w:rsidR="00FD0CE1">
        <w:rPr>
          <w:sz w:val="24"/>
          <w:szCs w:val="24"/>
        </w:rPr>
        <w:t xml:space="preserve">irectly attributed to the ICR. </w:t>
      </w:r>
      <w:r>
        <w:rPr>
          <w:sz w:val="24"/>
          <w:szCs w:val="24"/>
        </w:rPr>
        <w:t xml:space="preserve">Examination of records to be maintained by the respondents will occur incidentally as part of the periodic inspection of </w:t>
      </w:r>
      <w:r w:rsidR="00271798">
        <w:rPr>
          <w:sz w:val="24"/>
          <w:szCs w:val="24"/>
        </w:rPr>
        <w:t>facilities</w:t>
      </w:r>
      <w:r>
        <w:rPr>
          <w:sz w:val="24"/>
          <w:szCs w:val="24"/>
        </w:rPr>
        <w:t xml:space="preserve"> that is part of </w:t>
      </w:r>
      <w:r w:rsidR="007F789C">
        <w:rPr>
          <w:sz w:val="24"/>
          <w:szCs w:val="24"/>
        </w:rPr>
        <w:t>EPA</w:t>
      </w:r>
      <w:r>
        <w:rPr>
          <w:sz w:val="24"/>
          <w:szCs w:val="24"/>
        </w:rPr>
        <w:t>’s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Pr="00483C3F" w:rsidR="00664E61">
        <w:rPr>
          <w:sz w:val="24"/>
          <w:szCs w:val="24"/>
        </w:rPr>
        <w:t>Table</w:t>
      </w:r>
      <w:r w:rsidR="00664E61">
        <w:rPr>
          <w:sz w:val="24"/>
          <w:szCs w:val="24"/>
        </w:rPr>
        <w:t>s</w:t>
      </w:r>
      <w:r w:rsidRPr="00483C3F" w:rsidR="00664E61">
        <w:rPr>
          <w:sz w:val="24"/>
          <w:szCs w:val="24"/>
        </w:rPr>
        <w:t xml:space="preserve"> </w:t>
      </w:r>
      <w:r w:rsidR="005B7810">
        <w:rPr>
          <w:sz w:val="24"/>
          <w:szCs w:val="24"/>
        </w:rPr>
        <w:t>2</w:t>
      </w:r>
      <w:r w:rsidR="00664E61">
        <w:rPr>
          <w:sz w:val="24"/>
          <w:szCs w:val="24"/>
        </w:rPr>
        <w:t>a-</w:t>
      </w:r>
      <w:r w:rsidR="005B7810">
        <w:rPr>
          <w:sz w:val="24"/>
          <w:szCs w:val="24"/>
        </w:rPr>
        <w:t>2</w:t>
      </w:r>
      <w:r w:rsidR="00664E61">
        <w:rPr>
          <w:sz w:val="24"/>
          <w:szCs w:val="24"/>
        </w:rPr>
        <w:t>d</w:t>
      </w:r>
      <w:r>
        <w:rPr>
          <w:sz w:val="24"/>
          <w:szCs w:val="24"/>
        </w:rPr>
        <w:t>.</w:t>
      </w:r>
    </w:p>
    <w:p w:rsidRPr="004C1E09" w:rsidR="004C1E09" w:rsidP="0075527B" w:rsidRDefault="004C1E09" w14:paraId="6EC1B202" w14:textId="77777777">
      <w:pPr>
        <w:keepNext/>
        <w:widowControl/>
        <w:spacing w:line="360" w:lineRule="auto"/>
        <w:rPr>
          <w:sz w:val="24"/>
          <w:szCs w:val="24"/>
        </w:rPr>
      </w:pPr>
      <w:r w:rsidRPr="004C1E09">
        <w:rPr>
          <w:sz w:val="24"/>
          <w:szCs w:val="24"/>
        </w:rPr>
        <w:lastRenderedPageBreak/>
        <w:t>This cost is based on the average hourly labor rate as follows:</w:t>
      </w:r>
    </w:p>
    <w:p w:rsidRPr="004C1E09" w:rsidR="004C1E09" w:rsidP="0075527B" w:rsidRDefault="004C1E09" w14:paraId="17D6F223" w14:textId="136B3F2E">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w:t>
      </w:r>
      <w:r w:rsidR="003540EA">
        <w:rPr>
          <w:sz w:val="24"/>
          <w:szCs w:val="24"/>
        </w:rPr>
        <w:t>6</w:t>
      </w:r>
      <w:r w:rsidR="009A1478">
        <w:rPr>
          <w:sz w:val="24"/>
          <w:szCs w:val="24"/>
        </w:rPr>
        <w:t>8.37</w:t>
      </w:r>
      <w:r w:rsidR="004B293D">
        <w:rPr>
          <w:sz w:val="24"/>
          <w:szCs w:val="24"/>
        </w:rPr>
        <w:t xml:space="preserve"> (GS-13, Step 5, $</w:t>
      </w:r>
      <w:r w:rsidR="003071D2">
        <w:rPr>
          <w:sz w:val="24"/>
          <w:szCs w:val="24"/>
        </w:rPr>
        <w:t>42.73</w:t>
      </w:r>
      <w:r w:rsidRPr="004C1E09">
        <w:rPr>
          <w:sz w:val="24"/>
          <w:szCs w:val="24"/>
        </w:rPr>
        <w:t xml:space="preserve"> + 60%) </w:t>
      </w:r>
    </w:p>
    <w:p w:rsidRPr="004C1E09" w:rsidR="004C1E09" w:rsidP="0075527B" w:rsidRDefault="004B293D" w14:paraId="2C13E27C" w14:textId="324B7AD9">
      <w:pPr>
        <w:keepNext/>
        <w:widowControl/>
        <w:spacing w:line="360" w:lineRule="auto"/>
        <w:rPr>
          <w:sz w:val="24"/>
          <w:szCs w:val="24"/>
        </w:rPr>
      </w:pPr>
      <w:r>
        <w:rPr>
          <w:sz w:val="24"/>
          <w:szCs w:val="24"/>
        </w:rPr>
        <w:tab/>
      </w:r>
      <w:r>
        <w:rPr>
          <w:sz w:val="24"/>
          <w:szCs w:val="24"/>
        </w:rPr>
        <w:tab/>
        <w:t>Technical</w:t>
      </w:r>
      <w:r>
        <w:rPr>
          <w:sz w:val="24"/>
          <w:szCs w:val="24"/>
        </w:rPr>
        <w:tab/>
        <w:t>$</w:t>
      </w:r>
      <w:r w:rsidR="003071D2">
        <w:rPr>
          <w:sz w:val="24"/>
          <w:szCs w:val="24"/>
        </w:rPr>
        <w:t>50.72</w:t>
      </w:r>
      <w:r>
        <w:rPr>
          <w:sz w:val="24"/>
          <w:szCs w:val="24"/>
        </w:rPr>
        <w:t xml:space="preserve"> (GS-12, Step 1, $</w:t>
      </w:r>
      <w:r w:rsidR="003071D2">
        <w:rPr>
          <w:sz w:val="24"/>
          <w:szCs w:val="24"/>
        </w:rPr>
        <w:t>31.70</w:t>
      </w:r>
      <w:r w:rsidRPr="004C1E09" w:rsidR="004C1E09">
        <w:rPr>
          <w:sz w:val="24"/>
          <w:szCs w:val="24"/>
        </w:rPr>
        <w:t xml:space="preserve"> + 60%)</w:t>
      </w:r>
    </w:p>
    <w:p w:rsidRPr="004C1E09" w:rsidR="004C1E09" w:rsidP="0075527B" w:rsidRDefault="004B293D" w14:paraId="11E48A9D" w14:textId="2708F298">
      <w:pPr>
        <w:keepNext/>
        <w:widowControl/>
        <w:spacing w:line="360" w:lineRule="auto"/>
        <w:rPr>
          <w:sz w:val="24"/>
          <w:szCs w:val="24"/>
        </w:rPr>
      </w:pPr>
      <w:r>
        <w:rPr>
          <w:sz w:val="24"/>
          <w:szCs w:val="24"/>
        </w:rPr>
        <w:tab/>
      </w:r>
      <w:r>
        <w:rPr>
          <w:sz w:val="24"/>
          <w:szCs w:val="24"/>
        </w:rPr>
        <w:tab/>
        <w:t>Clerical</w:t>
      </w:r>
      <w:r>
        <w:rPr>
          <w:sz w:val="24"/>
          <w:szCs w:val="24"/>
        </w:rPr>
        <w:tab/>
        <w:t>$</w:t>
      </w:r>
      <w:r w:rsidR="00B11895">
        <w:rPr>
          <w:sz w:val="24"/>
          <w:szCs w:val="24"/>
        </w:rPr>
        <w:t>2</w:t>
      </w:r>
      <w:r w:rsidR="003071D2">
        <w:rPr>
          <w:sz w:val="24"/>
          <w:szCs w:val="24"/>
        </w:rPr>
        <w:t>7.46</w:t>
      </w:r>
      <w:r>
        <w:rPr>
          <w:sz w:val="24"/>
          <w:szCs w:val="24"/>
        </w:rPr>
        <w:t xml:space="preserve"> (GS-6, Step 3, $</w:t>
      </w:r>
      <w:r w:rsidR="00B11895">
        <w:rPr>
          <w:sz w:val="24"/>
          <w:szCs w:val="24"/>
        </w:rPr>
        <w:t>1</w:t>
      </w:r>
      <w:r w:rsidR="003071D2">
        <w:rPr>
          <w:sz w:val="24"/>
          <w:szCs w:val="24"/>
        </w:rPr>
        <w:t>7.16</w:t>
      </w:r>
      <w:r w:rsidRPr="004C1E09" w:rsidR="004C1E09">
        <w:rPr>
          <w:sz w:val="24"/>
          <w:szCs w:val="24"/>
        </w:rPr>
        <w:t xml:space="preserve"> + 60%)</w:t>
      </w:r>
      <w:r w:rsidR="00123B90">
        <w:rPr>
          <w:sz w:val="24"/>
          <w:szCs w:val="24"/>
        </w:rPr>
        <w:tab/>
      </w:r>
    </w:p>
    <w:p w:rsidRPr="00123B90" w:rsidR="004C1E09" w:rsidP="0075527B" w:rsidRDefault="004C1E09" w14:paraId="07A65B2A" w14:textId="3D4B7938">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w:t>
      </w:r>
      <w:r w:rsidR="003540EA">
        <w:rPr>
          <w:sz w:val="24"/>
          <w:szCs w:val="24"/>
        </w:rPr>
        <w:t>20</w:t>
      </w:r>
      <w:r w:rsidR="003071D2">
        <w:rPr>
          <w:sz w:val="24"/>
          <w:szCs w:val="24"/>
        </w:rPr>
        <w:t>20</w:t>
      </w:r>
      <w:r w:rsidR="003540EA">
        <w:rPr>
          <w:sz w:val="24"/>
          <w:szCs w:val="24"/>
        </w:rPr>
        <w:t xml:space="preserve"> </w:t>
      </w:r>
      <w:r w:rsidRPr="004C1E09">
        <w:rPr>
          <w:sz w:val="24"/>
          <w:szCs w:val="24"/>
        </w:rPr>
        <w:t>General Schedule</w:t>
      </w:r>
      <w:r w:rsidR="00CB35EC">
        <w:rPr>
          <w:sz w:val="24"/>
          <w:szCs w:val="24"/>
        </w:rPr>
        <w:t xml:space="preserve"> rates of pay</w:t>
      </w:r>
      <w:r w:rsidRPr="004C1E09">
        <w:rPr>
          <w:sz w:val="24"/>
          <w:szCs w:val="24"/>
        </w:rPr>
        <w:t xml:space="preserve">, which excludes </w:t>
      </w:r>
      <w:r w:rsidRPr="004C1E09" w:rsidR="00FA77E7">
        <w:rPr>
          <w:sz w:val="24"/>
          <w:szCs w:val="24"/>
        </w:rPr>
        <w:t>locality</w:t>
      </w:r>
      <w:r w:rsidR="00FD0CE1">
        <w:rPr>
          <w:sz w:val="24"/>
          <w:szCs w:val="24"/>
        </w:rPr>
        <w:t xml:space="preserve">. </w:t>
      </w:r>
      <w:r w:rsidRPr="004C1E09">
        <w:rPr>
          <w:sz w:val="24"/>
          <w:szCs w:val="24"/>
        </w:rPr>
        <w:t>The rates have been increased by 60 percent to account for the benefit packages available to government employees.</w:t>
      </w:r>
      <w:r w:rsidR="004B293D">
        <w:rPr>
          <w:sz w:val="24"/>
          <w:szCs w:val="24"/>
        </w:rPr>
        <w:t xml:space="preserve"> </w:t>
      </w:r>
    </w:p>
    <w:p w:rsidR="00FE00CB" w:rsidP="0075527B" w:rsidRDefault="00270646" w14:paraId="14042198" w14:textId="65E60695">
      <w:pPr>
        <w:keepNext/>
        <w:widowControl/>
        <w:spacing w:line="360" w:lineRule="auto"/>
        <w:rPr>
          <w:sz w:val="24"/>
          <w:szCs w:val="24"/>
        </w:rPr>
      </w:pPr>
      <w:r>
        <w:rPr>
          <w:i/>
          <w:iCs/>
          <w:sz w:val="24"/>
          <w:szCs w:val="24"/>
        </w:rPr>
        <w:t>(d)</w:t>
      </w:r>
      <w:r w:rsidRPr="00CF1129" w:rsidR="00FE00CB">
        <w:rPr>
          <w:i/>
          <w:iCs/>
          <w:sz w:val="24"/>
          <w:szCs w:val="24"/>
        </w:rPr>
        <w:tab/>
        <w:t>Estimating the Respondent Universe and Total Burden and Costs</w:t>
      </w:r>
      <w:r w:rsidRPr="00CF1129" w:rsidR="00FE00CB">
        <w:rPr>
          <w:sz w:val="24"/>
          <w:szCs w:val="24"/>
        </w:rPr>
        <w:t>.</w:t>
      </w:r>
    </w:p>
    <w:p w:rsidR="0069441D" w:rsidP="0075527B" w:rsidRDefault="00FE00CB" w14:paraId="7D4227C2" w14:textId="61E8176A">
      <w:pPr>
        <w:keepNext/>
        <w:widowControl/>
        <w:spacing w:line="360" w:lineRule="auto"/>
        <w:ind w:firstLine="720"/>
        <w:rPr>
          <w:sz w:val="24"/>
          <w:szCs w:val="24"/>
        </w:rPr>
      </w:pPr>
      <w:r>
        <w:rPr>
          <w:sz w:val="24"/>
          <w:szCs w:val="24"/>
        </w:rPr>
        <w:t xml:space="preserve">It was estimated that an average of </w:t>
      </w:r>
      <w:r w:rsidR="0062103A">
        <w:rPr>
          <w:sz w:val="24"/>
          <w:szCs w:val="24"/>
        </w:rPr>
        <w:t>179</w:t>
      </w:r>
      <w:r w:rsidR="00FC4FA0">
        <w:rPr>
          <w:sz w:val="24"/>
          <w:szCs w:val="24"/>
        </w:rPr>
        <w:t xml:space="preserve"> </w:t>
      </w:r>
      <w:r w:rsidR="0043428D">
        <w:rPr>
          <w:sz w:val="24"/>
          <w:szCs w:val="24"/>
        </w:rPr>
        <w:t>respondents</w:t>
      </w:r>
      <w:r w:rsidR="00A05894">
        <w:rPr>
          <w:rFonts w:cs="Courier New"/>
          <w:sz w:val="24"/>
          <w:szCs w:val="24"/>
        </w:rPr>
        <w:t xml:space="preserve"> </w:t>
      </w:r>
      <w:r w:rsidR="00F025B0">
        <w:rPr>
          <w:sz w:val="24"/>
          <w:szCs w:val="24"/>
        </w:rPr>
        <w:t xml:space="preserve">per year will be subject to </w:t>
      </w:r>
      <w:r w:rsidR="00E14F01">
        <w:rPr>
          <w:sz w:val="24"/>
          <w:szCs w:val="24"/>
        </w:rPr>
        <w:t>NSPS OOOOa</w:t>
      </w:r>
      <w:r w:rsidR="00A05894">
        <w:rPr>
          <w:sz w:val="24"/>
          <w:szCs w:val="24"/>
        </w:rPr>
        <w:t xml:space="preserve"> during </w:t>
      </w:r>
      <w:r w:rsidRPr="00A700C0" w:rsidR="00A05894">
        <w:rPr>
          <w:sz w:val="24"/>
          <w:szCs w:val="24"/>
        </w:rPr>
        <w:t>the 3</w:t>
      </w:r>
      <w:r w:rsidR="00A05894">
        <w:rPr>
          <w:sz w:val="24"/>
          <w:szCs w:val="24"/>
        </w:rPr>
        <w:t>-</w:t>
      </w:r>
      <w:r w:rsidRPr="00A700C0" w:rsidR="00A05894">
        <w:rPr>
          <w:sz w:val="24"/>
          <w:szCs w:val="24"/>
        </w:rPr>
        <w:t>year period of this ICR</w:t>
      </w:r>
      <w:r w:rsidR="00FA600A">
        <w:rPr>
          <w:sz w:val="24"/>
          <w:szCs w:val="24"/>
        </w:rPr>
        <w:t xml:space="preserve"> as shown in </w:t>
      </w:r>
      <w:r w:rsidR="00D773C6">
        <w:rPr>
          <w:sz w:val="24"/>
          <w:szCs w:val="24"/>
        </w:rPr>
        <w:t>the following table below.</w:t>
      </w:r>
      <w:r w:rsidR="00FD0CE1">
        <w:rPr>
          <w:sz w:val="24"/>
          <w:szCs w:val="24"/>
        </w:rPr>
        <w:t xml:space="preserve"> </w:t>
      </w:r>
      <w:r w:rsidR="00AC0855">
        <w:rPr>
          <w:sz w:val="24"/>
          <w:szCs w:val="24"/>
        </w:rPr>
        <w:t>T</w:t>
      </w:r>
      <w:r w:rsidR="00A05894">
        <w:rPr>
          <w:sz w:val="24"/>
          <w:szCs w:val="24"/>
        </w:rPr>
        <w:t xml:space="preserve">his </w:t>
      </w:r>
      <w:r w:rsidR="009B2527">
        <w:rPr>
          <w:sz w:val="24"/>
          <w:szCs w:val="24"/>
        </w:rPr>
        <w:t>estimate</w:t>
      </w:r>
      <w:r w:rsidR="00AC0855">
        <w:rPr>
          <w:sz w:val="24"/>
          <w:szCs w:val="24"/>
        </w:rPr>
        <w:t xml:space="preserve"> </w:t>
      </w:r>
      <w:r w:rsidR="00A05894">
        <w:rPr>
          <w:sz w:val="24"/>
          <w:szCs w:val="24"/>
        </w:rPr>
        <w:t xml:space="preserve">encompasses the number of </w:t>
      </w:r>
      <w:r w:rsidR="00015AED">
        <w:rPr>
          <w:sz w:val="24"/>
          <w:szCs w:val="24"/>
        </w:rPr>
        <w:t xml:space="preserve">companies </w:t>
      </w:r>
      <w:r w:rsidR="00A05894">
        <w:rPr>
          <w:sz w:val="24"/>
          <w:szCs w:val="24"/>
        </w:rPr>
        <w:t xml:space="preserve">that </w:t>
      </w:r>
      <w:r w:rsidR="00A750F0">
        <w:rPr>
          <w:sz w:val="24"/>
          <w:szCs w:val="24"/>
        </w:rPr>
        <w:t xml:space="preserve">the </w:t>
      </w:r>
      <w:r w:rsidR="007F789C">
        <w:rPr>
          <w:sz w:val="24"/>
          <w:szCs w:val="24"/>
        </w:rPr>
        <w:t>EPA</w:t>
      </w:r>
      <w:r w:rsidR="00A05894">
        <w:rPr>
          <w:sz w:val="24"/>
          <w:szCs w:val="24"/>
        </w:rPr>
        <w:t xml:space="preserve"> expect</w:t>
      </w:r>
      <w:r w:rsidR="00CE3E94">
        <w:rPr>
          <w:sz w:val="24"/>
          <w:szCs w:val="24"/>
        </w:rPr>
        <w:t>s</w:t>
      </w:r>
      <w:r w:rsidR="00A05894">
        <w:rPr>
          <w:sz w:val="24"/>
          <w:szCs w:val="24"/>
        </w:rPr>
        <w:t xml:space="preserve"> </w:t>
      </w:r>
      <w:r w:rsidR="00AC0855">
        <w:rPr>
          <w:sz w:val="24"/>
          <w:szCs w:val="24"/>
        </w:rPr>
        <w:t>will submit</w:t>
      </w:r>
      <w:r w:rsidR="00A05894">
        <w:rPr>
          <w:sz w:val="24"/>
          <w:szCs w:val="24"/>
        </w:rPr>
        <w:t xml:space="preserve"> reports </w:t>
      </w:r>
      <w:r w:rsidR="006463F3">
        <w:rPr>
          <w:sz w:val="24"/>
          <w:szCs w:val="24"/>
        </w:rPr>
        <w:t>on behalf of all its well sites (note: each company is assumed to own 22 well sites</w:t>
      </w:r>
      <w:r w:rsidR="0062103A">
        <w:rPr>
          <w:sz w:val="24"/>
          <w:szCs w:val="24"/>
        </w:rPr>
        <w:t>, 7 gathering and boosting stations, or one transmission or storage station</w:t>
      </w:r>
      <w:r w:rsidR="006463F3">
        <w:rPr>
          <w:sz w:val="24"/>
          <w:szCs w:val="24"/>
        </w:rPr>
        <w:t>)</w:t>
      </w:r>
      <w:r w:rsidR="00AC0855">
        <w:rPr>
          <w:sz w:val="24"/>
          <w:szCs w:val="24"/>
        </w:rPr>
        <w:t>.</w:t>
      </w:r>
      <w:r w:rsidR="000A096B">
        <w:rPr>
          <w:sz w:val="24"/>
          <w:szCs w:val="24"/>
        </w:rPr>
        <w:t xml:space="preserve"> The average annual </w:t>
      </w:r>
      <w:r w:rsidR="00F428CC">
        <w:rPr>
          <w:sz w:val="24"/>
          <w:szCs w:val="24"/>
        </w:rPr>
        <w:t>number of respondents per year is calculated using the following table.</w:t>
      </w:r>
    </w:p>
    <w:p w:rsidR="00AA1929" w:rsidP="0075527B" w:rsidRDefault="00AA1929" w14:paraId="284A246F" w14:textId="77777777">
      <w:pPr>
        <w:keepNext/>
        <w:widowControl/>
        <w:spacing w:line="360" w:lineRule="auto"/>
        <w:ind w:firstLine="720"/>
        <w:rPr>
          <w:sz w:val="24"/>
          <w:szCs w:val="24"/>
        </w:rPr>
      </w:pPr>
    </w:p>
    <w:tbl>
      <w:tblPr>
        <w:tblW w:w="289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1" w:type="dxa"/>
          <w:right w:w="111" w:type="dxa"/>
        </w:tblCellMar>
        <w:tblLook w:val="0000" w:firstRow="0" w:lastRow="0" w:firstColumn="0" w:lastColumn="0" w:noHBand="0" w:noVBand="0"/>
      </w:tblPr>
      <w:tblGrid>
        <w:gridCol w:w="2070"/>
        <w:gridCol w:w="3419"/>
      </w:tblGrid>
      <w:tr w:rsidRPr="008A2727" w:rsidR="0069441D" w:rsidTr="008A2727" w14:paraId="36455BE1" w14:textId="77777777">
        <w:trPr>
          <w:trHeight w:val="292"/>
          <w:jc w:val="center"/>
        </w:trPr>
        <w:tc>
          <w:tcPr>
            <w:tcW w:w="2070" w:type="dxa"/>
            <w:vAlign w:val="center"/>
          </w:tcPr>
          <w:p w:rsidRPr="008A2727" w:rsidR="0069441D" w:rsidP="00391501" w:rsidRDefault="0069441D" w14:paraId="157FE031" w14:textId="3C0E3DC7">
            <w:pPr>
              <w:keepNext/>
              <w:widowControl/>
              <w:jc w:val="center"/>
              <w:rPr>
                <w:b/>
                <w:lang w:val="pt-BR"/>
              </w:rPr>
            </w:pPr>
            <w:r w:rsidRPr="008A2727">
              <w:rPr>
                <w:b/>
              </w:rPr>
              <w:t>Year</w:t>
            </w:r>
            <w:r w:rsidR="0062103A">
              <w:rPr>
                <w:rStyle w:val="FootnoteReference"/>
                <w:b/>
              </w:rPr>
              <w:footnoteReference w:id="3"/>
            </w:r>
          </w:p>
        </w:tc>
        <w:tc>
          <w:tcPr>
            <w:tcW w:w="3419" w:type="dxa"/>
            <w:vAlign w:val="center"/>
          </w:tcPr>
          <w:p w:rsidRPr="008A2727" w:rsidR="0069441D" w:rsidP="00391501" w:rsidRDefault="0069441D" w14:paraId="779F5323" w14:textId="1AB963C5">
            <w:pPr>
              <w:keepNext/>
              <w:widowControl/>
              <w:jc w:val="center"/>
              <w:rPr>
                <w:b/>
                <w:lang w:val="pt-BR"/>
              </w:rPr>
            </w:pPr>
            <w:r w:rsidRPr="008A2727">
              <w:rPr>
                <w:b/>
                <w:lang w:val="pt-BR"/>
              </w:rPr>
              <w:t>Annual Number of Respondents</w:t>
            </w:r>
          </w:p>
        </w:tc>
      </w:tr>
      <w:tr w:rsidRPr="008A2727" w:rsidR="0069441D" w:rsidTr="008A2727" w14:paraId="561E41B0" w14:textId="77777777">
        <w:trPr>
          <w:trHeight w:val="290"/>
          <w:jc w:val="center"/>
        </w:trPr>
        <w:tc>
          <w:tcPr>
            <w:tcW w:w="2070" w:type="dxa"/>
            <w:vAlign w:val="center"/>
          </w:tcPr>
          <w:p w:rsidRPr="008A2727" w:rsidR="0069441D" w:rsidP="00391501" w:rsidRDefault="0069441D" w14:paraId="3A394E6A" w14:textId="56E44724">
            <w:pPr>
              <w:keepNext/>
              <w:widowControl/>
              <w:jc w:val="center"/>
            </w:pPr>
            <w:r w:rsidRPr="008A2727">
              <w:t>1</w:t>
            </w:r>
            <w:r w:rsidR="00393F1A">
              <w:t xml:space="preserve"> (2021)</w:t>
            </w:r>
          </w:p>
        </w:tc>
        <w:tc>
          <w:tcPr>
            <w:tcW w:w="3419" w:type="dxa"/>
            <w:vAlign w:val="center"/>
          </w:tcPr>
          <w:p w:rsidRPr="008A2727" w:rsidR="0069441D" w:rsidP="00391501" w:rsidRDefault="0066014F" w14:paraId="3E1F697A" w14:textId="49A8C933">
            <w:pPr>
              <w:keepNext/>
              <w:widowControl/>
              <w:jc w:val="center"/>
            </w:pPr>
            <w:r>
              <w:t>3,268</w:t>
            </w:r>
          </w:p>
        </w:tc>
      </w:tr>
      <w:tr w:rsidRPr="008A2727" w:rsidR="0069441D" w:rsidTr="008A2727" w14:paraId="40A67F0C" w14:textId="77777777">
        <w:trPr>
          <w:trHeight w:val="290"/>
          <w:jc w:val="center"/>
        </w:trPr>
        <w:tc>
          <w:tcPr>
            <w:tcW w:w="2070" w:type="dxa"/>
            <w:vAlign w:val="center"/>
          </w:tcPr>
          <w:p w:rsidRPr="008A2727" w:rsidR="0069441D" w:rsidP="00391501" w:rsidRDefault="0069441D" w14:paraId="43728C71" w14:textId="5D412AE3">
            <w:pPr>
              <w:keepNext/>
              <w:widowControl/>
              <w:jc w:val="center"/>
            </w:pPr>
            <w:r w:rsidRPr="008A2727">
              <w:t>2</w:t>
            </w:r>
            <w:r w:rsidR="00393F1A">
              <w:t xml:space="preserve"> (2022)</w:t>
            </w:r>
          </w:p>
        </w:tc>
        <w:tc>
          <w:tcPr>
            <w:tcW w:w="3419" w:type="dxa"/>
            <w:vAlign w:val="center"/>
          </w:tcPr>
          <w:p w:rsidRPr="008A2727" w:rsidR="0069441D" w:rsidP="00391501" w:rsidRDefault="0066014F" w14:paraId="61CAEB01" w14:textId="2F16A4BB">
            <w:pPr>
              <w:keepNext/>
              <w:widowControl/>
              <w:jc w:val="center"/>
            </w:pPr>
            <w:r>
              <w:t>3,268</w:t>
            </w:r>
          </w:p>
        </w:tc>
      </w:tr>
      <w:tr w:rsidRPr="008A2727" w:rsidR="0069441D" w:rsidTr="008A2727" w14:paraId="0B707C3D" w14:textId="77777777">
        <w:trPr>
          <w:trHeight w:val="290"/>
          <w:jc w:val="center"/>
        </w:trPr>
        <w:tc>
          <w:tcPr>
            <w:tcW w:w="2070" w:type="dxa"/>
            <w:vAlign w:val="center"/>
          </w:tcPr>
          <w:p w:rsidRPr="008A2727" w:rsidR="0069441D" w:rsidP="00391501" w:rsidRDefault="0069441D" w14:paraId="43AC79D1" w14:textId="6A6A733B">
            <w:pPr>
              <w:keepNext/>
              <w:widowControl/>
              <w:jc w:val="center"/>
            </w:pPr>
            <w:r w:rsidRPr="008A2727">
              <w:t>3</w:t>
            </w:r>
            <w:r w:rsidR="00393F1A">
              <w:t xml:space="preserve"> (2023)</w:t>
            </w:r>
          </w:p>
        </w:tc>
        <w:tc>
          <w:tcPr>
            <w:tcW w:w="3419" w:type="dxa"/>
            <w:vAlign w:val="center"/>
          </w:tcPr>
          <w:p w:rsidRPr="008A2727" w:rsidR="0069441D" w:rsidP="00391501" w:rsidRDefault="0066014F" w14:paraId="4E64C899" w14:textId="16544077">
            <w:pPr>
              <w:keepNext/>
              <w:widowControl/>
              <w:jc w:val="center"/>
            </w:pPr>
            <w:r>
              <w:t>3,268</w:t>
            </w:r>
          </w:p>
        </w:tc>
      </w:tr>
      <w:tr w:rsidRPr="008A2727" w:rsidR="0069441D" w:rsidTr="008A2727" w14:paraId="39FB7FFA" w14:textId="77777777">
        <w:trPr>
          <w:trHeight w:val="290"/>
          <w:jc w:val="center"/>
        </w:trPr>
        <w:tc>
          <w:tcPr>
            <w:tcW w:w="2070" w:type="dxa"/>
            <w:vAlign w:val="center"/>
          </w:tcPr>
          <w:p w:rsidRPr="008A2727" w:rsidR="0069441D" w:rsidP="00391501" w:rsidRDefault="0069441D" w14:paraId="492CE1C8" w14:textId="39FA77F2">
            <w:pPr>
              <w:keepNext/>
              <w:widowControl/>
              <w:jc w:val="center"/>
              <w:rPr>
                <w:b/>
              </w:rPr>
            </w:pPr>
            <w:r w:rsidRPr="008A2727">
              <w:rPr>
                <w:b/>
              </w:rPr>
              <w:t>Average</w:t>
            </w:r>
          </w:p>
        </w:tc>
        <w:tc>
          <w:tcPr>
            <w:tcW w:w="3419" w:type="dxa"/>
            <w:vAlign w:val="center"/>
          </w:tcPr>
          <w:p w:rsidRPr="0066014F" w:rsidR="0069441D" w:rsidP="00391501" w:rsidRDefault="0066014F" w14:paraId="755ADDCA" w14:textId="2EFC6928">
            <w:pPr>
              <w:keepNext/>
              <w:widowControl/>
              <w:jc w:val="center"/>
              <w:rPr>
                <w:b/>
                <w:bCs/>
              </w:rPr>
            </w:pPr>
            <w:r w:rsidRPr="0066014F">
              <w:rPr>
                <w:b/>
                <w:bCs/>
              </w:rPr>
              <w:t>3,268</w:t>
            </w:r>
          </w:p>
        </w:tc>
      </w:tr>
    </w:tbl>
    <w:p w:rsidR="00F6339A" w:rsidP="00F6339A" w:rsidRDefault="00F6339A" w14:paraId="7A26D9EC" w14:textId="77777777">
      <w:pPr>
        <w:widowControl/>
        <w:spacing w:line="360" w:lineRule="auto"/>
        <w:ind w:firstLine="720"/>
        <w:rPr>
          <w:sz w:val="24"/>
          <w:szCs w:val="24"/>
        </w:rPr>
      </w:pPr>
    </w:p>
    <w:p w:rsidR="004E5425" w:rsidP="00F6339A" w:rsidRDefault="00FE00CB" w14:paraId="1D4EBE83" w14:textId="3B88D282">
      <w:pPr>
        <w:widowControl/>
        <w:spacing w:line="360" w:lineRule="auto"/>
        <w:ind w:firstLine="720"/>
        <w:rPr>
          <w:sz w:val="24"/>
          <w:szCs w:val="24"/>
        </w:rPr>
      </w:pPr>
      <w:r>
        <w:rPr>
          <w:sz w:val="24"/>
          <w:szCs w:val="24"/>
        </w:rPr>
        <w:t xml:space="preserve">For </w:t>
      </w:r>
      <w:r w:rsidR="00847139">
        <w:rPr>
          <w:sz w:val="24"/>
          <w:szCs w:val="24"/>
        </w:rPr>
        <w:t xml:space="preserve">the </w:t>
      </w:r>
      <w:r w:rsidR="00E14F01">
        <w:rPr>
          <w:sz w:val="24"/>
          <w:szCs w:val="24"/>
        </w:rPr>
        <w:t>NSPS OOOOa</w:t>
      </w:r>
      <w:r>
        <w:rPr>
          <w:sz w:val="24"/>
          <w:szCs w:val="24"/>
        </w:rPr>
        <w:t xml:space="preserve">, the components of the total annual responses attributable to this ICR are </w:t>
      </w:r>
      <w:r w:rsidR="00903417">
        <w:rPr>
          <w:sz w:val="24"/>
          <w:szCs w:val="24"/>
        </w:rPr>
        <w:t>notification</w:t>
      </w:r>
      <w:r w:rsidR="00613EF8">
        <w:rPr>
          <w:sz w:val="24"/>
          <w:szCs w:val="24"/>
        </w:rPr>
        <w:t>s</w:t>
      </w:r>
      <w:r w:rsidR="00903417">
        <w:rPr>
          <w:sz w:val="24"/>
          <w:szCs w:val="24"/>
        </w:rPr>
        <w:t xml:space="preserve"> of well completions</w:t>
      </w:r>
      <w:r w:rsidR="00613EF8">
        <w:rPr>
          <w:sz w:val="24"/>
          <w:szCs w:val="24"/>
        </w:rPr>
        <w:t xml:space="preserve">/recompletions from an </w:t>
      </w:r>
      <w:r w:rsidR="00F87F98">
        <w:rPr>
          <w:sz w:val="24"/>
          <w:szCs w:val="24"/>
        </w:rPr>
        <w:t xml:space="preserve">estimated </w:t>
      </w:r>
      <w:r w:rsidR="00613EF8">
        <w:rPr>
          <w:sz w:val="24"/>
          <w:szCs w:val="24"/>
        </w:rPr>
        <w:t xml:space="preserve">average </w:t>
      </w:r>
      <w:r w:rsidRPr="0018670C" w:rsidR="00613EF8">
        <w:rPr>
          <w:sz w:val="24"/>
          <w:szCs w:val="24"/>
        </w:rPr>
        <w:t xml:space="preserve">of </w:t>
      </w:r>
      <w:r w:rsidR="002A3D56">
        <w:rPr>
          <w:sz w:val="24"/>
          <w:szCs w:val="24"/>
        </w:rPr>
        <w:t xml:space="preserve">3,378 </w:t>
      </w:r>
      <w:r w:rsidR="00613EF8">
        <w:rPr>
          <w:sz w:val="24"/>
          <w:szCs w:val="24"/>
        </w:rPr>
        <w:t>companies over the three-year period</w:t>
      </w:r>
      <w:r w:rsidR="00903417">
        <w:rPr>
          <w:sz w:val="24"/>
          <w:szCs w:val="24"/>
        </w:rPr>
        <w:t xml:space="preserve">, </w:t>
      </w:r>
      <w:r>
        <w:rPr>
          <w:sz w:val="24"/>
          <w:szCs w:val="24"/>
        </w:rPr>
        <w:t xml:space="preserve">notification </w:t>
      </w:r>
      <w:r w:rsidR="00FD0CE1">
        <w:rPr>
          <w:sz w:val="24"/>
          <w:szCs w:val="24"/>
        </w:rPr>
        <w:t xml:space="preserve">of construction, reconstruction and </w:t>
      </w:r>
      <w:r>
        <w:rPr>
          <w:sz w:val="24"/>
          <w:szCs w:val="24"/>
        </w:rPr>
        <w:t>modification</w:t>
      </w:r>
      <w:r w:rsidR="00AC0855">
        <w:rPr>
          <w:sz w:val="24"/>
          <w:szCs w:val="24"/>
        </w:rPr>
        <w:t xml:space="preserve"> </w:t>
      </w:r>
      <w:r w:rsidR="00613EF8">
        <w:rPr>
          <w:sz w:val="24"/>
          <w:szCs w:val="24"/>
        </w:rPr>
        <w:t>from</w:t>
      </w:r>
      <w:r w:rsidR="00C05404">
        <w:rPr>
          <w:sz w:val="24"/>
          <w:szCs w:val="24"/>
        </w:rPr>
        <w:t xml:space="preserve"> an average of </w:t>
      </w:r>
      <w:r w:rsidR="002A3D56">
        <w:rPr>
          <w:sz w:val="24"/>
          <w:szCs w:val="24"/>
        </w:rPr>
        <w:t>3</w:t>
      </w:r>
      <w:r w:rsidR="00DC3808">
        <w:rPr>
          <w:sz w:val="24"/>
          <w:szCs w:val="24"/>
        </w:rPr>
        <w:t xml:space="preserve"> companies</w:t>
      </w:r>
      <w:r w:rsidR="00613EF8">
        <w:rPr>
          <w:sz w:val="24"/>
          <w:szCs w:val="24"/>
        </w:rPr>
        <w:t xml:space="preserve"> over the three-year period</w:t>
      </w:r>
      <w:r w:rsidR="00DC3808">
        <w:rPr>
          <w:sz w:val="24"/>
          <w:szCs w:val="24"/>
        </w:rPr>
        <w:t>,</w:t>
      </w:r>
      <w:r w:rsidR="00C05404">
        <w:rPr>
          <w:sz w:val="24"/>
          <w:szCs w:val="24"/>
        </w:rPr>
        <w:t xml:space="preserve"> </w:t>
      </w:r>
      <w:r w:rsidR="00C47343">
        <w:rPr>
          <w:sz w:val="24"/>
          <w:szCs w:val="24"/>
        </w:rPr>
        <w:t>annual</w:t>
      </w:r>
      <w:r w:rsidR="000920C0">
        <w:rPr>
          <w:sz w:val="24"/>
          <w:szCs w:val="24"/>
        </w:rPr>
        <w:t xml:space="preserve"> </w:t>
      </w:r>
      <w:r w:rsidR="005C5597">
        <w:rPr>
          <w:sz w:val="24"/>
          <w:szCs w:val="24"/>
        </w:rPr>
        <w:t>reports</w:t>
      </w:r>
      <w:r w:rsidR="008E3484">
        <w:rPr>
          <w:sz w:val="24"/>
          <w:szCs w:val="24"/>
        </w:rPr>
        <w:t xml:space="preserve"> from an average of </w:t>
      </w:r>
      <w:r w:rsidR="002A3D56">
        <w:rPr>
          <w:sz w:val="24"/>
          <w:szCs w:val="24"/>
        </w:rPr>
        <w:t>3,219</w:t>
      </w:r>
      <w:r w:rsidR="00AF7370">
        <w:rPr>
          <w:sz w:val="24"/>
          <w:szCs w:val="24"/>
        </w:rPr>
        <w:t xml:space="preserve"> </w:t>
      </w:r>
      <w:r w:rsidRPr="0018670C" w:rsidR="008E3484">
        <w:rPr>
          <w:sz w:val="24"/>
          <w:szCs w:val="24"/>
        </w:rPr>
        <w:t>companies</w:t>
      </w:r>
      <w:r w:rsidR="008E3484">
        <w:rPr>
          <w:sz w:val="24"/>
          <w:szCs w:val="24"/>
        </w:rPr>
        <w:t xml:space="preserve"> over the three-year period</w:t>
      </w:r>
      <w:r w:rsidR="00DC3808">
        <w:rPr>
          <w:sz w:val="24"/>
          <w:szCs w:val="24"/>
        </w:rPr>
        <w:t>,</w:t>
      </w:r>
      <w:r w:rsidR="005C5597">
        <w:rPr>
          <w:sz w:val="24"/>
          <w:szCs w:val="24"/>
        </w:rPr>
        <w:t xml:space="preserve"> and </w:t>
      </w:r>
      <w:r w:rsidR="000920C0">
        <w:rPr>
          <w:sz w:val="24"/>
          <w:szCs w:val="24"/>
        </w:rPr>
        <w:t>semiannual</w:t>
      </w:r>
      <w:r w:rsidR="00C47343">
        <w:rPr>
          <w:sz w:val="24"/>
          <w:szCs w:val="24"/>
        </w:rPr>
        <w:t xml:space="preserve"> report</w:t>
      </w:r>
      <w:r w:rsidR="00CB35EC">
        <w:rPr>
          <w:sz w:val="24"/>
          <w:szCs w:val="24"/>
        </w:rPr>
        <w:t>s</w:t>
      </w:r>
      <w:r w:rsidR="00C47343">
        <w:rPr>
          <w:sz w:val="24"/>
          <w:szCs w:val="24"/>
        </w:rPr>
        <w:t xml:space="preserve"> from</w:t>
      </w:r>
      <w:r w:rsidR="00AC0855">
        <w:rPr>
          <w:sz w:val="24"/>
          <w:szCs w:val="24"/>
        </w:rPr>
        <w:t xml:space="preserve"> </w:t>
      </w:r>
      <w:r w:rsidR="00613EF8">
        <w:rPr>
          <w:sz w:val="24"/>
          <w:szCs w:val="24"/>
        </w:rPr>
        <w:t xml:space="preserve">an average of </w:t>
      </w:r>
      <w:r w:rsidR="00C84674">
        <w:rPr>
          <w:sz w:val="24"/>
          <w:szCs w:val="24"/>
        </w:rPr>
        <w:t>49 c</w:t>
      </w:r>
      <w:r w:rsidRPr="0018670C" w:rsidR="00613EF8">
        <w:rPr>
          <w:sz w:val="24"/>
          <w:szCs w:val="24"/>
        </w:rPr>
        <w:t>o</w:t>
      </w:r>
      <w:r w:rsidR="00613EF8">
        <w:rPr>
          <w:sz w:val="24"/>
          <w:szCs w:val="24"/>
        </w:rPr>
        <w:t>mpanies over the three-year period.</w:t>
      </w:r>
      <w:r w:rsidR="000920C0">
        <w:rPr>
          <w:sz w:val="24"/>
          <w:szCs w:val="24"/>
        </w:rPr>
        <w:t xml:space="preserve"> (</w:t>
      </w:r>
      <w:r w:rsidR="004E5425">
        <w:rPr>
          <w:sz w:val="24"/>
          <w:szCs w:val="24"/>
        </w:rPr>
        <w:t>Processing</w:t>
      </w:r>
      <w:r w:rsidR="000920C0">
        <w:rPr>
          <w:sz w:val="24"/>
          <w:szCs w:val="24"/>
        </w:rPr>
        <w:t xml:space="preserve"> facilities report semiannually, all others annually)</w:t>
      </w:r>
      <w:r w:rsidR="00465957">
        <w:rPr>
          <w:sz w:val="24"/>
          <w:szCs w:val="24"/>
        </w:rPr>
        <w:t>.</w:t>
      </w:r>
    </w:p>
    <w:p w:rsidR="00FA77E7" w:rsidP="00F311FA" w:rsidRDefault="00FA77E7" w14:paraId="48C6DB9C" w14:textId="77777777">
      <w:pPr>
        <w:keepNext/>
        <w:widowControl/>
        <w:ind w:firstLine="720"/>
        <w:jc w:val="both"/>
        <w:rPr>
          <w:sz w:val="24"/>
          <w:szCs w:val="24"/>
        </w:rPr>
      </w:pPr>
      <w:r w:rsidRPr="004E469A">
        <w:rPr>
          <w:sz w:val="24"/>
          <w:szCs w:val="24"/>
        </w:rPr>
        <w:lastRenderedPageBreak/>
        <w:t xml:space="preserve">The </w:t>
      </w:r>
      <w:r w:rsidR="000F4EBB">
        <w:rPr>
          <w:sz w:val="24"/>
          <w:szCs w:val="24"/>
        </w:rPr>
        <w:t xml:space="preserve">average </w:t>
      </w:r>
      <w:r w:rsidRPr="004E469A">
        <w:rPr>
          <w:sz w:val="24"/>
          <w:szCs w:val="24"/>
        </w:rPr>
        <w:t>number of annual responses per year is calcu</w:t>
      </w:r>
      <w:r>
        <w:rPr>
          <w:sz w:val="24"/>
          <w:szCs w:val="24"/>
        </w:rPr>
        <w:t>lated using the following table.</w:t>
      </w:r>
    </w:p>
    <w:p w:rsidR="00D773C6" w:rsidP="00F311FA" w:rsidRDefault="00D773C6" w14:paraId="0AEF2F9A" w14:textId="77777777">
      <w:pPr>
        <w:keepNext/>
        <w:widowControl/>
        <w:ind w:firstLine="720"/>
        <w:jc w:val="both"/>
        <w:rPr>
          <w:sz w:val="24"/>
          <w:szCs w:val="24"/>
        </w:rPr>
      </w:pPr>
    </w:p>
    <w:tbl>
      <w:tblPr>
        <w:tblW w:w="5000" w:type="pct"/>
        <w:tblLayout w:type="fixed"/>
        <w:tblCellMar>
          <w:left w:w="111" w:type="dxa"/>
          <w:right w:w="111" w:type="dxa"/>
        </w:tblCellMar>
        <w:tblLook w:val="0000" w:firstRow="0" w:lastRow="0" w:firstColumn="0" w:lastColumn="0" w:noHBand="0" w:noVBand="0"/>
      </w:tblPr>
      <w:tblGrid>
        <w:gridCol w:w="4925"/>
        <w:gridCol w:w="1554"/>
        <w:gridCol w:w="1371"/>
        <w:gridCol w:w="1636"/>
      </w:tblGrid>
      <w:tr w:rsidRPr="008A2727" w:rsidR="00C95E8B" w:rsidTr="76728A8F" w14:paraId="66743400" w14:textId="77777777">
        <w:tc>
          <w:tcPr>
            <w:tcW w:w="9486" w:type="dxa"/>
            <w:gridSpan w:val="4"/>
            <w:tcBorders>
              <w:top w:val="single" w:color="000000" w:themeColor="text1" w:sz="7" w:space="0"/>
              <w:left w:val="single" w:color="000000" w:themeColor="text1" w:sz="7" w:space="0"/>
              <w:bottom w:val="single" w:color="FFFFFF" w:themeColor="background1" w:sz="6" w:space="0"/>
              <w:right w:val="single" w:color="000000" w:themeColor="text1" w:sz="7" w:space="0"/>
            </w:tcBorders>
            <w:vAlign w:val="center"/>
          </w:tcPr>
          <w:p w:rsidRPr="008A2727" w:rsidR="00C95E8B" w:rsidP="00F311FA" w:rsidRDefault="00C95E8B" w14:paraId="3CF38CFA" w14:textId="273F756D">
            <w:pPr>
              <w:keepNext/>
              <w:widowControl/>
              <w:jc w:val="center"/>
              <w:rPr>
                <w:b/>
                <w:lang w:val="pt-BR"/>
              </w:rPr>
            </w:pPr>
            <w:r w:rsidRPr="008A2727">
              <w:rPr>
                <w:b/>
              </w:rPr>
              <w:t>Total Annual Responses</w:t>
            </w:r>
          </w:p>
        </w:tc>
      </w:tr>
      <w:tr w:rsidRPr="008A2727" w:rsidR="00C95E8B" w:rsidTr="76728A8F" w14:paraId="5C763C75" w14:textId="77777777">
        <w:tc>
          <w:tcPr>
            <w:tcW w:w="4925"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7937" w:rsidR="00C95E8B" w:rsidP="00F311FA" w:rsidRDefault="00C95E8B" w14:paraId="40C6F374" w14:textId="089EDC56">
            <w:pPr>
              <w:keepNext/>
              <w:widowControl/>
              <w:jc w:val="center"/>
              <w:rPr>
                <w:b/>
              </w:rPr>
            </w:pPr>
            <w:r w:rsidRPr="008A7937">
              <w:rPr>
                <w:b/>
              </w:rPr>
              <w:t>Information</w:t>
            </w:r>
            <w:r w:rsidRPr="008A7937" w:rsidR="00970071">
              <w:rPr>
                <w:b/>
              </w:rPr>
              <w:t xml:space="preserve"> </w:t>
            </w:r>
            <w:r w:rsidRPr="008A7937">
              <w:rPr>
                <w:b/>
              </w:rPr>
              <w:t>Collection</w:t>
            </w:r>
            <w:r w:rsidRPr="008A7937" w:rsidR="00970071">
              <w:rPr>
                <w:b/>
              </w:rPr>
              <w:t xml:space="preserve"> </w:t>
            </w:r>
            <w:r w:rsidRPr="008A7937">
              <w:rPr>
                <w:b/>
              </w:rPr>
              <w:t>Activity</w:t>
            </w:r>
          </w:p>
        </w:tc>
        <w:tc>
          <w:tcPr>
            <w:tcW w:w="1554"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7937" w:rsidR="00C95E8B" w:rsidP="00F311FA" w:rsidRDefault="00C95E8B" w14:paraId="10ECCDB7" w14:textId="5F37C975">
            <w:pPr>
              <w:keepNext/>
              <w:widowControl/>
              <w:jc w:val="center"/>
              <w:rPr>
                <w:b/>
              </w:rPr>
            </w:pPr>
            <w:r w:rsidRPr="008A7937">
              <w:rPr>
                <w:b/>
              </w:rPr>
              <w:t xml:space="preserve">Number of </w:t>
            </w:r>
            <w:proofErr w:type="spellStart"/>
            <w:r w:rsidRPr="008A7937">
              <w:rPr>
                <w:b/>
              </w:rPr>
              <w:t>Respondents</w:t>
            </w:r>
            <w:r w:rsidR="008A7937">
              <w:rPr>
                <w:b/>
                <w:vertAlign w:val="superscript"/>
              </w:rPr>
              <w:t>a</w:t>
            </w:r>
            <w:proofErr w:type="spellEnd"/>
          </w:p>
        </w:tc>
        <w:tc>
          <w:tcPr>
            <w:tcW w:w="1371"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7937" w:rsidR="00C95E8B" w:rsidP="00F311FA" w:rsidRDefault="00C95E8B" w14:paraId="459E8AD0" w14:textId="77777777">
            <w:pPr>
              <w:keepNext/>
              <w:widowControl/>
              <w:jc w:val="center"/>
              <w:rPr>
                <w:b/>
              </w:rPr>
            </w:pPr>
            <w:r w:rsidRPr="008A7937">
              <w:rPr>
                <w:b/>
              </w:rPr>
              <w:t>Number of Responses</w:t>
            </w:r>
          </w:p>
        </w:tc>
        <w:tc>
          <w:tcPr>
            <w:tcW w:w="1636" w:type="dxa"/>
            <w:tcBorders>
              <w:top w:val="single" w:color="000000" w:themeColor="text1" w:sz="7" w:space="0"/>
              <w:left w:val="single" w:color="000000" w:themeColor="text1" w:sz="7" w:space="0"/>
              <w:bottom w:val="single" w:color="FFFFFF" w:themeColor="background1" w:sz="6" w:space="0"/>
              <w:right w:val="single" w:color="000000" w:themeColor="text1" w:sz="7" w:space="0"/>
            </w:tcBorders>
            <w:vAlign w:val="center"/>
          </w:tcPr>
          <w:p w:rsidRPr="008A7937" w:rsidR="00C95E8B" w:rsidP="008A7937" w:rsidRDefault="008A7937" w14:paraId="5CEF1E9C" w14:textId="30B7B1CD">
            <w:pPr>
              <w:keepNext/>
              <w:widowControl/>
              <w:jc w:val="center"/>
              <w:rPr>
                <w:b/>
                <w:lang w:val="pt-BR"/>
              </w:rPr>
            </w:pPr>
            <w:r w:rsidRPr="008A7937">
              <w:rPr>
                <w:b/>
                <w:lang w:val="pt-BR"/>
              </w:rPr>
              <w:t>T</w:t>
            </w:r>
            <w:r w:rsidRPr="008A7937" w:rsidR="00C95E8B">
              <w:rPr>
                <w:b/>
                <w:lang w:val="pt-BR"/>
              </w:rPr>
              <w:t>otal Annual Responses</w:t>
            </w:r>
          </w:p>
        </w:tc>
      </w:tr>
      <w:tr w:rsidRPr="008A2727" w:rsidR="00C95E8B" w:rsidTr="76728A8F" w14:paraId="47FE6EE3" w14:textId="77777777">
        <w:tc>
          <w:tcPr>
            <w:tcW w:w="4925"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0CC79B68" w14:textId="2F412137">
            <w:pPr>
              <w:keepNext/>
              <w:widowControl/>
            </w:pPr>
            <w:r w:rsidRPr="008A2727">
              <w:t>Notification of well completions/recompletions</w:t>
            </w:r>
          </w:p>
        </w:tc>
        <w:tc>
          <w:tcPr>
            <w:tcW w:w="1554"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465957" w14:paraId="60A1897F" w14:textId="3F461FDC">
            <w:pPr>
              <w:keepNext/>
              <w:widowControl/>
              <w:jc w:val="center"/>
            </w:pPr>
            <w:r>
              <w:t>3,378</w:t>
            </w:r>
            <w:r w:rsidRPr="00DC69E0" w:rsidR="000F64C5">
              <w:rPr>
                <w:vertAlign w:val="superscript"/>
              </w:rPr>
              <w:t>b</w:t>
            </w:r>
          </w:p>
        </w:tc>
        <w:tc>
          <w:tcPr>
            <w:tcW w:w="1371"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3024A720" w14:textId="5EF6AE08">
            <w:pPr>
              <w:keepNext/>
              <w:widowControl/>
              <w:jc w:val="center"/>
            </w:pPr>
            <w:r w:rsidRPr="008A2727">
              <w:t>1</w:t>
            </w:r>
          </w:p>
        </w:tc>
        <w:tc>
          <w:tcPr>
            <w:tcW w:w="1636" w:type="dxa"/>
            <w:tcBorders>
              <w:top w:val="single" w:color="000000" w:themeColor="text1" w:sz="7" w:space="0"/>
              <w:left w:val="single" w:color="000000" w:themeColor="text1" w:sz="7" w:space="0"/>
              <w:bottom w:val="single" w:color="FFFFFF" w:themeColor="background1" w:sz="6" w:space="0"/>
              <w:right w:val="single" w:color="000000" w:themeColor="text1" w:sz="7" w:space="0"/>
            </w:tcBorders>
            <w:vAlign w:val="center"/>
          </w:tcPr>
          <w:p w:rsidRPr="008A2727" w:rsidR="00C95E8B" w:rsidP="00F311FA" w:rsidRDefault="00465957" w14:paraId="04F50CF3" w14:textId="6819AE33">
            <w:pPr>
              <w:keepNext/>
              <w:widowControl/>
              <w:jc w:val="center"/>
            </w:pPr>
            <w:r>
              <w:t>3,378</w:t>
            </w:r>
          </w:p>
        </w:tc>
      </w:tr>
      <w:tr w:rsidRPr="008A2727" w:rsidR="00C95E8B" w:rsidTr="76728A8F" w14:paraId="4B119EA7" w14:textId="77777777">
        <w:tc>
          <w:tcPr>
            <w:tcW w:w="4925"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3EFA4306" w14:textId="77777777">
            <w:pPr>
              <w:keepNext/>
              <w:widowControl/>
            </w:pPr>
            <w:r w:rsidRPr="008A2727">
              <w:t>Notification of construction/ reconstruction/modification</w:t>
            </w:r>
          </w:p>
        </w:tc>
        <w:tc>
          <w:tcPr>
            <w:tcW w:w="1554"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465957" w14:paraId="21EA13F3" w14:textId="794792F4">
            <w:pPr>
              <w:keepNext/>
              <w:widowControl/>
              <w:jc w:val="center"/>
            </w:pPr>
            <w:r>
              <w:t>3</w:t>
            </w:r>
          </w:p>
        </w:tc>
        <w:tc>
          <w:tcPr>
            <w:tcW w:w="1371"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2C0C11CB" w14:textId="77777777">
            <w:pPr>
              <w:keepNext/>
              <w:widowControl/>
              <w:jc w:val="center"/>
            </w:pPr>
            <w:r w:rsidRPr="008A2727">
              <w:t>1</w:t>
            </w:r>
          </w:p>
        </w:tc>
        <w:tc>
          <w:tcPr>
            <w:tcW w:w="1636" w:type="dxa"/>
            <w:tcBorders>
              <w:top w:val="single" w:color="000000" w:themeColor="text1" w:sz="7" w:space="0"/>
              <w:left w:val="single" w:color="000000" w:themeColor="text1" w:sz="7" w:space="0"/>
              <w:bottom w:val="single" w:color="FFFFFF" w:themeColor="background1" w:sz="6" w:space="0"/>
              <w:right w:val="single" w:color="000000" w:themeColor="text1" w:sz="7" w:space="0"/>
            </w:tcBorders>
            <w:vAlign w:val="center"/>
          </w:tcPr>
          <w:p w:rsidRPr="008A2727" w:rsidR="00C95E8B" w:rsidP="00F311FA" w:rsidRDefault="00465957" w14:paraId="0FA1BE63" w14:textId="023BF0AA">
            <w:pPr>
              <w:keepNext/>
              <w:widowControl/>
              <w:jc w:val="center"/>
            </w:pPr>
            <w:r>
              <w:t>3</w:t>
            </w:r>
          </w:p>
        </w:tc>
      </w:tr>
      <w:tr w:rsidRPr="008A2727" w:rsidR="00C95E8B" w:rsidTr="76728A8F" w14:paraId="65388516" w14:textId="77777777">
        <w:tc>
          <w:tcPr>
            <w:tcW w:w="4925"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4495CFF0" w14:textId="77777777">
            <w:pPr>
              <w:keepNext/>
              <w:widowControl/>
            </w:pPr>
            <w:r w:rsidRPr="008A2727">
              <w:t>Annual Compliance Reports</w:t>
            </w:r>
          </w:p>
        </w:tc>
        <w:tc>
          <w:tcPr>
            <w:tcW w:w="1554"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465957" w14:paraId="4256F557" w14:textId="002F5396">
            <w:pPr>
              <w:keepNext/>
              <w:widowControl/>
              <w:jc w:val="center"/>
            </w:pPr>
            <w:r>
              <w:t>3,219</w:t>
            </w:r>
          </w:p>
        </w:tc>
        <w:tc>
          <w:tcPr>
            <w:tcW w:w="1371"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1D0EEB91" w14:textId="77777777">
            <w:pPr>
              <w:keepNext/>
              <w:widowControl/>
              <w:jc w:val="center"/>
            </w:pPr>
            <w:r w:rsidRPr="008A2727">
              <w:t>1</w:t>
            </w:r>
          </w:p>
        </w:tc>
        <w:tc>
          <w:tcPr>
            <w:tcW w:w="1636" w:type="dxa"/>
            <w:tcBorders>
              <w:top w:val="single" w:color="000000" w:themeColor="text1" w:sz="7" w:space="0"/>
              <w:left w:val="single" w:color="000000" w:themeColor="text1" w:sz="7" w:space="0"/>
              <w:bottom w:val="single" w:color="FFFFFF" w:themeColor="background1" w:sz="6" w:space="0"/>
              <w:right w:val="single" w:color="000000" w:themeColor="text1" w:sz="7" w:space="0"/>
            </w:tcBorders>
            <w:vAlign w:val="center"/>
          </w:tcPr>
          <w:p w:rsidRPr="008A2727" w:rsidR="00C95E8B" w:rsidP="00F311FA" w:rsidRDefault="00465957" w14:paraId="3C5D5FFF" w14:textId="54542EB0">
            <w:pPr>
              <w:keepNext/>
              <w:widowControl/>
              <w:jc w:val="center"/>
            </w:pPr>
            <w:r>
              <w:t>3,219</w:t>
            </w:r>
          </w:p>
        </w:tc>
      </w:tr>
      <w:tr w:rsidRPr="008A2727" w:rsidR="00C95E8B" w:rsidTr="76728A8F" w14:paraId="0CFE7182" w14:textId="77777777">
        <w:tc>
          <w:tcPr>
            <w:tcW w:w="4925"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445699D3" w14:textId="77777777">
            <w:pPr>
              <w:keepNext/>
              <w:widowControl/>
            </w:pPr>
            <w:r w:rsidRPr="008A2727">
              <w:t>Semiannual Compliance Reports</w:t>
            </w:r>
          </w:p>
        </w:tc>
        <w:tc>
          <w:tcPr>
            <w:tcW w:w="1554"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84674" w14:paraId="4957FEA8" w14:textId="13D73AF9">
            <w:pPr>
              <w:keepNext/>
              <w:widowControl/>
              <w:jc w:val="center"/>
            </w:pPr>
            <w:r>
              <w:t>49</w:t>
            </w:r>
          </w:p>
        </w:tc>
        <w:tc>
          <w:tcPr>
            <w:tcW w:w="1371" w:type="dxa"/>
            <w:tcBorders>
              <w:top w:val="single" w:color="000000" w:themeColor="text1" w:sz="7" w:space="0"/>
              <w:left w:val="single" w:color="000000" w:themeColor="text1" w:sz="7" w:space="0"/>
              <w:bottom w:val="single" w:color="FFFFFF" w:themeColor="background1" w:sz="6" w:space="0"/>
              <w:right w:val="single" w:color="FFFFFF" w:themeColor="background1" w:sz="6" w:space="0"/>
            </w:tcBorders>
            <w:vAlign w:val="center"/>
          </w:tcPr>
          <w:p w:rsidRPr="008A2727" w:rsidR="00C95E8B" w:rsidP="00F311FA" w:rsidRDefault="00C95E8B" w14:paraId="4FD1460D" w14:textId="77777777">
            <w:pPr>
              <w:keepNext/>
              <w:widowControl/>
              <w:jc w:val="center"/>
            </w:pPr>
            <w:r w:rsidRPr="008A2727">
              <w:t>2</w:t>
            </w:r>
          </w:p>
        </w:tc>
        <w:tc>
          <w:tcPr>
            <w:tcW w:w="1636" w:type="dxa"/>
            <w:tcBorders>
              <w:top w:val="single" w:color="000000" w:themeColor="text1" w:sz="7" w:space="0"/>
              <w:left w:val="single" w:color="000000" w:themeColor="text1" w:sz="7" w:space="0"/>
              <w:bottom w:val="single" w:color="FFFFFF" w:themeColor="background1" w:sz="6" w:space="0"/>
              <w:right w:val="single" w:color="000000" w:themeColor="text1" w:sz="7" w:space="0"/>
            </w:tcBorders>
            <w:vAlign w:val="center"/>
          </w:tcPr>
          <w:p w:rsidRPr="008A2727" w:rsidR="00C95E8B" w:rsidP="00F311FA" w:rsidRDefault="00C84674" w14:paraId="0943E6EB" w14:textId="7F35FC8F">
            <w:pPr>
              <w:keepNext/>
              <w:widowControl/>
              <w:jc w:val="center"/>
            </w:pPr>
            <w:r>
              <w:t>98</w:t>
            </w:r>
          </w:p>
        </w:tc>
      </w:tr>
      <w:tr w:rsidRPr="008A2727" w:rsidR="00C95E8B" w:rsidTr="76728A8F" w14:paraId="4B099511" w14:textId="77777777">
        <w:tc>
          <w:tcPr>
            <w:tcW w:w="7850" w:type="dxa"/>
            <w:gridSpan w:val="3"/>
            <w:tcBorders>
              <w:top w:val="single" w:color="000000" w:themeColor="text1" w:sz="7" w:space="0"/>
              <w:left w:val="single" w:color="000000" w:themeColor="text1" w:sz="7" w:space="0"/>
              <w:bottom w:val="single" w:color="000000" w:themeColor="text1" w:sz="7" w:space="0"/>
              <w:right w:val="single" w:color="FFFFFF" w:themeColor="background1" w:sz="6" w:space="0"/>
            </w:tcBorders>
            <w:vAlign w:val="center"/>
          </w:tcPr>
          <w:p w:rsidRPr="008A2727" w:rsidR="00C95E8B" w:rsidP="00F311FA" w:rsidRDefault="00C95E8B" w14:paraId="18CC1AF8" w14:textId="31B9BD2E">
            <w:pPr>
              <w:keepNext/>
              <w:widowControl/>
              <w:jc w:val="right"/>
              <w:rPr>
                <w:b/>
              </w:rPr>
            </w:pPr>
            <w:r w:rsidRPr="008A2727">
              <w:rPr>
                <w:b/>
              </w:rPr>
              <w:t>Total</w:t>
            </w:r>
          </w:p>
        </w:tc>
        <w:tc>
          <w:tcPr>
            <w:tcW w:w="1636"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8A2727" w:rsidR="00C95E8B" w:rsidP="00F311FA" w:rsidRDefault="00465957" w14:paraId="74C1D4B2" w14:textId="052E572D">
            <w:pPr>
              <w:keepNext/>
              <w:widowControl/>
              <w:jc w:val="center"/>
              <w:rPr>
                <w:b/>
              </w:rPr>
            </w:pPr>
            <w:r>
              <w:rPr>
                <w:b/>
              </w:rPr>
              <w:t>6,698</w:t>
            </w:r>
          </w:p>
        </w:tc>
      </w:tr>
    </w:tbl>
    <w:p w:rsidR="00911677" w:rsidP="00F311FA" w:rsidRDefault="008A7937" w14:paraId="484DC273" w14:textId="77777777">
      <w:pPr>
        <w:keepNext/>
        <w:widowControl/>
        <w:rPr>
          <w:szCs w:val="24"/>
        </w:rPr>
      </w:pPr>
      <w:proofErr w:type="spellStart"/>
      <w:r>
        <w:rPr>
          <w:szCs w:val="24"/>
          <w:vertAlign w:val="superscript"/>
        </w:rPr>
        <w:t>a</w:t>
      </w:r>
      <w:r>
        <w:rPr>
          <w:szCs w:val="24"/>
        </w:rPr>
        <w:t>The</w:t>
      </w:r>
      <w:proofErr w:type="spellEnd"/>
      <w:r>
        <w:rPr>
          <w:szCs w:val="24"/>
        </w:rPr>
        <w:t xml:space="preserve"> E</w:t>
      </w:r>
      <w:r w:rsidR="007F789C">
        <w:rPr>
          <w:szCs w:val="24"/>
        </w:rPr>
        <w:t>PA</w:t>
      </w:r>
      <w:r w:rsidRPr="008E6F7C" w:rsidR="007E10F1">
        <w:rPr>
          <w:szCs w:val="24"/>
        </w:rPr>
        <w:t xml:space="preserve"> </w:t>
      </w:r>
      <w:r w:rsidRPr="008E6F7C" w:rsidR="00FE2FF0">
        <w:rPr>
          <w:szCs w:val="24"/>
        </w:rPr>
        <w:t>assume</w:t>
      </w:r>
      <w:r w:rsidRPr="008E6F7C" w:rsidR="00CE3E94">
        <w:rPr>
          <w:szCs w:val="24"/>
        </w:rPr>
        <w:t>s</w:t>
      </w:r>
      <w:r w:rsidRPr="008E6F7C" w:rsidR="00FE2FF0">
        <w:rPr>
          <w:szCs w:val="24"/>
        </w:rPr>
        <w:t xml:space="preserve"> each facility will make </w:t>
      </w:r>
      <w:r w:rsidRPr="008E6F7C" w:rsidR="00A05894">
        <w:rPr>
          <w:szCs w:val="24"/>
        </w:rPr>
        <w:t>t</w:t>
      </w:r>
      <w:r w:rsidRPr="008E6F7C" w:rsidR="00FE2FF0">
        <w:rPr>
          <w:szCs w:val="24"/>
        </w:rPr>
        <w:t>he appropriate notifications and t</w:t>
      </w:r>
      <w:r w:rsidRPr="008E6F7C" w:rsidR="00A05894">
        <w:rPr>
          <w:szCs w:val="24"/>
        </w:rPr>
        <w:t>h</w:t>
      </w:r>
      <w:r w:rsidRPr="008E6F7C" w:rsidR="00FE2FF0">
        <w:rPr>
          <w:szCs w:val="24"/>
        </w:rPr>
        <w:t xml:space="preserve">at each </w:t>
      </w:r>
      <w:r w:rsidR="00315B69">
        <w:rPr>
          <w:szCs w:val="24"/>
        </w:rPr>
        <w:t>respondent</w:t>
      </w:r>
      <w:r w:rsidRPr="008E6F7C" w:rsidR="00FE2FF0">
        <w:rPr>
          <w:szCs w:val="24"/>
        </w:rPr>
        <w:t xml:space="preserve"> will sub</w:t>
      </w:r>
      <w:r w:rsidRPr="008E6F7C" w:rsidR="00A05894">
        <w:rPr>
          <w:szCs w:val="24"/>
        </w:rPr>
        <w:t xml:space="preserve">mit the </w:t>
      </w:r>
      <w:r w:rsidRPr="008E6F7C" w:rsidR="00FE2FF0">
        <w:rPr>
          <w:szCs w:val="24"/>
        </w:rPr>
        <w:t xml:space="preserve">annual </w:t>
      </w:r>
      <w:r w:rsidRPr="008E6F7C" w:rsidR="00E03B0F">
        <w:rPr>
          <w:szCs w:val="24"/>
        </w:rPr>
        <w:t xml:space="preserve">or semiannual </w:t>
      </w:r>
      <w:r w:rsidRPr="008E6F7C" w:rsidR="00FE2FF0">
        <w:rPr>
          <w:szCs w:val="24"/>
        </w:rPr>
        <w:t xml:space="preserve">report for all affected </w:t>
      </w:r>
      <w:r w:rsidRPr="008E6F7C" w:rsidR="00172007">
        <w:rPr>
          <w:szCs w:val="24"/>
        </w:rPr>
        <w:t>f</w:t>
      </w:r>
      <w:r w:rsidRPr="008E6F7C" w:rsidR="00271798">
        <w:rPr>
          <w:szCs w:val="24"/>
        </w:rPr>
        <w:t>acilities</w:t>
      </w:r>
      <w:r w:rsidRPr="008E6F7C" w:rsidR="00FE2FF0">
        <w:rPr>
          <w:szCs w:val="24"/>
        </w:rPr>
        <w:t xml:space="preserve"> in each year.</w:t>
      </w:r>
    </w:p>
    <w:p w:rsidRPr="00D22275" w:rsidR="00911677" w:rsidP="00911677" w:rsidRDefault="00911677" w14:paraId="6A29A1D2" w14:textId="77777777">
      <w:pPr>
        <w:widowControl/>
        <w:autoSpaceDE/>
        <w:autoSpaceDN/>
        <w:adjustRightInd/>
      </w:pPr>
      <w:proofErr w:type="spellStart"/>
      <w:r w:rsidRPr="00756E02">
        <w:rPr>
          <w:szCs w:val="24"/>
          <w:vertAlign w:val="superscript"/>
        </w:rPr>
        <w:t>b</w:t>
      </w:r>
      <w:r>
        <w:rPr>
          <w:szCs w:val="24"/>
        </w:rPr>
        <w:t>Per</w:t>
      </w:r>
      <w:proofErr w:type="spellEnd"/>
      <w:r>
        <w:rPr>
          <w:szCs w:val="24"/>
        </w:rPr>
        <w:t xml:space="preserve"> §</w:t>
      </w:r>
      <w:r w:rsidRPr="00D22275">
        <w:t>60.5420a(a)(2)</w:t>
      </w:r>
      <w:r>
        <w:t>, notifications are required for each well completion/recompletion. Therefore, the estimated number of respondents is based on the estimated number of well completions/recompletions.</w:t>
      </w:r>
    </w:p>
    <w:p w:rsidRPr="008E6F7C" w:rsidR="008E6F7C" w:rsidP="00C95E8B" w:rsidRDefault="008E6F7C" w14:paraId="5129E40E" w14:textId="77777777">
      <w:pPr>
        <w:keepNext/>
        <w:widowControl/>
        <w:rPr>
          <w:szCs w:val="24"/>
        </w:rPr>
      </w:pPr>
    </w:p>
    <w:p w:rsidRPr="00A93DA1" w:rsidR="00FE00CB" w:rsidP="0075527B" w:rsidRDefault="00FE00CB" w14:paraId="46ECE4B6" w14:textId="44977B10">
      <w:pPr>
        <w:keepNext/>
        <w:keepLines/>
        <w:widowControl/>
        <w:spacing w:line="360" w:lineRule="auto"/>
        <w:rPr>
          <w:sz w:val="24"/>
          <w:szCs w:val="24"/>
        </w:rPr>
      </w:pPr>
      <w:r w:rsidRPr="004E469A">
        <w:rPr>
          <w:i/>
          <w:iCs/>
          <w:sz w:val="24"/>
          <w:szCs w:val="24"/>
        </w:rPr>
        <w:t>(e)</w:t>
      </w:r>
      <w:r w:rsidRPr="004E469A">
        <w:rPr>
          <w:i/>
          <w:iCs/>
          <w:sz w:val="24"/>
          <w:szCs w:val="24"/>
        </w:rPr>
        <w:tab/>
      </w:r>
      <w:r w:rsidRPr="00A93DA1">
        <w:rPr>
          <w:i/>
          <w:iCs/>
          <w:sz w:val="24"/>
          <w:szCs w:val="24"/>
        </w:rPr>
        <w:t>Bottom Line Burden Hours and Cost Tables.</w:t>
      </w:r>
    </w:p>
    <w:p w:rsidRPr="00297B91" w:rsidR="00AC0855" w:rsidP="4E246ACC" w:rsidRDefault="00270646" w14:paraId="090EE80C" w14:textId="2AF07FE6">
      <w:pPr>
        <w:widowControl/>
        <w:spacing w:line="360" w:lineRule="auto"/>
        <w:ind w:firstLine="720"/>
        <w:rPr>
          <w:rFonts w:eastAsia="Courier New"/>
          <w:sz w:val="24"/>
          <w:szCs w:val="24"/>
        </w:rPr>
      </w:pPr>
      <w:r w:rsidRPr="4E246ACC">
        <w:rPr>
          <w:i/>
          <w:iCs/>
          <w:sz w:val="24"/>
          <w:szCs w:val="24"/>
        </w:rPr>
        <w:t>(</w:t>
      </w:r>
      <w:proofErr w:type="spellStart"/>
      <w:r w:rsidRPr="4E246ACC">
        <w:rPr>
          <w:i/>
          <w:iCs/>
          <w:sz w:val="24"/>
          <w:szCs w:val="24"/>
        </w:rPr>
        <w:t>i</w:t>
      </w:r>
      <w:proofErr w:type="spellEnd"/>
      <w:r w:rsidRPr="4E246ACC">
        <w:rPr>
          <w:i/>
          <w:iCs/>
          <w:sz w:val="24"/>
          <w:szCs w:val="24"/>
        </w:rPr>
        <w:t>)</w:t>
      </w:r>
      <w:r>
        <w:rPr>
          <w:i/>
          <w:iCs/>
          <w:sz w:val="24"/>
          <w:szCs w:val="24"/>
        </w:rPr>
        <w:tab/>
      </w:r>
      <w:r w:rsidRPr="4E246ACC" w:rsidR="00FE00CB">
        <w:rPr>
          <w:i/>
          <w:iCs/>
          <w:sz w:val="24"/>
          <w:szCs w:val="24"/>
        </w:rPr>
        <w:t>Respondent tally.</w:t>
      </w:r>
      <w:r>
        <w:rPr>
          <w:sz w:val="24"/>
          <w:szCs w:val="24"/>
        </w:rPr>
        <w:t xml:space="preserve"> </w:t>
      </w:r>
      <w:r w:rsidRPr="00F43B30" w:rsidR="00FE00CB">
        <w:rPr>
          <w:sz w:val="24"/>
          <w:szCs w:val="24"/>
        </w:rPr>
        <w:t xml:space="preserve">The </w:t>
      </w:r>
      <w:r w:rsidRPr="00297B91" w:rsidR="00FE00CB">
        <w:rPr>
          <w:sz w:val="24"/>
          <w:szCs w:val="24"/>
        </w:rPr>
        <w:t>bottom</w:t>
      </w:r>
      <w:r w:rsidR="009F1A7A">
        <w:rPr>
          <w:sz w:val="24"/>
          <w:szCs w:val="24"/>
        </w:rPr>
        <w:t>-</w:t>
      </w:r>
      <w:r w:rsidRPr="00297B91" w:rsidR="00FE00CB">
        <w:rPr>
          <w:sz w:val="24"/>
          <w:szCs w:val="24"/>
        </w:rPr>
        <w:t>line respondent burden hours and costs</w:t>
      </w:r>
      <w:r w:rsidRPr="00297B91" w:rsidR="00040F70">
        <w:rPr>
          <w:sz w:val="24"/>
          <w:szCs w:val="24"/>
        </w:rPr>
        <w:t xml:space="preserve"> </w:t>
      </w:r>
      <w:r w:rsidRPr="00297B91" w:rsidR="005B4D05">
        <w:rPr>
          <w:sz w:val="24"/>
          <w:szCs w:val="24"/>
        </w:rPr>
        <w:t>for the three years (</w:t>
      </w:r>
      <w:r w:rsidRPr="00297B91" w:rsidR="001B3ACD">
        <w:rPr>
          <w:sz w:val="24"/>
          <w:szCs w:val="24"/>
        </w:rPr>
        <w:t>20</w:t>
      </w:r>
      <w:r w:rsidR="0060632B">
        <w:rPr>
          <w:sz w:val="24"/>
          <w:szCs w:val="24"/>
        </w:rPr>
        <w:t>21</w:t>
      </w:r>
      <w:r w:rsidRPr="00297B91" w:rsidR="001B3ACD">
        <w:rPr>
          <w:sz w:val="24"/>
          <w:szCs w:val="24"/>
        </w:rPr>
        <w:t>-202</w:t>
      </w:r>
      <w:r w:rsidR="0060632B">
        <w:rPr>
          <w:sz w:val="24"/>
          <w:szCs w:val="24"/>
        </w:rPr>
        <w:t>3</w:t>
      </w:r>
      <w:r w:rsidRPr="00297B91" w:rsidR="001B3ACD">
        <w:rPr>
          <w:sz w:val="24"/>
          <w:szCs w:val="24"/>
        </w:rPr>
        <w:t xml:space="preserve">) covered by this ICR </w:t>
      </w:r>
      <w:r w:rsidRPr="00297B91" w:rsidR="00040F70">
        <w:rPr>
          <w:sz w:val="24"/>
          <w:szCs w:val="24"/>
        </w:rPr>
        <w:t>are</w:t>
      </w:r>
      <w:r w:rsidRPr="00297B91" w:rsidR="00FE00CB">
        <w:rPr>
          <w:sz w:val="24"/>
          <w:szCs w:val="24"/>
        </w:rPr>
        <w:t xml:space="preserve"> presented in </w:t>
      </w:r>
      <w:r w:rsidRPr="00297B91" w:rsidR="00664E61">
        <w:rPr>
          <w:sz w:val="24"/>
          <w:szCs w:val="24"/>
        </w:rPr>
        <w:t>Table 1d</w:t>
      </w:r>
      <w:r w:rsidRPr="00297B91" w:rsidR="001B3ACD">
        <w:rPr>
          <w:sz w:val="24"/>
          <w:szCs w:val="24"/>
        </w:rPr>
        <w:t xml:space="preserve"> (located at the end of this supporting statement)</w:t>
      </w:r>
      <w:r w:rsidRPr="00297B91">
        <w:rPr>
          <w:sz w:val="24"/>
          <w:szCs w:val="24"/>
        </w:rPr>
        <w:t xml:space="preserve">. </w:t>
      </w:r>
      <w:r w:rsidRPr="00297B91" w:rsidR="00FE00CB">
        <w:rPr>
          <w:sz w:val="24"/>
          <w:szCs w:val="24"/>
        </w:rPr>
        <w:t xml:space="preserve">The average annual burden for the recordkeeping and reporting requirements in </w:t>
      </w:r>
      <w:r w:rsidR="00E14F01">
        <w:rPr>
          <w:sz w:val="24"/>
          <w:szCs w:val="24"/>
        </w:rPr>
        <w:t>NSPS OOOOa</w:t>
      </w:r>
      <w:r w:rsidRPr="00297B91" w:rsidR="00FE00CB">
        <w:rPr>
          <w:sz w:val="24"/>
          <w:szCs w:val="24"/>
        </w:rPr>
        <w:t xml:space="preserve"> for the </w:t>
      </w:r>
      <w:r w:rsidRPr="00297B91" w:rsidR="00100D06">
        <w:rPr>
          <w:sz w:val="24"/>
          <w:szCs w:val="24"/>
        </w:rPr>
        <w:t xml:space="preserve">estimated </w:t>
      </w:r>
      <w:r w:rsidR="00134C83">
        <w:rPr>
          <w:sz w:val="24"/>
          <w:szCs w:val="24"/>
        </w:rPr>
        <w:t>3,268</w:t>
      </w:r>
      <w:r w:rsidRPr="00297B91" w:rsidR="009E35E5">
        <w:rPr>
          <w:sz w:val="24"/>
          <w:szCs w:val="24"/>
        </w:rPr>
        <w:t> </w:t>
      </w:r>
      <w:r w:rsidRPr="00297B91" w:rsidR="00100D06">
        <w:rPr>
          <w:sz w:val="24"/>
          <w:szCs w:val="24"/>
        </w:rPr>
        <w:t>respondent</w:t>
      </w:r>
      <w:r w:rsidRPr="00297B91" w:rsidR="00A05894">
        <w:rPr>
          <w:sz w:val="24"/>
          <w:szCs w:val="24"/>
        </w:rPr>
        <w:t xml:space="preserve">s that </w:t>
      </w:r>
      <w:r w:rsidRPr="00297B91" w:rsidR="00FE00CB">
        <w:rPr>
          <w:sz w:val="24"/>
          <w:szCs w:val="24"/>
        </w:rPr>
        <w:t xml:space="preserve">are subject to the </w:t>
      </w:r>
      <w:r w:rsidRPr="00297B91" w:rsidR="00CB35EC">
        <w:rPr>
          <w:sz w:val="24"/>
          <w:szCs w:val="24"/>
        </w:rPr>
        <w:t>rule</w:t>
      </w:r>
      <w:r w:rsidRPr="00297B91" w:rsidR="00FE00CB">
        <w:rPr>
          <w:sz w:val="24"/>
          <w:szCs w:val="24"/>
        </w:rPr>
        <w:t xml:space="preserve"> is </w:t>
      </w:r>
      <w:r w:rsidR="00531BE6">
        <w:rPr>
          <w:sz w:val="24"/>
          <w:szCs w:val="24"/>
        </w:rPr>
        <w:t>269,647</w:t>
      </w:r>
      <w:r w:rsidRPr="00384EE3" w:rsidR="00384EE3">
        <w:rPr>
          <w:sz w:val="24"/>
          <w:szCs w:val="24"/>
        </w:rPr>
        <w:t xml:space="preserve"> </w:t>
      </w:r>
      <w:r w:rsidRPr="00297B91" w:rsidR="00C80F26">
        <w:rPr>
          <w:sz w:val="24"/>
          <w:szCs w:val="24"/>
        </w:rPr>
        <w:t xml:space="preserve">labor </w:t>
      </w:r>
      <w:r w:rsidRPr="00297B91" w:rsidR="00AC0855">
        <w:rPr>
          <w:sz w:val="24"/>
          <w:szCs w:val="24"/>
        </w:rPr>
        <w:t xml:space="preserve">hours, with an annual average </w:t>
      </w:r>
      <w:r w:rsidR="0027777A">
        <w:rPr>
          <w:sz w:val="24"/>
          <w:szCs w:val="24"/>
        </w:rPr>
        <w:t xml:space="preserve">labor </w:t>
      </w:r>
      <w:r w:rsidRPr="00297B91" w:rsidR="00AC0855">
        <w:rPr>
          <w:sz w:val="24"/>
          <w:szCs w:val="24"/>
        </w:rPr>
        <w:t xml:space="preserve">cost of </w:t>
      </w:r>
      <w:r w:rsidRPr="00AF6A75" w:rsidR="00AF6A75">
        <w:rPr>
          <w:sz w:val="24"/>
          <w:szCs w:val="24"/>
        </w:rPr>
        <w:t>$</w:t>
      </w:r>
      <w:r w:rsidR="00DC7747">
        <w:rPr>
          <w:sz w:val="24"/>
          <w:szCs w:val="24"/>
        </w:rPr>
        <w:t>93,</w:t>
      </w:r>
      <w:r w:rsidR="00134C83">
        <w:rPr>
          <w:sz w:val="24"/>
          <w:szCs w:val="24"/>
        </w:rPr>
        <w:t>779</w:t>
      </w:r>
      <w:r w:rsidR="00DC7747">
        <w:rPr>
          <w:sz w:val="24"/>
          <w:szCs w:val="24"/>
        </w:rPr>
        <w:t>,</w:t>
      </w:r>
      <w:r w:rsidR="00134C83">
        <w:rPr>
          <w:sz w:val="24"/>
          <w:szCs w:val="24"/>
        </w:rPr>
        <w:t>839</w:t>
      </w:r>
      <w:r w:rsidRPr="00297B91" w:rsidR="00AC0855">
        <w:rPr>
          <w:rFonts w:eastAsia="Courier New"/>
          <w:sz w:val="24"/>
          <w:szCs w:val="24"/>
        </w:rPr>
        <w:t xml:space="preserve">. </w:t>
      </w:r>
    </w:p>
    <w:p w:rsidRPr="00A93DA1" w:rsidR="00FE00CB" w:rsidP="4E246ACC" w:rsidRDefault="00FE00CB" w14:paraId="1BE8C43E" w14:textId="6A9FC11F">
      <w:pPr>
        <w:widowControl/>
        <w:spacing w:line="360" w:lineRule="auto"/>
        <w:rPr>
          <w:sz w:val="24"/>
          <w:szCs w:val="24"/>
        </w:rPr>
      </w:pPr>
      <w:r w:rsidRPr="00297B91">
        <w:rPr>
          <w:sz w:val="24"/>
          <w:szCs w:val="24"/>
        </w:rPr>
        <w:tab/>
      </w:r>
      <w:r w:rsidRPr="4E246ACC" w:rsidR="00270646">
        <w:rPr>
          <w:i/>
          <w:iCs/>
          <w:sz w:val="24"/>
          <w:szCs w:val="24"/>
        </w:rPr>
        <w:t>(ii)</w:t>
      </w:r>
      <w:r w:rsidRPr="00297B91" w:rsidR="00270646">
        <w:rPr>
          <w:i/>
          <w:iCs/>
          <w:sz w:val="24"/>
          <w:szCs w:val="24"/>
        </w:rPr>
        <w:tab/>
      </w:r>
      <w:r w:rsidRPr="4E246ACC">
        <w:rPr>
          <w:i/>
          <w:iCs/>
          <w:sz w:val="24"/>
          <w:szCs w:val="24"/>
        </w:rPr>
        <w:t xml:space="preserve">The Agency </w:t>
      </w:r>
      <w:r w:rsidRPr="4E246ACC" w:rsidR="00DD0F40">
        <w:rPr>
          <w:i/>
          <w:iCs/>
          <w:sz w:val="24"/>
          <w:szCs w:val="24"/>
        </w:rPr>
        <w:t>T</w:t>
      </w:r>
      <w:r w:rsidRPr="4E246ACC">
        <w:rPr>
          <w:i/>
          <w:iCs/>
          <w:sz w:val="24"/>
          <w:szCs w:val="24"/>
        </w:rPr>
        <w:t>ally.</w:t>
      </w:r>
      <w:r w:rsidRPr="00297B91" w:rsidR="00270646">
        <w:rPr>
          <w:sz w:val="24"/>
          <w:szCs w:val="24"/>
        </w:rPr>
        <w:t xml:space="preserve"> </w:t>
      </w:r>
      <w:r w:rsidRPr="00297B91">
        <w:rPr>
          <w:sz w:val="24"/>
          <w:szCs w:val="24"/>
        </w:rPr>
        <w:t>The average annual Federal Government</w:t>
      </w:r>
      <w:r w:rsidRPr="00A93DA1">
        <w:rPr>
          <w:sz w:val="24"/>
          <w:szCs w:val="24"/>
        </w:rPr>
        <w:t xml:space="preserve"> cost is </w:t>
      </w:r>
      <w:r w:rsidRPr="00CA7D33" w:rsidR="00CA7D33">
        <w:rPr>
          <w:sz w:val="24"/>
          <w:szCs w:val="24"/>
        </w:rPr>
        <w:t>$</w:t>
      </w:r>
      <w:r w:rsidR="0026408E">
        <w:rPr>
          <w:sz w:val="24"/>
          <w:szCs w:val="24"/>
        </w:rPr>
        <w:t>571,688</w:t>
      </w:r>
      <w:r w:rsidR="008A1019">
        <w:rPr>
          <w:sz w:val="24"/>
          <w:szCs w:val="24"/>
        </w:rPr>
        <w:t xml:space="preserve"> </w:t>
      </w:r>
      <w:r w:rsidRPr="00A93DA1">
        <w:rPr>
          <w:sz w:val="24"/>
          <w:szCs w:val="24"/>
        </w:rPr>
        <w:t xml:space="preserve">for </w:t>
      </w:r>
      <w:r w:rsidR="0026408E">
        <w:rPr>
          <w:sz w:val="24"/>
          <w:szCs w:val="24"/>
        </w:rPr>
        <w:t>101,558</w:t>
      </w:r>
      <w:r w:rsidR="00C80F26">
        <w:rPr>
          <w:sz w:val="24"/>
          <w:szCs w:val="24"/>
        </w:rPr>
        <w:t xml:space="preserve"> labor</w:t>
      </w:r>
      <w:r w:rsidRPr="00A93DA1">
        <w:rPr>
          <w:sz w:val="24"/>
          <w:szCs w:val="24"/>
        </w:rPr>
        <w:t xml:space="preserve"> hours for </w:t>
      </w:r>
      <w:r w:rsidR="00E14F01">
        <w:rPr>
          <w:sz w:val="24"/>
          <w:szCs w:val="24"/>
        </w:rPr>
        <w:t>NSPS OOOOa</w:t>
      </w:r>
      <w:r w:rsidRPr="00A93DA1">
        <w:rPr>
          <w:sz w:val="24"/>
          <w:szCs w:val="24"/>
        </w:rPr>
        <w:t>. The bottom</w:t>
      </w:r>
      <w:r w:rsidR="00BA7094">
        <w:rPr>
          <w:sz w:val="24"/>
          <w:szCs w:val="24"/>
        </w:rPr>
        <w:t>-</w:t>
      </w:r>
      <w:r w:rsidRPr="00A93DA1">
        <w:rPr>
          <w:sz w:val="24"/>
          <w:szCs w:val="24"/>
        </w:rPr>
        <w:t>line Agency burden hours and costs</w:t>
      </w:r>
      <w:r w:rsidR="006D24E1">
        <w:rPr>
          <w:sz w:val="24"/>
          <w:szCs w:val="24"/>
        </w:rPr>
        <w:t>,</w:t>
      </w:r>
      <w:r w:rsidRPr="00A93DA1">
        <w:rPr>
          <w:sz w:val="24"/>
          <w:szCs w:val="24"/>
        </w:rPr>
        <w:t xml:space="preserve"> presented in </w:t>
      </w:r>
      <w:r w:rsidRPr="00483C3F" w:rsidR="00664E61">
        <w:rPr>
          <w:sz w:val="24"/>
          <w:szCs w:val="24"/>
        </w:rPr>
        <w:t xml:space="preserve">Table </w:t>
      </w:r>
      <w:r w:rsidR="005B7810">
        <w:rPr>
          <w:sz w:val="24"/>
          <w:szCs w:val="24"/>
        </w:rPr>
        <w:t>2</w:t>
      </w:r>
      <w:r w:rsidR="00D45E61">
        <w:rPr>
          <w:sz w:val="24"/>
          <w:szCs w:val="24"/>
        </w:rPr>
        <w:t>d</w:t>
      </w:r>
      <w:r w:rsidR="006D24E1">
        <w:rPr>
          <w:sz w:val="24"/>
          <w:szCs w:val="24"/>
        </w:rPr>
        <w:t>,</w:t>
      </w:r>
      <w:r w:rsidRPr="00A93DA1" w:rsidR="00D45E61">
        <w:rPr>
          <w:sz w:val="24"/>
          <w:szCs w:val="24"/>
        </w:rPr>
        <w:t xml:space="preserve"> </w:t>
      </w:r>
      <w:r w:rsidRPr="00A93DA1">
        <w:rPr>
          <w:sz w:val="24"/>
          <w:szCs w:val="24"/>
        </w:rPr>
        <w:t xml:space="preserve">are calculated </w:t>
      </w:r>
      <w:r w:rsidR="006D24E1">
        <w:rPr>
          <w:sz w:val="24"/>
          <w:szCs w:val="24"/>
        </w:rPr>
        <w:t xml:space="preserve">from Tables </w:t>
      </w:r>
      <w:r w:rsidR="005B7810">
        <w:rPr>
          <w:sz w:val="24"/>
          <w:szCs w:val="24"/>
        </w:rPr>
        <w:t>2</w:t>
      </w:r>
      <w:r w:rsidR="006D24E1">
        <w:rPr>
          <w:sz w:val="24"/>
          <w:szCs w:val="24"/>
        </w:rPr>
        <w:t>a-</w:t>
      </w:r>
      <w:r w:rsidR="005B7810">
        <w:rPr>
          <w:sz w:val="24"/>
          <w:szCs w:val="24"/>
        </w:rPr>
        <w:t>2</w:t>
      </w:r>
      <w:r w:rsidR="006D24E1">
        <w:rPr>
          <w:sz w:val="24"/>
          <w:szCs w:val="24"/>
        </w:rPr>
        <w:t xml:space="preserve">c </w:t>
      </w:r>
      <w:r w:rsidRPr="00A93DA1">
        <w:rPr>
          <w:sz w:val="24"/>
          <w:szCs w:val="24"/>
        </w:rPr>
        <w:t xml:space="preserve">by adding person-hours per year down each column for technical, managerial, and clerical staff, and by adding down the cost column. </w:t>
      </w:r>
    </w:p>
    <w:p w:rsidR="00FE00CB" w:rsidP="0075527B" w:rsidRDefault="00FE00CB" w14:paraId="4BBD349F" w14:textId="5107BA30">
      <w:pPr>
        <w:widowControl/>
        <w:spacing w:line="360" w:lineRule="auto"/>
        <w:rPr>
          <w:sz w:val="24"/>
          <w:szCs w:val="24"/>
        </w:rPr>
      </w:pPr>
      <w:r w:rsidRPr="00A93DA1">
        <w:rPr>
          <w:sz w:val="24"/>
          <w:szCs w:val="24"/>
        </w:rPr>
        <w:tab/>
      </w:r>
      <w:r w:rsidR="00270646">
        <w:rPr>
          <w:i/>
          <w:iCs/>
          <w:sz w:val="24"/>
          <w:szCs w:val="24"/>
        </w:rPr>
        <w:t>(iii)</w:t>
      </w:r>
      <w:r w:rsidR="00270646">
        <w:rPr>
          <w:i/>
          <w:iCs/>
          <w:sz w:val="24"/>
          <w:szCs w:val="24"/>
        </w:rPr>
        <w:tab/>
      </w:r>
      <w:r w:rsidRPr="00A93DA1">
        <w:rPr>
          <w:i/>
          <w:iCs/>
          <w:sz w:val="24"/>
          <w:szCs w:val="24"/>
        </w:rPr>
        <w:t>Variations in the annual bottom line</w:t>
      </w:r>
      <w:r w:rsidR="00275D51">
        <w:rPr>
          <w:i/>
          <w:iCs/>
          <w:sz w:val="24"/>
          <w:szCs w:val="24"/>
        </w:rPr>
        <w:t xml:space="preserve">. </w:t>
      </w:r>
      <w:r w:rsidRPr="00A93DA1">
        <w:rPr>
          <w:sz w:val="24"/>
          <w:szCs w:val="24"/>
        </w:rPr>
        <w:t>This section does not apply since no significant variation is anticipated.</w:t>
      </w:r>
    </w:p>
    <w:p w:rsidR="00764477" w:rsidP="00E4510C" w:rsidRDefault="00FE00CB" w14:paraId="7DA36F93" w14:textId="43A99F01">
      <w:pPr>
        <w:keepNext/>
        <w:widowControl/>
        <w:spacing w:line="360" w:lineRule="auto"/>
        <w:rPr>
          <w:i/>
          <w:iCs/>
          <w:sz w:val="24"/>
          <w:szCs w:val="24"/>
        </w:rPr>
      </w:pPr>
      <w:bookmarkStart w:name="_Hlk528671765" w:id="1"/>
      <w:r w:rsidRPr="00A93DA1">
        <w:rPr>
          <w:i/>
          <w:iCs/>
          <w:sz w:val="24"/>
          <w:szCs w:val="24"/>
        </w:rPr>
        <w:t>(f)</w:t>
      </w:r>
      <w:r w:rsidRPr="00A93DA1">
        <w:rPr>
          <w:i/>
          <w:iCs/>
          <w:sz w:val="24"/>
          <w:szCs w:val="24"/>
        </w:rPr>
        <w:tab/>
        <w:t>Reasons for Change in Burden.</w:t>
      </w:r>
    </w:p>
    <w:p w:rsidR="009D1CC2" w:rsidP="005C743E" w:rsidRDefault="009D1CC2" w14:paraId="4F8C9B89" w14:textId="32A2013B">
      <w:pPr>
        <w:keepNext/>
        <w:widowControl/>
        <w:spacing w:line="360" w:lineRule="auto"/>
        <w:rPr>
          <w:rFonts w:cs="Courier New"/>
          <w:sz w:val="24"/>
          <w:szCs w:val="24"/>
        </w:rPr>
      </w:pPr>
      <w:r>
        <w:rPr>
          <w:i/>
          <w:iCs/>
          <w:sz w:val="24"/>
          <w:szCs w:val="24"/>
        </w:rPr>
        <w:tab/>
      </w:r>
      <w:r w:rsidRPr="00DF348E" w:rsidR="00C9529D">
        <w:rPr>
          <w:sz w:val="24"/>
          <w:szCs w:val="24"/>
        </w:rPr>
        <w:t>The</w:t>
      </w:r>
      <w:r w:rsidR="00C9529D">
        <w:rPr>
          <w:sz w:val="24"/>
          <w:szCs w:val="24"/>
        </w:rPr>
        <w:t xml:space="preserve"> </w:t>
      </w:r>
      <w:r w:rsidR="00980EF2">
        <w:rPr>
          <w:sz w:val="24"/>
          <w:szCs w:val="24"/>
        </w:rPr>
        <w:t>previous</w:t>
      </w:r>
      <w:r w:rsidR="00C9529D">
        <w:rPr>
          <w:sz w:val="24"/>
          <w:szCs w:val="24"/>
        </w:rPr>
        <w:t xml:space="preserve"> burden estimated for the </w:t>
      </w:r>
      <w:r w:rsidRPr="00801D23" w:rsidR="00C9529D">
        <w:rPr>
          <w:rFonts w:cs="Courier New"/>
          <w:sz w:val="24"/>
          <w:szCs w:val="24"/>
        </w:rPr>
        <w:t>2016 NSPS OOOOa (</w:t>
      </w:r>
      <w:r w:rsidR="00C9529D">
        <w:rPr>
          <w:rFonts w:cs="Courier New"/>
          <w:sz w:val="24"/>
          <w:szCs w:val="24"/>
        </w:rPr>
        <w:t xml:space="preserve">ICR </w:t>
      </w:r>
      <w:r w:rsidRPr="00801D23" w:rsidR="00C9529D">
        <w:rPr>
          <w:rFonts w:cs="Courier New"/>
          <w:sz w:val="24"/>
          <w:szCs w:val="24"/>
        </w:rPr>
        <w:t xml:space="preserve">EPA tracking number </w:t>
      </w:r>
      <w:r w:rsidRPr="0026408E" w:rsidR="00C9529D">
        <w:rPr>
          <w:rFonts w:cs="Courier New"/>
          <w:sz w:val="24"/>
          <w:szCs w:val="24"/>
        </w:rPr>
        <w:t>2523.0</w:t>
      </w:r>
      <w:r w:rsidRPr="0026408E" w:rsidR="00B52905">
        <w:rPr>
          <w:rFonts w:cs="Courier New"/>
          <w:sz w:val="24"/>
          <w:szCs w:val="24"/>
        </w:rPr>
        <w:t>4</w:t>
      </w:r>
      <w:r w:rsidRPr="0026408E" w:rsidR="00C9529D">
        <w:rPr>
          <w:rFonts w:cs="Courier New"/>
          <w:sz w:val="24"/>
          <w:szCs w:val="24"/>
        </w:rPr>
        <w:t>) was</w:t>
      </w:r>
      <w:r w:rsidR="00C9529D">
        <w:rPr>
          <w:rFonts w:cs="Courier New"/>
          <w:sz w:val="24"/>
          <w:szCs w:val="24"/>
        </w:rPr>
        <w:t xml:space="preserve"> modified to reflect </w:t>
      </w:r>
      <w:r w:rsidR="00980EF2">
        <w:rPr>
          <w:rFonts w:cs="Courier New"/>
          <w:sz w:val="24"/>
          <w:szCs w:val="24"/>
        </w:rPr>
        <w:t xml:space="preserve">the proposed amendments </w:t>
      </w:r>
      <w:r w:rsidR="0070512B">
        <w:rPr>
          <w:rFonts w:cs="Courier New"/>
          <w:sz w:val="24"/>
          <w:szCs w:val="24"/>
        </w:rPr>
        <w:t xml:space="preserve">1) </w:t>
      </w:r>
      <w:r w:rsidR="00D322E3">
        <w:rPr>
          <w:rFonts w:cs="Courier New"/>
          <w:sz w:val="24"/>
          <w:szCs w:val="24"/>
        </w:rPr>
        <w:t>resulting from the</w:t>
      </w:r>
      <w:r w:rsidRPr="00E311CE">
        <w:rPr>
          <w:sz w:val="24"/>
          <w:szCs w:val="24"/>
        </w:rPr>
        <w:t xml:space="preserve"> disapprov</w:t>
      </w:r>
      <w:r w:rsidR="00D322E3">
        <w:rPr>
          <w:sz w:val="24"/>
          <w:szCs w:val="24"/>
        </w:rPr>
        <w:t>al of</w:t>
      </w:r>
      <w:r w:rsidRPr="00E311CE">
        <w:rPr>
          <w:sz w:val="24"/>
          <w:szCs w:val="24"/>
        </w:rPr>
        <w:t xml:space="preserve"> </w:t>
      </w:r>
      <w:r w:rsidR="00AB2BA4">
        <w:rPr>
          <w:sz w:val="24"/>
          <w:szCs w:val="24"/>
        </w:rPr>
        <w:t>the 2020 Policy Rule</w:t>
      </w:r>
      <w:r w:rsidR="00AB2BA4">
        <w:rPr>
          <w:rStyle w:val="FootnoteReference"/>
          <w:sz w:val="24"/>
          <w:szCs w:val="24"/>
        </w:rPr>
        <w:footnoteReference w:id="4"/>
      </w:r>
      <w:r w:rsidR="00AB2BA4">
        <w:rPr>
          <w:sz w:val="24"/>
          <w:szCs w:val="24"/>
        </w:rPr>
        <w:t xml:space="preserve"> </w:t>
      </w:r>
      <w:r w:rsidR="00D322E3">
        <w:rPr>
          <w:sz w:val="24"/>
          <w:szCs w:val="24"/>
        </w:rPr>
        <w:t>and</w:t>
      </w:r>
      <w:r w:rsidRPr="00E311CE">
        <w:rPr>
          <w:sz w:val="24"/>
          <w:szCs w:val="24"/>
        </w:rPr>
        <w:t xml:space="preserve"> </w:t>
      </w:r>
      <w:r w:rsidR="0070512B">
        <w:rPr>
          <w:sz w:val="24"/>
          <w:szCs w:val="24"/>
        </w:rPr>
        <w:t xml:space="preserve">2) </w:t>
      </w:r>
      <w:r w:rsidRPr="00E311CE">
        <w:rPr>
          <w:sz w:val="24"/>
          <w:szCs w:val="24"/>
        </w:rPr>
        <w:t>revisiting certain determinations made in the 2020 Technical Rule</w:t>
      </w:r>
      <w:r w:rsidR="00D322E3">
        <w:rPr>
          <w:rStyle w:val="FootnoteReference"/>
          <w:sz w:val="24"/>
          <w:szCs w:val="24"/>
        </w:rPr>
        <w:footnoteReference w:id="5"/>
      </w:r>
      <w:r w:rsidRPr="00E311CE">
        <w:rPr>
          <w:sz w:val="24"/>
          <w:szCs w:val="24"/>
        </w:rPr>
        <w:t>, particularly with respect to fugitive emissions monitoring at low production well sites and gathering and boosting stations.</w:t>
      </w:r>
      <w:r w:rsidR="0070512B">
        <w:rPr>
          <w:sz w:val="24"/>
          <w:szCs w:val="24"/>
        </w:rPr>
        <w:t xml:space="preserve"> The burden change </w:t>
      </w:r>
      <w:r w:rsidR="002D1B1E">
        <w:rPr>
          <w:sz w:val="24"/>
          <w:szCs w:val="24"/>
        </w:rPr>
        <w:t xml:space="preserve">also reflects updates to fugitive monitoring program costs and the ICR burden has been revised to reflect current labor rates. </w:t>
      </w:r>
      <w:r w:rsidRPr="00E311CE">
        <w:rPr>
          <w:sz w:val="24"/>
          <w:szCs w:val="24"/>
        </w:rPr>
        <w:t xml:space="preserve">  </w:t>
      </w:r>
    </w:p>
    <w:bookmarkEnd w:id="1"/>
    <w:p w:rsidRPr="00A93DA1" w:rsidR="00FE00CB" w:rsidP="00F6339A" w:rsidRDefault="00270646" w14:paraId="495E2CB2" w14:textId="24A84AAD">
      <w:pPr>
        <w:widowControl/>
        <w:spacing w:line="360" w:lineRule="auto"/>
        <w:rPr>
          <w:i/>
          <w:iCs/>
          <w:sz w:val="24"/>
          <w:szCs w:val="24"/>
        </w:rPr>
      </w:pPr>
      <w:r>
        <w:rPr>
          <w:i/>
          <w:iCs/>
          <w:sz w:val="24"/>
          <w:szCs w:val="24"/>
        </w:rPr>
        <w:t>(g)</w:t>
      </w:r>
      <w:r w:rsidRPr="00A93DA1" w:rsidR="00FE00CB">
        <w:rPr>
          <w:i/>
          <w:iCs/>
          <w:sz w:val="24"/>
          <w:szCs w:val="24"/>
        </w:rPr>
        <w:tab/>
        <w:t>Burden Statement</w:t>
      </w:r>
    </w:p>
    <w:p w:rsidRPr="008826CF" w:rsidR="00FE00CB" w:rsidP="00F6339A" w:rsidRDefault="00FE00CB" w14:paraId="3CE5929D" w14:textId="12BE5D8E">
      <w:pPr>
        <w:widowControl/>
        <w:spacing w:line="360" w:lineRule="auto"/>
        <w:rPr>
          <w:sz w:val="24"/>
          <w:szCs w:val="24"/>
        </w:rPr>
      </w:pPr>
      <w:r w:rsidRPr="00A93DA1">
        <w:rPr>
          <w:sz w:val="24"/>
          <w:szCs w:val="24"/>
        </w:rPr>
        <w:lastRenderedPageBreak/>
        <w:tab/>
      </w:r>
      <w:r w:rsidRPr="008826CF">
        <w:rPr>
          <w:sz w:val="24"/>
          <w:szCs w:val="24"/>
        </w:rPr>
        <w:t xml:space="preserve">The annual public reporting and recordkeeping burden for this collection of information is estimated to </w:t>
      </w:r>
      <w:r w:rsidRPr="0029737E">
        <w:rPr>
          <w:sz w:val="24"/>
          <w:szCs w:val="24"/>
        </w:rPr>
        <w:t xml:space="preserve">average </w:t>
      </w:r>
      <w:r w:rsidR="006C48D5">
        <w:rPr>
          <w:sz w:val="24"/>
          <w:szCs w:val="24"/>
        </w:rPr>
        <w:t>49</w:t>
      </w:r>
      <w:r w:rsidR="00EC6064">
        <w:rPr>
          <w:sz w:val="24"/>
          <w:szCs w:val="24"/>
        </w:rPr>
        <w:t xml:space="preserve"> </w:t>
      </w:r>
      <w:r w:rsidRPr="00F81145">
        <w:rPr>
          <w:sz w:val="24"/>
          <w:szCs w:val="24"/>
        </w:rPr>
        <w:t>hours per response</w:t>
      </w:r>
      <w:r w:rsidRPr="00F81145" w:rsidR="00FD0CE1">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Federal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826CF" w:rsidR="00FE00CB" w:rsidP="00F6339A" w:rsidRDefault="00FE00CB" w14:paraId="4E3664BB" w14:textId="77777777">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rsidR="00172199" w:rsidP="00172199" w:rsidRDefault="00FE00CB" w14:paraId="4B99A3C1" w14:textId="727A8F5B">
      <w:pPr>
        <w:widowControl/>
        <w:spacing w:line="360" w:lineRule="auto"/>
        <w:rPr>
          <w:sz w:val="24"/>
          <w:szCs w:val="24"/>
        </w:rPr>
      </w:pPr>
      <w:r>
        <w:rPr>
          <w:sz w:val="24"/>
          <w:szCs w:val="24"/>
        </w:rPr>
        <w:tab/>
      </w:r>
      <w:r w:rsidRPr="00172199" w:rsidR="00172199">
        <w:rPr>
          <w:sz w:val="24"/>
          <w:szCs w:val="24"/>
        </w:rPr>
        <w:t>To view comments received on the Agency’s need for this information, the accuracy of the provided burden estimates, and any suggested methods for minimizing respondent burden, including the use of automated collection techniques, the EPA has established a public docket for this ICR under Docket ID Number [EPA-HQ-OAR-</w:t>
      </w:r>
      <w:r w:rsidRPr="00B61AA3" w:rsidR="00964CAF">
        <w:rPr>
          <w:sz w:val="24"/>
          <w:szCs w:val="24"/>
        </w:rPr>
        <w:t>201</w:t>
      </w:r>
      <w:r w:rsidR="00964CAF">
        <w:rPr>
          <w:sz w:val="24"/>
          <w:szCs w:val="24"/>
        </w:rPr>
        <w:t>7</w:t>
      </w:r>
      <w:r w:rsidRPr="00B61AA3" w:rsidR="00964CAF">
        <w:rPr>
          <w:sz w:val="24"/>
          <w:szCs w:val="24"/>
        </w:rPr>
        <w:t>-</w:t>
      </w:r>
      <w:r w:rsidR="00964CAF">
        <w:rPr>
          <w:sz w:val="24"/>
          <w:szCs w:val="24"/>
        </w:rPr>
        <w:t>0483</w:t>
      </w:r>
      <w:r w:rsidRPr="00172199" w:rsidR="00172199">
        <w:rPr>
          <w:sz w:val="24"/>
          <w:szCs w:val="24"/>
        </w:rPr>
        <w:t xml:space="preserve">]. An electronic version of the public docket is available at http://www.regulations.gov/ which may be used to obtain a copy of the collection of information, view public comments submitted, access the index listing of the contents of the docket, and to access those documents in the public docket that are available electronically. When in the system, select “search,” then key in the docket ID number identified in this document. The documents are typically available for public viewing at EPA Docket Center </w:t>
      </w:r>
      <w:r w:rsidR="00E47400">
        <w:rPr>
          <w:sz w:val="24"/>
          <w:szCs w:val="24"/>
        </w:rPr>
        <w:t>Room 3334</w:t>
      </w:r>
      <w:r w:rsidRPr="00172199" w:rsidR="00172199">
        <w:rPr>
          <w:sz w:val="24"/>
          <w:szCs w:val="24"/>
        </w:rPr>
        <w:t xml:space="preserve">, EPA WJC West Building, 1301 Constitution Ave., NW, Washington, DC. EPA Docket Center Public Reading Room is open from 8:30 a.m. to 4:30 p.m., Monday through Friday, excluding legal holidays. The telephone number for the </w:t>
      </w:r>
      <w:r w:rsidR="00E47400">
        <w:rPr>
          <w:sz w:val="24"/>
          <w:szCs w:val="24"/>
        </w:rPr>
        <w:t xml:space="preserve">Public </w:t>
      </w:r>
      <w:r w:rsidRPr="00172199" w:rsidR="00172199">
        <w:rPr>
          <w:sz w:val="24"/>
          <w:szCs w:val="24"/>
        </w:rPr>
        <w:t xml:space="preserve">Reading Room is (202) 566-1744, and the telephone number for the </w:t>
      </w:r>
      <w:r w:rsidR="00541FB5">
        <w:rPr>
          <w:sz w:val="24"/>
          <w:szCs w:val="24"/>
        </w:rPr>
        <w:t>EPA Docket</w:t>
      </w:r>
      <w:r w:rsidRPr="00172199" w:rsidR="00172199">
        <w:rPr>
          <w:sz w:val="24"/>
          <w:szCs w:val="24"/>
        </w:rPr>
        <w:t xml:space="preserve"> Center is (202) 566-1742. </w:t>
      </w:r>
    </w:p>
    <w:p w:rsidR="00FE00CB" w:rsidP="00F6339A" w:rsidRDefault="00FE00CB" w14:paraId="68EAA159" w14:textId="77777777">
      <w:pPr>
        <w:keepNext/>
        <w:keepLines/>
        <w:widowControl/>
        <w:spacing w:line="360" w:lineRule="auto"/>
        <w:rPr>
          <w:sz w:val="24"/>
          <w:szCs w:val="24"/>
        </w:rPr>
      </w:pPr>
      <w:r>
        <w:rPr>
          <w:b/>
          <w:bCs/>
          <w:sz w:val="24"/>
          <w:szCs w:val="24"/>
        </w:rPr>
        <w:t>PART B</w:t>
      </w:r>
    </w:p>
    <w:p w:rsidR="00474D29" w:rsidP="00F6339A" w:rsidRDefault="00FE00CB" w14:paraId="58831E7C" w14:textId="30DAD082">
      <w:pPr>
        <w:widowControl/>
        <w:spacing w:line="360" w:lineRule="auto"/>
        <w:rPr>
          <w:sz w:val="24"/>
          <w:szCs w:val="24"/>
        </w:rPr>
      </w:pPr>
      <w:r>
        <w:rPr>
          <w:sz w:val="24"/>
          <w:szCs w:val="24"/>
        </w:rPr>
        <w:tab/>
        <w:t>This section is not applicable because statistical methods are not used in data collection associated with the final rule.</w:t>
      </w:r>
      <w:r w:rsidR="00474D29">
        <w:rPr>
          <w:sz w:val="24"/>
          <w:szCs w:val="24"/>
        </w:rPr>
        <w:br w:type="page"/>
      </w:r>
    </w:p>
    <w:p w:rsidR="00474D29" w:rsidRDefault="00CB4D27" w14:paraId="0E21F17E" w14:textId="3D776EB6">
      <w:pPr>
        <w:widowControl/>
        <w:autoSpaceDE/>
        <w:autoSpaceDN/>
        <w:adjustRightInd/>
        <w:rPr>
          <w:sz w:val="24"/>
          <w:szCs w:val="24"/>
        </w:rPr>
      </w:pPr>
      <w:r w:rsidRPr="00CB4D27">
        <w:rPr>
          <w:noProof/>
        </w:rPr>
        <w:lastRenderedPageBreak/>
        <w:drawing>
          <wp:inline distT="0" distB="0" distL="0" distR="0" wp14:anchorId="02B3338E" wp14:editId="75B50B17">
            <wp:extent cx="583311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3110" cy="8229600"/>
                    </a:xfrm>
                    <a:prstGeom prst="rect">
                      <a:avLst/>
                    </a:prstGeom>
                    <a:noFill/>
                    <a:ln>
                      <a:noFill/>
                    </a:ln>
                  </pic:spPr>
                </pic:pic>
              </a:graphicData>
            </a:graphic>
          </wp:inline>
        </w:drawing>
      </w:r>
    </w:p>
    <w:p w:rsidR="00356DA7" w:rsidP="00994C8A" w:rsidRDefault="00C6662D" w14:paraId="360001EE" w14:textId="2E7F787B">
      <w:pPr>
        <w:widowControl/>
        <w:spacing w:line="360" w:lineRule="auto"/>
        <w:jc w:val="center"/>
        <w:rPr>
          <w:sz w:val="24"/>
          <w:szCs w:val="24"/>
        </w:rPr>
      </w:pPr>
      <w:r w:rsidRPr="00C6662D">
        <w:rPr>
          <w:noProof/>
        </w:rPr>
        <w:lastRenderedPageBreak/>
        <w:drawing>
          <wp:inline distT="0" distB="0" distL="0" distR="0" wp14:anchorId="57FDEBB8" wp14:editId="13FB1A4B">
            <wp:extent cx="6035040" cy="80994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5040" cy="8099425"/>
                    </a:xfrm>
                    <a:prstGeom prst="rect">
                      <a:avLst/>
                    </a:prstGeom>
                    <a:noFill/>
                    <a:ln>
                      <a:noFill/>
                    </a:ln>
                  </pic:spPr>
                </pic:pic>
              </a:graphicData>
            </a:graphic>
          </wp:inline>
        </w:drawing>
      </w:r>
    </w:p>
    <w:p w:rsidR="00356DA7" w:rsidRDefault="00C6662D" w14:paraId="0FB7F80E" w14:textId="45FAFD64">
      <w:pPr>
        <w:widowControl/>
        <w:autoSpaceDE/>
        <w:autoSpaceDN/>
        <w:adjustRightInd/>
        <w:rPr>
          <w:sz w:val="24"/>
          <w:szCs w:val="24"/>
        </w:rPr>
      </w:pPr>
      <w:r w:rsidRPr="00C6662D">
        <w:rPr>
          <w:noProof/>
        </w:rPr>
        <w:lastRenderedPageBreak/>
        <w:drawing>
          <wp:inline distT="0" distB="0" distL="0" distR="0" wp14:anchorId="7386203C" wp14:editId="3B6C7AB8">
            <wp:extent cx="6035040" cy="80206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35040" cy="8020685"/>
                    </a:xfrm>
                    <a:prstGeom prst="rect">
                      <a:avLst/>
                    </a:prstGeom>
                    <a:noFill/>
                    <a:ln>
                      <a:noFill/>
                    </a:ln>
                  </pic:spPr>
                </pic:pic>
              </a:graphicData>
            </a:graphic>
          </wp:inline>
        </w:drawing>
      </w:r>
    </w:p>
    <w:p w:rsidR="00E55761" w:rsidP="00E55761" w:rsidRDefault="00624107" w14:paraId="78398429" w14:textId="60AABA18">
      <w:pPr>
        <w:widowControl/>
        <w:tabs>
          <w:tab w:val="left" w:pos="3948"/>
        </w:tabs>
        <w:autoSpaceDE/>
        <w:autoSpaceDN/>
        <w:adjustRightInd/>
        <w:rPr>
          <w:b/>
        </w:rPr>
      </w:pPr>
      <w:r w:rsidRPr="00624107">
        <w:rPr>
          <w:noProof/>
        </w:rPr>
        <w:lastRenderedPageBreak/>
        <w:drawing>
          <wp:inline distT="0" distB="0" distL="0" distR="0" wp14:anchorId="28B848C9" wp14:editId="6AD22F70">
            <wp:extent cx="6035040" cy="19119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5040" cy="1911985"/>
                    </a:xfrm>
                    <a:prstGeom prst="rect">
                      <a:avLst/>
                    </a:prstGeom>
                    <a:noFill/>
                    <a:ln>
                      <a:noFill/>
                    </a:ln>
                  </pic:spPr>
                </pic:pic>
              </a:graphicData>
            </a:graphic>
          </wp:inline>
        </w:drawing>
      </w:r>
    </w:p>
    <w:p w:rsidR="00E84EBD" w:rsidP="00E55761" w:rsidRDefault="00E84EBD" w14:paraId="48965D29" w14:textId="77777777">
      <w:pPr>
        <w:widowControl/>
        <w:tabs>
          <w:tab w:val="left" w:pos="3948"/>
        </w:tabs>
        <w:autoSpaceDE/>
        <w:autoSpaceDN/>
        <w:adjustRightInd/>
        <w:rPr>
          <w:b/>
        </w:rPr>
      </w:pPr>
    </w:p>
    <w:p w:rsidR="00E55761" w:rsidP="00E55761" w:rsidRDefault="00E55761" w14:paraId="1FD7C924" w14:textId="344C1EFB">
      <w:pPr>
        <w:widowControl/>
        <w:tabs>
          <w:tab w:val="left" w:pos="3948"/>
        </w:tabs>
        <w:autoSpaceDE/>
        <w:autoSpaceDN/>
        <w:adjustRightInd/>
        <w:rPr>
          <w:b/>
        </w:rPr>
      </w:pPr>
    </w:p>
    <w:p w:rsidR="00E55761" w:rsidP="00E55761" w:rsidRDefault="00E55761" w14:paraId="674D3FCC" w14:textId="1995734B">
      <w:pPr>
        <w:widowControl/>
        <w:tabs>
          <w:tab w:val="left" w:pos="3948"/>
        </w:tabs>
        <w:autoSpaceDE/>
        <w:autoSpaceDN/>
        <w:adjustRightInd/>
        <w:rPr>
          <w:b/>
        </w:rPr>
      </w:pPr>
    </w:p>
    <w:p w:rsidR="00E55761" w:rsidP="00E55761" w:rsidRDefault="00E55761" w14:paraId="1574B33B" w14:textId="390C8DA4">
      <w:pPr>
        <w:widowControl/>
        <w:tabs>
          <w:tab w:val="left" w:pos="3948"/>
        </w:tabs>
        <w:autoSpaceDE/>
        <w:autoSpaceDN/>
        <w:adjustRightInd/>
        <w:rPr>
          <w:b/>
        </w:rPr>
      </w:pPr>
    </w:p>
    <w:p w:rsidR="00E55761" w:rsidP="00E55761" w:rsidRDefault="00E55761" w14:paraId="31A290B0" w14:textId="44958E0C">
      <w:pPr>
        <w:widowControl/>
        <w:tabs>
          <w:tab w:val="left" w:pos="3948"/>
        </w:tabs>
        <w:autoSpaceDE/>
        <w:autoSpaceDN/>
        <w:adjustRightInd/>
        <w:rPr>
          <w:b/>
        </w:rPr>
      </w:pPr>
    </w:p>
    <w:p w:rsidR="00E55761" w:rsidP="00E55761" w:rsidRDefault="00E55761" w14:paraId="38774198" w14:textId="521C38E3">
      <w:pPr>
        <w:widowControl/>
        <w:tabs>
          <w:tab w:val="left" w:pos="3948"/>
        </w:tabs>
        <w:autoSpaceDE/>
        <w:autoSpaceDN/>
        <w:adjustRightInd/>
        <w:rPr>
          <w:b/>
        </w:rPr>
      </w:pPr>
    </w:p>
    <w:p w:rsidR="00E55761" w:rsidP="00E55761" w:rsidRDefault="00E55761" w14:paraId="1FBF400C" w14:textId="0708CF33">
      <w:pPr>
        <w:widowControl/>
        <w:tabs>
          <w:tab w:val="left" w:pos="3948"/>
        </w:tabs>
        <w:autoSpaceDE/>
        <w:autoSpaceDN/>
        <w:adjustRightInd/>
        <w:rPr>
          <w:b/>
        </w:rPr>
      </w:pPr>
    </w:p>
    <w:p w:rsidR="00E55761" w:rsidP="00E55761" w:rsidRDefault="00E55761" w14:paraId="78018BE6" w14:textId="6E60F57B">
      <w:pPr>
        <w:widowControl/>
        <w:tabs>
          <w:tab w:val="left" w:pos="3948"/>
        </w:tabs>
        <w:autoSpaceDE/>
        <w:autoSpaceDN/>
        <w:adjustRightInd/>
        <w:rPr>
          <w:b/>
        </w:rPr>
      </w:pPr>
    </w:p>
    <w:p w:rsidR="00E55761" w:rsidP="00E55761" w:rsidRDefault="00E55761" w14:paraId="18B66480" w14:textId="283A3CDF">
      <w:pPr>
        <w:widowControl/>
        <w:tabs>
          <w:tab w:val="left" w:pos="3948"/>
        </w:tabs>
        <w:autoSpaceDE/>
        <w:autoSpaceDN/>
        <w:adjustRightInd/>
        <w:rPr>
          <w:b/>
        </w:rPr>
      </w:pPr>
    </w:p>
    <w:p w:rsidR="00E55761" w:rsidP="00E55761" w:rsidRDefault="00E55761" w14:paraId="5D3DFD98" w14:textId="2E368E1B">
      <w:pPr>
        <w:widowControl/>
        <w:tabs>
          <w:tab w:val="left" w:pos="3948"/>
        </w:tabs>
        <w:autoSpaceDE/>
        <w:autoSpaceDN/>
        <w:adjustRightInd/>
        <w:rPr>
          <w:b/>
        </w:rPr>
      </w:pPr>
    </w:p>
    <w:p w:rsidR="00E55761" w:rsidP="00E55761" w:rsidRDefault="00E55761" w14:paraId="7DF66C22" w14:textId="719F5BBF">
      <w:pPr>
        <w:widowControl/>
        <w:tabs>
          <w:tab w:val="left" w:pos="3948"/>
        </w:tabs>
        <w:autoSpaceDE/>
        <w:autoSpaceDN/>
        <w:adjustRightInd/>
        <w:rPr>
          <w:b/>
        </w:rPr>
      </w:pPr>
    </w:p>
    <w:p w:rsidR="00E55761" w:rsidP="00E55761" w:rsidRDefault="00E55761" w14:paraId="098F90EC" w14:textId="63B75BD0">
      <w:pPr>
        <w:widowControl/>
        <w:tabs>
          <w:tab w:val="left" w:pos="3948"/>
        </w:tabs>
        <w:autoSpaceDE/>
        <w:autoSpaceDN/>
        <w:adjustRightInd/>
        <w:rPr>
          <w:b/>
        </w:rPr>
      </w:pPr>
    </w:p>
    <w:p w:rsidR="00E55761" w:rsidP="00E55761" w:rsidRDefault="00E55761" w14:paraId="0C4A2F9B" w14:textId="1510F626">
      <w:pPr>
        <w:widowControl/>
        <w:tabs>
          <w:tab w:val="left" w:pos="3948"/>
        </w:tabs>
        <w:autoSpaceDE/>
        <w:autoSpaceDN/>
        <w:adjustRightInd/>
        <w:rPr>
          <w:b/>
        </w:rPr>
      </w:pPr>
    </w:p>
    <w:p w:rsidR="00E55761" w:rsidP="00E55761" w:rsidRDefault="00E55761" w14:paraId="46BFC30E" w14:textId="45AAD337">
      <w:pPr>
        <w:widowControl/>
        <w:tabs>
          <w:tab w:val="left" w:pos="3948"/>
        </w:tabs>
        <w:autoSpaceDE/>
        <w:autoSpaceDN/>
        <w:adjustRightInd/>
        <w:rPr>
          <w:b/>
        </w:rPr>
      </w:pPr>
    </w:p>
    <w:p w:rsidR="00E55761" w:rsidP="00E55761" w:rsidRDefault="00E55761" w14:paraId="4575CABC" w14:textId="52EF5B66">
      <w:pPr>
        <w:widowControl/>
        <w:tabs>
          <w:tab w:val="left" w:pos="3948"/>
        </w:tabs>
        <w:autoSpaceDE/>
        <w:autoSpaceDN/>
        <w:adjustRightInd/>
        <w:rPr>
          <w:b/>
        </w:rPr>
      </w:pPr>
    </w:p>
    <w:p w:rsidR="00E55761" w:rsidP="00E55761" w:rsidRDefault="00E55761" w14:paraId="43922E5F" w14:textId="5A09D5F1">
      <w:pPr>
        <w:widowControl/>
        <w:tabs>
          <w:tab w:val="left" w:pos="3948"/>
        </w:tabs>
        <w:autoSpaceDE/>
        <w:autoSpaceDN/>
        <w:adjustRightInd/>
        <w:rPr>
          <w:b/>
        </w:rPr>
      </w:pPr>
    </w:p>
    <w:p w:rsidR="00E55761" w:rsidP="00E55761" w:rsidRDefault="00E55761" w14:paraId="466159D0" w14:textId="1FBF638C">
      <w:pPr>
        <w:widowControl/>
        <w:tabs>
          <w:tab w:val="left" w:pos="3948"/>
        </w:tabs>
        <w:autoSpaceDE/>
        <w:autoSpaceDN/>
        <w:adjustRightInd/>
        <w:rPr>
          <w:b/>
        </w:rPr>
      </w:pPr>
    </w:p>
    <w:p w:rsidR="00E55761" w:rsidP="00E55761" w:rsidRDefault="00E55761" w14:paraId="0C5AA351" w14:textId="0C380969">
      <w:pPr>
        <w:widowControl/>
        <w:tabs>
          <w:tab w:val="left" w:pos="3948"/>
        </w:tabs>
        <w:autoSpaceDE/>
        <w:autoSpaceDN/>
        <w:adjustRightInd/>
        <w:rPr>
          <w:b/>
        </w:rPr>
      </w:pPr>
    </w:p>
    <w:p w:rsidR="00E55761" w:rsidP="00E55761" w:rsidRDefault="00E55761" w14:paraId="5CCDB059" w14:textId="59F330CE">
      <w:pPr>
        <w:widowControl/>
        <w:tabs>
          <w:tab w:val="left" w:pos="3948"/>
        </w:tabs>
        <w:autoSpaceDE/>
        <w:autoSpaceDN/>
        <w:adjustRightInd/>
        <w:rPr>
          <w:b/>
        </w:rPr>
      </w:pPr>
    </w:p>
    <w:p w:rsidR="00E55761" w:rsidP="00E55761" w:rsidRDefault="00E55761" w14:paraId="61A42CF2" w14:textId="725D1F25">
      <w:pPr>
        <w:widowControl/>
        <w:tabs>
          <w:tab w:val="left" w:pos="3948"/>
        </w:tabs>
        <w:autoSpaceDE/>
        <w:autoSpaceDN/>
        <w:adjustRightInd/>
        <w:rPr>
          <w:b/>
        </w:rPr>
      </w:pPr>
    </w:p>
    <w:p w:rsidR="00E55761" w:rsidP="00E55761" w:rsidRDefault="00E55761" w14:paraId="7980C978" w14:textId="5CBE0AAF">
      <w:pPr>
        <w:widowControl/>
        <w:tabs>
          <w:tab w:val="left" w:pos="3948"/>
        </w:tabs>
        <w:autoSpaceDE/>
        <w:autoSpaceDN/>
        <w:adjustRightInd/>
        <w:rPr>
          <w:b/>
        </w:rPr>
      </w:pPr>
    </w:p>
    <w:p w:rsidR="00E55761" w:rsidP="00E55761" w:rsidRDefault="00E55761" w14:paraId="01ACD2CA" w14:textId="5E1F427B">
      <w:pPr>
        <w:widowControl/>
        <w:tabs>
          <w:tab w:val="left" w:pos="3948"/>
        </w:tabs>
        <w:autoSpaceDE/>
        <w:autoSpaceDN/>
        <w:adjustRightInd/>
        <w:rPr>
          <w:b/>
        </w:rPr>
      </w:pPr>
    </w:p>
    <w:p w:rsidR="00E55761" w:rsidP="00E55761" w:rsidRDefault="00E55761" w14:paraId="7046643D" w14:textId="57807D28">
      <w:pPr>
        <w:widowControl/>
        <w:tabs>
          <w:tab w:val="left" w:pos="3948"/>
        </w:tabs>
        <w:autoSpaceDE/>
        <w:autoSpaceDN/>
        <w:adjustRightInd/>
        <w:rPr>
          <w:b/>
        </w:rPr>
      </w:pPr>
    </w:p>
    <w:p w:rsidR="00E55761" w:rsidP="00E55761" w:rsidRDefault="00E55761" w14:paraId="774E5141" w14:textId="12900FC5">
      <w:pPr>
        <w:widowControl/>
        <w:tabs>
          <w:tab w:val="left" w:pos="3948"/>
        </w:tabs>
        <w:autoSpaceDE/>
        <w:autoSpaceDN/>
        <w:adjustRightInd/>
        <w:rPr>
          <w:b/>
        </w:rPr>
      </w:pPr>
    </w:p>
    <w:p w:rsidR="00E55761" w:rsidP="00E55761" w:rsidRDefault="00E55761" w14:paraId="3BB9B46F" w14:textId="5E4BE52F">
      <w:pPr>
        <w:widowControl/>
        <w:tabs>
          <w:tab w:val="left" w:pos="3948"/>
        </w:tabs>
        <w:autoSpaceDE/>
        <w:autoSpaceDN/>
        <w:adjustRightInd/>
        <w:rPr>
          <w:b/>
        </w:rPr>
      </w:pPr>
    </w:p>
    <w:p w:rsidR="00E55761" w:rsidP="00E55761" w:rsidRDefault="00E55761" w14:paraId="20A41444" w14:textId="51AA4686">
      <w:pPr>
        <w:widowControl/>
        <w:tabs>
          <w:tab w:val="left" w:pos="3948"/>
        </w:tabs>
        <w:autoSpaceDE/>
        <w:autoSpaceDN/>
        <w:adjustRightInd/>
        <w:rPr>
          <w:b/>
        </w:rPr>
      </w:pPr>
    </w:p>
    <w:p w:rsidR="00E55761" w:rsidP="00E55761" w:rsidRDefault="00E55761" w14:paraId="0C606A02" w14:textId="69CF94B5">
      <w:pPr>
        <w:widowControl/>
        <w:tabs>
          <w:tab w:val="left" w:pos="3948"/>
        </w:tabs>
        <w:autoSpaceDE/>
        <w:autoSpaceDN/>
        <w:adjustRightInd/>
        <w:rPr>
          <w:b/>
        </w:rPr>
      </w:pPr>
    </w:p>
    <w:p w:rsidR="00E55761" w:rsidP="00E55761" w:rsidRDefault="00E55761" w14:paraId="5B88D69E" w14:textId="2B9E56B3">
      <w:pPr>
        <w:widowControl/>
        <w:tabs>
          <w:tab w:val="left" w:pos="3948"/>
        </w:tabs>
        <w:autoSpaceDE/>
        <w:autoSpaceDN/>
        <w:adjustRightInd/>
        <w:rPr>
          <w:b/>
        </w:rPr>
      </w:pPr>
    </w:p>
    <w:p w:rsidR="00E55761" w:rsidP="00E55761" w:rsidRDefault="00E55761" w14:paraId="7470C8B2" w14:textId="25D0534B">
      <w:pPr>
        <w:widowControl/>
        <w:tabs>
          <w:tab w:val="left" w:pos="3948"/>
        </w:tabs>
        <w:autoSpaceDE/>
        <w:autoSpaceDN/>
        <w:adjustRightInd/>
        <w:rPr>
          <w:b/>
        </w:rPr>
      </w:pPr>
    </w:p>
    <w:p w:rsidR="00E55761" w:rsidP="00E55761" w:rsidRDefault="00E55761" w14:paraId="44183D30" w14:textId="77777777">
      <w:pPr>
        <w:widowControl/>
        <w:tabs>
          <w:tab w:val="left" w:pos="3948"/>
        </w:tabs>
        <w:autoSpaceDE/>
        <w:autoSpaceDN/>
        <w:adjustRightInd/>
        <w:rPr>
          <w:b/>
        </w:rPr>
      </w:pPr>
    </w:p>
    <w:p w:rsidR="00841E2C" w:rsidRDefault="00841E2C" w14:paraId="6A5B689C" w14:textId="77777777">
      <w:pPr>
        <w:widowControl/>
        <w:autoSpaceDE/>
        <w:autoSpaceDN/>
        <w:adjustRightInd/>
        <w:rPr>
          <w:b/>
        </w:rPr>
      </w:pPr>
    </w:p>
    <w:p w:rsidR="00707BDF" w:rsidP="00AA1C8F" w:rsidRDefault="00915481" w14:paraId="3770A428" w14:textId="0024F710">
      <w:pPr>
        <w:widowControl/>
        <w:jc w:val="center"/>
        <w:rPr>
          <w:b/>
        </w:rPr>
      </w:pPr>
      <w:r w:rsidRPr="00915481">
        <w:rPr>
          <w:noProof/>
        </w:rPr>
        <w:lastRenderedPageBreak/>
        <w:drawing>
          <wp:inline distT="0" distB="0" distL="0" distR="0" wp14:anchorId="5E2BF855" wp14:editId="0103B127">
            <wp:extent cx="6035040" cy="225933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5040" cy="2259330"/>
                    </a:xfrm>
                    <a:prstGeom prst="rect">
                      <a:avLst/>
                    </a:prstGeom>
                    <a:noFill/>
                    <a:ln>
                      <a:noFill/>
                    </a:ln>
                  </pic:spPr>
                </pic:pic>
              </a:graphicData>
            </a:graphic>
          </wp:inline>
        </w:drawing>
      </w:r>
    </w:p>
    <w:p w:rsidR="000F0EC2" w:rsidP="00AA1C8F" w:rsidRDefault="000F0EC2" w14:paraId="0AD494FB" w14:textId="3FAA28C3">
      <w:pPr>
        <w:widowControl/>
        <w:jc w:val="center"/>
        <w:rPr>
          <w:b/>
        </w:rPr>
      </w:pPr>
    </w:p>
    <w:p w:rsidR="000F0EC2" w:rsidP="00AA1C8F" w:rsidRDefault="000F0EC2" w14:paraId="7DEA9AC0" w14:textId="41625902">
      <w:pPr>
        <w:widowControl/>
        <w:jc w:val="center"/>
        <w:rPr>
          <w:b/>
        </w:rPr>
      </w:pPr>
    </w:p>
    <w:p w:rsidR="005A015C" w:rsidP="00AA1C8F" w:rsidRDefault="00915481" w14:paraId="3CAA6907" w14:textId="0AF9C5EB">
      <w:pPr>
        <w:widowControl/>
        <w:jc w:val="center"/>
      </w:pPr>
      <w:r w:rsidRPr="00915481">
        <w:rPr>
          <w:noProof/>
        </w:rPr>
        <w:drawing>
          <wp:inline distT="0" distB="0" distL="0" distR="0" wp14:anchorId="4A3AF45A" wp14:editId="2888846D">
            <wp:extent cx="6035040" cy="2259330"/>
            <wp:effectExtent l="0" t="0" r="38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35040" cy="2259330"/>
                    </a:xfrm>
                    <a:prstGeom prst="rect">
                      <a:avLst/>
                    </a:prstGeom>
                    <a:noFill/>
                    <a:ln>
                      <a:noFill/>
                    </a:ln>
                  </pic:spPr>
                </pic:pic>
              </a:graphicData>
            </a:graphic>
          </wp:inline>
        </w:drawing>
      </w:r>
    </w:p>
    <w:p w:rsidR="00694709" w:rsidP="00AA1C8F" w:rsidRDefault="00694709" w14:paraId="2B2A72A2" w14:textId="08F3A5E7">
      <w:pPr>
        <w:widowControl/>
        <w:jc w:val="center"/>
      </w:pPr>
    </w:p>
    <w:p w:rsidR="00694709" w:rsidP="00AA1C8F" w:rsidRDefault="00694709" w14:paraId="06303F7A" w14:textId="1C7FE3DD">
      <w:pPr>
        <w:widowControl/>
        <w:jc w:val="center"/>
      </w:pPr>
      <w:r w:rsidRPr="00694709">
        <w:rPr>
          <w:noProof/>
        </w:rPr>
        <w:drawing>
          <wp:inline distT="0" distB="0" distL="0" distR="0" wp14:anchorId="585F3DFC" wp14:editId="75EB71D4">
            <wp:extent cx="6035040" cy="2259330"/>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35040" cy="2259330"/>
                    </a:xfrm>
                    <a:prstGeom prst="rect">
                      <a:avLst/>
                    </a:prstGeom>
                    <a:noFill/>
                    <a:ln>
                      <a:noFill/>
                    </a:ln>
                  </pic:spPr>
                </pic:pic>
              </a:graphicData>
            </a:graphic>
          </wp:inline>
        </w:drawing>
      </w:r>
    </w:p>
    <w:p w:rsidR="00E726F4" w:rsidP="00AA1C8F" w:rsidRDefault="00E726F4" w14:paraId="617FB7F7" w14:textId="020C595D">
      <w:pPr>
        <w:widowControl/>
        <w:jc w:val="center"/>
        <w:rPr>
          <w:b/>
        </w:rPr>
      </w:pPr>
    </w:p>
    <w:p w:rsidR="00E726F4" w:rsidP="00AA1C8F" w:rsidRDefault="00E726F4" w14:paraId="2ECCF5CA" w14:textId="647ACF85">
      <w:pPr>
        <w:widowControl/>
        <w:jc w:val="center"/>
        <w:rPr>
          <w:b/>
        </w:rPr>
      </w:pPr>
    </w:p>
    <w:p w:rsidR="005A015C" w:rsidRDefault="005A015C" w14:paraId="1F325BDD" w14:textId="77777777">
      <w:pPr>
        <w:widowControl/>
        <w:autoSpaceDE/>
        <w:autoSpaceDN/>
        <w:adjustRightInd/>
        <w:rPr>
          <w:b/>
        </w:rPr>
      </w:pPr>
      <w:r>
        <w:rPr>
          <w:b/>
        </w:rPr>
        <w:br w:type="page"/>
      </w:r>
    </w:p>
    <w:p w:rsidR="005A015C" w:rsidP="00AA1C8F" w:rsidRDefault="000713A9" w14:paraId="62777A7A" w14:textId="5DC62F26">
      <w:pPr>
        <w:widowControl/>
        <w:jc w:val="center"/>
        <w:rPr>
          <w:b/>
        </w:rPr>
      </w:pPr>
      <w:r w:rsidRPr="000713A9">
        <w:rPr>
          <w:noProof/>
        </w:rPr>
        <w:lastRenderedPageBreak/>
        <w:drawing>
          <wp:inline distT="0" distB="0" distL="0" distR="0" wp14:anchorId="5C7117B9" wp14:editId="3AE76B01">
            <wp:extent cx="6035040" cy="163449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5040" cy="1634490"/>
                    </a:xfrm>
                    <a:prstGeom prst="rect">
                      <a:avLst/>
                    </a:prstGeom>
                    <a:noFill/>
                    <a:ln>
                      <a:noFill/>
                    </a:ln>
                  </pic:spPr>
                </pic:pic>
              </a:graphicData>
            </a:graphic>
          </wp:inline>
        </w:drawing>
      </w:r>
    </w:p>
    <w:p w:rsidR="00E01C14" w:rsidP="00AA1C8F" w:rsidRDefault="00E01C14" w14:paraId="7EF767A8" w14:textId="5CF7037B">
      <w:pPr>
        <w:widowControl/>
        <w:jc w:val="center"/>
        <w:rPr>
          <w:b/>
        </w:rPr>
      </w:pPr>
    </w:p>
    <w:p w:rsidR="009427B6" w:rsidP="00AA1C8F" w:rsidRDefault="009427B6" w14:paraId="7BA0A255" w14:textId="77777777">
      <w:pPr>
        <w:widowControl/>
        <w:jc w:val="center"/>
        <w:rPr>
          <w:b/>
        </w:rPr>
        <w:sectPr w:rsidR="009427B6" w:rsidSect="00A82BE6">
          <w:headerReference w:type="default" r:id="rId21"/>
          <w:footerReference w:type="default" r:id="rId22"/>
          <w:headerReference w:type="first" r:id="rId23"/>
          <w:footerReference w:type="first" r:id="rId24"/>
          <w:endnotePr>
            <w:numFmt w:val="decimal"/>
          </w:endnotePr>
          <w:pgSz w:w="12240" w:h="15840" w:code="1"/>
          <w:pgMar w:top="1440" w:right="1440" w:bottom="1440" w:left="1296" w:header="720" w:footer="720" w:gutter="0"/>
          <w:cols w:space="720"/>
          <w:titlePg/>
          <w:docGrid w:linePitch="272"/>
        </w:sectPr>
      </w:pPr>
    </w:p>
    <w:p w:rsidR="00FE2E8C" w:rsidP="00FE2E8C" w:rsidRDefault="00FE2E8C" w14:paraId="7FFD53FF" w14:textId="77777777">
      <w:pPr>
        <w:widowControl/>
        <w:autoSpaceDE/>
        <w:autoSpaceDN/>
        <w:adjustRightInd/>
        <w:jc w:val="center"/>
        <w:rPr>
          <w:b/>
          <w:sz w:val="24"/>
        </w:rPr>
      </w:pPr>
    </w:p>
    <w:p w:rsidRPr="0090708B" w:rsidR="00A626A6" w:rsidP="00A626A6" w:rsidRDefault="00A626A6" w14:paraId="07060EC0" w14:textId="0E16E28C">
      <w:pPr>
        <w:pStyle w:val="Heading2"/>
      </w:pPr>
      <w:r w:rsidRPr="0090708B">
        <w:t xml:space="preserve">Appendix </w:t>
      </w:r>
      <w:r>
        <w:t>A</w:t>
      </w:r>
    </w:p>
    <w:p w:rsidR="00103605" w:rsidP="00103605" w:rsidRDefault="00103605" w14:paraId="4F5DAA08" w14:textId="77777777">
      <w:pPr>
        <w:widowControl/>
        <w:jc w:val="center"/>
        <w:rPr>
          <w:b/>
          <w:sz w:val="24"/>
        </w:rPr>
      </w:pPr>
    </w:p>
    <w:p w:rsidR="00103605" w:rsidP="00103605" w:rsidRDefault="00103605" w14:paraId="24FF198A" w14:textId="5007D24A">
      <w:pPr>
        <w:widowControl/>
        <w:jc w:val="center"/>
        <w:rPr>
          <w:b/>
          <w:sz w:val="24"/>
          <w:szCs w:val="24"/>
        </w:rPr>
      </w:pPr>
      <w:r w:rsidRPr="0090708B">
        <w:rPr>
          <w:b/>
          <w:sz w:val="24"/>
          <w:szCs w:val="24"/>
        </w:rPr>
        <w:t xml:space="preserve">Estimate of New Sources Affected for purposes of the Information Collection Request under the </w:t>
      </w:r>
      <w:r w:rsidR="00FE2E8C">
        <w:rPr>
          <w:b/>
          <w:sz w:val="24"/>
          <w:szCs w:val="24"/>
        </w:rPr>
        <w:t>Proposed</w:t>
      </w:r>
      <w:r w:rsidRPr="0090708B">
        <w:rPr>
          <w:b/>
          <w:sz w:val="24"/>
          <w:szCs w:val="24"/>
        </w:rPr>
        <w:t xml:space="preserve"> Amendments to 40 CFR </w:t>
      </w:r>
      <w:r w:rsidR="000713A9">
        <w:rPr>
          <w:b/>
          <w:sz w:val="24"/>
          <w:szCs w:val="24"/>
        </w:rPr>
        <w:t>p</w:t>
      </w:r>
      <w:r w:rsidRPr="0090708B">
        <w:rPr>
          <w:b/>
          <w:sz w:val="24"/>
          <w:szCs w:val="24"/>
        </w:rPr>
        <w:t xml:space="preserve">art 60, </w:t>
      </w:r>
      <w:r w:rsidR="000713A9">
        <w:rPr>
          <w:b/>
          <w:sz w:val="24"/>
          <w:szCs w:val="24"/>
        </w:rPr>
        <w:t>s</w:t>
      </w:r>
      <w:r w:rsidRPr="0090708B">
        <w:rPr>
          <w:b/>
          <w:sz w:val="24"/>
          <w:szCs w:val="24"/>
        </w:rPr>
        <w:t>ubpart OOOOa.</w:t>
      </w:r>
    </w:p>
    <w:p w:rsidR="00A626A6" w:rsidP="00103605" w:rsidRDefault="00A626A6" w14:paraId="3741DAD9" w14:textId="77777777">
      <w:pPr>
        <w:widowControl/>
        <w:jc w:val="center"/>
        <w:rPr>
          <w:b/>
          <w:sz w:val="24"/>
          <w:szCs w:val="24"/>
        </w:rPr>
      </w:pPr>
    </w:p>
    <w:p w:rsidR="00293331" w:rsidP="00564BA6" w:rsidRDefault="00293331" w14:paraId="63C365E7" w14:textId="77777777">
      <w:pPr>
        <w:keepNext/>
        <w:widowControl/>
        <w:autoSpaceDE/>
        <w:autoSpaceDN/>
        <w:adjustRightInd/>
        <w:rPr>
          <w:b/>
          <w:sz w:val="24"/>
          <w:szCs w:val="24"/>
        </w:rPr>
      </w:pPr>
    </w:p>
    <w:p w:rsidR="007728DD" w:rsidP="00564BA6" w:rsidRDefault="00632581" w14:paraId="2A9A8A37" w14:textId="3A69614A">
      <w:pPr>
        <w:keepNext/>
        <w:widowControl/>
        <w:autoSpaceDE/>
        <w:autoSpaceDN/>
        <w:adjustRightInd/>
        <w:rPr>
          <w:b/>
          <w:sz w:val="24"/>
          <w:szCs w:val="24"/>
        </w:rPr>
        <w:sectPr w:rsidR="007728DD" w:rsidSect="00F84D8C">
          <w:footerReference w:type="first" r:id="rId25"/>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r w:rsidRPr="00632581">
        <w:rPr>
          <w:noProof/>
        </w:rPr>
        <w:drawing>
          <wp:inline distT="0" distB="0" distL="0" distR="0" wp14:anchorId="45E4D2D7" wp14:editId="6FEBB477">
            <wp:extent cx="6035040" cy="368109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5040" cy="3681095"/>
                    </a:xfrm>
                    <a:prstGeom prst="rect">
                      <a:avLst/>
                    </a:prstGeom>
                    <a:noFill/>
                    <a:ln>
                      <a:noFill/>
                    </a:ln>
                  </pic:spPr>
                </pic:pic>
              </a:graphicData>
            </a:graphic>
          </wp:inline>
        </w:drawing>
      </w:r>
    </w:p>
    <w:p w:rsidRPr="0090708B" w:rsidR="00B54F17" w:rsidP="00B54F17" w:rsidRDefault="00B54F17" w14:paraId="745CF6D5" w14:textId="1114965E">
      <w:pPr>
        <w:pStyle w:val="Heading2"/>
      </w:pPr>
      <w:r w:rsidRPr="0090708B">
        <w:lastRenderedPageBreak/>
        <w:t xml:space="preserve">Appendix </w:t>
      </w:r>
      <w:r w:rsidR="00A626A6">
        <w:t>B</w:t>
      </w:r>
    </w:p>
    <w:p w:rsidR="00B54F17" w:rsidP="00B54F17" w:rsidRDefault="00B54F17" w14:paraId="2D765007" w14:textId="77777777">
      <w:pPr>
        <w:widowControl/>
        <w:jc w:val="center"/>
        <w:rPr>
          <w:b/>
          <w:sz w:val="24"/>
        </w:rPr>
      </w:pPr>
    </w:p>
    <w:p w:rsidR="00BE4154" w:rsidP="00BA4694" w:rsidRDefault="00B54F17" w14:paraId="0CB1D1EE" w14:textId="31B57BBD">
      <w:pPr>
        <w:widowControl/>
        <w:autoSpaceDE/>
        <w:autoSpaceDN/>
        <w:adjustRightInd/>
        <w:spacing w:line="480" w:lineRule="auto"/>
        <w:jc w:val="center"/>
        <w:rPr>
          <w:b/>
          <w:sz w:val="24"/>
          <w:szCs w:val="24"/>
        </w:rPr>
      </w:pPr>
      <w:r>
        <w:rPr>
          <w:b/>
          <w:sz w:val="24"/>
          <w:szCs w:val="24"/>
        </w:rPr>
        <w:t>EPA’s Compliance and Emissions Data Reporting (CEDRI) Interface</w:t>
      </w:r>
      <w:r w:rsidR="00BE4154">
        <w:rPr>
          <w:noProof/>
        </w:rPr>
        <w:drawing>
          <wp:inline distT="0" distB="0" distL="0" distR="0" wp14:anchorId="470E882A" wp14:editId="76E4B92A">
            <wp:extent cx="6035040" cy="2508885"/>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5040" cy="2508885"/>
                    </a:xfrm>
                    <a:prstGeom prst="rect">
                      <a:avLst/>
                    </a:prstGeom>
                    <a:noFill/>
                    <a:ln>
                      <a:noFill/>
                    </a:ln>
                  </pic:spPr>
                </pic:pic>
              </a:graphicData>
            </a:graphic>
          </wp:inline>
        </w:drawing>
      </w:r>
    </w:p>
    <w:p w:rsidR="009A5038" w:rsidP="00EA728D" w:rsidRDefault="00EA728D" w14:paraId="52F4CC10" w14:textId="77777777">
      <w:pPr>
        <w:keepNext/>
        <w:widowControl/>
        <w:autoSpaceDE/>
        <w:autoSpaceDN/>
        <w:adjustRightInd/>
        <w:jc w:val="center"/>
        <w:rPr>
          <w:b/>
          <w:sz w:val="24"/>
          <w:szCs w:val="24"/>
        </w:rPr>
        <w:sectPr w:rsidR="009A5038" w:rsidSect="00293331">
          <w:footerReference w:type="first" r:id="rId28"/>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r>
        <w:rPr>
          <w:noProof/>
        </w:rPr>
        <w:drawing>
          <wp:inline distT="0" distB="0" distL="0" distR="0" wp14:anchorId="1265323A" wp14:editId="6C75DF7D">
            <wp:extent cx="6035040" cy="3498215"/>
            <wp:effectExtent l="0" t="0" r="381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5040" cy="3498215"/>
                    </a:xfrm>
                    <a:prstGeom prst="rect">
                      <a:avLst/>
                    </a:prstGeom>
                    <a:noFill/>
                    <a:ln>
                      <a:noFill/>
                    </a:ln>
                  </pic:spPr>
                </pic:pic>
              </a:graphicData>
            </a:graphic>
          </wp:inline>
        </w:drawing>
      </w:r>
    </w:p>
    <w:p w:rsidR="00BE4154" w:rsidP="00EA728D" w:rsidRDefault="00BE4154" w14:paraId="569D54D1" w14:textId="71586F48">
      <w:pPr>
        <w:keepNext/>
        <w:widowControl/>
        <w:autoSpaceDE/>
        <w:autoSpaceDN/>
        <w:adjustRightInd/>
        <w:jc w:val="center"/>
        <w:rPr>
          <w:b/>
          <w:sz w:val="24"/>
          <w:szCs w:val="24"/>
        </w:rPr>
      </w:pPr>
    </w:p>
    <w:p w:rsidRPr="0090708B" w:rsidR="00383261" w:rsidP="00383261" w:rsidRDefault="00383261" w14:paraId="10E42937" w14:textId="25191CF0">
      <w:pPr>
        <w:pStyle w:val="Heading2"/>
      </w:pPr>
      <w:r>
        <w:t>A</w:t>
      </w:r>
      <w:r w:rsidRPr="0090708B">
        <w:t xml:space="preserve">ppendix </w:t>
      </w:r>
      <w:r w:rsidR="00A626A6">
        <w:t>C</w:t>
      </w:r>
    </w:p>
    <w:p w:rsidR="00383261" w:rsidP="00383261" w:rsidRDefault="00383261" w14:paraId="1C0DCF7E" w14:textId="77777777">
      <w:pPr>
        <w:widowControl/>
        <w:jc w:val="center"/>
        <w:rPr>
          <w:b/>
          <w:sz w:val="24"/>
        </w:rPr>
      </w:pPr>
    </w:p>
    <w:p w:rsidRPr="00EC52DB" w:rsidR="00383261" w:rsidP="00383261" w:rsidRDefault="00383261" w14:paraId="58DDC434" w14:textId="77777777">
      <w:pPr>
        <w:widowControl/>
        <w:autoSpaceDE/>
        <w:autoSpaceDN/>
        <w:adjustRightInd/>
        <w:spacing w:line="480" w:lineRule="auto"/>
        <w:ind w:firstLine="720"/>
        <w:jc w:val="center"/>
        <w:rPr>
          <w:b/>
          <w:bCs/>
          <w:sz w:val="24"/>
          <w:szCs w:val="24"/>
        </w:rPr>
      </w:pPr>
      <w:r w:rsidRPr="00EC52DB">
        <w:rPr>
          <w:b/>
          <w:bCs/>
          <w:sz w:val="24"/>
          <w:szCs w:val="24"/>
        </w:rPr>
        <w:t>Instructions for submitting reports to the EPA via CEDRI per 60.5420a(c)(11)</w:t>
      </w:r>
      <w:r>
        <w:rPr>
          <w:b/>
          <w:bCs/>
          <w:sz w:val="24"/>
          <w:szCs w:val="24"/>
        </w:rPr>
        <w:t>:</w:t>
      </w:r>
    </w:p>
    <w:p w:rsidR="00383261" w:rsidP="00A31073" w:rsidRDefault="00383261" w14:paraId="68B207DA" w14:textId="35DA66C1">
      <w:pPr>
        <w:widowControl/>
        <w:autoSpaceDE/>
        <w:autoSpaceDN/>
        <w:adjustRightInd/>
        <w:spacing w:line="360" w:lineRule="auto"/>
        <w:ind w:firstLine="720"/>
        <w:rPr>
          <w:b/>
          <w:sz w:val="24"/>
          <w:szCs w:val="24"/>
        </w:rPr>
      </w:pPr>
      <w:r w:rsidRPr="004E6497">
        <w:rPr>
          <w:sz w:val="24"/>
          <w:szCs w:val="24"/>
        </w:rPr>
        <w:t>(11) You must submit reports to the EPA via CEDRI, except as outlined below. (CEDRI can be accessed through the EPA's CDX (</w:t>
      </w:r>
      <w:r w:rsidRPr="004E6497">
        <w:rPr>
          <w:i/>
          <w:sz w:val="24"/>
          <w:szCs w:val="24"/>
        </w:rPr>
        <w:t>https://cdx.epa.gov/</w:t>
      </w:r>
      <w:r w:rsidRPr="004E6497">
        <w:rPr>
          <w:sz w:val="24"/>
          <w:szCs w:val="24"/>
        </w:rPr>
        <w:t>).) The EPA will make all the information submitted through CEDRI available to the public without further notice to you. Do not use CEDRI to submit information you claim as CBI. Anything submitted using CEDRI cannot later be claimed CBI. You must use the appropriate electronic report in CEDRI for this subpart or an alternate electronic file format consistent with the extensible markup language (XML) schema listed on the CEDRI website (</w:t>
      </w:r>
      <w:r w:rsidRPr="004E6497">
        <w:rPr>
          <w:i/>
          <w:iCs/>
          <w:sz w:val="24"/>
          <w:szCs w:val="24"/>
        </w:rPr>
        <w:t>https://www.epa.gov/electronic-reporting-air-emissions/cedri</w:t>
      </w:r>
      <w:r w:rsidRPr="004E6497">
        <w:rPr>
          <w:i/>
          <w:sz w:val="24"/>
          <w:szCs w:val="24"/>
        </w:rPr>
        <w:t>/</w:t>
      </w:r>
      <w:r w:rsidRPr="004E6497">
        <w:rPr>
          <w:sz w:val="24"/>
          <w:szCs w:val="24"/>
        </w:rPr>
        <w:t>). If the reporting form specific to this subpart is not available in CEDRI at the time that the report is due, you must submit the report to the Administrator at the appropriate address listed in §60.4. Once the form has been available in CEDRI for at least 90 calendar days, you must begin submitting all subsequent reports via CEDRI. The reports must be submitted by the deadlines specified in this subpart, regardless of the method in which the reports are submitted. Although we do not expect persons to assert a claim of CBI, if you wish to assert a CBI claim, submit a complete report generated using the appropriate form in CEDRI or an alternate electronic file consistent with the XML schema listed on the EPA’s CEDRI website, including information claimed to be CBI, on a compact disc, flash drive, or other commonly used electronic storage medium to the EPA. The electronic medium shall be clearly marked as CBI and mailed to U.S. EPA/OAQPS/CORE CBI Office, Attention: Group Leader, Fuels and Incineration Group, MD C404-02, 4930 Old Page Rd., Durham, NC 27703. The same file with the CBI omitted shall be submitted to the EPA via CEDRI. All CBI claims must be asserted at the time of submission. Furthermore, under CAA section 114(c), emissions data is not entitled to confidential treatment, and the EPA is required to make emissions data available to the public. Thus, emissions data will not be protected as CBI and will be made publicly available.</w:t>
      </w:r>
    </w:p>
    <w:sectPr w:rsidR="00383261" w:rsidSect="00293331">
      <w:footerReference w:type="first" r:id="rId30"/>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27B8C" w14:textId="77777777" w:rsidR="001F09DA" w:rsidRDefault="001F09DA">
      <w:r>
        <w:separator/>
      </w:r>
    </w:p>
  </w:endnote>
  <w:endnote w:type="continuationSeparator" w:id="0">
    <w:p w14:paraId="6FCDADEB" w14:textId="77777777" w:rsidR="001F09DA" w:rsidRDefault="001F09DA">
      <w:r>
        <w:continuationSeparator/>
      </w:r>
    </w:p>
  </w:endnote>
  <w:endnote w:type="continuationNotice" w:id="1">
    <w:p w14:paraId="5529AA0D" w14:textId="77777777" w:rsidR="001F09DA" w:rsidRDefault="001F0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FA4C" w14:textId="4C41D0D7" w:rsidR="009E391F" w:rsidRPr="00030416" w:rsidRDefault="009E391F">
    <w:pPr>
      <w:pStyle w:val="Footer"/>
      <w:jc w:val="center"/>
      <w:rPr>
        <w:sz w:val="24"/>
        <w:szCs w:val="24"/>
      </w:rPr>
    </w:pPr>
    <w:r w:rsidRPr="00030416">
      <w:rPr>
        <w:sz w:val="24"/>
        <w:szCs w:val="24"/>
      </w:rPr>
      <w:fldChar w:fldCharType="begin"/>
    </w:r>
    <w:r w:rsidRPr="00030416">
      <w:rPr>
        <w:sz w:val="24"/>
        <w:szCs w:val="24"/>
      </w:rPr>
      <w:instrText xml:space="preserve"> PAGE   \* MERGEFORMAT </w:instrText>
    </w:r>
    <w:r w:rsidRPr="00030416">
      <w:rPr>
        <w:sz w:val="24"/>
        <w:szCs w:val="24"/>
      </w:rPr>
      <w:fldChar w:fldCharType="separate"/>
    </w:r>
    <w:r>
      <w:rPr>
        <w:noProof/>
        <w:sz w:val="24"/>
        <w:szCs w:val="24"/>
      </w:rPr>
      <w:t>21</w:t>
    </w:r>
    <w:r w:rsidRPr="00030416">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076495"/>
      <w:docPartObj>
        <w:docPartGallery w:val="Page Numbers (Bottom of Page)"/>
        <w:docPartUnique/>
      </w:docPartObj>
    </w:sdtPr>
    <w:sdtEndPr>
      <w:rPr>
        <w:noProof/>
        <w:sz w:val="24"/>
        <w:szCs w:val="24"/>
      </w:rPr>
    </w:sdtEndPr>
    <w:sdtContent>
      <w:p w14:paraId="2A721688" w14:textId="5D15138C" w:rsidR="009E391F" w:rsidRPr="00BE3F3B" w:rsidRDefault="009E391F" w:rsidP="00BE3F3B">
        <w:pPr>
          <w:pStyle w:val="Footer"/>
          <w:jc w:val="center"/>
          <w:rPr>
            <w:sz w:val="24"/>
            <w:szCs w:val="24"/>
          </w:rPr>
        </w:pPr>
        <w:r w:rsidRPr="00BE3F3B">
          <w:rPr>
            <w:sz w:val="24"/>
            <w:szCs w:val="24"/>
          </w:rPr>
          <w:fldChar w:fldCharType="begin"/>
        </w:r>
        <w:r w:rsidRPr="00BE3F3B">
          <w:rPr>
            <w:sz w:val="24"/>
            <w:szCs w:val="24"/>
          </w:rPr>
          <w:instrText xml:space="preserve"> PAGE   \* MERGEFORMAT </w:instrText>
        </w:r>
        <w:r w:rsidRPr="00BE3F3B">
          <w:rPr>
            <w:sz w:val="24"/>
            <w:szCs w:val="24"/>
          </w:rPr>
          <w:fldChar w:fldCharType="separate"/>
        </w:r>
        <w:r w:rsidRPr="00BE3F3B">
          <w:rPr>
            <w:noProof/>
            <w:sz w:val="24"/>
            <w:szCs w:val="24"/>
          </w:rPr>
          <w:t>2</w:t>
        </w:r>
        <w:r w:rsidRPr="00BE3F3B">
          <w:rPr>
            <w:noProof/>
            <w:sz w:val="24"/>
            <w:szCs w:val="24"/>
          </w:rPr>
          <w:fldChar w:fldCharType="end"/>
        </w:r>
      </w:p>
    </w:sdtContent>
  </w:sdt>
  <w:p w14:paraId="6F9C3EC6" w14:textId="77777777" w:rsidR="009E391F" w:rsidRDefault="009E3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8255435"/>
      <w:docPartObj>
        <w:docPartGallery w:val="Page Numbers (Bottom of Page)"/>
        <w:docPartUnique/>
      </w:docPartObj>
    </w:sdtPr>
    <w:sdtEndPr>
      <w:rPr>
        <w:noProof/>
        <w:sz w:val="24"/>
        <w:szCs w:val="24"/>
      </w:rPr>
    </w:sdtEndPr>
    <w:sdtContent>
      <w:p w14:paraId="5779B9B1" w14:textId="7184DBFD" w:rsidR="009E391F" w:rsidRPr="00125EF4" w:rsidRDefault="00EF70BA" w:rsidP="009E391F">
        <w:pPr>
          <w:pStyle w:val="Footer"/>
          <w:jc w:val="center"/>
          <w:rPr>
            <w:sz w:val="24"/>
            <w:szCs w:val="24"/>
          </w:rPr>
        </w:pPr>
        <w:r>
          <w:rPr>
            <w:sz w:val="24"/>
            <w:szCs w:val="24"/>
          </w:rPr>
          <w:t>A</w:t>
        </w:r>
        <w:r w:rsidR="009E391F" w:rsidRPr="00B83D6A">
          <w:rPr>
            <w:sz w:val="24"/>
            <w:szCs w:val="24"/>
          </w:rPr>
          <w:t>-</w:t>
        </w:r>
        <w:r w:rsidR="009E391F" w:rsidRPr="00B83D6A">
          <w:rPr>
            <w:sz w:val="24"/>
            <w:szCs w:val="24"/>
          </w:rPr>
          <w:fldChar w:fldCharType="begin"/>
        </w:r>
        <w:r w:rsidR="009E391F" w:rsidRPr="00B83D6A">
          <w:rPr>
            <w:sz w:val="24"/>
            <w:szCs w:val="24"/>
          </w:rPr>
          <w:instrText xml:space="preserve"> PAGE   \* MERGEFORMAT </w:instrText>
        </w:r>
        <w:r w:rsidR="009E391F" w:rsidRPr="00B83D6A">
          <w:rPr>
            <w:sz w:val="24"/>
            <w:szCs w:val="24"/>
          </w:rPr>
          <w:fldChar w:fldCharType="separate"/>
        </w:r>
        <w:r w:rsidR="009E391F" w:rsidRPr="00B83D6A">
          <w:rPr>
            <w:noProof/>
            <w:sz w:val="24"/>
            <w:szCs w:val="24"/>
          </w:rPr>
          <w:t>2</w:t>
        </w:r>
        <w:r w:rsidR="009E391F" w:rsidRPr="00B83D6A">
          <w:rPr>
            <w:noProof/>
            <w:sz w:val="24"/>
            <w:szCs w:val="24"/>
          </w:rPr>
          <w:fldChar w:fldCharType="end"/>
        </w:r>
      </w:p>
    </w:sdtContent>
  </w:sdt>
  <w:p w14:paraId="73D58D32" w14:textId="77777777" w:rsidR="009E391F" w:rsidRDefault="009E391F">
    <w:pPr>
      <w:pStyle w:val="Footer"/>
    </w:pPr>
  </w:p>
  <w:p w14:paraId="6296A575" w14:textId="77777777" w:rsidR="009E391F" w:rsidRDefault="009E391F"/>
  <w:p w14:paraId="485661BB" w14:textId="77777777" w:rsidR="009E391F" w:rsidRDefault="009E391F" w:rsidP="009E391F">
    <w:pPr>
      <w:tabs>
        <w:tab w:val="left" w:pos="5580"/>
      </w:tabs>
    </w:pPr>
    <w:r>
      <w:tab/>
    </w:r>
  </w:p>
  <w:p w14:paraId="34F00FD0" w14:textId="77777777" w:rsidR="009E391F" w:rsidRDefault="009E39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114699"/>
      <w:docPartObj>
        <w:docPartGallery w:val="Page Numbers (Bottom of Page)"/>
        <w:docPartUnique/>
      </w:docPartObj>
    </w:sdtPr>
    <w:sdtEndPr>
      <w:rPr>
        <w:noProof/>
        <w:sz w:val="24"/>
        <w:szCs w:val="24"/>
      </w:rPr>
    </w:sdtEndPr>
    <w:sdtContent>
      <w:p w14:paraId="34B39CA3" w14:textId="33BA000F" w:rsidR="00293331" w:rsidRPr="00125EF4" w:rsidRDefault="00632581" w:rsidP="009E391F">
        <w:pPr>
          <w:pStyle w:val="Footer"/>
          <w:jc w:val="center"/>
          <w:rPr>
            <w:sz w:val="24"/>
            <w:szCs w:val="24"/>
          </w:rPr>
        </w:pPr>
        <w:r>
          <w:rPr>
            <w:sz w:val="24"/>
            <w:szCs w:val="24"/>
          </w:rPr>
          <w:t>B</w:t>
        </w:r>
        <w:r w:rsidR="00293331" w:rsidRPr="00B83D6A">
          <w:rPr>
            <w:sz w:val="24"/>
            <w:szCs w:val="24"/>
          </w:rPr>
          <w:t>-</w:t>
        </w:r>
        <w:r w:rsidR="00293331" w:rsidRPr="00B83D6A">
          <w:rPr>
            <w:sz w:val="24"/>
            <w:szCs w:val="24"/>
          </w:rPr>
          <w:fldChar w:fldCharType="begin"/>
        </w:r>
        <w:r w:rsidR="00293331" w:rsidRPr="00B83D6A">
          <w:rPr>
            <w:sz w:val="24"/>
            <w:szCs w:val="24"/>
          </w:rPr>
          <w:instrText xml:space="preserve"> PAGE   \* MERGEFORMAT </w:instrText>
        </w:r>
        <w:r w:rsidR="00293331" w:rsidRPr="00B83D6A">
          <w:rPr>
            <w:sz w:val="24"/>
            <w:szCs w:val="24"/>
          </w:rPr>
          <w:fldChar w:fldCharType="separate"/>
        </w:r>
        <w:r w:rsidR="00293331" w:rsidRPr="00B83D6A">
          <w:rPr>
            <w:noProof/>
            <w:sz w:val="24"/>
            <w:szCs w:val="24"/>
          </w:rPr>
          <w:t>2</w:t>
        </w:r>
        <w:r w:rsidR="00293331" w:rsidRPr="00B83D6A">
          <w:rPr>
            <w:noProof/>
            <w:sz w:val="24"/>
            <w:szCs w:val="24"/>
          </w:rPr>
          <w:fldChar w:fldCharType="end"/>
        </w:r>
      </w:p>
    </w:sdtContent>
  </w:sdt>
  <w:p w14:paraId="698CE63D" w14:textId="77777777" w:rsidR="00293331" w:rsidRDefault="00293331">
    <w:pPr>
      <w:pStyle w:val="Footer"/>
    </w:pPr>
  </w:p>
  <w:p w14:paraId="5D69A7DF" w14:textId="77777777" w:rsidR="00293331" w:rsidRDefault="00293331"/>
  <w:p w14:paraId="3959FD90" w14:textId="77777777" w:rsidR="00293331" w:rsidRDefault="00293331" w:rsidP="009E391F">
    <w:pPr>
      <w:tabs>
        <w:tab w:val="left" w:pos="5580"/>
      </w:tabs>
    </w:pPr>
    <w:r>
      <w:tab/>
    </w:r>
  </w:p>
  <w:p w14:paraId="4C615833" w14:textId="77777777" w:rsidR="00293331" w:rsidRDefault="0029333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208671"/>
      <w:docPartObj>
        <w:docPartGallery w:val="Page Numbers (Bottom of Page)"/>
        <w:docPartUnique/>
      </w:docPartObj>
    </w:sdtPr>
    <w:sdtEndPr>
      <w:rPr>
        <w:noProof/>
        <w:sz w:val="24"/>
        <w:szCs w:val="24"/>
      </w:rPr>
    </w:sdtEndPr>
    <w:sdtContent>
      <w:p w14:paraId="0C814354" w14:textId="1B5A9873" w:rsidR="009A5038" w:rsidRPr="00125EF4" w:rsidRDefault="00632581" w:rsidP="009E391F">
        <w:pPr>
          <w:pStyle w:val="Footer"/>
          <w:jc w:val="center"/>
          <w:rPr>
            <w:sz w:val="24"/>
            <w:szCs w:val="24"/>
          </w:rPr>
        </w:pPr>
        <w:r>
          <w:rPr>
            <w:sz w:val="24"/>
            <w:szCs w:val="24"/>
          </w:rPr>
          <w:t>C</w:t>
        </w:r>
        <w:r w:rsidR="009A5038" w:rsidRPr="00B83D6A">
          <w:rPr>
            <w:sz w:val="24"/>
            <w:szCs w:val="24"/>
          </w:rPr>
          <w:t>-</w:t>
        </w:r>
        <w:r w:rsidR="009A5038" w:rsidRPr="00B83D6A">
          <w:rPr>
            <w:sz w:val="24"/>
            <w:szCs w:val="24"/>
          </w:rPr>
          <w:fldChar w:fldCharType="begin"/>
        </w:r>
        <w:r w:rsidR="009A5038" w:rsidRPr="00B83D6A">
          <w:rPr>
            <w:sz w:val="24"/>
            <w:szCs w:val="24"/>
          </w:rPr>
          <w:instrText xml:space="preserve"> PAGE   \* MERGEFORMAT </w:instrText>
        </w:r>
        <w:r w:rsidR="009A5038" w:rsidRPr="00B83D6A">
          <w:rPr>
            <w:sz w:val="24"/>
            <w:szCs w:val="24"/>
          </w:rPr>
          <w:fldChar w:fldCharType="separate"/>
        </w:r>
        <w:r w:rsidR="009A5038" w:rsidRPr="00B83D6A">
          <w:rPr>
            <w:noProof/>
            <w:sz w:val="24"/>
            <w:szCs w:val="24"/>
          </w:rPr>
          <w:t>2</w:t>
        </w:r>
        <w:r w:rsidR="009A5038" w:rsidRPr="00B83D6A">
          <w:rPr>
            <w:noProof/>
            <w:sz w:val="24"/>
            <w:szCs w:val="24"/>
          </w:rPr>
          <w:fldChar w:fldCharType="end"/>
        </w:r>
      </w:p>
    </w:sdtContent>
  </w:sdt>
  <w:p w14:paraId="5600A57C" w14:textId="77777777" w:rsidR="009A5038" w:rsidRDefault="009A5038">
    <w:pPr>
      <w:pStyle w:val="Footer"/>
    </w:pPr>
  </w:p>
  <w:p w14:paraId="71D97A2F" w14:textId="77777777" w:rsidR="009A5038" w:rsidRDefault="009A5038"/>
  <w:p w14:paraId="3F314BBE" w14:textId="77777777" w:rsidR="009A5038" w:rsidRDefault="009A5038" w:rsidP="009E391F">
    <w:pPr>
      <w:tabs>
        <w:tab w:val="left" w:pos="5580"/>
      </w:tabs>
    </w:pPr>
    <w:r>
      <w:tab/>
    </w:r>
  </w:p>
  <w:p w14:paraId="61339CCD" w14:textId="77777777" w:rsidR="009A5038" w:rsidRDefault="009A50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BB01B" w14:textId="77777777" w:rsidR="001F09DA" w:rsidRDefault="001F09DA">
      <w:r>
        <w:separator/>
      </w:r>
    </w:p>
  </w:footnote>
  <w:footnote w:type="continuationSeparator" w:id="0">
    <w:p w14:paraId="6380D7D5" w14:textId="77777777" w:rsidR="001F09DA" w:rsidRDefault="001F09DA">
      <w:r>
        <w:continuationSeparator/>
      </w:r>
    </w:p>
  </w:footnote>
  <w:footnote w:type="continuationNotice" w:id="1">
    <w:p w14:paraId="4AF5ADED" w14:textId="77777777" w:rsidR="001F09DA" w:rsidRDefault="001F09DA"/>
  </w:footnote>
  <w:footnote w:id="2">
    <w:p w14:paraId="6C4D0BE4" w14:textId="18B0256D" w:rsidR="009E391F" w:rsidRDefault="009E391F" w:rsidP="00823EB6">
      <w:pPr>
        <w:rPr>
          <w:rFonts w:ascii="Courier New" w:hAnsi="Courier New" w:cs="Courier New"/>
          <w:sz w:val="24"/>
          <w:szCs w:val="24"/>
        </w:rPr>
      </w:pPr>
      <w:r>
        <w:rPr>
          <w:rStyle w:val="FootnoteReference"/>
        </w:rPr>
        <w:footnoteRef/>
      </w:r>
      <w:r>
        <w:t xml:space="preserve"> </w:t>
      </w:r>
      <w:r w:rsidRPr="00B3647A">
        <w:rPr>
          <w:sz w:val="22"/>
          <w:szCs w:val="22"/>
        </w:rPr>
        <w:t>For example, paragraph 60.5420a(a)(2)(ii) states that “If you are subject to state regulations that require advance notification of well completions and you have met those notification requirements, then you are considered to have met the advance notification requirements of paragraph (a)(2)(i) of this section.</w:t>
      </w:r>
      <w:r>
        <w:rPr>
          <w:sz w:val="22"/>
          <w:szCs w:val="22"/>
        </w:rPr>
        <w:t>”</w:t>
      </w:r>
    </w:p>
    <w:p w14:paraId="202EE330" w14:textId="2AED4A6D" w:rsidR="009E391F" w:rsidRDefault="009E391F">
      <w:pPr>
        <w:pStyle w:val="FootnoteText"/>
      </w:pPr>
    </w:p>
  </w:footnote>
  <w:footnote w:id="3">
    <w:p w14:paraId="3C6A0240" w14:textId="0D6909D2" w:rsidR="00FE63B2" w:rsidRDefault="0062103A" w:rsidP="00FE63B2">
      <w:r>
        <w:rPr>
          <w:rStyle w:val="FootnoteReference"/>
        </w:rPr>
        <w:footnoteRef/>
      </w:r>
      <w:r>
        <w:t xml:space="preserve"> </w:t>
      </w:r>
      <w:r w:rsidR="00091344">
        <w:t xml:space="preserve">The three-year projection does </w:t>
      </w:r>
      <w:r w:rsidR="00503C44">
        <w:t>not include n</w:t>
      </w:r>
      <w:r w:rsidR="00091344">
        <w:t xml:space="preserve">ew sources for </w:t>
      </w:r>
      <w:r w:rsidR="00FE63B2">
        <w:t xml:space="preserve">2022 and </w:t>
      </w:r>
      <w:r w:rsidR="00091344">
        <w:t xml:space="preserve">2023 since </w:t>
      </w:r>
      <w:r w:rsidR="00FE63B2">
        <w:t xml:space="preserve">40 CFR part 60, subpart </w:t>
      </w:r>
      <w:r w:rsidR="00091344">
        <w:t>OOOOb would be in effect</w:t>
      </w:r>
      <w:r w:rsidR="00FE63B2">
        <w:t xml:space="preserve"> </w:t>
      </w:r>
      <w:r w:rsidR="00C85420">
        <w:t>for</w:t>
      </w:r>
      <w:r w:rsidR="00FE63B2">
        <w:t xml:space="preserve"> new sources </w:t>
      </w:r>
      <w:r w:rsidR="008E2325">
        <w:t xml:space="preserve">for which construction, modification or reconstruction commenced after September </w:t>
      </w:r>
      <w:r w:rsidR="008E2325" w:rsidRPr="00C85420">
        <w:rPr>
          <w:highlight w:val="yellow"/>
        </w:rPr>
        <w:t>XX</w:t>
      </w:r>
      <w:r w:rsidR="008E2325">
        <w:t>, 2021</w:t>
      </w:r>
      <w:r w:rsidR="00C85420">
        <w:t>.</w:t>
      </w:r>
      <w:r w:rsidR="00091344">
        <w:t xml:space="preserve"> </w:t>
      </w:r>
      <w:r w:rsidR="00503C44">
        <w:t xml:space="preserve">Existing </w:t>
      </w:r>
      <w:r w:rsidR="00465052">
        <w:t>facilities would in years 2022 and 2023 continue to be respondents due to ongoing reporting requirements.</w:t>
      </w:r>
    </w:p>
    <w:p w14:paraId="0964DDBE" w14:textId="3245D500" w:rsidR="0062103A" w:rsidRDefault="0062103A" w:rsidP="00091344">
      <w:pPr>
        <w:pStyle w:val="FootnoteText"/>
      </w:pPr>
    </w:p>
  </w:footnote>
  <w:footnote w:id="4">
    <w:p w14:paraId="0DE22C1F" w14:textId="52DC5325" w:rsidR="00AB2BA4" w:rsidRDefault="00AB2BA4">
      <w:pPr>
        <w:pStyle w:val="FootnoteText"/>
      </w:pPr>
      <w:r>
        <w:rPr>
          <w:rStyle w:val="FootnoteReference"/>
        </w:rPr>
        <w:footnoteRef/>
      </w:r>
      <w:r>
        <w:t xml:space="preserve"> </w:t>
      </w:r>
      <w:r w:rsidRPr="00AB2BA4">
        <w:t>85 FR 57018</w:t>
      </w:r>
      <w:r>
        <w:t>.</w:t>
      </w:r>
    </w:p>
  </w:footnote>
  <w:footnote w:id="5">
    <w:p w14:paraId="514043BE" w14:textId="0AFE55CB" w:rsidR="00D322E3" w:rsidRDefault="00D322E3">
      <w:pPr>
        <w:pStyle w:val="FootnoteText"/>
      </w:pPr>
      <w:r>
        <w:rPr>
          <w:rStyle w:val="FootnoteReference"/>
        </w:rPr>
        <w:footnoteRef/>
      </w:r>
      <w:r>
        <w:t xml:space="preserve"> </w:t>
      </w:r>
      <w:r w:rsidRPr="00D322E3">
        <w:t>85 FR 57398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F07C4" w14:textId="28037ED0" w:rsidR="009E391F" w:rsidRDefault="009E391F" w:rsidP="00FC37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5CB2" w14:textId="50BBF1AE" w:rsidR="00450A14" w:rsidRDefault="00D54A7B" w:rsidP="00D614F6">
    <w:pPr>
      <w:jc w:val="center"/>
      <w:rPr>
        <w:b/>
        <w:i/>
      </w:rPr>
    </w:pPr>
    <w:r w:rsidRPr="00F076CE">
      <w:tab/>
    </w:r>
  </w:p>
  <w:p w14:paraId="39DC6E36" w14:textId="0345F2BB" w:rsidR="00F165D5" w:rsidRDefault="00F165D5" w:rsidP="00450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C473DF"/>
    <w:multiLevelType w:val="hybridMultilevel"/>
    <w:tmpl w:val="E9809B72"/>
    <w:lvl w:ilvl="0" w:tplc="EB20D092">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5D5C"/>
    <w:multiLevelType w:val="hybridMultilevel"/>
    <w:tmpl w:val="C45225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F80E56"/>
    <w:multiLevelType w:val="hybridMultilevel"/>
    <w:tmpl w:val="518CF696"/>
    <w:lvl w:ilvl="0" w:tplc="EB20D092">
      <w:start w:val="1"/>
      <w:numFmt w:val="bullet"/>
      <w:lvlText w:val=""/>
      <w:lvlJc w:val="left"/>
      <w:pPr>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287D5E"/>
    <w:multiLevelType w:val="hybridMultilevel"/>
    <w:tmpl w:val="5AC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223BB"/>
    <w:multiLevelType w:val="hybridMultilevel"/>
    <w:tmpl w:val="E24875C0"/>
    <w:lvl w:ilvl="0" w:tplc="E9089D26">
      <w:start w:val="1"/>
      <w:numFmt w:val="bullet"/>
      <w:lvlText w:val=""/>
      <w:lvlJc w:val="left"/>
      <w:pPr>
        <w:ind w:left="1512" w:hanging="12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D4E93"/>
    <w:multiLevelType w:val="hybridMultilevel"/>
    <w:tmpl w:val="3E48A720"/>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0" w15:restartNumberingAfterBreak="0">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C206CA"/>
    <w:multiLevelType w:val="hybridMultilevel"/>
    <w:tmpl w:val="3C90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8506C"/>
    <w:multiLevelType w:val="hybridMultilevel"/>
    <w:tmpl w:val="EDF8F650"/>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4219E"/>
    <w:multiLevelType w:val="hybridMultilevel"/>
    <w:tmpl w:val="A268D92C"/>
    <w:lvl w:ilvl="0" w:tplc="C17E999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BC6BE5"/>
    <w:multiLevelType w:val="multilevel"/>
    <w:tmpl w:val="F16E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13"/>
  </w:num>
  <w:num w:numId="8">
    <w:abstractNumId w:val="15"/>
  </w:num>
  <w:num w:numId="9">
    <w:abstractNumId w:val="3"/>
  </w:num>
  <w:num w:numId="10">
    <w:abstractNumId w:val="9"/>
  </w:num>
  <w:num w:numId="11">
    <w:abstractNumId w:val="7"/>
  </w:num>
  <w:num w:numId="12">
    <w:abstractNumId w:val="16"/>
  </w:num>
  <w:num w:numId="13">
    <w:abstractNumId w:val="12"/>
  </w:num>
  <w:num w:numId="14">
    <w:abstractNumId w:val="8"/>
  </w:num>
  <w:num w:numId="15">
    <w:abstractNumId w:val="14"/>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00"/>
    <w:rsid w:val="00000FBA"/>
    <w:rsid w:val="00001A80"/>
    <w:rsid w:val="00001AC4"/>
    <w:rsid w:val="00001CA7"/>
    <w:rsid w:val="000024C5"/>
    <w:rsid w:val="00002AB6"/>
    <w:rsid w:val="000034FD"/>
    <w:rsid w:val="0000382F"/>
    <w:rsid w:val="0000395B"/>
    <w:rsid w:val="00003975"/>
    <w:rsid w:val="000040F2"/>
    <w:rsid w:val="00004B20"/>
    <w:rsid w:val="00004CB9"/>
    <w:rsid w:val="00005784"/>
    <w:rsid w:val="000057B3"/>
    <w:rsid w:val="00006A0A"/>
    <w:rsid w:val="00006CC3"/>
    <w:rsid w:val="00006DE0"/>
    <w:rsid w:val="00006EDD"/>
    <w:rsid w:val="00006FE0"/>
    <w:rsid w:val="00007AD6"/>
    <w:rsid w:val="00007C44"/>
    <w:rsid w:val="00007EF8"/>
    <w:rsid w:val="00007F76"/>
    <w:rsid w:val="00010371"/>
    <w:rsid w:val="00011E22"/>
    <w:rsid w:val="00012BA2"/>
    <w:rsid w:val="00012CD8"/>
    <w:rsid w:val="00013263"/>
    <w:rsid w:val="00013966"/>
    <w:rsid w:val="00013E82"/>
    <w:rsid w:val="00014C23"/>
    <w:rsid w:val="00015821"/>
    <w:rsid w:val="00015AED"/>
    <w:rsid w:val="00016B33"/>
    <w:rsid w:val="0002054A"/>
    <w:rsid w:val="00020FF9"/>
    <w:rsid w:val="00021002"/>
    <w:rsid w:val="00021ACE"/>
    <w:rsid w:val="00021FC5"/>
    <w:rsid w:val="00023D9E"/>
    <w:rsid w:val="00023DEC"/>
    <w:rsid w:val="00023EE7"/>
    <w:rsid w:val="000263D3"/>
    <w:rsid w:val="00026B17"/>
    <w:rsid w:val="00027286"/>
    <w:rsid w:val="0002734E"/>
    <w:rsid w:val="00027480"/>
    <w:rsid w:val="00030416"/>
    <w:rsid w:val="000306F8"/>
    <w:rsid w:val="00031FE4"/>
    <w:rsid w:val="0003292F"/>
    <w:rsid w:val="00033F20"/>
    <w:rsid w:val="00034A54"/>
    <w:rsid w:val="00034F3C"/>
    <w:rsid w:val="00035DE7"/>
    <w:rsid w:val="00035FC2"/>
    <w:rsid w:val="00036137"/>
    <w:rsid w:val="0003757A"/>
    <w:rsid w:val="000377C4"/>
    <w:rsid w:val="00037D8F"/>
    <w:rsid w:val="00040F70"/>
    <w:rsid w:val="000414DE"/>
    <w:rsid w:val="00041BF8"/>
    <w:rsid w:val="00041EB2"/>
    <w:rsid w:val="00043114"/>
    <w:rsid w:val="000434CC"/>
    <w:rsid w:val="000440F8"/>
    <w:rsid w:val="00044445"/>
    <w:rsid w:val="00045A80"/>
    <w:rsid w:val="000473F5"/>
    <w:rsid w:val="00047BA5"/>
    <w:rsid w:val="00050961"/>
    <w:rsid w:val="00050A2E"/>
    <w:rsid w:val="00050F47"/>
    <w:rsid w:val="00051215"/>
    <w:rsid w:val="0005266C"/>
    <w:rsid w:val="00052D3A"/>
    <w:rsid w:val="00052D4F"/>
    <w:rsid w:val="00053A89"/>
    <w:rsid w:val="00053AF3"/>
    <w:rsid w:val="00053C3C"/>
    <w:rsid w:val="00053C9C"/>
    <w:rsid w:val="00054C85"/>
    <w:rsid w:val="00054E70"/>
    <w:rsid w:val="00055341"/>
    <w:rsid w:val="000557B3"/>
    <w:rsid w:val="00056287"/>
    <w:rsid w:val="00056629"/>
    <w:rsid w:val="0005666C"/>
    <w:rsid w:val="00060B3B"/>
    <w:rsid w:val="00061A2B"/>
    <w:rsid w:val="00061EAA"/>
    <w:rsid w:val="0006200D"/>
    <w:rsid w:val="000620EB"/>
    <w:rsid w:val="000636FB"/>
    <w:rsid w:val="00063CC1"/>
    <w:rsid w:val="000641FD"/>
    <w:rsid w:val="00064245"/>
    <w:rsid w:val="0006485B"/>
    <w:rsid w:val="00064BEF"/>
    <w:rsid w:val="00064CAB"/>
    <w:rsid w:val="00064D8B"/>
    <w:rsid w:val="00064DA9"/>
    <w:rsid w:val="0006580C"/>
    <w:rsid w:val="00065C8B"/>
    <w:rsid w:val="00066496"/>
    <w:rsid w:val="0006733F"/>
    <w:rsid w:val="00067EB9"/>
    <w:rsid w:val="00070DD5"/>
    <w:rsid w:val="00070EB5"/>
    <w:rsid w:val="000713A9"/>
    <w:rsid w:val="00071778"/>
    <w:rsid w:val="000717FC"/>
    <w:rsid w:val="0007199D"/>
    <w:rsid w:val="00072244"/>
    <w:rsid w:val="000724BA"/>
    <w:rsid w:val="00072551"/>
    <w:rsid w:val="0007297E"/>
    <w:rsid w:val="00072A0B"/>
    <w:rsid w:val="00072C20"/>
    <w:rsid w:val="00073241"/>
    <w:rsid w:val="000738E9"/>
    <w:rsid w:val="000742C5"/>
    <w:rsid w:val="000745E4"/>
    <w:rsid w:val="00075004"/>
    <w:rsid w:val="000754FA"/>
    <w:rsid w:val="000766C8"/>
    <w:rsid w:val="000768BA"/>
    <w:rsid w:val="00076948"/>
    <w:rsid w:val="00077133"/>
    <w:rsid w:val="00077C5F"/>
    <w:rsid w:val="00080B30"/>
    <w:rsid w:val="0008237D"/>
    <w:rsid w:val="0008449E"/>
    <w:rsid w:val="0008590A"/>
    <w:rsid w:val="00085D37"/>
    <w:rsid w:val="000865F3"/>
    <w:rsid w:val="00086C45"/>
    <w:rsid w:val="00087908"/>
    <w:rsid w:val="00091344"/>
    <w:rsid w:val="00091396"/>
    <w:rsid w:val="00091880"/>
    <w:rsid w:val="00091EA0"/>
    <w:rsid w:val="000920C0"/>
    <w:rsid w:val="000923FE"/>
    <w:rsid w:val="00092691"/>
    <w:rsid w:val="00092E5D"/>
    <w:rsid w:val="000938C7"/>
    <w:rsid w:val="00094609"/>
    <w:rsid w:val="000947E7"/>
    <w:rsid w:val="00096EB0"/>
    <w:rsid w:val="0009753D"/>
    <w:rsid w:val="000A04E6"/>
    <w:rsid w:val="000A096B"/>
    <w:rsid w:val="000A12D7"/>
    <w:rsid w:val="000A295C"/>
    <w:rsid w:val="000A2EBB"/>
    <w:rsid w:val="000A392B"/>
    <w:rsid w:val="000A3E3C"/>
    <w:rsid w:val="000A4216"/>
    <w:rsid w:val="000A5720"/>
    <w:rsid w:val="000A6143"/>
    <w:rsid w:val="000A7175"/>
    <w:rsid w:val="000A72D1"/>
    <w:rsid w:val="000B07DC"/>
    <w:rsid w:val="000B0B37"/>
    <w:rsid w:val="000B1ED5"/>
    <w:rsid w:val="000B247C"/>
    <w:rsid w:val="000B2803"/>
    <w:rsid w:val="000B2F37"/>
    <w:rsid w:val="000B3A70"/>
    <w:rsid w:val="000B41BB"/>
    <w:rsid w:val="000B4806"/>
    <w:rsid w:val="000B66AC"/>
    <w:rsid w:val="000B6E9F"/>
    <w:rsid w:val="000B7551"/>
    <w:rsid w:val="000B75BD"/>
    <w:rsid w:val="000B7DDA"/>
    <w:rsid w:val="000C0CB0"/>
    <w:rsid w:val="000C1002"/>
    <w:rsid w:val="000C15AA"/>
    <w:rsid w:val="000C1AE7"/>
    <w:rsid w:val="000C1F43"/>
    <w:rsid w:val="000C29AF"/>
    <w:rsid w:val="000C3B9C"/>
    <w:rsid w:val="000C4BF9"/>
    <w:rsid w:val="000C4C54"/>
    <w:rsid w:val="000C5540"/>
    <w:rsid w:val="000C60F1"/>
    <w:rsid w:val="000C6F57"/>
    <w:rsid w:val="000C7890"/>
    <w:rsid w:val="000C7EA5"/>
    <w:rsid w:val="000D0282"/>
    <w:rsid w:val="000D077C"/>
    <w:rsid w:val="000D0841"/>
    <w:rsid w:val="000D0EC7"/>
    <w:rsid w:val="000D12CC"/>
    <w:rsid w:val="000D1B99"/>
    <w:rsid w:val="000D24CE"/>
    <w:rsid w:val="000D30EF"/>
    <w:rsid w:val="000D312D"/>
    <w:rsid w:val="000D4209"/>
    <w:rsid w:val="000D51C6"/>
    <w:rsid w:val="000D54D0"/>
    <w:rsid w:val="000D581D"/>
    <w:rsid w:val="000D7153"/>
    <w:rsid w:val="000E0093"/>
    <w:rsid w:val="000E1131"/>
    <w:rsid w:val="000E1607"/>
    <w:rsid w:val="000E3D52"/>
    <w:rsid w:val="000E5208"/>
    <w:rsid w:val="000E522B"/>
    <w:rsid w:val="000E60E0"/>
    <w:rsid w:val="000E65CA"/>
    <w:rsid w:val="000E6EF0"/>
    <w:rsid w:val="000E77FC"/>
    <w:rsid w:val="000E786D"/>
    <w:rsid w:val="000E7AE8"/>
    <w:rsid w:val="000F088E"/>
    <w:rsid w:val="000F0EC2"/>
    <w:rsid w:val="000F1FFE"/>
    <w:rsid w:val="000F2772"/>
    <w:rsid w:val="000F279A"/>
    <w:rsid w:val="000F2895"/>
    <w:rsid w:val="000F2E6E"/>
    <w:rsid w:val="000F2FC5"/>
    <w:rsid w:val="000F4EBB"/>
    <w:rsid w:val="000F56DF"/>
    <w:rsid w:val="000F5B5C"/>
    <w:rsid w:val="000F5C51"/>
    <w:rsid w:val="000F62E0"/>
    <w:rsid w:val="000F64C5"/>
    <w:rsid w:val="000F7748"/>
    <w:rsid w:val="000F7993"/>
    <w:rsid w:val="00100121"/>
    <w:rsid w:val="00100341"/>
    <w:rsid w:val="00100376"/>
    <w:rsid w:val="0010072D"/>
    <w:rsid w:val="00100D06"/>
    <w:rsid w:val="00100EF2"/>
    <w:rsid w:val="00101720"/>
    <w:rsid w:val="00102571"/>
    <w:rsid w:val="00103605"/>
    <w:rsid w:val="00103644"/>
    <w:rsid w:val="00104612"/>
    <w:rsid w:val="001049BD"/>
    <w:rsid w:val="00104A8D"/>
    <w:rsid w:val="0010701D"/>
    <w:rsid w:val="00107BEC"/>
    <w:rsid w:val="00110132"/>
    <w:rsid w:val="00110D2A"/>
    <w:rsid w:val="001114CB"/>
    <w:rsid w:val="0011196D"/>
    <w:rsid w:val="00112457"/>
    <w:rsid w:val="00113107"/>
    <w:rsid w:val="00113320"/>
    <w:rsid w:val="001133AE"/>
    <w:rsid w:val="001134A9"/>
    <w:rsid w:val="00113BED"/>
    <w:rsid w:val="001147ED"/>
    <w:rsid w:val="001161E6"/>
    <w:rsid w:val="001172F7"/>
    <w:rsid w:val="00117687"/>
    <w:rsid w:val="00117747"/>
    <w:rsid w:val="00117C1C"/>
    <w:rsid w:val="00120CEE"/>
    <w:rsid w:val="00121840"/>
    <w:rsid w:val="0012184D"/>
    <w:rsid w:val="001219DE"/>
    <w:rsid w:val="00121B61"/>
    <w:rsid w:val="00122A9F"/>
    <w:rsid w:val="001236B6"/>
    <w:rsid w:val="00123B90"/>
    <w:rsid w:val="00123DB5"/>
    <w:rsid w:val="00125689"/>
    <w:rsid w:val="001262BA"/>
    <w:rsid w:val="00126356"/>
    <w:rsid w:val="00126CB0"/>
    <w:rsid w:val="00127F62"/>
    <w:rsid w:val="0013013F"/>
    <w:rsid w:val="00130373"/>
    <w:rsid w:val="001307DD"/>
    <w:rsid w:val="00131610"/>
    <w:rsid w:val="001317CC"/>
    <w:rsid w:val="001326A5"/>
    <w:rsid w:val="00132966"/>
    <w:rsid w:val="00133C0E"/>
    <w:rsid w:val="001340C9"/>
    <w:rsid w:val="00134358"/>
    <w:rsid w:val="00134BAC"/>
    <w:rsid w:val="00134C83"/>
    <w:rsid w:val="0013507D"/>
    <w:rsid w:val="00135316"/>
    <w:rsid w:val="00135989"/>
    <w:rsid w:val="00135E97"/>
    <w:rsid w:val="00136608"/>
    <w:rsid w:val="00136E72"/>
    <w:rsid w:val="0013715B"/>
    <w:rsid w:val="00137949"/>
    <w:rsid w:val="00137AC5"/>
    <w:rsid w:val="00140B16"/>
    <w:rsid w:val="001410EA"/>
    <w:rsid w:val="00142083"/>
    <w:rsid w:val="00142A86"/>
    <w:rsid w:val="00142DED"/>
    <w:rsid w:val="0014348C"/>
    <w:rsid w:val="0014403D"/>
    <w:rsid w:val="00144DAD"/>
    <w:rsid w:val="00144F50"/>
    <w:rsid w:val="00145905"/>
    <w:rsid w:val="00145C92"/>
    <w:rsid w:val="00145E30"/>
    <w:rsid w:val="00146442"/>
    <w:rsid w:val="00146558"/>
    <w:rsid w:val="001469D1"/>
    <w:rsid w:val="00146E97"/>
    <w:rsid w:val="00146F0E"/>
    <w:rsid w:val="0015078C"/>
    <w:rsid w:val="00151344"/>
    <w:rsid w:val="00151EB3"/>
    <w:rsid w:val="00152E49"/>
    <w:rsid w:val="00152F5F"/>
    <w:rsid w:val="0015358B"/>
    <w:rsid w:val="00153634"/>
    <w:rsid w:val="00153D7B"/>
    <w:rsid w:val="0015431A"/>
    <w:rsid w:val="001544B4"/>
    <w:rsid w:val="00154E9E"/>
    <w:rsid w:val="001551F0"/>
    <w:rsid w:val="00155563"/>
    <w:rsid w:val="00155EC6"/>
    <w:rsid w:val="001567E7"/>
    <w:rsid w:val="00161F58"/>
    <w:rsid w:val="00162A70"/>
    <w:rsid w:val="00162DA8"/>
    <w:rsid w:val="00163980"/>
    <w:rsid w:val="00164194"/>
    <w:rsid w:val="001642A4"/>
    <w:rsid w:val="001646D0"/>
    <w:rsid w:val="0016695A"/>
    <w:rsid w:val="0016723B"/>
    <w:rsid w:val="0017013B"/>
    <w:rsid w:val="001702B4"/>
    <w:rsid w:val="00170351"/>
    <w:rsid w:val="001717C2"/>
    <w:rsid w:val="00171F44"/>
    <w:rsid w:val="00172007"/>
    <w:rsid w:val="00172199"/>
    <w:rsid w:val="001722FF"/>
    <w:rsid w:val="0017233E"/>
    <w:rsid w:val="0017299E"/>
    <w:rsid w:val="00173796"/>
    <w:rsid w:val="0017481D"/>
    <w:rsid w:val="00174AB2"/>
    <w:rsid w:val="00174CAF"/>
    <w:rsid w:val="00175564"/>
    <w:rsid w:val="0017590E"/>
    <w:rsid w:val="00175B0C"/>
    <w:rsid w:val="00176584"/>
    <w:rsid w:val="00176615"/>
    <w:rsid w:val="001778DF"/>
    <w:rsid w:val="00180148"/>
    <w:rsid w:val="00181E4F"/>
    <w:rsid w:val="001826BD"/>
    <w:rsid w:val="001833EA"/>
    <w:rsid w:val="00183697"/>
    <w:rsid w:val="00183DC6"/>
    <w:rsid w:val="00184644"/>
    <w:rsid w:val="0018562D"/>
    <w:rsid w:val="0018670C"/>
    <w:rsid w:val="001868F5"/>
    <w:rsid w:val="00186BDE"/>
    <w:rsid w:val="00187A1B"/>
    <w:rsid w:val="001902E6"/>
    <w:rsid w:val="001905E9"/>
    <w:rsid w:val="001907F4"/>
    <w:rsid w:val="00191687"/>
    <w:rsid w:val="00191CDD"/>
    <w:rsid w:val="00191DBD"/>
    <w:rsid w:val="001922C2"/>
    <w:rsid w:val="001928DF"/>
    <w:rsid w:val="001943A1"/>
    <w:rsid w:val="00194A23"/>
    <w:rsid w:val="00196672"/>
    <w:rsid w:val="00196B8B"/>
    <w:rsid w:val="00197092"/>
    <w:rsid w:val="0019715E"/>
    <w:rsid w:val="0019779D"/>
    <w:rsid w:val="00197F45"/>
    <w:rsid w:val="001A1178"/>
    <w:rsid w:val="001A157C"/>
    <w:rsid w:val="001A1B4E"/>
    <w:rsid w:val="001A1B63"/>
    <w:rsid w:val="001A222B"/>
    <w:rsid w:val="001A2982"/>
    <w:rsid w:val="001A2EC2"/>
    <w:rsid w:val="001A37AD"/>
    <w:rsid w:val="001A5E29"/>
    <w:rsid w:val="001A7133"/>
    <w:rsid w:val="001A7684"/>
    <w:rsid w:val="001A7C27"/>
    <w:rsid w:val="001B062F"/>
    <w:rsid w:val="001B0F25"/>
    <w:rsid w:val="001B1709"/>
    <w:rsid w:val="001B19B5"/>
    <w:rsid w:val="001B2362"/>
    <w:rsid w:val="001B2579"/>
    <w:rsid w:val="001B260A"/>
    <w:rsid w:val="001B380B"/>
    <w:rsid w:val="001B3ACD"/>
    <w:rsid w:val="001B3E33"/>
    <w:rsid w:val="001B4257"/>
    <w:rsid w:val="001B4546"/>
    <w:rsid w:val="001B49C5"/>
    <w:rsid w:val="001B535C"/>
    <w:rsid w:val="001B56E8"/>
    <w:rsid w:val="001B5CD9"/>
    <w:rsid w:val="001B6516"/>
    <w:rsid w:val="001B6837"/>
    <w:rsid w:val="001B6CCA"/>
    <w:rsid w:val="001B6E9C"/>
    <w:rsid w:val="001B7A59"/>
    <w:rsid w:val="001C007B"/>
    <w:rsid w:val="001C0F58"/>
    <w:rsid w:val="001C1202"/>
    <w:rsid w:val="001C15C1"/>
    <w:rsid w:val="001C25E1"/>
    <w:rsid w:val="001C2973"/>
    <w:rsid w:val="001C2BA0"/>
    <w:rsid w:val="001C4A8B"/>
    <w:rsid w:val="001C5BC0"/>
    <w:rsid w:val="001C62B2"/>
    <w:rsid w:val="001C63B3"/>
    <w:rsid w:val="001D08CE"/>
    <w:rsid w:val="001D0CA6"/>
    <w:rsid w:val="001D1522"/>
    <w:rsid w:val="001D1695"/>
    <w:rsid w:val="001D19D5"/>
    <w:rsid w:val="001D1CEB"/>
    <w:rsid w:val="001D1F9A"/>
    <w:rsid w:val="001D2A40"/>
    <w:rsid w:val="001D3A07"/>
    <w:rsid w:val="001D4110"/>
    <w:rsid w:val="001D4352"/>
    <w:rsid w:val="001D4EAC"/>
    <w:rsid w:val="001D69E4"/>
    <w:rsid w:val="001D6AC5"/>
    <w:rsid w:val="001D6F64"/>
    <w:rsid w:val="001D7707"/>
    <w:rsid w:val="001D7ADE"/>
    <w:rsid w:val="001E05A3"/>
    <w:rsid w:val="001E075C"/>
    <w:rsid w:val="001E0902"/>
    <w:rsid w:val="001E0944"/>
    <w:rsid w:val="001E0E42"/>
    <w:rsid w:val="001E1183"/>
    <w:rsid w:val="001E1618"/>
    <w:rsid w:val="001E23DF"/>
    <w:rsid w:val="001E4CF7"/>
    <w:rsid w:val="001E60FA"/>
    <w:rsid w:val="001E6DE0"/>
    <w:rsid w:val="001E7395"/>
    <w:rsid w:val="001E7520"/>
    <w:rsid w:val="001E7799"/>
    <w:rsid w:val="001E79D4"/>
    <w:rsid w:val="001F0017"/>
    <w:rsid w:val="001F0916"/>
    <w:rsid w:val="001F09DA"/>
    <w:rsid w:val="001F18AF"/>
    <w:rsid w:val="001F1CC9"/>
    <w:rsid w:val="001F2B54"/>
    <w:rsid w:val="001F3434"/>
    <w:rsid w:val="001F351E"/>
    <w:rsid w:val="001F68AD"/>
    <w:rsid w:val="001F6E53"/>
    <w:rsid w:val="001F7764"/>
    <w:rsid w:val="001F7D1B"/>
    <w:rsid w:val="001F7E95"/>
    <w:rsid w:val="001F7FD4"/>
    <w:rsid w:val="0020115C"/>
    <w:rsid w:val="00201893"/>
    <w:rsid w:val="00201FA5"/>
    <w:rsid w:val="0020244E"/>
    <w:rsid w:val="00202CB7"/>
    <w:rsid w:val="00202CEA"/>
    <w:rsid w:val="002050EB"/>
    <w:rsid w:val="0020680B"/>
    <w:rsid w:val="00206CD9"/>
    <w:rsid w:val="00207D19"/>
    <w:rsid w:val="00210069"/>
    <w:rsid w:val="002109C3"/>
    <w:rsid w:val="002118AC"/>
    <w:rsid w:val="00213D3E"/>
    <w:rsid w:val="002142C8"/>
    <w:rsid w:val="00214985"/>
    <w:rsid w:val="0021648C"/>
    <w:rsid w:val="00216DE9"/>
    <w:rsid w:val="0021710C"/>
    <w:rsid w:val="002179D0"/>
    <w:rsid w:val="00217CAA"/>
    <w:rsid w:val="00220420"/>
    <w:rsid w:val="00222001"/>
    <w:rsid w:val="0022225C"/>
    <w:rsid w:val="0022237D"/>
    <w:rsid w:val="00222A22"/>
    <w:rsid w:val="00223130"/>
    <w:rsid w:val="00223598"/>
    <w:rsid w:val="00224B92"/>
    <w:rsid w:val="00224C87"/>
    <w:rsid w:val="00224FCA"/>
    <w:rsid w:val="00226399"/>
    <w:rsid w:val="0022705C"/>
    <w:rsid w:val="002273D1"/>
    <w:rsid w:val="0022740B"/>
    <w:rsid w:val="0023027E"/>
    <w:rsid w:val="002302C1"/>
    <w:rsid w:val="00232413"/>
    <w:rsid w:val="00233B78"/>
    <w:rsid w:val="00233D13"/>
    <w:rsid w:val="00233EB4"/>
    <w:rsid w:val="00234236"/>
    <w:rsid w:val="00235728"/>
    <w:rsid w:val="00235A3C"/>
    <w:rsid w:val="00235A9F"/>
    <w:rsid w:val="00235D0C"/>
    <w:rsid w:val="00236945"/>
    <w:rsid w:val="00236E71"/>
    <w:rsid w:val="002378AD"/>
    <w:rsid w:val="002379F4"/>
    <w:rsid w:val="0024059D"/>
    <w:rsid w:val="00240AD9"/>
    <w:rsid w:val="00241223"/>
    <w:rsid w:val="00241C48"/>
    <w:rsid w:val="002433A7"/>
    <w:rsid w:val="002442ED"/>
    <w:rsid w:val="002445F2"/>
    <w:rsid w:val="00244732"/>
    <w:rsid w:val="002451E7"/>
    <w:rsid w:val="00247306"/>
    <w:rsid w:val="00247726"/>
    <w:rsid w:val="00247BC2"/>
    <w:rsid w:val="002528C8"/>
    <w:rsid w:val="00254632"/>
    <w:rsid w:val="002553B0"/>
    <w:rsid w:val="00255571"/>
    <w:rsid w:val="00255A5E"/>
    <w:rsid w:val="00256B0F"/>
    <w:rsid w:val="002603B4"/>
    <w:rsid w:val="00260679"/>
    <w:rsid w:val="00260AD8"/>
    <w:rsid w:val="00260E98"/>
    <w:rsid w:val="002615A9"/>
    <w:rsid w:val="0026255D"/>
    <w:rsid w:val="0026286B"/>
    <w:rsid w:val="00263644"/>
    <w:rsid w:val="0026408E"/>
    <w:rsid w:val="002642D4"/>
    <w:rsid w:val="002647F7"/>
    <w:rsid w:val="002648AC"/>
    <w:rsid w:val="00267063"/>
    <w:rsid w:val="00267CBF"/>
    <w:rsid w:val="00270646"/>
    <w:rsid w:val="00271181"/>
    <w:rsid w:val="00271791"/>
    <w:rsid w:val="00271798"/>
    <w:rsid w:val="002726E7"/>
    <w:rsid w:val="002726ED"/>
    <w:rsid w:val="00272D16"/>
    <w:rsid w:val="00272FCA"/>
    <w:rsid w:val="00273479"/>
    <w:rsid w:val="00273B27"/>
    <w:rsid w:val="00273ED7"/>
    <w:rsid w:val="00275D51"/>
    <w:rsid w:val="0027614D"/>
    <w:rsid w:val="00277299"/>
    <w:rsid w:val="0027747A"/>
    <w:rsid w:val="00277705"/>
    <w:rsid w:val="0027777A"/>
    <w:rsid w:val="00280588"/>
    <w:rsid w:val="002814C0"/>
    <w:rsid w:val="002818D5"/>
    <w:rsid w:val="00281925"/>
    <w:rsid w:val="00281DC1"/>
    <w:rsid w:val="002823B3"/>
    <w:rsid w:val="00282462"/>
    <w:rsid w:val="00283659"/>
    <w:rsid w:val="00283FF8"/>
    <w:rsid w:val="00284E0D"/>
    <w:rsid w:val="00284F11"/>
    <w:rsid w:val="00285215"/>
    <w:rsid w:val="00285BCF"/>
    <w:rsid w:val="00285BEC"/>
    <w:rsid w:val="00290013"/>
    <w:rsid w:val="0029027E"/>
    <w:rsid w:val="002904F5"/>
    <w:rsid w:val="002912D3"/>
    <w:rsid w:val="0029169C"/>
    <w:rsid w:val="0029241E"/>
    <w:rsid w:val="00292E62"/>
    <w:rsid w:val="00293331"/>
    <w:rsid w:val="002933FD"/>
    <w:rsid w:val="00293F1D"/>
    <w:rsid w:val="002950C6"/>
    <w:rsid w:val="0029737E"/>
    <w:rsid w:val="00297B91"/>
    <w:rsid w:val="002A08C9"/>
    <w:rsid w:val="002A140F"/>
    <w:rsid w:val="002A23A6"/>
    <w:rsid w:val="002A25E2"/>
    <w:rsid w:val="002A3CAA"/>
    <w:rsid w:val="002A3D56"/>
    <w:rsid w:val="002A4862"/>
    <w:rsid w:val="002A5BAA"/>
    <w:rsid w:val="002A6658"/>
    <w:rsid w:val="002A7221"/>
    <w:rsid w:val="002A7FB0"/>
    <w:rsid w:val="002B20DD"/>
    <w:rsid w:val="002B3B34"/>
    <w:rsid w:val="002B3E2A"/>
    <w:rsid w:val="002B490C"/>
    <w:rsid w:val="002B6534"/>
    <w:rsid w:val="002B754E"/>
    <w:rsid w:val="002B7639"/>
    <w:rsid w:val="002C0AED"/>
    <w:rsid w:val="002C0FB9"/>
    <w:rsid w:val="002C12AD"/>
    <w:rsid w:val="002C1B2B"/>
    <w:rsid w:val="002C1B63"/>
    <w:rsid w:val="002C4AA7"/>
    <w:rsid w:val="002C5DA3"/>
    <w:rsid w:val="002C6295"/>
    <w:rsid w:val="002C63EF"/>
    <w:rsid w:val="002C6D07"/>
    <w:rsid w:val="002D038C"/>
    <w:rsid w:val="002D128D"/>
    <w:rsid w:val="002D1B1E"/>
    <w:rsid w:val="002D2C1E"/>
    <w:rsid w:val="002D3E1A"/>
    <w:rsid w:val="002D4252"/>
    <w:rsid w:val="002D4293"/>
    <w:rsid w:val="002D4B18"/>
    <w:rsid w:val="002D4CAA"/>
    <w:rsid w:val="002D56C9"/>
    <w:rsid w:val="002D592E"/>
    <w:rsid w:val="002D5A08"/>
    <w:rsid w:val="002E002E"/>
    <w:rsid w:val="002E01FC"/>
    <w:rsid w:val="002E06AF"/>
    <w:rsid w:val="002E07CF"/>
    <w:rsid w:val="002E1254"/>
    <w:rsid w:val="002E1358"/>
    <w:rsid w:val="002E1650"/>
    <w:rsid w:val="002E211A"/>
    <w:rsid w:val="002E48A0"/>
    <w:rsid w:val="002E5E81"/>
    <w:rsid w:val="002E6188"/>
    <w:rsid w:val="002E72AA"/>
    <w:rsid w:val="002E740A"/>
    <w:rsid w:val="002E7A08"/>
    <w:rsid w:val="002F02B0"/>
    <w:rsid w:val="002F0F46"/>
    <w:rsid w:val="002F1381"/>
    <w:rsid w:val="002F147F"/>
    <w:rsid w:val="002F1535"/>
    <w:rsid w:val="002F2173"/>
    <w:rsid w:val="002F32FF"/>
    <w:rsid w:val="002F36D9"/>
    <w:rsid w:val="002F3AD9"/>
    <w:rsid w:val="002F468C"/>
    <w:rsid w:val="002F4CB1"/>
    <w:rsid w:val="002F5537"/>
    <w:rsid w:val="002F58DA"/>
    <w:rsid w:val="002F6869"/>
    <w:rsid w:val="002F6DBA"/>
    <w:rsid w:val="00300184"/>
    <w:rsid w:val="0030079F"/>
    <w:rsid w:val="00300E65"/>
    <w:rsid w:val="00301928"/>
    <w:rsid w:val="00301ABE"/>
    <w:rsid w:val="0030209D"/>
    <w:rsid w:val="0030274E"/>
    <w:rsid w:val="00302B64"/>
    <w:rsid w:val="0030309D"/>
    <w:rsid w:val="00303303"/>
    <w:rsid w:val="003035EA"/>
    <w:rsid w:val="00306218"/>
    <w:rsid w:val="0030634C"/>
    <w:rsid w:val="00306685"/>
    <w:rsid w:val="00306B51"/>
    <w:rsid w:val="003071D2"/>
    <w:rsid w:val="00307C88"/>
    <w:rsid w:val="00307EDF"/>
    <w:rsid w:val="0031012F"/>
    <w:rsid w:val="0031121C"/>
    <w:rsid w:val="003120D9"/>
    <w:rsid w:val="0031307B"/>
    <w:rsid w:val="003132C6"/>
    <w:rsid w:val="003135DE"/>
    <w:rsid w:val="00313F4F"/>
    <w:rsid w:val="00315B69"/>
    <w:rsid w:val="00316B04"/>
    <w:rsid w:val="003174D0"/>
    <w:rsid w:val="00317F14"/>
    <w:rsid w:val="00317F7F"/>
    <w:rsid w:val="00320148"/>
    <w:rsid w:val="00320A50"/>
    <w:rsid w:val="0032191B"/>
    <w:rsid w:val="00325247"/>
    <w:rsid w:val="003255A3"/>
    <w:rsid w:val="003256B4"/>
    <w:rsid w:val="00326F4F"/>
    <w:rsid w:val="00327430"/>
    <w:rsid w:val="00327684"/>
    <w:rsid w:val="00327E6B"/>
    <w:rsid w:val="003300FC"/>
    <w:rsid w:val="003305D5"/>
    <w:rsid w:val="0033069E"/>
    <w:rsid w:val="00330C61"/>
    <w:rsid w:val="00330D99"/>
    <w:rsid w:val="00331805"/>
    <w:rsid w:val="0033352D"/>
    <w:rsid w:val="0033361B"/>
    <w:rsid w:val="00333DB6"/>
    <w:rsid w:val="00334A68"/>
    <w:rsid w:val="003351EE"/>
    <w:rsid w:val="00335537"/>
    <w:rsid w:val="00336216"/>
    <w:rsid w:val="00336A45"/>
    <w:rsid w:val="0033702E"/>
    <w:rsid w:val="003371D7"/>
    <w:rsid w:val="00337997"/>
    <w:rsid w:val="003400A6"/>
    <w:rsid w:val="00340718"/>
    <w:rsid w:val="00340928"/>
    <w:rsid w:val="00341049"/>
    <w:rsid w:val="0034108E"/>
    <w:rsid w:val="003411B7"/>
    <w:rsid w:val="00341547"/>
    <w:rsid w:val="0034199A"/>
    <w:rsid w:val="0034370D"/>
    <w:rsid w:val="00343B4F"/>
    <w:rsid w:val="003451E0"/>
    <w:rsid w:val="00345589"/>
    <w:rsid w:val="0034591E"/>
    <w:rsid w:val="00345BA2"/>
    <w:rsid w:val="0034664A"/>
    <w:rsid w:val="00346EE7"/>
    <w:rsid w:val="00347017"/>
    <w:rsid w:val="003502AC"/>
    <w:rsid w:val="00350FA0"/>
    <w:rsid w:val="00351FB6"/>
    <w:rsid w:val="00352368"/>
    <w:rsid w:val="003530FF"/>
    <w:rsid w:val="0035349A"/>
    <w:rsid w:val="003540EA"/>
    <w:rsid w:val="003541C8"/>
    <w:rsid w:val="00354EFE"/>
    <w:rsid w:val="00355013"/>
    <w:rsid w:val="00355942"/>
    <w:rsid w:val="00355F6D"/>
    <w:rsid w:val="0035655C"/>
    <w:rsid w:val="00356737"/>
    <w:rsid w:val="00356DA7"/>
    <w:rsid w:val="003603ED"/>
    <w:rsid w:val="00361BAB"/>
    <w:rsid w:val="00361C7B"/>
    <w:rsid w:val="00361CB0"/>
    <w:rsid w:val="0036224E"/>
    <w:rsid w:val="00362919"/>
    <w:rsid w:val="00363032"/>
    <w:rsid w:val="003649C2"/>
    <w:rsid w:val="00364E54"/>
    <w:rsid w:val="00365BB2"/>
    <w:rsid w:val="00365C7E"/>
    <w:rsid w:val="00366FC6"/>
    <w:rsid w:val="003677FF"/>
    <w:rsid w:val="00367D38"/>
    <w:rsid w:val="003705AF"/>
    <w:rsid w:val="003710AF"/>
    <w:rsid w:val="003719D2"/>
    <w:rsid w:val="00371BE1"/>
    <w:rsid w:val="00371D11"/>
    <w:rsid w:val="00372B30"/>
    <w:rsid w:val="003735AC"/>
    <w:rsid w:val="003747E1"/>
    <w:rsid w:val="00376275"/>
    <w:rsid w:val="003762F0"/>
    <w:rsid w:val="00376CD0"/>
    <w:rsid w:val="00380526"/>
    <w:rsid w:val="0038085A"/>
    <w:rsid w:val="003809F7"/>
    <w:rsid w:val="00380A52"/>
    <w:rsid w:val="00381302"/>
    <w:rsid w:val="003816B0"/>
    <w:rsid w:val="00383261"/>
    <w:rsid w:val="00383857"/>
    <w:rsid w:val="00383EAF"/>
    <w:rsid w:val="003841CE"/>
    <w:rsid w:val="00384EE3"/>
    <w:rsid w:val="003863C3"/>
    <w:rsid w:val="00386BA6"/>
    <w:rsid w:val="0038742B"/>
    <w:rsid w:val="00387DC3"/>
    <w:rsid w:val="00390705"/>
    <w:rsid w:val="00390C3E"/>
    <w:rsid w:val="003912C9"/>
    <w:rsid w:val="00391501"/>
    <w:rsid w:val="003915E3"/>
    <w:rsid w:val="00393D6E"/>
    <w:rsid w:val="00393F1A"/>
    <w:rsid w:val="00395FD8"/>
    <w:rsid w:val="003978F4"/>
    <w:rsid w:val="003A08D3"/>
    <w:rsid w:val="003A0BAE"/>
    <w:rsid w:val="003A1015"/>
    <w:rsid w:val="003A1462"/>
    <w:rsid w:val="003A14DC"/>
    <w:rsid w:val="003A18BF"/>
    <w:rsid w:val="003A41E9"/>
    <w:rsid w:val="003A4600"/>
    <w:rsid w:val="003A52B7"/>
    <w:rsid w:val="003A6E3D"/>
    <w:rsid w:val="003A74A0"/>
    <w:rsid w:val="003A79F6"/>
    <w:rsid w:val="003B0EA9"/>
    <w:rsid w:val="003B1097"/>
    <w:rsid w:val="003B1392"/>
    <w:rsid w:val="003B191B"/>
    <w:rsid w:val="003B1F8D"/>
    <w:rsid w:val="003B2180"/>
    <w:rsid w:val="003B23EE"/>
    <w:rsid w:val="003B2915"/>
    <w:rsid w:val="003B2EFA"/>
    <w:rsid w:val="003B3004"/>
    <w:rsid w:val="003B33E4"/>
    <w:rsid w:val="003B3BE4"/>
    <w:rsid w:val="003B3D3C"/>
    <w:rsid w:val="003B4170"/>
    <w:rsid w:val="003B4227"/>
    <w:rsid w:val="003B4C40"/>
    <w:rsid w:val="003B5276"/>
    <w:rsid w:val="003B62F8"/>
    <w:rsid w:val="003C0772"/>
    <w:rsid w:val="003C0D36"/>
    <w:rsid w:val="003C10C2"/>
    <w:rsid w:val="003C152B"/>
    <w:rsid w:val="003C2FB7"/>
    <w:rsid w:val="003C3269"/>
    <w:rsid w:val="003C42FB"/>
    <w:rsid w:val="003C4900"/>
    <w:rsid w:val="003C5222"/>
    <w:rsid w:val="003C5874"/>
    <w:rsid w:val="003C6FEE"/>
    <w:rsid w:val="003D0617"/>
    <w:rsid w:val="003D0B53"/>
    <w:rsid w:val="003D2212"/>
    <w:rsid w:val="003D24F2"/>
    <w:rsid w:val="003D3685"/>
    <w:rsid w:val="003D39B0"/>
    <w:rsid w:val="003D4106"/>
    <w:rsid w:val="003D4AC8"/>
    <w:rsid w:val="003D535A"/>
    <w:rsid w:val="003D57CF"/>
    <w:rsid w:val="003D5966"/>
    <w:rsid w:val="003D6022"/>
    <w:rsid w:val="003D6C54"/>
    <w:rsid w:val="003E1405"/>
    <w:rsid w:val="003E1F50"/>
    <w:rsid w:val="003E305D"/>
    <w:rsid w:val="003E3964"/>
    <w:rsid w:val="003E413C"/>
    <w:rsid w:val="003E760D"/>
    <w:rsid w:val="003E7AD3"/>
    <w:rsid w:val="003E7D70"/>
    <w:rsid w:val="003E7DC9"/>
    <w:rsid w:val="003F1173"/>
    <w:rsid w:val="003F2277"/>
    <w:rsid w:val="003F24AA"/>
    <w:rsid w:val="003F2E98"/>
    <w:rsid w:val="003F3833"/>
    <w:rsid w:val="003F42C2"/>
    <w:rsid w:val="003F523A"/>
    <w:rsid w:val="003F5385"/>
    <w:rsid w:val="003F59C2"/>
    <w:rsid w:val="003F618B"/>
    <w:rsid w:val="003F62F2"/>
    <w:rsid w:val="003F79AD"/>
    <w:rsid w:val="0040045A"/>
    <w:rsid w:val="00400968"/>
    <w:rsid w:val="00400F74"/>
    <w:rsid w:val="00403973"/>
    <w:rsid w:val="0040478C"/>
    <w:rsid w:val="0040494F"/>
    <w:rsid w:val="0040553C"/>
    <w:rsid w:val="004061A8"/>
    <w:rsid w:val="00407194"/>
    <w:rsid w:val="004071F1"/>
    <w:rsid w:val="00407345"/>
    <w:rsid w:val="00407448"/>
    <w:rsid w:val="00407976"/>
    <w:rsid w:val="0041038D"/>
    <w:rsid w:val="004107C1"/>
    <w:rsid w:val="00411A5A"/>
    <w:rsid w:val="00411CAB"/>
    <w:rsid w:val="00411F71"/>
    <w:rsid w:val="004120C5"/>
    <w:rsid w:val="00412393"/>
    <w:rsid w:val="0041368F"/>
    <w:rsid w:val="00413A2A"/>
    <w:rsid w:val="00413B18"/>
    <w:rsid w:val="004151C7"/>
    <w:rsid w:val="004162DC"/>
    <w:rsid w:val="004167B4"/>
    <w:rsid w:val="00416F8C"/>
    <w:rsid w:val="00417EF1"/>
    <w:rsid w:val="004206E1"/>
    <w:rsid w:val="004209C0"/>
    <w:rsid w:val="0042177C"/>
    <w:rsid w:val="00421F46"/>
    <w:rsid w:val="00422F8F"/>
    <w:rsid w:val="00423129"/>
    <w:rsid w:val="004231A5"/>
    <w:rsid w:val="00423D31"/>
    <w:rsid w:val="00423EE4"/>
    <w:rsid w:val="00424601"/>
    <w:rsid w:val="004263EF"/>
    <w:rsid w:val="00427185"/>
    <w:rsid w:val="00427471"/>
    <w:rsid w:val="00430C54"/>
    <w:rsid w:val="00431B8B"/>
    <w:rsid w:val="00432747"/>
    <w:rsid w:val="004340D1"/>
    <w:rsid w:val="004340E0"/>
    <w:rsid w:val="0043428D"/>
    <w:rsid w:val="00434AB3"/>
    <w:rsid w:val="00435383"/>
    <w:rsid w:val="0043583F"/>
    <w:rsid w:val="00435EBF"/>
    <w:rsid w:val="004370EC"/>
    <w:rsid w:val="00437198"/>
    <w:rsid w:val="00437660"/>
    <w:rsid w:val="004378A2"/>
    <w:rsid w:val="00437AD6"/>
    <w:rsid w:val="00440DE5"/>
    <w:rsid w:val="004414A9"/>
    <w:rsid w:val="0044185E"/>
    <w:rsid w:val="00443969"/>
    <w:rsid w:val="00443EF9"/>
    <w:rsid w:val="0044409E"/>
    <w:rsid w:val="0044416F"/>
    <w:rsid w:val="004452B5"/>
    <w:rsid w:val="00445593"/>
    <w:rsid w:val="00445F67"/>
    <w:rsid w:val="004502FC"/>
    <w:rsid w:val="00450471"/>
    <w:rsid w:val="00450A14"/>
    <w:rsid w:val="00450F4E"/>
    <w:rsid w:val="00451123"/>
    <w:rsid w:val="00451530"/>
    <w:rsid w:val="00452185"/>
    <w:rsid w:val="00453A1C"/>
    <w:rsid w:val="00453E4A"/>
    <w:rsid w:val="0045449E"/>
    <w:rsid w:val="0045499A"/>
    <w:rsid w:val="00454F13"/>
    <w:rsid w:val="00455057"/>
    <w:rsid w:val="0045553D"/>
    <w:rsid w:val="00456FA3"/>
    <w:rsid w:val="00457C9E"/>
    <w:rsid w:val="00457DED"/>
    <w:rsid w:val="00460776"/>
    <w:rsid w:val="00460997"/>
    <w:rsid w:val="00461212"/>
    <w:rsid w:val="004626CC"/>
    <w:rsid w:val="00465052"/>
    <w:rsid w:val="00465957"/>
    <w:rsid w:val="004669C0"/>
    <w:rsid w:val="00466BEE"/>
    <w:rsid w:val="004675BC"/>
    <w:rsid w:val="00467771"/>
    <w:rsid w:val="00470837"/>
    <w:rsid w:val="00470F99"/>
    <w:rsid w:val="004714A4"/>
    <w:rsid w:val="004722FD"/>
    <w:rsid w:val="00472F03"/>
    <w:rsid w:val="00473634"/>
    <w:rsid w:val="00473906"/>
    <w:rsid w:val="0047471D"/>
    <w:rsid w:val="00474D29"/>
    <w:rsid w:val="004763EC"/>
    <w:rsid w:val="00476479"/>
    <w:rsid w:val="004764E4"/>
    <w:rsid w:val="004773D2"/>
    <w:rsid w:val="00477DE6"/>
    <w:rsid w:val="00480BA7"/>
    <w:rsid w:val="00481723"/>
    <w:rsid w:val="00482031"/>
    <w:rsid w:val="004822CC"/>
    <w:rsid w:val="004824BF"/>
    <w:rsid w:val="00482C58"/>
    <w:rsid w:val="00482F39"/>
    <w:rsid w:val="00483C3F"/>
    <w:rsid w:val="004841CB"/>
    <w:rsid w:val="00484859"/>
    <w:rsid w:val="00484CFD"/>
    <w:rsid w:val="004850C0"/>
    <w:rsid w:val="00485436"/>
    <w:rsid w:val="00486895"/>
    <w:rsid w:val="00487473"/>
    <w:rsid w:val="004902FF"/>
    <w:rsid w:val="0049142D"/>
    <w:rsid w:val="00492526"/>
    <w:rsid w:val="00492D43"/>
    <w:rsid w:val="00492F0C"/>
    <w:rsid w:val="004932DB"/>
    <w:rsid w:val="00493A00"/>
    <w:rsid w:val="00493D59"/>
    <w:rsid w:val="00495A74"/>
    <w:rsid w:val="00497678"/>
    <w:rsid w:val="004A02BD"/>
    <w:rsid w:val="004A0ADE"/>
    <w:rsid w:val="004A0FC6"/>
    <w:rsid w:val="004A1B23"/>
    <w:rsid w:val="004A1F14"/>
    <w:rsid w:val="004A29ED"/>
    <w:rsid w:val="004A32F4"/>
    <w:rsid w:val="004A3463"/>
    <w:rsid w:val="004A34BC"/>
    <w:rsid w:val="004A39AD"/>
    <w:rsid w:val="004A462B"/>
    <w:rsid w:val="004A46FC"/>
    <w:rsid w:val="004A4971"/>
    <w:rsid w:val="004A4BE8"/>
    <w:rsid w:val="004A6632"/>
    <w:rsid w:val="004B0E8C"/>
    <w:rsid w:val="004B12CD"/>
    <w:rsid w:val="004B25F7"/>
    <w:rsid w:val="004B28FC"/>
    <w:rsid w:val="004B293D"/>
    <w:rsid w:val="004B2A42"/>
    <w:rsid w:val="004B3554"/>
    <w:rsid w:val="004B3CCC"/>
    <w:rsid w:val="004B3D7F"/>
    <w:rsid w:val="004B437A"/>
    <w:rsid w:val="004B459B"/>
    <w:rsid w:val="004B5814"/>
    <w:rsid w:val="004B5E72"/>
    <w:rsid w:val="004B70EE"/>
    <w:rsid w:val="004B73BC"/>
    <w:rsid w:val="004B7536"/>
    <w:rsid w:val="004B7E9B"/>
    <w:rsid w:val="004C189B"/>
    <w:rsid w:val="004C18EE"/>
    <w:rsid w:val="004C1937"/>
    <w:rsid w:val="004C1E09"/>
    <w:rsid w:val="004C1EE7"/>
    <w:rsid w:val="004C2778"/>
    <w:rsid w:val="004C2BBB"/>
    <w:rsid w:val="004C2D4F"/>
    <w:rsid w:val="004C3B7A"/>
    <w:rsid w:val="004C3C6E"/>
    <w:rsid w:val="004C4B7D"/>
    <w:rsid w:val="004C6742"/>
    <w:rsid w:val="004D0811"/>
    <w:rsid w:val="004D1727"/>
    <w:rsid w:val="004D1B07"/>
    <w:rsid w:val="004D2E9B"/>
    <w:rsid w:val="004D3BBA"/>
    <w:rsid w:val="004D4F52"/>
    <w:rsid w:val="004D57DC"/>
    <w:rsid w:val="004D5F49"/>
    <w:rsid w:val="004D6140"/>
    <w:rsid w:val="004D6572"/>
    <w:rsid w:val="004D6707"/>
    <w:rsid w:val="004D6C42"/>
    <w:rsid w:val="004D7E6C"/>
    <w:rsid w:val="004E0457"/>
    <w:rsid w:val="004E0BF2"/>
    <w:rsid w:val="004E162A"/>
    <w:rsid w:val="004E1718"/>
    <w:rsid w:val="004E38A3"/>
    <w:rsid w:val="004E3B65"/>
    <w:rsid w:val="004E469A"/>
    <w:rsid w:val="004E4B63"/>
    <w:rsid w:val="004E5425"/>
    <w:rsid w:val="004E5819"/>
    <w:rsid w:val="004E59DF"/>
    <w:rsid w:val="004E66DE"/>
    <w:rsid w:val="004F0275"/>
    <w:rsid w:val="004F0D32"/>
    <w:rsid w:val="004F1897"/>
    <w:rsid w:val="004F1E12"/>
    <w:rsid w:val="004F235B"/>
    <w:rsid w:val="004F25B7"/>
    <w:rsid w:val="004F3BEB"/>
    <w:rsid w:val="004F4450"/>
    <w:rsid w:val="004F49EF"/>
    <w:rsid w:val="004F54F4"/>
    <w:rsid w:val="004F627F"/>
    <w:rsid w:val="004F7032"/>
    <w:rsid w:val="004F7412"/>
    <w:rsid w:val="00500690"/>
    <w:rsid w:val="00500832"/>
    <w:rsid w:val="00502D10"/>
    <w:rsid w:val="00502F01"/>
    <w:rsid w:val="00503C44"/>
    <w:rsid w:val="00503C8A"/>
    <w:rsid w:val="00503FE1"/>
    <w:rsid w:val="00504845"/>
    <w:rsid w:val="00505151"/>
    <w:rsid w:val="00506608"/>
    <w:rsid w:val="00507CE2"/>
    <w:rsid w:val="00507D70"/>
    <w:rsid w:val="00507F4B"/>
    <w:rsid w:val="00512E0E"/>
    <w:rsid w:val="00512F47"/>
    <w:rsid w:val="00514B4C"/>
    <w:rsid w:val="00514F41"/>
    <w:rsid w:val="00515FFE"/>
    <w:rsid w:val="0051606C"/>
    <w:rsid w:val="00516553"/>
    <w:rsid w:val="00516597"/>
    <w:rsid w:val="00516849"/>
    <w:rsid w:val="005172DE"/>
    <w:rsid w:val="00517404"/>
    <w:rsid w:val="005202DC"/>
    <w:rsid w:val="005206BA"/>
    <w:rsid w:val="00520812"/>
    <w:rsid w:val="00520B47"/>
    <w:rsid w:val="00522875"/>
    <w:rsid w:val="00522A9E"/>
    <w:rsid w:val="00523BD8"/>
    <w:rsid w:val="00523CFA"/>
    <w:rsid w:val="00524958"/>
    <w:rsid w:val="00524F09"/>
    <w:rsid w:val="005306D5"/>
    <w:rsid w:val="00530A1E"/>
    <w:rsid w:val="00530DAF"/>
    <w:rsid w:val="00530E4D"/>
    <w:rsid w:val="005318BF"/>
    <w:rsid w:val="00531BE6"/>
    <w:rsid w:val="0053228A"/>
    <w:rsid w:val="005322BE"/>
    <w:rsid w:val="00532416"/>
    <w:rsid w:val="005325C7"/>
    <w:rsid w:val="005326F7"/>
    <w:rsid w:val="00533D43"/>
    <w:rsid w:val="00534555"/>
    <w:rsid w:val="005348E7"/>
    <w:rsid w:val="00535610"/>
    <w:rsid w:val="00535B8B"/>
    <w:rsid w:val="00535DAE"/>
    <w:rsid w:val="00537262"/>
    <w:rsid w:val="00537645"/>
    <w:rsid w:val="00537791"/>
    <w:rsid w:val="00537F4D"/>
    <w:rsid w:val="00540AD1"/>
    <w:rsid w:val="0054150F"/>
    <w:rsid w:val="00541FB5"/>
    <w:rsid w:val="0054334A"/>
    <w:rsid w:val="005433F2"/>
    <w:rsid w:val="00544017"/>
    <w:rsid w:val="0054502B"/>
    <w:rsid w:val="00545201"/>
    <w:rsid w:val="0054637E"/>
    <w:rsid w:val="005464E9"/>
    <w:rsid w:val="00546AF1"/>
    <w:rsid w:val="005477AA"/>
    <w:rsid w:val="0055014A"/>
    <w:rsid w:val="005503E8"/>
    <w:rsid w:val="0055093E"/>
    <w:rsid w:val="005511C7"/>
    <w:rsid w:val="00551559"/>
    <w:rsid w:val="0055156D"/>
    <w:rsid w:val="00551C75"/>
    <w:rsid w:val="00552833"/>
    <w:rsid w:val="00552CF0"/>
    <w:rsid w:val="00553866"/>
    <w:rsid w:val="00554333"/>
    <w:rsid w:val="00554ACC"/>
    <w:rsid w:val="00554BE3"/>
    <w:rsid w:val="005550A5"/>
    <w:rsid w:val="00555FB1"/>
    <w:rsid w:val="00556743"/>
    <w:rsid w:val="005578B7"/>
    <w:rsid w:val="00557966"/>
    <w:rsid w:val="00560161"/>
    <w:rsid w:val="00560B98"/>
    <w:rsid w:val="00561241"/>
    <w:rsid w:val="00561543"/>
    <w:rsid w:val="00562646"/>
    <w:rsid w:val="00562E0E"/>
    <w:rsid w:val="00562EE9"/>
    <w:rsid w:val="0056322C"/>
    <w:rsid w:val="00563C56"/>
    <w:rsid w:val="00563E25"/>
    <w:rsid w:val="00563E5F"/>
    <w:rsid w:val="005645CE"/>
    <w:rsid w:val="00564BA6"/>
    <w:rsid w:val="00565B84"/>
    <w:rsid w:val="00566BC9"/>
    <w:rsid w:val="00567FC2"/>
    <w:rsid w:val="00570406"/>
    <w:rsid w:val="00571804"/>
    <w:rsid w:val="00571C8A"/>
    <w:rsid w:val="00572EDA"/>
    <w:rsid w:val="00572F56"/>
    <w:rsid w:val="005738C7"/>
    <w:rsid w:val="00573AE0"/>
    <w:rsid w:val="00574115"/>
    <w:rsid w:val="00574D9E"/>
    <w:rsid w:val="00575418"/>
    <w:rsid w:val="00575743"/>
    <w:rsid w:val="0057588D"/>
    <w:rsid w:val="00575F52"/>
    <w:rsid w:val="00577639"/>
    <w:rsid w:val="005802BD"/>
    <w:rsid w:val="00580B18"/>
    <w:rsid w:val="00580D00"/>
    <w:rsid w:val="00580EA8"/>
    <w:rsid w:val="00580F46"/>
    <w:rsid w:val="00581858"/>
    <w:rsid w:val="00582BE0"/>
    <w:rsid w:val="005838A2"/>
    <w:rsid w:val="00584826"/>
    <w:rsid w:val="00585197"/>
    <w:rsid w:val="005858AD"/>
    <w:rsid w:val="00585993"/>
    <w:rsid w:val="005870D2"/>
    <w:rsid w:val="00590082"/>
    <w:rsid w:val="005912C7"/>
    <w:rsid w:val="00591875"/>
    <w:rsid w:val="00591B72"/>
    <w:rsid w:val="00591F48"/>
    <w:rsid w:val="00593AD9"/>
    <w:rsid w:val="005944EB"/>
    <w:rsid w:val="0059660B"/>
    <w:rsid w:val="00596E70"/>
    <w:rsid w:val="00597A93"/>
    <w:rsid w:val="005A015C"/>
    <w:rsid w:val="005A0498"/>
    <w:rsid w:val="005A092B"/>
    <w:rsid w:val="005A0F57"/>
    <w:rsid w:val="005A12E3"/>
    <w:rsid w:val="005A186E"/>
    <w:rsid w:val="005A18D9"/>
    <w:rsid w:val="005A1958"/>
    <w:rsid w:val="005A2021"/>
    <w:rsid w:val="005A2534"/>
    <w:rsid w:val="005A2902"/>
    <w:rsid w:val="005A4552"/>
    <w:rsid w:val="005A5A00"/>
    <w:rsid w:val="005A5A3E"/>
    <w:rsid w:val="005A5AF1"/>
    <w:rsid w:val="005A5D40"/>
    <w:rsid w:val="005A7367"/>
    <w:rsid w:val="005B0FD0"/>
    <w:rsid w:val="005B2089"/>
    <w:rsid w:val="005B2205"/>
    <w:rsid w:val="005B2CA7"/>
    <w:rsid w:val="005B3543"/>
    <w:rsid w:val="005B36DA"/>
    <w:rsid w:val="005B37B5"/>
    <w:rsid w:val="005B3FDB"/>
    <w:rsid w:val="005B445F"/>
    <w:rsid w:val="005B4D05"/>
    <w:rsid w:val="005B53DA"/>
    <w:rsid w:val="005B5A7E"/>
    <w:rsid w:val="005B5FA0"/>
    <w:rsid w:val="005B65CC"/>
    <w:rsid w:val="005B71F7"/>
    <w:rsid w:val="005B7810"/>
    <w:rsid w:val="005B7BE3"/>
    <w:rsid w:val="005C0D6C"/>
    <w:rsid w:val="005C1E6C"/>
    <w:rsid w:val="005C49AD"/>
    <w:rsid w:val="005C4CE6"/>
    <w:rsid w:val="005C4D37"/>
    <w:rsid w:val="005C4D71"/>
    <w:rsid w:val="005C549F"/>
    <w:rsid w:val="005C5597"/>
    <w:rsid w:val="005C612A"/>
    <w:rsid w:val="005C7003"/>
    <w:rsid w:val="005C73CE"/>
    <w:rsid w:val="005C743E"/>
    <w:rsid w:val="005C7977"/>
    <w:rsid w:val="005D0CDA"/>
    <w:rsid w:val="005D0FE3"/>
    <w:rsid w:val="005D1140"/>
    <w:rsid w:val="005D11D5"/>
    <w:rsid w:val="005D211A"/>
    <w:rsid w:val="005D282E"/>
    <w:rsid w:val="005D4AA8"/>
    <w:rsid w:val="005D4D4D"/>
    <w:rsid w:val="005D5206"/>
    <w:rsid w:val="005D5249"/>
    <w:rsid w:val="005D625C"/>
    <w:rsid w:val="005D715C"/>
    <w:rsid w:val="005D7431"/>
    <w:rsid w:val="005D7605"/>
    <w:rsid w:val="005E0D21"/>
    <w:rsid w:val="005E104C"/>
    <w:rsid w:val="005E2D37"/>
    <w:rsid w:val="005E301C"/>
    <w:rsid w:val="005E370B"/>
    <w:rsid w:val="005E387F"/>
    <w:rsid w:val="005E4416"/>
    <w:rsid w:val="005E518C"/>
    <w:rsid w:val="005E77C8"/>
    <w:rsid w:val="005F05FD"/>
    <w:rsid w:val="005F0F07"/>
    <w:rsid w:val="005F109D"/>
    <w:rsid w:val="005F14D5"/>
    <w:rsid w:val="005F1EA4"/>
    <w:rsid w:val="005F2E6F"/>
    <w:rsid w:val="005F34CC"/>
    <w:rsid w:val="005F3B2C"/>
    <w:rsid w:val="005F42EE"/>
    <w:rsid w:val="005F4BBA"/>
    <w:rsid w:val="005F5017"/>
    <w:rsid w:val="005F5750"/>
    <w:rsid w:val="005F5CBA"/>
    <w:rsid w:val="005F6ED5"/>
    <w:rsid w:val="00600126"/>
    <w:rsid w:val="006004E4"/>
    <w:rsid w:val="0060111C"/>
    <w:rsid w:val="0060153E"/>
    <w:rsid w:val="006017B7"/>
    <w:rsid w:val="006019DF"/>
    <w:rsid w:val="00602CCA"/>
    <w:rsid w:val="00602E27"/>
    <w:rsid w:val="0060384D"/>
    <w:rsid w:val="00603DBB"/>
    <w:rsid w:val="0060632B"/>
    <w:rsid w:val="006067D4"/>
    <w:rsid w:val="0061044B"/>
    <w:rsid w:val="00610536"/>
    <w:rsid w:val="0061083F"/>
    <w:rsid w:val="00611998"/>
    <w:rsid w:val="0061332F"/>
    <w:rsid w:val="006135FD"/>
    <w:rsid w:val="00613A05"/>
    <w:rsid w:val="00613EF8"/>
    <w:rsid w:val="00615802"/>
    <w:rsid w:val="00615B9D"/>
    <w:rsid w:val="00616A1B"/>
    <w:rsid w:val="0061759F"/>
    <w:rsid w:val="0061784F"/>
    <w:rsid w:val="00617EE7"/>
    <w:rsid w:val="006203DA"/>
    <w:rsid w:val="00620B7E"/>
    <w:rsid w:val="00620F21"/>
    <w:rsid w:val="0062103A"/>
    <w:rsid w:val="006211CC"/>
    <w:rsid w:val="006221AD"/>
    <w:rsid w:val="00622992"/>
    <w:rsid w:val="00622FF1"/>
    <w:rsid w:val="0062314D"/>
    <w:rsid w:val="00623206"/>
    <w:rsid w:val="006237E5"/>
    <w:rsid w:val="00624107"/>
    <w:rsid w:val="006248FA"/>
    <w:rsid w:val="006258B3"/>
    <w:rsid w:val="00626201"/>
    <w:rsid w:val="006262F7"/>
    <w:rsid w:val="00626A54"/>
    <w:rsid w:val="00626AE2"/>
    <w:rsid w:val="0062709A"/>
    <w:rsid w:val="00627C27"/>
    <w:rsid w:val="00630761"/>
    <w:rsid w:val="00630D43"/>
    <w:rsid w:val="0063106B"/>
    <w:rsid w:val="006313AA"/>
    <w:rsid w:val="00631612"/>
    <w:rsid w:val="00632581"/>
    <w:rsid w:val="0063264F"/>
    <w:rsid w:val="00632FAC"/>
    <w:rsid w:val="00633AD9"/>
    <w:rsid w:val="006341F3"/>
    <w:rsid w:val="00634A23"/>
    <w:rsid w:val="00635DEC"/>
    <w:rsid w:val="00636564"/>
    <w:rsid w:val="006367FB"/>
    <w:rsid w:val="00636996"/>
    <w:rsid w:val="00636CC2"/>
    <w:rsid w:val="006370D6"/>
    <w:rsid w:val="006377AE"/>
    <w:rsid w:val="0064058A"/>
    <w:rsid w:val="00640F52"/>
    <w:rsid w:val="0064152E"/>
    <w:rsid w:val="006415FF"/>
    <w:rsid w:val="00641736"/>
    <w:rsid w:val="006417BC"/>
    <w:rsid w:val="00641A06"/>
    <w:rsid w:val="00642B2D"/>
    <w:rsid w:val="0064307F"/>
    <w:rsid w:val="0064345D"/>
    <w:rsid w:val="006434F0"/>
    <w:rsid w:val="00643935"/>
    <w:rsid w:val="006448C3"/>
    <w:rsid w:val="006452A5"/>
    <w:rsid w:val="0064595B"/>
    <w:rsid w:val="00645AE9"/>
    <w:rsid w:val="00646153"/>
    <w:rsid w:val="006463F3"/>
    <w:rsid w:val="00646850"/>
    <w:rsid w:val="00646A58"/>
    <w:rsid w:val="00646A8A"/>
    <w:rsid w:val="00646CB4"/>
    <w:rsid w:val="0064702C"/>
    <w:rsid w:val="0065029C"/>
    <w:rsid w:val="006520D1"/>
    <w:rsid w:val="00652535"/>
    <w:rsid w:val="00652D3F"/>
    <w:rsid w:val="006533A1"/>
    <w:rsid w:val="0065363E"/>
    <w:rsid w:val="00654079"/>
    <w:rsid w:val="0065477A"/>
    <w:rsid w:val="006549F1"/>
    <w:rsid w:val="00655C09"/>
    <w:rsid w:val="00655DCC"/>
    <w:rsid w:val="00655F85"/>
    <w:rsid w:val="00656206"/>
    <w:rsid w:val="006568AF"/>
    <w:rsid w:val="00657AD8"/>
    <w:rsid w:val="0066014F"/>
    <w:rsid w:val="00660D9F"/>
    <w:rsid w:val="00661218"/>
    <w:rsid w:val="00661693"/>
    <w:rsid w:val="006616E6"/>
    <w:rsid w:val="00661BF9"/>
    <w:rsid w:val="00662EAE"/>
    <w:rsid w:val="00663078"/>
    <w:rsid w:val="00664223"/>
    <w:rsid w:val="006642EA"/>
    <w:rsid w:val="00664BA0"/>
    <w:rsid w:val="00664E61"/>
    <w:rsid w:val="006662EE"/>
    <w:rsid w:val="00666982"/>
    <w:rsid w:val="00670128"/>
    <w:rsid w:val="00670868"/>
    <w:rsid w:val="00670D51"/>
    <w:rsid w:val="00671183"/>
    <w:rsid w:val="00672602"/>
    <w:rsid w:val="00672B3D"/>
    <w:rsid w:val="00672B8D"/>
    <w:rsid w:val="0067496D"/>
    <w:rsid w:val="00674E91"/>
    <w:rsid w:val="0067505F"/>
    <w:rsid w:val="00675E47"/>
    <w:rsid w:val="00675E70"/>
    <w:rsid w:val="006761F0"/>
    <w:rsid w:val="006773BE"/>
    <w:rsid w:val="00677F19"/>
    <w:rsid w:val="00677F5C"/>
    <w:rsid w:val="00680628"/>
    <w:rsid w:val="00680824"/>
    <w:rsid w:val="00680B48"/>
    <w:rsid w:val="00681CF8"/>
    <w:rsid w:val="006828A1"/>
    <w:rsid w:val="00682995"/>
    <w:rsid w:val="00683F70"/>
    <w:rsid w:val="00685AF8"/>
    <w:rsid w:val="006861DF"/>
    <w:rsid w:val="00686B4D"/>
    <w:rsid w:val="00687686"/>
    <w:rsid w:val="0069138D"/>
    <w:rsid w:val="006921D6"/>
    <w:rsid w:val="00693874"/>
    <w:rsid w:val="0069441D"/>
    <w:rsid w:val="006944FE"/>
    <w:rsid w:val="00694709"/>
    <w:rsid w:val="00695F3E"/>
    <w:rsid w:val="006A1B1F"/>
    <w:rsid w:val="006A272E"/>
    <w:rsid w:val="006A288F"/>
    <w:rsid w:val="006A2D35"/>
    <w:rsid w:val="006A367F"/>
    <w:rsid w:val="006A3769"/>
    <w:rsid w:val="006A3B8F"/>
    <w:rsid w:val="006A4F0F"/>
    <w:rsid w:val="006A4F53"/>
    <w:rsid w:val="006A54E2"/>
    <w:rsid w:val="006A5ACE"/>
    <w:rsid w:val="006A5E64"/>
    <w:rsid w:val="006A64E1"/>
    <w:rsid w:val="006A68D7"/>
    <w:rsid w:val="006A6AFC"/>
    <w:rsid w:val="006A743A"/>
    <w:rsid w:val="006A787B"/>
    <w:rsid w:val="006A79C5"/>
    <w:rsid w:val="006A7B98"/>
    <w:rsid w:val="006B0A74"/>
    <w:rsid w:val="006B1043"/>
    <w:rsid w:val="006B11BB"/>
    <w:rsid w:val="006B1455"/>
    <w:rsid w:val="006B15AD"/>
    <w:rsid w:val="006B17CF"/>
    <w:rsid w:val="006B1D28"/>
    <w:rsid w:val="006B2150"/>
    <w:rsid w:val="006B24B7"/>
    <w:rsid w:val="006B2A6D"/>
    <w:rsid w:val="006B2FC5"/>
    <w:rsid w:val="006B3AED"/>
    <w:rsid w:val="006B488B"/>
    <w:rsid w:val="006B6248"/>
    <w:rsid w:val="006C1E93"/>
    <w:rsid w:val="006C1F11"/>
    <w:rsid w:val="006C26EC"/>
    <w:rsid w:val="006C2AA0"/>
    <w:rsid w:val="006C2FC2"/>
    <w:rsid w:val="006C3320"/>
    <w:rsid w:val="006C4365"/>
    <w:rsid w:val="006C4476"/>
    <w:rsid w:val="006C48D5"/>
    <w:rsid w:val="006C50B8"/>
    <w:rsid w:val="006C51E5"/>
    <w:rsid w:val="006C52EC"/>
    <w:rsid w:val="006C58B9"/>
    <w:rsid w:val="006C5A45"/>
    <w:rsid w:val="006C6190"/>
    <w:rsid w:val="006C62FA"/>
    <w:rsid w:val="006C6DD9"/>
    <w:rsid w:val="006D013F"/>
    <w:rsid w:val="006D11A5"/>
    <w:rsid w:val="006D170D"/>
    <w:rsid w:val="006D1BDF"/>
    <w:rsid w:val="006D23D7"/>
    <w:rsid w:val="006D24E1"/>
    <w:rsid w:val="006D28CE"/>
    <w:rsid w:val="006D2FD8"/>
    <w:rsid w:val="006D41E2"/>
    <w:rsid w:val="006D4313"/>
    <w:rsid w:val="006D5066"/>
    <w:rsid w:val="006D53FE"/>
    <w:rsid w:val="006D6898"/>
    <w:rsid w:val="006E067B"/>
    <w:rsid w:val="006E09FD"/>
    <w:rsid w:val="006E0F4E"/>
    <w:rsid w:val="006E10BF"/>
    <w:rsid w:val="006E12F6"/>
    <w:rsid w:val="006E1CAC"/>
    <w:rsid w:val="006E2B53"/>
    <w:rsid w:val="006E2FF4"/>
    <w:rsid w:val="006E30B5"/>
    <w:rsid w:val="006E33F1"/>
    <w:rsid w:val="006E3538"/>
    <w:rsid w:val="006E37B3"/>
    <w:rsid w:val="006E38AA"/>
    <w:rsid w:val="006E43FC"/>
    <w:rsid w:val="006E68EB"/>
    <w:rsid w:val="006E6C69"/>
    <w:rsid w:val="006E78B5"/>
    <w:rsid w:val="006F0620"/>
    <w:rsid w:val="006F0940"/>
    <w:rsid w:val="006F0CD1"/>
    <w:rsid w:val="006F0CD8"/>
    <w:rsid w:val="006F1ABA"/>
    <w:rsid w:val="006F237B"/>
    <w:rsid w:val="006F250E"/>
    <w:rsid w:val="006F2A25"/>
    <w:rsid w:val="006F3BBC"/>
    <w:rsid w:val="006F50E4"/>
    <w:rsid w:val="006F542A"/>
    <w:rsid w:val="006F5D6F"/>
    <w:rsid w:val="006F5EE9"/>
    <w:rsid w:val="006F631A"/>
    <w:rsid w:val="006F6F93"/>
    <w:rsid w:val="00700207"/>
    <w:rsid w:val="007011BB"/>
    <w:rsid w:val="007014BD"/>
    <w:rsid w:val="007019DA"/>
    <w:rsid w:val="00701E66"/>
    <w:rsid w:val="00702114"/>
    <w:rsid w:val="00702E7A"/>
    <w:rsid w:val="007031C4"/>
    <w:rsid w:val="007033E8"/>
    <w:rsid w:val="00704299"/>
    <w:rsid w:val="0070512B"/>
    <w:rsid w:val="00705601"/>
    <w:rsid w:val="007058B7"/>
    <w:rsid w:val="0070597D"/>
    <w:rsid w:val="0070735A"/>
    <w:rsid w:val="00707563"/>
    <w:rsid w:val="00707617"/>
    <w:rsid w:val="00707BDF"/>
    <w:rsid w:val="00707C9F"/>
    <w:rsid w:val="00707E70"/>
    <w:rsid w:val="00710A6B"/>
    <w:rsid w:val="00712148"/>
    <w:rsid w:val="00712A04"/>
    <w:rsid w:val="007133FE"/>
    <w:rsid w:val="007141B2"/>
    <w:rsid w:val="00714289"/>
    <w:rsid w:val="007146CC"/>
    <w:rsid w:val="00714CCC"/>
    <w:rsid w:val="0071527B"/>
    <w:rsid w:val="007156D8"/>
    <w:rsid w:val="0071599C"/>
    <w:rsid w:val="00715B16"/>
    <w:rsid w:val="00715F4C"/>
    <w:rsid w:val="0071656A"/>
    <w:rsid w:val="00716721"/>
    <w:rsid w:val="007170E0"/>
    <w:rsid w:val="007201E3"/>
    <w:rsid w:val="007215C0"/>
    <w:rsid w:val="00721C26"/>
    <w:rsid w:val="0072277F"/>
    <w:rsid w:val="00722E0A"/>
    <w:rsid w:val="00723664"/>
    <w:rsid w:val="00724FA8"/>
    <w:rsid w:val="00725E0B"/>
    <w:rsid w:val="00727DA7"/>
    <w:rsid w:val="00730127"/>
    <w:rsid w:val="0073014D"/>
    <w:rsid w:val="007304DF"/>
    <w:rsid w:val="007308E0"/>
    <w:rsid w:val="00730CB3"/>
    <w:rsid w:val="00730E31"/>
    <w:rsid w:val="00732230"/>
    <w:rsid w:val="0073234C"/>
    <w:rsid w:val="007328AE"/>
    <w:rsid w:val="0073408A"/>
    <w:rsid w:val="00734BB3"/>
    <w:rsid w:val="00735B02"/>
    <w:rsid w:val="007366FE"/>
    <w:rsid w:val="00736988"/>
    <w:rsid w:val="0073737F"/>
    <w:rsid w:val="00740378"/>
    <w:rsid w:val="007406C8"/>
    <w:rsid w:val="00741346"/>
    <w:rsid w:val="00741BC1"/>
    <w:rsid w:val="00741E58"/>
    <w:rsid w:val="00741E62"/>
    <w:rsid w:val="00742371"/>
    <w:rsid w:val="00742449"/>
    <w:rsid w:val="00743634"/>
    <w:rsid w:val="00743A57"/>
    <w:rsid w:val="00745A87"/>
    <w:rsid w:val="00745C37"/>
    <w:rsid w:val="00745F9F"/>
    <w:rsid w:val="00746156"/>
    <w:rsid w:val="00746599"/>
    <w:rsid w:val="007468B5"/>
    <w:rsid w:val="007469E2"/>
    <w:rsid w:val="00746A53"/>
    <w:rsid w:val="00746FBE"/>
    <w:rsid w:val="0074739F"/>
    <w:rsid w:val="007478A6"/>
    <w:rsid w:val="00750098"/>
    <w:rsid w:val="00750C24"/>
    <w:rsid w:val="00751E7C"/>
    <w:rsid w:val="007525C6"/>
    <w:rsid w:val="007530B0"/>
    <w:rsid w:val="00753118"/>
    <w:rsid w:val="007534AF"/>
    <w:rsid w:val="00753AC8"/>
    <w:rsid w:val="00753D3E"/>
    <w:rsid w:val="00753E7F"/>
    <w:rsid w:val="00754602"/>
    <w:rsid w:val="0075527B"/>
    <w:rsid w:val="0075576F"/>
    <w:rsid w:val="00756451"/>
    <w:rsid w:val="007569D7"/>
    <w:rsid w:val="00757084"/>
    <w:rsid w:val="007600B6"/>
    <w:rsid w:val="007605DF"/>
    <w:rsid w:val="00760C28"/>
    <w:rsid w:val="007610A3"/>
    <w:rsid w:val="00761749"/>
    <w:rsid w:val="00762DD1"/>
    <w:rsid w:val="00764477"/>
    <w:rsid w:val="007648A7"/>
    <w:rsid w:val="00764D29"/>
    <w:rsid w:val="00764D73"/>
    <w:rsid w:val="0076501B"/>
    <w:rsid w:val="00765573"/>
    <w:rsid w:val="007655F2"/>
    <w:rsid w:val="00766423"/>
    <w:rsid w:val="00766D8F"/>
    <w:rsid w:val="00770217"/>
    <w:rsid w:val="00771E52"/>
    <w:rsid w:val="007728DD"/>
    <w:rsid w:val="00772C5A"/>
    <w:rsid w:val="00772F21"/>
    <w:rsid w:val="007735C0"/>
    <w:rsid w:val="00773650"/>
    <w:rsid w:val="00776BF0"/>
    <w:rsid w:val="00777524"/>
    <w:rsid w:val="00777675"/>
    <w:rsid w:val="007779A1"/>
    <w:rsid w:val="00777C0E"/>
    <w:rsid w:val="00781B86"/>
    <w:rsid w:val="00783D31"/>
    <w:rsid w:val="00785B66"/>
    <w:rsid w:val="00785BAF"/>
    <w:rsid w:val="00785C78"/>
    <w:rsid w:val="0078775E"/>
    <w:rsid w:val="0078785F"/>
    <w:rsid w:val="00790A07"/>
    <w:rsid w:val="00790CF5"/>
    <w:rsid w:val="00791819"/>
    <w:rsid w:val="0079190B"/>
    <w:rsid w:val="00791DD9"/>
    <w:rsid w:val="00792063"/>
    <w:rsid w:val="007926DB"/>
    <w:rsid w:val="00792EB5"/>
    <w:rsid w:val="007938C8"/>
    <w:rsid w:val="007941DD"/>
    <w:rsid w:val="0079431E"/>
    <w:rsid w:val="007945A3"/>
    <w:rsid w:val="00794F8D"/>
    <w:rsid w:val="00795ABD"/>
    <w:rsid w:val="0079780F"/>
    <w:rsid w:val="00797DB8"/>
    <w:rsid w:val="007A0224"/>
    <w:rsid w:val="007A1730"/>
    <w:rsid w:val="007A25D9"/>
    <w:rsid w:val="007A34F0"/>
    <w:rsid w:val="007A4C2F"/>
    <w:rsid w:val="007A4CA8"/>
    <w:rsid w:val="007A518F"/>
    <w:rsid w:val="007A532A"/>
    <w:rsid w:val="007A6296"/>
    <w:rsid w:val="007A6819"/>
    <w:rsid w:val="007A7187"/>
    <w:rsid w:val="007A7BA2"/>
    <w:rsid w:val="007A7F91"/>
    <w:rsid w:val="007B1528"/>
    <w:rsid w:val="007B1B22"/>
    <w:rsid w:val="007B1B63"/>
    <w:rsid w:val="007B1EA6"/>
    <w:rsid w:val="007B2569"/>
    <w:rsid w:val="007B357E"/>
    <w:rsid w:val="007B3779"/>
    <w:rsid w:val="007B3B98"/>
    <w:rsid w:val="007B461B"/>
    <w:rsid w:val="007B46B1"/>
    <w:rsid w:val="007B6416"/>
    <w:rsid w:val="007B73FA"/>
    <w:rsid w:val="007C0470"/>
    <w:rsid w:val="007C08BD"/>
    <w:rsid w:val="007C1B26"/>
    <w:rsid w:val="007C27F3"/>
    <w:rsid w:val="007C2C8B"/>
    <w:rsid w:val="007C31DD"/>
    <w:rsid w:val="007C35C5"/>
    <w:rsid w:val="007C463F"/>
    <w:rsid w:val="007C5202"/>
    <w:rsid w:val="007C5378"/>
    <w:rsid w:val="007C6C80"/>
    <w:rsid w:val="007C761F"/>
    <w:rsid w:val="007C765C"/>
    <w:rsid w:val="007C7E9E"/>
    <w:rsid w:val="007D010B"/>
    <w:rsid w:val="007D0864"/>
    <w:rsid w:val="007D0BC1"/>
    <w:rsid w:val="007D11A4"/>
    <w:rsid w:val="007D1322"/>
    <w:rsid w:val="007D263B"/>
    <w:rsid w:val="007D311F"/>
    <w:rsid w:val="007D37B1"/>
    <w:rsid w:val="007D42EF"/>
    <w:rsid w:val="007D5A14"/>
    <w:rsid w:val="007D6797"/>
    <w:rsid w:val="007D693E"/>
    <w:rsid w:val="007D74C0"/>
    <w:rsid w:val="007E05BD"/>
    <w:rsid w:val="007E0E06"/>
    <w:rsid w:val="007E10F1"/>
    <w:rsid w:val="007E114C"/>
    <w:rsid w:val="007E183E"/>
    <w:rsid w:val="007E188E"/>
    <w:rsid w:val="007E2F87"/>
    <w:rsid w:val="007E3538"/>
    <w:rsid w:val="007E4565"/>
    <w:rsid w:val="007E48D1"/>
    <w:rsid w:val="007E4E4E"/>
    <w:rsid w:val="007E5176"/>
    <w:rsid w:val="007E52B2"/>
    <w:rsid w:val="007E7AA4"/>
    <w:rsid w:val="007E7D31"/>
    <w:rsid w:val="007E7E52"/>
    <w:rsid w:val="007F186C"/>
    <w:rsid w:val="007F473A"/>
    <w:rsid w:val="007F49AA"/>
    <w:rsid w:val="007F4C6E"/>
    <w:rsid w:val="007F4D1D"/>
    <w:rsid w:val="007F64EC"/>
    <w:rsid w:val="007F6EFC"/>
    <w:rsid w:val="007F75A8"/>
    <w:rsid w:val="007F7764"/>
    <w:rsid w:val="007F789C"/>
    <w:rsid w:val="007F7D65"/>
    <w:rsid w:val="00800446"/>
    <w:rsid w:val="00801D56"/>
    <w:rsid w:val="0080266D"/>
    <w:rsid w:val="008027B4"/>
    <w:rsid w:val="00803246"/>
    <w:rsid w:val="0080375C"/>
    <w:rsid w:val="008059A5"/>
    <w:rsid w:val="00807073"/>
    <w:rsid w:val="0080714D"/>
    <w:rsid w:val="008072CD"/>
    <w:rsid w:val="0080785D"/>
    <w:rsid w:val="008104E5"/>
    <w:rsid w:val="00810A52"/>
    <w:rsid w:val="00810EE1"/>
    <w:rsid w:val="00811301"/>
    <w:rsid w:val="00811376"/>
    <w:rsid w:val="008133D2"/>
    <w:rsid w:val="00813F98"/>
    <w:rsid w:val="00814259"/>
    <w:rsid w:val="0081510A"/>
    <w:rsid w:val="008151CA"/>
    <w:rsid w:val="008151E9"/>
    <w:rsid w:val="008163D8"/>
    <w:rsid w:val="00816EBB"/>
    <w:rsid w:val="0081795D"/>
    <w:rsid w:val="00817B16"/>
    <w:rsid w:val="00820427"/>
    <w:rsid w:val="008219C1"/>
    <w:rsid w:val="00821D25"/>
    <w:rsid w:val="00821E4D"/>
    <w:rsid w:val="00821FF1"/>
    <w:rsid w:val="008220F5"/>
    <w:rsid w:val="00822A6C"/>
    <w:rsid w:val="00822E3E"/>
    <w:rsid w:val="00823615"/>
    <w:rsid w:val="00823EB6"/>
    <w:rsid w:val="008253D5"/>
    <w:rsid w:val="008260A6"/>
    <w:rsid w:val="008262E2"/>
    <w:rsid w:val="00826882"/>
    <w:rsid w:val="00827586"/>
    <w:rsid w:val="00830143"/>
    <w:rsid w:val="00830BA9"/>
    <w:rsid w:val="0083129D"/>
    <w:rsid w:val="00831568"/>
    <w:rsid w:val="008319AE"/>
    <w:rsid w:val="00832724"/>
    <w:rsid w:val="00832CAE"/>
    <w:rsid w:val="00833CFC"/>
    <w:rsid w:val="00836762"/>
    <w:rsid w:val="00837572"/>
    <w:rsid w:val="00837FF2"/>
    <w:rsid w:val="008402E5"/>
    <w:rsid w:val="008409BB"/>
    <w:rsid w:val="00841059"/>
    <w:rsid w:val="00841E2C"/>
    <w:rsid w:val="008445B0"/>
    <w:rsid w:val="00844FAA"/>
    <w:rsid w:val="00845459"/>
    <w:rsid w:val="0084593C"/>
    <w:rsid w:val="00845B6E"/>
    <w:rsid w:val="00845EB0"/>
    <w:rsid w:val="008461F2"/>
    <w:rsid w:val="008466D4"/>
    <w:rsid w:val="00847139"/>
    <w:rsid w:val="0084787E"/>
    <w:rsid w:val="0085239F"/>
    <w:rsid w:val="0085277B"/>
    <w:rsid w:val="00852B39"/>
    <w:rsid w:val="00852D2B"/>
    <w:rsid w:val="00853A27"/>
    <w:rsid w:val="00853E95"/>
    <w:rsid w:val="008540B6"/>
    <w:rsid w:val="00854D06"/>
    <w:rsid w:val="008556DF"/>
    <w:rsid w:val="008556E4"/>
    <w:rsid w:val="0085685F"/>
    <w:rsid w:val="00856A18"/>
    <w:rsid w:val="00856DD6"/>
    <w:rsid w:val="00857CC2"/>
    <w:rsid w:val="00857D4A"/>
    <w:rsid w:val="00860357"/>
    <w:rsid w:val="0086073B"/>
    <w:rsid w:val="0086159D"/>
    <w:rsid w:val="00862556"/>
    <w:rsid w:val="00862C68"/>
    <w:rsid w:val="00863197"/>
    <w:rsid w:val="00864056"/>
    <w:rsid w:val="008645AC"/>
    <w:rsid w:val="00866976"/>
    <w:rsid w:val="008678B0"/>
    <w:rsid w:val="00871114"/>
    <w:rsid w:val="00872288"/>
    <w:rsid w:val="00872F59"/>
    <w:rsid w:val="00873580"/>
    <w:rsid w:val="00873C16"/>
    <w:rsid w:val="00874253"/>
    <w:rsid w:val="00876A74"/>
    <w:rsid w:val="008772AC"/>
    <w:rsid w:val="00877903"/>
    <w:rsid w:val="008815C9"/>
    <w:rsid w:val="0088171B"/>
    <w:rsid w:val="008818A9"/>
    <w:rsid w:val="00881ECA"/>
    <w:rsid w:val="0088244E"/>
    <w:rsid w:val="00882683"/>
    <w:rsid w:val="00883F2A"/>
    <w:rsid w:val="008840D8"/>
    <w:rsid w:val="00884124"/>
    <w:rsid w:val="00884CE8"/>
    <w:rsid w:val="008869B3"/>
    <w:rsid w:val="00887B0A"/>
    <w:rsid w:val="00887F60"/>
    <w:rsid w:val="00890094"/>
    <w:rsid w:val="0089126B"/>
    <w:rsid w:val="00891690"/>
    <w:rsid w:val="00891950"/>
    <w:rsid w:val="00891ACA"/>
    <w:rsid w:val="008922DE"/>
    <w:rsid w:val="008924C6"/>
    <w:rsid w:val="0089381E"/>
    <w:rsid w:val="00893990"/>
    <w:rsid w:val="008939D5"/>
    <w:rsid w:val="00893D8F"/>
    <w:rsid w:val="0089489E"/>
    <w:rsid w:val="00894DDD"/>
    <w:rsid w:val="00895978"/>
    <w:rsid w:val="00895C1F"/>
    <w:rsid w:val="00895D49"/>
    <w:rsid w:val="00896560"/>
    <w:rsid w:val="00897A68"/>
    <w:rsid w:val="00897D77"/>
    <w:rsid w:val="008A055E"/>
    <w:rsid w:val="008A1019"/>
    <w:rsid w:val="008A2727"/>
    <w:rsid w:val="008A299D"/>
    <w:rsid w:val="008A2B67"/>
    <w:rsid w:val="008A2F98"/>
    <w:rsid w:val="008A3D20"/>
    <w:rsid w:val="008A49EA"/>
    <w:rsid w:val="008A5099"/>
    <w:rsid w:val="008A53CB"/>
    <w:rsid w:val="008A5BDA"/>
    <w:rsid w:val="008A5E7C"/>
    <w:rsid w:val="008A6F29"/>
    <w:rsid w:val="008A6F8A"/>
    <w:rsid w:val="008A727B"/>
    <w:rsid w:val="008A7937"/>
    <w:rsid w:val="008A7DBB"/>
    <w:rsid w:val="008B085E"/>
    <w:rsid w:val="008B10A3"/>
    <w:rsid w:val="008B15B2"/>
    <w:rsid w:val="008B15D7"/>
    <w:rsid w:val="008B1B0A"/>
    <w:rsid w:val="008B3F9C"/>
    <w:rsid w:val="008B460A"/>
    <w:rsid w:val="008B4C6A"/>
    <w:rsid w:val="008B5689"/>
    <w:rsid w:val="008B5948"/>
    <w:rsid w:val="008B7523"/>
    <w:rsid w:val="008B7D8C"/>
    <w:rsid w:val="008C04EC"/>
    <w:rsid w:val="008C0638"/>
    <w:rsid w:val="008C0828"/>
    <w:rsid w:val="008C0940"/>
    <w:rsid w:val="008C2906"/>
    <w:rsid w:val="008C2CCF"/>
    <w:rsid w:val="008C3513"/>
    <w:rsid w:val="008C36ED"/>
    <w:rsid w:val="008C3BA3"/>
    <w:rsid w:val="008C4389"/>
    <w:rsid w:val="008C4EC2"/>
    <w:rsid w:val="008C50D0"/>
    <w:rsid w:val="008C621A"/>
    <w:rsid w:val="008C6898"/>
    <w:rsid w:val="008D0018"/>
    <w:rsid w:val="008D0314"/>
    <w:rsid w:val="008D05CC"/>
    <w:rsid w:val="008D0632"/>
    <w:rsid w:val="008D1B67"/>
    <w:rsid w:val="008D3535"/>
    <w:rsid w:val="008D3B0D"/>
    <w:rsid w:val="008D4989"/>
    <w:rsid w:val="008D57BC"/>
    <w:rsid w:val="008D57C9"/>
    <w:rsid w:val="008D5869"/>
    <w:rsid w:val="008D72A9"/>
    <w:rsid w:val="008D72B8"/>
    <w:rsid w:val="008D75A0"/>
    <w:rsid w:val="008D799F"/>
    <w:rsid w:val="008E05EB"/>
    <w:rsid w:val="008E0A0F"/>
    <w:rsid w:val="008E0D43"/>
    <w:rsid w:val="008E120C"/>
    <w:rsid w:val="008E12CB"/>
    <w:rsid w:val="008E195C"/>
    <w:rsid w:val="008E1C37"/>
    <w:rsid w:val="008E20DC"/>
    <w:rsid w:val="008E2325"/>
    <w:rsid w:val="008E29B7"/>
    <w:rsid w:val="008E325E"/>
    <w:rsid w:val="008E328D"/>
    <w:rsid w:val="008E3484"/>
    <w:rsid w:val="008E35BD"/>
    <w:rsid w:val="008E3EA1"/>
    <w:rsid w:val="008E5AD0"/>
    <w:rsid w:val="008E61A4"/>
    <w:rsid w:val="008E6F7C"/>
    <w:rsid w:val="008F04EA"/>
    <w:rsid w:val="008F106C"/>
    <w:rsid w:val="008F1AAF"/>
    <w:rsid w:val="008F1FCA"/>
    <w:rsid w:val="008F285E"/>
    <w:rsid w:val="008F2A6F"/>
    <w:rsid w:val="008F3290"/>
    <w:rsid w:val="008F3C00"/>
    <w:rsid w:val="008F5EB7"/>
    <w:rsid w:val="008F6E53"/>
    <w:rsid w:val="008F6EEC"/>
    <w:rsid w:val="008F7DE3"/>
    <w:rsid w:val="00901147"/>
    <w:rsid w:val="009018D2"/>
    <w:rsid w:val="00901C10"/>
    <w:rsid w:val="00901D7D"/>
    <w:rsid w:val="00901E09"/>
    <w:rsid w:val="00903417"/>
    <w:rsid w:val="00903B36"/>
    <w:rsid w:val="00903C99"/>
    <w:rsid w:val="009040D1"/>
    <w:rsid w:val="0090448A"/>
    <w:rsid w:val="00905158"/>
    <w:rsid w:val="00907A5E"/>
    <w:rsid w:val="00907CBA"/>
    <w:rsid w:val="00907DE1"/>
    <w:rsid w:val="00910350"/>
    <w:rsid w:val="00910573"/>
    <w:rsid w:val="00910ECB"/>
    <w:rsid w:val="009112ED"/>
    <w:rsid w:val="009112F1"/>
    <w:rsid w:val="00911677"/>
    <w:rsid w:val="00911C8F"/>
    <w:rsid w:val="00911D02"/>
    <w:rsid w:val="0091241D"/>
    <w:rsid w:val="0091366F"/>
    <w:rsid w:val="0091519C"/>
    <w:rsid w:val="00915481"/>
    <w:rsid w:val="00915AF8"/>
    <w:rsid w:val="00916190"/>
    <w:rsid w:val="00920F11"/>
    <w:rsid w:val="00920F82"/>
    <w:rsid w:val="009232AD"/>
    <w:rsid w:val="00923F17"/>
    <w:rsid w:val="00924DA0"/>
    <w:rsid w:val="009252FB"/>
    <w:rsid w:val="0092538F"/>
    <w:rsid w:val="00925AEF"/>
    <w:rsid w:val="00926859"/>
    <w:rsid w:val="00926871"/>
    <w:rsid w:val="0092709C"/>
    <w:rsid w:val="00931992"/>
    <w:rsid w:val="00932468"/>
    <w:rsid w:val="00933D4B"/>
    <w:rsid w:val="00933E58"/>
    <w:rsid w:val="009358CD"/>
    <w:rsid w:val="00936760"/>
    <w:rsid w:val="009368AD"/>
    <w:rsid w:val="0093693A"/>
    <w:rsid w:val="00937007"/>
    <w:rsid w:val="009401FD"/>
    <w:rsid w:val="00941B9D"/>
    <w:rsid w:val="009420F2"/>
    <w:rsid w:val="009427B6"/>
    <w:rsid w:val="00942DFD"/>
    <w:rsid w:val="0094328D"/>
    <w:rsid w:val="00943B28"/>
    <w:rsid w:val="00943BD8"/>
    <w:rsid w:val="0094441A"/>
    <w:rsid w:val="00945617"/>
    <w:rsid w:val="00946FDD"/>
    <w:rsid w:val="009470DB"/>
    <w:rsid w:val="009475A7"/>
    <w:rsid w:val="009479DE"/>
    <w:rsid w:val="00953210"/>
    <w:rsid w:val="009536F1"/>
    <w:rsid w:val="00953EED"/>
    <w:rsid w:val="00954C3B"/>
    <w:rsid w:val="00956087"/>
    <w:rsid w:val="009565BE"/>
    <w:rsid w:val="00956774"/>
    <w:rsid w:val="009568C4"/>
    <w:rsid w:val="00956F75"/>
    <w:rsid w:val="00957001"/>
    <w:rsid w:val="00957578"/>
    <w:rsid w:val="0096074E"/>
    <w:rsid w:val="00960D6D"/>
    <w:rsid w:val="00961C5D"/>
    <w:rsid w:val="00962F8D"/>
    <w:rsid w:val="0096303F"/>
    <w:rsid w:val="00963AE2"/>
    <w:rsid w:val="009642EC"/>
    <w:rsid w:val="00964CAF"/>
    <w:rsid w:val="00965142"/>
    <w:rsid w:val="0096551A"/>
    <w:rsid w:val="0096598B"/>
    <w:rsid w:val="00966292"/>
    <w:rsid w:val="00966ED5"/>
    <w:rsid w:val="00967632"/>
    <w:rsid w:val="00967B1F"/>
    <w:rsid w:val="00967F36"/>
    <w:rsid w:val="00967FE8"/>
    <w:rsid w:val="00970071"/>
    <w:rsid w:val="00970368"/>
    <w:rsid w:val="0097095D"/>
    <w:rsid w:val="00971966"/>
    <w:rsid w:val="00971DF3"/>
    <w:rsid w:val="00972371"/>
    <w:rsid w:val="00972A8D"/>
    <w:rsid w:val="009734DE"/>
    <w:rsid w:val="00973B30"/>
    <w:rsid w:val="00974847"/>
    <w:rsid w:val="009752DD"/>
    <w:rsid w:val="0097549E"/>
    <w:rsid w:val="00975EBB"/>
    <w:rsid w:val="009767E2"/>
    <w:rsid w:val="00976E57"/>
    <w:rsid w:val="009774A1"/>
    <w:rsid w:val="00977FF7"/>
    <w:rsid w:val="0098018A"/>
    <w:rsid w:val="00980EF2"/>
    <w:rsid w:val="00981439"/>
    <w:rsid w:val="00982349"/>
    <w:rsid w:val="0098297D"/>
    <w:rsid w:val="00983DA3"/>
    <w:rsid w:val="0098444C"/>
    <w:rsid w:val="00985202"/>
    <w:rsid w:val="0098521A"/>
    <w:rsid w:val="009857E3"/>
    <w:rsid w:val="0098627C"/>
    <w:rsid w:val="00986D1D"/>
    <w:rsid w:val="00990010"/>
    <w:rsid w:val="00990042"/>
    <w:rsid w:val="00990762"/>
    <w:rsid w:val="00991031"/>
    <w:rsid w:val="00991B02"/>
    <w:rsid w:val="00992B9E"/>
    <w:rsid w:val="00992F2B"/>
    <w:rsid w:val="009934B4"/>
    <w:rsid w:val="009940E3"/>
    <w:rsid w:val="0099447C"/>
    <w:rsid w:val="00994A1C"/>
    <w:rsid w:val="00994C8A"/>
    <w:rsid w:val="00994D60"/>
    <w:rsid w:val="00995029"/>
    <w:rsid w:val="0099527E"/>
    <w:rsid w:val="00995592"/>
    <w:rsid w:val="00995734"/>
    <w:rsid w:val="00995BFD"/>
    <w:rsid w:val="009960C9"/>
    <w:rsid w:val="00996476"/>
    <w:rsid w:val="00996655"/>
    <w:rsid w:val="00997168"/>
    <w:rsid w:val="009A04BC"/>
    <w:rsid w:val="009A0AED"/>
    <w:rsid w:val="009A1169"/>
    <w:rsid w:val="009A1478"/>
    <w:rsid w:val="009A2433"/>
    <w:rsid w:val="009A3EC5"/>
    <w:rsid w:val="009A3F46"/>
    <w:rsid w:val="009A3F82"/>
    <w:rsid w:val="009A434B"/>
    <w:rsid w:val="009A5038"/>
    <w:rsid w:val="009A5A13"/>
    <w:rsid w:val="009A6067"/>
    <w:rsid w:val="009A71A0"/>
    <w:rsid w:val="009A7B41"/>
    <w:rsid w:val="009B06D3"/>
    <w:rsid w:val="009B0A88"/>
    <w:rsid w:val="009B1649"/>
    <w:rsid w:val="009B2527"/>
    <w:rsid w:val="009B27DB"/>
    <w:rsid w:val="009B2C09"/>
    <w:rsid w:val="009B3626"/>
    <w:rsid w:val="009B3857"/>
    <w:rsid w:val="009B49A0"/>
    <w:rsid w:val="009B4ADD"/>
    <w:rsid w:val="009B51A2"/>
    <w:rsid w:val="009B51F6"/>
    <w:rsid w:val="009B59D5"/>
    <w:rsid w:val="009B5B86"/>
    <w:rsid w:val="009B5D34"/>
    <w:rsid w:val="009B5EE3"/>
    <w:rsid w:val="009B6B30"/>
    <w:rsid w:val="009B6D3E"/>
    <w:rsid w:val="009B7968"/>
    <w:rsid w:val="009C0965"/>
    <w:rsid w:val="009C1B27"/>
    <w:rsid w:val="009C319E"/>
    <w:rsid w:val="009C6183"/>
    <w:rsid w:val="009C6E23"/>
    <w:rsid w:val="009C71C1"/>
    <w:rsid w:val="009C72C7"/>
    <w:rsid w:val="009C75DC"/>
    <w:rsid w:val="009C7FA4"/>
    <w:rsid w:val="009D0946"/>
    <w:rsid w:val="009D0C20"/>
    <w:rsid w:val="009D1C10"/>
    <w:rsid w:val="009D1CC2"/>
    <w:rsid w:val="009D1FF8"/>
    <w:rsid w:val="009D236A"/>
    <w:rsid w:val="009D29E4"/>
    <w:rsid w:val="009D2B7F"/>
    <w:rsid w:val="009D3040"/>
    <w:rsid w:val="009D3150"/>
    <w:rsid w:val="009D3AAC"/>
    <w:rsid w:val="009D4971"/>
    <w:rsid w:val="009D4D55"/>
    <w:rsid w:val="009D5230"/>
    <w:rsid w:val="009D586E"/>
    <w:rsid w:val="009D6FB4"/>
    <w:rsid w:val="009D7094"/>
    <w:rsid w:val="009E16C0"/>
    <w:rsid w:val="009E196D"/>
    <w:rsid w:val="009E35E5"/>
    <w:rsid w:val="009E391F"/>
    <w:rsid w:val="009E39F9"/>
    <w:rsid w:val="009E3E20"/>
    <w:rsid w:val="009E4FA6"/>
    <w:rsid w:val="009E50BA"/>
    <w:rsid w:val="009E5198"/>
    <w:rsid w:val="009E557B"/>
    <w:rsid w:val="009E5DD2"/>
    <w:rsid w:val="009E63F9"/>
    <w:rsid w:val="009E664E"/>
    <w:rsid w:val="009E703F"/>
    <w:rsid w:val="009E752C"/>
    <w:rsid w:val="009E7791"/>
    <w:rsid w:val="009F0308"/>
    <w:rsid w:val="009F0373"/>
    <w:rsid w:val="009F0A90"/>
    <w:rsid w:val="009F0CB5"/>
    <w:rsid w:val="009F15D1"/>
    <w:rsid w:val="009F1A7A"/>
    <w:rsid w:val="009F2946"/>
    <w:rsid w:val="009F2969"/>
    <w:rsid w:val="009F2CCA"/>
    <w:rsid w:val="009F358C"/>
    <w:rsid w:val="009F46AB"/>
    <w:rsid w:val="009F4A88"/>
    <w:rsid w:val="009F56DF"/>
    <w:rsid w:val="009F5D85"/>
    <w:rsid w:val="009F5E36"/>
    <w:rsid w:val="009F63F5"/>
    <w:rsid w:val="009F7AE3"/>
    <w:rsid w:val="00A00274"/>
    <w:rsid w:val="00A011E5"/>
    <w:rsid w:val="00A02165"/>
    <w:rsid w:val="00A0300E"/>
    <w:rsid w:val="00A0353D"/>
    <w:rsid w:val="00A0364B"/>
    <w:rsid w:val="00A039AB"/>
    <w:rsid w:val="00A03B0A"/>
    <w:rsid w:val="00A04D3F"/>
    <w:rsid w:val="00A05894"/>
    <w:rsid w:val="00A07B57"/>
    <w:rsid w:val="00A10077"/>
    <w:rsid w:val="00A10716"/>
    <w:rsid w:val="00A10730"/>
    <w:rsid w:val="00A11BB2"/>
    <w:rsid w:val="00A12711"/>
    <w:rsid w:val="00A15554"/>
    <w:rsid w:val="00A16185"/>
    <w:rsid w:val="00A169B4"/>
    <w:rsid w:val="00A17225"/>
    <w:rsid w:val="00A17293"/>
    <w:rsid w:val="00A17B61"/>
    <w:rsid w:val="00A17BB2"/>
    <w:rsid w:val="00A206EA"/>
    <w:rsid w:val="00A20BFC"/>
    <w:rsid w:val="00A215E6"/>
    <w:rsid w:val="00A21D56"/>
    <w:rsid w:val="00A22E31"/>
    <w:rsid w:val="00A25125"/>
    <w:rsid w:val="00A2527C"/>
    <w:rsid w:val="00A260AE"/>
    <w:rsid w:val="00A26462"/>
    <w:rsid w:val="00A269BA"/>
    <w:rsid w:val="00A26CE0"/>
    <w:rsid w:val="00A27934"/>
    <w:rsid w:val="00A27C84"/>
    <w:rsid w:val="00A307CA"/>
    <w:rsid w:val="00A30C5E"/>
    <w:rsid w:val="00A30F90"/>
    <w:rsid w:val="00A31073"/>
    <w:rsid w:val="00A322B0"/>
    <w:rsid w:val="00A32332"/>
    <w:rsid w:val="00A3293E"/>
    <w:rsid w:val="00A32BCF"/>
    <w:rsid w:val="00A32E69"/>
    <w:rsid w:val="00A336FC"/>
    <w:rsid w:val="00A33BDD"/>
    <w:rsid w:val="00A34B47"/>
    <w:rsid w:val="00A3509B"/>
    <w:rsid w:val="00A36035"/>
    <w:rsid w:val="00A36456"/>
    <w:rsid w:val="00A36823"/>
    <w:rsid w:val="00A36B4F"/>
    <w:rsid w:val="00A3785F"/>
    <w:rsid w:val="00A37D95"/>
    <w:rsid w:val="00A41724"/>
    <w:rsid w:val="00A417EA"/>
    <w:rsid w:val="00A422CB"/>
    <w:rsid w:val="00A42A3B"/>
    <w:rsid w:val="00A42E8E"/>
    <w:rsid w:val="00A433EB"/>
    <w:rsid w:val="00A4439D"/>
    <w:rsid w:val="00A44792"/>
    <w:rsid w:val="00A44924"/>
    <w:rsid w:val="00A44ACB"/>
    <w:rsid w:val="00A44F0D"/>
    <w:rsid w:val="00A45132"/>
    <w:rsid w:val="00A47A4E"/>
    <w:rsid w:val="00A47D6E"/>
    <w:rsid w:val="00A47E25"/>
    <w:rsid w:val="00A50C93"/>
    <w:rsid w:val="00A51065"/>
    <w:rsid w:val="00A51153"/>
    <w:rsid w:val="00A51871"/>
    <w:rsid w:val="00A51D01"/>
    <w:rsid w:val="00A51DBB"/>
    <w:rsid w:val="00A53620"/>
    <w:rsid w:val="00A54537"/>
    <w:rsid w:val="00A5492F"/>
    <w:rsid w:val="00A54B98"/>
    <w:rsid w:val="00A54C65"/>
    <w:rsid w:val="00A5617E"/>
    <w:rsid w:val="00A573A0"/>
    <w:rsid w:val="00A6000D"/>
    <w:rsid w:val="00A60519"/>
    <w:rsid w:val="00A609B9"/>
    <w:rsid w:val="00A62417"/>
    <w:rsid w:val="00A626A6"/>
    <w:rsid w:val="00A62797"/>
    <w:rsid w:val="00A627CC"/>
    <w:rsid w:val="00A62885"/>
    <w:rsid w:val="00A62C5A"/>
    <w:rsid w:val="00A62D87"/>
    <w:rsid w:val="00A635F5"/>
    <w:rsid w:val="00A64A56"/>
    <w:rsid w:val="00A64B8E"/>
    <w:rsid w:val="00A64CD2"/>
    <w:rsid w:val="00A64E21"/>
    <w:rsid w:val="00A6557C"/>
    <w:rsid w:val="00A65C4B"/>
    <w:rsid w:val="00A6697D"/>
    <w:rsid w:val="00A700C0"/>
    <w:rsid w:val="00A7054D"/>
    <w:rsid w:val="00A72C14"/>
    <w:rsid w:val="00A72D1A"/>
    <w:rsid w:val="00A73050"/>
    <w:rsid w:val="00A749EB"/>
    <w:rsid w:val="00A74B1D"/>
    <w:rsid w:val="00A74E18"/>
    <w:rsid w:val="00A750F0"/>
    <w:rsid w:val="00A7518C"/>
    <w:rsid w:val="00A756BA"/>
    <w:rsid w:val="00A75BAA"/>
    <w:rsid w:val="00A76065"/>
    <w:rsid w:val="00A77940"/>
    <w:rsid w:val="00A77AA7"/>
    <w:rsid w:val="00A80049"/>
    <w:rsid w:val="00A80CAA"/>
    <w:rsid w:val="00A81844"/>
    <w:rsid w:val="00A81B71"/>
    <w:rsid w:val="00A82270"/>
    <w:rsid w:val="00A82BE6"/>
    <w:rsid w:val="00A82EEF"/>
    <w:rsid w:val="00A83065"/>
    <w:rsid w:val="00A83407"/>
    <w:rsid w:val="00A83D54"/>
    <w:rsid w:val="00A842F5"/>
    <w:rsid w:val="00A85B1E"/>
    <w:rsid w:val="00A86122"/>
    <w:rsid w:val="00A86C99"/>
    <w:rsid w:val="00A86CA0"/>
    <w:rsid w:val="00A878EA"/>
    <w:rsid w:val="00A9014D"/>
    <w:rsid w:val="00A90616"/>
    <w:rsid w:val="00A90A16"/>
    <w:rsid w:val="00A91B29"/>
    <w:rsid w:val="00A93DA1"/>
    <w:rsid w:val="00A94225"/>
    <w:rsid w:val="00A9476B"/>
    <w:rsid w:val="00A950FA"/>
    <w:rsid w:val="00A95408"/>
    <w:rsid w:val="00A95C49"/>
    <w:rsid w:val="00A95FC7"/>
    <w:rsid w:val="00A96E1E"/>
    <w:rsid w:val="00A97F29"/>
    <w:rsid w:val="00AA1929"/>
    <w:rsid w:val="00AA1B4B"/>
    <w:rsid w:val="00AA1C8F"/>
    <w:rsid w:val="00AA2010"/>
    <w:rsid w:val="00AA3201"/>
    <w:rsid w:val="00AA48AA"/>
    <w:rsid w:val="00AA4BEE"/>
    <w:rsid w:val="00AA4EB2"/>
    <w:rsid w:val="00AA5DCE"/>
    <w:rsid w:val="00AA5E5E"/>
    <w:rsid w:val="00AA64E2"/>
    <w:rsid w:val="00AA6E3E"/>
    <w:rsid w:val="00AA6EBA"/>
    <w:rsid w:val="00AA7346"/>
    <w:rsid w:val="00AA73F8"/>
    <w:rsid w:val="00AA757D"/>
    <w:rsid w:val="00AA7A96"/>
    <w:rsid w:val="00AB090B"/>
    <w:rsid w:val="00AB0B1A"/>
    <w:rsid w:val="00AB0EFB"/>
    <w:rsid w:val="00AB0F21"/>
    <w:rsid w:val="00AB1A75"/>
    <w:rsid w:val="00AB273F"/>
    <w:rsid w:val="00AB2BA4"/>
    <w:rsid w:val="00AB2D66"/>
    <w:rsid w:val="00AB591A"/>
    <w:rsid w:val="00AB594E"/>
    <w:rsid w:val="00AB7175"/>
    <w:rsid w:val="00AB789E"/>
    <w:rsid w:val="00AC0855"/>
    <w:rsid w:val="00AC11D0"/>
    <w:rsid w:val="00AC1E1A"/>
    <w:rsid w:val="00AC331E"/>
    <w:rsid w:val="00AC390B"/>
    <w:rsid w:val="00AC3ABC"/>
    <w:rsid w:val="00AC3C07"/>
    <w:rsid w:val="00AC3E59"/>
    <w:rsid w:val="00AC40FC"/>
    <w:rsid w:val="00AC5590"/>
    <w:rsid w:val="00AC59CD"/>
    <w:rsid w:val="00AC678A"/>
    <w:rsid w:val="00AC6E17"/>
    <w:rsid w:val="00AC7FF9"/>
    <w:rsid w:val="00AD0C59"/>
    <w:rsid w:val="00AD0C70"/>
    <w:rsid w:val="00AD1C73"/>
    <w:rsid w:val="00AD237A"/>
    <w:rsid w:val="00AD2BF3"/>
    <w:rsid w:val="00AD3EF5"/>
    <w:rsid w:val="00AD424E"/>
    <w:rsid w:val="00AD4ECF"/>
    <w:rsid w:val="00AD66DD"/>
    <w:rsid w:val="00AD6CE4"/>
    <w:rsid w:val="00AD717E"/>
    <w:rsid w:val="00AD7806"/>
    <w:rsid w:val="00AD7D59"/>
    <w:rsid w:val="00AE0775"/>
    <w:rsid w:val="00AE1319"/>
    <w:rsid w:val="00AE155B"/>
    <w:rsid w:val="00AE1B64"/>
    <w:rsid w:val="00AE2379"/>
    <w:rsid w:val="00AE2828"/>
    <w:rsid w:val="00AE3069"/>
    <w:rsid w:val="00AE4A32"/>
    <w:rsid w:val="00AE4EBF"/>
    <w:rsid w:val="00AE5FB4"/>
    <w:rsid w:val="00AE63E8"/>
    <w:rsid w:val="00AE6FC3"/>
    <w:rsid w:val="00AE7012"/>
    <w:rsid w:val="00AE7969"/>
    <w:rsid w:val="00AF0068"/>
    <w:rsid w:val="00AF0457"/>
    <w:rsid w:val="00AF08DC"/>
    <w:rsid w:val="00AF1D41"/>
    <w:rsid w:val="00AF2244"/>
    <w:rsid w:val="00AF23FB"/>
    <w:rsid w:val="00AF2615"/>
    <w:rsid w:val="00AF27FC"/>
    <w:rsid w:val="00AF2C98"/>
    <w:rsid w:val="00AF2DBC"/>
    <w:rsid w:val="00AF4010"/>
    <w:rsid w:val="00AF56F1"/>
    <w:rsid w:val="00AF671B"/>
    <w:rsid w:val="00AF6A75"/>
    <w:rsid w:val="00AF7370"/>
    <w:rsid w:val="00AF7B10"/>
    <w:rsid w:val="00B00889"/>
    <w:rsid w:val="00B0090E"/>
    <w:rsid w:val="00B038B1"/>
    <w:rsid w:val="00B04386"/>
    <w:rsid w:val="00B04628"/>
    <w:rsid w:val="00B0463D"/>
    <w:rsid w:val="00B04F25"/>
    <w:rsid w:val="00B05056"/>
    <w:rsid w:val="00B066F5"/>
    <w:rsid w:val="00B07166"/>
    <w:rsid w:val="00B07187"/>
    <w:rsid w:val="00B07730"/>
    <w:rsid w:val="00B108A8"/>
    <w:rsid w:val="00B11895"/>
    <w:rsid w:val="00B11A2B"/>
    <w:rsid w:val="00B1265C"/>
    <w:rsid w:val="00B134EB"/>
    <w:rsid w:val="00B1351A"/>
    <w:rsid w:val="00B1382C"/>
    <w:rsid w:val="00B1394E"/>
    <w:rsid w:val="00B14026"/>
    <w:rsid w:val="00B14A23"/>
    <w:rsid w:val="00B165B9"/>
    <w:rsid w:val="00B169DE"/>
    <w:rsid w:val="00B17385"/>
    <w:rsid w:val="00B17470"/>
    <w:rsid w:val="00B17668"/>
    <w:rsid w:val="00B17A05"/>
    <w:rsid w:val="00B17D5B"/>
    <w:rsid w:val="00B20863"/>
    <w:rsid w:val="00B21A5B"/>
    <w:rsid w:val="00B22426"/>
    <w:rsid w:val="00B235EE"/>
    <w:rsid w:val="00B24236"/>
    <w:rsid w:val="00B248CC"/>
    <w:rsid w:val="00B24BEA"/>
    <w:rsid w:val="00B24C02"/>
    <w:rsid w:val="00B24C56"/>
    <w:rsid w:val="00B251C6"/>
    <w:rsid w:val="00B26D08"/>
    <w:rsid w:val="00B30448"/>
    <w:rsid w:val="00B31529"/>
    <w:rsid w:val="00B324CA"/>
    <w:rsid w:val="00B32571"/>
    <w:rsid w:val="00B33CE0"/>
    <w:rsid w:val="00B33FF0"/>
    <w:rsid w:val="00B34B97"/>
    <w:rsid w:val="00B358F6"/>
    <w:rsid w:val="00B35A74"/>
    <w:rsid w:val="00B35B70"/>
    <w:rsid w:val="00B35E55"/>
    <w:rsid w:val="00B3647A"/>
    <w:rsid w:val="00B4111D"/>
    <w:rsid w:val="00B422BB"/>
    <w:rsid w:val="00B437B2"/>
    <w:rsid w:val="00B44155"/>
    <w:rsid w:val="00B44804"/>
    <w:rsid w:val="00B450FC"/>
    <w:rsid w:val="00B47473"/>
    <w:rsid w:val="00B50752"/>
    <w:rsid w:val="00B5075F"/>
    <w:rsid w:val="00B50D33"/>
    <w:rsid w:val="00B51173"/>
    <w:rsid w:val="00B51E32"/>
    <w:rsid w:val="00B52905"/>
    <w:rsid w:val="00B53626"/>
    <w:rsid w:val="00B53ABC"/>
    <w:rsid w:val="00B54226"/>
    <w:rsid w:val="00B549FE"/>
    <w:rsid w:val="00B54F17"/>
    <w:rsid w:val="00B554CA"/>
    <w:rsid w:val="00B55F6E"/>
    <w:rsid w:val="00B55FB1"/>
    <w:rsid w:val="00B56350"/>
    <w:rsid w:val="00B56528"/>
    <w:rsid w:val="00B568E0"/>
    <w:rsid w:val="00B570B6"/>
    <w:rsid w:val="00B57932"/>
    <w:rsid w:val="00B60001"/>
    <w:rsid w:val="00B60207"/>
    <w:rsid w:val="00B61AA3"/>
    <w:rsid w:val="00B62159"/>
    <w:rsid w:val="00B622BE"/>
    <w:rsid w:val="00B62A41"/>
    <w:rsid w:val="00B639F7"/>
    <w:rsid w:val="00B64291"/>
    <w:rsid w:val="00B64B36"/>
    <w:rsid w:val="00B6503A"/>
    <w:rsid w:val="00B65195"/>
    <w:rsid w:val="00B658C4"/>
    <w:rsid w:val="00B65B01"/>
    <w:rsid w:val="00B65BDD"/>
    <w:rsid w:val="00B664ED"/>
    <w:rsid w:val="00B66797"/>
    <w:rsid w:val="00B67784"/>
    <w:rsid w:val="00B67EDA"/>
    <w:rsid w:val="00B70426"/>
    <w:rsid w:val="00B70E23"/>
    <w:rsid w:val="00B717A6"/>
    <w:rsid w:val="00B71D71"/>
    <w:rsid w:val="00B71F89"/>
    <w:rsid w:val="00B7274D"/>
    <w:rsid w:val="00B72906"/>
    <w:rsid w:val="00B72B63"/>
    <w:rsid w:val="00B72F93"/>
    <w:rsid w:val="00B7340B"/>
    <w:rsid w:val="00B752F8"/>
    <w:rsid w:val="00B76391"/>
    <w:rsid w:val="00B764E4"/>
    <w:rsid w:val="00B77940"/>
    <w:rsid w:val="00B80037"/>
    <w:rsid w:val="00B81298"/>
    <w:rsid w:val="00B8144E"/>
    <w:rsid w:val="00B817D8"/>
    <w:rsid w:val="00B833A6"/>
    <w:rsid w:val="00B83A7C"/>
    <w:rsid w:val="00B83AB7"/>
    <w:rsid w:val="00B85271"/>
    <w:rsid w:val="00B852D0"/>
    <w:rsid w:val="00B85498"/>
    <w:rsid w:val="00B85A39"/>
    <w:rsid w:val="00B861FD"/>
    <w:rsid w:val="00B8681D"/>
    <w:rsid w:val="00B8691D"/>
    <w:rsid w:val="00B871A4"/>
    <w:rsid w:val="00B873AF"/>
    <w:rsid w:val="00B87560"/>
    <w:rsid w:val="00B9053F"/>
    <w:rsid w:val="00B91581"/>
    <w:rsid w:val="00B91C5D"/>
    <w:rsid w:val="00B91C85"/>
    <w:rsid w:val="00B925E5"/>
    <w:rsid w:val="00B925F2"/>
    <w:rsid w:val="00B926CC"/>
    <w:rsid w:val="00B92823"/>
    <w:rsid w:val="00B92A66"/>
    <w:rsid w:val="00B93322"/>
    <w:rsid w:val="00B93B02"/>
    <w:rsid w:val="00B93C00"/>
    <w:rsid w:val="00B93C9F"/>
    <w:rsid w:val="00B94581"/>
    <w:rsid w:val="00B95104"/>
    <w:rsid w:val="00B96876"/>
    <w:rsid w:val="00B96E0C"/>
    <w:rsid w:val="00BA07F2"/>
    <w:rsid w:val="00BA08FD"/>
    <w:rsid w:val="00BA0B0B"/>
    <w:rsid w:val="00BA0B4F"/>
    <w:rsid w:val="00BA16CA"/>
    <w:rsid w:val="00BA23D2"/>
    <w:rsid w:val="00BA243C"/>
    <w:rsid w:val="00BA28F6"/>
    <w:rsid w:val="00BA2BAF"/>
    <w:rsid w:val="00BA3373"/>
    <w:rsid w:val="00BA37BE"/>
    <w:rsid w:val="00BA3A22"/>
    <w:rsid w:val="00BA3B43"/>
    <w:rsid w:val="00BA3ECB"/>
    <w:rsid w:val="00BA4694"/>
    <w:rsid w:val="00BA4703"/>
    <w:rsid w:val="00BA480F"/>
    <w:rsid w:val="00BA5B01"/>
    <w:rsid w:val="00BA5DA2"/>
    <w:rsid w:val="00BA604B"/>
    <w:rsid w:val="00BA60A8"/>
    <w:rsid w:val="00BA62C6"/>
    <w:rsid w:val="00BA66B9"/>
    <w:rsid w:val="00BA6990"/>
    <w:rsid w:val="00BA7094"/>
    <w:rsid w:val="00BA740E"/>
    <w:rsid w:val="00BB03A1"/>
    <w:rsid w:val="00BB0813"/>
    <w:rsid w:val="00BB0F5A"/>
    <w:rsid w:val="00BB186F"/>
    <w:rsid w:val="00BB20FE"/>
    <w:rsid w:val="00BB21D5"/>
    <w:rsid w:val="00BB2E14"/>
    <w:rsid w:val="00BB2E7D"/>
    <w:rsid w:val="00BB35C4"/>
    <w:rsid w:val="00BB362B"/>
    <w:rsid w:val="00BB562D"/>
    <w:rsid w:val="00BC05A5"/>
    <w:rsid w:val="00BC08FE"/>
    <w:rsid w:val="00BC0E26"/>
    <w:rsid w:val="00BC0EDD"/>
    <w:rsid w:val="00BC1947"/>
    <w:rsid w:val="00BC1DA2"/>
    <w:rsid w:val="00BC1DBF"/>
    <w:rsid w:val="00BC2A81"/>
    <w:rsid w:val="00BC3CD5"/>
    <w:rsid w:val="00BC515B"/>
    <w:rsid w:val="00BC5627"/>
    <w:rsid w:val="00BC579F"/>
    <w:rsid w:val="00BC7819"/>
    <w:rsid w:val="00BD0E38"/>
    <w:rsid w:val="00BD1052"/>
    <w:rsid w:val="00BD174A"/>
    <w:rsid w:val="00BD3A7C"/>
    <w:rsid w:val="00BD5498"/>
    <w:rsid w:val="00BD6364"/>
    <w:rsid w:val="00BD74FD"/>
    <w:rsid w:val="00BE064E"/>
    <w:rsid w:val="00BE0863"/>
    <w:rsid w:val="00BE32BD"/>
    <w:rsid w:val="00BE3C46"/>
    <w:rsid w:val="00BE3F3B"/>
    <w:rsid w:val="00BE4154"/>
    <w:rsid w:val="00BE4456"/>
    <w:rsid w:val="00BE44CB"/>
    <w:rsid w:val="00BE4E3E"/>
    <w:rsid w:val="00BE5F99"/>
    <w:rsid w:val="00BE6230"/>
    <w:rsid w:val="00BE69BF"/>
    <w:rsid w:val="00BF0021"/>
    <w:rsid w:val="00BF00AE"/>
    <w:rsid w:val="00BF089B"/>
    <w:rsid w:val="00BF319D"/>
    <w:rsid w:val="00BF34EF"/>
    <w:rsid w:val="00BF3B19"/>
    <w:rsid w:val="00BF4A3B"/>
    <w:rsid w:val="00BF6D70"/>
    <w:rsid w:val="00BF6D92"/>
    <w:rsid w:val="00BF78AD"/>
    <w:rsid w:val="00C0167B"/>
    <w:rsid w:val="00C025B5"/>
    <w:rsid w:val="00C0383A"/>
    <w:rsid w:val="00C05404"/>
    <w:rsid w:val="00C05436"/>
    <w:rsid w:val="00C05CB1"/>
    <w:rsid w:val="00C06054"/>
    <w:rsid w:val="00C0770E"/>
    <w:rsid w:val="00C077C5"/>
    <w:rsid w:val="00C07AEE"/>
    <w:rsid w:val="00C07C60"/>
    <w:rsid w:val="00C07D01"/>
    <w:rsid w:val="00C10015"/>
    <w:rsid w:val="00C1025B"/>
    <w:rsid w:val="00C10427"/>
    <w:rsid w:val="00C11A36"/>
    <w:rsid w:val="00C11AB5"/>
    <w:rsid w:val="00C12C74"/>
    <w:rsid w:val="00C130FC"/>
    <w:rsid w:val="00C13F4A"/>
    <w:rsid w:val="00C1509B"/>
    <w:rsid w:val="00C17618"/>
    <w:rsid w:val="00C1798B"/>
    <w:rsid w:val="00C206BC"/>
    <w:rsid w:val="00C215A1"/>
    <w:rsid w:val="00C216E6"/>
    <w:rsid w:val="00C21AFE"/>
    <w:rsid w:val="00C227A9"/>
    <w:rsid w:val="00C22FEB"/>
    <w:rsid w:val="00C23ABF"/>
    <w:rsid w:val="00C23CA5"/>
    <w:rsid w:val="00C256CE"/>
    <w:rsid w:val="00C258A5"/>
    <w:rsid w:val="00C25EBB"/>
    <w:rsid w:val="00C26D59"/>
    <w:rsid w:val="00C27297"/>
    <w:rsid w:val="00C303BB"/>
    <w:rsid w:val="00C309A3"/>
    <w:rsid w:val="00C30E79"/>
    <w:rsid w:val="00C31095"/>
    <w:rsid w:val="00C31459"/>
    <w:rsid w:val="00C31B9F"/>
    <w:rsid w:val="00C32300"/>
    <w:rsid w:val="00C339C3"/>
    <w:rsid w:val="00C3427A"/>
    <w:rsid w:val="00C3474C"/>
    <w:rsid w:val="00C34C10"/>
    <w:rsid w:val="00C352D1"/>
    <w:rsid w:val="00C35848"/>
    <w:rsid w:val="00C36619"/>
    <w:rsid w:val="00C36A6A"/>
    <w:rsid w:val="00C3715E"/>
    <w:rsid w:val="00C40C29"/>
    <w:rsid w:val="00C4180C"/>
    <w:rsid w:val="00C422FD"/>
    <w:rsid w:val="00C42A36"/>
    <w:rsid w:val="00C43190"/>
    <w:rsid w:val="00C43DBC"/>
    <w:rsid w:val="00C43E0A"/>
    <w:rsid w:val="00C45CD3"/>
    <w:rsid w:val="00C47343"/>
    <w:rsid w:val="00C478C1"/>
    <w:rsid w:val="00C50349"/>
    <w:rsid w:val="00C50953"/>
    <w:rsid w:val="00C50D11"/>
    <w:rsid w:val="00C50D65"/>
    <w:rsid w:val="00C51BCD"/>
    <w:rsid w:val="00C5203D"/>
    <w:rsid w:val="00C52602"/>
    <w:rsid w:val="00C52D9B"/>
    <w:rsid w:val="00C5319D"/>
    <w:rsid w:val="00C53426"/>
    <w:rsid w:val="00C538A1"/>
    <w:rsid w:val="00C54800"/>
    <w:rsid w:val="00C55840"/>
    <w:rsid w:val="00C60A3E"/>
    <w:rsid w:val="00C60D0E"/>
    <w:rsid w:val="00C631FE"/>
    <w:rsid w:val="00C63897"/>
    <w:rsid w:val="00C649ED"/>
    <w:rsid w:val="00C64D04"/>
    <w:rsid w:val="00C65E78"/>
    <w:rsid w:val="00C6662D"/>
    <w:rsid w:val="00C6681A"/>
    <w:rsid w:val="00C71AC5"/>
    <w:rsid w:val="00C72B62"/>
    <w:rsid w:val="00C72CC0"/>
    <w:rsid w:val="00C73C96"/>
    <w:rsid w:val="00C741EA"/>
    <w:rsid w:val="00C74EAE"/>
    <w:rsid w:val="00C75C90"/>
    <w:rsid w:val="00C80B55"/>
    <w:rsid w:val="00C80B92"/>
    <w:rsid w:val="00C80F26"/>
    <w:rsid w:val="00C81471"/>
    <w:rsid w:val="00C83CC9"/>
    <w:rsid w:val="00C83ECF"/>
    <w:rsid w:val="00C84674"/>
    <w:rsid w:val="00C84ED6"/>
    <w:rsid w:val="00C851EA"/>
    <w:rsid w:val="00C85206"/>
    <w:rsid w:val="00C85420"/>
    <w:rsid w:val="00C85B39"/>
    <w:rsid w:val="00C85F53"/>
    <w:rsid w:val="00C864C4"/>
    <w:rsid w:val="00C86F5C"/>
    <w:rsid w:val="00C87517"/>
    <w:rsid w:val="00C90C7B"/>
    <w:rsid w:val="00C9276F"/>
    <w:rsid w:val="00C92996"/>
    <w:rsid w:val="00C92D60"/>
    <w:rsid w:val="00C933F0"/>
    <w:rsid w:val="00C93CFD"/>
    <w:rsid w:val="00C93FE4"/>
    <w:rsid w:val="00C940C9"/>
    <w:rsid w:val="00C9494C"/>
    <w:rsid w:val="00C94B96"/>
    <w:rsid w:val="00C9511E"/>
    <w:rsid w:val="00C9529D"/>
    <w:rsid w:val="00C9568B"/>
    <w:rsid w:val="00C95E8B"/>
    <w:rsid w:val="00C97A2B"/>
    <w:rsid w:val="00C97E0F"/>
    <w:rsid w:val="00CA0032"/>
    <w:rsid w:val="00CA05D1"/>
    <w:rsid w:val="00CA1381"/>
    <w:rsid w:val="00CA1435"/>
    <w:rsid w:val="00CA191C"/>
    <w:rsid w:val="00CA25DC"/>
    <w:rsid w:val="00CA3316"/>
    <w:rsid w:val="00CA33C9"/>
    <w:rsid w:val="00CA3CDD"/>
    <w:rsid w:val="00CA3D6B"/>
    <w:rsid w:val="00CA44AF"/>
    <w:rsid w:val="00CA45BA"/>
    <w:rsid w:val="00CA46A7"/>
    <w:rsid w:val="00CA46DC"/>
    <w:rsid w:val="00CA56CA"/>
    <w:rsid w:val="00CA5A1C"/>
    <w:rsid w:val="00CA609B"/>
    <w:rsid w:val="00CA7D33"/>
    <w:rsid w:val="00CA7E4F"/>
    <w:rsid w:val="00CB1BEA"/>
    <w:rsid w:val="00CB1BF8"/>
    <w:rsid w:val="00CB1F3E"/>
    <w:rsid w:val="00CB27D2"/>
    <w:rsid w:val="00CB2A88"/>
    <w:rsid w:val="00CB2C56"/>
    <w:rsid w:val="00CB35EC"/>
    <w:rsid w:val="00CB4369"/>
    <w:rsid w:val="00CB4D27"/>
    <w:rsid w:val="00CB58E2"/>
    <w:rsid w:val="00CB7541"/>
    <w:rsid w:val="00CC0808"/>
    <w:rsid w:val="00CC1002"/>
    <w:rsid w:val="00CC101C"/>
    <w:rsid w:val="00CC11D8"/>
    <w:rsid w:val="00CC279A"/>
    <w:rsid w:val="00CC5BEF"/>
    <w:rsid w:val="00CC68EA"/>
    <w:rsid w:val="00CC6C83"/>
    <w:rsid w:val="00CC6DE0"/>
    <w:rsid w:val="00CC767F"/>
    <w:rsid w:val="00CC7DCA"/>
    <w:rsid w:val="00CD1D22"/>
    <w:rsid w:val="00CD2049"/>
    <w:rsid w:val="00CD2277"/>
    <w:rsid w:val="00CD2BDF"/>
    <w:rsid w:val="00CD2C6A"/>
    <w:rsid w:val="00CD3168"/>
    <w:rsid w:val="00CD4C56"/>
    <w:rsid w:val="00CD503D"/>
    <w:rsid w:val="00CD63F1"/>
    <w:rsid w:val="00CD6C57"/>
    <w:rsid w:val="00CD6F9E"/>
    <w:rsid w:val="00CD78E4"/>
    <w:rsid w:val="00CE1688"/>
    <w:rsid w:val="00CE188D"/>
    <w:rsid w:val="00CE1D3C"/>
    <w:rsid w:val="00CE1D59"/>
    <w:rsid w:val="00CE1D94"/>
    <w:rsid w:val="00CE209C"/>
    <w:rsid w:val="00CE37E4"/>
    <w:rsid w:val="00CE3E94"/>
    <w:rsid w:val="00CE4FDE"/>
    <w:rsid w:val="00CE6619"/>
    <w:rsid w:val="00CF07BB"/>
    <w:rsid w:val="00CF1129"/>
    <w:rsid w:val="00CF1148"/>
    <w:rsid w:val="00CF160C"/>
    <w:rsid w:val="00CF171C"/>
    <w:rsid w:val="00CF1CA0"/>
    <w:rsid w:val="00CF28DA"/>
    <w:rsid w:val="00CF2BC1"/>
    <w:rsid w:val="00CF2C6D"/>
    <w:rsid w:val="00CF3165"/>
    <w:rsid w:val="00CF3362"/>
    <w:rsid w:val="00CF4295"/>
    <w:rsid w:val="00CF463B"/>
    <w:rsid w:val="00CF4970"/>
    <w:rsid w:val="00CF5B5C"/>
    <w:rsid w:val="00CF6D50"/>
    <w:rsid w:val="00D0004E"/>
    <w:rsid w:val="00D0069D"/>
    <w:rsid w:val="00D03644"/>
    <w:rsid w:val="00D03D2C"/>
    <w:rsid w:val="00D0414C"/>
    <w:rsid w:val="00D05D77"/>
    <w:rsid w:val="00D06E79"/>
    <w:rsid w:val="00D0721D"/>
    <w:rsid w:val="00D072BD"/>
    <w:rsid w:val="00D1001C"/>
    <w:rsid w:val="00D10F6D"/>
    <w:rsid w:val="00D11AA0"/>
    <w:rsid w:val="00D12E75"/>
    <w:rsid w:val="00D13D2A"/>
    <w:rsid w:val="00D15C0D"/>
    <w:rsid w:val="00D15E82"/>
    <w:rsid w:val="00D16BF2"/>
    <w:rsid w:val="00D2139D"/>
    <w:rsid w:val="00D22E05"/>
    <w:rsid w:val="00D22F13"/>
    <w:rsid w:val="00D23035"/>
    <w:rsid w:val="00D23A11"/>
    <w:rsid w:val="00D24579"/>
    <w:rsid w:val="00D24C70"/>
    <w:rsid w:val="00D24F5C"/>
    <w:rsid w:val="00D24FBD"/>
    <w:rsid w:val="00D25A86"/>
    <w:rsid w:val="00D25D23"/>
    <w:rsid w:val="00D269F1"/>
    <w:rsid w:val="00D26CA5"/>
    <w:rsid w:val="00D26D5D"/>
    <w:rsid w:val="00D274BB"/>
    <w:rsid w:val="00D27B60"/>
    <w:rsid w:val="00D314C2"/>
    <w:rsid w:val="00D32081"/>
    <w:rsid w:val="00D322E3"/>
    <w:rsid w:val="00D3247D"/>
    <w:rsid w:val="00D32955"/>
    <w:rsid w:val="00D330A9"/>
    <w:rsid w:val="00D334D9"/>
    <w:rsid w:val="00D33797"/>
    <w:rsid w:val="00D34194"/>
    <w:rsid w:val="00D360A6"/>
    <w:rsid w:val="00D36180"/>
    <w:rsid w:val="00D36235"/>
    <w:rsid w:val="00D36903"/>
    <w:rsid w:val="00D371DE"/>
    <w:rsid w:val="00D379A7"/>
    <w:rsid w:val="00D40591"/>
    <w:rsid w:val="00D408D3"/>
    <w:rsid w:val="00D40F57"/>
    <w:rsid w:val="00D416F0"/>
    <w:rsid w:val="00D41A22"/>
    <w:rsid w:val="00D43488"/>
    <w:rsid w:val="00D43E1E"/>
    <w:rsid w:val="00D43E2B"/>
    <w:rsid w:val="00D44C4A"/>
    <w:rsid w:val="00D4526C"/>
    <w:rsid w:val="00D4567E"/>
    <w:rsid w:val="00D45773"/>
    <w:rsid w:val="00D45E61"/>
    <w:rsid w:val="00D45F4C"/>
    <w:rsid w:val="00D46160"/>
    <w:rsid w:val="00D46860"/>
    <w:rsid w:val="00D46992"/>
    <w:rsid w:val="00D47779"/>
    <w:rsid w:val="00D519B4"/>
    <w:rsid w:val="00D51BF7"/>
    <w:rsid w:val="00D51D0D"/>
    <w:rsid w:val="00D52263"/>
    <w:rsid w:val="00D524F0"/>
    <w:rsid w:val="00D52516"/>
    <w:rsid w:val="00D536F6"/>
    <w:rsid w:val="00D53932"/>
    <w:rsid w:val="00D53979"/>
    <w:rsid w:val="00D54A7B"/>
    <w:rsid w:val="00D55026"/>
    <w:rsid w:val="00D55928"/>
    <w:rsid w:val="00D55B39"/>
    <w:rsid w:val="00D564EB"/>
    <w:rsid w:val="00D56716"/>
    <w:rsid w:val="00D57826"/>
    <w:rsid w:val="00D57DB3"/>
    <w:rsid w:val="00D602FF"/>
    <w:rsid w:val="00D6055F"/>
    <w:rsid w:val="00D61092"/>
    <w:rsid w:val="00D614F6"/>
    <w:rsid w:val="00D632B9"/>
    <w:rsid w:val="00D6338C"/>
    <w:rsid w:val="00D637A0"/>
    <w:rsid w:val="00D63BEE"/>
    <w:rsid w:val="00D647C3"/>
    <w:rsid w:val="00D64F62"/>
    <w:rsid w:val="00D6503A"/>
    <w:rsid w:val="00D65A2C"/>
    <w:rsid w:val="00D6615A"/>
    <w:rsid w:val="00D67DDE"/>
    <w:rsid w:val="00D70DF5"/>
    <w:rsid w:val="00D71851"/>
    <w:rsid w:val="00D7245C"/>
    <w:rsid w:val="00D72513"/>
    <w:rsid w:val="00D73567"/>
    <w:rsid w:val="00D741D9"/>
    <w:rsid w:val="00D745CB"/>
    <w:rsid w:val="00D745F6"/>
    <w:rsid w:val="00D77100"/>
    <w:rsid w:val="00D771FD"/>
    <w:rsid w:val="00D772E5"/>
    <w:rsid w:val="00D773C6"/>
    <w:rsid w:val="00D77691"/>
    <w:rsid w:val="00D77A09"/>
    <w:rsid w:val="00D77BE6"/>
    <w:rsid w:val="00D811FB"/>
    <w:rsid w:val="00D81269"/>
    <w:rsid w:val="00D81617"/>
    <w:rsid w:val="00D82024"/>
    <w:rsid w:val="00D8202D"/>
    <w:rsid w:val="00D82573"/>
    <w:rsid w:val="00D8343E"/>
    <w:rsid w:val="00D834C5"/>
    <w:rsid w:val="00D85131"/>
    <w:rsid w:val="00D86693"/>
    <w:rsid w:val="00D86F6D"/>
    <w:rsid w:val="00D8752B"/>
    <w:rsid w:val="00D875B5"/>
    <w:rsid w:val="00D9174A"/>
    <w:rsid w:val="00D9179F"/>
    <w:rsid w:val="00D948F6"/>
    <w:rsid w:val="00D94C00"/>
    <w:rsid w:val="00D96C92"/>
    <w:rsid w:val="00D96DBB"/>
    <w:rsid w:val="00D9757A"/>
    <w:rsid w:val="00D97705"/>
    <w:rsid w:val="00D979B3"/>
    <w:rsid w:val="00DA0C66"/>
    <w:rsid w:val="00DA19DC"/>
    <w:rsid w:val="00DA2ECA"/>
    <w:rsid w:val="00DA39BB"/>
    <w:rsid w:val="00DA3D2A"/>
    <w:rsid w:val="00DA404E"/>
    <w:rsid w:val="00DA40A0"/>
    <w:rsid w:val="00DA40AC"/>
    <w:rsid w:val="00DA4133"/>
    <w:rsid w:val="00DA551A"/>
    <w:rsid w:val="00DA5620"/>
    <w:rsid w:val="00DA5FD7"/>
    <w:rsid w:val="00DA745C"/>
    <w:rsid w:val="00DA7C51"/>
    <w:rsid w:val="00DB0C99"/>
    <w:rsid w:val="00DB12BC"/>
    <w:rsid w:val="00DB1D59"/>
    <w:rsid w:val="00DB2B42"/>
    <w:rsid w:val="00DB4809"/>
    <w:rsid w:val="00DB4EEE"/>
    <w:rsid w:val="00DB5D97"/>
    <w:rsid w:val="00DB68D1"/>
    <w:rsid w:val="00DB6B8D"/>
    <w:rsid w:val="00DB6BAF"/>
    <w:rsid w:val="00DB7B5B"/>
    <w:rsid w:val="00DB7E17"/>
    <w:rsid w:val="00DC0CAF"/>
    <w:rsid w:val="00DC0D5C"/>
    <w:rsid w:val="00DC23EF"/>
    <w:rsid w:val="00DC28AE"/>
    <w:rsid w:val="00DC3808"/>
    <w:rsid w:val="00DC3B6C"/>
    <w:rsid w:val="00DC3BD2"/>
    <w:rsid w:val="00DC408C"/>
    <w:rsid w:val="00DC4234"/>
    <w:rsid w:val="00DC482B"/>
    <w:rsid w:val="00DC69E0"/>
    <w:rsid w:val="00DC76A4"/>
    <w:rsid w:val="00DC7747"/>
    <w:rsid w:val="00DD099F"/>
    <w:rsid w:val="00DD0B19"/>
    <w:rsid w:val="00DD0F40"/>
    <w:rsid w:val="00DD105F"/>
    <w:rsid w:val="00DD178D"/>
    <w:rsid w:val="00DD1D38"/>
    <w:rsid w:val="00DD2208"/>
    <w:rsid w:val="00DD2378"/>
    <w:rsid w:val="00DD28E1"/>
    <w:rsid w:val="00DD477B"/>
    <w:rsid w:val="00DD4EC6"/>
    <w:rsid w:val="00DD55DB"/>
    <w:rsid w:val="00DD5EC2"/>
    <w:rsid w:val="00DD5FF8"/>
    <w:rsid w:val="00DD658A"/>
    <w:rsid w:val="00DD68E5"/>
    <w:rsid w:val="00DD7E4D"/>
    <w:rsid w:val="00DE0425"/>
    <w:rsid w:val="00DE0857"/>
    <w:rsid w:val="00DE09C3"/>
    <w:rsid w:val="00DE3946"/>
    <w:rsid w:val="00DE5032"/>
    <w:rsid w:val="00DE568C"/>
    <w:rsid w:val="00DE5CB3"/>
    <w:rsid w:val="00DE6471"/>
    <w:rsid w:val="00DE661C"/>
    <w:rsid w:val="00DE68E4"/>
    <w:rsid w:val="00DE6932"/>
    <w:rsid w:val="00DE7037"/>
    <w:rsid w:val="00DE72EE"/>
    <w:rsid w:val="00DE73FF"/>
    <w:rsid w:val="00DE7A9F"/>
    <w:rsid w:val="00DF13CF"/>
    <w:rsid w:val="00DF1ECA"/>
    <w:rsid w:val="00DF2A2A"/>
    <w:rsid w:val="00DF2C6E"/>
    <w:rsid w:val="00DF324B"/>
    <w:rsid w:val="00DF3304"/>
    <w:rsid w:val="00DF3BA0"/>
    <w:rsid w:val="00DF3CB7"/>
    <w:rsid w:val="00DF545C"/>
    <w:rsid w:val="00DF6181"/>
    <w:rsid w:val="00DF6A5A"/>
    <w:rsid w:val="00DF70BD"/>
    <w:rsid w:val="00DF7156"/>
    <w:rsid w:val="00DF79D4"/>
    <w:rsid w:val="00E00045"/>
    <w:rsid w:val="00E00075"/>
    <w:rsid w:val="00E00B10"/>
    <w:rsid w:val="00E00EC8"/>
    <w:rsid w:val="00E01C14"/>
    <w:rsid w:val="00E02814"/>
    <w:rsid w:val="00E02E7D"/>
    <w:rsid w:val="00E03B0F"/>
    <w:rsid w:val="00E04F28"/>
    <w:rsid w:val="00E06188"/>
    <w:rsid w:val="00E0654C"/>
    <w:rsid w:val="00E06D13"/>
    <w:rsid w:val="00E07085"/>
    <w:rsid w:val="00E0748E"/>
    <w:rsid w:val="00E07774"/>
    <w:rsid w:val="00E11636"/>
    <w:rsid w:val="00E122A8"/>
    <w:rsid w:val="00E13420"/>
    <w:rsid w:val="00E14BA7"/>
    <w:rsid w:val="00E14F01"/>
    <w:rsid w:val="00E1527B"/>
    <w:rsid w:val="00E154A4"/>
    <w:rsid w:val="00E1650E"/>
    <w:rsid w:val="00E16E6A"/>
    <w:rsid w:val="00E16F2B"/>
    <w:rsid w:val="00E17880"/>
    <w:rsid w:val="00E17A71"/>
    <w:rsid w:val="00E17DE0"/>
    <w:rsid w:val="00E21763"/>
    <w:rsid w:val="00E217EA"/>
    <w:rsid w:val="00E23386"/>
    <w:rsid w:val="00E23B9C"/>
    <w:rsid w:val="00E23EE6"/>
    <w:rsid w:val="00E26127"/>
    <w:rsid w:val="00E2714E"/>
    <w:rsid w:val="00E27298"/>
    <w:rsid w:val="00E27DC4"/>
    <w:rsid w:val="00E30F33"/>
    <w:rsid w:val="00E311CE"/>
    <w:rsid w:val="00E339AD"/>
    <w:rsid w:val="00E351AB"/>
    <w:rsid w:val="00E35518"/>
    <w:rsid w:val="00E357A3"/>
    <w:rsid w:val="00E37074"/>
    <w:rsid w:val="00E409BB"/>
    <w:rsid w:val="00E4173F"/>
    <w:rsid w:val="00E42238"/>
    <w:rsid w:val="00E42298"/>
    <w:rsid w:val="00E42788"/>
    <w:rsid w:val="00E431F8"/>
    <w:rsid w:val="00E4341E"/>
    <w:rsid w:val="00E43E46"/>
    <w:rsid w:val="00E440FB"/>
    <w:rsid w:val="00E44EC5"/>
    <w:rsid w:val="00E450AF"/>
    <w:rsid w:val="00E4510C"/>
    <w:rsid w:val="00E452F4"/>
    <w:rsid w:val="00E45777"/>
    <w:rsid w:val="00E46062"/>
    <w:rsid w:val="00E46269"/>
    <w:rsid w:val="00E47400"/>
    <w:rsid w:val="00E47F74"/>
    <w:rsid w:val="00E50336"/>
    <w:rsid w:val="00E50F8F"/>
    <w:rsid w:val="00E51270"/>
    <w:rsid w:val="00E51601"/>
    <w:rsid w:val="00E5242C"/>
    <w:rsid w:val="00E52D2C"/>
    <w:rsid w:val="00E52FAC"/>
    <w:rsid w:val="00E53459"/>
    <w:rsid w:val="00E540D3"/>
    <w:rsid w:val="00E54276"/>
    <w:rsid w:val="00E54B89"/>
    <w:rsid w:val="00E54E85"/>
    <w:rsid w:val="00E55761"/>
    <w:rsid w:val="00E55C4F"/>
    <w:rsid w:val="00E576DD"/>
    <w:rsid w:val="00E577F2"/>
    <w:rsid w:val="00E60275"/>
    <w:rsid w:val="00E610DD"/>
    <w:rsid w:val="00E612DD"/>
    <w:rsid w:val="00E61439"/>
    <w:rsid w:val="00E6266B"/>
    <w:rsid w:val="00E6284D"/>
    <w:rsid w:val="00E63869"/>
    <w:rsid w:val="00E6453E"/>
    <w:rsid w:val="00E648D9"/>
    <w:rsid w:val="00E6508A"/>
    <w:rsid w:val="00E657FD"/>
    <w:rsid w:val="00E66678"/>
    <w:rsid w:val="00E66D74"/>
    <w:rsid w:val="00E677A4"/>
    <w:rsid w:val="00E678BB"/>
    <w:rsid w:val="00E67C31"/>
    <w:rsid w:val="00E70010"/>
    <w:rsid w:val="00E70404"/>
    <w:rsid w:val="00E7043C"/>
    <w:rsid w:val="00E708F7"/>
    <w:rsid w:val="00E71D0C"/>
    <w:rsid w:val="00E72454"/>
    <w:rsid w:val="00E726F4"/>
    <w:rsid w:val="00E730EA"/>
    <w:rsid w:val="00E73607"/>
    <w:rsid w:val="00E73B1E"/>
    <w:rsid w:val="00E74199"/>
    <w:rsid w:val="00E742B7"/>
    <w:rsid w:val="00E74FBE"/>
    <w:rsid w:val="00E75061"/>
    <w:rsid w:val="00E75105"/>
    <w:rsid w:val="00E760C6"/>
    <w:rsid w:val="00E761C8"/>
    <w:rsid w:val="00E76FA0"/>
    <w:rsid w:val="00E77B94"/>
    <w:rsid w:val="00E803D8"/>
    <w:rsid w:val="00E80D57"/>
    <w:rsid w:val="00E80D6E"/>
    <w:rsid w:val="00E8163B"/>
    <w:rsid w:val="00E81F7A"/>
    <w:rsid w:val="00E827D0"/>
    <w:rsid w:val="00E82891"/>
    <w:rsid w:val="00E82B7E"/>
    <w:rsid w:val="00E82D67"/>
    <w:rsid w:val="00E83291"/>
    <w:rsid w:val="00E846A7"/>
    <w:rsid w:val="00E84B1D"/>
    <w:rsid w:val="00E84EBD"/>
    <w:rsid w:val="00E85037"/>
    <w:rsid w:val="00E85289"/>
    <w:rsid w:val="00E86173"/>
    <w:rsid w:val="00E87308"/>
    <w:rsid w:val="00E87C63"/>
    <w:rsid w:val="00E9204A"/>
    <w:rsid w:val="00E93319"/>
    <w:rsid w:val="00E9386D"/>
    <w:rsid w:val="00E94638"/>
    <w:rsid w:val="00E94682"/>
    <w:rsid w:val="00E94D64"/>
    <w:rsid w:val="00E94DC5"/>
    <w:rsid w:val="00E95331"/>
    <w:rsid w:val="00E9571F"/>
    <w:rsid w:val="00E95C62"/>
    <w:rsid w:val="00E962F4"/>
    <w:rsid w:val="00E96504"/>
    <w:rsid w:val="00E96621"/>
    <w:rsid w:val="00E96F5A"/>
    <w:rsid w:val="00E974BA"/>
    <w:rsid w:val="00E97A48"/>
    <w:rsid w:val="00E97ECC"/>
    <w:rsid w:val="00EA036F"/>
    <w:rsid w:val="00EA1FC4"/>
    <w:rsid w:val="00EA228B"/>
    <w:rsid w:val="00EA3F5E"/>
    <w:rsid w:val="00EA5BBC"/>
    <w:rsid w:val="00EA667A"/>
    <w:rsid w:val="00EA6A61"/>
    <w:rsid w:val="00EA728D"/>
    <w:rsid w:val="00EA762F"/>
    <w:rsid w:val="00EA77A4"/>
    <w:rsid w:val="00EA7C1A"/>
    <w:rsid w:val="00EA7FD6"/>
    <w:rsid w:val="00EB044F"/>
    <w:rsid w:val="00EB0653"/>
    <w:rsid w:val="00EB0683"/>
    <w:rsid w:val="00EB1027"/>
    <w:rsid w:val="00EB190A"/>
    <w:rsid w:val="00EB19E0"/>
    <w:rsid w:val="00EB263A"/>
    <w:rsid w:val="00EB2BC2"/>
    <w:rsid w:val="00EB41EE"/>
    <w:rsid w:val="00EB471A"/>
    <w:rsid w:val="00EB5659"/>
    <w:rsid w:val="00EB59E6"/>
    <w:rsid w:val="00EB647E"/>
    <w:rsid w:val="00EB6B78"/>
    <w:rsid w:val="00EB6D68"/>
    <w:rsid w:val="00EC04DF"/>
    <w:rsid w:val="00EC08EB"/>
    <w:rsid w:val="00EC0B4F"/>
    <w:rsid w:val="00EC13B2"/>
    <w:rsid w:val="00EC1F66"/>
    <w:rsid w:val="00EC2CF3"/>
    <w:rsid w:val="00EC3B84"/>
    <w:rsid w:val="00EC3D04"/>
    <w:rsid w:val="00EC45F2"/>
    <w:rsid w:val="00EC52B3"/>
    <w:rsid w:val="00EC5C30"/>
    <w:rsid w:val="00EC5C5E"/>
    <w:rsid w:val="00EC6064"/>
    <w:rsid w:val="00EC62A4"/>
    <w:rsid w:val="00EC7A8A"/>
    <w:rsid w:val="00ED00EB"/>
    <w:rsid w:val="00ED1D8C"/>
    <w:rsid w:val="00ED4950"/>
    <w:rsid w:val="00ED4DEC"/>
    <w:rsid w:val="00ED55AB"/>
    <w:rsid w:val="00ED64AC"/>
    <w:rsid w:val="00ED6A3D"/>
    <w:rsid w:val="00ED7151"/>
    <w:rsid w:val="00ED750C"/>
    <w:rsid w:val="00ED7C8F"/>
    <w:rsid w:val="00EE1C82"/>
    <w:rsid w:val="00EE1E84"/>
    <w:rsid w:val="00EE216B"/>
    <w:rsid w:val="00EE3920"/>
    <w:rsid w:val="00EE3B37"/>
    <w:rsid w:val="00EE474A"/>
    <w:rsid w:val="00EE4D14"/>
    <w:rsid w:val="00EE55D0"/>
    <w:rsid w:val="00EE57A9"/>
    <w:rsid w:val="00EE5E7A"/>
    <w:rsid w:val="00EE6C6C"/>
    <w:rsid w:val="00EE7795"/>
    <w:rsid w:val="00EF093F"/>
    <w:rsid w:val="00EF1688"/>
    <w:rsid w:val="00EF197D"/>
    <w:rsid w:val="00EF1C11"/>
    <w:rsid w:val="00EF2A02"/>
    <w:rsid w:val="00EF330F"/>
    <w:rsid w:val="00EF408D"/>
    <w:rsid w:val="00EF47BD"/>
    <w:rsid w:val="00EF534F"/>
    <w:rsid w:val="00EF5643"/>
    <w:rsid w:val="00EF5DB6"/>
    <w:rsid w:val="00EF66C9"/>
    <w:rsid w:val="00EF70BA"/>
    <w:rsid w:val="00EF7B53"/>
    <w:rsid w:val="00F00D54"/>
    <w:rsid w:val="00F01960"/>
    <w:rsid w:val="00F02178"/>
    <w:rsid w:val="00F025B0"/>
    <w:rsid w:val="00F03784"/>
    <w:rsid w:val="00F06076"/>
    <w:rsid w:val="00F06160"/>
    <w:rsid w:val="00F0624B"/>
    <w:rsid w:val="00F0641A"/>
    <w:rsid w:val="00F1074A"/>
    <w:rsid w:val="00F1081D"/>
    <w:rsid w:val="00F1092A"/>
    <w:rsid w:val="00F121EF"/>
    <w:rsid w:val="00F13419"/>
    <w:rsid w:val="00F138D5"/>
    <w:rsid w:val="00F13DEA"/>
    <w:rsid w:val="00F143F9"/>
    <w:rsid w:val="00F1517D"/>
    <w:rsid w:val="00F15C18"/>
    <w:rsid w:val="00F165D5"/>
    <w:rsid w:val="00F166EC"/>
    <w:rsid w:val="00F16B81"/>
    <w:rsid w:val="00F16E13"/>
    <w:rsid w:val="00F20F4A"/>
    <w:rsid w:val="00F21933"/>
    <w:rsid w:val="00F2193A"/>
    <w:rsid w:val="00F21C11"/>
    <w:rsid w:val="00F223F5"/>
    <w:rsid w:val="00F22963"/>
    <w:rsid w:val="00F22E5A"/>
    <w:rsid w:val="00F23179"/>
    <w:rsid w:val="00F238A7"/>
    <w:rsid w:val="00F25D3E"/>
    <w:rsid w:val="00F265F2"/>
    <w:rsid w:val="00F273F6"/>
    <w:rsid w:val="00F27C6A"/>
    <w:rsid w:val="00F31018"/>
    <w:rsid w:val="00F311FA"/>
    <w:rsid w:val="00F313DE"/>
    <w:rsid w:val="00F31543"/>
    <w:rsid w:val="00F318E5"/>
    <w:rsid w:val="00F32482"/>
    <w:rsid w:val="00F32504"/>
    <w:rsid w:val="00F33737"/>
    <w:rsid w:val="00F35045"/>
    <w:rsid w:val="00F35B0E"/>
    <w:rsid w:val="00F35F1A"/>
    <w:rsid w:val="00F360F2"/>
    <w:rsid w:val="00F40710"/>
    <w:rsid w:val="00F40B36"/>
    <w:rsid w:val="00F40F05"/>
    <w:rsid w:val="00F414DA"/>
    <w:rsid w:val="00F4174C"/>
    <w:rsid w:val="00F423AB"/>
    <w:rsid w:val="00F427C3"/>
    <w:rsid w:val="00F42897"/>
    <w:rsid w:val="00F428CC"/>
    <w:rsid w:val="00F42ECB"/>
    <w:rsid w:val="00F42FB2"/>
    <w:rsid w:val="00F43B30"/>
    <w:rsid w:val="00F43CA3"/>
    <w:rsid w:val="00F43F47"/>
    <w:rsid w:val="00F44967"/>
    <w:rsid w:val="00F459D9"/>
    <w:rsid w:val="00F466AB"/>
    <w:rsid w:val="00F46D3D"/>
    <w:rsid w:val="00F47870"/>
    <w:rsid w:val="00F51D0F"/>
    <w:rsid w:val="00F52005"/>
    <w:rsid w:val="00F52134"/>
    <w:rsid w:val="00F538F7"/>
    <w:rsid w:val="00F54A6E"/>
    <w:rsid w:val="00F54E1F"/>
    <w:rsid w:val="00F55C90"/>
    <w:rsid w:val="00F55D18"/>
    <w:rsid w:val="00F56958"/>
    <w:rsid w:val="00F56A2C"/>
    <w:rsid w:val="00F56D1F"/>
    <w:rsid w:val="00F56E6A"/>
    <w:rsid w:val="00F579D6"/>
    <w:rsid w:val="00F60E61"/>
    <w:rsid w:val="00F61DB8"/>
    <w:rsid w:val="00F61F8A"/>
    <w:rsid w:val="00F62317"/>
    <w:rsid w:val="00F6339A"/>
    <w:rsid w:val="00F636CF"/>
    <w:rsid w:val="00F63BAB"/>
    <w:rsid w:val="00F640EE"/>
    <w:rsid w:val="00F64F78"/>
    <w:rsid w:val="00F655E7"/>
    <w:rsid w:val="00F65C06"/>
    <w:rsid w:val="00F65EFD"/>
    <w:rsid w:val="00F70049"/>
    <w:rsid w:val="00F70213"/>
    <w:rsid w:val="00F70949"/>
    <w:rsid w:val="00F70C97"/>
    <w:rsid w:val="00F70ED2"/>
    <w:rsid w:val="00F71351"/>
    <w:rsid w:val="00F71518"/>
    <w:rsid w:val="00F7191E"/>
    <w:rsid w:val="00F722BF"/>
    <w:rsid w:val="00F724A2"/>
    <w:rsid w:val="00F736E1"/>
    <w:rsid w:val="00F73FD9"/>
    <w:rsid w:val="00F741F7"/>
    <w:rsid w:val="00F747BE"/>
    <w:rsid w:val="00F74896"/>
    <w:rsid w:val="00F75C26"/>
    <w:rsid w:val="00F76788"/>
    <w:rsid w:val="00F80145"/>
    <w:rsid w:val="00F80360"/>
    <w:rsid w:val="00F8073B"/>
    <w:rsid w:val="00F80E02"/>
    <w:rsid w:val="00F81145"/>
    <w:rsid w:val="00F820B2"/>
    <w:rsid w:val="00F82C41"/>
    <w:rsid w:val="00F83AEB"/>
    <w:rsid w:val="00F84143"/>
    <w:rsid w:val="00F84200"/>
    <w:rsid w:val="00F8478E"/>
    <w:rsid w:val="00F84D8C"/>
    <w:rsid w:val="00F854E0"/>
    <w:rsid w:val="00F859ED"/>
    <w:rsid w:val="00F87A84"/>
    <w:rsid w:val="00F87E7E"/>
    <w:rsid w:val="00F87F98"/>
    <w:rsid w:val="00F9029E"/>
    <w:rsid w:val="00F91139"/>
    <w:rsid w:val="00F913BF"/>
    <w:rsid w:val="00F914F8"/>
    <w:rsid w:val="00F930A7"/>
    <w:rsid w:val="00F9312D"/>
    <w:rsid w:val="00F93BB0"/>
    <w:rsid w:val="00F93EDC"/>
    <w:rsid w:val="00F95422"/>
    <w:rsid w:val="00F954D9"/>
    <w:rsid w:val="00F95CDC"/>
    <w:rsid w:val="00F96DFF"/>
    <w:rsid w:val="00F971F2"/>
    <w:rsid w:val="00FA0C6E"/>
    <w:rsid w:val="00FA23B5"/>
    <w:rsid w:val="00FA248E"/>
    <w:rsid w:val="00FA2680"/>
    <w:rsid w:val="00FA288D"/>
    <w:rsid w:val="00FA3837"/>
    <w:rsid w:val="00FA42D3"/>
    <w:rsid w:val="00FA4D54"/>
    <w:rsid w:val="00FA5136"/>
    <w:rsid w:val="00FA5EAA"/>
    <w:rsid w:val="00FA5F9C"/>
    <w:rsid w:val="00FA600A"/>
    <w:rsid w:val="00FA62FA"/>
    <w:rsid w:val="00FA66A0"/>
    <w:rsid w:val="00FA682C"/>
    <w:rsid w:val="00FA7447"/>
    <w:rsid w:val="00FA7689"/>
    <w:rsid w:val="00FA76FD"/>
    <w:rsid w:val="00FA77E7"/>
    <w:rsid w:val="00FB1D51"/>
    <w:rsid w:val="00FB29E1"/>
    <w:rsid w:val="00FB2ACC"/>
    <w:rsid w:val="00FB2C6E"/>
    <w:rsid w:val="00FB3E3C"/>
    <w:rsid w:val="00FB472E"/>
    <w:rsid w:val="00FB54EC"/>
    <w:rsid w:val="00FB5E7F"/>
    <w:rsid w:val="00FB6F23"/>
    <w:rsid w:val="00FB7D11"/>
    <w:rsid w:val="00FC103B"/>
    <w:rsid w:val="00FC11D7"/>
    <w:rsid w:val="00FC1297"/>
    <w:rsid w:val="00FC1F2D"/>
    <w:rsid w:val="00FC1F4A"/>
    <w:rsid w:val="00FC3140"/>
    <w:rsid w:val="00FC37EC"/>
    <w:rsid w:val="00FC3F09"/>
    <w:rsid w:val="00FC4005"/>
    <w:rsid w:val="00FC49F7"/>
    <w:rsid w:val="00FC4A6C"/>
    <w:rsid w:val="00FC4EF8"/>
    <w:rsid w:val="00FC4FA0"/>
    <w:rsid w:val="00FC51F8"/>
    <w:rsid w:val="00FC5569"/>
    <w:rsid w:val="00FC718C"/>
    <w:rsid w:val="00FD0CE1"/>
    <w:rsid w:val="00FD1B26"/>
    <w:rsid w:val="00FD239D"/>
    <w:rsid w:val="00FD2478"/>
    <w:rsid w:val="00FD2A7B"/>
    <w:rsid w:val="00FD3CD9"/>
    <w:rsid w:val="00FD551D"/>
    <w:rsid w:val="00FD5569"/>
    <w:rsid w:val="00FD6560"/>
    <w:rsid w:val="00FD6796"/>
    <w:rsid w:val="00FD6F12"/>
    <w:rsid w:val="00FD71B8"/>
    <w:rsid w:val="00FD7F4E"/>
    <w:rsid w:val="00FE00CB"/>
    <w:rsid w:val="00FE0616"/>
    <w:rsid w:val="00FE08B2"/>
    <w:rsid w:val="00FE1041"/>
    <w:rsid w:val="00FE165A"/>
    <w:rsid w:val="00FE17C8"/>
    <w:rsid w:val="00FE1F51"/>
    <w:rsid w:val="00FE2458"/>
    <w:rsid w:val="00FE2930"/>
    <w:rsid w:val="00FE2E8C"/>
    <w:rsid w:val="00FE2FF0"/>
    <w:rsid w:val="00FE30A3"/>
    <w:rsid w:val="00FE44DC"/>
    <w:rsid w:val="00FE45EA"/>
    <w:rsid w:val="00FE5394"/>
    <w:rsid w:val="00FE63B2"/>
    <w:rsid w:val="00FE6B23"/>
    <w:rsid w:val="00FE6CB8"/>
    <w:rsid w:val="00FE7368"/>
    <w:rsid w:val="00FE7979"/>
    <w:rsid w:val="00FE7C52"/>
    <w:rsid w:val="00FF0BBB"/>
    <w:rsid w:val="00FF0D59"/>
    <w:rsid w:val="00FF1315"/>
    <w:rsid w:val="00FF14E0"/>
    <w:rsid w:val="00FF2CBA"/>
    <w:rsid w:val="00FF3517"/>
    <w:rsid w:val="00FF3A10"/>
    <w:rsid w:val="00FF434F"/>
    <w:rsid w:val="00FF45F4"/>
    <w:rsid w:val="00FF4604"/>
    <w:rsid w:val="00FF53AE"/>
    <w:rsid w:val="00FF5660"/>
    <w:rsid w:val="00FF566D"/>
    <w:rsid w:val="00FF6675"/>
    <w:rsid w:val="00FF67D7"/>
    <w:rsid w:val="00FF714C"/>
    <w:rsid w:val="00FF72F9"/>
    <w:rsid w:val="01EE997F"/>
    <w:rsid w:val="05F6FBF9"/>
    <w:rsid w:val="080927CA"/>
    <w:rsid w:val="0858B1E1"/>
    <w:rsid w:val="0A8A7CD3"/>
    <w:rsid w:val="0FE7ABA2"/>
    <w:rsid w:val="1B9091A1"/>
    <w:rsid w:val="21FB5947"/>
    <w:rsid w:val="28401812"/>
    <w:rsid w:val="28734DC5"/>
    <w:rsid w:val="2FF91998"/>
    <w:rsid w:val="30B8BAB5"/>
    <w:rsid w:val="3445ED8B"/>
    <w:rsid w:val="39F459BC"/>
    <w:rsid w:val="40668E1D"/>
    <w:rsid w:val="423C32C9"/>
    <w:rsid w:val="439914DC"/>
    <w:rsid w:val="4463DABF"/>
    <w:rsid w:val="48602603"/>
    <w:rsid w:val="4A68E621"/>
    <w:rsid w:val="4E246ACC"/>
    <w:rsid w:val="5018A9BA"/>
    <w:rsid w:val="5A950119"/>
    <w:rsid w:val="5BBFD5ED"/>
    <w:rsid w:val="5BE02112"/>
    <w:rsid w:val="617053D7"/>
    <w:rsid w:val="67DEC4F4"/>
    <w:rsid w:val="76728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8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86F"/>
    <w:pPr>
      <w:widowControl w:val="0"/>
      <w:autoSpaceDE w:val="0"/>
      <w:autoSpaceDN w:val="0"/>
      <w:adjustRightInd w:val="0"/>
    </w:pPr>
  </w:style>
  <w:style w:type="paragraph" w:styleId="Heading1">
    <w:name w:val="heading 1"/>
    <w:basedOn w:val="Normal"/>
    <w:next w:val="Normal"/>
    <w:link w:val="Heading1Char"/>
    <w:qFormat/>
    <w:rsid w:val="00450A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605"/>
    <w:pPr>
      <w:keepNext/>
      <w:keepLines/>
      <w:spacing w:before="40"/>
      <w:jc w:val="center"/>
      <w:outlineLvl w:val="1"/>
    </w:pPr>
    <w:rPr>
      <w:rFonts w:ascii="Times New Roman Bold" w:eastAsiaTheme="majorEastAsia" w:hAnsi="Times New Roman Bold"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aliases w:val="Footnote Text Char Char,Footnote Text Char Char1,ALTS FOOTNOTE,fn,Char,Char4,Footnote Text - Preamble,Char2,Footnote Text - Preamble1,Char3,Footnote Text Char1 Char Char,Footnote Text Char Char Char Char,f,Cha,ft, Char,Char11,Char21,C"/>
    <w:basedOn w:val="Normal"/>
    <w:link w:val="FootnoteTextChar"/>
    <w:uiPriority w:val="99"/>
    <w:qFormat/>
    <w:rsid w:val="00552CF0"/>
  </w:style>
  <w:style w:type="character" w:styleId="FootnoteReference">
    <w:name w:val="footnote reference"/>
    <w:aliases w:val="(NECG) Footnote Reference,16 Point,FR,IEE Footnote,Styl,Style 12,Style 13,Style 15,Style 17,Style 18,Style 19,Style 20,Style 28,Style 7,Style 8,Style 9,Superscript 6 Point,fr,fr1,fr2,fr3,o,o1,o2,o3"/>
    <w:uiPriority w:val="99"/>
    <w:qFormat/>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uiPriority w:val="99"/>
    <w:rsid w:val="00907DE1"/>
    <w:rPr>
      <w:sz w:val="16"/>
      <w:szCs w:val="16"/>
    </w:rPr>
  </w:style>
  <w:style w:type="paragraph" w:styleId="CommentText">
    <w:name w:val="annotation text"/>
    <w:basedOn w:val="Normal"/>
    <w:link w:val="CommentTextChar"/>
    <w:uiPriority w:val="99"/>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aliases w:val="Footnote Text Char Char Char,Footnote Text Char Char1 Char,ALTS FOOTNOTE Char,fn Char,Char Char,Char4 Char,Footnote Text - Preamble Char,Char2 Char,Footnote Text - Preamble1 Char,Char3 Char,Footnote Text Char1 Char Char Char,f Char"/>
    <w:basedOn w:val="DefaultParagraphFont"/>
    <w:link w:val="FootnoteText"/>
    <w:uiPriority w:val="99"/>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rsid w:val="009112ED"/>
  </w:style>
  <w:style w:type="character" w:customStyle="1" w:styleId="HeaderChar">
    <w:name w:val="Header Char"/>
    <w:basedOn w:val="DefaultParagraphFont"/>
    <w:link w:val="Header"/>
    <w:uiPriority w:val="99"/>
    <w:rsid w:val="0055093E"/>
  </w:style>
  <w:style w:type="character" w:customStyle="1" w:styleId="FooterChar">
    <w:name w:val="Footer Char"/>
    <w:link w:val="Footer"/>
    <w:uiPriority w:val="99"/>
    <w:rsid w:val="00A0300E"/>
  </w:style>
  <w:style w:type="character" w:styleId="UnresolvedMention">
    <w:name w:val="Unresolved Mention"/>
    <w:basedOn w:val="DefaultParagraphFont"/>
    <w:uiPriority w:val="99"/>
    <w:semiHidden/>
    <w:unhideWhenUsed/>
    <w:rsid w:val="00EC2CF3"/>
    <w:rPr>
      <w:color w:val="605E5C"/>
      <w:shd w:val="clear" w:color="auto" w:fill="E1DFDD"/>
    </w:rPr>
  </w:style>
  <w:style w:type="paragraph" w:styleId="Revision">
    <w:name w:val="Revision"/>
    <w:hidden/>
    <w:uiPriority w:val="99"/>
    <w:semiHidden/>
    <w:rsid w:val="00DA7C51"/>
  </w:style>
  <w:style w:type="character" w:customStyle="1" w:styleId="Heading2Char">
    <w:name w:val="Heading 2 Char"/>
    <w:basedOn w:val="DefaultParagraphFont"/>
    <w:link w:val="Heading2"/>
    <w:rsid w:val="00103605"/>
    <w:rPr>
      <w:rFonts w:ascii="Times New Roman Bold" w:eastAsiaTheme="majorEastAsia" w:hAnsi="Times New Roman Bold" w:cstheme="majorBidi"/>
      <w:b/>
      <w:sz w:val="28"/>
      <w:szCs w:val="26"/>
    </w:rPr>
  </w:style>
  <w:style w:type="paragraph" w:customStyle="1" w:styleId="05Bodytext">
    <w:name w:val="05 Body text"/>
    <w:basedOn w:val="Normal"/>
    <w:autoRedefine/>
    <w:qFormat/>
    <w:rsid w:val="00D41A22"/>
    <w:pPr>
      <w:widowControl/>
      <w:tabs>
        <w:tab w:val="left" w:pos="720"/>
      </w:tabs>
      <w:autoSpaceDE/>
      <w:autoSpaceDN/>
      <w:adjustRightInd/>
      <w:spacing w:before="240" w:after="240" w:line="360" w:lineRule="auto"/>
    </w:pPr>
    <w:rPr>
      <w:color w:val="000000" w:themeColor="text1"/>
      <w:sz w:val="24"/>
    </w:rPr>
  </w:style>
  <w:style w:type="character" w:styleId="Mention">
    <w:name w:val="Mention"/>
    <w:basedOn w:val="DefaultParagraphFont"/>
    <w:uiPriority w:val="99"/>
    <w:unhideWhenUsed/>
    <w:rsid w:val="00E540D3"/>
    <w:rPr>
      <w:color w:val="2B579A"/>
      <w:shd w:val="clear" w:color="auto" w:fill="E1DFDD"/>
    </w:rPr>
  </w:style>
  <w:style w:type="character" w:customStyle="1" w:styleId="GHGHeading1Char">
    <w:name w:val="__GHG Heading 1 Char"/>
    <w:basedOn w:val="DefaultParagraphFont"/>
    <w:link w:val="GHGHeading1"/>
    <w:locked/>
    <w:rsid w:val="00450A14"/>
    <w:rPr>
      <w:b/>
      <w:bCs/>
      <w:color w:val="2E74B5" w:themeColor="accent1" w:themeShade="BF"/>
      <w:kern w:val="36"/>
      <w:sz w:val="24"/>
    </w:rPr>
  </w:style>
  <w:style w:type="paragraph" w:customStyle="1" w:styleId="GHGHeading1">
    <w:name w:val="__GHG Heading 1"/>
    <w:basedOn w:val="Heading1"/>
    <w:link w:val="GHGHeading1Char"/>
    <w:qFormat/>
    <w:rsid w:val="00450A14"/>
    <w:pPr>
      <w:keepNext w:val="0"/>
      <w:keepLines w:val="0"/>
      <w:autoSpaceDE/>
      <w:autoSpaceDN/>
      <w:adjustRightInd/>
      <w:spacing w:before="0" w:line="480" w:lineRule="auto"/>
    </w:pPr>
    <w:rPr>
      <w:rFonts w:ascii="Times New Roman" w:eastAsia="Times New Roman" w:hAnsi="Times New Roman" w:cs="Times New Roman"/>
      <w:b/>
      <w:bCs/>
      <w:kern w:val="36"/>
      <w:sz w:val="24"/>
      <w:szCs w:val="20"/>
    </w:rPr>
  </w:style>
  <w:style w:type="character" w:customStyle="1" w:styleId="Heading1Char">
    <w:name w:val="Heading 1 Char"/>
    <w:basedOn w:val="DefaultParagraphFont"/>
    <w:link w:val="Heading1"/>
    <w:rsid w:val="00450A1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924">
      <w:bodyDiv w:val="1"/>
      <w:marLeft w:val="0"/>
      <w:marRight w:val="0"/>
      <w:marTop w:val="0"/>
      <w:marBottom w:val="0"/>
      <w:divBdr>
        <w:top w:val="none" w:sz="0" w:space="0" w:color="auto"/>
        <w:left w:val="none" w:sz="0" w:space="0" w:color="auto"/>
        <w:bottom w:val="none" w:sz="0" w:space="0" w:color="auto"/>
        <w:right w:val="none" w:sz="0" w:space="0" w:color="auto"/>
      </w:divBdr>
    </w:div>
    <w:div w:id="10954923">
      <w:bodyDiv w:val="1"/>
      <w:marLeft w:val="0"/>
      <w:marRight w:val="0"/>
      <w:marTop w:val="0"/>
      <w:marBottom w:val="0"/>
      <w:divBdr>
        <w:top w:val="none" w:sz="0" w:space="0" w:color="auto"/>
        <w:left w:val="none" w:sz="0" w:space="0" w:color="auto"/>
        <w:bottom w:val="none" w:sz="0" w:space="0" w:color="auto"/>
        <w:right w:val="none" w:sz="0" w:space="0" w:color="auto"/>
      </w:divBdr>
    </w:div>
    <w:div w:id="14039092">
      <w:bodyDiv w:val="1"/>
      <w:marLeft w:val="0"/>
      <w:marRight w:val="0"/>
      <w:marTop w:val="0"/>
      <w:marBottom w:val="0"/>
      <w:divBdr>
        <w:top w:val="none" w:sz="0" w:space="0" w:color="auto"/>
        <w:left w:val="none" w:sz="0" w:space="0" w:color="auto"/>
        <w:bottom w:val="none" w:sz="0" w:space="0" w:color="auto"/>
        <w:right w:val="none" w:sz="0" w:space="0" w:color="auto"/>
      </w:divBdr>
    </w:div>
    <w:div w:id="23678223">
      <w:bodyDiv w:val="1"/>
      <w:marLeft w:val="0"/>
      <w:marRight w:val="0"/>
      <w:marTop w:val="0"/>
      <w:marBottom w:val="0"/>
      <w:divBdr>
        <w:top w:val="none" w:sz="0" w:space="0" w:color="auto"/>
        <w:left w:val="none" w:sz="0" w:space="0" w:color="auto"/>
        <w:bottom w:val="none" w:sz="0" w:space="0" w:color="auto"/>
        <w:right w:val="none" w:sz="0" w:space="0" w:color="auto"/>
      </w:divBdr>
    </w:div>
    <w:div w:id="27685201">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3338381">
      <w:bodyDiv w:val="1"/>
      <w:marLeft w:val="0"/>
      <w:marRight w:val="0"/>
      <w:marTop w:val="0"/>
      <w:marBottom w:val="0"/>
      <w:divBdr>
        <w:top w:val="none" w:sz="0" w:space="0" w:color="auto"/>
        <w:left w:val="none" w:sz="0" w:space="0" w:color="auto"/>
        <w:bottom w:val="none" w:sz="0" w:space="0" w:color="auto"/>
        <w:right w:val="none" w:sz="0" w:space="0" w:color="auto"/>
      </w:divBdr>
    </w:div>
    <w:div w:id="106438699">
      <w:bodyDiv w:val="1"/>
      <w:marLeft w:val="0"/>
      <w:marRight w:val="0"/>
      <w:marTop w:val="0"/>
      <w:marBottom w:val="0"/>
      <w:divBdr>
        <w:top w:val="none" w:sz="0" w:space="0" w:color="auto"/>
        <w:left w:val="none" w:sz="0" w:space="0" w:color="auto"/>
        <w:bottom w:val="none" w:sz="0" w:space="0" w:color="auto"/>
        <w:right w:val="none" w:sz="0" w:space="0" w:color="auto"/>
      </w:divBdr>
    </w:div>
    <w:div w:id="130026989">
      <w:bodyDiv w:val="1"/>
      <w:marLeft w:val="0"/>
      <w:marRight w:val="0"/>
      <w:marTop w:val="0"/>
      <w:marBottom w:val="0"/>
      <w:divBdr>
        <w:top w:val="none" w:sz="0" w:space="0" w:color="auto"/>
        <w:left w:val="none" w:sz="0" w:space="0" w:color="auto"/>
        <w:bottom w:val="none" w:sz="0" w:space="0" w:color="auto"/>
        <w:right w:val="none" w:sz="0" w:space="0" w:color="auto"/>
      </w:divBdr>
    </w:div>
    <w:div w:id="150104627">
      <w:bodyDiv w:val="1"/>
      <w:marLeft w:val="0"/>
      <w:marRight w:val="0"/>
      <w:marTop w:val="0"/>
      <w:marBottom w:val="0"/>
      <w:divBdr>
        <w:top w:val="none" w:sz="0" w:space="0" w:color="auto"/>
        <w:left w:val="none" w:sz="0" w:space="0" w:color="auto"/>
        <w:bottom w:val="none" w:sz="0" w:space="0" w:color="auto"/>
        <w:right w:val="none" w:sz="0" w:space="0" w:color="auto"/>
      </w:divBdr>
    </w:div>
    <w:div w:id="156578333">
      <w:bodyDiv w:val="1"/>
      <w:marLeft w:val="0"/>
      <w:marRight w:val="0"/>
      <w:marTop w:val="0"/>
      <w:marBottom w:val="0"/>
      <w:divBdr>
        <w:top w:val="none" w:sz="0" w:space="0" w:color="auto"/>
        <w:left w:val="none" w:sz="0" w:space="0" w:color="auto"/>
        <w:bottom w:val="none" w:sz="0" w:space="0" w:color="auto"/>
        <w:right w:val="none" w:sz="0" w:space="0" w:color="auto"/>
      </w:divBdr>
    </w:div>
    <w:div w:id="165051978">
      <w:bodyDiv w:val="1"/>
      <w:marLeft w:val="0"/>
      <w:marRight w:val="0"/>
      <w:marTop w:val="0"/>
      <w:marBottom w:val="0"/>
      <w:divBdr>
        <w:top w:val="none" w:sz="0" w:space="0" w:color="auto"/>
        <w:left w:val="none" w:sz="0" w:space="0" w:color="auto"/>
        <w:bottom w:val="none" w:sz="0" w:space="0" w:color="auto"/>
        <w:right w:val="none" w:sz="0" w:space="0" w:color="auto"/>
      </w:divBdr>
    </w:div>
    <w:div w:id="185556749">
      <w:bodyDiv w:val="1"/>
      <w:marLeft w:val="0"/>
      <w:marRight w:val="0"/>
      <w:marTop w:val="0"/>
      <w:marBottom w:val="0"/>
      <w:divBdr>
        <w:top w:val="none" w:sz="0" w:space="0" w:color="auto"/>
        <w:left w:val="none" w:sz="0" w:space="0" w:color="auto"/>
        <w:bottom w:val="none" w:sz="0" w:space="0" w:color="auto"/>
        <w:right w:val="none" w:sz="0" w:space="0" w:color="auto"/>
      </w:divBdr>
    </w:div>
    <w:div w:id="206257754">
      <w:bodyDiv w:val="1"/>
      <w:marLeft w:val="0"/>
      <w:marRight w:val="0"/>
      <w:marTop w:val="0"/>
      <w:marBottom w:val="0"/>
      <w:divBdr>
        <w:top w:val="none" w:sz="0" w:space="0" w:color="auto"/>
        <w:left w:val="none" w:sz="0" w:space="0" w:color="auto"/>
        <w:bottom w:val="none" w:sz="0" w:space="0" w:color="auto"/>
        <w:right w:val="none" w:sz="0" w:space="0" w:color="auto"/>
      </w:divBdr>
    </w:div>
    <w:div w:id="210726865">
      <w:bodyDiv w:val="1"/>
      <w:marLeft w:val="0"/>
      <w:marRight w:val="0"/>
      <w:marTop w:val="0"/>
      <w:marBottom w:val="0"/>
      <w:divBdr>
        <w:top w:val="none" w:sz="0" w:space="0" w:color="auto"/>
        <w:left w:val="none" w:sz="0" w:space="0" w:color="auto"/>
        <w:bottom w:val="none" w:sz="0" w:space="0" w:color="auto"/>
        <w:right w:val="none" w:sz="0" w:space="0" w:color="auto"/>
      </w:divBdr>
    </w:div>
    <w:div w:id="233636208">
      <w:bodyDiv w:val="1"/>
      <w:marLeft w:val="0"/>
      <w:marRight w:val="0"/>
      <w:marTop w:val="0"/>
      <w:marBottom w:val="0"/>
      <w:divBdr>
        <w:top w:val="none" w:sz="0" w:space="0" w:color="auto"/>
        <w:left w:val="none" w:sz="0" w:space="0" w:color="auto"/>
        <w:bottom w:val="none" w:sz="0" w:space="0" w:color="auto"/>
        <w:right w:val="none" w:sz="0" w:space="0" w:color="auto"/>
      </w:divBdr>
    </w:div>
    <w:div w:id="240910721">
      <w:bodyDiv w:val="1"/>
      <w:marLeft w:val="0"/>
      <w:marRight w:val="0"/>
      <w:marTop w:val="0"/>
      <w:marBottom w:val="0"/>
      <w:divBdr>
        <w:top w:val="none" w:sz="0" w:space="0" w:color="auto"/>
        <w:left w:val="none" w:sz="0" w:space="0" w:color="auto"/>
        <w:bottom w:val="none" w:sz="0" w:space="0" w:color="auto"/>
        <w:right w:val="none" w:sz="0" w:space="0" w:color="auto"/>
      </w:divBdr>
    </w:div>
    <w:div w:id="241986998">
      <w:bodyDiv w:val="1"/>
      <w:marLeft w:val="0"/>
      <w:marRight w:val="0"/>
      <w:marTop w:val="0"/>
      <w:marBottom w:val="0"/>
      <w:divBdr>
        <w:top w:val="none" w:sz="0" w:space="0" w:color="auto"/>
        <w:left w:val="none" w:sz="0" w:space="0" w:color="auto"/>
        <w:bottom w:val="none" w:sz="0" w:space="0" w:color="auto"/>
        <w:right w:val="none" w:sz="0" w:space="0" w:color="auto"/>
      </w:divBdr>
    </w:div>
    <w:div w:id="248273164">
      <w:bodyDiv w:val="1"/>
      <w:marLeft w:val="0"/>
      <w:marRight w:val="0"/>
      <w:marTop w:val="0"/>
      <w:marBottom w:val="0"/>
      <w:divBdr>
        <w:top w:val="none" w:sz="0" w:space="0" w:color="auto"/>
        <w:left w:val="none" w:sz="0" w:space="0" w:color="auto"/>
        <w:bottom w:val="none" w:sz="0" w:space="0" w:color="auto"/>
        <w:right w:val="none" w:sz="0" w:space="0" w:color="auto"/>
      </w:divBdr>
    </w:div>
    <w:div w:id="280652600">
      <w:bodyDiv w:val="1"/>
      <w:marLeft w:val="0"/>
      <w:marRight w:val="0"/>
      <w:marTop w:val="0"/>
      <w:marBottom w:val="0"/>
      <w:divBdr>
        <w:top w:val="none" w:sz="0" w:space="0" w:color="auto"/>
        <w:left w:val="none" w:sz="0" w:space="0" w:color="auto"/>
        <w:bottom w:val="none" w:sz="0" w:space="0" w:color="auto"/>
        <w:right w:val="none" w:sz="0" w:space="0" w:color="auto"/>
      </w:divBdr>
    </w:div>
    <w:div w:id="291600208">
      <w:bodyDiv w:val="1"/>
      <w:marLeft w:val="0"/>
      <w:marRight w:val="0"/>
      <w:marTop w:val="0"/>
      <w:marBottom w:val="0"/>
      <w:divBdr>
        <w:top w:val="none" w:sz="0" w:space="0" w:color="auto"/>
        <w:left w:val="none" w:sz="0" w:space="0" w:color="auto"/>
        <w:bottom w:val="none" w:sz="0" w:space="0" w:color="auto"/>
        <w:right w:val="none" w:sz="0" w:space="0" w:color="auto"/>
      </w:divBdr>
    </w:div>
    <w:div w:id="294528891">
      <w:bodyDiv w:val="1"/>
      <w:marLeft w:val="0"/>
      <w:marRight w:val="0"/>
      <w:marTop w:val="0"/>
      <w:marBottom w:val="0"/>
      <w:divBdr>
        <w:top w:val="none" w:sz="0" w:space="0" w:color="auto"/>
        <w:left w:val="none" w:sz="0" w:space="0" w:color="auto"/>
        <w:bottom w:val="none" w:sz="0" w:space="0" w:color="auto"/>
        <w:right w:val="none" w:sz="0" w:space="0" w:color="auto"/>
      </w:divBdr>
    </w:div>
    <w:div w:id="296879716">
      <w:bodyDiv w:val="1"/>
      <w:marLeft w:val="0"/>
      <w:marRight w:val="0"/>
      <w:marTop w:val="0"/>
      <w:marBottom w:val="0"/>
      <w:divBdr>
        <w:top w:val="none" w:sz="0" w:space="0" w:color="auto"/>
        <w:left w:val="none" w:sz="0" w:space="0" w:color="auto"/>
        <w:bottom w:val="none" w:sz="0" w:space="0" w:color="auto"/>
        <w:right w:val="none" w:sz="0" w:space="0" w:color="auto"/>
      </w:divBdr>
    </w:div>
    <w:div w:id="296955811">
      <w:bodyDiv w:val="1"/>
      <w:marLeft w:val="0"/>
      <w:marRight w:val="0"/>
      <w:marTop w:val="0"/>
      <w:marBottom w:val="0"/>
      <w:divBdr>
        <w:top w:val="none" w:sz="0" w:space="0" w:color="auto"/>
        <w:left w:val="none" w:sz="0" w:space="0" w:color="auto"/>
        <w:bottom w:val="none" w:sz="0" w:space="0" w:color="auto"/>
        <w:right w:val="none" w:sz="0" w:space="0" w:color="auto"/>
      </w:divBdr>
    </w:div>
    <w:div w:id="300580858">
      <w:bodyDiv w:val="1"/>
      <w:marLeft w:val="0"/>
      <w:marRight w:val="0"/>
      <w:marTop w:val="0"/>
      <w:marBottom w:val="0"/>
      <w:divBdr>
        <w:top w:val="none" w:sz="0" w:space="0" w:color="auto"/>
        <w:left w:val="none" w:sz="0" w:space="0" w:color="auto"/>
        <w:bottom w:val="none" w:sz="0" w:space="0" w:color="auto"/>
        <w:right w:val="none" w:sz="0" w:space="0" w:color="auto"/>
      </w:divBdr>
    </w:div>
    <w:div w:id="312754209">
      <w:bodyDiv w:val="1"/>
      <w:marLeft w:val="0"/>
      <w:marRight w:val="0"/>
      <w:marTop w:val="0"/>
      <w:marBottom w:val="0"/>
      <w:divBdr>
        <w:top w:val="none" w:sz="0" w:space="0" w:color="auto"/>
        <w:left w:val="none" w:sz="0" w:space="0" w:color="auto"/>
        <w:bottom w:val="none" w:sz="0" w:space="0" w:color="auto"/>
        <w:right w:val="none" w:sz="0" w:space="0" w:color="auto"/>
      </w:divBdr>
    </w:div>
    <w:div w:id="315456609">
      <w:bodyDiv w:val="1"/>
      <w:marLeft w:val="0"/>
      <w:marRight w:val="0"/>
      <w:marTop w:val="0"/>
      <w:marBottom w:val="0"/>
      <w:divBdr>
        <w:top w:val="none" w:sz="0" w:space="0" w:color="auto"/>
        <w:left w:val="none" w:sz="0" w:space="0" w:color="auto"/>
        <w:bottom w:val="none" w:sz="0" w:space="0" w:color="auto"/>
        <w:right w:val="none" w:sz="0" w:space="0" w:color="auto"/>
      </w:divBdr>
    </w:div>
    <w:div w:id="326130682">
      <w:bodyDiv w:val="1"/>
      <w:marLeft w:val="0"/>
      <w:marRight w:val="0"/>
      <w:marTop w:val="0"/>
      <w:marBottom w:val="0"/>
      <w:divBdr>
        <w:top w:val="none" w:sz="0" w:space="0" w:color="auto"/>
        <w:left w:val="none" w:sz="0" w:space="0" w:color="auto"/>
        <w:bottom w:val="none" w:sz="0" w:space="0" w:color="auto"/>
        <w:right w:val="none" w:sz="0" w:space="0" w:color="auto"/>
      </w:divBdr>
    </w:div>
    <w:div w:id="343869817">
      <w:bodyDiv w:val="1"/>
      <w:marLeft w:val="0"/>
      <w:marRight w:val="0"/>
      <w:marTop w:val="0"/>
      <w:marBottom w:val="0"/>
      <w:divBdr>
        <w:top w:val="none" w:sz="0" w:space="0" w:color="auto"/>
        <w:left w:val="none" w:sz="0" w:space="0" w:color="auto"/>
        <w:bottom w:val="none" w:sz="0" w:space="0" w:color="auto"/>
        <w:right w:val="none" w:sz="0" w:space="0" w:color="auto"/>
      </w:divBdr>
    </w:div>
    <w:div w:id="369917153">
      <w:bodyDiv w:val="1"/>
      <w:marLeft w:val="0"/>
      <w:marRight w:val="0"/>
      <w:marTop w:val="0"/>
      <w:marBottom w:val="0"/>
      <w:divBdr>
        <w:top w:val="none" w:sz="0" w:space="0" w:color="auto"/>
        <w:left w:val="none" w:sz="0" w:space="0" w:color="auto"/>
        <w:bottom w:val="none" w:sz="0" w:space="0" w:color="auto"/>
        <w:right w:val="none" w:sz="0" w:space="0" w:color="auto"/>
      </w:divBdr>
    </w:div>
    <w:div w:id="371540184">
      <w:bodyDiv w:val="1"/>
      <w:marLeft w:val="0"/>
      <w:marRight w:val="0"/>
      <w:marTop w:val="0"/>
      <w:marBottom w:val="0"/>
      <w:divBdr>
        <w:top w:val="none" w:sz="0" w:space="0" w:color="auto"/>
        <w:left w:val="none" w:sz="0" w:space="0" w:color="auto"/>
        <w:bottom w:val="none" w:sz="0" w:space="0" w:color="auto"/>
        <w:right w:val="none" w:sz="0" w:space="0" w:color="auto"/>
      </w:divBdr>
    </w:div>
    <w:div w:id="373577235">
      <w:bodyDiv w:val="1"/>
      <w:marLeft w:val="0"/>
      <w:marRight w:val="0"/>
      <w:marTop w:val="0"/>
      <w:marBottom w:val="0"/>
      <w:divBdr>
        <w:top w:val="none" w:sz="0" w:space="0" w:color="auto"/>
        <w:left w:val="none" w:sz="0" w:space="0" w:color="auto"/>
        <w:bottom w:val="none" w:sz="0" w:space="0" w:color="auto"/>
        <w:right w:val="none" w:sz="0" w:space="0" w:color="auto"/>
      </w:divBdr>
    </w:div>
    <w:div w:id="406996039">
      <w:bodyDiv w:val="1"/>
      <w:marLeft w:val="0"/>
      <w:marRight w:val="0"/>
      <w:marTop w:val="0"/>
      <w:marBottom w:val="0"/>
      <w:divBdr>
        <w:top w:val="none" w:sz="0" w:space="0" w:color="auto"/>
        <w:left w:val="none" w:sz="0" w:space="0" w:color="auto"/>
        <w:bottom w:val="none" w:sz="0" w:space="0" w:color="auto"/>
        <w:right w:val="none" w:sz="0" w:space="0" w:color="auto"/>
      </w:divBdr>
    </w:div>
    <w:div w:id="408231948">
      <w:bodyDiv w:val="1"/>
      <w:marLeft w:val="0"/>
      <w:marRight w:val="0"/>
      <w:marTop w:val="0"/>
      <w:marBottom w:val="0"/>
      <w:divBdr>
        <w:top w:val="none" w:sz="0" w:space="0" w:color="auto"/>
        <w:left w:val="none" w:sz="0" w:space="0" w:color="auto"/>
        <w:bottom w:val="none" w:sz="0" w:space="0" w:color="auto"/>
        <w:right w:val="none" w:sz="0" w:space="0" w:color="auto"/>
      </w:divBdr>
    </w:div>
    <w:div w:id="411397386">
      <w:bodyDiv w:val="1"/>
      <w:marLeft w:val="0"/>
      <w:marRight w:val="0"/>
      <w:marTop w:val="0"/>
      <w:marBottom w:val="0"/>
      <w:divBdr>
        <w:top w:val="none" w:sz="0" w:space="0" w:color="auto"/>
        <w:left w:val="none" w:sz="0" w:space="0" w:color="auto"/>
        <w:bottom w:val="none" w:sz="0" w:space="0" w:color="auto"/>
        <w:right w:val="none" w:sz="0" w:space="0" w:color="auto"/>
      </w:divBdr>
    </w:div>
    <w:div w:id="420418195">
      <w:bodyDiv w:val="1"/>
      <w:marLeft w:val="0"/>
      <w:marRight w:val="0"/>
      <w:marTop w:val="0"/>
      <w:marBottom w:val="0"/>
      <w:divBdr>
        <w:top w:val="none" w:sz="0" w:space="0" w:color="auto"/>
        <w:left w:val="none" w:sz="0" w:space="0" w:color="auto"/>
        <w:bottom w:val="none" w:sz="0" w:space="0" w:color="auto"/>
        <w:right w:val="none" w:sz="0" w:space="0" w:color="auto"/>
      </w:divBdr>
    </w:div>
    <w:div w:id="427694880">
      <w:bodyDiv w:val="1"/>
      <w:marLeft w:val="0"/>
      <w:marRight w:val="0"/>
      <w:marTop w:val="0"/>
      <w:marBottom w:val="0"/>
      <w:divBdr>
        <w:top w:val="none" w:sz="0" w:space="0" w:color="auto"/>
        <w:left w:val="none" w:sz="0" w:space="0" w:color="auto"/>
        <w:bottom w:val="none" w:sz="0" w:space="0" w:color="auto"/>
        <w:right w:val="none" w:sz="0" w:space="0" w:color="auto"/>
      </w:divBdr>
    </w:div>
    <w:div w:id="430930802">
      <w:bodyDiv w:val="1"/>
      <w:marLeft w:val="0"/>
      <w:marRight w:val="0"/>
      <w:marTop w:val="0"/>
      <w:marBottom w:val="0"/>
      <w:divBdr>
        <w:top w:val="none" w:sz="0" w:space="0" w:color="auto"/>
        <w:left w:val="none" w:sz="0" w:space="0" w:color="auto"/>
        <w:bottom w:val="none" w:sz="0" w:space="0" w:color="auto"/>
        <w:right w:val="none" w:sz="0" w:space="0" w:color="auto"/>
      </w:divBdr>
    </w:div>
    <w:div w:id="437530784">
      <w:bodyDiv w:val="1"/>
      <w:marLeft w:val="0"/>
      <w:marRight w:val="0"/>
      <w:marTop w:val="0"/>
      <w:marBottom w:val="0"/>
      <w:divBdr>
        <w:top w:val="none" w:sz="0" w:space="0" w:color="auto"/>
        <w:left w:val="none" w:sz="0" w:space="0" w:color="auto"/>
        <w:bottom w:val="none" w:sz="0" w:space="0" w:color="auto"/>
        <w:right w:val="none" w:sz="0" w:space="0" w:color="auto"/>
      </w:divBdr>
    </w:div>
    <w:div w:id="471872794">
      <w:bodyDiv w:val="1"/>
      <w:marLeft w:val="0"/>
      <w:marRight w:val="0"/>
      <w:marTop w:val="0"/>
      <w:marBottom w:val="0"/>
      <w:divBdr>
        <w:top w:val="none" w:sz="0" w:space="0" w:color="auto"/>
        <w:left w:val="none" w:sz="0" w:space="0" w:color="auto"/>
        <w:bottom w:val="none" w:sz="0" w:space="0" w:color="auto"/>
        <w:right w:val="none" w:sz="0" w:space="0" w:color="auto"/>
      </w:divBdr>
    </w:div>
    <w:div w:id="508371089">
      <w:bodyDiv w:val="1"/>
      <w:marLeft w:val="0"/>
      <w:marRight w:val="0"/>
      <w:marTop w:val="0"/>
      <w:marBottom w:val="0"/>
      <w:divBdr>
        <w:top w:val="none" w:sz="0" w:space="0" w:color="auto"/>
        <w:left w:val="none" w:sz="0" w:space="0" w:color="auto"/>
        <w:bottom w:val="none" w:sz="0" w:space="0" w:color="auto"/>
        <w:right w:val="none" w:sz="0" w:space="0" w:color="auto"/>
      </w:divBdr>
    </w:div>
    <w:div w:id="515003670">
      <w:bodyDiv w:val="1"/>
      <w:marLeft w:val="0"/>
      <w:marRight w:val="0"/>
      <w:marTop w:val="0"/>
      <w:marBottom w:val="0"/>
      <w:divBdr>
        <w:top w:val="none" w:sz="0" w:space="0" w:color="auto"/>
        <w:left w:val="none" w:sz="0" w:space="0" w:color="auto"/>
        <w:bottom w:val="none" w:sz="0" w:space="0" w:color="auto"/>
        <w:right w:val="none" w:sz="0" w:space="0" w:color="auto"/>
      </w:divBdr>
    </w:div>
    <w:div w:id="523716162">
      <w:bodyDiv w:val="1"/>
      <w:marLeft w:val="0"/>
      <w:marRight w:val="0"/>
      <w:marTop w:val="0"/>
      <w:marBottom w:val="0"/>
      <w:divBdr>
        <w:top w:val="none" w:sz="0" w:space="0" w:color="auto"/>
        <w:left w:val="none" w:sz="0" w:space="0" w:color="auto"/>
        <w:bottom w:val="none" w:sz="0" w:space="0" w:color="auto"/>
        <w:right w:val="none" w:sz="0" w:space="0" w:color="auto"/>
      </w:divBdr>
    </w:div>
    <w:div w:id="525101169">
      <w:bodyDiv w:val="1"/>
      <w:marLeft w:val="0"/>
      <w:marRight w:val="0"/>
      <w:marTop w:val="0"/>
      <w:marBottom w:val="0"/>
      <w:divBdr>
        <w:top w:val="none" w:sz="0" w:space="0" w:color="auto"/>
        <w:left w:val="none" w:sz="0" w:space="0" w:color="auto"/>
        <w:bottom w:val="none" w:sz="0" w:space="0" w:color="auto"/>
        <w:right w:val="none" w:sz="0" w:space="0" w:color="auto"/>
      </w:divBdr>
    </w:div>
    <w:div w:id="528184400">
      <w:bodyDiv w:val="1"/>
      <w:marLeft w:val="0"/>
      <w:marRight w:val="0"/>
      <w:marTop w:val="0"/>
      <w:marBottom w:val="0"/>
      <w:divBdr>
        <w:top w:val="none" w:sz="0" w:space="0" w:color="auto"/>
        <w:left w:val="none" w:sz="0" w:space="0" w:color="auto"/>
        <w:bottom w:val="none" w:sz="0" w:space="0" w:color="auto"/>
        <w:right w:val="none" w:sz="0" w:space="0" w:color="auto"/>
      </w:divBdr>
    </w:div>
    <w:div w:id="540215122">
      <w:bodyDiv w:val="1"/>
      <w:marLeft w:val="0"/>
      <w:marRight w:val="0"/>
      <w:marTop w:val="0"/>
      <w:marBottom w:val="0"/>
      <w:divBdr>
        <w:top w:val="none" w:sz="0" w:space="0" w:color="auto"/>
        <w:left w:val="none" w:sz="0" w:space="0" w:color="auto"/>
        <w:bottom w:val="none" w:sz="0" w:space="0" w:color="auto"/>
        <w:right w:val="none" w:sz="0" w:space="0" w:color="auto"/>
      </w:divBdr>
    </w:div>
    <w:div w:id="551039474">
      <w:bodyDiv w:val="1"/>
      <w:marLeft w:val="0"/>
      <w:marRight w:val="0"/>
      <w:marTop w:val="0"/>
      <w:marBottom w:val="0"/>
      <w:divBdr>
        <w:top w:val="none" w:sz="0" w:space="0" w:color="auto"/>
        <w:left w:val="none" w:sz="0" w:space="0" w:color="auto"/>
        <w:bottom w:val="none" w:sz="0" w:space="0" w:color="auto"/>
        <w:right w:val="none" w:sz="0" w:space="0" w:color="auto"/>
      </w:divBdr>
    </w:div>
    <w:div w:id="553589379">
      <w:bodyDiv w:val="1"/>
      <w:marLeft w:val="0"/>
      <w:marRight w:val="0"/>
      <w:marTop w:val="0"/>
      <w:marBottom w:val="0"/>
      <w:divBdr>
        <w:top w:val="none" w:sz="0" w:space="0" w:color="auto"/>
        <w:left w:val="none" w:sz="0" w:space="0" w:color="auto"/>
        <w:bottom w:val="none" w:sz="0" w:space="0" w:color="auto"/>
        <w:right w:val="none" w:sz="0" w:space="0" w:color="auto"/>
      </w:divBdr>
    </w:div>
    <w:div w:id="559754112">
      <w:bodyDiv w:val="1"/>
      <w:marLeft w:val="0"/>
      <w:marRight w:val="0"/>
      <w:marTop w:val="0"/>
      <w:marBottom w:val="0"/>
      <w:divBdr>
        <w:top w:val="none" w:sz="0" w:space="0" w:color="auto"/>
        <w:left w:val="none" w:sz="0" w:space="0" w:color="auto"/>
        <w:bottom w:val="none" w:sz="0" w:space="0" w:color="auto"/>
        <w:right w:val="none" w:sz="0" w:space="0" w:color="auto"/>
      </w:divBdr>
    </w:div>
    <w:div w:id="61047449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31331865">
      <w:bodyDiv w:val="1"/>
      <w:marLeft w:val="0"/>
      <w:marRight w:val="0"/>
      <w:marTop w:val="0"/>
      <w:marBottom w:val="0"/>
      <w:divBdr>
        <w:top w:val="none" w:sz="0" w:space="0" w:color="auto"/>
        <w:left w:val="none" w:sz="0" w:space="0" w:color="auto"/>
        <w:bottom w:val="none" w:sz="0" w:space="0" w:color="auto"/>
        <w:right w:val="none" w:sz="0" w:space="0" w:color="auto"/>
      </w:divBdr>
    </w:div>
    <w:div w:id="634986616">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683409804">
      <w:bodyDiv w:val="1"/>
      <w:marLeft w:val="0"/>
      <w:marRight w:val="0"/>
      <w:marTop w:val="0"/>
      <w:marBottom w:val="0"/>
      <w:divBdr>
        <w:top w:val="none" w:sz="0" w:space="0" w:color="auto"/>
        <w:left w:val="none" w:sz="0" w:space="0" w:color="auto"/>
        <w:bottom w:val="none" w:sz="0" w:space="0" w:color="auto"/>
        <w:right w:val="none" w:sz="0" w:space="0" w:color="auto"/>
      </w:divBdr>
    </w:div>
    <w:div w:id="683482918">
      <w:bodyDiv w:val="1"/>
      <w:marLeft w:val="0"/>
      <w:marRight w:val="0"/>
      <w:marTop w:val="0"/>
      <w:marBottom w:val="0"/>
      <w:divBdr>
        <w:top w:val="none" w:sz="0" w:space="0" w:color="auto"/>
        <w:left w:val="none" w:sz="0" w:space="0" w:color="auto"/>
        <w:bottom w:val="none" w:sz="0" w:space="0" w:color="auto"/>
        <w:right w:val="none" w:sz="0" w:space="0" w:color="auto"/>
      </w:divBdr>
    </w:div>
    <w:div w:id="684676246">
      <w:bodyDiv w:val="1"/>
      <w:marLeft w:val="0"/>
      <w:marRight w:val="0"/>
      <w:marTop w:val="0"/>
      <w:marBottom w:val="0"/>
      <w:divBdr>
        <w:top w:val="none" w:sz="0" w:space="0" w:color="auto"/>
        <w:left w:val="none" w:sz="0" w:space="0" w:color="auto"/>
        <w:bottom w:val="none" w:sz="0" w:space="0" w:color="auto"/>
        <w:right w:val="none" w:sz="0" w:space="0" w:color="auto"/>
      </w:divBdr>
    </w:div>
    <w:div w:id="696272808">
      <w:bodyDiv w:val="1"/>
      <w:marLeft w:val="0"/>
      <w:marRight w:val="0"/>
      <w:marTop w:val="0"/>
      <w:marBottom w:val="0"/>
      <w:divBdr>
        <w:top w:val="none" w:sz="0" w:space="0" w:color="auto"/>
        <w:left w:val="none" w:sz="0" w:space="0" w:color="auto"/>
        <w:bottom w:val="none" w:sz="0" w:space="0" w:color="auto"/>
        <w:right w:val="none" w:sz="0" w:space="0" w:color="auto"/>
      </w:divBdr>
    </w:div>
    <w:div w:id="698549623">
      <w:bodyDiv w:val="1"/>
      <w:marLeft w:val="0"/>
      <w:marRight w:val="0"/>
      <w:marTop w:val="0"/>
      <w:marBottom w:val="0"/>
      <w:divBdr>
        <w:top w:val="none" w:sz="0" w:space="0" w:color="auto"/>
        <w:left w:val="none" w:sz="0" w:space="0" w:color="auto"/>
        <w:bottom w:val="none" w:sz="0" w:space="0" w:color="auto"/>
        <w:right w:val="none" w:sz="0" w:space="0" w:color="auto"/>
      </w:divBdr>
    </w:div>
    <w:div w:id="704447933">
      <w:bodyDiv w:val="1"/>
      <w:marLeft w:val="0"/>
      <w:marRight w:val="0"/>
      <w:marTop w:val="0"/>
      <w:marBottom w:val="0"/>
      <w:divBdr>
        <w:top w:val="none" w:sz="0" w:space="0" w:color="auto"/>
        <w:left w:val="none" w:sz="0" w:space="0" w:color="auto"/>
        <w:bottom w:val="none" w:sz="0" w:space="0" w:color="auto"/>
        <w:right w:val="none" w:sz="0" w:space="0" w:color="auto"/>
      </w:divBdr>
    </w:div>
    <w:div w:id="706101962">
      <w:bodyDiv w:val="1"/>
      <w:marLeft w:val="0"/>
      <w:marRight w:val="0"/>
      <w:marTop w:val="0"/>
      <w:marBottom w:val="0"/>
      <w:divBdr>
        <w:top w:val="none" w:sz="0" w:space="0" w:color="auto"/>
        <w:left w:val="none" w:sz="0" w:space="0" w:color="auto"/>
        <w:bottom w:val="none" w:sz="0" w:space="0" w:color="auto"/>
        <w:right w:val="none" w:sz="0" w:space="0" w:color="auto"/>
      </w:divBdr>
    </w:div>
    <w:div w:id="712115670">
      <w:bodyDiv w:val="1"/>
      <w:marLeft w:val="0"/>
      <w:marRight w:val="0"/>
      <w:marTop w:val="0"/>
      <w:marBottom w:val="0"/>
      <w:divBdr>
        <w:top w:val="none" w:sz="0" w:space="0" w:color="auto"/>
        <w:left w:val="none" w:sz="0" w:space="0" w:color="auto"/>
        <w:bottom w:val="none" w:sz="0" w:space="0" w:color="auto"/>
        <w:right w:val="none" w:sz="0" w:space="0" w:color="auto"/>
      </w:divBdr>
    </w:div>
    <w:div w:id="714624806">
      <w:bodyDiv w:val="1"/>
      <w:marLeft w:val="0"/>
      <w:marRight w:val="0"/>
      <w:marTop w:val="0"/>
      <w:marBottom w:val="0"/>
      <w:divBdr>
        <w:top w:val="none" w:sz="0" w:space="0" w:color="auto"/>
        <w:left w:val="none" w:sz="0" w:space="0" w:color="auto"/>
        <w:bottom w:val="none" w:sz="0" w:space="0" w:color="auto"/>
        <w:right w:val="none" w:sz="0" w:space="0" w:color="auto"/>
      </w:divBdr>
    </w:div>
    <w:div w:id="717095568">
      <w:bodyDiv w:val="1"/>
      <w:marLeft w:val="0"/>
      <w:marRight w:val="0"/>
      <w:marTop w:val="0"/>
      <w:marBottom w:val="0"/>
      <w:divBdr>
        <w:top w:val="none" w:sz="0" w:space="0" w:color="auto"/>
        <w:left w:val="none" w:sz="0" w:space="0" w:color="auto"/>
        <w:bottom w:val="none" w:sz="0" w:space="0" w:color="auto"/>
        <w:right w:val="none" w:sz="0" w:space="0" w:color="auto"/>
      </w:divBdr>
    </w:div>
    <w:div w:id="737291100">
      <w:bodyDiv w:val="1"/>
      <w:marLeft w:val="0"/>
      <w:marRight w:val="0"/>
      <w:marTop w:val="0"/>
      <w:marBottom w:val="0"/>
      <w:divBdr>
        <w:top w:val="none" w:sz="0" w:space="0" w:color="auto"/>
        <w:left w:val="none" w:sz="0" w:space="0" w:color="auto"/>
        <w:bottom w:val="none" w:sz="0" w:space="0" w:color="auto"/>
        <w:right w:val="none" w:sz="0" w:space="0" w:color="auto"/>
      </w:divBdr>
    </w:div>
    <w:div w:id="767234680">
      <w:bodyDiv w:val="1"/>
      <w:marLeft w:val="0"/>
      <w:marRight w:val="0"/>
      <w:marTop w:val="0"/>
      <w:marBottom w:val="0"/>
      <w:divBdr>
        <w:top w:val="none" w:sz="0" w:space="0" w:color="auto"/>
        <w:left w:val="none" w:sz="0" w:space="0" w:color="auto"/>
        <w:bottom w:val="none" w:sz="0" w:space="0" w:color="auto"/>
        <w:right w:val="none" w:sz="0" w:space="0" w:color="auto"/>
      </w:divBdr>
    </w:div>
    <w:div w:id="770315035">
      <w:bodyDiv w:val="1"/>
      <w:marLeft w:val="0"/>
      <w:marRight w:val="0"/>
      <w:marTop w:val="0"/>
      <w:marBottom w:val="0"/>
      <w:divBdr>
        <w:top w:val="none" w:sz="0" w:space="0" w:color="auto"/>
        <w:left w:val="none" w:sz="0" w:space="0" w:color="auto"/>
        <w:bottom w:val="none" w:sz="0" w:space="0" w:color="auto"/>
        <w:right w:val="none" w:sz="0" w:space="0" w:color="auto"/>
      </w:divBdr>
    </w:div>
    <w:div w:id="783694367">
      <w:bodyDiv w:val="1"/>
      <w:marLeft w:val="0"/>
      <w:marRight w:val="0"/>
      <w:marTop w:val="0"/>
      <w:marBottom w:val="0"/>
      <w:divBdr>
        <w:top w:val="none" w:sz="0" w:space="0" w:color="auto"/>
        <w:left w:val="none" w:sz="0" w:space="0" w:color="auto"/>
        <w:bottom w:val="none" w:sz="0" w:space="0" w:color="auto"/>
        <w:right w:val="none" w:sz="0" w:space="0" w:color="auto"/>
      </w:divBdr>
    </w:div>
    <w:div w:id="791168257">
      <w:bodyDiv w:val="1"/>
      <w:marLeft w:val="0"/>
      <w:marRight w:val="0"/>
      <w:marTop w:val="0"/>
      <w:marBottom w:val="0"/>
      <w:divBdr>
        <w:top w:val="none" w:sz="0" w:space="0" w:color="auto"/>
        <w:left w:val="none" w:sz="0" w:space="0" w:color="auto"/>
        <w:bottom w:val="none" w:sz="0" w:space="0" w:color="auto"/>
        <w:right w:val="none" w:sz="0" w:space="0" w:color="auto"/>
      </w:divBdr>
    </w:div>
    <w:div w:id="795952137">
      <w:bodyDiv w:val="1"/>
      <w:marLeft w:val="0"/>
      <w:marRight w:val="0"/>
      <w:marTop w:val="0"/>
      <w:marBottom w:val="0"/>
      <w:divBdr>
        <w:top w:val="none" w:sz="0" w:space="0" w:color="auto"/>
        <w:left w:val="none" w:sz="0" w:space="0" w:color="auto"/>
        <w:bottom w:val="none" w:sz="0" w:space="0" w:color="auto"/>
        <w:right w:val="none" w:sz="0" w:space="0" w:color="auto"/>
      </w:divBdr>
    </w:div>
    <w:div w:id="826553852">
      <w:bodyDiv w:val="1"/>
      <w:marLeft w:val="0"/>
      <w:marRight w:val="0"/>
      <w:marTop w:val="0"/>
      <w:marBottom w:val="0"/>
      <w:divBdr>
        <w:top w:val="none" w:sz="0" w:space="0" w:color="auto"/>
        <w:left w:val="none" w:sz="0" w:space="0" w:color="auto"/>
        <w:bottom w:val="none" w:sz="0" w:space="0" w:color="auto"/>
        <w:right w:val="none" w:sz="0" w:space="0" w:color="auto"/>
      </w:divBdr>
    </w:div>
    <w:div w:id="828987578">
      <w:bodyDiv w:val="1"/>
      <w:marLeft w:val="0"/>
      <w:marRight w:val="0"/>
      <w:marTop w:val="0"/>
      <w:marBottom w:val="0"/>
      <w:divBdr>
        <w:top w:val="none" w:sz="0" w:space="0" w:color="auto"/>
        <w:left w:val="none" w:sz="0" w:space="0" w:color="auto"/>
        <w:bottom w:val="none" w:sz="0" w:space="0" w:color="auto"/>
        <w:right w:val="none" w:sz="0" w:space="0" w:color="auto"/>
      </w:divBdr>
    </w:div>
    <w:div w:id="833303203">
      <w:bodyDiv w:val="1"/>
      <w:marLeft w:val="0"/>
      <w:marRight w:val="0"/>
      <w:marTop w:val="0"/>
      <w:marBottom w:val="0"/>
      <w:divBdr>
        <w:top w:val="none" w:sz="0" w:space="0" w:color="auto"/>
        <w:left w:val="none" w:sz="0" w:space="0" w:color="auto"/>
        <w:bottom w:val="none" w:sz="0" w:space="0" w:color="auto"/>
        <w:right w:val="none" w:sz="0" w:space="0" w:color="auto"/>
      </w:divBdr>
    </w:div>
    <w:div w:id="839151574">
      <w:bodyDiv w:val="1"/>
      <w:marLeft w:val="0"/>
      <w:marRight w:val="0"/>
      <w:marTop w:val="0"/>
      <w:marBottom w:val="0"/>
      <w:divBdr>
        <w:top w:val="none" w:sz="0" w:space="0" w:color="auto"/>
        <w:left w:val="none" w:sz="0" w:space="0" w:color="auto"/>
        <w:bottom w:val="none" w:sz="0" w:space="0" w:color="auto"/>
        <w:right w:val="none" w:sz="0" w:space="0" w:color="auto"/>
      </w:divBdr>
    </w:div>
    <w:div w:id="839735297">
      <w:bodyDiv w:val="1"/>
      <w:marLeft w:val="0"/>
      <w:marRight w:val="0"/>
      <w:marTop w:val="0"/>
      <w:marBottom w:val="0"/>
      <w:divBdr>
        <w:top w:val="none" w:sz="0" w:space="0" w:color="auto"/>
        <w:left w:val="none" w:sz="0" w:space="0" w:color="auto"/>
        <w:bottom w:val="none" w:sz="0" w:space="0" w:color="auto"/>
        <w:right w:val="none" w:sz="0" w:space="0" w:color="auto"/>
      </w:divBdr>
    </w:div>
    <w:div w:id="849610446">
      <w:bodyDiv w:val="1"/>
      <w:marLeft w:val="0"/>
      <w:marRight w:val="0"/>
      <w:marTop w:val="0"/>
      <w:marBottom w:val="0"/>
      <w:divBdr>
        <w:top w:val="none" w:sz="0" w:space="0" w:color="auto"/>
        <w:left w:val="none" w:sz="0" w:space="0" w:color="auto"/>
        <w:bottom w:val="none" w:sz="0" w:space="0" w:color="auto"/>
        <w:right w:val="none" w:sz="0" w:space="0" w:color="auto"/>
      </w:divBdr>
    </w:div>
    <w:div w:id="876938750">
      <w:bodyDiv w:val="1"/>
      <w:marLeft w:val="0"/>
      <w:marRight w:val="0"/>
      <w:marTop w:val="0"/>
      <w:marBottom w:val="0"/>
      <w:divBdr>
        <w:top w:val="none" w:sz="0" w:space="0" w:color="auto"/>
        <w:left w:val="none" w:sz="0" w:space="0" w:color="auto"/>
        <w:bottom w:val="none" w:sz="0" w:space="0" w:color="auto"/>
        <w:right w:val="none" w:sz="0" w:space="0" w:color="auto"/>
      </w:divBdr>
    </w:div>
    <w:div w:id="878667025">
      <w:bodyDiv w:val="1"/>
      <w:marLeft w:val="0"/>
      <w:marRight w:val="0"/>
      <w:marTop w:val="0"/>
      <w:marBottom w:val="0"/>
      <w:divBdr>
        <w:top w:val="none" w:sz="0" w:space="0" w:color="auto"/>
        <w:left w:val="none" w:sz="0" w:space="0" w:color="auto"/>
        <w:bottom w:val="none" w:sz="0" w:space="0" w:color="auto"/>
        <w:right w:val="none" w:sz="0" w:space="0" w:color="auto"/>
      </w:divBdr>
    </w:div>
    <w:div w:id="884367242">
      <w:bodyDiv w:val="1"/>
      <w:marLeft w:val="0"/>
      <w:marRight w:val="0"/>
      <w:marTop w:val="0"/>
      <w:marBottom w:val="0"/>
      <w:divBdr>
        <w:top w:val="none" w:sz="0" w:space="0" w:color="auto"/>
        <w:left w:val="none" w:sz="0" w:space="0" w:color="auto"/>
        <w:bottom w:val="none" w:sz="0" w:space="0" w:color="auto"/>
        <w:right w:val="none" w:sz="0" w:space="0" w:color="auto"/>
      </w:divBdr>
    </w:div>
    <w:div w:id="885064044">
      <w:bodyDiv w:val="1"/>
      <w:marLeft w:val="0"/>
      <w:marRight w:val="0"/>
      <w:marTop w:val="0"/>
      <w:marBottom w:val="0"/>
      <w:divBdr>
        <w:top w:val="none" w:sz="0" w:space="0" w:color="auto"/>
        <w:left w:val="none" w:sz="0" w:space="0" w:color="auto"/>
        <w:bottom w:val="none" w:sz="0" w:space="0" w:color="auto"/>
        <w:right w:val="none" w:sz="0" w:space="0" w:color="auto"/>
      </w:divBdr>
    </w:div>
    <w:div w:id="893274075">
      <w:bodyDiv w:val="1"/>
      <w:marLeft w:val="0"/>
      <w:marRight w:val="0"/>
      <w:marTop w:val="0"/>
      <w:marBottom w:val="0"/>
      <w:divBdr>
        <w:top w:val="none" w:sz="0" w:space="0" w:color="auto"/>
        <w:left w:val="none" w:sz="0" w:space="0" w:color="auto"/>
        <w:bottom w:val="none" w:sz="0" w:space="0" w:color="auto"/>
        <w:right w:val="none" w:sz="0" w:space="0" w:color="auto"/>
      </w:divBdr>
    </w:div>
    <w:div w:id="896278604">
      <w:bodyDiv w:val="1"/>
      <w:marLeft w:val="0"/>
      <w:marRight w:val="0"/>
      <w:marTop w:val="0"/>
      <w:marBottom w:val="0"/>
      <w:divBdr>
        <w:top w:val="none" w:sz="0" w:space="0" w:color="auto"/>
        <w:left w:val="none" w:sz="0" w:space="0" w:color="auto"/>
        <w:bottom w:val="none" w:sz="0" w:space="0" w:color="auto"/>
        <w:right w:val="none" w:sz="0" w:space="0" w:color="auto"/>
      </w:divBdr>
    </w:div>
    <w:div w:id="904872582">
      <w:bodyDiv w:val="1"/>
      <w:marLeft w:val="0"/>
      <w:marRight w:val="0"/>
      <w:marTop w:val="0"/>
      <w:marBottom w:val="0"/>
      <w:divBdr>
        <w:top w:val="none" w:sz="0" w:space="0" w:color="auto"/>
        <w:left w:val="none" w:sz="0" w:space="0" w:color="auto"/>
        <w:bottom w:val="none" w:sz="0" w:space="0" w:color="auto"/>
        <w:right w:val="none" w:sz="0" w:space="0" w:color="auto"/>
      </w:divBdr>
    </w:div>
    <w:div w:id="910039876">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32666168">
      <w:bodyDiv w:val="1"/>
      <w:marLeft w:val="0"/>
      <w:marRight w:val="0"/>
      <w:marTop w:val="0"/>
      <w:marBottom w:val="0"/>
      <w:divBdr>
        <w:top w:val="none" w:sz="0" w:space="0" w:color="auto"/>
        <w:left w:val="none" w:sz="0" w:space="0" w:color="auto"/>
        <w:bottom w:val="none" w:sz="0" w:space="0" w:color="auto"/>
        <w:right w:val="none" w:sz="0" w:space="0" w:color="auto"/>
      </w:divBdr>
    </w:div>
    <w:div w:id="935752639">
      <w:bodyDiv w:val="1"/>
      <w:marLeft w:val="0"/>
      <w:marRight w:val="0"/>
      <w:marTop w:val="0"/>
      <w:marBottom w:val="0"/>
      <w:divBdr>
        <w:top w:val="none" w:sz="0" w:space="0" w:color="auto"/>
        <w:left w:val="none" w:sz="0" w:space="0" w:color="auto"/>
        <w:bottom w:val="none" w:sz="0" w:space="0" w:color="auto"/>
        <w:right w:val="none" w:sz="0" w:space="0" w:color="auto"/>
      </w:divBdr>
    </w:div>
    <w:div w:id="947195158">
      <w:bodyDiv w:val="1"/>
      <w:marLeft w:val="0"/>
      <w:marRight w:val="0"/>
      <w:marTop w:val="0"/>
      <w:marBottom w:val="0"/>
      <w:divBdr>
        <w:top w:val="none" w:sz="0" w:space="0" w:color="auto"/>
        <w:left w:val="none" w:sz="0" w:space="0" w:color="auto"/>
        <w:bottom w:val="none" w:sz="0" w:space="0" w:color="auto"/>
        <w:right w:val="none" w:sz="0" w:space="0" w:color="auto"/>
      </w:divBdr>
    </w:div>
    <w:div w:id="959847902">
      <w:bodyDiv w:val="1"/>
      <w:marLeft w:val="0"/>
      <w:marRight w:val="0"/>
      <w:marTop w:val="0"/>
      <w:marBottom w:val="0"/>
      <w:divBdr>
        <w:top w:val="none" w:sz="0" w:space="0" w:color="auto"/>
        <w:left w:val="none" w:sz="0" w:space="0" w:color="auto"/>
        <w:bottom w:val="none" w:sz="0" w:space="0" w:color="auto"/>
        <w:right w:val="none" w:sz="0" w:space="0" w:color="auto"/>
      </w:divBdr>
    </w:div>
    <w:div w:id="961377252">
      <w:bodyDiv w:val="1"/>
      <w:marLeft w:val="0"/>
      <w:marRight w:val="0"/>
      <w:marTop w:val="0"/>
      <w:marBottom w:val="0"/>
      <w:divBdr>
        <w:top w:val="none" w:sz="0" w:space="0" w:color="auto"/>
        <w:left w:val="none" w:sz="0" w:space="0" w:color="auto"/>
        <w:bottom w:val="none" w:sz="0" w:space="0" w:color="auto"/>
        <w:right w:val="none" w:sz="0" w:space="0" w:color="auto"/>
      </w:divBdr>
    </w:div>
    <w:div w:id="966812717">
      <w:bodyDiv w:val="1"/>
      <w:marLeft w:val="0"/>
      <w:marRight w:val="0"/>
      <w:marTop w:val="0"/>
      <w:marBottom w:val="0"/>
      <w:divBdr>
        <w:top w:val="none" w:sz="0" w:space="0" w:color="auto"/>
        <w:left w:val="none" w:sz="0" w:space="0" w:color="auto"/>
        <w:bottom w:val="none" w:sz="0" w:space="0" w:color="auto"/>
        <w:right w:val="none" w:sz="0" w:space="0" w:color="auto"/>
      </w:divBdr>
    </w:div>
    <w:div w:id="1011100596">
      <w:bodyDiv w:val="1"/>
      <w:marLeft w:val="0"/>
      <w:marRight w:val="0"/>
      <w:marTop w:val="0"/>
      <w:marBottom w:val="0"/>
      <w:divBdr>
        <w:top w:val="none" w:sz="0" w:space="0" w:color="auto"/>
        <w:left w:val="none" w:sz="0" w:space="0" w:color="auto"/>
        <w:bottom w:val="none" w:sz="0" w:space="0" w:color="auto"/>
        <w:right w:val="none" w:sz="0" w:space="0" w:color="auto"/>
      </w:divBdr>
    </w:div>
    <w:div w:id="1012299147">
      <w:bodyDiv w:val="1"/>
      <w:marLeft w:val="0"/>
      <w:marRight w:val="0"/>
      <w:marTop w:val="0"/>
      <w:marBottom w:val="0"/>
      <w:divBdr>
        <w:top w:val="none" w:sz="0" w:space="0" w:color="auto"/>
        <w:left w:val="none" w:sz="0" w:space="0" w:color="auto"/>
        <w:bottom w:val="none" w:sz="0" w:space="0" w:color="auto"/>
        <w:right w:val="none" w:sz="0" w:space="0" w:color="auto"/>
      </w:divBdr>
    </w:div>
    <w:div w:id="1021930652">
      <w:bodyDiv w:val="1"/>
      <w:marLeft w:val="0"/>
      <w:marRight w:val="0"/>
      <w:marTop w:val="0"/>
      <w:marBottom w:val="0"/>
      <w:divBdr>
        <w:top w:val="none" w:sz="0" w:space="0" w:color="auto"/>
        <w:left w:val="none" w:sz="0" w:space="0" w:color="auto"/>
        <w:bottom w:val="none" w:sz="0" w:space="0" w:color="auto"/>
        <w:right w:val="none" w:sz="0" w:space="0" w:color="auto"/>
      </w:divBdr>
    </w:div>
    <w:div w:id="1035233122">
      <w:bodyDiv w:val="1"/>
      <w:marLeft w:val="0"/>
      <w:marRight w:val="0"/>
      <w:marTop w:val="0"/>
      <w:marBottom w:val="0"/>
      <w:divBdr>
        <w:top w:val="none" w:sz="0" w:space="0" w:color="auto"/>
        <w:left w:val="none" w:sz="0" w:space="0" w:color="auto"/>
        <w:bottom w:val="none" w:sz="0" w:space="0" w:color="auto"/>
        <w:right w:val="none" w:sz="0" w:space="0" w:color="auto"/>
      </w:divBdr>
    </w:div>
    <w:div w:id="1074354331">
      <w:bodyDiv w:val="1"/>
      <w:marLeft w:val="0"/>
      <w:marRight w:val="0"/>
      <w:marTop w:val="0"/>
      <w:marBottom w:val="0"/>
      <w:divBdr>
        <w:top w:val="none" w:sz="0" w:space="0" w:color="auto"/>
        <w:left w:val="none" w:sz="0" w:space="0" w:color="auto"/>
        <w:bottom w:val="none" w:sz="0" w:space="0" w:color="auto"/>
        <w:right w:val="none" w:sz="0" w:space="0" w:color="auto"/>
      </w:divBdr>
    </w:div>
    <w:div w:id="1074543614">
      <w:bodyDiv w:val="1"/>
      <w:marLeft w:val="0"/>
      <w:marRight w:val="0"/>
      <w:marTop w:val="0"/>
      <w:marBottom w:val="0"/>
      <w:divBdr>
        <w:top w:val="none" w:sz="0" w:space="0" w:color="auto"/>
        <w:left w:val="none" w:sz="0" w:space="0" w:color="auto"/>
        <w:bottom w:val="none" w:sz="0" w:space="0" w:color="auto"/>
        <w:right w:val="none" w:sz="0" w:space="0" w:color="auto"/>
      </w:divBdr>
    </w:div>
    <w:div w:id="1088692336">
      <w:bodyDiv w:val="1"/>
      <w:marLeft w:val="0"/>
      <w:marRight w:val="0"/>
      <w:marTop w:val="0"/>
      <w:marBottom w:val="0"/>
      <w:divBdr>
        <w:top w:val="none" w:sz="0" w:space="0" w:color="auto"/>
        <w:left w:val="none" w:sz="0" w:space="0" w:color="auto"/>
        <w:bottom w:val="none" w:sz="0" w:space="0" w:color="auto"/>
        <w:right w:val="none" w:sz="0" w:space="0" w:color="auto"/>
      </w:divBdr>
    </w:div>
    <w:div w:id="1113281458">
      <w:bodyDiv w:val="1"/>
      <w:marLeft w:val="0"/>
      <w:marRight w:val="0"/>
      <w:marTop w:val="0"/>
      <w:marBottom w:val="0"/>
      <w:divBdr>
        <w:top w:val="none" w:sz="0" w:space="0" w:color="auto"/>
        <w:left w:val="none" w:sz="0" w:space="0" w:color="auto"/>
        <w:bottom w:val="none" w:sz="0" w:space="0" w:color="auto"/>
        <w:right w:val="none" w:sz="0" w:space="0" w:color="auto"/>
      </w:divBdr>
    </w:div>
    <w:div w:id="1127888789">
      <w:bodyDiv w:val="1"/>
      <w:marLeft w:val="0"/>
      <w:marRight w:val="0"/>
      <w:marTop w:val="0"/>
      <w:marBottom w:val="0"/>
      <w:divBdr>
        <w:top w:val="none" w:sz="0" w:space="0" w:color="auto"/>
        <w:left w:val="none" w:sz="0" w:space="0" w:color="auto"/>
        <w:bottom w:val="none" w:sz="0" w:space="0" w:color="auto"/>
        <w:right w:val="none" w:sz="0" w:space="0" w:color="auto"/>
      </w:divBdr>
    </w:div>
    <w:div w:id="1164587053">
      <w:bodyDiv w:val="1"/>
      <w:marLeft w:val="0"/>
      <w:marRight w:val="0"/>
      <w:marTop w:val="0"/>
      <w:marBottom w:val="0"/>
      <w:divBdr>
        <w:top w:val="none" w:sz="0" w:space="0" w:color="auto"/>
        <w:left w:val="none" w:sz="0" w:space="0" w:color="auto"/>
        <w:bottom w:val="none" w:sz="0" w:space="0" w:color="auto"/>
        <w:right w:val="none" w:sz="0" w:space="0" w:color="auto"/>
      </w:divBdr>
    </w:div>
    <w:div w:id="1165977718">
      <w:bodyDiv w:val="1"/>
      <w:marLeft w:val="0"/>
      <w:marRight w:val="0"/>
      <w:marTop w:val="0"/>
      <w:marBottom w:val="0"/>
      <w:divBdr>
        <w:top w:val="none" w:sz="0" w:space="0" w:color="auto"/>
        <w:left w:val="none" w:sz="0" w:space="0" w:color="auto"/>
        <w:bottom w:val="none" w:sz="0" w:space="0" w:color="auto"/>
        <w:right w:val="none" w:sz="0" w:space="0" w:color="auto"/>
      </w:divBdr>
    </w:div>
    <w:div w:id="1172374795">
      <w:bodyDiv w:val="1"/>
      <w:marLeft w:val="0"/>
      <w:marRight w:val="0"/>
      <w:marTop w:val="0"/>
      <w:marBottom w:val="0"/>
      <w:divBdr>
        <w:top w:val="none" w:sz="0" w:space="0" w:color="auto"/>
        <w:left w:val="none" w:sz="0" w:space="0" w:color="auto"/>
        <w:bottom w:val="none" w:sz="0" w:space="0" w:color="auto"/>
        <w:right w:val="none" w:sz="0" w:space="0" w:color="auto"/>
      </w:divBdr>
    </w:div>
    <w:div w:id="1175850581">
      <w:bodyDiv w:val="1"/>
      <w:marLeft w:val="0"/>
      <w:marRight w:val="0"/>
      <w:marTop w:val="0"/>
      <w:marBottom w:val="0"/>
      <w:divBdr>
        <w:top w:val="none" w:sz="0" w:space="0" w:color="auto"/>
        <w:left w:val="none" w:sz="0" w:space="0" w:color="auto"/>
        <w:bottom w:val="none" w:sz="0" w:space="0" w:color="auto"/>
        <w:right w:val="none" w:sz="0" w:space="0" w:color="auto"/>
      </w:divBdr>
    </w:div>
    <w:div w:id="119295883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23368770">
      <w:bodyDiv w:val="1"/>
      <w:marLeft w:val="0"/>
      <w:marRight w:val="0"/>
      <w:marTop w:val="0"/>
      <w:marBottom w:val="0"/>
      <w:divBdr>
        <w:top w:val="none" w:sz="0" w:space="0" w:color="auto"/>
        <w:left w:val="none" w:sz="0" w:space="0" w:color="auto"/>
        <w:bottom w:val="none" w:sz="0" w:space="0" w:color="auto"/>
        <w:right w:val="none" w:sz="0" w:space="0" w:color="auto"/>
      </w:divBdr>
    </w:div>
    <w:div w:id="1234468858">
      <w:bodyDiv w:val="1"/>
      <w:marLeft w:val="0"/>
      <w:marRight w:val="0"/>
      <w:marTop w:val="0"/>
      <w:marBottom w:val="0"/>
      <w:divBdr>
        <w:top w:val="none" w:sz="0" w:space="0" w:color="auto"/>
        <w:left w:val="none" w:sz="0" w:space="0" w:color="auto"/>
        <w:bottom w:val="none" w:sz="0" w:space="0" w:color="auto"/>
        <w:right w:val="none" w:sz="0" w:space="0" w:color="auto"/>
      </w:divBdr>
    </w:div>
    <w:div w:id="1257982350">
      <w:bodyDiv w:val="1"/>
      <w:marLeft w:val="0"/>
      <w:marRight w:val="0"/>
      <w:marTop w:val="0"/>
      <w:marBottom w:val="0"/>
      <w:divBdr>
        <w:top w:val="none" w:sz="0" w:space="0" w:color="auto"/>
        <w:left w:val="none" w:sz="0" w:space="0" w:color="auto"/>
        <w:bottom w:val="none" w:sz="0" w:space="0" w:color="auto"/>
        <w:right w:val="none" w:sz="0" w:space="0" w:color="auto"/>
      </w:divBdr>
    </w:div>
    <w:div w:id="1277105794">
      <w:bodyDiv w:val="1"/>
      <w:marLeft w:val="0"/>
      <w:marRight w:val="0"/>
      <w:marTop w:val="0"/>
      <w:marBottom w:val="0"/>
      <w:divBdr>
        <w:top w:val="none" w:sz="0" w:space="0" w:color="auto"/>
        <w:left w:val="none" w:sz="0" w:space="0" w:color="auto"/>
        <w:bottom w:val="none" w:sz="0" w:space="0" w:color="auto"/>
        <w:right w:val="none" w:sz="0" w:space="0" w:color="auto"/>
      </w:divBdr>
    </w:div>
    <w:div w:id="1280140130">
      <w:bodyDiv w:val="1"/>
      <w:marLeft w:val="0"/>
      <w:marRight w:val="0"/>
      <w:marTop w:val="0"/>
      <w:marBottom w:val="0"/>
      <w:divBdr>
        <w:top w:val="none" w:sz="0" w:space="0" w:color="auto"/>
        <w:left w:val="none" w:sz="0" w:space="0" w:color="auto"/>
        <w:bottom w:val="none" w:sz="0" w:space="0" w:color="auto"/>
        <w:right w:val="none" w:sz="0" w:space="0" w:color="auto"/>
      </w:divBdr>
    </w:div>
    <w:div w:id="1289167372">
      <w:bodyDiv w:val="1"/>
      <w:marLeft w:val="0"/>
      <w:marRight w:val="0"/>
      <w:marTop w:val="0"/>
      <w:marBottom w:val="0"/>
      <w:divBdr>
        <w:top w:val="none" w:sz="0" w:space="0" w:color="auto"/>
        <w:left w:val="none" w:sz="0" w:space="0" w:color="auto"/>
        <w:bottom w:val="none" w:sz="0" w:space="0" w:color="auto"/>
        <w:right w:val="none" w:sz="0" w:space="0" w:color="auto"/>
      </w:divBdr>
    </w:div>
    <w:div w:id="1298337523">
      <w:bodyDiv w:val="1"/>
      <w:marLeft w:val="0"/>
      <w:marRight w:val="0"/>
      <w:marTop w:val="0"/>
      <w:marBottom w:val="0"/>
      <w:divBdr>
        <w:top w:val="none" w:sz="0" w:space="0" w:color="auto"/>
        <w:left w:val="none" w:sz="0" w:space="0" w:color="auto"/>
        <w:bottom w:val="none" w:sz="0" w:space="0" w:color="auto"/>
        <w:right w:val="none" w:sz="0" w:space="0" w:color="auto"/>
      </w:divBdr>
    </w:div>
    <w:div w:id="1318530618">
      <w:bodyDiv w:val="1"/>
      <w:marLeft w:val="0"/>
      <w:marRight w:val="0"/>
      <w:marTop w:val="0"/>
      <w:marBottom w:val="0"/>
      <w:divBdr>
        <w:top w:val="none" w:sz="0" w:space="0" w:color="auto"/>
        <w:left w:val="none" w:sz="0" w:space="0" w:color="auto"/>
        <w:bottom w:val="none" w:sz="0" w:space="0" w:color="auto"/>
        <w:right w:val="none" w:sz="0" w:space="0" w:color="auto"/>
      </w:divBdr>
    </w:div>
    <w:div w:id="1319722614">
      <w:bodyDiv w:val="1"/>
      <w:marLeft w:val="0"/>
      <w:marRight w:val="0"/>
      <w:marTop w:val="0"/>
      <w:marBottom w:val="0"/>
      <w:divBdr>
        <w:top w:val="none" w:sz="0" w:space="0" w:color="auto"/>
        <w:left w:val="none" w:sz="0" w:space="0" w:color="auto"/>
        <w:bottom w:val="none" w:sz="0" w:space="0" w:color="auto"/>
        <w:right w:val="none" w:sz="0" w:space="0" w:color="auto"/>
      </w:divBdr>
    </w:div>
    <w:div w:id="1320034377">
      <w:bodyDiv w:val="1"/>
      <w:marLeft w:val="0"/>
      <w:marRight w:val="0"/>
      <w:marTop w:val="0"/>
      <w:marBottom w:val="0"/>
      <w:divBdr>
        <w:top w:val="none" w:sz="0" w:space="0" w:color="auto"/>
        <w:left w:val="none" w:sz="0" w:space="0" w:color="auto"/>
        <w:bottom w:val="none" w:sz="0" w:space="0" w:color="auto"/>
        <w:right w:val="none" w:sz="0" w:space="0" w:color="auto"/>
      </w:divBdr>
    </w:div>
    <w:div w:id="1331905716">
      <w:bodyDiv w:val="1"/>
      <w:marLeft w:val="0"/>
      <w:marRight w:val="0"/>
      <w:marTop w:val="0"/>
      <w:marBottom w:val="0"/>
      <w:divBdr>
        <w:top w:val="none" w:sz="0" w:space="0" w:color="auto"/>
        <w:left w:val="none" w:sz="0" w:space="0" w:color="auto"/>
        <w:bottom w:val="none" w:sz="0" w:space="0" w:color="auto"/>
        <w:right w:val="none" w:sz="0" w:space="0" w:color="auto"/>
      </w:divBdr>
    </w:div>
    <w:div w:id="1337734702">
      <w:bodyDiv w:val="1"/>
      <w:marLeft w:val="0"/>
      <w:marRight w:val="0"/>
      <w:marTop w:val="0"/>
      <w:marBottom w:val="0"/>
      <w:divBdr>
        <w:top w:val="none" w:sz="0" w:space="0" w:color="auto"/>
        <w:left w:val="none" w:sz="0" w:space="0" w:color="auto"/>
        <w:bottom w:val="none" w:sz="0" w:space="0" w:color="auto"/>
        <w:right w:val="none" w:sz="0" w:space="0" w:color="auto"/>
      </w:divBdr>
    </w:div>
    <w:div w:id="1364013399">
      <w:bodyDiv w:val="1"/>
      <w:marLeft w:val="0"/>
      <w:marRight w:val="0"/>
      <w:marTop w:val="0"/>
      <w:marBottom w:val="0"/>
      <w:divBdr>
        <w:top w:val="none" w:sz="0" w:space="0" w:color="auto"/>
        <w:left w:val="none" w:sz="0" w:space="0" w:color="auto"/>
        <w:bottom w:val="none" w:sz="0" w:space="0" w:color="auto"/>
        <w:right w:val="none" w:sz="0" w:space="0" w:color="auto"/>
      </w:divBdr>
    </w:div>
    <w:div w:id="1377581849">
      <w:bodyDiv w:val="1"/>
      <w:marLeft w:val="0"/>
      <w:marRight w:val="0"/>
      <w:marTop w:val="0"/>
      <w:marBottom w:val="0"/>
      <w:divBdr>
        <w:top w:val="none" w:sz="0" w:space="0" w:color="auto"/>
        <w:left w:val="none" w:sz="0" w:space="0" w:color="auto"/>
        <w:bottom w:val="none" w:sz="0" w:space="0" w:color="auto"/>
        <w:right w:val="none" w:sz="0" w:space="0" w:color="auto"/>
      </w:divBdr>
    </w:div>
    <w:div w:id="1378159100">
      <w:bodyDiv w:val="1"/>
      <w:marLeft w:val="0"/>
      <w:marRight w:val="0"/>
      <w:marTop w:val="0"/>
      <w:marBottom w:val="0"/>
      <w:divBdr>
        <w:top w:val="none" w:sz="0" w:space="0" w:color="auto"/>
        <w:left w:val="none" w:sz="0" w:space="0" w:color="auto"/>
        <w:bottom w:val="none" w:sz="0" w:space="0" w:color="auto"/>
        <w:right w:val="none" w:sz="0" w:space="0" w:color="auto"/>
      </w:divBdr>
    </w:div>
    <w:div w:id="1382169361">
      <w:bodyDiv w:val="1"/>
      <w:marLeft w:val="0"/>
      <w:marRight w:val="0"/>
      <w:marTop w:val="0"/>
      <w:marBottom w:val="0"/>
      <w:divBdr>
        <w:top w:val="none" w:sz="0" w:space="0" w:color="auto"/>
        <w:left w:val="none" w:sz="0" w:space="0" w:color="auto"/>
        <w:bottom w:val="none" w:sz="0" w:space="0" w:color="auto"/>
        <w:right w:val="none" w:sz="0" w:space="0" w:color="auto"/>
      </w:divBdr>
    </w:div>
    <w:div w:id="1392146143">
      <w:bodyDiv w:val="1"/>
      <w:marLeft w:val="0"/>
      <w:marRight w:val="0"/>
      <w:marTop w:val="0"/>
      <w:marBottom w:val="0"/>
      <w:divBdr>
        <w:top w:val="none" w:sz="0" w:space="0" w:color="auto"/>
        <w:left w:val="none" w:sz="0" w:space="0" w:color="auto"/>
        <w:bottom w:val="none" w:sz="0" w:space="0" w:color="auto"/>
        <w:right w:val="none" w:sz="0" w:space="0" w:color="auto"/>
      </w:divBdr>
    </w:div>
    <w:div w:id="1393777099">
      <w:bodyDiv w:val="1"/>
      <w:marLeft w:val="0"/>
      <w:marRight w:val="0"/>
      <w:marTop w:val="0"/>
      <w:marBottom w:val="0"/>
      <w:divBdr>
        <w:top w:val="none" w:sz="0" w:space="0" w:color="auto"/>
        <w:left w:val="none" w:sz="0" w:space="0" w:color="auto"/>
        <w:bottom w:val="none" w:sz="0" w:space="0" w:color="auto"/>
        <w:right w:val="none" w:sz="0" w:space="0" w:color="auto"/>
      </w:divBdr>
    </w:div>
    <w:div w:id="1411536638">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436244711">
      <w:bodyDiv w:val="1"/>
      <w:marLeft w:val="0"/>
      <w:marRight w:val="0"/>
      <w:marTop w:val="0"/>
      <w:marBottom w:val="0"/>
      <w:divBdr>
        <w:top w:val="none" w:sz="0" w:space="0" w:color="auto"/>
        <w:left w:val="none" w:sz="0" w:space="0" w:color="auto"/>
        <w:bottom w:val="none" w:sz="0" w:space="0" w:color="auto"/>
        <w:right w:val="none" w:sz="0" w:space="0" w:color="auto"/>
      </w:divBdr>
    </w:div>
    <w:div w:id="1456827395">
      <w:bodyDiv w:val="1"/>
      <w:marLeft w:val="0"/>
      <w:marRight w:val="0"/>
      <w:marTop w:val="0"/>
      <w:marBottom w:val="0"/>
      <w:divBdr>
        <w:top w:val="none" w:sz="0" w:space="0" w:color="auto"/>
        <w:left w:val="none" w:sz="0" w:space="0" w:color="auto"/>
        <w:bottom w:val="none" w:sz="0" w:space="0" w:color="auto"/>
        <w:right w:val="none" w:sz="0" w:space="0" w:color="auto"/>
      </w:divBdr>
    </w:div>
    <w:div w:id="1480340011">
      <w:bodyDiv w:val="1"/>
      <w:marLeft w:val="0"/>
      <w:marRight w:val="0"/>
      <w:marTop w:val="0"/>
      <w:marBottom w:val="0"/>
      <w:divBdr>
        <w:top w:val="none" w:sz="0" w:space="0" w:color="auto"/>
        <w:left w:val="none" w:sz="0" w:space="0" w:color="auto"/>
        <w:bottom w:val="none" w:sz="0" w:space="0" w:color="auto"/>
        <w:right w:val="none" w:sz="0" w:space="0" w:color="auto"/>
      </w:divBdr>
    </w:div>
    <w:div w:id="1505626858">
      <w:bodyDiv w:val="1"/>
      <w:marLeft w:val="0"/>
      <w:marRight w:val="0"/>
      <w:marTop w:val="0"/>
      <w:marBottom w:val="0"/>
      <w:divBdr>
        <w:top w:val="none" w:sz="0" w:space="0" w:color="auto"/>
        <w:left w:val="none" w:sz="0" w:space="0" w:color="auto"/>
        <w:bottom w:val="none" w:sz="0" w:space="0" w:color="auto"/>
        <w:right w:val="none" w:sz="0" w:space="0" w:color="auto"/>
      </w:divBdr>
    </w:div>
    <w:div w:id="1523589747">
      <w:bodyDiv w:val="1"/>
      <w:marLeft w:val="0"/>
      <w:marRight w:val="0"/>
      <w:marTop w:val="0"/>
      <w:marBottom w:val="0"/>
      <w:divBdr>
        <w:top w:val="none" w:sz="0" w:space="0" w:color="auto"/>
        <w:left w:val="none" w:sz="0" w:space="0" w:color="auto"/>
        <w:bottom w:val="none" w:sz="0" w:space="0" w:color="auto"/>
        <w:right w:val="none" w:sz="0" w:space="0" w:color="auto"/>
      </w:divBdr>
    </w:div>
    <w:div w:id="1531263812">
      <w:bodyDiv w:val="1"/>
      <w:marLeft w:val="0"/>
      <w:marRight w:val="0"/>
      <w:marTop w:val="0"/>
      <w:marBottom w:val="0"/>
      <w:divBdr>
        <w:top w:val="none" w:sz="0" w:space="0" w:color="auto"/>
        <w:left w:val="none" w:sz="0" w:space="0" w:color="auto"/>
        <w:bottom w:val="none" w:sz="0" w:space="0" w:color="auto"/>
        <w:right w:val="none" w:sz="0" w:space="0" w:color="auto"/>
      </w:divBdr>
    </w:div>
    <w:div w:id="1534345002">
      <w:bodyDiv w:val="1"/>
      <w:marLeft w:val="0"/>
      <w:marRight w:val="0"/>
      <w:marTop w:val="0"/>
      <w:marBottom w:val="0"/>
      <w:divBdr>
        <w:top w:val="none" w:sz="0" w:space="0" w:color="auto"/>
        <w:left w:val="none" w:sz="0" w:space="0" w:color="auto"/>
        <w:bottom w:val="none" w:sz="0" w:space="0" w:color="auto"/>
        <w:right w:val="none" w:sz="0" w:space="0" w:color="auto"/>
      </w:divBdr>
    </w:div>
    <w:div w:id="1570381124">
      <w:bodyDiv w:val="1"/>
      <w:marLeft w:val="0"/>
      <w:marRight w:val="0"/>
      <w:marTop w:val="0"/>
      <w:marBottom w:val="0"/>
      <w:divBdr>
        <w:top w:val="none" w:sz="0" w:space="0" w:color="auto"/>
        <w:left w:val="none" w:sz="0" w:space="0" w:color="auto"/>
        <w:bottom w:val="none" w:sz="0" w:space="0" w:color="auto"/>
        <w:right w:val="none" w:sz="0" w:space="0" w:color="auto"/>
      </w:divBdr>
    </w:div>
    <w:div w:id="1575237717">
      <w:bodyDiv w:val="1"/>
      <w:marLeft w:val="0"/>
      <w:marRight w:val="0"/>
      <w:marTop w:val="0"/>
      <w:marBottom w:val="0"/>
      <w:divBdr>
        <w:top w:val="none" w:sz="0" w:space="0" w:color="auto"/>
        <w:left w:val="none" w:sz="0" w:space="0" w:color="auto"/>
        <w:bottom w:val="none" w:sz="0" w:space="0" w:color="auto"/>
        <w:right w:val="none" w:sz="0" w:space="0" w:color="auto"/>
      </w:divBdr>
    </w:div>
    <w:div w:id="1576741569">
      <w:bodyDiv w:val="1"/>
      <w:marLeft w:val="0"/>
      <w:marRight w:val="0"/>
      <w:marTop w:val="0"/>
      <w:marBottom w:val="0"/>
      <w:divBdr>
        <w:top w:val="none" w:sz="0" w:space="0" w:color="auto"/>
        <w:left w:val="none" w:sz="0" w:space="0" w:color="auto"/>
        <w:bottom w:val="none" w:sz="0" w:space="0" w:color="auto"/>
        <w:right w:val="none" w:sz="0" w:space="0" w:color="auto"/>
      </w:divBdr>
    </w:div>
    <w:div w:id="1581325842">
      <w:bodyDiv w:val="1"/>
      <w:marLeft w:val="0"/>
      <w:marRight w:val="0"/>
      <w:marTop w:val="0"/>
      <w:marBottom w:val="0"/>
      <w:divBdr>
        <w:top w:val="none" w:sz="0" w:space="0" w:color="auto"/>
        <w:left w:val="none" w:sz="0" w:space="0" w:color="auto"/>
        <w:bottom w:val="none" w:sz="0" w:space="0" w:color="auto"/>
        <w:right w:val="none" w:sz="0" w:space="0" w:color="auto"/>
      </w:divBdr>
    </w:div>
    <w:div w:id="1606840178">
      <w:bodyDiv w:val="1"/>
      <w:marLeft w:val="0"/>
      <w:marRight w:val="0"/>
      <w:marTop w:val="0"/>
      <w:marBottom w:val="0"/>
      <w:divBdr>
        <w:top w:val="none" w:sz="0" w:space="0" w:color="auto"/>
        <w:left w:val="none" w:sz="0" w:space="0" w:color="auto"/>
        <w:bottom w:val="none" w:sz="0" w:space="0" w:color="auto"/>
        <w:right w:val="none" w:sz="0" w:space="0" w:color="auto"/>
      </w:divBdr>
    </w:div>
    <w:div w:id="1618214948">
      <w:bodyDiv w:val="1"/>
      <w:marLeft w:val="0"/>
      <w:marRight w:val="0"/>
      <w:marTop w:val="0"/>
      <w:marBottom w:val="0"/>
      <w:divBdr>
        <w:top w:val="none" w:sz="0" w:space="0" w:color="auto"/>
        <w:left w:val="none" w:sz="0" w:space="0" w:color="auto"/>
        <w:bottom w:val="none" w:sz="0" w:space="0" w:color="auto"/>
        <w:right w:val="none" w:sz="0" w:space="0" w:color="auto"/>
      </w:divBdr>
    </w:div>
    <w:div w:id="1618220074">
      <w:bodyDiv w:val="1"/>
      <w:marLeft w:val="0"/>
      <w:marRight w:val="0"/>
      <w:marTop w:val="0"/>
      <w:marBottom w:val="0"/>
      <w:divBdr>
        <w:top w:val="none" w:sz="0" w:space="0" w:color="auto"/>
        <w:left w:val="none" w:sz="0" w:space="0" w:color="auto"/>
        <w:bottom w:val="none" w:sz="0" w:space="0" w:color="auto"/>
        <w:right w:val="none" w:sz="0" w:space="0" w:color="auto"/>
      </w:divBdr>
    </w:div>
    <w:div w:id="1632250349">
      <w:bodyDiv w:val="1"/>
      <w:marLeft w:val="0"/>
      <w:marRight w:val="0"/>
      <w:marTop w:val="0"/>
      <w:marBottom w:val="0"/>
      <w:divBdr>
        <w:top w:val="none" w:sz="0" w:space="0" w:color="auto"/>
        <w:left w:val="none" w:sz="0" w:space="0" w:color="auto"/>
        <w:bottom w:val="none" w:sz="0" w:space="0" w:color="auto"/>
        <w:right w:val="none" w:sz="0" w:space="0" w:color="auto"/>
      </w:divBdr>
    </w:div>
    <w:div w:id="1635522273">
      <w:bodyDiv w:val="1"/>
      <w:marLeft w:val="0"/>
      <w:marRight w:val="0"/>
      <w:marTop w:val="0"/>
      <w:marBottom w:val="0"/>
      <w:divBdr>
        <w:top w:val="none" w:sz="0" w:space="0" w:color="auto"/>
        <w:left w:val="none" w:sz="0" w:space="0" w:color="auto"/>
        <w:bottom w:val="none" w:sz="0" w:space="0" w:color="auto"/>
        <w:right w:val="none" w:sz="0" w:space="0" w:color="auto"/>
      </w:divBdr>
    </w:div>
    <w:div w:id="1635794046">
      <w:bodyDiv w:val="1"/>
      <w:marLeft w:val="0"/>
      <w:marRight w:val="0"/>
      <w:marTop w:val="0"/>
      <w:marBottom w:val="0"/>
      <w:divBdr>
        <w:top w:val="none" w:sz="0" w:space="0" w:color="auto"/>
        <w:left w:val="none" w:sz="0" w:space="0" w:color="auto"/>
        <w:bottom w:val="none" w:sz="0" w:space="0" w:color="auto"/>
        <w:right w:val="none" w:sz="0" w:space="0" w:color="auto"/>
      </w:divBdr>
      <w:divsChild>
        <w:div w:id="1183008582">
          <w:marLeft w:val="0"/>
          <w:marRight w:val="0"/>
          <w:marTop w:val="0"/>
          <w:marBottom w:val="0"/>
          <w:divBdr>
            <w:top w:val="none" w:sz="0" w:space="0" w:color="auto"/>
            <w:left w:val="none" w:sz="0" w:space="0" w:color="auto"/>
            <w:bottom w:val="none" w:sz="0" w:space="0" w:color="auto"/>
            <w:right w:val="none" w:sz="0" w:space="0" w:color="auto"/>
          </w:divBdr>
        </w:div>
      </w:divsChild>
    </w:div>
    <w:div w:id="1649436768">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0717597">
      <w:bodyDiv w:val="1"/>
      <w:marLeft w:val="0"/>
      <w:marRight w:val="0"/>
      <w:marTop w:val="0"/>
      <w:marBottom w:val="0"/>
      <w:divBdr>
        <w:top w:val="none" w:sz="0" w:space="0" w:color="auto"/>
        <w:left w:val="none" w:sz="0" w:space="0" w:color="auto"/>
        <w:bottom w:val="none" w:sz="0" w:space="0" w:color="auto"/>
        <w:right w:val="none" w:sz="0" w:space="0" w:color="auto"/>
      </w:divBdr>
    </w:div>
    <w:div w:id="1696619118">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707483828">
      <w:bodyDiv w:val="1"/>
      <w:marLeft w:val="0"/>
      <w:marRight w:val="0"/>
      <w:marTop w:val="0"/>
      <w:marBottom w:val="0"/>
      <w:divBdr>
        <w:top w:val="none" w:sz="0" w:space="0" w:color="auto"/>
        <w:left w:val="none" w:sz="0" w:space="0" w:color="auto"/>
        <w:bottom w:val="none" w:sz="0" w:space="0" w:color="auto"/>
        <w:right w:val="none" w:sz="0" w:space="0" w:color="auto"/>
      </w:divBdr>
    </w:div>
    <w:div w:id="1711615369">
      <w:bodyDiv w:val="1"/>
      <w:marLeft w:val="0"/>
      <w:marRight w:val="0"/>
      <w:marTop w:val="0"/>
      <w:marBottom w:val="0"/>
      <w:divBdr>
        <w:top w:val="none" w:sz="0" w:space="0" w:color="auto"/>
        <w:left w:val="none" w:sz="0" w:space="0" w:color="auto"/>
        <w:bottom w:val="none" w:sz="0" w:space="0" w:color="auto"/>
        <w:right w:val="none" w:sz="0" w:space="0" w:color="auto"/>
      </w:divBdr>
    </w:div>
    <w:div w:id="1722554027">
      <w:bodyDiv w:val="1"/>
      <w:marLeft w:val="0"/>
      <w:marRight w:val="0"/>
      <w:marTop w:val="0"/>
      <w:marBottom w:val="0"/>
      <w:divBdr>
        <w:top w:val="none" w:sz="0" w:space="0" w:color="auto"/>
        <w:left w:val="none" w:sz="0" w:space="0" w:color="auto"/>
        <w:bottom w:val="none" w:sz="0" w:space="0" w:color="auto"/>
        <w:right w:val="none" w:sz="0" w:space="0" w:color="auto"/>
      </w:divBdr>
    </w:div>
    <w:div w:id="1750761456">
      <w:bodyDiv w:val="1"/>
      <w:marLeft w:val="0"/>
      <w:marRight w:val="0"/>
      <w:marTop w:val="0"/>
      <w:marBottom w:val="0"/>
      <w:divBdr>
        <w:top w:val="none" w:sz="0" w:space="0" w:color="auto"/>
        <w:left w:val="none" w:sz="0" w:space="0" w:color="auto"/>
        <w:bottom w:val="none" w:sz="0" w:space="0" w:color="auto"/>
        <w:right w:val="none" w:sz="0" w:space="0" w:color="auto"/>
      </w:divBdr>
    </w:div>
    <w:div w:id="1753308398">
      <w:bodyDiv w:val="1"/>
      <w:marLeft w:val="0"/>
      <w:marRight w:val="0"/>
      <w:marTop w:val="0"/>
      <w:marBottom w:val="0"/>
      <w:divBdr>
        <w:top w:val="none" w:sz="0" w:space="0" w:color="auto"/>
        <w:left w:val="none" w:sz="0" w:space="0" w:color="auto"/>
        <w:bottom w:val="none" w:sz="0" w:space="0" w:color="auto"/>
        <w:right w:val="none" w:sz="0" w:space="0" w:color="auto"/>
      </w:divBdr>
    </w:div>
    <w:div w:id="1770808982">
      <w:bodyDiv w:val="1"/>
      <w:marLeft w:val="0"/>
      <w:marRight w:val="0"/>
      <w:marTop w:val="0"/>
      <w:marBottom w:val="0"/>
      <w:divBdr>
        <w:top w:val="none" w:sz="0" w:space="0" w:color="auto"/>
        <w:left w:val="none" w:sz="0" w:space="0" w:color="auto"/>
        <w:bottom w:val="none" w:sz="0" w:space="0" w:color="auto"/>
        <w:right w:val="none" w:sz="0" w:space="0" w:color="auto"/>
      </w:divBdr>
    </w:div>
    <w:div w:id="1771389177">
      <w:bodyDiv w:val="1"/>
      <w:marLeft w:val="0"/>
      <w:marRight w:val="0"/>
      <w:marTop w:val="0"/>
      <w:marBottom w:val="0"/>
      <w:divBdr>
        <w:top w:val="none" w:sz="0" w:space="0" w:color="auto"/>
        <w:left w:val="none" w:sz="0" w:space="0" w:color="auto"/>
        <w:bottom w:val="none" w:sz="0" w:space="0" w:color="auto"/>
        <w:right w:val="none" w:sz="0" w:space="0" w:color="auto"/>
      </w:divBdr>
    </w:div>
    <w:div w:id="1809320766">
      <w:bodyDiv w:val="1"/>
      <w:marLeft w:val="0"/>
      <w:marRight w:val="0"/>
      <w:marTop w:val="0"/>
      <w:marBottom w:val="0"/>
      <w:divBdr>
        <w:top w:val="none" w:sz="0" w:space="0" w:color="auto"/>
        <w:left w:val="none" w:sz="0" w:space="0" w:color="auto"/>
        <w:bottom w:val="none" w:sz="0" w:space="0" w:color="auto"/>
        <w:right w:val="none" w:sz="0" w:space="0" w:color="auto"/>
      </w:divBdr>
    </w:div>
    <w:div w:id="1817255672">
      <w:bodyDiv w:val="1"/>
      <w:marLeft w:val="0"/>
      <w:marRight w:val="0"/>
      <w:marTop w:val="0"/>
      <w:marBottom w:val="0"/>
      <w:divBdr>
        <w:top w:val="none" w:sz="0" w:space="0" w:color="auto"/>
        <w:left w:val="none" w:sz="0" w:space="0" w:color="auto"/>
        <w:bottom w:val="none" w:sz="0" w:space="0" w:color="auto"/>
        <w:right w:val="none" w:sz="0" w:space="0" w:color="auto"/>
      </w:divBdr>
    </w:div>
    <w:div w:id="1830048928">
      <w:bodyDiv w:val="1"/>
      <w:marLeft w:val="0"/>
      <w:marRight w:val="0"/>
      <w:marTop w:val="0"/>
      <w:marBottom w:val="0"/>
      <w:divBdr>
        <w:top w:val="none" w:sz="0" w:space="0" w:color="auto"/>
        <w:left w:val="none" w:sz="0" w:space="0" w:color="auto"/>
        <w:bottom w:val="none" w:sz="0" w:space="0" w:color="auto"/>
        <w:right w:val="none" w:sz="0" w:space="0" w:color="auto"/>
      </w:divBdr>
    </w:div>
    <w:div w:id="1832090016">
      <w:bodyDiv w:val="1"/>
      <w:marLeft w:val="0"/>
      <w:marRight w:val="0"/>
      <w:marTop w:val="0"/>
      <w:marBottom w:val="0"/>
      <w:divBdr>
        <w:top w:val="none" w:sz="0" w:space="0" w:color="auto"/>
        <w:left w:val="none" w:sz="0" w:space="0" w:color="auto"/>
        <w:bottom w:val="none" w:sz="0" w:space="0" w:color="auto"/>
        <w:right w:val="none" w:sz="0" w:space="0" w:color="auto"/>
      </w:divBdr>
    </w:div>
    <w:div w:id="1841196243">
      <w:bodyDiv w:val="1"/>
      <w:marLeft w:val="0"/>
      <w:marRight w:val="0"/>
      <w:marTop w:val="0"/>
      <w:marBottom w:val="0"/>
      <w:divBdr>
        <w:top w:val="none" w:sz="0" w:space="0" w:color="auto"/>
        <w:left w:val="none" w:sz="0" w:space="0" w:color="auto"/>
        <w:bottom w:val="none" w:sz="0" w:space="0" w:color="auto"/>
        <w:right w:val="none" w:sz="0" w:space="0" w:color="auto"/>
      </w:divBdr>
    </w:div>
    <w:div w:id="1850872228">
      <w:bodyDiv w:val="1"/>
      <w:marLeft w:val="0"/>
      <w:marRight w:val="0"/>
      <w:marTop w:val="0"/>
      <w:marBottom w:val="0"/>
      <w:divBdr>
        <w:top w:val="none" w:sz="0" w:space="0" w:color="auto"/>
        <w:left w:val="none" w:sz="0" w:space="0" w:color="auto"/>
        <w:bottom w:val="none" w:sz="0" w:space="0" w:color="auto"/>
        <w:right w:val="none" w:sz="0" w:space="0" w:color="auto"/>
      </w:divBdr>
    </w:div>
    <w:div w:id="1862472986">
      <w:bodyDiv w:val="1"/>
      <w:marLeft w:val="0"/>
      <w:marRight w:val="0"/>
      <w:marTop w:val="0"/>
      <w:marBottom w:val="0"/>
      <w:divBdr>
        <w:top w:val="none" w:sz="0" w:space="0" w:color="auto"/>
        <w:left w:val="none" w:sz="0" w:space="0" w:color="auto"/>
        <w:bottom w:val="none" w:sz="0" w:space="0" w:color="auto"/>
        <w:right w:val="none" w:sz="0" w:space="0" w:color="auto"/>
      </w:divBdr>
    </w:div>
    <w:div w:id="1862745433">
      <w:bodyDiv w:val="1"/>
      <w:marLeft w:val="0"/>
      <w:marRight w:val="0"/>
      <w:marTop w:val="0"/>
      <w:marBottom w:val="0"/>
      <w:divBdr>
        <w:top w:val="none" w:sz="0" w:space="0" w:color="auto"/>
        <w:left w:val="none" w:sz="0" w:space="0" w:color="auto"/>
        <w:bottom w:val="none" w:sz="0" w:space="0" w:color="auto"/>
        <w:right w:val="none" w:sz="0" w:space="0" w:color="auto"/>
      </w:divBdr>
    </w:div>
    <w:div w:id="1885486472">
      <w:bodyDiv w:val="1"/>
      <w:marLeft w:val="0"/>
      <w:marRight w:val="0"/>
      <w:marTop w:val="0"/>
      <w:marBottom w:val="0"/>
      <w:divBdr>
        <w:top w:val="none" w:sz="0" w:space="0" w:color="auto"/>
        <w:left w:val="none" w:sz="0" w:space="0" w:color="auto"/>
        <w:bottom w:val="none" w:sz="0" w:space="0" w:color="auto"/>
        <w:right w:val="none" w:sz="0" w:space="0" w:color="auto"/>
      </w:divBdr>
    </w:div>
    <w:div w:id="1894269931">
      <w:bodyDiv w:val="1"/>
      <w:marLeft w:val="0"/>
      <w:marRight w:val="0"/>
      <w:marTop w:val="0"/>
      <w:marBottom w:val="0"/>
      <w:divBdr>
        <w:top w:val="none" w:sz="0" w:space="0" w:color="auto"/>
        <w:left w:val="none" w:sz="0" w:space="0" w:color="auto"/>
        <w:bottom w:val="none" w:sz="0" w:space="0" w:color="auto"/>
        <w:right w:val="none" w:sz="0" w:space="0" w:color="auto"/>
      </w:divBdr>
    </w:div>
    <w:div w:id="1922370889">
      <w:bodyDiv w:val="1"/>
      <w:marLeft w:val="0"/>
      <w:marRight w:val="0"/>
      <w:marTop w:val="0"/>
      <w:marBottom w:val="0"/>
      <w:divBdr>
        <w:top w:val="none" w:sz="0" w:space="0" w:color="auto"/>
        <w:left w:val="none" w:sz="0" w:space="0" w:color="auto"/>
        <w:bottom w:val="none" w:sz="0" w:space="0" w:color="auto"/>
        <w:right w:val="none" w:sz="0" w:space="0" w:color="auto"/>
      </w:divBdr>
    </w:div>
    <w:div w:id="1929390543">
      <w:bodyDiv w:val="1"/>
      <w:marLeft w:val="0"/>
      <w:marRight w:val="0"/>
      <w:marTop w:val="0"/>
      <w:marBottom w:val="0"/>
      <w:divBdr>
        <w:top w:val="none" w:sz="0" w:space="0" w:color="auto"/>
        <w:left w:val="none" w:sz="0" w:space="0" w:color="auto"/>
        <w:bottom w:val="none" w:sz="0" w:space="0" w:color="auto"/>
        <w:right w:val="none" w:sz="0" w:space="0" w:color="auto"/>
      </w:divBdr>
    </w:div>
    <w:div w:id="1938101687">
      <w:bodyDiv w:val="1"/>
      <w:marLeft w:val="0"/>
      <w:marRight w:val="0"/>
      <w:marTop w:val="0"/>
      <w:marBottom w:val="0"/>
      <w:divBdr>
        <w:top w:val="none" w:sz="0" w:space="0" w:color="auto"/>
        <w:left w:val="none" w:sz="0" w:space="0" w:color="auto"/>
        <w:bottom w:val="none" w:sz="0" w:space="0" w:color="auto"/>
        <w:right w:val="none" w:sz="0" w:space="0" w:color="auto"/>
      </w:divBdr>
    </w:div>
    <w:div w:id="1945182822">
      <w:bodyDiv w:val="1"/>
      <w:marLeft w:val="0"/>
      <w:marRight w:val="0"/>
      <w:marTop w:val="0"/>
      <w:marBottom w:val="0"/>
      <w:divBdr>
        <w:top w:val="none" w:sz="0" w:space="0" w:color="auto"/>
        <w:left w:val="none" w:sz="0" w:space="0" w:color="auto"/>
        <w:bottom w:val="none" w:sz="0" w:space="0" w:color="auto"/>
        <w:right w:val="none" w:sz="0" w:space="0" w:color="auto"/>
      </w:divBdr>
    </w:div>
    <w:div w:id="1973365944">
      <w:bodyDiv w:val="1"/>
      <w:marLeft w:val="0"/>
      <w:marRight w:val="0"/>
      <w:marTop w:val="0"/>
      <w:marBottom w:val="0"/>
      <w:divBdr>
        <w:top w:val="none" w:sz="0" w:space="0" w:color="auto"/>
        <w:left w:val="none" w:sz="0" w:space="0" w:color="auto"/>
        <w:bottom w:val="none" w:sz="0" w:space="0" w:color="auto"/>
        <w:right w:val="none" w:sz="0" w:space="0" w:color="auto"/>
      </w:divBdr>
    </w:div>
    <w:div w:id="1990282059">
      <w:bodyDiv w:val="1"/>
      <w:marLeft w:val="0"/>
      <w:marRight w:val="0"/>
      <w:marTop w:val="0"/>
      <w:marBottom w:val="0"/>
      <w:divBdr>
        <w:top w:val="none" w:sz="0" w:space="0" w:color="auto"/>
        <w:left w:val="none" w:sz="0" w:space="0" w:color="auto"/>
        <w:bottom w:val="none" w:sz="0" w:space="0" w:color="auto"/>
        <w:right w:val="none" w:sz="0" w:space="0" w:color="auto"/>
      </w:divBdr>
    </w:div>
    <w:div w:id="1993637254">
      <w:bodyDiv w:val="1"/>
      <w:marLeft w:val="0"/>
      <w:marRight w:val="0"/>
      <w:marTop w:val="0"/>
      <w:marBottom w:val="0"/>
      <w:divBdr>
        <w:top w:val="none" w:sz="0" w:space="0" w:color="auto"/>
        <w:left w:val="none" w:sz="0" w:space="0" w:color="auto"/>
        <w:bottom w:val="none" w:sz="0" w:space="0" w:color="auto"/>
        <w:right w:val="none" w:sz="0" w:space="0" w:color="auto"/>
      </w:divBdr>
    </w:div>
    <w:div w:id="2002342778">
      <w:bodyDiv w:val="1"/>
      <w:marLeft w:val="0"/>
      <w:marRight w:val="0"/>
      <w:marTop w:val="0"/>
      <w:marBottom w:val="0"/>
      <w:divBdr>
        <w:top w:val="none" w:sz="0" w:space="0" w:color="auto"/>
        <w:left w:val="none" w:sz="0" w:space="0" w:color="auto"/>
        <w:bottom w:val="none" w:sz="0" w:space="0" w:color="auto"/>
        <w:right w:val="none" w:sz="0" w:space="0" w:color="auto"/>
      </w:divBdr>
    </w:div>
    <w:div w:id="2003972656">
      <w:bodyDiv w:val="1"/>
      <w:marLeft w:val="0"/>
      <w:marRight w:val="0"/>
      <w:marTop w:val="0"/>
      <w:marBottom w:val="0"/>
      <w:divBdr>
        <w:top w:val="none" w:sz="0" w:space="0" w:color="auto"/>
        <w:left w:val="none" w:sz="0" w:space="0" w:color="auto"/>
        <w:bottom w:val="none" w:sz="0" w:space="0" w:color="auto"/>
        <w:right w:val="none" w:sz="0" w:space="0" w:color="auto"/>
      </w:divBdr>
    </w:div>
    <w:div w:id="2009867240">
      <w:bodyDiv w:val="1"/>
      <w:marLeft w:val="0"/>
      <w:marRight w:val="0"/>
      <w:marTop w:val="0"/>
      <w:marBottom w:val="0"/>
      <w:divBdr>
        <w:top w:val="none" w:sz="0" w:space="0" w:color="auto"/>
        <w:left w:val="none" w:sz="0" w:space="0" w:color="auto"/>
        <w:bottom w:val="none" w:sz="0" w:space="0" w:color="auto"/>
        <w:right w:val="none" w:sz="0" w:space="0" w:color="auto"/>
      </w:divBdr>
    </w:div>
    <w:div w:id="2011562599">
      <w:bodyDiv w:val="1"/>
      <w:marLeft w:val="0"/>
      <w:marRight w:val="0"/>
      <w:marTop w:val="0"/>
      <w:marBottom w:val="0"/>
      <w:divBdr>
        <w:top w:val="none" w:sz="0" w:space="0" w:color="auto"/>
        <w:left w:val="none" w:sz="0" w:space="0" w:color="auto"/>
        <w:bottom w:val="none" w:sz="0" w:space="0" w:color="auto"/>
        <w:right w:val="none" w:sz="0" w:space="0" w:color="auto"/>
      </w:divBdr>
    </w:div>
    <w:div w:id="2022776914">
      <w:bodyDiv w:val="1"/>
      <w:marLeft w:val="0"/>
      <w:marRight w:val="0"/>
      <w:marTop w:val="0"/>
      <w:marBottom w:val="0"/>
      <w:divBdr>
        <w:top w:val="none" w:sz="0" w:space="0" w:color="auto"/>
        <w:left w:val="none" w:sz="0" w:space="0" w:color="auto"/>
        <w:bottom w:val="none" w:sz="0" w:space="0" w:color="auto"/>
        <w:right w:val="none" w:sz="0" w:space="0" w:color="auto"/>
      </w:divBdr>
    </w:div>
    <w:div w:id="2024816240">
      <w:bodyDiv w:val="1"/>
      <w:marLeft w:val="0"/>
      <w:marRight w:val="0"/>
      <w:marTop w:val="0"/>
      <w:marBottom w:val="0"/>
      <w:divBdr>
        <w:top w:val="none" w:sz="0" w:space="0" w:color="auto"/>
        <w:left w:val="none" w:sz="0" w:space="0" w:color="auto"/>
        <w:bottom w:val="none" w:sz="0" w:space="0" w:color="auto"/>
        <w:right w:val="none" w:sz="0" w:space="0" w:color="auto"/>
      </w:divBdr>
    </w:div>
    <w:div w:id="2028673343">
      <w:bodyDiv w:val="1"/>
      <w:marLeft w:val="0"/>
      <w:marRight w:val="0"/>
      <w:marTop w:val="0"/>
      <w:marBottom w:val="0"/>
      <w:divBdr>
        <w:top w:val="none" w:sz="0" w:space="0" w:color="auto"/>
        <w:left w:val="none" w:sz="0" w:space="0" w:color="auto"/>
        <w:bottom w:val="none" w:sz="0" w:space="0" w:color="auto"/>
        <w:right w:val="none" w:sz="0" w:space="0" w:color="auto"/>
      </w:divBdr>
    </w:div>
    <w:div w:id="2029478919">
      <w:bodyDiv w:val="1"/>
      <w:marLeft w:val="0"/>
      <w:marRight w:val="0"/>
      <w:marTop w:val="0"/>
      <w:marBottom w:val="0"/>
      <w:divBdr>
        <w:top w:val="none" w:sz="0" w:space="0" w:color="auto"/>
        <w:left w:val="none" w:sz="0" w:space="0" w:color="auto"/>
        <w:bottom w:val="none" w:sz="0" w:space="0" w:color="auto"/>
        <w:right w:val="none" w:sz="0" w:space="0" w:color="auto"/>
      </w:divBdr>
    </w:div>
    <w:div w:id="2037343591">
      <w:bodyDiv w:val="1"/>
      <w:marLeft w:val="0"/>
      <w:marRight w:val="0"/>
      <w:marTop w:val="0"/>
      <w:marBottom w:val="0"/>
      <w:divBdr>
        <w:top w:val="none" w:sz="0" w:space="0" w:color="auto"/>
        <w:left w:val="none" w:sz="0" w:space="0" w:color="auto"/>
        <w:bottom w:val="none" w:sz="0" w:space="0" w:color="auto"/>
        <w:right w:val="none" w:sz="0" w:space="0" w:color="auto"/>
      </w:divBdr>
    </w:div>
    <w:div w:id="2037464080">
      <w:bodyDiv w:val="1"/>
      <w:marLeft w:val="0"/>
      <w:marRight w:val="0"/>
      <w:marTop w:val="0"/>
      <w:marBottom w:val="0"/>
      <w:divBdr>
        <w:top w:val="none" w:sz="0" w:space="0" w:color="auto"/>
        <w:left w:val="none" w:sz="0" w:space="0" w:color="auto"/>
        <w:bottom w:val="none" w:sz="0" w:space="0" w:color="auto"/>
        <w:right w:val="none" w:sz="0" w:space="0" w:color="auto"/>
      </w:divBdr>
    </w:div>
    <w:div w:id="2039315292">
      <w:bodyDiv w:val="1"/>
      <w:marLeft w:val="0"/>
      <w:marRight w:val="0"/>
      <w:marTop w:val="0"/>
      <w:marBottom w:val="0"/>
      <w:divBdr>
        <w:top w:val="none" w:sz="0" w:space="0" w:color="auto"/>
        <w:left w:val="none" w:sz="0" w:space="0" w:color="auto"/>
        <w:bottom w:val="none" w:sz="0" w:space="0" w:color="auto"/>
        <w:right w:val="none" w:sz="0" w:space="0" w:color="auto"/>
      </w:divBdr>
    </w:div>
    <w:div w:id="2078356336">
      <w:bodyDiv w:val="1"/>
      <w:marLeft w:val="0"/>
      <w:marRight w:val="0"/>
      <w:marTop w:val="0"/>
      <w:marBottom w:val="0"/>
      <w:divBdr>
        <w:top w:val="none" w:sz="0" w:space="0" w:color="auto"/>
        <w:left w:val="none" w:sz="0" w:space="0" w:color="auto"/>
        <w:bottom w:val="none" w:sz="0" w:space="0" w:color="auto"/>
        <w:right w:val="none" w:sz="0" w:space="0" w:color="auto"/>
      </w:divBdr>
    </w:div>
    <w:div w:id="2099324911">
      <w:bodyDiv w:val="1"/>
      <w:marLeft w:val="0"/>
      <w:marRight w:val="0"/>
      <w:marTop w:val="0"/>
      <w:marBottom w:val="0"/>
      <w:divBdr>
        <w:top w:val="none" w:sz="0" w:space="0" w:color="auto"/>
        <w:left w:val="none" w:sz="0" w:space="0" w:color="auto"/>
        <w:bottom w:val="none" w:sz="0" w:space="0" w:color="auto"/>
        <w:right w:val="none" w:sz="0" w:space="0" w:color="auto"/>
      </w:divBdr>
    </w:div>
    <w:div w:id="2111848433">
      <w:bodyDiv w:val="1"/>
      <w:marLeft w:val="0"/>
      <w:marRight w:val="0"/>
      <w:marTop w:val="0"/>
      <w:marBottom w:val="0"/>
      <w:divBdr>
        <w:top w:val="none" w:sz="0" w:space="0" w:color="auto"/>
        <w:left w:val="none" w:sz="0" w:space="0" w:color="auto"/>
        <w:bottom w:val="none" w:sz="0" w:space="0" w:color="auto"/>
        <w:right w:val="none" w:sz="0" w:space="0" w:color="auto"/>
      </w:divBdr>
    </w:div>
    <w:div w:id="2115976071">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 w:id="2131782969">
      <w:bodyDiv w:val="1"/>
      <w:marLeft w:val="0"/>
      <w:marRight w:val="0"/>
      <w:marTop w:val="0"/>
      <w:marBottom w:val="0"/>
      <w:divBdr>
        <w:top w:val="none" w:sz="0" w:space="0" w:color="auto"/>
        <w:left w:val="none" w:sz="0" w:space="0" w:color="auto"/>
        <w:bottom w:val="none" w:sz="0" w:space="0" w:color="auto"/>
        <w:right w:val="none" w:sz="0" w:space="0" w:color="auto"/>
      </w:divBdr>
    </w:div>
    <w:div w:id="21455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cdx.epa.gov" TargetMode="External"/><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image" Target="media/image10.jpe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F6CD48380BC42995341910D16904E" ma:contentTypeVersion="32" ma:contentTypeDescription="Create a new document." ma:contentTypeScope="" ma:versionID="124cd238d1364ea9d6c7cfc2c62827e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f0aaecb-2d7c-43f0-9f94-ea8013dc6a3e" xmlns:ns6="fca17280-b247-4e95-99cc-67d76af6c1ea" targetNamespace="http://schemas.microsoft.com/office/2006/metadata/properties" ma:root="true" ma:fieldsID="0704f05e32ff084d63fb331794552ba6" ns1:_="" ns2:_="" ns3:_="" ns4:_="" ns5:_="" ns6:_="">
    <xsd:import namespace="http://schemas.microsoft.com/sharepoint/v3"/>
    <xsd:import namespace="4ffa91fb-a0ff-4ac5-b2db-65c790d184a4"/>
    <xsd:import namespace="http://schemas.microsoft.com/sharepoint.v3"/>
    <xsd:import namespace="http://schemas.microsoft.com/sharepoint/v3/fields"/>
    <xsd:import namespace="af0aaecb-2d7c-43f0-9f94-ea8013dc6a3e"/>
    <xsd:import namespace="fca17280-b247-4e95-99cc-67d76af6c1e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aaecb-2d7c-43f0-9f94-ea8013dc6a3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a17280-b247-4e95-99cc-67d76af6c1ea"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f0aaecb-2d7c-43f0-9f94-ea8013dc6a3e">
      <UserInfo>
        <DisplayName>Phil Norwood</DisplayName>
        <AccountId>42</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2021-09-17T18:08:50+00:00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7D23553-030F-4877-9CE0-E11B40F3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0aaecb-2d7c-43f0-9f94-ea8013dc6a3e"/>
    <ds:schemaRef ds:uri="fca17280-b247-4e95-99cc-67d76af6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89EE4-4341-423B-ACB3-FC284B6646CD}">
  <ds:schemaRefs>
    <ds:schemaRef ds:uri="http://purl.org/dc/elements/1.1/"/>
    <ds:schemaRef ds:uri="4ffa91fb-a0ff-4ac5-b2db-65c790d184a4"/>
    <ds:schemaRef ds:uri="fca17280-b247-4e95-99cc-67d76af6c1ea"/>
    <ds:schemaRef ds:uri="http://schemas.microsoft.com/sharepoint/v3"/>
    <ds:schemaRef ds:uri="http://purl.org/dc/terms/"/>
    <ds:schemaRef ds:uri="http://www.w3.org/XML/1998/namespac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dcmitype/"/>
    <ds:schemaRef ds:uri="http://schemas.openxmlformats.org/package/2006/metadata/core-properties"/>
    <ds:schemaRef ds:uri="af0aaecb-2d7c-43f0-9f94-ea8013dc6a3e"/>
    <ds:schemaRef ds:uri="http://schemas.microsoft.com/sharepoint/v3/fields"/>
  </ds:schemaRefs>
</ds:datastoreItem>
</file>

<file path=customXml/itemProps3.xml><?xml version="1.0" encoding="utf-8"?>
<ds:datastoreItem xmlns:ds="http://schemas.openxmlformats.org/officeDocument/2006/customXml" ds:itemID="{8A83764C-D3BC-460A-AA04-3C237FEA4059}">
  <ds:schemaRefs>
    <ds:schemaRef ds:uri="http://schemas.microsoft.com/sharepoint/v3/contenttype/forms"/>
  </ds:schemaRefs>
</ds:datastoreItem>
</file>

<file path=customXml/itemProps4.xml><?xml version="1.0" encoding="utf-8"?>
<ds:datastoreItem xmlns:ds="http://schemas.openxmlformats.org/officeDocument/2006/customXml" ds:itemID="{23D18E60-F3FA-4AEB-8AD8-A07B000AF78E}">
  <ds:schemaRefs>
    <ds:schemaRef ds:uri="http://schemas.openxmlformats.org/officeDocument/2006/bibliography"/>
  </ds:schemaRefs>
</ds:datastoreItem>
</file>

<file path=customXml/itemProps5.xml><?xml version="1.0" encoding="utf-8"?>
<ds:datastoreItem xmlns:ds="http://schemas.openxmlformats.org/officeDocument/2006/customXml" ds:itemID="{9B09146C-F7E4-4075-9A95-EE9780577B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4332</Words>
  <Characters>25767</Characters>
  <Application>Microsoft Office Word</Application>
  <DocSecurity>4</DocSecurity>
  <Lines>214</Lines>
  <Paragraphs>60</Paragraphs>
  <ScaleCrop>false</ScaleCrop>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2021-11-18T12:26:00Z</dcterms:created>
  <dcterms:modified xsi:type="dcterms:W3CDTF">2021-11-18T12:26:00Z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0x01010063FF6CD48380BC42995341910D16904E</vt:lpwstr>
  </property>
</Properties>
</file>