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F3FDA" w:rsidR="00B6021D" w:rsidRDefault="00B6021D" w14:paraId="62E2E0A6" w14:textId="77777777">
      <w:pPr>
        <w:tabs>
          <w:tab w:val="left" w:pos="-1440"/>
        </w:tabs>
        <w:jc w:val="center"/>
        <w:rPr>
          <w:u w:val="single"/>
        </w:rPr>
      </w:pPr>
      <w:r w:rsidRPr="00CF3FDA">
        <w:rPr>
          <w:u w:val="single"/>
        </w:rPr>
        <w:t>SUPPORTING STATEMENT</w:t>
      </w:r>
    </w:p>
    <w:p w:rsidRPr="00CF3FDA" w:rsidR="00B6021D" w:rsidRDefault="00B6021D" w14:paraId="34D12469" w14:textId="20DBFD22">
      <w:pPr>
        <w:tabs>
          <w:tab w:val="left" w:pos="-1440"/>
        </w:tabs>
        <w:jc w:val="center"/>
        <w:rPr>
          <w:u w:val="single"/>
        </w:rPr>
      </w:pPr>
      <w:r w:rsidRPr="00CF3FDA">
        <w:rPr>
          <w:u w:val="single"/>
        </w:rPr>
        <w:t>FOR</w:t>
      </w:r>
    </w:p>
    <w:p w:rsidRPr="00CF3FDA" w:rsidR="00B6021D" w:rsidRDefault="00B6021D" w14:paraId="566E9D65" w14:textId="77777777">
      <w:pPr>
        <w:tabs>
          <w:tab w:val="left" w:pos="-1440"/>
        </w:tabs>
        <w:jc w:val="center"/>
        <w:rPr>
          <w:u w:val="single"/>
        </w:rPr>
      </w:pPr>
      <w:r w:rsidRPr="00CF3FDA">
        <w:rPr>
          <w:u w:val="single"/>
        </w:rPr>
        <w:t>49 CFR PART 543, EXEMPTION FROM VEHICLE</w:t>
      </w:r>
    </w:p>
    <w:p w:rsidRPr="00CF3FDA" w:rsidR="00B6021D" w:rsidRDefault="00B6021D" w14:paraId="6C990FF1" w14:textId="77777777">
      <w:pPr>
        <w:tabs>
          <w:tab w:val="left" w:pos="-1440"/>
        </w:tabs>
        <w:jc w:val="center"/>
        <w:rPr>
          <w:u w:val="single"/>
        </w:rPr>
      </w:pPr>
      <w:r w:rsidRPr="00CF3FDA">
        <w:rPr>
          <w:u w:val="single"/>
        </w:rPr>
        <w:t>THEFT PREVENTION STANDARD</w:t>
      </w:r>
    </w:p>
    <w:p w:rsidRPr="00CF3FDA" w:rsidR="00B6021D" w:rsidRDefault="00B6021D" w14:paraId="4705921A" w14:textId="28CDB2A8">
      <w:pPr>
        <w:tabs>
          <w:tab w:val="left" w:pos="-1440"/>
        </w:tabs>
        <w:jc w:val="center"/>
        <w:rPr>
          <w:u w:val="single"/>
        </w:rPr>
      </w:pPr>
      <w:r w:rsidRPr="00CF3FDA">
        <w:t>(OMB Clearance Number 2127-0542)</w:t>
      </w:r>
    </w:p>
    <w:p w:rsidR="00CC716C" w:rsidP="00CC716C" w:rsidRDefault="00CC716C" w14:paraId="3BC2CB88" w14:textId="77777777">
      <w:pPr>
        <w:tabs>
          <w:tab w:val="left" w:pos="-1080"/>
          <w:tab w:val="left" w:pos="-720"/>
          <w:tab w:val="left" w:pos="0"/>
          <w:tab w:val="left" w:pos="338"/>
        </w:tabs>
      </w:pPr>
    </w:p>
    <w:p w:rsidR="00CC716C" w:rsidP="00CC716C" w:rsidRDefault="00CC716C" w14:paraId="3B070350" w14:textId="77777777">
      <w:pPr>
        <w:tabs>
          <w:tab w:val="left" w:pos="-1080"/>
          <w:tab w:val="left" w:pos="-720"/>
          <w:tab w:val="left" w:pos="0"/>
          <w:tab w:val="left" w:pos="338"/>
        </w:tabs>
      </w:pPr>
      <w:r>
        <w:t>Abstract</w:t>
      </w:r>
      <w:r w:rsidRPr="00D13122" w:rsidR="00587228">
        <w:rPr>
          <w:rStyle w:val="FootnoteReference"/>
          <w:vertAlign w:val="superscript"/>
        </w:rPr>
        <w:footnoteReference w:id="1"/>
      </w:r>
    </w:p>
    <w:p w:rsidR="00CC716C" w:rsidP="00CC716C" w:rsidRDefault="00CC716C" w14:paraId="1716E4EA" w14:textId="77777777">
      <w:pPr>
        <w:tabs>
          <w:tab w:val="left" w:pos="-1080"/>
          <w:tab w:val="left" w:pos="-720"/>
          <w:tab w:val="left" w:pos="0"/>
          <w:tab w:val="left" w:pos="338"/>
        </w:tabs>
      </w:pPr>
    </w:p>
    <w:p w:rsidR="00A62C86" w:rsidP="00E07124" w:rsidRDefault="00A62C86" w14:paraId="6458981B" w14:textId="520054BB">
      <w:pPr>
        <w:tabs>
          <w:tab w:val="left" w:pos="-1080"/>
          <w:tab w:val="left" w:pos="-720"/>
          <w:tab w:val="left" w:pos="0"/>
          <w:tab w:val="left" w:pos="338"/>
        </w:tabs>
      </w:pPr>
      <w:r w:rsidRPr="00A62C86">
        <w:t xml:space="preserve">49 U.S.C. Chapter 331 requires the Secretary of Transportation to promulgate a theft prevention standard to provide for the identification of certain motor vehicles and their major replacement parts (parts-marking) to impede motor vehicle theft.  49 U.S.C. 33106 provides </w:t>
      </w:r>
      <w:r>
        <w:t xml:space="preserve">that a manufacturer may petition </w:t>
      </w:r>
      <w:r w:rsidRPr="00A62C86">
        <w:t xml:space="preserve">for an exemption from this identification process </w:t>
      </w:r>
      <w:r>
        <w:t>for a certain line of motor vehicles</w:t>
      </w:r>
      <w:r w:rsidRPr="00A62C86">
        <w:t xml:space="preserve"> </w:t>
      </w:r>
      <w:r>
        <w:t>equipped</w:t>
      </w:r>
      <w:r w:rsidRPr="00A62C86">
        <w:t xml:space="preserve"> with standard original equipment anti-theft devices, which the Secretary determines are likely to be as effective in reducing or deterring theft as parts-marking</w:t>
      </w:r>
      <w:r w:rsidR="003A5BD7">
        <w:t xml:space="preserve"> would be</w:t>
      </w:r>
      <w:r w:rsidRPr="00A62C86">
        <w:t>.</w:t>
      </w:r>
      <w:r>
        <w:t xml:space="preserve">  </w:t>
      </w:r>
    </w:p>
    <w:p w:rsidR="00A62C86" w:rsidP="00E07124" w:rsidRDefault="00A62C86" w14:paraId="35D03F5E" w14:textId="77777777">
      <w:pPr>
        <w:tabs>
          <w:tab w:val="left" w:pos="-1080"/>
          <w:tab w:val="left" w:pos="-720"/>
          <w:tab w:val="left" w:pos="0"/>
          <w:tab w:val="left" w:pos="338"/>
        </w:tabs>
      </w:pPr>
    </w:p>
    <w:p w:rsidR="00CC716C" w:rsidP="00E07124" w:rsidRDefault="00CC716C" w14:paraId="111BC0C8" w14:textId="727801D2">
      <w:pPr>
        <w:tabs>
          <w:tab w:val="left" w:pos="-1080"/>
          <w:tab w:val="left" w:pos="-720"/>
          <w:tab w:val="left" w:pos="0"/>
          <w:tab w:val="left" w:pos="338"/>
        </w:tabs>
      </w:pPr>
      <w:r>
        <w:t xml:space="preserve">49 CFR Part 543 establishes </w:t>
      </w:r>
      <w:r w:rsidR="003A5BD7">
        <w:t xml:space="preserve">the </w:t>
      </w:r>
      <w:r>
        <w:t>procedures</w:t>
      </w:r>
      <w:r w:rsidR="00A25EEB">
        <w:t xml:space="preserve"> whereby manufacturers</w:t>
      </w:r>
      <w:r w:rsidR="002364E7">
        <w:t xml:space="preserve"> of vehicles subject to the </w:t>
      </w:r>
      <w:r w:rsidR="00B50965">
        <w:t>Part 541 parts-marking requirements</w:t>
      </w:r>
      <w:r w:rsidR="00876814">
        <w:t xml:space="preserve"> (Theft Prevention Standard)</w:t>
      </w:r>
      <w:r w:rsidR="00A25EEB">
        <w:t xml:space="preserve"> may petition </w:t>
      </w:r>
      <w:r w:rsidR="00132C37">
        <w:t xml:space="preserve">the </w:t>
      </w:r>
      <w:r w:rsidR="00223818">
        <w:t xml:space="preserve">National Highway </w:t>
      </w:r>
      <w:r w:rsidR="00F70940">
        <w:t xml:space="preserve">Traffic </w:t>
      </w:r>
      <w:r w:rsidR="00223818">
        <w:t>Safety Administration (</w:t>
      </w:r>
      <w:r w:rsidR="00B554F0">
        <w:t>NHTSA</w:t>
      </w:r>
      <w:r w:rsidR="00223818">
        <w:t>)</w:t>
      </w:r>
      <w:r w:rsidR="00A25EEB">
        <w:t xml:space="preserve"> for </w:t>
      </w:r>
      <w:r w:rsidR="00BE0530">
        <w:t>one</w:t>
      </w:r>
      <w:r w:rsidR="00A25EEB">
        <w:t xml:space="preserve"> exemption </w:t>
      </w:r>
      <w:r w:rsidR="00BE0530">
        <w:t>per model year</w:t>
      </w:r>
      <w:r w:rsidR="00A25EEB">
        <w:t xml:space="preserve">, </w:t>
      </w:r>
      <w:r w:rsidR="003A5BD7">
        <w:t>provided</w:t>
      </w:r>
      <w:r w:rsidR="00A25EEB">
        <w:t xml:space="preserve"> the </w:t>
      </w:r>
      <w:r w:rsidR="003A5BD7">
        <w:t>certain</w:t>
      </w:r>
      <w:r w:rsidR="002C58AF">
        <w:t xml:space="preserve"> </w:t>
      </w:r>
      <w:r w:rsidR="003A5BD7">
        <w:t xml:space="preserve">motor </w:t>
      </w:r>
      <w:r w:rsidR="002C58AF">
        <w:t xml:space="preserve">vehicle </w:t>
      </w:r>
      <w:r w:rsidR="00A25EEB">
        <w:t xml:space="preserve">line is equipped with an anti-theft device as standard equipment </w:t>
      </w:r>
      <w:r w:rsidR="00BB27B2">
        <w:t xml:space="preserve">that </w:t>
      </w:r>
      <w:r w:rsidR="00A25EEB">
        <w:t>meets agency criteria</w:t>
      </w:r>
      <w:r w:rsidR="00BB27B2">
        <w:t xml:space="preserve"> and is as effective as identifying marks required under Part 541</w:t>
      </w:r>
      <w:r w:rsidR="00A25EEB">
        <w:t xml:space="preserve">. </w:t>
      </w:r>
      <w:r w:rsidR="006F1DE8">
        <w:t xml:space="preserve"> </w:t>
      </w:r>
      <w:r w:rsidRPr="002C1CEF" w:rsidR="002C1CEF">
        <w:t xml:space="preserve">There are two processes for obtaining an exemption from the Theft Prevention Standard. </w:t>
      </w:r>
      <w:r w:rsidR="006F1DE8">
        <w:t xml:space="preserve"> </w:t>
      </w:r>
      <w:r w:rsidRPr="002C1CEF" w:rsidR="002C1CEF">
        <w:t>The first process, found at 49 CFR 543.6, provides specific content requirements for petition requests.</w:t>
      </w:r>
      <w:r w:rsidR="00871186">
        <w:t xml:space="preserve"> </w:t>
      </w:r>
      <w:r w:rsidR="006F1DE8">
        <w:t xml:space="preserve"> </w:t>
      </w:r>
      <w:r w:rsidRPr="004E7955" w:rsidR="004E7955">
        <w:t>The second p</w:t>
      </w:r>
      <w:r w:rsidR="004E7955">
        <w:t>rocess, found at 49 CFR 543.7, requires</w:t>
      </w:r>
      <w:r w:rsidRPr="004E7955" w:rsidR="004E7955">
        <w:t xml:space="preserve"> manufacturers to submit a statement that the entire line of vehicles is equipped with an immobilizer, as standard </w:t>
      </w:r>
      <w:r w:rsidR="004E7955">
        <w:t xml:space="preserve">equipment, that meets one of four performance standards. </w:t>
      </w:r>
      <w:r w:rsidR="006F1DE8">
        <w:t xml:space="preserve"> </w:t>
      </w:r>
      <w:r w:rsidR="00871186">
        <w:t xml:space="preserve">The specific information required </w:t>
      </w:r>
      <w:r w:rsidR="00E07124">
        <w:t>to be included in</w:t>
      </w:r>
      <w:r w:rsidR="00871186">
        <w:t xml:space="preserve"> </w:t>
      </w:r>
      <w:r w:rsidR="003A5BD7">
        <w:t xml:space="preserve">a </w:t>
      </w:r>
      <w:r w:rsidR="00871186">
        <w:t>petition</w:t>
      </w:r>
      <w:r w:rsidR="002C58AF">
        <w:t xml:space="preserve"> by </w:t>
      </w:r>
      <w:r w:rsidR="003A5BD7">
        <w:t>a manufacturer</w:t>
      </w:r>
      <w:r w:rsidR="002C58AF">
        <w:t xml:space="preserve"> requesting</w:t>
      </w:r>
      <w:r w:rsidR="00871186">
        <w:t xml:space="preserve"> </w:t>
      </w:r>
      <w:r w:rsidR="003A5BD7">
        <w:t xml:space="preserve">an </w:t>
      </w:r>
      <w:r w:rsidR="00871186">
        <w:t>exemption is used by NHTSA in deciding whether</w:t>
      </w:r>
      <w:r w:rsidR="002C58AF">
        <w:t xml:space="preserve"> </w:t>
      </w:r>
      <w:r w:rsidR="005D1DE8">
        <w:t xml:space="preserve">to grant </w:t>
      </w:r>
      <w:r w:rsidR="002C58AF">
        <w:t xml:space="preserve">the </w:t>
      </w:r>
      <w:r w:rsidR="00871186">
        <w:t>exemption from Part 541</w:t>
      </w:r>
      <w:r w:rsidR="00667967">
        <w:t xml:space="preserve"> parts-marking</w:t>
      </w:r>
      <w:r w:rsidR="00871186">
        <w:t>.</w:t>
      </w:r>
      <w:r w:rsidR="00BE0530">
        <w:t xml:space="preserve"> </w:t>
      </w:r>
    </w:p>
    <w:p w:rsidR="008A5D8B" w:rsidP="00E07124" w:rsidRDefault="008A5D8B" w14:paraId="103FBBF7" w14:textId="77777777">
      <w:pPr>
        <w:tabs>
          <w:tab w:val="left" w:pos="-1080"/>
          <w:tab w:val="left" w:pos="-720"/>
          <w:tab w:val="left" w:pos="0"/>
          <w:tab w:val="left" w:pos="338"/>
        </w:tabs>
      </w:pPr>
    </w:p>
    <w:p w:rsidR="008A5D8B" w:rsidP="00E07124" w:rsidRDefault="0077373E" w14:paraId="173A17CD" w14:textId="42215D34">
      <w:pPr>
        <w:tabs>
          <w:tab w:val="left" w:pos="-1080"/>
          <w:tab w:val="left" w:pos="-720"/>
          <w:tab w:val="left" w:pos="0"/>
          <w:tab w:val="left" w:pos="338"/>
        </w:tabs>
      </w:pPr>
      <w:r>
        <w:t xml:space="preserve">The Federal Register Notice with a 60-day comment period for approval of a reinstatement of this previously approved information collection was published on August 20, 2020 (85 FR 51548).  The agency received no comments.  </w:t>
      </w:r>
      <w:r w:rsidRPr="008A5D8B" w:rsidR="008A5D8B">
        <w:t xml:space="preserve">The number of total burden hours decreased from 2,100 to 2,094.  This slight decrease is due to a change in rounding when calculating the number of burden hours. </w:t>
      </w:r>
      <w:r w:rsidR="006F1DE8">
        <w:t xml:space="preserve"> </w:t>
      </w:r>
      <w:r w:rsidRPr="008A5D8B" w:rsidR="008A5D8B">
        <w:t xml:space="preserve">The last collection also estimated the burden as 2,094 </w:t>
      </w:r>
      <w:proofErr w:type="gramStart"/>
      <w:r w:rsidRPr="008A5D8B" w:rsidR="008A5D8B">
        <w:t>hours, but</w:t>
      </w:r>
      <w:proofErr w:type="gramEnd"/>
      <w:r w:rsidRPr="008A5D8B" w:rsidR="008A5D8B">
        <w:t xml:space="preserve"> rounded up to 2,100 hours.</w:t>
      </w:r>
    </w:p>
    <w:p w:rsidRPr="00CF3FDA" w:rsidR="00871186" w:rsidP="00E07124" w:rsidRDefault="00871186" w14:paraId="70BF8501" w14:textId="77777777">
      <w:pPr>
        <w:tabs>
          <w:tab w:val="left" w:pos="-1080"/>
          <w:tab w:val="left" w:pos="-720"/>
          <w:tab w:val="left" w:pos="0"/>
          <w:tab w:val="left" w:pos="338"/>
        </w:tabs>
        <w:rPr>
          <w:u w:val="single"/>
        </w:rPr>
      </w:pPr>
    </w:p>
    <w:p w:rsidRPr="00CF3FDA" w:rsidR="00B6021D" w:rsidRDefault="00B6021D" w14:paraId="7E5E7B15" w14:textId="77777777">
      <w:pPr>
        <w:tabs>
          <w:tab w:val="left" w:pos="-1440"/>
        </w:tabs>
        <w:ind w:firstLine="720"/>
        <w:rPr>
          <w:u w:val="single"/>
        </w:rPr>
      </w:pPr>
      <w:r w:rsidRPr="00CF3FDA">
        <w:t xml:space="preserve">A. </w:t>
      </w:r>
      <w:r w:rsidRPr="00CF3FDA">
        <w:rPr>
          <w:u w:val="single"/>
        </w:rPr>
        <w:t>JUSTIFICATION</w:t>
      </w:r>
    </w:p>
    <w:p w:rsidRPr="00CF3FDA" w:rsidR="00B6021D" w:rsidRDefault="00B6021D" w14:paraId="09A4E16C" w14:textId="77777777">
      <w:pPr>
        <w:tabs>
          <w:tab w:val="left" w:pos="-1440"/>
        </w:tabs>
        <w:rPr>
          <w:u w:val="single"/>
        </w:rPr>
      </w:pPr>
    </w:p>
    <w:p w:rsidRPr="00CF3FDA" w:rsidR="00B6021D" w:rsidRDefault="00B6021D" w14:paraId="1568AB67" w14:textId="77777777">
      <w:pPr>
        <w:pStyle w:val="Level1"/>
        <w:numPr>
          <w:ilvl w:val="0"/>
          <w:numId w:val="1"/>
        </w:numPr>
        <w:tabs>
          <w:tab w:val="left" w:pos="-1440"/>
          <w:tab w:val="num" w:pos="720"/>
        </w:tabs>
      </w:pPr>
      <w:r w:rsidRPr="00CF3FDA">
        <w:rPr>
          <w:u w:val="single"/>
        </w:rPr>
        <w:t xml:space="preserve">Explain the circumstances that make the collection of information necessary.  </w:t>
      </w:r>
      <w:r w:rsidR="00E07124">
        <w:rPr>
          <w:u w:val="single"/>
        </w:rPr>
        <w:t xml:space="preserve">Identify any legal and administrative requirements that necessitate the collection.  </w:t>
      </w:r>
      <w:r w:rsidRPr="00CF3FDA">
        <w:rPr>
          <w:u w:val="single"/>
        </w:rPr>
        <w:t xml:space="preserve">Attach a copy of the appropriate statute or regulation mandating or authorizing the collection of </w:t>
      </w:r>
      <w:r w:rsidRPr="00CF3FDA">
        <w:rPr>
          <w:u w:val="single"/>
        </w:rPr>
        <w:lastRenderedPageBreak/>
        <w:t>information.</w:t>
      </w:r>
    </w:p>
    <w:p w:rsidRPr="00CF3FDA" w:rsidR="00B6021D" w:rsidRDefault="00B6021D" w14:paraId="6B84469D" w14:textId="77777777">
      <w:pPr>
        <w:tabs>
          <w:tab w:val="left" w:pos="-1440"/>
        </w:tabs>
        <w:rPr>
          <w:u w:val="single"/>
        </w:rPr>
      </w:pPr>
    </w:p>
    <w:p w:rsidR="004F0289" w:rsidRDefault="00B6021D" w14:paraId="4C95D7B7" w14:textId="7CD21AC1">
      <w:pPr>
        <w:tabs>
          <w:tab w:val="left" w:pos="-1440"/>
        </w:tabs>
        <w:ind w:left="720"/>
      </w:pPr>
      <w:r w:rsidRPr="00CF3FDA">
        <w:t>49</w:t>
      </w:r>
      <w:r w:rsidR="00132C37">
        <w:t xml:space="preserve"> </w:t>
      </w:r>
      <w:r w:rsidRPr="00CF3FDA">
        <w:t>U.S.C. Chapter 331 requires the Secretary of Transportation to promulgate a theft prevention standard to provide for the identification of certain motor vehicles and their major replacement parts to impede motor vehicle theft.  49 U.S.C.</w:t>
      </w:r>
      <w:r w:rsidR="00695D05">
        <w:t xml:space="preserve"> </w:t>
      </w:r>
      <w:r w:rsidRPr="00CF3FDA">
        <w:t>33106 provides for an exemption to this identification process by petitions from manufacturers who equip covered vehicles with standard original equipment anti</w:t>
      </w:r>
      <w:r w:rsidR="006A14FB">
        <w:t>-</w:t>
      </w:r>
      <w:r w:rsidRPr="00CF3FDA">
        <w:t>theft devices, which the Secretary determines are likely to be as effective in reducing or deterring theft as the identification system.</w:t>
      </w:r>
    </w:p>
    <w:p w:rsidR="004F0289" w:rsidRDefault="004F0289" w14:paraId="2B8169DD" w14:textId="77777777">
      <w:pPr>
        <w:tabs>
          <w:tab w:val="left" w:pos="-1440"/>
        </w:tabs>
        <w:ind w:left="720"/>
      </w:pPr>
    </w:p>
    <w:p w:rsidR="00B6021D" w:rsidRDefault="004F0289" w14:paraId="1EC709B8" w14:textId="2D9D6917">
      <w:pPr>
        <w:tabs>
          <w:tab w:val="left" w:pos="-1440"/>
        </w:tabs>
        <w:ind w:left="720"/>
      </w:pPr>
      <w:r>
        <w:t>Throu</w:t>
      </w:r>
      <w:r w:rsidR="001F5752">
        <w:t xml:space="preserve">gh delegation of authority, </w:t>
      </w:r>
      <w:r w:rsidR="00BA0AAE">
        <w:t xml:space="preserve">NHTSA </w:t>
      </w:r>
      <w:r>
        <w:t>established</w:t>
      </w:r>
      <w:r w:rsidR="00600E7F">
        <w:t xml:space="preserve"> the</w:t>
      </w:r>
      <w:r>
        <w:t xml:space="preserve"> </w:t>
      </w:r>
      <w:r w:rsidRPr="00600E7F" w:rsidR="00600E7F">
        <w:t>theft prevention standard</w:t>
      </w:r>
      <w:r w:rsidR="006F1DE8">
        <w:t xml:space="preserve"> at 49 CFR P</w:t>
      </w:r>
      <w:r w:rsidRPr="00600E7F" w:rsidR="00600E7F">
        <w:t>art 541</w:t>
      </w:r>
      <w:r w:rsidR="00600E7F">
        <w:t>, which</w:t>
      </w:r>
      <w:r w:rsidRPr="00600E7F" w:rsidR="00600E7F">
        <w:t xml:space="preserve"> specifies performance requirements for identifying numbers or symbols (generally the vehicle identification number (VIN)) to be placed on major parts of all passenger vehicles subject to the theft prevention standard.</w:t>
      </w:r>
      <w:r w:rsidR="00600E7F">
        <w:t xml:space="preserve">  </w:t>
      </w:r>
      <w:r>
        <w:t>49 CFR Part 543, Exemption from Vehicle Theft Prevention Standard, sets out the procedure for filing and processing petitions to exempt cert</w:t>
      </w:r>
      <w:r w:rsidR="00C54DD6">
        <w:t xml:space="preserve">ain lines of </w:t>
      </w:r>
      <w:r w:rsidR="005A418B">
        <w:t>motor</w:t>
      </w:r>
      <w:r w:rsidR="00C54DD6">
        <w:t xml:space="preserve"> vehicles</w:t>
      </w:r>
      <w:r w:rsidR="00600E7F">
        <w:t xml:space="preserve"> equipped with standard original equipment antitheft devices from the parts-marking requirements</w:t>
      </w:r>
      <w:r w:rsidR="00C54DD6">
        <w:t>.</w:t>
      </w:r>
      <w:r w:rsidR="002C58AF">
        <w:t xml:space="preserve">  The information collected in the exemption petition aids the </w:t>
      </w:r>
      <w:r>
        <w:t>agency</w:t>
      </w:r>
      <w:r w:rsidR="002C58AF">
        <w:t xml:space="preserve"> in making </w:t>
      </w:r>
      <w:r w:rsidR="00C54DD6">
        <w:t>the</w:t>
      </w:r>
      <w:r w:rsidR="002C58AF">
        <w:t xml:space="preserve"> determination</w:t>
      </w:r>
      <w:r w:rsidR="00C54DD6">
        <w:t xml:space="preserve"> that</w:t>
      </w:r>
      <w:r>
        <w:t xml:space="preserve"> an anti</w:t>
      </w:r>
      <w:r w:rsidR="006A14FB">
        <w:t>-</w:t>
      </w:r>
      <w:r>
        <w:t>theft device is likely to be as effective in reducing or deterring theft as identifying numbers or symbols required in Part 541.</w:t>
      </w:r>
    </w:p>
    <w:p w:rsidR="00651070" w:rsidRDefault="00651070" w14:paraId="54CCA7CB" w14:textId="77777777">
      <w:pPr>
        <w:tabs>
          <w:tab w:val="left" w:pos="-1440"/>
        </w:tabs>
        <w:ind w:left="720"/>
      </w:pPr>
    </w:p>
    <w:p w:rsidRPr="00CF3FDA" w:rsidR="00B6021D" w:rsidP="009466A2" w:rsidRDefault="00B6021D" w14:paraId="4A4DE951" w14:textId="77473DCC">
      <w:pPr>
        <w:pStyle w:val="Level1"/>
        <w:numPr>
          <w:ilvl w:val="0"/>
          <w:numId w:val="1"/>
        </w:numPr>
        <w:tabs>
          <w:tab w:val="left" w:pos="-1440"/>
        </w:tabs>
        <w:rPr>
          <w:u w:val="single"/>
        </w:rPr>
      </w:pPr>
      <w:r w:rsidRPr="00CF3FDA">
        <w:rPr>
          <w:u w:val="single"/>
        </w:rPr>
        <w:t>I</w:t>
      </w:r>
      <w:r w:rsidRPr="009466A2" w:rsidR="009466A2">
        <w:rPr>
          <w:u w:val="single"/>
        </w:rPr>
        <w:t>ndicate how, by whom, and for what purpose the information is to be used. Except for a new collection, indicate the actual use the agency has made of the information received from the current collection</w:t>
      </w:r>
      <w:r w:rsidRPr="00CF3FDA">
        <w:rPr>
          <w:u w:val="single"/>
        </w:rPr>
        <w:t>.</w:t>
      </w:r>
    </w:p>
    <w:p w:rsidRPr="00CF3FDA" w:rsidR="00B6021D" w:rsidRDefault="00B6021D" w14:paraId="29FCA8B6" w14:textId="77777777">
      <w:pPr>
        <w:tabs>
          <w:tab w:val="left" w:pos="-1440"/>
        </w:tabs>
      </w:pPr>
    </w:p>
    <w:p w:rsidR="00850D97" w:rsidP="00850D97" w:rsidRDefault="00850D97" w14:paraId="6B539F10" w14:textId="0E3FC473">
      <w:pPr>
        <w:tabs>
          <w:tab w:val="left" w:pos="-1440"/>
        </w:tabs>
        <w:ind w:left="720"/>
      </w:pPr>
      <w:r>
        <w:t>Petitions for exemptions are submitted by manufacturers that ha</w:t>
      </w:r>
      <w:r w:rsidR="00A777C3">
        <w:t>ve</w:t>
      </w:r>
      <w:r>
        <w:t xml:space="preserve"> determined that a vehicle line is equipped with, as standard equipment, </w:t>
      </w:r>
      <w:r w:rsidRPr="004A43E2">
        <w:t>anti</w:t>
      </w:r>
      <w:r>
        <w:t>-</w:t>
      </w:r>
      <w:r w:rsidRPr="004A43E2">
        <w:t>theft device</w:t>
      </w:r>
      <w:r>
        <w:t>s</w:t>
      </w:r>
      <w:r w:rsidRPr="004A43E2">
        <w:t xml:space="preserve"> which the manufacturer believes will meet the established minimum capabilities as promulgated in the Theft Prevention Standard.  </w:t>
      </w:r>
      <w:r>
        <w:t>Each manufacturer may only receive an exemption from the Theft Prevention Standard for one vehicle line per model year.</w:t>
      </w:r>
    </w:p>
    <w:p w:rsidR="00850D97" w:rsidP="00850D97" w:rsidRDefault="00850D97" w14:paraId="020A2858" w14:textId="77777777">
      <w:pPr>
        <w:tabs>
          <w:tab w:val="left" w:pos="-1440"/>
        </w:tabs>
        <w:ind w:left="720"/>
      </w:pPr>
    </w:p>
    <w:p w:rsidR="00850D97" w:rsidP="00850D97" w:rsidRDefault="00850D97" w14:paraId="5ABA7170" w14:textId="2A6F8454">
      <w:pPr>
        <w:tabs>
          <w:tab w:val="left" w:pos="-1440"/>
        </w:tabs>
        <w:ind w:left="720"/>
      </w:pPr>
      <w:r>
        <w:t xml:space="preserve">There are two processes for obtaining an exemption from the Theft Prevention Standard. </w:t>
      </w:r>
      <w:r w:rsidR="00A777C3">
        <w:t xml:space="preserve"> </w:t>
      </w:r>
      <w:r>
        <w:t xml:space="preserve">The first process, found at 49 CFR 543.6, provides specific content requirements for petition requests. </w:t>
      </w:r>
      <w:r w:rsidR="00A777C3">
        <w:t xml:space="preserve"> </w:t>
      </w:r>
      <w:r>
        <w:t xml:space="preserve">Section 543.6 requires manufacturer to submit: (1) a statement that an antitheft device will be installed as standard equipment on all vehicles in the line for which an exemption is sought; (2) a list naming each component in the antitheft system, and a diagram showing the location of each of those components within the vehicle; (3) a discussion that explains the means and process by which the device is activated and functions, including any aspect of the device designed to facilitate or encourage its activation by motorists, attract attention to the efforts of an unauthorized person to enter or move the vehicle by means other than a key, prevent defeating or circumventing the device by an unauthorized person attempting to enter a vehicle by means other than a key, prevent the operation of a vehicle which an unauthorized person has entered using means other than a key, and ensure the reliability and durability of the device; (4) the reasons for the petitioner’s belief that the antitheft device will be effective in reducing </w:t>
      </w:r>
      <w:r>
        <w:lastRenderedPageBreak/>
        <w:t>and deterring motor vehicle theft, including any theft data and other data that are available to the petitioner and form the basis for that belief; (5) the reasons for the petitioner’s belief that the agency should determine that the antitheft device is likely to be as effective as compliance with the parts-marking requirements of Part 541 in reducing and deterring motor vehicle theft, including any statistical data that are available to the petitioner and form a basis for petitioner’s belief that a line of passenger motor vehicles equipped with the antitheft device is likely to have a theft rate equal to or less than that of passenger motor vehicles of the same, or similar, line which have p</w:t>
      </w:r>
      <w:r w:rsidR="00381AA8">
        <w:t>arts marked in compliance with P</w:t>
      </w:r>
      <w:r>
        <w:t xml:space="preserve">art 541. </w:t>
      </w:r>
    </w:p>
    <w:p w:rsidR="00850D97" w:rsidP="00850D97" w:rsidRDefault="00850D97" w14:paraId="3D9EBBBE" w14:textId="77777777">
      <w:pPr>
        <w:tabs>
          <w:tab w:val="left" w:pos="-1440"/>
        </w:tabs>
        <w:ind w:left="720"/>
      </w:pPr>
    </w:p>
    <w:p w:rsidR="00850D97" w:rsidP="00850D97" w:rsidRDefault="00850D97" w14:paraId="0D9541A4" w14:textId="159EA56B">
      <w:pPr>
        <w:tabs>
          <w:tab w:val="left" w:pos="-1440"/>
        </w:tabs>
        <w:ind w:left="720"/>
      </w:pPr>
      <w:r>
        <w:t>The second process, found at 49 CFR 543.7, was established in 2016 (81 FR 66833) in recognition of the effectiveness of immobilizer anti-theft devices at deterring theft. Section 543.7 provides a streamlined process for granting petitions for vehicles equipped with immobilize</w:t>
      </w:r>
      <w:r w:rsidR="00A777C3">
        <w:t>r</w:t>
      </w:r>
      <w:r>
        <w:t>s that comply with the</w:t>
      </w:r>
      <w:r w:rsidRPr="00E31CF1">
        <w:t xml:space="preserve"> performance criteria for immobilizers to allow manufacturers who are installing immobilizers in compliance with </w:t>
      </w:r>
      <w:r>
        <w:t>specified</w:t>
      </w:r>
      <w:r w:rsidRPr="00E31CF1">
        <w:t xml:space="preserve"> standard</w:t>
      </w:r>
      <w:r>
        <w:t>s</w:t>
      </w:r>
      <w:r w:rsidRPr="00E31CF1">
        <w:t xml:space="preserve"> to more easily obtain an exemption from the </w:t>
      </w:r>
      <w:r>
        <w:t>T</w:t>
      </w:r>
      <w:r w:rsidRPr="00E31CF1">
        <w:t xml:space="preserve">heft </w:t>
      </w:r>
      <w:r>
        <w:t>P</w:t>
      </w:r>
      <w:r w:rsidRPr="00E31CF1">
        <w:t xml:space="preserve">revention </w:t>
      </w:r>
      <w:r>
        <w:t>S</w:t>
      </w:r>
      <w:r w:rsidRPr="00E31CF1">
        <w:t xml:space="preserve">tandard. </w:t>
      </w:r>
      <w:r w:rsidR="00A777C3">
        <w:t xml:space="preserve"> </w:t>
      </w:r>
      <w:r w:rsidR="004E7955">
        <w:t>Section 543.7 requires</w:t>
      </w:r>
      <w:r>
        <w:t xml:space="preserve"> manufacturers to submit a statement that the entire line of vehicles is equipped with an immobilizer, as standard equipment, that meets one of the following: (1) the performance criteria (subsections 8 through 21) of C.R.C, c. 1038.114, Theft Protection and Rollaway Prevention (in effect March 30, 2011), as excerpted in appendix A of this part; (2) National Standard of Canada CAN/ULC-S338-98, Automobile Theft Deterrent Equipment and Systems: Electronic Immobilization (May 1998); (3) United Nations Economic Commission for Europe (UN/ECE) Regulation No. 97 (ECE R97), Uniform Provisions Concerning Approval of Vehicle Alarm System (VAS) and Motor Vehicles with Regard to Their Alarm System (AS) in effect August 8, 2007; or (4) UN/ECE Regulation No. 116 (ECE R116), Uniform Technical Prescriptions Concerning the Protection of Motor Vehicles Against Unauthorized Use in effect on February 10, 2009. Manufacturers must also submit documentation kept </w:t>
      </w:r>
      <w:r w:rsidR="002C1CEF">
        <w:t>demonstrating</w:t>
      </w:r>
      <w:r>
        <w:t xml:space="preserve"> that the device conforms with the performance criteria and a statement that the immobilizer device is durable and reliable.</w:t>
      </w:r>
    </w:p>
    <w:p w:rsidR="00850D97" w:rsidP="00850D97" w:rsidRDefault="00850D97" w14:paraId="3203ED59" w14:textId="77777777">
      <w:pPr>
        <w:tabs>
          <w:tab w:val="left" w:pos="-1440"/>
        </w:tabs>
        <w:ind w:left="720"/>
      </w:pPr>
    </w:p>
    <w:p w:rsidR="00850D97" w:rsidP="00850D97" w:rsidRDefault="00850D97" w14:paraId="5BB52EB8" w14:textId="29D9E11F">
      <w:pPr>
        <w:tabs>
          <w:tab w:val="left" w:pos="-1440"/>
        </w:tabs>
        <w:ind w:left="720"/>
      </w:pPr>
      <w:r>
        <w:t>Under</w:t>
      </w:r>
      <w:r w:rsidRPr="00DE1831">
        <w:t xml:space="preserve"> </w:t>
      </w:r>
      <w:r>
        <w:t>P</w:t>
      </w:r>
      <w:r w:rsidRPr="00DE1831">
        <w:t xml:space="preserve">art 543, manufacturers choose </w:t>
      </w:r>
      <w:r>
        <w:t xml:space="preserve">between </w:t>
      </w:r>
      <w:r w:rsidRPr="00DE1831">
        <w:t xml:space="preserve">the factors listed in </w:t>
      </w:r>
      <w:r>
        <w:t xml:space="preserve">either </w:t>
      </w:r>
      <w:r w:rsidRPr="00DE1831">
        <w:t>§</w:t>
      </w:r>
      <w:r w:rsidR="00A777C3">
        <w:t xml:space="preserve"> </w:t>
      </w:r>
      <w:r w:rsidRPr="00DE1831">
        <w:t>543.6</w:t>
      </w:r>
      <w:r>
        <w:t xml:space="preserve"> (specific content requirements) or §</w:t>
      </w:r>
      <w:r w:rsidR="00A777C3">
        <w:t xml:space="preserve"> </w:t>
      </w:r>
      <w:r>
        <w:t>543.7 (performance criteria)</w:t>
      </w:r>
      <w:r w:rsidRPr="00DE1831">
        <w:t xml:space="preserve"> to demonstrate to the agency that the anti-theft device they are installing in a vehicle line meets</w:t>
      </w:r>
      <w:r>
        <w:t xml:space="preserve"> the standard under § 33106</w:t>
      </w:r>
      <w:r w:rsidRPr="00DE1831">
        <w:t xml:space="preserve">.  </w:t>
      </w:r>
    </w:p>
    <w:p w:rsidR="00850D97" w:rsidP="00850D97" w:rsidRDefault="00850D97" w14:paraId="19705863" w14:textId="75D36702">
      <w:pPr>
        <w:tabs>
          <w:tab w:val="left" w:pos="-1440"/>
        </w:tabs>
        <w:ind w:left="720"/>
      </w:pPr>
    </w:p>
    <w:p w:rsidR="00850D97" w:rsidP="00850D97" w:rsidRDefault="00850D97" w14:paraId="4A23B7B4" w14:textId="0BBAD853">
      <w:pPr>
        <w:tabs>
          <w:tab w:val="left" w:pos="-1440"/>
        </w:tabs>
        <w:ind w:left="720"/>
      </w:pPr>
      <w:r w:rsidRPr="00850D97">
        <w:t xml:space="preserve">This information will be used by NHTSA in exercising its delegated authority to grant exemptions from the vehicle identification requirements of 49 CFR Part 541.  The statute requires, in Section 33106, that these exemptions be granted in whole or in part, based on “substantial evidence.”  Without this information, no exemption would be available from </w:t>
      </w:r>
      <w:r w:rsidR="004E7955">
        <w:t xml:space="preserve">the parts-marking requirements </w:t>
      </w:r>
      <w:r w:rsidRPr="00850D97">
        <w:t>and manufacturers would be required to identify parts on all vehicle lines designated for identification.</w:t>
      </w:r>
    </w:p>
    <w:p w:rsidRPr="00CF3FDA" w:rsidR="00B6021D" w:rsidRDefault="00B6021D" w14:paraId="415FBADD" w14:textId="77777777">
      <w:pPr>
        <w:tabs>
          <w:tab w:val="left" w:pos="-1440"/>
        </w:tabs>
        <w:rPr>
          <w:u w:val="single"/>
        </w:rPr>
      </w:pPr>
    </w:p>
    <w:p w:rsidRPr="00CF3FDA" w:rsidR="00B6021D" w:rsidRDefault="00B6021D" w14:paraId="1090785F" w14:textId="77777777">
      <w:pPr>
        <w:pStyle w:val="Level1"/>
        <w:numPr>
          <w:ilvl w:val="0"/>
          <w:numId w:val="1"/>
        </w:numPr>
        <w:tabs>
          <w:tab w:val="left" w:pos="-1440"/>
          <w:tab w:val="num" w:pos="720"/>
        </w:tabs>
        <w:rPr>
          <w:u w:val="single"/>
        </w:rPr>
      </w:pPr>
      <w:r w:rsidRPr="00CF3FDA">
        <w:rPr>
          <w:u w:val="single"/>
        </w:rPr>
        <w:t>Describe whether</w:t>
      </w:r>
      <w:r w:rsidR="00FE03F3">
        <w:rPr>
          <w:u w:val="single"/>
        </w:rPr>
        <w:t>, and to what extent,</w:t>
      </w:r>
      <w:r w:rsidRPr="00CF3FDA">
        <w:rPr>
          <w:u w:val="single"/>
        </w:rPr>
        <w:t xml:space="preserve"> the collection of information involves the use of </w:t>
      </w:r>
      <w:r w:rsidR="00FE03F3">
        <w:rPr>
          <w:u w:val="single"/>
        </w:rPr>
        <w:t>automated, electronic, mechanical, or other</w:t>
      </w:r>
      <w:r w:rsidRPr="0016024D" w:rsidR="00FE03F3">
        <w:rPr>
          <w:u w:val="single"/>
        </w:rPr>
        <w:t xml:space="preserve"> </w:t>
      </w:r>
      <w:r w:rsidRPr="00CF3FDA">
        <w:rPr>
          <w:u w:val="single"/>
        </w:rPr>
        <w:t xml:space="preserve">technological collection techniques or other </w:t>
      </w:r>
      <w:r w:rsidRPr="00CF3FDA">
        <w:rPr>
          <w:u w:val="single"/>
        </w:rPr>
        <w:lastRenderedPageBreak/>
        <w:t>forms of information technology</w:t>
      </w:r>
      <w:r w:rsidRPr="00A57A08" w:rsidR="00FE03F3">
        <w:rPr>
          <w:u w:val="single"/>
        </w:rPr>
        <w:t>, e.g. permitting electronic submission of responses, and the basis for the decision for adopting this means of collection.  Also, describe any consideration of using information technology to reduce burden</w:t>
      </w:r>
      <w:r w:rsidRPr="00CF3FDA">
        <w:rPr>
          <w:u w:val="single"/>
        </w:rPr>
        <w:t>.</w:t>
      </w:r>
    </w:p>
    <w:p w:rsidRPr="00CF3FDA" w:rsidR="00B6021D" w:rsidRDefault="00B6021D" w14:paraId="11667DF3" w14:textId="77777777">
      <w:pPr>
        <w:tabs>
          <w:tab w:val="left" w:pos="0"/>
          <w:tab w:val="left" w:pos="727"/>
          <w:tab w:val="right" w:pos="7170"/>
        </w:tabs>
        <w:rPr>
          <w:u w:val="single"/>
        </w:rPr>
      </w:pPr>
    </w:p>
    <w:p w:rsidRPr="00CF3FDA" w:rsidR="0093752E" w:rsidRDefault="00B6021D" w14:paraId="5FA2AE2B" w14:textId="6AB54808">
      <w:pPr>
        <w:tabs>
          <w:tab w:val="left" w:pos="-1440"/>
        </w:tabs>
        <w:ind w:left="720"/>
      </w:pPr>
      <w:r w:rsidRPr="00CF3FDA">
        <w:t xml:space="preserve">49 CFR Part 543 </w:t>
      </w:r>
      <w:r w:rsidR="00B809B6">
        <w:t>requires</w:t>
      </w:r>
      <w:r w:rsidRPr="00CF3FDA">
        <w:t xml:space="preserve"> automobile manufacturers to</w:t>
      </w:r>
      <w:r w:rsidR="00B809B6">
        <w:t xml:space="preserve"> submit copies of their petitions to the NHTSA in Washington, D.C.; however,</w:t>
      </w:r>
      <w:r w:rsidRPr="00CF3FDA">
        <w:t xml:space="preserve"> </w:t>
      </w:r>
      <w:r w:rsidR="0093752E">
        <w:t xml:space="preserve">NHTSA permits </w:t>
      </w:r>
      <w:r w:rsidRPr="00CF3FDA">
        <w:t>manufacturer</w:t>
      </w:r>
      <w:r w:rsidR="00B809B6">
        <w:t>s</w:t>
      </w:r>
      <w:r w:rsidRPr="00CF3FDA">
        <w:t xml:space="preserve"> </w:t>
      </w:r>
      <w:r w:rsidR="0093752E">
        <w:t>to</w:t>
      </w:r>
      <w:r w:rsidRPr="00CF3FDA">
        <w:t xml:space="preserve"> </w:t>
      </w:r>
      <w:r w:rsidR="0093752E">
        <w:t xml:space="preserve">submit the information by email or on computer disks (using a NHTSA-approved format) to </w:t>
      </w:r>
      <w:r w:rsidRPr="00CF3FDA">
        <w:t xml:space="preserve">minimize the burden as long as the required reports are provided.  Manufacturers have chosen to submit this information to NHTSA in hard copy form. </w:t>
      </w:r>
    </w:p>
    <w:p w:rsidRPr="00CF3FDA" w:rsidR="00AD2F54" w:rsidRDefault="00AD2F54" w14:paraId="7F00905E" w14:textId="77777777">
      <w:pPr>
        <w:tabs>
          <w:tab w:val="left" w:pos="-1440"/>
        </w:tabs>
        <w:ind w:left="720"/>
      </w:pPr>
    </w:p>
    <w:p w:rsidRPr="00CF3FDA" w:rsidR="00B6021D" w:rsidRDefault="00B6021D" w14:paraId="53AF63CD" w14:textId="77777777">
      <w:pPr>
        <w:pStyle w:val="Level1"/>
        <w:numPr>
          <w:ilvl w:val="0"/>
          <w:numId w:val="1"/>
        </w:numPr>
        <w:tabs>
          <w:tab w:val="left" w:pos="-1440"/>
          <w:tab w:val="num" w:pos="720"/>
        </w:tabs>
        <w:rPr>
          <w:u w:val="single"/>
        </w:rPr>
      </w:pPr>
      <w:r w:rsidRPr="00CF3FDA">
        <w:rPr>
          <w:u w:val="single"/>
        </w:rPr>
        <w:t>Describe efforts to identify duplication</w:t>
      </w:r>
      <w:r w:rsidR="00DD5F8B">
        <w:rPr>
          <w:u w:val="single"/>
        </w:rPr>
        <w:t xml:space="preserve">.  </w:t>
      </w:r>
      <w:r w:rsidRPr="00CF30CC" w:rsidR="00DD5F8B">
        <w:rPr>
          <w:u w:val="single"/>
        </w:rPr>
        <w:t>Show specifically why any similar information already available cannot be used or modified for use for the purposes described in item 2 above.</w:t>
      </w:r>
    </w:p>
    <w:p w:rsidRPr="00CF3FDA" w:rsidR="00B6021D" w:rsidRDefault="00B6021D" w14:paraId="0A94A0D8" w14:textId="77777777">
      <w:pPr>
        <w:tabs>
          <w:tab w:val="left" w:pos="-1440"/>
        </w:tabs>
        <w:rPr>
          <w:u w:val="single"/>
        </w:rPr>
      </w:pPr>
    </w:p>
    <w:p w:rsidRPr="00CF3FDA" w:rsidR="00B6021D" w:rsidRDefault="00B6021D" w14:paraId="02EB2B21" w14:textId="479947C7">
      <w:pPr>
        <w:tabs>
          <w:tab w:val="left" w:pos="-1440"/>
        </w:tabs>
        <w:ind w:left="720"/>
      </w:pPr>
      <w:r w:rsidRPr="00CF3FDA">
        <w:t>This information is not required by any other law or standard and would not be available without this regulation.  This agency is the only agency authorized to grant an exemption from the requirements of the Theft Prevention Standard based on the manufacturer</w:t>
      </w:r>
      <w:r w:rsidR="007B51F0">
        <w:t>’</w:t>
      </w:r>
      <w:r w:rsidRPr="00CF3FDA">
        <w:t>s petition.  No similar information is currently available.</w:t>
      </w:r>
    </w:p>
    <w:p w:rsidRPr="00CF3FDA" w:rsidR="00B6021D" w:rsidRDefault="00B6021D" w14:paraId="12E24E5C" w14:textId="77777777">
      <w:pPr>
        <w:tabs>
          <w:tab w:val="left" w:pos="-1440"/>
        </w:tabs>
      </w:pPr>
    </w:p>
    <w:p w:rsidRPr="00CF3FDA" w:rsidR="00B6021D" w:rsidRDefault="00B6021D" w14:paraId="0EE4C9D6" w14:textId="286E0A12">
      <w:pPr>
        <w:tabs>
          <w:tab w:val="left" w:pos="-1440"/>
        </w:tabs>
        <w:ind w:left="720" w:hanging="720"/>
      </w:pPr>
      <w:r w:rsidRPr="00CF3FDA">
        <w:t>5.</w:t>
      </w:r>
      <w:r w:rsidRPr="00CF3FDA">
        <w:tab/>
      </w:r>
      <w:r w:rsidRPr="00CF3FDA">
        <w:rPr>
          <w:u w:val="single"/>
        </w:rPr>
        <w:t xml:space="preserve">If the collection of information </w:t>
      </w:r>
      <w:r w:rsidR="00DD5F8B">
        <w:rPr>
          <w:u w:val="single"/>
        </w:rPr>
        <w:t>impacts</w:t>
      </w:r>
      <w:r w:rsidRPr="0016024D" w:rsidR="00DD5F8B">
        <w:rPr>
          <w:u w:val="single"/>
        </w:rPr>
        <w:t xml:space="preserve"> </w:t>
      </w:r>
      <w:r w:rsidRPr="00CF3FDA">
        <w:rPr>
          <w:u w:val="single"/>
        </w:rPr>
        <w:t xml:space="preserve">small businesses or other small entities, describe </w:t>
      </w:r>
      <w:r w:rsidR="00DD5F8B">
        <w:rPr>
          <w:u w:val="single"/>
        </w:rPr>
        <w:t>any</w:t>
      </w:r>
      <w:r w:rsidRPr="00CF3FDA" w:rsidR="00DD5F8B">
        <w:rPr>
          <w:u w:val="single"/>
        </w:rPr>
        <w:t xml:space="preserve"> </w:t>
      </w:r>
      <w:r w:rsidRPr="00CF3FDA">
        <w:rPr>
          <w:u w:val="single"/>
        </w:rPr>
        <w:t>methods used to minimize burden.</w:t>
      </w:r>
    </w:p>
    <w:p w:rsidRPr="00CF3FDA" w:rsidR="00B6021D" w:rsidRDefault="00B6021D" w14:paraId="7A1FD9E0" w14:textId="77777777">
      <w:pPr>
        <w:tabs>
          <w:tab w:val="left" w:pos="-1440"/>
        </w:tabs>
      </w:pPr>
    </w:p>
    <w:p w:rsidR="00C1217D" w:rsidP="00FB0479" w:rsidRDefault="00B6021D" w14:paraId="08810B54" w14:textId="0F03ECEA">
      <w:pPr>
        <w:tabs>
          <w:tab w:val="left" w:pos="-1440"/>
        </w:tabs>
        <w:ind w:left="720"/>
      </w:pPr>
      <w:r w:rsidRPr="00CF3FDA">
        <w:t xml:space="preserve">The agency believes that few, if any, small entities will be affected by this rule.  </w:t>
      </w:r>
      <w:r w:rsidR="00EB461D">
        <w:t>No</w:t>
      </w:r>
      <w:r w:rsidR="00695D05">
        <w:t xml:space="preserve"> </w:t>
      </w:r>
      <w:r w:rsidR="00EB461D">
        <w:t>vehicle manufacturers are</w:t>
      </w:r>
      <w:r w:rsidR="00695D05">
        <w:t xml:space="preserve"> </w:t>
      </w:r>
      <w:r w:rsidRPr="00CF3FDA">
        <w:t xml:space="preserve">required to submit this </w:t>
      </w:r>
      <w:r w:rsidR="00776A1D">
        <w:t>information</w:t>
      </w:r>
      <w:r w:rsidRPr="00CF3FDA">
        <w:t>.</w:t>
      </w:r>
      <w:r w:rsidR="00EB461D">
        <w:t xml:space="preserve">  Only businesses that</w:t>
      </w:r>
      <w:r w:rsidRPr="00CF3FDA">
        <w:t xml:space="preserve"> manufacture </w:t>
      </w:r>
      <w:r w:rsidR="00EB461D">
        <w:t xml:space="preserve">vehicles and </w:t>
      </w:r>
      <w:r w:rsidRPr="00CF3FDA">
        <w:t xml:space="preserve">wish to petition for an exemption, under </w:t>
      </w:r>
      <w:r w:rsidR="00695D05">
        <w:t>s</w:t>
      </w:r>
      <w:r w:rsidRPr="00CF3FDA">
        <w:t>ection 33106, from the identification requirements of the Theft Prevention Standard</w:t>
      </w:r>
      <w:r w:rsidR="00EB461D">
        <w:t xml:space="preserve"> must submit the information required in the petition</w:t>
      </w:r>
      <w:r w:rsidRPr="00CF3FDA">
        <w:t>.</w:t>
      </w:r>
      <w:r w:rsidR="007B51F0">
        <w:t xml:space="preserve"> </w:t>
      </w:r>
      <w:r w:rsidR="00C1217D">
        <w:t xml:space="preserve">Part 541 provides exclusions from the Theft Prevention Standards </w:t>
      </w:r>
      <w:r w:rsidR="00767143">
        <w:t xml:space="preserve">that likely exclude most, if not all, </w:t>
      </w:r>
      <w:r w:rsidR="00FB0479">
        <w:t>manufacturers</w:t>
      </w:r>
      <w:r w:rsidR="00767143">
        <w:t xml:space="preserve"> that would be considered small entities</w:t>
      </w:r>
      <w:r w:rsidR="00073034">
        <w:t xml:space="preserve"> from the parts-marking requirements</w:t>
      </w:r>
      <w:r w:rsidR="00FB0479">
        <w:t>. Specifically, § 541.3 excludes from the parts-marking requirements for</w:t>
      </w:r>
      <w:r w:rsidR="00767143">
        <w:t xml:space="preserve"> </w:t>
      </w:r>
      <w:r w:rsidR="00C1217D">
        <w:t>vehicles manufactured by a motor vehicle manufacturer that manufactures fewer than 5,000 vehicles for sale in the United States each</w:t>
      </w:r>
      <w:r w:rsidR="00FB0479">
        <w:t xml:space="preserve"> year and for vehicles i</w:t>
      </w:r>
      <w:r w:rsidR="00C1217D">
        <w:t>n a line with an annual production of not more than 3,500 vehicles.</w:t>
      </w:r>
      <w:r w:rsidR="00FB0479">
        <w:t xml:space="preserve"> </w:t>
      </w:r>
      <w:r w:rsidR="00073034">
        <w:t xml:space="preserve">Therefore, few, if any, entities requesting exemptions from the parts-marking requirements under Part 543 would be considered small entities. </w:t>
      </w:r>
    </w:p>
    <w:p w:rsidR="00C1217D" w:rsidRDefault="00C1217D" w14:paraId="2268BCF1" w14:textId="77777777">
      <w:pPr>
        <w:tabs>
          <w:tab w:val="left" w:pos="-1440"/>
        </w:tabs>
        <w:ind w:left="720"/>
      </w:pPr>
    </w:p>
    <w:p w:rsidRPr="00CF3FDA" w:rsidR="00B6021D" w:rsidRDefault="00A320BC" w14:paraId="32F65CFD" w14:textId="6C1C1424">
      <w:pPr>
        <w:tabs>
          <w:tab w:val="left" w:pos="-1440"/>
        </w:tabs>
        <w:ind w:left="720"/>
      </w:pPr>
      <w:r>
        <w:t>Additionally, t</w:t>
      </w:r>
      <w:r w:rsidRPr="007B51F0" w:rsidR="008A51EF">
        <w:t xml:space="preserve">o allow manufacturers to </w:t>
      </w:r>
      <w:proofErr w:type="gramStart"/>
      <w:r w:rsidRPr="007B51F0" w:rsidR="008A51EF">
        <w:t>more easily obtain an exemption</w:t>
      </w:r>
      <w:proofErr w:type="gramEnd"/>
      <w:r w:rsidR="008A51EF">
        <w:t xml:space="preserve">, </w:t>
      </w:r>
      <w:r w:rsidR="007B51F0">
        <w:t>49 CFR Part 543 was amended to streamline granting petitions for vehicles equipped with immobilizers</w:t>
      </w:r>
      <w:r w:rsidRPr="007B51F0" w:rsidR="007B51F0">
        <w:t xml:space="preserve"> that are </w:t>
      </w:r>
      <w:r w:rsidR="007B51F0">
        <w:t>compliant with</w:t>
      </w:r>
      <w:r w:rsidRPr="007B51F0" w:rsidR="007B51F0">
        <w:t xml:space="preserve"> </w:t>
      </w:r>
      <w:r w:rsidR="009F08FD">
        <w:t>one of four standards that set performance criteria for immobilizers</w:t>
      </w:r>
      <w:r w:rsidR="00674882">
        <w:t>.</w:t>
      </w:r>
      <w:r w:rsidR="008A51EF">
        <w:t xml:space="preserve">  Under § 543.7, </w:t>
      </w:r>
      <w:r w:rsidRPr="008A51EF" w:rsidR="008A51EF">
        <w:t>manufacturers would no longer need to describe</w:t>
      </w:r>
      <w:r w:rsidR="008A51EF">
        <w:t xml:space="preserve"> in detail</w:t>
      </w:r>
      <w:r w:rsidRPr="008A51EF" w:rsidR="008A51EF">
        <w:t xml:space="preserve"> how the immobilizer achieves </w:t>
      </w:r>
      <w:r w:rsidR="008A51EF">
        <w:t>the required</w:t>
      </w:r>
      <w:r w:rsidRPr="008A51EF" w:rsidR="008A51EF">
        <w:t xml:space="preserve"> aspects of performance</w:t>
      </w:r>
      <w:r w:rsidR="008A51EF">
        <w:t>; they</w:t>
      </w:r>
      <w:r w:rsidRPr="008A51EF" w:rsidR="008A51EF">
        <w:t xml:space="preserve"> would only need to state that their immobilizer device conforms to the performance criteria and </w:t>
      </w:r>
      <w:r w:rsidR="008A51EF">
        <w:t xml:space="preserve">provide the documentation they maintain </w:t>
      </w:r>
      <w:r w:rsidR="008072CC">
        <w:t>to demonstrate that the device conforms with the performance criteria</w:t>
      </w:r>
      <w:r w:rsidR="008A51EF">
        <w:t>.</w:t>
      </w:r>
    </w:p>
    <w:p w:rsidRPr="00CF3FDA" w:rsidR="00B6021D" w:rsidRDefault="00B6021D" w14:paraId="305A1E11" w14:textId="77777777">
      <w:pPr>
        <w:tabs>
          <w:tab w:val="left" w:pos="-1440"/>
        </w:tabs>
      </w:pPr>
    </w:p>
    <w:p w:rsidRPr="00CF3FDA" w:rsidR="00B6021D" w:rsidP="00D75090" w:rsidRDefault="00B6021D" w14:paraId="0C4048F2" w14:textId="69A1B3C7">
      <w:pPr>
        <w:tabs>
          <w:tab w:val="left" w:pos="-1440"/>
        </w:tabs>
        <w:ind w:left="720" w:hanging="720"/>
      </w:pPr>
      <w:r w:rsidRPr="00CF3FDA">
        <w:t>6.</w:t>
      </w:r>
      <w:r w:rsidRPr="00CF3FDA">
        <w:tab/>
      </w:r>
      <w:r w:rsidRPr="00CF3FDA">
        <w:rPr>
          <w:u w:val="single"/>
        </w:rPr>
        <w:t xml:space="preserve">Describe the consequence to Federal Program or policy activities if the collection is not </w:t>
      </w:r>
      <w:r w:rsidR="00EB461D">
        <w:rPr>
          <w:u w:val="single"/>
        </w:rPr>
        <w:lastRenderedPageBreak/>
        <w:t>conducted</w:t>
      </w:r>
      <w:r w:rsidRPr="00CF3FDA" w:rsidR="00EB461D">
        <w:rPr>
          <w:u w:val="single"/>
        </w:rPr>
        <w:t xml:space="preserve"> </w:t>
      </w:r>
      <w:r w:rsidRPr="00CF3FDA">
        <w:rPr>
          <w:u w:val="single"/>
        </w:rPr>
        <w:t xml:space="preserve">or </w:t>
      </w:r>
      <w:r w:rsidR="00EB461D">
        <w:rPr>
          <w:u w:val="single"/>
        </w:rPr>
        <w:t>is conducted</w:t>
      </w:r>
      <w:r w:rsidRPr="00CF3FDA" w:rsidR="00EB461D">
        <w:rPr>
          <w:u w:val="single"/>
        </w:rPr>
        <w:t xml:space="preserve"> </w:t>
      </w:r>
      <w:r w:rsidRPr="00CF3FDA">
        <w:rPr>
          <w:u w:val="single"/>
        </w:rPr>
        <w:t>less frequently</w:t>
      </w:r>
      <w:r w:rsidR="00EB461D">
        <w:rPr>
          <w:u w:val="single"/>
        </w:rPr>
        <w:t>, as well as any technical or legal obstacles to reducing burden</w:t>
      </w:r>
      <w:r w:rsidRPr="00CF3FDA">
        <w:rPr>
          <w:u w:val="single"/>
        </w:rPr>
        <w:t>.</w:t>
      </w:r>
    </w:p>
    <w:p w:rsidRPr="00CF3FDA" w:rsidR="00B6021D" w:rsidRDefault="00B6021D" w14:paraId="193B2C6E" w14:textId="77777777">
      <w:pPr>
        <w:tabs>
          <w:tab w:val="left" w:pos="-1440"/>
        </w:tabs>
      </w:pPr>
    </w:p>
    <w:p w:rsidRPr="00CF3FDA" w:rsidR="00B6021D" w:rsidRDefault="00B6021D" w14:paraId="0E243A80" w14:textId="37E1F75C">
      <w:pPr>
        <w:tabs>
          <w:tab w:val="left" w:pos="-1440"/>
        </w:tabs>
        <w:ind w:left="720"/>
      </w:pPr>
      <w:r w:rsidRPr="00CF3FDA">
        <w:t xml:space="preserve">The submittal of this information is a one-time-only submission and is made at the discretion of the manufacturer.  If the manufacturer does not submit a petition for exemption under the procedures contained in 49 CFR Part 543, then </w:t>
      </w:r>
      <w:r w:rsidR="00D671D9">
        <w:t>NHTSA cannot grant exemption from Part 541 and the manufacturer would be required to comply with the parts-marking requirements</w:t>
      </w:r>
      <w:r w:rsidR="005802F6">
        <w:t xml:space="preserve"> under Part </w:t>
      </w:r>
      <w:r w:rsidRPr="00CF3FDA">
        <w:t>541.</w:t>
      </w:r>
    </w:p>
    <w:p w:rsidRPr="00CF3FDA" w:rsidR="00B6021D" w:rsidRDefault="00B6021D" w14:paraId="1EE4FF5E" w14:textId="77777777">
      <w:pPr>
        <w:tabs>
          <w:tab w:val="left" w:pos="-1440"/>
        </w:tabs>
      </w:pPr>
    </w:p>
    <w:p w:rsidRPr="00FE0A6D" w:rsidR="00D75090" w:rsidP="00D75090" w:rsidRDefault="00B6021D" w14:paraId="52257BD5" w14:textId="77777777">
      <w:pPr>
        <w:ind w:left="720" w:hanging="720"/>
        <w:rPr>
          <w:u w:val="single"/>
        </w:rPr>
      </w:pPr>
      <w:r w:rsidRPr="00CF3FDA">
        <w:t>7.</w:t>
      </w:r>
      <w:r w:rsidRPr="00CF3FDA">
        <w:tab/>
      </w:r>
      <w:r w:rsidRPr="00FE0A6D" w:rsidR="00D75090">
        <w:rPr>
          <w:u w:val="single"/>
        </w:rPr>
        <w:t>Explain any special circumstances that would cause an information collection to be conducted in a manner:</w:t>
      </w:r>
    </w:p>
    <w:p w:rsidRPr="00FE0A6D" w:rsidR="00D75090" w:rsidP="00D75090" w:rsidRDefault="00D75090" w14:paraId="030C8D8C" w14:textId="77777777">
      <w:pPr>
        <w:ind w:left="1080" w:hanging="360"/>
        <w:rPr>
          <w:u w:val="single"/>
        </w:rPr>
      </w:pPr>
      <w:r>
        <w:rPr>
          <w:u w:val="single"/>
        </w:rPr>
        <w:t xml:space="preserve">a. </w:t>
      </w:r>
      <w:r w:rsidRPr="00FE0A6D">
        <w:rPr>
          <w:u w:val="single"/>
        </w:rPr>
        <w:t xml:space="preserve"> </w:t>
      </w:r>
      <w:r w:rsidRPr="00FE0A6D">
        <w:rPr>
          <w:u w:val="single"/>
        </w:rPr>
        <w:tab/>
        <w:t xml:space="preserve">Requiring respondents to report information to the agency more often than </w:t>
      </w:r>
      <w:proofErr w:type="gramStart"/>
      <w:r w:rsidRPr="00FE0A6D">
        <w:rPr>
          <w:u w:val="single"/>
        </w:rPr>
        <w:t>quarterly;</w:t>
      </w:r>
      <w:proofErr w:type="gramEnd"/>
    </w:p>
    <w:p w:rsidRPr="00FE0A6D" w:rsidR="00D75090" w:rsidP="00D75090" w:rsidRDefault="00D75090" w14:paraId="139EEE4E" w14:textId="77777777">
      <w:pPr>
        <w:ind w:left="1080" w:hanging="360"/>
        <w:rPr>
          <w:u w:val="single"/>
        </w:rPr>
      </w:pPr>
      <w:r>
        <w:rPr>
          <w:u w:val="single"/>
        </w:rPr>
        <w:t>b.</w:t>
      </w:r>
      <w:r w:rsidRPr="00FE0A6D">
        <w:rPr>
          <w:u w:val="single"/>
        </w:rPr>
        <w:t xml:space="preserve"> </w:t>
      </w:r>
      <w:r w:rsidRPr="00FE0A6D">
        <w:rPr>
          <w:u w:val="single"/>
        </w:rPr>
        <w:tab/>
        <w:t xml:space="preserve">Requiring respondents to prepare a written response to a collection of information in fewer than 30 days after receipt of </w:t>
      </w:r>
      <w:proofErr w:type="gramStart"/>
      <w:r w:rsidRPr="00FE0A6D">
        <w:rPr>
          <w:u w:val="single"/>
        </w:rPr>
        <w:t>it;</w:t>
      </w:r>
      <w:proofErr w:type="gramEnd"/>
    </w:p>
    <w:p w:rsidRPr="00FE0A6D" w:rsidR="00D75090" w:rsidP="00D75090" w:rsidRDefault="00D75090" w14:paraId="5328F3E3" w14:textId="77777777">
      <w:pPr>
        <w:ind w:left="1080" w:hanging="360"/>
        <w:rPr>
          <w:u w:val="single"/>
        </w:rPr>
      </w:pPr>
      <w:r>
        <w:rPr>
          <w:u w:val="single"/>
        </w:rPr>
        <w:t>c.</w:t>
      </w:r>
      <w:r w:rsidRPr="00FE0A6D">
        <w:rPr>
          <w:u w:val="single"/>
        </w:rPr>
        <w:t xml:space="preserve"> </w:t>
      </w:r>
      <w:r w:rsidRPr="00FE0A6D">
        <w:rPr>
          <w:u w:val="single"/>
        </w:rPr>
        <w:tab/>
        <w:t xml:space="preserve">Requiring respondents to submit more than an original and two copies of any </w:t>
      </w:r>
      <w:proofErr w:type="gramStart"/>
      <w:r w:rsidRPr="00FE0A6D">
        <w:rPr>
          <w:u w:val="single"/>
        </w:rPr>
        <w:t>document;</w:t>
      </w:r>
      <w:proofErr w:type="gramEnd"/>
    </w:p>
    <w:p w:rsidRPr="00FE0A6D" w:rsidR="00D75090" w:rsidP="00D75090" w:rsidRDefault="00D75090" w14:paraId="65213C3B" w14:textId="77777777">
      <w:pPr>
        <w:ind w:left="1080" w:hanging="360"/>
        <w:rPr>
          <w:u w:val="single"/>
        </w:rPr>
      </w:pPr>
      <w:r>
        <w:rPr>
          <w:u w:val="single"/>
        </w:rPr>
        <w:t>d.</w:t>
      </w:r>
      <w:r w:rsidRPr="00FE0A6D">
        <w:rPr>
          <w:u w:val="single"/>
        </w:rPr>
        <w:t xml:space="preserve"> </w:t>
      </w:r>
      <w:r w:rsidRPr="00FE0A6D">
        <w:rPr>
          <w:u w:val="single"/>
        </w:rPr>
        <w:tab/>
        <w:t xml:space="preserve">Requiring respondents to retain records, other than health, medical, government contract, grant-in-aid, or tax records for more than three </w:t>
      </w:r>
      <w:proofErr w:type="gramStart"/>
      <w:r w:rsidRPr="00FE0A6D">
        <w:rPr>
          <w:u w:val="single"/>
        </w:rPr>
        <w:t>years;</w:t>
      </w:r>
      <w:proofErr w:type="gramEnd"/>
    </w:p>
    <w:p w:rsidRPr="00FE0A6D" w:rsidR="00D75090" w:rsidP="00D75090" w:rsidRDefault="00D75090" w14:paraId="47108B6F" w14:textId="77777777">
      <w:pPr>
        <w:ind w:left="1080" w:hanging="360"/>
        <w:rPr>
          <w:u w:val="single"/>
        </w:rPr>
      </w:pPr>
      <w:r>
        <w:rPr>
          <w:u w:val="single"/>
        </w:rPr>
        <w:t>e.</w:t>
      </w:r>
      <w:r w:rsidRPr="00FE0A6D">
        <w:rPr>
          <w:u w:val="single"/>
        </w:rPr>
        <w:t xml:space="preserve"> </w:t>
      </w:r>
      <w:r w:rsidRPr="00FE0A6D">
        <w:rPr>
          <w:u w:val="single"/>
        </w:rPr>
        <w:tab/>
        <w:t xml:space="preserve">In connection with a statistical survey, that is not designed to produce valid and reliable results that can be generalized to the universe of </w:t>
      </w:r>
      <w:proofErr w:type="gramStart"/>
      <w:r w:rsidRPr="00FE0A6D">
        <w:rPr>
          <w:u w:val="single"/>
        </w:rPr>
        <w:t>study;</w:t>
      </w:r>
      <w:proofErr w:type="gramEnd"/>
    </w:p>
    <w:p w:rsidRPr="00FE0A6D" w:rsidR="00D75090" w:rsidP="00D75090" w:rsidRDefault="00D75090" w14:paraId="60C1FFA8" w14:textId="77777777">
      <w:pPr>
        <w:ind w:left="1080" w:hanging="360"/>
        <w:rPr>
          <w:u w:val="single"/>
        </w:rPr>
      </w:pPr>
      <w:r>
        <w:rPr>
          <w:u w:val="single"/>
        </w:rPr>
        <w:t>f.</w:t>
      </w:r>
      <w:r w:rsidRPr="00FE0A6D">
        <w:rPr>
          <w:u w:val="single"/>
        </w:rPr>
        <w:t xml:space="preserve"> </w:t>
      </w:r>
      <w:r w:rsidRPr="00FE0A6D">
        <w:rPr>
          <w:u w:val="single"/>
        </w:rPr>
        <w:tab/>
        <w:t xml:space="preserve">Requiring the use of a statistical data classification that has not been reviewed and approved by </w:t>
      </w:r>
      <w:proofErr w:type="gramStart"/>
      <w:r w:rsidRPr="00FE0A6D">
        <w:rPr>
          <w:u w:val="single"/>
        </w:rPr>
        <w:t>OMB;</w:t>
      </w:r>
      <w:proofErr w:type="gramEnd"/>
    </w:p>
    <w:p w:rsidRPr="00FE0A6D" w:rsidR="00D75090" w:rsidP="00D75090" w:rsidRDefault="00D75090" w14:paraId="0D79C42C" w14:textId="77777777">
      <w:pPr>
        <w:ind w:left="1080" w:hanging="360"/>
        <w:rPr>
          <w:u w:val="single"/>
        </w:rPr>
      </w:pPr>
      <w:r>
        <w:rPr>
          <w:u w:val="single"/>
        </w:rPr>
        <w:t>g.</w:t>
      </w:r>
      <w:r w:rsidRPr="00FE0A6D">
        <w:rPr>
          <w:u w:val="single"/>
        </w:rPr>
        <w:t xml:space="preserve"> </w:t>
      </w:r>
      <w:r w:rsidRPr="00FE0A6D">
        <w:rPr>
          <w:u w:val="single"/>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F3FDA" w:rsidR="00B6021D" w:rsidP="00D75090" w:rsidRDefault="00D75090" w14:paraId="1367944B" w14:textId="6CF84442">
      <w:pPr>
        <w:tabs>
          <w:tab w:val="left" w:pos="-1440"/>
        </w:tabs>
        <w:ind w:left="1080" w:hanging="360"/>
        <w:rPr>
          <w:u w:val="single"/>
        </w:rPr>
      </w:pPr>
      <w:r>
        <w:rPr>
          <w:u w:val="single"/>
        </w:rPr>
        <w:t>h.</w:t>
      </w:r>
      <w:r w:rsidRPr="00FE0A6D">
        <w:rPr>
          <w:u w:val="single"/>
        </w:rPr>
        <w:t xml:space="preserve"> </w:t>
      </w:r>
      <w:r w:rsidRPr="00FE0A6D">
        <w:rPr>
          <w:u w:val="single"/>
        </w:rPr>
        <w:tab/>
        <w:t>Requiring respondents to submit proprietary trade secret, or other confidential information unless the agency can demonstrate that it has instituted procedures to protect the information's confidentiality to the extent permitted by law.</w:t>
      </w:r>
    </w:p>
    <w:p w:rsidRPr="00CF3FDA" w:rsidR="00B6021D" w:rsidRDefault="00B6021D" w14:paraId="07B0BF97" w14:textId="77777777">
      <w:pPr>
        <w:tabs>
          <w:tab w:val="left" w:pos="-1440"/>
        </w:tabs>
        <w:rPr>
          <w:u w:val="single"/>
        </w:rPr>
      </w:pPr>
    </w:p>
    <w:p w:rsidRPr="00CF3FDA" w:rsidR="00B6021D" w:rsidRDefault="00D75090" w14:paraId="22B2BC21" w14:textId="0B5F80F4">
      <w:pPr>
        <w:tabs>
          <w:tab w:val="left" w:pos="-1440"/>
        </w:tabs>
        <w:ind w:left="720"/>
      </w:pPr>
      <w:r w:rsidRPr="0055111F">
        <w:t xml:space="preserve">None of these special circumstances apply to the information collected under </w:t>
      </w:r>
      <w:r>
        <w:t xml:space="preserve">49 CFR Part 543.  </w:t>
      </w:r>
    </w:p>
    <w:p w:rsidRPr="00CF3FDA" w:rsidR="00B6021D" w:rsidP="00967200" w:rsidRDefault="00B6021D" w14:paraId="3DE80146" w14:textId="77777777">
      <w:pPr>
        <w:tabs>
          <w:tab w:val="left" w:pos="-1440"/>
        </w:tabs>
      </w:pPr>
    </w:p>
    <w:p w:rsidRPr="00CF3FDA" w:rsidR="00B6021D" w:rsidRDefault="00B6021D" w14:paraId="0885B89E" w14:textId="68ADA9D5">
      <w:pPr>
        <w:tabs>
          <w:tab w:val="left" w:pos="-1440"/>
        </w:tabs>
        <w:ind w:left="720" w:hanging="720"/>
        <w:rPr>
          <w:u w:val="single"/>
        </w:rPr>
      </w:pPr>
      <w:r w:rsidRPr="00CF3FDA">
        <w:t>8.</w:t>
      </w:r>
      <w:r w:rsidRPr="00CF3FDA">
        <w:tab/>
      </w:r>
      <w:r w:rsidR="00AB4683">
        <w:t>I</w:t>
      </w:r>
      <w:r w:rsidRPr="00AB4683" w:rsidR="00AB4683">
        <w:rPr>
          <w:u w:val="single"/>
        </w:rPr>
        <w:t xml:space="preserve">f applicable, provide a copy and identify the date and page number of </w:t>
      </w:r>
      <w:proofErr w:type="gramStart"/>
      <w:r w:rsidRPr="00AB4683" w:rsidR="00AB4683">
        <w:rPr>
          <w:u w:val="single"/>
        </w:rPr>
        <w:t>publication</w:t>
      </w:r>
      <w:proofErr w:type="gramEnd"/>
      <w:r w:rsidRPr="00AB4683" w:rsidR="00AB4683">
        <w:rPr>
          <w:u w:val="single"/>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p>
    <w:p w:rsidRPr="00CF3FDA" w:rsidR="00B6021D" w:rsidRDefault="00B6021D" w14:paraId="0D08453E" w14:textId="77777777">
      <w:pPr>
        <w:tabs>
          <w:tab w:val="left" w:pos="-1440"/>
        </w:tabs>
        <w:rPr>
          <w:u w:val="single"/>
        </w:rPr>
      </w:pPr>
    </w:p>
    <w:p w:rsidR="00B6021D" w:rsidRDefault="00AC3359" w14:paraId="115505B6" w14:textId="7E283D77">
      <w:pPr>
        <w:tabs>
          <w:tab w:val="left" w:pos="-1440"/>
        </w:tabs>
        <w:ind w:left="720"/>
      </w:pPr>
      <w:r>
        <w:t xml:space="preserve">On August 20, 2020, NHTSA published a 60-day notice requesting public comment on the proposed collection of information.  </w:t>
      </w:r>
      <w:r w:rsidRPr="00640257" w:rsidR="00B6021D">
        <w:t>No public comments were received in response to this request</w:t>
      </w:r>
      <w:r w:rsidRPr="00640257" w:rsidR="00D935B0">
        <w:t xml:space="preserve">. </w:t>
      </w:r>
      <w:r w:rsidR="00991C82">
        <w:t xml:space="preserve"> </w:t>
      </w:r>
      <w:r w:rsidRPr="000B2EF4" w:rsidR="000B2EF4">
        <w:t xml:space="preserve">NHTSA is in regular communication with manufacturers that request exemptions under part 543. While NHTSA often provides explanations of how to comply with the requirements, NHTSA has not received feedback indicating that the process is </w:t>
      </w:r>
      <w:r w:rsidRPr="000B2EF4" w:rsidR="000B2EF4">
        <w:lastRenderedPageBreak/>
        <w:t>burdensome or that NHTSA’s estimates of burdens are incorrect</w:t>
      </w:r>
      <w:r w:rsidR="000B2EF4">
        <w:t>.</w:t>
      </w:r>
    </w:p>
    <w:p w:rsidR="00AC3359" w:rsidRDefault="00AC3359" w14:paraId="68CAE807" w14:textId="4B3440AA">
      <w:pPr>
        <w:tabs>
          <w:tab w:val="left" w:pos="-1440"/>
        </w:tabs>
        <w:ind w:left="720"/>
      </w:pPr>
    </w:p>
    <w:p w:rsidRPr="00AC3359" w:rsidR="00AC3359" w:rsidP="00AC3359" w:rsidRDefault="00AC3359" w14:paraId="0D7921B0" w14:textId="5DDE568A">
      <w:pPr>
        <w:widowControl/>
        <w:autoSpaceDE/>
        <w:autoSpaceDN/>
        <w:adjustRightInd/>
        <w:ind w:left="720"/>
        <w:rPr>
          <w:rFonts w:eastAsia="Calibri"/>
        </w:rPr>
      </w:pPr>
      <w:r w:rsidRPr="00AC3359">
        <w:rPr>
          <w:rFonts w:eastAsia="Calibri"/>
        </w:rPr>
        <w:t>On March 16, 2022, NHTSA published a 30-day federal register document (87 FR 14944) announcing NHTSA’s intention to submit the information request to OMB and requesting public comment.</w:t>
      </w:r>
    </w:p>
    <w:p w:rsidR="00AC3359" w:rsidRDefault="00AC3359" w14:paraId="2EA197B8" w14:textId="77777777">
      <w:pPr>
        <w:tabs>
          <w:tab w:val="left" w:pos="-1440"/>
        </w:tabs>
        <w:ind w:left="720"/>
      </w:pPr>
    </w:p>
    <w:p w:rsidRPr="00CF3FDA" w:rsidR="00AD2F54" w:rsidRDefault="00AD2F54" w14:paraId="05C8D4B6" w14:textId="77777777">
      <w:pPr>
        <w:tabs>
          <w:tab w:val="left" w:pos="-1440"/>
        </w:tabs>
      </w:pPr>
    </w:p>
    <w:p w:rsidRPr="00CF3FDA" w:rsidR="00B6021D" w:rsidRDefault="00B6021D" w14:paraId="04950970" w14:textId="77777777">
      <w:pPr>
        <w:tabs>
          <w:tab w:val="left" w:pos="-1440"/>
        </w:tabs>
        <w:rPr>
          <w:u w:val="single"/>
        </w:rPr>
      </w:pPr>
      <w:r w:rsidRPr="00CF3FDA">
        <w:t>9.</w:t>
      </w:r>
      <w:r w:rsidRPr="00CF3FDA">
        <w:tab/>
      </w:r>
      <w:r w:rsidRPr="00CF3FDA">
        <w:rPr>
          <w:u w:val="single"/>
        </w:rPr>
        <w:t xml:space="preserve">Explain any decision to provide any payment or gift to respondents, other than </w:t>
      </w:r>
      <w:r w:rsidRPr="00CF3FDA">
        <w:tab/>
      </w:r>
      <w:r w:rsidRPr="00CF3FDA">
        <w:tab/>
      </w:r>
      <w:r w:rsidRPr="00CF3FDA">
        <w:rPr>
          <w:u w:val="single"/>
        </w:rPr>
        <w:t>remuneration of contractors or grantees.</w:t>
      </w:r>
    </w:p>
    <w:p w:rsidRPr="00CF3FDA" w:rsidR="00B6021D" w:rsidRDefault="00B6021D" w14:paraId="6497AD75" w14:textId="77777777">
      <w:pPr>
        <w:tabs>
          <w:tab w:val="left" w:pos="-1440"/>
        </w:tabs>
      </w:pPr>
    </w:p>
    <w:p w:rsidRPr="00CF3FDA" w:rsidR="00B6021D" w:rsidRDefault="00B6021D" w14:paraId="29E63BF2" w14:textId="14457F17">
      <w:pPr>
        <w:tabs>
          <w:tab w:val="left" w:pos="-1440"/>
        </w:tabs>
        <w:ind w:firstLine="720"/>
      </w:pPr>
      <w:r w:rsidRPr="00CF3FDA">
        <w:t>No gift or payment will be given to any respondent.</w:t>
      </w:r>
      <w:r w:rsidRPr="00CF3FDA">
        <w:tab/>
      </w:r>
    </w:p>
    <w:p w:rsidRPr="00CF3FDA" w:rsidR="00B6021D" w:rsidRDefault="00B6021D" w14:paraId="00966F9C" w14:textId="77777777">
      <w:pPr>
        <w:tabs>
          <w:tab w:val="left" w:pos="-1440"/>
        </w:tabs>
      </w:pPr>
    </w:p>
    <w:p w:rsidR="00B6021D" w:rsidP="00AB4683" w:rsidRDefault="00B6021D" w14:paraId="29F3A5F2" w14:textId="7DAD6EFE">
      <w:pPr>
        <w:tabs>
          <w:tab w:val="left" w:pos="-1440"/>
        </w:tabs>
        <w:ind w:left="720" w:hanging="720"/>
        <w:rPr>
          <w:u w:val="single"/>
        </w:rPr>
      </w:pPr>
      <w:r w:rsidRPr="00CF3FDA">
        <w:t>10.</w:t>
      </w:r>
      <w:r w:rsidRPr="00CF3FDA">
        <w:tab/>
      </w:r>
      <w:r w:rsidRPr="00CF3FDA">
        <w:rPr>
          <w:u w:val="single"/>
        </w:rPr>
        <w:t xml:space="preserve">Describe </w:t>
      </w:r>
      <w:r w:rsidRPr="00AB4683" w:rsidR="00AB4683">
        <w:rPr>
          <w:u w:val="single"/>
        </w:rPr>
        <w:t>any assurance of confidentiality provided to respondents and the basis for the assurance in statute, regulation, or agency policy. If the collection requires a systems of records notice (SORN) or privacy impact assessment (PIA), those should be cited and described here.</w:t>
      </w:r>
    </w:p>
    <w:p w:rsidRPr="00CF3FDA" w:rsidR="0011119F" w:rsidP="00AB4683" w:rsidRDefault="0011119F" w14:paraId="0187FC24" w14:textId="77777777">
      <w:pPr>
        <w:tabs>
          <w:tab w:val="left" w:pos="-1440"/>
        </w:tabs>
        <w:ind w:left="720" w:hanging="720"/>
      </w:pPr>
    </w:p>
    <w:p w:rsidRPr="00CF3FDA" w:rsidR="00B6021D" w:rsidRDefault="00B6021D" w14:paraId="0331F000" w14:textId="77777777">
      <w:pPr>
        <w:tabs>
          <w:tab w:val="left" w:pos="0"/>
          <w:tab w:val="left" w:pos="699"/>
          <w:tab w:val="right" w:pos="5913"/>
        </w:tabs>
        <w:ind w:left="699"/>
      </w:pPr>
      <w:r w:rsidRPr="00CF3FDA">
        <w:t>Part 543 directs petitioners seeking confidential treatment of their submissions to 49 CFR Part 512, which sets forth the procedures for seeking confidentiality.</w:t>
      </w:r>
    </w:p>
    <w:p w:rsidRPr="00CF3FDA" w:rsidR="00B6021D" w:rsidRDefault="00B6021D" w14:paraId="2DD0D8E0" w14:textId="77777777">
      <w:pPr>
        <w:tabs>
          <w:tab w:val="left" w:pos="0"/>
          <w:tab w:val="left" w:pos="699"/>
          <w:tab w:val="right" w:pos="5913"/>
        </w:tabs>
      </w:pPr>
    </w:p>
    <w:p w:rsidRPr="00CF3FDA" w:rsidR="00B6021D" w:rsidRDefault="00B6021D" w14:paraId="401CD34B" w14:textId="3E4DA4C2">
      <w:pPr>
        <w:tabs>
          <w:tab w:val="left" w:pos="0"/>
          <w:tab w:val="left" w:pos="699"/>
          <w:tab w:val="right" w:pos="5913"/>
        </w:tabs>
        <w:ind w:left="699" w:hanging="699"/>
        <w:rPr>
          <w:u w:val="single"/>
        </w:rPr>
      </w:pPr>
      <w:r w:rsidRPr="00CF3FDA">
        <w:t>11.</w:t>
      </w:r>
      <w:r w:rsidRPr="00CF3FDA">
        <w:tab/>
      </w:r>
      <w:r w:rsidRPr="00CF3FDA">
        <w:rPr>
          <w:u w:val="single"/>
        </w:rPr>
        <w:t xml:space="preserve">Provide additional justification for any questions </w:t>
      </w:r>
      <w:r w:rsidRPr="001F5752" w:rsidR="00F85800">
        <w:rPr>
          <w:u w:val="single"/>
        </w:rPr>
        <w:t>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CF3FDA">
        <w:rPr>
          <w:u w:val="single"/>
        </w:rPr>
        <w:t>.</w:t>
      </w:r>
    </w:p>
    <w:p w:rsidRPr="00CF3FDA" w:rsidR="00B6021D" w:rsidRDefault="00B6021D" w14:paraId="2CE2C923" w14:textId="77777777">
      <w:pPr>
        <w:tabs>
          <w:tab w:val="left" w:pos="0"/>
          <w:tab w:val="left" w:pos="699"/>
          <w:tab w:val="right" w:pos="5913"/>
        </w:tabs>
        <w:rPr>
          <w:u w:val="single"/>
        </w:rPr>
      </w:pPr>
    </w:p>
    <w:p w:rsidRPr="00CF3FDA" w:rsidR="00B6021D" w:rsidP="00F85800" w:rsidRDefault="00B6021D" w14:paraId="134B20A1" w14:textId="77777777">
      <w:pPr>
        <w:tabs>
          <w:tab w:val="right" w:pos="5913"/>
        </w:tabs>
        <w:ind w:left="720"/>
      </w:pPr>
      <w:r w:rsidRPr="00CF3FDA">
        <w:t>No questions of a sensitive nature are involved in this information collection</w:t>
      </w:r>
      <w:r w:rsidR="00F85800">
        <w:t xml:space="preserve">; therefore, </w:t>
      </w:r>
      <w:r w:rsidRPr="0016024D" w:rsidR="00F85800">
        <w:t>no justification statements are necessary</w:t>
      </w:r>
      <w:r w:rsidRPr="00CF3FDA">
        <w:t>.</w:t>
      </w:r>
    </w:p>
    <w:p w:rsidRPr="00CF3FDA" w:rsidR="00B6021D" w:rsidRDefault="00B6021D" w14:paraId="442F7CF5" w14:textId="77777777">
      <w:pPr>
        <w:tabs>
          <w:tab w:val="left" w:pos="0"/>
          <w:tab w:val="left" w:pos="699"/>
          <w:tab w:val="right" w:pos="5913"/>
        </w:tabs>
      </w:pPr>
    </w:p>
    <w:p w:rsidRPr="00CF3FDA" w:rsidR="00B6021D" w:rsidP="00640257" w:rsidRDefault="00B6021D" w14:paraId="70FE97AF" w14:textId="006A505D">
      <w:pPr>
        <w:tabs>
          <w:tab w:val="left" w:pos="0"/>
          <w:tab w:val="left" w:pos="699"/>
          <w:tab w:val="right" w:pos="5913"/>
        </w:tabs>
        <w:ind w:left="698" w:hanging="698"/>
        <w:rPr>
          <w:u w:val="single"/>
        </w:rPr>
      </w:pPr>
      <w:r w:rsidRPr="00CF3FDA">
        <w:t xml:space="preserve">12.  </w:t>
      </w:r>
      <w:r w:rsidRPr="00CF3FDA">
        <w:tab/>
      </w:r>
      <w:r w:rsidRPr="00FB199B">
        <w:rPr>
          <w:u w:val="single"/>
        </w:rPr>
        <w:t>Provide</w:t>
      </w:r>
      <w:r w:rsidRPr="00CF3FDA">
        <w:rPr>
          <w:u w:val="single"/>
        </w:rPr>
        <w:t xml:space="preserve"> </w:t>
      </w:r>
      <w:r w:rsidRPr="002E4437" w:rsidR="002E4437">
        <w:rPr>
          <w:u w:val="single"/>
        </w:rPr>
        <w:t>estimates of the hour burden of the collection of information on the respondents and estimates of the annualized labor cost to respondents associated with that hour burden.</w:t>
      </w:r>
    </w:p>
    <w:p w:rsidRPr="004A43E2" w:rsidR="00B6021D" w:rsidRDefault="00B6021D" w14:paraId="51793CFB" w14:textId="77777777">
      <w:pPr>
        <w:tabs>
          <w:tab w:val="left" w:pos="-1440"/>
        </w:tabs>
      </w:pPr>
    </w:p>
    <w:p w:rsidR="00B6021D" w:rsidRDefault="00B6021D" w14:paraId="33254FC3" w14:textId="4404023A">
      <w:pPr>
        <w:tabs>
          <w:tab w:val="left" w:pos="-1440"/>
        </w:tabs>
        <w:ind w:left="720"/>
      </w:pPr>
      <w:r w:rsidRPr="004A43E2">
        <w:t xml:space="preserve">The </w:t>
      </w:r>
      <w:r w:rsidR="00211C24">
        <w:t>number of submissions under Part 543 varies from year to year</w:t>
      </w:r>
      <w:r w:rsidRPr="004A43E2">
        <w:t xml:space="preserve">, because the submission of an exemption petition is voluntary.  Currently </w:t>
      </w:r>
      <w:r w:rsidRPr="004A43E2" w:rsidR="00593E75">
        <w:t>2</w:t>
      </w:r>
      <w:r w:rsidRPr="004A43E2" w:rsidR="008D3E0C">
        <w:t>3</w:t>
      </w:r>
      <w:r w:rsidRPr="004A43E2">
        <w:t xml:space="preserve"> manufacturers have one or more car lines exempted.  </w:t>
      </w:r>
      <w:r w:rsidR="00915131">
        <w:t>NHTSA estimates that a</w:t>
      </w:r>
      <w:r w:rsidRPr="004A43E2">
        <w:t xml:space="preserve">pproximately </w:t>
      </w:r>
      <w:r w:rsidRPr="004A43E2" w:rsidR="008D3E0C">
        <w:t>12</w:t>
      </w:r>
      <w:r w:rsidRPr="004A43E2" w:rsidR="00BA6DAC">
        <w:t xml:space="preserve"> </w:t>
      </w:r>
      <w:r w:rsidRPr="004A43E2">
        <w:t xml:space="preserve">manufacturers </w:t>
      </w:r>
      <w:r w:rsidR="00915131">
        <w:t xml:space="preserve">will </w:t>
      </w:r>
      <w:r w:rsidRPr="004A43E2">
        <w:t xml:space="preserve">apply in </w:t>
      </w:r>
      <w:r w:rsidR="00915131">
        <w:t>each of the next three years</w:t>
      </w:r>
      <w:r w:rsidRPr="008D477C">
        <w:t xml:space="preserve">.  </w:t>
      </w:r>
      <w:r w:rsidR="00915131">
        <w:t xml:space="preserve">NHTSA estimated the burden hours associated with the submissions </w:t>
      </w:r>
      <w:r w:rsidR="005248F6">
        <w:t xml:space="preserve">based on </w:t>
      </w:r>
      <w:r w:rsidR="00A31425">
        <w:t xml:space="preserve">information provided by manufacturers. </w:t>
      </w:r>
      <w:r w:rsidR="000D6CB8">
        <w:t xml:space="preserve"> </w:t>
      </w:r>
      <w:r w:rsidR="00A31425">
        <w:t xml:space="preserve">NHTSA estimates that the time </w:t>
      </w:r>
      <w:r w:rsidR="00CD56A4">
        <w:t xml:space="preserve">needed </w:t>
      </w:r>
      <w:r w:rsidR="00975748">
        <w:t>to prepare the request for a vehicle model</w:t>
      </w:r>
      <w:r w:rsidR="007F4552">
        <w:t xml:space="preserve"> is </w:t>
      </w:r>
      <w:r w:rsidR="00975748">
        <w:t xml:space="preserve">226 hours for </w:t>
      </w:r>
      <w:r w:rsidR="007F4552">
        <w:t xml:space="preserve">a petition submitted under </w:t>
      </w:r>
      <w:r w:rsidR="00975748">
        <w:t>§ 543.6, and 20 hours for</w:t>
      </w:r>
      <w:r w:rsidR="007F4552">
        <w:t xml:space="preserve"> a petition submitted under</w:t>
      </w:r>
      <w:r w:rsidR="00975748">
        <w:t xml:space="preserve"> § 543.7.  The agency expects that nine manufacturers will choose to file for an exemption under § 543.6 and three manufacturers will choose to file for an exemption under § 543.7.  </w:t>
      </w:r>
    </w:p>
    <w:p w:rsidR="000D6CB8" w:rsidRDefault="000D6CB8" w14:paraId="139B6790" w14:textId="77777777">
      <w:pPr>
        <w:tabs>
          <w:tab w:val="left" w:pos="-1440"/>
        </w:tabs>
        <w:ind w:left="720"/>
      </w:pPr>
    </w:p>
    <w:p w:rsidR="00487C60" w:rsidP="00487C60" w:rsidRDefault="00670346" w14:paraId="3971B8DE" w14:textId="1E463CBA">
      <w:pPr>
        <w:ind w:left="720"/>
      </w:pPr>
      <w:r>
        <w:t xml:space="preserve">NHTSA </w:t>
      </w:r>
      <w:r w:rsidR="00C92485">
        <w:t>estimates the</w:t>
      </w:r>
      <w:r w:rsidR="00487C60">
        <w:t xml:space="preserve"> total annual burden hours</w:t>
      </w:r>
      <w:r w:rsidR="001142A2">
        <w:t xml:space="preserve"> to be 2,094</w:t>
      </w:r>
      <w:r w:rsidR="00700DCB">
        <w:t xml:space="preserve"> hours</w:t>
      </w:r>
      <w:r w:rsidR="001142A2">
        <w:t xml:space="preserve">.  The total annual </w:t>
      </w:r>
      <w:r w:rsidR="001142A2">
        <w:lastRenderedPageBreak/>
        <w:t>estimated burden hours consist of the 12 yearly respondents</w:t>
      </w:r>
      <w:r w:rsidR="00700DCB">
        <w:t xml:space="preserve"> --</w:t>
      </w:r>
      <w:r w:rsidR="001142A2">
        <w:t xml:space="preserve"> 9 under § 543.6 and 3 under § 543.7</w:t>
      </w:r>
      <w:r w:rsidR="00700DCB">
        <w:t xml:space="preserve"> --</w:t>
      </w:r>
      <w:r w:rsidR="001142A2">
        <w:t xml:space="preserve"> multiplied by the number of hours needed to prepare the </w:t>
      </w:r>
      <w:r w:rsidR="00700DCB">
        <w:t>one</w:t>
      </w:r>
      <w:r w:rsidR="001142A2">
        <w:t xml:space="preserve"> exemption request</w:t>
      </w:r>
      <w:r w:rsidR="00700DCB">
        <w:t xml:space="preserve"> for the one vehicle line per year -- </w:t>
      </w:r>
      <w:r w:rsidRPr="00C5318B" w:rsidR="001142A2">
        <w:t>226 hours for § 543.6</w:t>
      </w:r>
      <w:r w:rsidR="001142A2">
        <w:t>;</w:t>
      </w:r>
      <w:r w:rsidRPr="00C5318B" w:rsidR="001142A2">
        <w:t xml:space="preserve"> 20 hours for § 543</w:t>
      </w:r>
      <w:r w:rsidR="00700DCB">
        <w:t>.7.  The to</w:t>
      </w:r>
      <w:r w:rsidR="003D57C6">
        <w:t>t</w:t>
      </w:r>
      <w:r w:rsidR="00700DCB">
        <w:t xml:space="preserve">al annual hours for exemption requests filed under </w:t>
      </w:r>
      <w:r w:rsidRPr="00C5318B" w:rsidR="00700DCB">
        <w:t>§ 543.6</w:t>
      </w:r>
      <w:r w:rsidR="00700DCB">
        <w:t xml:space="preserve"> is estimated at 2,034 hours (9 </w:t>
      </w:r>
      <w:r w:rsidR="009C6AF4">
        <w:t>×</w:t>
      </w:r>
      <w:r w:rsidR="00700DCB">
        <w:t xml:space="preserve"> 226 hours/1 vehicle line = 2,034 hours).  The to</w:t>
      </w:r>
      <w:r w:rsidR="00D7633F">
        <w:t>t</w:t>
      </w:r>
      <w:r w:rsidR="00700DCB">
        <w:t xml:space="preserve">al annual hours for exemption requests filed under </w:t>
      </w:r>
      <w:r w:rsidRPr="00C5318B" w:rsidR="00700DCB">
        <w:t>§ 543.</w:t>
      </w:r>
      <w:r w:rsidR="00700DCB">
        <w:t xml:space="preserve">7 is estimated at 60 hours (3 </w:t>
      </w:r>
      <w:r w:rsidR="009C6AF4">
        <w:t>×</w:t>
      </w:r>
      <w:r w:rsidR="00700DCB">
        <w:t xml:space="preserve"> 20 hours/1 vehicle line = 60 hours).  Therefore, the estimated total of the requests filed under </w:t>
      </w:r>
      <w:r w:rsidRPr="00C5318B" w:rsidR="00700DCB">
        <w:t>§ 543.</w:t>
      </w:r>
      <w:r w:rsidR="00700DCB">
        <w:t xml:space="preserve">6 and requests filed under </w:t>
      </w:r>
      <w:r w:rsidRPr="00C5318B" w:rsidR="00700DCB">
        <w:t>§ 543.</w:t>
      </w:r>
      <w:r w:rsidR="00700DCB">
        <w:t>7 is 2,094 hours (</w:t>
      </w:r>
      <w:r w:rsidR="00D7633F">
        <w:t>2,034 + 60 = 2,094</w:t>
      </w:r>
      <w:r w:rsidR="00700DCB">
        <w:t>)</w:t>
      </w:r>
      <w:r w:rsidRPr="00C5318B" w:rsidR="001142A2">
        <w:t>.</w:t>
      </w:r>
    </w:p>
    <w:p w:rsidR="00487C60" w:rsidP="00487C60" w:rsidRDefault="00487C60" w14:paraId="5ACDEBFF" w14:textId="77777777">
      <w:pPr>
        <w:ind w:firstLine="720"/>
      </w:pPr>
    </w:p>
    <w:p w:rsidR="00573C39" w:rsidP="000416D4" w:rsidRDefault="00573C39" w14:paraId="7BB83F90" w14:textId="2EEFBD2D">
      <w:pPr>
        <w:pStyle w:val="BodyText2"/>
        <w:ind w:left="720" w:right="0"/>
      </w:pPr>
      <w:r>
        <w:t xml:space="preserve">The labor cost associated with this collection of information is derived by (1) applying </w:t>
      </w:r>
      <w:r w:rsidR="00BA1629">
        <w:t xml:space="preserve">the </w:t>
      </w:r>
      <w:r>
        <w:t xml:space="preserve">appropriate </w:t>
      </w:r>
      <w:r w:rsidRPr="008E70D3">
        <w:t>average hourly labor rate</w:t>
      </w:r>
      <w:r w:rsidRPr="000D6CB8" w:rsidR="00DE141A">
        <w:t xml:space="preserve"> </w:t>
      </w:r>
      <w:r w:rsidRPr="008E70D3" w:rsidR="00DE141A">
        <w:t>for “Compliance Officers,” Occupation Code 13-1041,</w:t>
      </w:r>
      <w:r>
        <w:t xml:space="preserve"> published by the Bureau of Labor Statistics, (2) dividing by 0.701</w:t>
      </w:r>
      <w:r w:rsidRPr="001A6C74">
        <w:rPr>
          <w:rStyle w:val="FootnoteReference"/>
          <w:vertAlign w:val="superscript"/>
        </w:rPr>
        <w:footnoteReference w:id="2"/>
      </w:r>
      <w:r>
        <w:t xml:space="preserve"> </w:t>
      </w:r>
      <w:r w:rsidR="00DE0ABB">
        <w:t xml:space="preserve">(70.1%) </w:t>
      </w:r>
      <w:r>
        <w:t xml:space="preserve">to obtain the total </w:t>
      </w:r>
      <w:r w:rsidR="003D57C6">
        <w:t xml:space="preserve">cost of </w:t>
      </w:r>
      <w:r>
        <w:t xml:space="preserve">compensation for private industry workers, and (3) multiplying by the estimated labor hours for each exemption type.  </w:t>
      </w:r>
    </w:p>
    <w:p w:rsidR="00573C39" w:rsidRDefault="00573C39" w14:paraId="666B7C29" w14:textId="77777777">
      <w:pPr>
        <w:tabs>
          <w:tab w:val="left" w:pos="-1440"/>
        </w:tabs>
        <w:ind w:left="720"/>
      </w:pPr>
    </w:p>
    <w:p w:rsidR="00573C39" w:rsidP="000416D4" w:rsidRDefault="008C136C" w14:paraId="44870CAF" w14:textId="6EB0F254">
      <w:pPr>
        <w:pStyle w:val="BodyText2"/>
        <w:ind w:left="720" w:right="0"/>
      </w:pPr>
      <w:r>
        <w:t>Labor c</w:t>
      </w:r>
      <w:r w:rsidR="00573C39">
        <w:t xml:space="preserve">ost associated with </w:t>
      </w:r>
      <w:r w:rsidR="009C6AF4">
        <w:t xml:space="preserve">preparation and submittal of </w:t>
      </w:r>
      <w:r w:rsidR="001A6C74">
        <w:t>petition</w:t>
      </w:r>
      <w:r w:rsidR="009C6AF4">
        <w:t>s</w:t>
      </w:r>
      <w:r w:rsidR="001A6C74">
        <w:t xml:space="preserve"> for e</w:t>
      </w:r>
      <w:r w:rsidRPr="00573C39" w:rsidR="00573C39">
        <w:t>xemption under § 543.6</w:t>
      </w:r>
      <w:r w:rsidR="0015191F">
        <w:t xml:space="preserve"> is estimated to be</w:t>
      </w:r>
      <w:r w:rsidR="00573C39">
        <w:t xml:space="preserve"> </w:t>
      </w:r>
      <w:r w:rsidR="00BA1629">
        <w:t>$49.73 per hour</w:t>
      </w:r>
      <w:r w:rsidR="00345FE8">
        <w:t xml:space="preserve"> (</w:t>
      </w:r>
      <w:r w:rsidR="00573C39">
        <w:t>$34.86</w:t>
      </w:r>
      <w:r w:rsidRPr="001A6C74" w:rsidR="00573C39">
        <w:rPr>
          <w:rStyle w:val="FootnoteReference"/>
          <w:vertAlign w:val="superscript"/>
        </w:rPr>
        <w:footnoteReference w:id="3"/>
      </w:r>
      <w:r w:rsidR="00573C39">
        <w:t xml:space="preserve"> per hour </w:t>
      </w:r>
      <w:r w:rsidR="005D38E1">
        <w:t xml:space="preserve">÷ </w:t>
      </w:r>
      <w:r w:rsidR="00573C39">
        <w:t>0.701</w:t>
      </w:r>
      <w:r w:rsidR="00345FE8">
        <w:t xml:space="preserve">). </w:t>
      </w:r>
      <w:r w:rsidR="009C6AF4">
        <w:t xml:space="preserve"> </w:t>
      </w:r>
      <w:r w:rsidR="00345FE8">
        <w:t>The total labor cost to prepare each petition submitted under § 543.6 is estimated to be</w:t>
      </w:r>
      <w:r w:rsidR="002B1952">
        <w:t xml:space="preserve"> $11,238.98 </w:t>
      </w:r>
      <w:r w:rsidR="009C6AF4">
        <w:t>(</w:t>
      </w:r>
      <w:r w:rsidR="00DD45DF">
        <w:t xml:space="preserve">$49.73 </w:t>
      </w:r>
      <w:r w:rsidR="005D38E1">
        <w:t>×</w:t>
      </w:r>
      <w:r w:rsidR="00BE19B5">
        <w:t xml:space="preserve"> 226 hours per petition</w:t>
      </w:r>
      <w:r w:rsidR="002B1952">
        <w:t>)</w:t>
      </w:r>
      <w:r w:rsidR="009C6AF4">
        <w:t>,</w:t>
      </w:r>
      <w:r w:rsidR="002B1952">
        <w:t xml:space="preserve"> and the labor cost for the estimated </w:t>
      </w:r>
      <w:r w:rsidR="00BE19B5">
        <w:t xml:space="preserve">9 petitions </w:t>
      </w:r>
      <w:r w:rsidR="00D10B36">
        <w:t>that will be</w:t>
      </w:r>
      <w:r w:rsidR="005D38E1">
        <w:t xml:space="preserve"> submitted each year </w:t>
      </w:r>
      <w:r w:rsidR="002B1952">
        <w:t>is estimated to be</w:t>
      </w:r>
      <w:r w:rsidR="00BE19B5">
        <w:t xml:space="preserve"> </w:t>
      </w:r>
      <w:r w:rsidR="00573C39">
        <w:t>$</w:t>
      </w:r>
      <w:r w:rsidR="001A6C74">
        <w:t>101,1</w:t>
      </w:r>
      <w:r w:rsidR="00DD45DF">
        <w:t>50.82</w:t>
      </w:r>
      <w:r w:rsidR="002B1952">
        <w:t xml:space="preserve"> ($11,238.98 × 9 petitions). </w:t>
      </w:r>
    </w:p>
    <w:p w:rsidR="008C136C" w:rsidP="00573C39" w:rsidRDefault="008C136C" w14:paraId="0BFE5C9C" w14:textId="77777777">
      <w:pPr>
        <w:pStyle w:val="BodyText2"/>
        <w:ind w:left="720"/>
      </w:pPr>
    </w:p>
    <w:p w:rsidR="00573C39" w:rsidP="000416D4" w:rsidRDefault="008C136C" w14:paraId="383387A4" w14:textId="271E0AB5">
      <w:pPr>
        <w:pStyle w:val="BodyText2"/>
        <w:ind w:left="720" w:right="0"/>
      </w:pPr>
      <w:r>
        <w:t>Labor c</w:t>
      </w:r>
      <w:r w:rsidR="00573C39">
        <w:t xml:space="preserve">ost associated </w:t>
      </w:r>
      <w:r w:rsidR="001A6C74">
        <w:t xml:space="preserve">with </w:t>
      </w:r>
      <w:r w:rsidRPr="00573C39" w:rsidR="001A6C74">
        <w:t>preparation and submittal of petition</w:t>
      </w:r>
      <w:r w:rsidR="009C6AF4">
        <w:t>s</w:t>
      </w:r>
      <w:r w:rsidRPr="00573C39" w:rsidR="001A6C74">
        <w:t xml:space="preserve"> for exemption under § 543.</w:t>
      </w:r>
      <w:r w:rsidR="001A6C74">
        <w:t xml:space="preserve">7 </w:t>
      </w:r>
      <w:r w:rsidR="005D38E1">
        <w:t>is estimated to be $49.73 per hour (</w:t>
      </w:r>
      <w:r w:rsidR="00573C39">
        <w:t>$</w:t>
      </w:r>
      <w:r w:rsidR="001A6C74">
        <w:t>34.86</w:t>
      </w:r>
      <w:r w:rsidRPr="001A6C74" w:rsidR="00573C39">
        <w:rPr>
          <w:rStyle w:val="FootnoteReference"/>
          <w:vertAlign w:val="superscript"/>
        </w:rPr>
        <w:footnoteReference w:id="4"/>
      </w:r>
      <w:r w:rsidR="00573C39">
        <w:t xml:space="preserve"> per hour </w:t>
      </w:r>
      <w:r w:rsidR="005D38E1">
        <w:t xml:space="preserve">÷ </w:t>
      </w:r>
      <w:r w:rsidR="00573C39">
        <w:t>0.70</w:t>
      </w:r>
      <w:r w:rsidR="009C6AF4">
        <w:t>1</w:t>
      </w:r>
      <w:r w:rsidR="0012196B">
        <w:t>)</w:t>
      </w:r>
      <w:r w:rsidR="00DD45DF">
        <w:t>.</w:t>
      </w:r>
      <w:r w:rsidR="0012196B">
        <w:t xml:space="preserve"> </w:t>
      </w:r>
      <w:r w:rsidR="009C6AF4">
        <w:t xml:space="preserve"> </w:t>
      </w:r>
      <w:r w:rsidR="0012196B">
        <w:t>The total labor cost to prepare each petition submitted under § 543.7 is estimated to be $994.60 (</w:t>
      </w:r>
      <w:r w:rsidR="00DD45DF">
        <w:t>$49.73</w:t>
      </w:r>
      <w:r w:rsidR="00573C39">
        <w:t xml:space="preserve"> </w:t>
      </w:r>
      <w:r w:rsidR="009C6AF4">
        <w:t>×</w:t>
      </w:r>
      <w:r w:rsidR="00BE19B5">
        <w:t xml:space="preserve"> 20 hours per petition</w:t>
      </w:r>
      <w:r w:rsidR="0012196B">
        <w:t>)</w:t>
      </w:r>
      <w:r w:rsidR="009C6AF4">
        <w:t>,</w:t>
      </w:r>
      <w:r w:rsidR="0012196B">
        <w:t xml:space="preserve"> </w:t>
      </w:r>
      <w:r w:rsidR="00D10B36">
        <w:t>and the labor cost for the estimated 3 petitions that will be submitted each year is estimated to be $2,983.8</w:t>
      </w:r>
      <w:r w:rsidR="00361CA1">
        <w:t>0</w:t>
      </w:r>
      <w:r w:rsidR="00D10B36">
        <w:t xml:space="preserve"> ($994.80 </w:t>
      </w:r>
      <w:r w:rsidR="009C6AF4">
        <w:t>×</w:t>
      </w:r>
      <w:r w:rsidR="00BE19B5">
        <w:t xml:space="preserve"> 3 petitions</w:t>
      </w:r>
      <w:r w:rsidR="00361CA1">
        <w:t>).</w:t>
      </w:r>
    </w:p>
    <w:p w:rsidR="00573C39" w:rsidP="00573C39" w:rsidRDefault="00573C39" w14:paraId="2BE7768C" w14:textId="77777777">
      <w:pPr>
        <w:pStyle w:val="BodyText2"/>
        <w:ind w:left="720"/>
      </w:pPr>
    </w:p>
    <w:p w:rsidR="00573C39" w:rsidP="00573C39" w:rsidRDefault="00573C39" w14:paraId="69BB95C6" w14:textId="395B0783">
      <w:pPr>
        <w:tabs>
          <w:tab w:val="left" w:pos="-1440"/>
        </w:tabs>
        <w:ind w:left="720"/>
      </w:pPr>
      <w:r>
        <w:t>T</w:t>
      </w:r>
      <w:r w:rsidR="00361CA1">
        <w:t>he t</w:t>
      </w:r>
      <w:r>
        <w:t xml:space="preserve">otal annual </w:t>
      </w:r>
      <w:r w:rsidR="00361CA1">
        <w:t xml:space="preserve">labor </w:t>
      </w:r>
      <w:r>
        <w:t>cost associated with this collection of information is</w:t>
      </w:r>
      <w:r w:rsidR="00224165">
        <w:t xml:space="preserve"> estimated to be</w:t>
      </w:r>
      <w:r>
        <w:t xml:space="preserve"> $</w:t>
      </w:r>
      <w:r w:rsidR="001A6C74">
        <w:t>104,13</w:t>
      </w:r>
      <w:r w:rsidR="00991CF3">
        <w:t>5</w:t>
      </w:r>
      <w:r>
        <w:t xml:space="preserve"> ($</w:t>
      </w:r>
      <w:r w:rsidR="001A6C74">
        <w:t>101,1</w:t>
      </w:r>
      <w:r w:rsidR="00991CF3">
        <w:t>51</w:t>
      </w:r>
      <w:r w:rsidR="001A6C74">
        <w:t xml:space="preserve"> </w:t>
      </w:r>
      <w:r>
        <w:t>+ $</w:t>
      </w:r>
      <w:r w:rsidR="001A6C74">
        <w:t>2,984</w:t>
      </w:r>
      <w:r>
        <w:t>)</w:t>
      </w:r>
      <w:r w:rsidR="00224165">
        <w:t xml:space="preserve"> in each of the next three years</w:t>
      </w:r>
      <w:r>
        <w:t>.</w:t>
      </w:r>
    </w:p>
    <w:p w:rsidR="001A6C74" w:rsidP="001A6C74" w:rsidRDefault="001A6C74" w14:paraId="5C6DC09E" w14:textId="5C4590F4">
      <w:pPr>
        <w:tabs>
          <w:tab w:val="left" w:pos="-1440"/>
        </w:tabs>
      </w:pPr>
    </w:p>
    <w:p w:rsidR="00D7633F" w:rsidP="00D7633F" w:rsidRDefault="00D7633F" w14:paraId="73D6C604" w14:textId="7E0AFEC7">
      <w:pPr>
        <w:tabs>
          <w:tab w:val="left" w:pos="-1440"/>
        </w:tabs>
        <w:ind w:left="720"/>
      </w:pPr>
      <w:r>
        <w:t>The estimated total annual burden hours and the related total annual cost associated with this information collection is displayed in the below table:</w:t>
      </w:r>
    </w:p>
    <w:p w:rsidR="00D7633F" w:rsidP="001A6C74" w:rsidRDefault="00D7633F" w14:paraId="38DA2CC8" w14:textId="77777777">
      <w:pPr>
        <w:tabs>
          <w:tab w:val="left" w:pos="-1440"/>
        </w:tabs>
      </w:pPr>
    </w:p>
    <w:tbl>
      <w:tblPr>
        <w:tblW w:w="0" w:type="auto"/>
        <w:jc w:val="center"/>
        <w:tblLook w:val="04A0" w:firstRow="1" w:lastRow="0" w:firstColumn="1" w:lastColumn="0" w:noHBand="0" w:noVBand="1"/>
      </w:tblPr>
      <w:tblGrid>
        <w:gridCol w:w="1383"/>
        <w:gridCol w:w="1074"/>
        <w:gridCol w:w="1154"/>
        <w:gridCol w:w="1268"/>
        <w:gridCol w:w="1642"/>
        <w:gridCol w:w="1399"/>
        <w:gridCol w:w="1435"/>
      </w:tblGrid>
      <w:tr w:rsidRPr="001142A2" w:rsidR="00E061A8" w:rsidTr="00D456CB" w14:paraId="6499F050" w14:textId="6CB8D879">
        <w:trPr>
          <w:trHeight w:val="645"/>
          <w:jc w:val="center"/>
        </w:trPr>
        <w:tc>
          <w:tcPr>
            <w:tcW w:w="1383" w:type="dxa"/>
            <w:tcBorders>
              <w:top w:val="nil"/>
              <w:left w:val="nil"/>
              <w:bottom w:val="nil"/>
              <w:right w:val="nil"/>
            </w:tcBorders>
            <w:shd w:val="clear" w:color="auto" w:fill="auto"/>
            <w:noWrap/>
            <w:vAlign w:val="center"/>
            <w:hideMark/>
          </w:tcPr>
          <w:p w:rsidRPr="001142A2" w:rsidR="00533308" w:rsidP="001142A2" w:rsidRDefault="00533308" w14:paraId="3E65FFED" w14:textId="77777777">
            <w:pPr>
              <w:widowControl/>
              <w:autoSpaceDE/>
              <w:autoSpaceDN/>
              <w:adjustRightInd/>
              <w:rPr>
                <w:sz w:val="20"/>
                <w:szCs w:val="20"/>
              </w:rPr>
            </w:pPr>
          </w:p>
        </w:tc>
        <w:tc>
          <w:tcPr>
            <w:tcW w:w="107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42A2" w:rsidR="00533308" w:rsidP="001142A2" w:rsidRDefault="00533308" w14:paraId="6A180009" w14:textId="77777777">
            <w:pPr>
              <w:widowControl/>
              <w:autoSpaceDE/>
              <w:autoSpaceDN/>
              <w:adjustRightInd/>
              <w:jc w:val="center"/>
              <w:rPr>
                <w:color w:val="000000"/>
                <w:sz w:val="20"/>
                <w:szCs w:val="20"/>
              </w:rPr>
            </w:pPr>
            <w:r w:rsidRPr="001142A2">
              <w:rPr>
                <w:color w:val="000000"/>
                <w:sz w:val="20"/>
                <w:szCs w:val="20"/>
              </w:rPr>
              <w:t>Average Time per Petition Submittal</w:t>
            </w:r>
          </w:p>
        </w:tc>
        <w:tc>
          <w:tcPr>
            <w:tcW w:w="1154" w:type="dxa"/>
            <w:tcBorders>
              <w:top w:val="single" w:color="auto" w:sz="4" w:space="0"/>
              <w:left w:val="nil"/>
              <w:bottom w:val="single" w:color="auto" w:sz="4" w:space="0"/>
              <w:right w:val="single" w:color="auto" w:sz="4" w:space="0"/>
            </w:tcBorders>
            <w:shd w:val="clear" w:color="auto" w:fill="auto"/>
            <w:vAlign w:val="center"/>
            <w:hideMark/>
          </w:tcPr>
          <w:p w:rsidRPr="001142A2" w:rsidR="00533308" w:rsidP="001142A2" w:rsidRDefault="00533308" w14:paraId="35C64A6A" w14:textId="7412C426">
            <w:pPr>
              <w:widowControl/>
              <w:autoSpaceDE/>
              <w:autoSpaceDN/>
              <w:adjustRightInd/>
              <w:jc w:val="center"/>
              <w:rPr>
                <w:color w:val="000000"/>
                <w:sz w:val="20"/>
                <w:szCs w:val="20"/>
              </w:rPr>
            </w:pPr>
            <w:r w:rsidRPr="001142A2">
              <w:rPr>
                <w:color w:val="000000"/>
                <w:sz w:val="20"/>
                <w:szCs w:val="20"/>
              </w:rPr>
              <w:t>Estimated No. of Petitions</w:t>
            </w:r>
            <w:r w:rsidR="00E061A8">
              <w:rPr>
                <w:color w:val="000000"/>
                <w:sz w:val="20"/>
                <w:szCs w:val="20"/>
              </w:rPr>
              <w:t xml:space="preserve"> per </w:t>
            </w:r>
            <w:r w:rsidRPr="001142A2">
              <w:rPr>
                <w:color w:val="000000"/>
                <w:sz w:val="20"/>
                <w:szCs w:val="20"/>
              </w:rPr>
              <w:t>Year</w:t>
            </w:r>
          </w:p>
        </w:tc>
        <w:tc>
          <w:tcPr>
            <w:tcW w:w="1268" w:type="dxa"/>
            <w:tcBorders>
              <w:top w:val="single" w:color="auto" w:sz="4" w:space="0"/>
              <w:left w:val="nil"/>
              <w:bottom w:val="single" w:color="auto" w:sz="4" w:space="0"/>
              <w:right w:val="single" w:color="auto" w:sz="4" w:space="0"/>
            </w:tcBorders>
            <w:shd w:val="clear" w:color="auto" w:fill="auto"/>
            <w:noWrap/>
            <w:vAlign w:val="center"/>
            <w:hideMark/>
          </w:tcPr>
          <w:p w:rsidRPr="001142A2" w:rsidR="00533308" w:rsidP="001142A2" w:rsidRDefault="003F79B3" w14:paraId="132182A0" w14:textId="0EFBD022">
            <w:pPr>
              <w:widowControl/>
              <w:autoSpaceDE/>
              <w:autoSpaceDN/>
              <w:adjustRightInd/>
              <w:jc w:val="center"/>
              <w:rPr>
                <w:color w:val="000000"/>
                <w:sz w:val="20"/>
                <w:szCs w:val="20"/>
              </w:rPr>
            </w:pPr>
            <w:r>
              <w:rPr>
                <w:color w:val="000000"/>
                <w:sz w:val="20"/>
                <w:szCs w:val="20"/>
              </w:rPr>
              <w:t>Labor Cost Per Hour</w:t>
            </w:r>
          </w:p>
        </w:tc>
        <w:tc>
          <w:tcPr>
            <w:tcW w:w="1642" w:type="dxa"/>
            <w:tcBorders>
              <w:top w:val="single" w:color="auto" w:sz="4" w:space="0"/>
              <w:left w:val="nil"/>
              <w:bottom w:val="single" w:color="auto" w:sz="4" w:space="0"/>
              <w:right w:val="single" w:color="auto" w:sz="4" w:space="0"/>
            </w:tcBorders>
            <w:shd w:val="clear" w:color="auto" w:fill="auto"/>
            <w:noWrap/>
            <w:vAlign w:val="center"/>
            <w:hideMark/>
          </w:tcPr>
          <w:p w:rsidRPr="001142A2" w:rsidR="00533308" w:rsidP="001142A2" w:rsidRDefault="003F79B3" w14:paraId="079CFDDC" w14:textId="6D2AA0F9">
            <w:pPr>
              <w:widowControl/>
              <w:autoSpaceDE/>
              <w:autoSpaceDN/>
              <w:adjustRightInd/>
              <w:jc w:val="center"/>
              <w:rPr>
                <w:color w:val="000000"/>
                <w:sz w:val="20"/>
                <w:szCs w:val="20"/>
              </w:rPr>
            </w:pPr>
            <w:r>
              <w:rPr>
                <w:color w:val="000000"/>
                <w:sz w:val="20"/>
                <w:szCs w:val="20"/>
              </w:rPr>
              <w:t xml:space="preserve">Labor </w:t>
            </w:r>
            <w:r w:rsidR="00D456CB">
              <w:rPr>
                <w:color w:val="000000"/>
                <w:sz w:val="20"/>
                <w:szCs w:val="20"/>
              </w:rPr>
              <w:t xml:space="preserve">Cost </w:t>
            </w:r>
            <w:r>
              <w:rPr>
                <w:color w:val="000000"/>
                <w:sz w:val="20"/>
                <w:szCs w:val="20"/>
              </w:rPr>
              <w:t>Per Petition</w:t>
            </w:r>
          </w:p>
        </w:tc>
        <w:tc>
          <w:tcPr>
            <w:tcW w:w="1399" w:type="dxa"/>
            <w:tcBorders>
              <w:top w:val="single" w:color="auto" w:sz="4" w:space="0"/>
              <w:left w:val="nil"/>
              <w:bottom w:val="single" w:color="auto" w:sz="4" w:space="0"/>
              <w:right w:val="single" w:color="auto" w:sz="4" w:space="0"/>
            </w:tcBorders>
            <w:shd w:val="clear" w:color="auto" w:fill="auto"/>
            <w:noWrap/>
            <w:vAlign w:val="center"/>
            <w:hideMark/>
          </w:tcPr>
          <w:p w:rsidRPr="001142A2" w:rsidR="00533308" w:rsidP="001142A2" w:rsidRDefault="00CA4A2C" w14:paraId="2CC38A35" w14:textId="6F9BB63D">
            <w:pPr>
              <w:widowControl/>
              <w:autoSpaceDE/>
              <w:autoSpaceDN/>
              <w:adjustRightInd/>
              <w:jc w:val="center"/>
              <w:rPr>
                <w:color w:val="000000"/>
                <w:sz w:val="20"/>
                <w:szCs w:val="20"/>
              </w:rPr>
            </w:pPr>
            <w:r>
              <w:rPr>
                <w:color w:val="000000"/>
                <w:sz w:val="20"/>
                <w:szCs w:val="20"/>
              </w:rPr>
              <w:t>Total Annual Hours</w:t>
            </w:r>
          </w:p>
        </w:tc>
        <w:tc>
          <w:tcPr>
            <w:tcW w:w="1435" w:type="dxa"/>
            <w:tcBorders>
              <w:top w:val="single" w:color="auto" w:sz="4" w:space="0"/>
              <w:left w:val="nil"/>
              <w:bottom w:val="single" w:color="auto" w:sz="4" w:space="0"/>
              <w:right w:val="single" w:color="auto" w:sz="4" w:space="0"/>
            </w:tcBorders>
            <w:vAlign w:val="center"/>
          </w:tcPr>
          <w:p w:rsidRPr="001142A2" w:rsidR="00533308" w:rsidP="00D456CB" w:rsidRDefault="00CA4A2C" w14:paraId="0A5585DB" w14:textId="17D06471">
            <w:pPr>
              <w:widowControl/>
              <w:autoSpaceDE/>
              <w:autoSpaceDN/>
              <w:adjustRightInd/>
              <w:jc w:val="center"/>
              <w:rPr>
                <w:color w:val="000000"/>
                <w:sz w:val="20"/>
                <w:szCs w:val="20"/>
              </w:rPr>
            </w:pPr>
            <w:r>
              <w:rPr>
                <w:color w:val="000000"/>
                <w:sz w:val="20"/>
                <w:szCs w:val="20"/>
              </w:rPr>
              <w:t>Annual Labor Cost</w:t>
            </w:r>
          </w:p>
        </w:tc>
      </w:tr>
      <w:tr w:rsidRPr="001142A2" w:rsidR="00E061A8" w:rsidTr="000F7BCD" w14:paraId="12F9032B" w14:textId="0DFCEB9E">
        <w:trPr>
          <w:trHeight w:val="840"/>
          <w:jc w:val="center"/>
        </w:trPr>
        <w:tc>
          <w:tcPr>
            <w:tcW w:w="138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1142A2" w:rsidR="00533308" w:rsidP="000F7BCD" w:rsidRDefault="00533308" w14:paraId="00A51DD5" w14:textId="23CB8741">
            <w:pPr>
              <w:widowControl/>
              <w:autoSpaceDE/>
              <w:autoSpaceDN/>
              <w:adjustRightInd/>
              <w:jc w:val="center"/>
              <w:rPr>
                <w:color w:val="000000"/>
                <w:sz w:val="20"/>
                <w:szCs w:val="20"/>
              </w:rPr>
            </w:pPr>
            <w:r w:rsidRPr="001142A2">
              <w:rPr>
                <w:color w:val="000000"/>
                <w:sz w:val="20"/>
                <w:szCs w:val="20"/>
              </w:rPr>
              <w:lastRenderedPageBreak/>
              <w:t xml:space="preserve">Preparation and Submittal of Petition for Exemption under </w:t>
            </w:r>
            <w:r>
              <w:rPr>
                <w:color w:val="000000"/>
                <w:sz w:val="20"/>
                <w:szCs w:val="20"/>
              </w:rPr>
              <w:br/>
            </w:r>
            <w:r w:rsidRPr="001142A2">
              <w:rPr>
                <w:color w:val="000000"/>
                <w:sz w:val="20"/>
                <w:szCs w:val="20"/>
              </w:rPr>
              <w:t>§ 543.6</w:t>
            </w:r>
          </w:p>
        </w:tc>
        <w:tc>
          <w:tcPr>
            <w:tcW w:w="1074"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533308" w14:paraId="59763604" w14:textId="77777777">
            <w:pPr>
              <w:widowControl/>
              <w:autoSpaceDE/>
              <w:autoSpaceDN/>
              <w:adjustRightInd/>
              <w:jc w:val="center"/>
              <w:rPr>
                <w:color w:val="000000"/>
                <w:sz w:val="20"/>
                <w:szCs w:val="20"/>
              </w:rPr>
            </w:pPr>
            <w:r w:rsidRPr="001142A2">
              <w:rPr>
                <w:color w:val="000000"/>
                <w:sz w:val="20"/>
                <w:szCs w:val="20"/>
              </w:rPr>
              <w:t xml:space="preserve">226 </w:t>
            </w:r>
            <w:proofErr w:type="spellStart"/>
            <w:r w:rsidRPr="001142A2">
              <w:rPr>
                <w:color w:val="000000"/>
                <w:sz w:val="20"/>
                <w:szCs w:val="20"/>
              </w:rPr>
              <w:t>hrs</w:t>
            </w:r>
            <w:proofErr w:type="spellEnd"/>
          </w:p>
        </w:tc>
        <w:tc>
          <w:tcPr>
            <w:tcW w:w="1154"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533308" w14:paraId="270315CA" w14:textId="77777777">
            <w:pPr>
              <w:widowControl/>
              <w:autoSpaceDE/>
              <w:autoSpaceDN/>
              <w:adjustRightInd/>
              <w:jc w:val="center"/>
              <w:rPr>
                <w:color w:val="000000"/>
                <w:sz w:val="20"/>
                <w:szCs w:val="20"/>
              </w:rPr>
            </w:pPr>
            <w:r w:rsidRPr="001142A2">
              <w:rPr>
                <w:color w:val="000000"/>
                <w:sz w:val="20"/>
                <w:szCs w:val="20"/>
              </w:rPr>
              <w:t>9</w:t>
            </w:r>
          </w:p>
        </w:tc>
        <w:tc>
          <w:tcPr>
            <w:tcW w:w="1268"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3F79B3" w14:paraId="3C67BF9F" w14:textId="43AB3879">
            <w:pPr>
              <w:widowControl/>
              <w:autoSpaceDE/>
              <w:autoSpaceDN/>
              <w:adjustRightInd/>
              <w:jc w:val="center"/>
              <w:rPr>
                <w:color w:val="000000"/>
                <w:sz w:val="20"/>
                <w:szCs w:val="20"/>
              </w:rPr>
            </w:pPr>
            <w:r>
              <w:rPr>
                <w:color w:val="000000"/>
                <w:sz w:val="20"/>
                <w:szCs w:val="20"/>
              </w:rPr>
              <w:t>$49.73</w:t>
            </w:r>
          </w:p>
        </w:tc>
        <w:tc>
          <w:tcPr>
            <w:tcW w:w="1642"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CF3DDE" w14:paraId="732F1D69" w14:textId="1AA24C9B">
            <w:pPr>
              <w:widowControl/>
              <w:autoSpaceDE/>
              <w:autoSpaceDN/>
              <w:adjustRightInd/>
              <w:jc w:val="center"/>
              <w:rPr>
                <w:color w:val="000000"/>
                <w:sz w:val="20"/>
                <w:szCs w:val="20"/>
              </w:rPr>
            </w:pPr>
            <w:r>
              <w:rPr>
                <w:color w:val="000000"/>
                <w:sz w:val="20"/>
                <w:szCs w:val="20"/>
              </w:rPr>
              <w:t>$</w:t>
            </w:r>
            <w:r w:rsidR="003F79B3">
              <w:rPr>
                <w:color w:val="000000"/>
                <w:sz w:val="20"/>
                <w:szCs w:val="20"/>
              </w:rPr>
              <w:t>11,</w:t>
            </w:r>
            <w:r>
              <w:rPr>
                <w:color w:val="000000"/>
                <w:sz w:val="20"/>
                <w:szCs w:val="20"/>
              </w:rPr>
              <w:t>238.98</w:t>
            </w:r>
          </w:p>
        </w:tc>
        <w:tc>
          <w:tcPr>
            <w:tcW w:w="1399"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CA4A2C" w14:paraId="71883F80" w14:textId="5F619732">
            <w:pPr>
              <w:widowControl/>
              <w:autoSpaceDE/>
              <w:autoSpaceDN/>
              <w:adjustRightInd/>
              <w:jc w:val="center"/>
              <w:rPr>
                <w:color w:val="000000"/>
                <w:sz w:val="20"/>
                <w:szCs w:val="20"/>
              </w:rPr>
            </w:pPr>
            <w:r>
              <w:rPr>
                <w:color w:val="000000"/>
                <w:sz w:val="20"/>
                <w:szCs w:val="20"/>
              </w:rPr>
              <w:t>2,034</w:t>
            </w:r>
          </w:p>
        </w:tc>
        <w:tc>
          <w:tcPr>
            <w:tcW w:w="1435" w:type="dxa"/>
            <w:tcBorders>
              <w:top w:val="nil"/>
              <w:left w:val="nil"/>
              <w:bottom w:val="single" w:color="auto" w:sz="4" w:space="0"/>
              <w:right w:val="single" w:color="auto" w:sz="4" w:space="0"/>
            </w:tcBorders>
          </w:tcPr>
          <w:p w:rsidR="00F67554" w:rsidP="001142A2" w:rsidRDefault="00F67554" w14:paraId="3CF473DA" w14:textId="77777777">
            <w:pPr>
              <w:widowControl/>
              <w:autoSpaceDE/>
              <w:autoSpaceDN/>
              <w:adjustRightInd/>
              <w:jc w:val="center"/>
              <w:rPr>
                <w:color w:val="000000"/>
                <w:sz w:val="20"/>
                <w:szCs w:val="20"/>
              </w:rPr>
            </w:pPr>
          </w:p>
          <w:p w:rsidR="00F67554" w:rsidP="001142A2" w:rsidRDefault="00F67554" w14:paraId="178D2BA0" w14:textId="77777777">
            <w:pPr>
              <w:widowControl/>
              <w:autoSpaceDE/>
              <w:autoSpaceDN/>
              <w:adjustRightInd/>
              <w:jc w:val="center"/>
              <w:rPr>
                <w:color w:val="000000"/>
                <w:sz w:val="20"/>
                <w:szCs w:val="20"/>
              </w:rPr>
            </w:pPr>
          </w:p>
          <w:p w:rsidR="00533308" w:rsidP="001142A2" w:rsidRDefault="00CA4A2C" w14:paraId="5F515BA9" w14:textId="31D55F14">
            <w:pPr>
              <w:widowControl/>
              <w:autoSpaceDE/>
              <w:autoSpaceDN/>
              <w:adjustRightInd/>
              <w:jc w:val="center"/>
              <w:rPr>
                <w:color w:val="000000"/>
                <w:sz w:val="20"/>
                <w:szCs w:val="20"/>
              </w:rPr>
            </w:pPr>
            <w:r>
              <w:rPr>
                <w:color w:val="000000"/>
                <w:sz w:val="20"/>
                <w:szCs w:val="20"/>
              </w:rPr>
              <w:t>$101,15</w:t>
            </w:r>
            <w:r w:rsidR="00A20AA0">
              <w:rPr>
                <w:color w:val="000000"/>
                <w:sz w:val="20"/>
                <w:szCs w:val="20"/>
              </w:rPr>
              <w:t>0.82</w:t>
            </w:r>
            <w:r w:rsidR="00D456CB">
              <w:rPr>
                <w:color w:val="000000"/>
                <w:sz w:val="20"/>
                <w:szCs w:val="20"/>
              </w:rPr>
              <w:t xml:space="preserve"> or</w:t>
            </w:r>
          </w:p>
          <w:p w:rsidRPr="000F7BCD" w:rsidR="00A20AA0" w:rsidP="001142A2" w:rsidRDefault="00A20AA0" w14:paraId="3AE7C3B2" w14:textId="505BF940">
            <w:pPr>
              <w:widowControl/>
              <w:autoSpaceDE/>
              <w:autoSpaceDN/>
              <w:adjustRightInd/>
              <w:jc w:val="center"/>
              <w:rPr>
                <w:b/>
                <w:color w:val="000000"/>
                <w:sz w:val="20"/>
                <w:szCs w:val="20"/>
              </w:rPr>
            </w:pPr>
            <w:r w:rsidRPr="000F7BCD">
              <w:rPr>
                <w:b/>
                <w:color w:val="000000"/>
                <w:sz w:val="20"/>
                <w:szCs w:val="20"/>
              </w:rPr>
              <w:t>$101,151</w:t>
            </w:r>
          </w:p>
        </w:tc>
      </w:tr>
      <w:tr w:rsidRPr="001142A2" w:rsidR="00E061A8" w:rsidTr="000F7BCD" w14:paraId="0C08E23F" w14:textId="684B5F73">
        <w:trPr>
          <w:trHeight w:val="840"/>
          <w:jc w:val="center"/>
        </w:trPr>
        <w:tc>
          <w:tcPr>
            <w:tcW w:w="1383" w:type="dxa"/>
            <w:tcBorders>
              <w:top w:val="nil"/>
              <w:left w:val="single" w:color="auto" w:sz="4" w:space="0"/>
              <w:bottom w:val="single" w:color="auto" w:sz="4" w:space="0"/>
              <w:right w:val="single" w:color="auto" w:sz="4" w:space="0"/>
            </w:tcBorders>
            <w:shd w:val="clear" w:color="auto" w:fill="auto"/>
            <w:vAlign w:val="center"/>
            <w:hideMark/>
          </w:tcPr>
          <w:p w:rsidRPr="001142A2" w:rsidR="00533308" w:rsidP="000F7BCD" w:rsidRDefault="00533308" w14:paraId="75FB5139" w14:textId="0691965D">
            <w:pPr>
              <w:widowControl/>
              <w:autoSpaceDE/>
              <w:autoSpaceDN/>
              <w:adjustRightInd/>
              <w:jc w:val="center"/>
              <w:rPr>
                <w:color w:val="000000"/>
                <w:sz w:val="20"/>
                <w:szCs w:val="20"/>
              </w:rPr>
            </w:pPr>
            <w:r w:rsidRPr="001142A2">
              <w:rPr>
                <w:color w:val="000000"/>
                <w:sz w:val="20"/>
                <w:szCs w:val="20"/>
              </w:rPr>
              <w:t xml:space="preserve">Preparation and Submittal of Petition for Exemption under </w:t>
            </w:r>
            <w:r>
              <w:rPr>
                <w:color w:val="000000"/>
                <w:sz w:val="20"/>
                <w:szCs w:val="20"/>
              </w:rPr>
              <w:br/>
            </w:r>
            <w:r w:rsidRPr="001142A2">
              <w:rPr>
                <w:color w:val="000000"/>
                <w:sz w:val="20"/>
                <w:szCs w:val="20"/>
              </w:rPr>
              <w:t>§ 543.7</w:t>
            </w:r>
          </w:p>
        </w:tc>
        <w:tc>
          <w:tcPr>
            <w:tcW w:w="1074"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533308" w14:paraId="4567F849" w14:textId="77777777">
            <w:pPr>
              <w:widowControl/>
              <w:autoSpaceDE/>
              <w:autoSpaceDN/>
              <w:adjustRightInd/>
              <w:jc w:val="center"/>
              <w:rPr>
                <w:color w:val="000000"/>
                <w:sz w:val="20"/>
                <w:szCs w:val="20"/>
              </w:rPr>
            </w:pPr>
            <w:r w:rsidRPr="001142A2">
              <w:rPr>
                <w:color w:val="000000"/>
                <w:sz w:val="20"/>
                <w:szCs w:val="20"/>
              </w:rPr>
              <w:t xml:space="preserve">20 </w:t>
            </w:r>
            <w:proofErr w:type="spellStart"/>
            <w:r w:rsidRPr="001142A2">
              <w:rPr>
                <w:color w:val="000000"/>
                <w:sz w:val="20"/>
                <w:szCs w:val="20"/>
              </w:rPr>
              <w:t>hrs</w:t>
            </w:r>
            <w:proofErr w:type="spellEnd"/>
          </w:p>
        </w:tc>
        <w:tc>
          <w:tcPr>
            <w:tcW w:w="1154"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533308" w14:paraId="40ACD6AC" w14:textId="77777777">
            <w:pPr>
              <w:widowControl/>
              <w:autoSpaceDE/>
              <w:autoSpaceDN/>
              <w:adjustRightInd/>
              <w:jc w:val="center"/>
              <w:rPr>
                <w:color w:val="000000"/>
                <w:sz w:val="20"/>
                <w:szCs w:val="20"/>
              </w:rPr>
            </w:pPr>
            <w:r w:rsidRPr="001142A2">
              <w:rPr>
                <w:color w:val="000000"/>
                <w:sz w:val="20"/>
                <w:szCs w:val="20"/>
              </w:rPr>
              <w:t>3</w:t>
            </w:r>
          </w:p>
        </w:tc>
        <w:tc>
          <w:tcPr>
            <w:tcW w:w="1268"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3F79B3" w14:paraId="41B44945" w14:textId="3DF23E8B">
            <w:pPr>
              <w:widowControl/>
              <w:autoSpaceDE/>
              <w:autoSpaceDN/>
              <w:adjustRightInd/>
              <w:jc w:val="center"/>
              <w:rPr>
                <w:color w:val="000000"/>
                <w:sz w:val="20"/>
                <w:szCs w:val="20"/>
              </w:rPr>
            </w:pPr>
            <w:r>
              <w:rPr>
                <w:color w:val="000000"/>
                <w:sz w:val="20"/>
                <w:szCs w:val="20"/>
              </w:rPr>
              <w:t>$49.73</w:t>
            </w:r>
          </w:p>
        </w:tc>
        <w:tc>
          <w:tcPr>
            <w:tcW w:w="1642"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A20AA0" w14:paraId="3C6BAC2A" w14:textId="11562B1F">
            <w:pPr>
              <w:widowControl/>
              <w:autoSpaceDE/>
              <w:autoSpaceDN/>
              <w:adjustRightInd/>
              <w:jc w:val="center"/>
              <w:rPr>
                <w:color w:val="000000"/>
                <w:sz w:val="20"/>
                <w:szCs w:val="20"/>
              </w:rPr>
            </w:pPr>
            <w:r>
              <w:rPr>
                <w:color w:val="000000"/>
                <w:sz w:val="20"/>
                <w:szCs w:val="20"/>
              </w:rPr>
              <w:t>$994.60</w:t>
            </w:r>
          </w:p>
        </w:tc>
        <w:tc>
          <w:tcPr>
            <w:tcW w:w="1399" w:type="dxa"/>
            <w:tcBorders>
              <w:top w:val="nil"/>
              <w:left w:val="nil"/>
              <w:bottom w:val="single" w:color="auto" w:sz="4" w:space="0"/>
              <w:right w:val="single" w:color="auto" w:sz="4" w:space="0"/>
            </w:tcBorders>
            <w:shd w:val="clear" w:color="auto" w:fill="auto"/>
            <w:noWrap/>
            <w:vAlign w:val="center"/>
            <w:hideMark/>
          </w:tcPr>
          <w:p w:rsidRPr="001142A2" w:rsidR="00533308" w:rsidP="001142A2" w:rsidRDefault="00CA4A2C" w14:paraId="09B8A7C5" w14:textId="31C108D3">
            <w:pPr>
              <w:widowControl/>
              <w:autoSpaceDE/>
              <w:autoSpaceDN/>
              <w:adjustRightInd/>
              <w:jc w:val="center"/>
              <w:rPr>
                <w:color w:val="000000"/>
                <w:sz w:val="20"/>
                <w:szCs w:val="20"/>
              </w:rPr>
            </w:pPr>
            <w:r>
              <w:rPr>
                <w:color w:val="000000"/>
                <w:sz w:val="20"/>
                <w:szCs w:val="20"/>
              </w:rPr>
              <w:t>60</w:t>
            </w:r>
          </w:p>
        </w:tc>
        <w:tc>
          <w:tcPr>
            <w:tcW w:w="1435" w:type="dxa"/>
            <w:tcBorders>
              <w:top w:val="nil"/>
              <w:left w:val="nil"/>
              <w:bottom w:val="single" w:color="auto" w:sz="4" w:space="0"/>
              <w:right w:val="single" w:color="auto" w:sz="4" w:space="0"/>
            </w:tcBorders>
          </w:tcPr>
          <w:p w:rsidR="00F67554" w:rsidP="001142A2" w:rsidRDefault="00F67554" w14:paraId="6A37F7DB" w14:textId="77777777">
            <w:pPr>
              <w:widowControl/>
              <w:autoSpaceDE/>
              <w:autoSpaceDN/>
              <w:adjustRightInd/>
              <w:jc w:val="center"/>
              <w:rPr>
                <w:color w:val="000000"/>
                <w:sz w:val="20"/>
                <w:szCs w:val="20"/>
              </w:rPr>
            </w:pPr>
          </w:p>
          <w:p w:rsidR="00F67554" w:rsidP="001142A2" w:rsidRDefault="00F67554" w14:paraId="3E239C1C" w14:textId="77777777">
            <w:pPr>
              <w:widowControl/>
              <w:autoSpaceDE/>
              <w:autoSpaceDN/>
              <w:adjustRightInd/>
              <w:jc w:val="center"/>
              <w:rPr>
                <w:color w:val="000000"/>
                <w:sz w:val="20"/>
                <w:szCs w:val="20"/>
              </w:rPr>
            </w:pPr>
          </w:p>
          <w:p w:rsidR="00533308" w:rsidP="001142A2" w:rsidRDefault="00CA4A2C" w14:paraId="363A5A1C" w14:textId="2A3DB3DC">
            <w:pPr>
              <w:widowControl/>
              <w:autoSpaceDE/>
              <w:autoSpaceDN/>
              <w:adjustRightInd/>
              <w:jc w:val="center"/>
              <w:rPr>
                <w:color w:val="000000"/>
                <w:sz w:val="20"/>
                <w:szCs w:val="20"/>
              </w:rPr>
            </w:pPr>
            <w:r>
              <w:rPr>
                <w:color w:val="000000"/>
                <w:sz w:val="20"/>
                <w:szCs w:val="20"/>
              </w:rPr>
              <w:t>$2,98</w:t>
            </w:r>
            <w:r w:rsidR="00A20AA0">
              <w:rPr>
                <w:color w:val="000000"/>
                <w:sz w:val="20"/>
                <w:szCs w:val="20"/>
              </w:rPr>
              <w:t>3.80</w:t>
            </w:r>
            <w:r w:rsidR="00D456CB">
              <w:rPr>
                <w:color w:val="000000"/>
                <w:sz w:val="20"/>
                <w:szCs w:val="20"/>
              </w:rPr>
              <w:t xml:space="preserve"> or</w:t>
            </w:r>
          </w:p>
          <w:p w:rsidRPr="000F7BCD" w:rsidR="00A20AA0" w:rsidP="001142A2" w:rsidRDefault="00A20AA0" w14:paraId="2E99AC2D" w14:textId="1BA554E3">
            <w:pPr>
              <w:widowControl/>
              <w:autoSpaceDE/>
              <w:autoSpaceDN/>
              <w:adjustRightInd/>
              <w:jc w:val="center"/>
              <w:rPr>
                <w:b/>
                <w:color w:val="000000"/>
                <w:sz w:val="20"/>
                <w:szCs w:val="20"/>
              </w:rPr>
            </w:pPr>
            <w:r w:rsidRPr="000F7BCD">
              <w:rPr>
                <w:b/>
                <w:color w:val="000000"/>
                <w:sz w:val="20"/>
                <w:szCs w:val="20"/>
              </w:rPr>
              <w:t>$2,984</w:t>
            </w:r>
          </w:p>
        </w:tc>
      </w:tr>
      <w:tr w:rsidRPr="001142A2" w:rsidR="00E061A8" w:rsidTr="000416D4" w14:paraId="0C938A41" w14:textId="77777777">
        <w:trPr>
          <w:trHeight w:val="576"/>
          <w:jc w:val="center"/>
        </w:trPr>
        <w:tc>
          <w:tcPr>
            <w:tcW w:w="1383" w:type="dxa"/>
            <w:tcBorders>
              <w:top w:val="nil"/>
              <w:left w:val="single" w:color="auto" w:sz="4" w:space="0"/>
              <w:bottom w:val="single" w:color="auto" w:sz="4" w:space="0"/>
              <w:right w:val="single" w:color="auto" w:sz="4" w:space="0"/>
            </w:tcBorders>
            <w:shd w:val="clear" w:color="auto" w:fill="auto"/>
            <w:vAlign w:val="center"/>
          </w:tcPr>
          <w:p w:rsidRPr="000F7BCD" w:rsidR="00431F66" w:rsidRDefault="00F67554" w14:paraId="1CDC9CF0" w14:textId="2642B90E">
            <w:pPr>
              <w:widowControl/>
              <w:autoSpaceDE/>
              <w:autoSpaceDN/>
              <w:adjustRightInd/>
              <w:jc w:val="center"/>
              <w:rPr>
                <w:b/>
                <w:color w:val="000000"/>
                <w:sz w:val="20"/>
                <w:szCs w:val="20"/>
              </w:rPr>
            </w:pPr>
            <w:r w:rsidRPr="00F67554">
              <w:rPr>
                <w:b/>
                <w:color w:val="000000"/>
                <w:sz w:val="20"/>
                <w:szCs w:val="20"/>
              </w:rPr>
              <w:t>Total</w:t>
            </w:r>
            <w:r w:rsidRPr="000F7BCD" w:rsidR="00431F66">
              <w:rPr>
                <w:b/>
                <w:color w:val="000000"/>
                <w:sz w:val="20"/>
                <w:szCs w:val="20"/>
              </w:rPr>
              <w:t xml:space="preserve"> </w:t>
            </w:r>
          </w:p>
        </w:tc>
        <w:tc>
          <w:tcPr>
            <w:tcW w:w="1074" w:type="dxa"/>
            <w:tcBorders>
              <w:top w:val="nil"/>
              <w:left w:val="nil"/>
              <w:bottom w:val="single" w:color="auto" w:sz="4" w:space="0"/>
              <w:right w:val="single" w:color="auto" w:sz="4" w:space="0"/>
            </w:tcBorders>
            <w:shd w:val="clear" w:color="auto" w:fill="auto"/>
            <w:noWrap/>
            <w:vAlign w:val="center"/>
          </w:tcPr>
          <w:p w:rsidRPr="001142A2" w:rsidR="00431F66" w:rsidP="001142A2" w:rsidRDefault="00431F66" w14:paraId="567D6BB8" w14:textId="77777777">
            <w:pPr>
              <w:widowControl/>
              <w:autoSpaceDE/>
              <w:autoSpaceDN/>
              <w:adjustRightInd/>
              <w:jc w:val="center"/>
              <w:rPr>
                <w:color w:val="000000"/>
                <w:sz w:val="20"/>
                <w:szCs w:val="20"/>
              </w:rPr>
            </w:pPr>
          </w:p>
        </w:tc>
        <w:tc>
          <w:tcPr>
            <w:tcW w:w="1154" w:type="dxa"/>
            <w:tcBorders>
              <w:top w:val="nil"/>
              <w:left w:val="nil"/>
              <w:bottom w:val="single" w:color="auto" w:sz="4" w:space="0"/>
              <w:right w:val="single" w:color="auto" w:sz="4" w:space="0"/>
            </w:tcBorders>
            <w:shd w:val="clear" w:color="auto" w:fill="auto"/>
            <w:noWrap/>
            <w:vAlign w:val="center"/>
          </w:tcPr>
          <w:p w:rsidRPr="000F7BCD" w:rsidR="00431F66" w:rsidP="001142A2" w:rsidRDefault="00431F66" w14:paraId="249A4517" w14:textId="0394867C">
            <w:pPr>
              <w:widowControl/>
              <w:autoSpaceDE/>
              <w:autoSpaceDN/>
              <w:adjustRightInd/>
              <w:jc w:val="center"/>
              <w:rPr>
                <w:b/>
                <w:color w:val="000000"/>
                <w:sz w:val="20"/>
                <w:szCs w:val="20"/>
              </w:rPr>
            </w:pPr>
            <w:r w:rsidRPr="000F7BCD">
              <w:rPr>
                <w:b/>
                <w:color w:val="000000"/>
                <w:sz w:val="20"/>
                <w:szCs w:val="20"/>
              </w:rPr>
              <w:t>12</w:t>
            </w:r>
          </w:p>
        </w:tc>
        <w:tc>
          <w:tcPr>
            <w:tcW w:w="1268" w:type="dxa"/>
            <w:tcBorders>
              <w:top w:val="nil"/>
              <w:left w:val="nil"/>
              <w:bottom w:val="single" w:color="auto" w:sz="4" w:space="0"/>
              <w:right w:val="single" w:color="auto" w:sz="4" w:space="0"/>
            </w:tcBorders>
            <w:shd w:val="clear" w:color="auto" w:fill="auto"/>
            <w:noWrap/>
            <w:vAlign w:val="center"/>
          </w:tcPr>
          <w:p w:rsidRPr="001142A2" w:rsidR="00431F66" w:rsidP="001142A2" w:rsidRDefault="00431F66" w14:paraId="4D5955A0" w14:textId="7DC43D9E">
            <w:pPr>
              <w:widowControl/>
              <w:autoSpaceDE/>
              <w:autoSpaceDN/>
              <w:adjustRightInd/>
              <w:jc w:val="center"/>
              <w:rPr>
                <w:color w:val="000000"/>
                <w:sz w:val="20"/>
                <w:szCs w:val="20"/>
              </w:rPr>
            </w:pPr>
          </w:p>
        </w:tc>
        <w:tc>
          <w:tcPr>
            <w:tcW w:w="1642" w:type="dxa"/>
            <w:tcBorders>
              <w:top w:val="nil"/>
              <w:left w:val="nil"/>
              <w:bottom w:val="single" w:color="auto" w:sz="4" w:space="0"/>
              <w:right w:val="single" w:color="auto" w:sz="4" w:space="0"/>
            </w:tcBorders>
            <w:shd w:val="clear" w:color="auto" w:fill="auto"/>
            <w:noWrap/>
            <w:vAlign w:val="center"/>
          </w:tcPr>
          <w:p w:rsidRPr="001142A2" w:rsidR="00431F66" w:rsidP="001142A2" w:rsidRDefault="00431F66" w14:paraId="7736C5E5" w14:textId="77777777">
            <w:pPr>
              <w:widowControl/>
              <w:autoSpaceDE/>
              <w:autoSpaceDN/>
              <w:adjustRightInd/>
              <w:jc w:val="center"/>
              <w:rPr>
                <w:color w:val="000000"/>
                <w:sz w:val="20"/>
                <w:szCs w:val="20"/>
              </w:rPr>
            </w:pPr>
          </w:p>
        </w:tc>
        <w:tc>
          <w:tcPr>
            <w:tcW w:w="1399" w:type="dxa"/>
            <w:tcBorders>
              <w:top w:val="nil"/>
              <w:left w:val="nil"/>
              <w:bottom w:val="single" w:color="auto" w:sz="4" w:space="0"/>
              <w:right w:val="single" w:color="auto" w:sz="4" w:space="0"/>
            </w:tcBorders>
            <w:shd w:val="clear" w:color="auto" w:fill="auto"/>
            <w:noWrap/>
            <w:vAlign w:val="center"/>
          </w:tcPr>
          <w:p w:rsidRPr="000F7BCD" w:rsidR="00431F66" w:rsidP="001142A2" w:rsidRDefault="00431F66" w14:paraId="0B52DC2E" w14:textId="2BF7350F">
            <w:pPr>
              <w:widowControl/>
              <w:autoSpaceDE/>
              <w:autoSpaceDN/>
              <w:adjustRightInd/>
              <w:jc w:val="center"/>
              <w:rPr>
                <w:b/>
                <w:color w:val="000000"/>
                <w:sz w:val="20"/>
                <w:szCs w:val="20"/>
              </w:rPr>
            </w:pPr>
            <w:r w:rsidRPr="000F7BCD">
              <w:rPr>
                <w:b/>
                <w:color w:val="000000"/>
                <w:sz w:val="20"/>
                <w:szCs w:val="20"/>
              </w:rPr>
              <w:t>2,094</w:t>
            </w:r>
          </w:p>
        </w:tc>
        <w:tc>
          <w:tcPr>
            <w:tcW w:w="1435" w:type="dxa"/>
            <w:tcBorders>
              <w:top w:val="nil"/>
              <w:left w:val="nil"/>
              <w:bottom w:val="single" w:color="auto" w:sz="4" w:space="0"/>
              <w:right w:val="single" w:color="auto" w:sz="4" w:space="0"/>
            </w:tcBorders>
            <w:vAlign w:val="center"/>
          </w:tcPr>
          <w:p w:rsidRPr="000F7BCD" w:rsidR="00431F66" w:rsidP="000F7BCD" w:rsidRDefault="00431F66" w14:paraId="04D5791A" w14:textId="7F4EC732">
            <w:pPr>
              <w:widowControl/>
              <w:autoSpaceDE/>
              <w:autoSpaceDN/>
              <w:adjustRightInd/>
              <w:jc w:val="center"/>
              <w:rPr>
                <w:b/>
                <w:color w:val="000000"/>
                <w:sz w:val="20"/>
                <w:szCs w:val="20"/>
              </w:rPr>
            </w:pPr>
            <w:r w:rsidRPr="000F7BCD">
              <w:rPr>
                <w:b/>
                <w:color w:val="000000"/>
                <w:sz w:val="20"/>
                <w:szCs w:val="20"/>
              </w:rPr>
              <w:t>$104,135</w:t>
            </w:r>
          </w:p>
        </w:tc>
      </w:tr>
    </w:tbl>
    <w:p w:rsidR="001142A2" w:rsidP="001A6C74" w:rsidRDefault="001142A2" w14:paraId="75DB51D2" w14:textId="60A6AB79">
      <w:pPr>
        <w:tabs>
          <w:tab w:val="left" w:pos="-1440"/>
        </w:tabs>
      </w:pPr>
    </w:p>
    <w:p w:rsidRPr="00CF3FDA" w:rsidR="00573C39" w:rsidRDefault="00573C39" w14:paraId="5B294F72" w14:textId="77777777">
      <w:pPr>
        <w:tabs>
          <w:tab w:val="left" w:pos="-1440"/>
        </w:tabs>
      </w:pPr>
    </w:p>
    <w:p w:rsidRPr="00CF3FDA" w:rsidR="00B6021D" w:rsidP="00640257" w:rsidRDefault="00B6021D" w14:paraId="5AD9B97B" w14:textId="0B298470">
      <w:pPr>
        <w:tabs>
          <w:tab w:val="left" w:pos="-1440"/>
        </w:tabs>
        <w:ind w:left="720" w:hanging="720"/>
        <w:rPr>
          <w:u w:val="single"/>
        </w:rPr>
      </w:pPr>
      <w:r w:rsidRPr="00CF3FDA">
        <w:t>13.</w:t>
      </w:r>
      <w:r w:rsidRPr="00CF3FDA">
        <w:tab/>
      </w:r>
      <w:r w:rsidRPr="00CF3FDA">
        <w:rPr>
          <w:u w:val="single"/>
        </w:rPr>
        <w:t xml:space="preserve">Provide </w:t>
      </w:r>
      <w:r w:rsidRPr="007A4164" w:rsidR="007A4164">
        <w:rPr>
          <w:u w:val="single"/>
        </w:rPr>
        <w:t>an estimate of the total annual cost burden to respondents or record keepers resulting from the collection of information. Do not include the cost of any hour burden already reflected in the response provided in question 12.</w:t>
      </w:r>
    </w:p>
    <w:p w:rsidRPr="00CF3FDA" w:rsidR="00B6021D" w:rsidRDefault="00B6021D" w14:paraId="6DAD8131" w14:textId="77777777">
      <w:pPr>
        <w:tabs>
          <w:tab w:val="left" w:pos="-1440"/>
        </w:tabs>
      </w:pPr>
    </w:p>
    <w:p w:rsidRPr="00CF3FDA" w:rsidR="00B6021D" w:rsidRDefault="00B406CB" w14:paraId="34422904" w14:textId="3DB070BD">
      <w:pPr>
        <w:tabs>
          <w:tab w:val="left" w:pos="-1440"/>
        </w:tabs>
        <w:ind w:left="720"/>
      </w:pPr>
      <w:r>
        <w:t>NHTSA estimates that compiling and submitting t</w:t>
      </w:r>
      <w:r w:rsidRPr="00CF3FDA" w:rsidR="00B6021D">
        <w:t xml:space="preserve">he petitions for exemptions </w:t>
      </w:r>
      <w:r>
        <w:t xml:space="preserve">will not result in any </w:t>
      </w:r>
      <w:r w:rsidRPr="00CF3FDA" w:rsidR="00B6021D">
        <w:t>additional costs to the respondents.</w:t>
      </w:r>
    </w:p>
    <w:p w:rsidRPr="00CF3FDA" w:rsidR="00B6021D" w:rsidRDefault="00B6021D" w14:paraId="692C4DCD" w14:textId="77777777">
      <w:pPr>
        <w:tabs>
          <w:tab w:val="left" w:pos="-1440"/>
        </w:tabs>
      </w:pPr>
      <w:r w:rsidRPr="00CF3FDA">
        <w:t xml:space="preserve"> </w:t>
      </w:r>
    </w:p>
    <w:p w:rsidRPr="00CF3FDA" w:rsidR="00B6021D" w:rsidP="00640257" w:rsidRDefault="00B6021D" w14:paraId="63B19906" w14:textId="34E1CC04">
      <w:pPr>
        <w:tabs>
          <w:tab w:val="left" w:pos="-1440"/>
        </w:tabs>
        <w:ind w:left="720" w:hanging="720"/>
      </w:pPr>
      <w:r w:rsidRPr="00CF3FDA">
        <w:t>14.</w:t>
      </w:r>
      <w:r w:rsidRPr="00CF3FDA">
        <w:tab/>
      </w:r>
      <w:r w:rsidRPr="00CF3FDA">
        <w:rPr>
          <w:u w:val="single"/>
        </w:rPr>
        <w:t xml:space="preserve">Provide </w:t>
      </w:r>
      <w:r w:rsidRPr="00375948" w:rsidR="00375948">
        <w:rPr>
          <w:u w:val="single"/>
        </w:rPr>
        <w:t>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F3FDA" w:rsidR="00B6021D" w:rsidRDefault="00B6021D" w14:paraId="6BF8C944" w14:textId="77777777">
      <w:pPr>
        <w:tabs>
          <w:tab w:val="left" w:pos="-1440"/>
        </w:tabs>
      </w:pPr>
    </w:p>
    <w:p w:rsidRPr="00CF3FDA" w:rsidR="00B6021D" w:rsidRDefault="00E12C05" w14:paraId="424E2F89" w14:textId="48A7AA28">
      <w:pPr>
        <w:tabs>
          <w:tab w:val="left" w:pos="-1440"/>
        </w:tabs>
        <w:ind w:left="720"/>
      </w:pPr>
      <w:r>
        <w:t xml:space="preserve">Processing the petitions is expected to take approximately </w:t>
      </w:r>
      <w:r w:rsidR="0078108E">
        <w:t>30</w:t>
      </w:r>
      <w:r>
        <w:t>% of one federal employee’s</w:t>
      </w:r>
      <w:r w:rsidR="00AE3E1D">
        <w:t xml:space="preserve"> time. Using the salary of a GS-</w:t>
      </w:r>
      <w:r w:rsidR="0078108E">
        <w:t>12</w:t>
      </w:r>
      <w:r w:rsidR="00AE3E1D">
        <w:t xml:space="preserve">, Step </w:t>
      </w:r>
      <w:r w:rsidR="0078108E">
        <w:t>5</w:t>
      </w:r>
      <w:r w:rsidR="00AE3E1D">
        <w:t xml:space="preserve">, </w:t>
      </w:r>
      <w:r w:rsidR="0078108E">
        <w:t xml:space="preserve">in Washington, DC, </w:t>
      </w:r>
      <w:r w:rsidR="00AE3E1D">
        <w:t xml:space="preserve">NHTSA estimates the cost of processing the petitions to be </w:t>
      </w:r>
      <w:r w:rsidR="00DF0F60">
        <w:t xml:space="preserve">$29,354.40 </w:t>
      </w:r>
      <w:r w:rsidR="00AE3E1D">
        <w:t>per year</w:t>
      </w:r>
      <w:r w:rsidR="0078108E">
        <w:t xml:space="preserve"> ($97,848 × 0.30)</w:t>
      </w:r>
      <w:r w:rsidR="00AE3E1D">
        <w:t xml:space="preserve">. </w:t>
      </w:r>
      <w:r w:rsidR="0078108E">
        <w:t xml:space="preserve"> </w:t>
      </w:r>
    </w:p>
    <w:p w:rsidRPr="00CF3FDA" w:rsidR="00B6021D" w:rsidRDefault="00B6021D" w14:paraId="4C828218" w14:textId="77777777">
      <w:pPr>
        <w:tabs>
          <w:tab w:val="left" w:pos="-1440"/>
        </w:tabs>
      </w:pPr>
    </w:p>
    <w:p w:rsidRPr="00CF3FDA" w:rsidR="00B6021D" w:rsidP="00132C37" w:rsidRDefault="00B6021D" w14:paraId="45C5BF11" w14:textId="59F22D6D">
      <w:pPr>
        <w:keepNext/>
        <w:tabs>
          <w:tab w:val="left" w:pos="-1440"/>
        </w:tabs>
        <w:ind w:left="720" w:hanging="720"/>
        <w:rPr>
          <w:u w:val="single"/>
        </w:rPr>
      </w:pPr>
      <w:r w:rsidRPr="00CF3FDA">
        <w:t>15.</w:t>
      </w:r>
      <w:r w:rsidRPr="00CF3FDA">
        <w:tab/>
      </w:r>
      <w:r w:rsidRPr="00CF3FDA">
        <w:rPr>
          <w:u w:val="single"/>
        </w:rPr>
        <w:t xml:space="preserve">Explain </w:t>
      </w:r>
      <w:r w:rsidRPr="00375948" w:rsidR="00375948">
        <w:rPr>
          <w:u w:val="single"/>
        </w:rPr>
        <w:t>the reasons for any program changes or adjustments reported on the burden worksheet. If this is a new collection, the program change will be entire burden cost and number of burden hours reported in response to questions 12 and 13. If this is a renewal or reinstatement, the change is the difference between the new burden estimates and the burden estimates from the last OMB approval.</w:t>
      </w:r>
    </w:p>
    <w:p w:rsidRPr="00CF3FDA" w:rsidR="00B6021D" w:rsidRDefault="00B6021D" w14:paraId="4E3FBBAD" w14:textId="77777777">
      <w:pPr>
        <w:tabs>
          <w:tab w:val="left" w:pos="-1440"/>
        </w:tabs>
        <w:rPr>
          <w:u w:val="single"/>
        </w:rPr>
      </w:pPr>
    </w:p>
    <w:p w:rsidRPr="00390EF1" w:rsidR="00B6021D" w:rsidP="00A76DFA" w:rsidRDefault="00C301C1" w14:paraId="7E0FC724" w14:textId="0CD63ED5">
      <w:pPr>
        <w:tabs>
          <w:tab w:val="left" w:pos="-1440"/>
        </w:tabs>
        <w:ind w:left="720"/>
      </w:pPr>
      <w:r w:rsidRPr="00C301C1">
        <w:t>This is a reinstatement of a previously approved collection resulting in a program change increasing NHTSA’s total burden hours by 2,094.</w:t>
      </w:r>
      <w:r>
        <w:t xml:space="preserve"> When NHTSA last sought approval, it estimated the total burden hours to be 2,100. </w:t>
      </w:r>
      <w:r w:rsidR="00CC049C">
        <w:t xml:space="preserve">NHTSA now estimates the burden to be 2,094. </w:t>
      </w:r>
      <w:r w:rsidR="004E5D98">
        <w:t>Th</w:t>
      </w:r>
      <w:r w:rsidR="00B66344">
        <w:t>is slight decrease is due to a change in rounding when calculating</w:t>
      </w:r>
      <w:r w:rsidR="004E5D98">
        <w:t xml:space="preserve"> the number of burden hour</w:t>
      </w:r>
      <w:r w:rsidR="00B66344">
        <w:t xml:space="preserve">s. </w:t>
      </w:r>
      <w:r w:rsidR="007D4801">
        <w:t xml:space="preserve">The last collection also estimated the burden as 2,094 </w:t>
      </w:r>
      <w:proofErr w:type="gramStart"/>
      <w:r w:rsidR="007D4801">
        <w:t>hours, but</w:t>
      </w:r>
      <w:proofErr w:type="gramEnd"/>
      <w:r w:rsidR="007D4801">
        <w:t xml:space="preserve"> rounded up to 2,100 hours. </w:t>
      </w:r>
      <w:r w:rsidR="00DF603B">
        <w:t xml:space="preserve"> </w:t>
      </w:r>
      <w:r w:rsidR="006D084C">
        <w:t xml:space="preserve">  </w:t>
      </w:r>
    </w:p>
    <w:p w:rsidRPr="00CF3FDA" w:rsidR="00B6021D" w:rsidRDefault="00B6021D" w14:paraId="3E57B47A" w14:textId="77777777">
      <w:pPr>
        <w:tabs>
          <w:tab w:val="left" w:pos="-1440"/>
        </w:tabs>
      </w:pPr>
    </w:p>
    <w:p w:rsidR="00B6021D" w:rsidRDefault="00B6021D" w14:paraId="45B384A9" w14:textId="05010B0A">
      <w:pPr>
        <w:tabs>
          <w:tab w:val="left" w:pos="-1440"/>
        </w:tabs>
        <w:ind w:left="720" w:hanging="720"/>
        <w:rPr>
          <w:u w:val="single"/>
        </w:rPr>
      </w:pPr>
      <w:r w:rsidRPr="00CF3FDA">
        <w:t>16.</w:t>
      </w:r>
      <w:r w:rsidRPr="00CF3FDA">
        <w:tab/>
      </w:r>
      <w:r w:rsidRPr="00CF3FDA">
        <w:rPr>
          <w:u w:val="single"/>
        </w:rPr>
        <w:t xml:space="preserve">For </w:t>
      </w:r>
      <w:r w:rsidRPr="00577D1D" w:rsidR="00577D1D">
        <w:rPr>
          <w:u w:val="single"/>
        </w:rPr>
        <w:t xml:space="preserve">collections of information whose results will be published, outline plans for </w:t>
      </w:r>
      <w:r w:rsidRPr="00577D1D" w:rsidR="00577D1D">
        <w:rPr>
          <w:u w:val="single"/>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 as applicable</w:t>
      </w:r>
      <w:r w:rsidR="00577D1D">
        <w:rPr>
          <w:u w:val="single"/>
        </w:rPr>
        <w:t xml:space="preserve">. </w:t>
      </w:r>
    </w:p>
    <w:p w:rsidRPr="00CF3FDA" w:rsidR="000416D4" w:rsidRDefault="000416D4" w14:paraId="14111F14" w14:textId="77777777">
      <w:pPr>
        <w:tabs>
          <w:tab w:val="left" w:pos="-1440"/>
        </w:tabs>
        <w:ind w:left="720" w:hanging="720"/>
      </w:pPr>
    </w:p>
    <w:p w:rsidRPr="00CF3FDA" w:rsidR="00B6021D" w:rsidP="00640257" w:rsidRDefault="000A1C43" w14:paraId="61EBE240" w14:textId="7ACCF566">
      <w:pPr>
        <w:tabs>
          <w:tab w:val="left" w:pos="-1440"/>
        </w:tabs>
        <w:ind w:left="720"/>
      </w:pPr>
      <w:r>
        <w:t xml:space="preserve">NHTSA publishes its decision to either grant or deny petitions for exemption in the Federal Register and </w:t>
      </w:r>
      <w:r w:rsidR="00047869">
        <w:t>periodically</w:t>
      </w:r>
      <w:r w:rsidR="00695171">
        <w:t xml:space="preserve"> issues final rules to update a </w:t>
      </w:r>
      <w:r>
        <w:t xml:space="preserve">table </w:t>
      </w:r>
      <w:r w:rsidR="007A4164">
        <w:t>of exempted vehicle line</w:t>
      </w:r>
      <w:r w:rsidR="00047869">
        <w:t xml:space="preserve">s </w:t>
      </w:r>
      <w:r>
        <w:t xml:space="preserve">in </w:t>
      </w:r>
      <w:r w:rsidR="00047869">
        <w:t>Appendix</w:t>
      </w:r>
      <w:r w:rsidR="00C35AE3">
        <w:t xml:space="preserve"> A</w:t>
      </w:r>
      <w:r w:rsidR="00695171">
        <w:t>-I of Part 541</w:t>
      </w:r>
      <w:r w:rsidR="00047869">
        <w:t xml:space="preserve">. </w:t>
      </w:r>
    </w:p>
    <w:p w:rsidRPr="00CF3FDA" w:rsidR="00B6021D" w:rsidRDefault="00B6021D" w14:paraId="31539E59" w14:textId="77777777">
      <w:pPr>
        <w:tabs>
          <w:tab w:val="left" w:pos="-1440"/>
        </w:tabs>
        <w:rPr>
          <w:u w:val="single"/>
        </w:rPr>
      </w:pPr>
    </w:p>
    <w:p w:rsidRPr="00CF3FDA" w:rsidR="00B6021D" w:rsidRDefault="00B6021D" w14:paraId="6FEE81CA" w14:textId="77777777">
      <w:pPr>
        <w:tabs>
          <w:tab w:val="left" w:pos="-1440"/>
        </w:tabs>
        <w:ind w:left="720" w:hanging="720"/>
      </w:pPr>
      <w:r w:rsidRPr="00CF3FDA">
        <w:t>17.</w:t>
      </w:r>
      <w:r w:rsidRPr="00CF3FDA">
        <w:tab/>
      </w:r>
      <w:r w:rsidRPr="00CF3FDA">
        <w:rPr>
          <w:u w:val="single"/>
        </w:rPr>
        <w:t>If seeking approval to not display the expiration date for OMB approval of the information collection, explain the reasons that display would be inappropriate.</w:t>
      </w:r>
    </w:p>
    <w:p w:rsidRPr="00CF3FDA" w:rsidR="00B6021D" w:rsidRDefault="00B6021D" w14:paraId="2BF60AD6" w14:textId="77777777">
      <w:pPr>
        <w:tabs>
          <w:tab w:val="left" w:pos="-1440"/>
        </w:tabs>
      </w:pPr>
    </w:p>
    <w:p w:rsidRPr="00CF3FDA" w:rsidR="00B6021D" w:rsidRDefault="00B6021D" w14:paraId="190A6F50" w14:textId="472FB19B">
      <w:pPr>
        <w:tabs>
          <w:tab w:val="left" w:pos="-1440"/>
        </w:tabs>
        <w:ind w:left="720"/>
      </w:pPr>
      <w:r w:rsidRPr="00CF3FDA">
        <w:t>Approval is sought to not display the expiration date for OMB approval</w:t>
      </w:r>
      <w:r w:rsidR="009A4E2F">
        <w:t xml:space="preserve"> because the information collection is contained in a Federal regulation and displaying the </w:t>
      </w:r>
      <w:r w:rsidR="00A95BB1">
        <w:t xml:space="preserve">expiration date </w:t>
      </w:r>
      <w:r w:rsidR="009A4E2F">
        <w:t>would require rulemaking.</w:t>
      </w:r>
    </w:p>
    <w:p w:rsidRPr="00CF3FDA" w:rsidR="00F4079A" w:rsidP="00967200" w:rsidRDefault="00F4079A" w14:paraId="405D130C" w14:textId="77777777">
      <w:pPr>
        <w:tabs>
          <w:tab w:val="left" w:pos="-1440"/>
        </w:tabs>
      </w:pPr>
    </w:p>
    <w:p w:rsidR="00B6021D" w:rsidP="00606AF3" w:rsidRDefault="00B6021D" w14:paraId="0B5ED599" w14:textId="0A6F3C72">
      <w:pPr>
        <w:tabs>
          <w:tab w:val="left" w:pos="-1440"/>
        </w:tabs>
        <w:ind w:left="720" w:hanging="720"/>
        <w:rPr>
          <w:u w:val="single"/>
        </w:rPr>
      </w:pPr>
      <w:r w:rsidRPr="00CF3FDA">
        <w:t>18.</w:t>
      </w:r>
      <w:r w:rsidRPr="00CF3FDA">
        <w:tab/>
      </w:r>
      <w:r w:rsidRPr="00CF3FDA">
        <w:rPr>
          <w:u w:val="single"/>
        </w:rPr>
        <w:t>Explain</w:t>
      </w:r>
      <w:r w:rsidRPr="00606AF3" w:rsidR="00606AF3">
        <w:rPr>
          <w:u w:val="single"/>
        </w:rPr>
        <w:t xml:space="preserve"> each exception to the topics of the certification statement identified in "Certification for Paperwork Reduction Act Submissions." The required certifications can be found at 5 CFR 1320.9. </w:t>
      </w:r>
    </w:p>
    <w:p w:rsidRPr="00CF3FDA" w:rsidR="000416D4" w:rsidP="00606AF3" w:rsidRDefault="000416D4" w14:paraId="686E896C" w14:textId="77777777">
      <w:pPr>
        <w:tabs>
          <w:tab w:val="left" w:pos="-1440"/>
        </w:tabs>
        <w:ind w:left="720" w:hanging="720"/>
      </w:pPr>
    </w:p>
    <w:p w:rsidRPr="00CF3FDA" w:rsidR="00B6021D" w:rsidRDefault="00B6021D" w14:paraId="5034F744" w14:textId="77777777">
      <w:pPr>
        <w:tabs>
          <w:tab w:val="left" w:pos="-1440"/>
        </w:tabs>
        <w:ind w:firstLine="720"/>
      </w:pPr>
      <w:r w:rsidRPr="00CF3FDA">
        <w:t>No exceptions to the certification statement are made.</w:t>
      </w:r>
    </w:p>
    <w:p w:rsidRPr="00CF3FDA" w:rsidR="00B6021D" w:rsidRDefault="00B6021D" w14:paraId="1AFEDDBF" w14:textId="77777777">
      <w:pPr>
        <w:tabs>
          <w:tab w:val="left" w:pos="-1440"/>
        </w:tabs>
        <w:ind w:firstLine="720"/>
      </w:pPr>
    </w:p>
    <w:p w:rsidR="00B6021D" w:rsidP="0026579B" w:rsidRDefault="00B6021D" w14:paraId="6655E0CE" w14:textId="35B9DC86">
      <w:pPr>
        <w:tabs>
          <w:tab w:val="left" w:pos="-1440"/>
        </w:tabs>
        <w:ind w:firstLine="720"/>
      </w:pPr>
    </w:p>
    <w:sectPr w:rsidR="00B6021D" w:rsidSect="000416D4">
      <w:headerReference w:type="even" r:id="rId8"/>
      <w:headerReference w:type="default" r:id="rId9"/>
      <w:endnotePr>
        <w:numFmt w:val="decimal"/>
      </w:endnotePr>
      <w:type w:val="continuous"/>
      <w:pgSz w:w="12240" w:h="15840"/>
      <w:pgMar w:top="1440" w:right="1440" w:bottom="1440" w:left="1440" w:header="1440" w:footer="144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D85FE6" w14:textId="77777777" w:rsidR="00C0188A" w:rsidRDefault="00C0188A">
      <w:r>
        <w:separator/>
      </w:r>
    </w:p>
  </w:endnote>
  <w:endnote w:type="continuationSeparator" w:id="0">
    <w:p w14:paraId="764BF659" w14:textId="77777777" w:rsidR="00C0188A" w:rsidRDefault="00C01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YNN">
    <w:altName w:val="Arial Narrow"/>
    <w:charset w:val="00"/>
    <w:family w:val="auto"/>
    <w:pitch w:val="variable"/>
    <w:sig w:usb0="80000027"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3454CE" w14:textId="77777777" w:rsidR="00C0188A" w:rsidRDefault="00C0188A">
      <w:r>
        <w:separator/>
      </w:r>
    </w:p>
  </w:footnote>
  <w:footnote w:type="continuationSeparator" w:id="0">
    <w:p w14:paraId="1F8140E5" w14:textId="77777777" w:rsidR="00C0188A" w:rsidRDefault="00C0188A">
      <w:r>
        <w:continuationSeparator/>
      </w:r>
    </w:p>
  </w:footnote>
  <w:footnote w:id="1">
    <w:p w14:paraId="269D8825" w14:textId="139EEDAB" w:rsidR="002B1952" w:rsidRDefault="002B1952">
      <w:pPr>
        <w:pStyle w:val="FootnoteText"/>
      </w:pPr>
      <w:r w:rsidRPr="00B809B6">
        <w:rPr>
          <w:rStyle w:val="FootnoteReference"/>
          <w:vertAlign w:val="superscript"/>
        </w:rPr>
        <w:footnoteRef/>
      </w:r>
      <w:r w:rsidRPr="00B809B6">
        <w:rPr>
          <w:vertAlign w:val="superscript"/>
        </w:rPr>
        <w:t xml:space="preserve"> </w:t>
      </w:r>
      <w:r w:rsidRPr="00587228">
        <w:t xml:space="preserve">  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(7) the purpose of the collection; and (8) if a revision, a description of the revision and the change in burden.</w:t>
      </w:r>
    </w:p>
  </w:footnote>
  <w:footnote w:id="2">
    <w:p w14:paraId="42521B09" w14:textId="77777777" w:rsidR="002B1952" w:rsidRPr="003B568C" w:rsidRDefault="002B1952" w:rsidP="00573C39">
      <w:pPr>
        <w:pStyle w:val="FootnoteText"/>
      </w:pPr>
      <w:r w:rsidRPr="009C6AF4">
        <w:rPr>
          <w:rStyle w:val="FootnoteReference"/>
          <w:vertAlign w:val="superscript"/>
        </w:rPr>
        <w:footnoteRef/>
      </w:r>
      <w:r>
        <w:t xml:space="preserve"> See Table 1 </w:t>
      </w:r>
      <w:r w:rsidRPr="009C6AF4">
        <w:t xml:space="preserve">at </w:t>
      </w:r>
      <w:hyperlink r:id="rId1" w:history="1">
        <w:r w:rsidRPr="009C6AF4">
          <w:rPr>
            <w:rStyle w:val="Hyperlink"/>
            <w:color w:val="auto"/>
          </w:rPr>
          <w:t>https://www.bls.gov/news.release/ecec.t01.htm</w:t>
        </w:r>
      </w:hyperlink>
      <w:r w:rsidRPr="009C6AF4">
        <w:rPr>
          <w:rStyle w:val="Hyperlink"/>
          <w:color w:val="auto"/>
        </w:rPr>
        <w:t xml:space="preserve">. </w:t>
      </w:r>
      <w:r>
        <w:rPr>
          <w:rStyle w:val="Hyperlink"/>
        </w:rPr>
        <w:t xml:space="preserve">   </w:t>
      </w:r>
      <w:r>
        <w:t xml:space="preserve"> </w:t>
      </w:r>
      <w:r w:rsidRPr="003B568C">
        <w:t xml:space="preserve">  </w:t>
      </w:r>
    </w:p>
  </w:footnote>
  <w:footnote w:id="3">
    <w:p w14:paraId="62E407A7" w14:textId="49BC83C5" w:rsidR="002B1952" w:rsidRDefault="002B1952" w:rsidP="00573C39">
      <w:pPr>
        <w:pStyle w:val="FootnoteText"/>
      </w:pPr>
      <w:r w:rsidRPr="009C6AF4">
        <w:rPr>
          <w:rStyle w:val="FootnoteReference"/>
          <w:vertAlign w:val="superscript"/>
        </w:rPr>
        <w:footnoteRef/>
      </w:r>
      <w:r w:rsidRPr="009C6AF4">
        <w:rPr>
          <w:vertAlign w:val="superscript"/>
        </w:rPr>
        <w:t xml:space="preserve"> </w:t>
      </w:r>
      <w:r>
        <w:t>May 2018 National Occupational Employment and Wage Estimates, United States</w:t>
      </w:r>
      <w:r w:rsidRPr="00CB51E2">
        <w:rPr>
          <w:color w:val="0000FF"/>
        </w:rPr>
        <w:t>.</w:t>
      </w:r>
      <w:r>
        <w:rPr>
          <w:color w:val="0000FF"/>
        </w:rPr>
        <w:t xml:space="preserve"> </w:t>
      </w:r>
      <w:r>
        <w:rPr>
          <w:i/>
        </w:rPr>
        <w:t>Business and Financial Operations Occupations, Compliance Officers, Occupation Code 13-1041</w:t>
      </w:r>
      <w:r>
        <w:t xml:space="preserve">; Mean Hourly Wage = $34.86. </w:t>
      </w:r>
      <w:r w:rsidRPr="00DE0ABB">
        <w:t>https://www.bls.gov/oes/current/oes_nat.htm</w:t>
      </w:r>
      <w:r>
        <w:t xml:space="preserve">. Accessed Mar. 9, 2020. The total labor cost per hour is calculated by dividing the hourly wage ($34.86) by .701 </w:t>
      </w:r>
    </w:p>
  </w:footnote>
  <w:footnote w:id="4">
    <w:p w14:paraId="61067446" w14:textId="77777777" w:rsidR="002B1952" w:rsidRDefault="002B1952" w:rsidP="00DE0ABB">
      <w:pPr>
        <w:pStyle w:val="FootnoteText"/>
      </w:pPr>
      <w:r w:rsidRPr="009C6AF4">
        <w:rPr>
          <w:rStyle w:val="FootnoteReference"/>
          <w:vertAlign w:val="superscript"/>
        </w:rPr>
        <w:footnoteRef/>
      </w:r>
      <w:r>
        <w:t xml:space="preserve"> May 2018 National Occupational Employment and Wage Estimates, United States</w:t>
      </w:r>
      <w:r w:rsidRPr="00CB51E2">
        <w:rPr>
          <w:color w:val="0000FF"/>
        </w:rPr>
        <w:t>.</w:t>
      </w:r>
      <w:r>
        <w:rPr>
          <w:color w:val="0000FF"/>
        </w:rPr>
        <w:t xml:space="preserve"> </w:t>
      </w:r>
      <w:r>
        <w:rPr>
          <w:i/>
        </w:rPr>
        <w:t>Business and Financial Operations Occupations, Compliance Officers, Occupation Code 13-1041</w:t>
      </w:r>
      <w:r>
        <w:t>; Mean Hourly Wage = $34.86.</w:t>
      </w:r>
      <w:r w:rsidRPr="00CB51E2">
        <w:rPr>
          <w:color w:val="0000FF"/>
        </w:rPr>
        <w:t xml:space="preserve"> </w:t>
      </w:r>
      <w:r w:rsidRPr="00DE0ABB">
        <w:t>https://www.bls.gov/oes/current/oes_nat.htm</w:t>
      </w:r>
      <w:r>
        <w:t>. Accessed Mar. 9,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BF048" w14:textId="77777777" w:rsidR="002B1952" w:rsidRDefault="002B19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C5DBAAC" w14:textId="77777777" w:rsidR="002B1952" w:rsidRDefault="002B19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4C740C" w14:textId="707FC455" w:rsidR="002B1952" w:rsidRDefault="002B1952">
    <w:pPr>
      <w:pStyle w:val="Header"/>
      <w:jc w:val="right"/>
    </w:pPr>
    <w:r>
      <w:fldChar w:fldCharType="begin"/>
    </w:r>
    <w:r>
      <w:instrText xml:space="preserve"> PAGE   \* MERGEFORMAT </w:instrText>
    </w:r>
    <w:r>
      <w:fldChar w:fldCharType="separate"/>
    </w:r>
    <w:r w:rsidR="00A30564">
      <w:rPr>
        <w:noProof/>
      </w:rPr>
      <w:t>9</w:t>
    </w:r>
    <w:r>
      <w:rPr>
        <w:noProof/>
      </w:rPr>
      <w:fldChar w:fldCharType="end"/>
    </w:r>
  </w:p>
  <w:p w14:paraId="260CB31F" w14:textId="77777777" w:rsidR="002B1952" w:rsidRDefault="002B1952">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pPr>
        <w:tabs>
          <w:tab w:val="num" w:pos="720"/>
        </w:tabs>
        <w:ind w:left="720" w:hanging="720"/>
      </w:pPr>
      <w:rPr>
        <w:rFonts w:ascii="LYNN" w:hAnsi="LYN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191C6CD0"/>
    <w:multiLevelType w:val="hybridMultilevel"/>
    <w:tmpl w:val="065C5E8C"/>
    <w:lvl w:ilvl="0" w:tplc="A47E157E">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7E"/>
    <w:rsid w:val="000021FA"/>
    <w:rsid w:val="0001252A"/>
    <w:rsid w:val="000416D4"/>
    <w:rsid w:val="00042B24"/>
    <w:rsid w:val="00047869"/>
    <w:rsid w:val="000548E0"/>
    <w:rsid w:val="0005541E"/>
    <w:rsid w:val="000602EF"/>
    <w:rsid w:val="0006578F"/>
    <w:rsid w:val="00073034"/>
    <w:rsid w:val="00077759"/>
    <w:rsid w:val="0009358A"/>
    <w:rsid w:val="00094139"/>
    <w:rsid w:val="000A1199"/>
    <w:rsid w:val="000A1C43"/>
    <w:rsid w:val="000B2EF4"/>
    <w:rsid w:val="000B7643"/>
    <w:rsid w:val="000D6CB8"/>
    <w:rsid w:val="000E1091"/>
    <w:rsid w:val="000F722C"/>
    <w:rsid w:val="000F7BCD"/>
    <w:rsid w:val="00106545"/>
    <w:rsid w:val="0011119F"/>
    <w:rsid w:val="001142A2"/>
    <w:rsid w:val="0012196B"/>
    <w:rsid w:val="00132C37"/>
    <w:rsid w:val="0015191F"/>
    <w:rsid w:val="00161299"/>
    <w:rsid w:val="00161C9C"/>
    <w:rsid w:val="0017017E"/>
    <w:rsid w:val="00194E1E"/>
    <w:rsid w:val="001963A2"/>
    <w:rsid w:val="001A084E"/>
    <w:rsid w:val="001A6C74"/>
    <w:rsid w:val="001B3CC1"/>
    <w:rsid w:val="001C6F66"/>
    <w:rsid w:val="001D0B51"/>
    <w:rsid w:val="001F0B57"/>
    <w:rsid w:val="001F2D2F"/>
    <w:rsid w:val="001F5752"/>
    <w:rsid w:val="00200B9A"/>
    <w:rsid w:val="002020DA"/>
    <w:rsid w:val="00202B2E"/>
    <w:rsid w:val="00211C24"/>
    <w:rsid w:val="002172E5"/>
    <w:rsid w:val="00223818"/>
    <w:rsid w:val="00224165"/>
    <w:rsid w:val="00231BA4"/>
    <w:rsid w:val="002364E7"/>
    <w:rsid w:val="002371A6"/>
    <w:rsid w:val="00237D23"/>
    <w:rsid w:val="002429AC"/>
    <w:rsid w:val="00247BB9"/>
    <w:rsid w:val="0025703E"/>
    <w:rsid w:val="0026579B"/>
    <w:rsid w:val="002706DD"/>
    <w:rsid w:val="00274E07"/>
    <w:rsid w:val="002831DE"/>
    <w:rsid w:val="00284FB6"/>
    <w:rsid w:val="002856DD"/>
    <w:rsid w:val="002937CD"/>
    <w:rsid w:val="0029755C"/>
    <w:rsid w:val="002B0430"/>
    <w:rsid w:val="002B1952"/>
    <w:rsid w:val="002B26CC"/>
    <w:rsid w:val="002B4447"/>
    <w:rsid w:val="002C0473"/>
    <w:rsid w:val="002C1CEF"/>
    <w:rsid w:val="002C58AF"/>
    <w:rsid w:val="002C708F"/>
    <w:rsid w:val="002E4437"/>
    <w:rsid w:val="002E74CC"/>
    <w:rsid w:val="003140CA"/>
    <w:rsid w:val="00321181"/>
    <w:rsid w:val="00331076"/>
    <w:rsid w:val="00340B84"/>
    <w:rsid w:val="00345FE8"/>
    <w:rsid w:val="003549DC"/>
    <w:rsid w:val="003569F9"/>
    <w:rsid w:val="00361CA1"/>
    <w:rsid w:val="00363F5D"/>
    <w:rsid w:val="00375948"/>
    <w:rsid w:val="00375CBA"/>
    <w:rsid w:val="00381AA8"/>
    <w:rsid w:val="00390EF1"/>
    <w:rsid w:val="00397797"/>
    <w:rsid w:val="00397EC0"/>
    <w:rsid w:val="003A0041"/>
    <w:rsid w:val="003A044D"/>
    <w:rsid w:val="003A2570"/>
    <w:rsid w:val="003A5BD7"/>
    <w:rsid w:val="003A6307"/>
    <w:rsid w:val="003B336E"/>
    <w:rsid w:val="003B43E6"/>
    <w:rsid w:val="003B567B"/>
    <w:rsid w:val="003C4A4F"/>
    <w:rsid w:val="003C68AB"/>
    <w:rsid w:val="003D57C6"/>
    <w:rsid w:val="003E40DE"/>
    <w:rsid w:val="003F7974"/>
    <w:rsid w:val="003F79B3"/>
    <w:rsid w:val="0040202F"/>
    <w:rsid w:val="0040265C"/>
    <w:rsid w:val="004061F7"/>
    <w:rsid w:val="004254C0"/>
    <w:rsid w:val="00431F66"/>
    <w:rsid w:val="00461E25"/>
    <w:rsid w:val="00463FEC"/>
    <w:rsid w:val="00487C60"/>
    <w:rsid w:val="004A43E2"/>
    <w:rsid w:val="004A52B3"/>
    <w:rsid w:val="004B182F"/>
    <w:rsid w:val="004B7472"/>
    <w:rsid w:val="004C5474"/>
    <w:rsid w:val="004C67EA"/>
    <w:rsid w:val="004E3EC4"/>
    <w:rsid w:val="004E5BD6"/>
    <w:rsid w:val="004E5D98"/>
    <w:rsid w:val="004E63B5"/>
    <w:rsid w:val="004E7955"/>
    <w:rsid w:val="004F0289"/>
    <w:rsid w:val="004F3202"/>
    <w:rsid w:val="004F3492"/>
    <w:rsid w:val="004F64CA"/>
    <w:rsid w:val="004F7E24"/>
    <w:rsid w:val="005048BA"/>
    <w:rsid w:val="00513F74"/>
    <w:rsid w:val="005144F2"/>
    <w:rsid w:val="00517DD1"/>
    <w:rsid w:val="005248F6"/>
    <w:rsid w:val="00533308"/>
    <w:rsid w:val="00535F7B"/>
    <w:rsid w:val="005439C3"/>
    <w:rsid w:val="00545D76"/>
    <w:rsid w:val="00553076"/>
    <w:rsid w:val="005545C5"/>
    <w:rsid w:val="00557445"/>
    <w:rsid w:val="00573C39"/>
    <w:rsid w:val="00577D1D"/>
    <w:rsid w:val="005802F6"/>
    <w:rsid w:val="00587228"/>
    <w:rsid w:val="00592A8E"/>
    <w:rsid w:val="00593E75"/>
    <w:rsid w:val="005A418B"/>
    <w:rsid w:val="005A63C2"/>
    <w:rsid w:val="005B468B"/>
    <w:rsid w:val="005D1DE8"/>
    <w:rsid w:val="005D38E1"/>
    <w:rsid w:val="005D5134"/>
    <w:rsid w:val="005D6095"/>
    <w:rsid w:val="005E337E"/>
    <w:rsid w:val="005F4AF2"/>
    <w:rsid w:val="00600E7F"/>
    <w:rsid w:val="006039BD"/>
    <w:rsid w:val="00606AF3"/>
    <w:rsid w:val="006101BE"/>
    <w:rsid w:val="006124D0"/>
    <w:rsid w:val="00616EF2"/>
    <w:rsid w:val="0062143E"/>
    <w:rsid w:val="00640257"/>
    <w:rsid w:val="00642212"/>
    <w:rsid w:val="00651070"/>
    <w:rsid w:val="006530CA"/>
    <w:rsid w:val="00655B61"/>
    <w:rsid w:val="00656D0D"/>
    <w:rsid w:val="00667967"/>
    <w:rsid w:val="00670346"/>
    <w:rsid w:val="006724A2"/>
    <w:rsid w:val="00674818"/>
    <w:rsid w:val="00674882"/>
    <w:rsid w:val="00676AFC"/>
    <w:rsid w:val="00680721"/>
    <w:rsid w:val="00681659"/>
    <w:rsid w:val="0068528E"/>
    <w:rsid w:val="00686E06"/>
    <w:rsid w:val="00695171"/>
    <w:rsid w:val="00695D05"/>
    <w:rsid w:val="00696BD5"/>
    <w:rsid w:val="006972BD"/>
    <w:rsid w:val="006A14FB"/>
    <w:rsid w:val="006A1EDE"/>
    <w:rsid w:val="006B390F"/>
    <w:rsid w:val="006D084C"/>
    <w:rsid w:val="006D1317"/>
    <w:rsid w:val="006D362C"/>
    <w:rsid w:val="006D457D"/>
    <w:rsid w:val="006D7D81"/>
    <w:rsid w:val="006F1DE8"/>
    <w:rsid w:val="00700DCB"/>
    <w:rsid w:val="0070251F"/>
    <w:rsid w:val="00720904"/>
    <w:rsid w:val="007228A5"/>
    <w:rsid w:val="00736C58"/>
    <w:rsid w:val="00744D68"/>
    <w:rsid w:val="0075340F"/>
    <w:rsid w:val="00757890"/>
    <w:rsid w:val="00767143"/>
    <w:rsid w:val="0077373E"/>
    <w:rsid w:val="00776A1D"/>
    <w:rsid w:val="0078108E"/>
    <w:rsid w:val="00784557"/>
    <w:rsid w:val="00786AD2"/>
    <w:rsid w:val="00786B5C"/>
    <w:rsid w:val="007A4164"/>
    <w:rsid w:val="007A511C"/>
    <w:rsid w:val="007B1494"/>
    <w:rsid w:val="007B2114"/>
    <w:rsid w:val="007B39A3"/>
    <w:rsid w:val="007B51F0"/>
    <w:rsid w:val="007D4801"/>
    <w:rsid w:val="007F42D3"/>
    <w:rsid w:val="007F4552"/>
    <w:rsid w:val="008072CC"/>
    <w:rsid w:val="00811CB8"/>
    <w:rsid w:val="00815902"/>
    <w:rsid w:val="00832F4F"/>
    <w:rsid w:val="00850D97"/>
    <w:rsid w:val="00871186"/>
    <w:rsid w:val="00876814"/>
    <w:rsid w:val="00883991"/>
    <w:rsid w:val="00895021"/>
    <w:rsid w:val="008A51EF"/>
    <w:rsid w:val="008A5D8B"/>
    <w:rsid w:val="008C0FBB"/>
    <w:rsid w:val="008C136C"/>
    <w:rsid w:val="008D3E0C"/>
    <w:rsid w:val="008D477C"/>
    <w:rsid w:val="008E1D0D"/>
    <w:rsid w:val="008E70D3"/>
    <w:rsid w:val="008F7E2B"/>
    <w:rsid w:val="00901484"/>
    <w:rsid w:val="00915131"/>
    <w:rsid w:val="00933003"/>
    <w:rsid w:val="00934181"/>
    <w:rsid w:val="0093752E"/>
    <w:rsid w:val="009466A2"/>
    <w:rsid w:val="00951963"/>
    <w:rsid w:val="00955800"/>
    <w:rsid w:val="00967200"/>
    <w:rsid w:val="00975748"/>
    <w:rsid w:val="00980AA3"/>
    <w:rsid w:val="00981615"/>
    <w:rsid w:val="0098464F"/>
    <w:rsid w:val="00985229"/>
    <w:rsid w:val="00991C82"/>
    <w:rsid w:val="00991CF3"/>
    <w:rsid w:val="009A0AC6"/>
    <w:rsid w:val="009A1581"/>
    <w:rsid w:val="009A1617"/>
    <w:rsid w:val="009A4E2F"/>
    <w:rsid w:val="009A62B5"/>
    <w:rsid w:val="009B3AFC"/>
    <w:rsid w:val="009C6AF4"/>
    <w:rsid w:val="009D16FB"/>
    <w:rsid w:val="009D3858"/>
    <w:rsid w:val="009E00B1"/>
    <w:rsid w:val="009E16D5"/>
    <w:rsid w:val="009F08FD"/>
    <w:rsid w:val="00A0200F"/>
    <w:rsid w:val="00A04322"/>
    <w:rsid w:val="00A1501E"/>
    <w:rsid w:val="00A20AA0"/>
    <w:rsid w:val="00A22655"/>
    <w:rsid w:val="00A25EEB"/>
    <w:rsid w:val="00A30564"/>
    <w:rsid w:val="00A31425"/>
    <w:rsid w:val="00A320BC"/>
    <w:rsid w:val="00A34810"/>
    <w:rsid w:val="00A4144E"/>
    <w:rsid w:val="00A426F4"/>
    <w:rsid w:val="00A51A11"/>
    <w:rsid w:val="00A532B4"/>
    <w:rsid w:val="00A62C86"/>
    <w:rsid w:val="00A65AC6"/>
    <w:rsid w:val="00A76DFA"/>
    <w:rsid w:val="00A777C3"/>
    <w:rsid w:val="00A95BB1"/>
    <w:rsid w:val="00A966F0"/>
    <w:rsid w:val="00AA0BDD"/>
    <w:rsid w:val="00AB1594"/>
    <w:rsid w:val="00AB1D4A"/>
    <w:rsid w:val="00AB4683"/>
    <w:rsid w:val="00AB5609"/>
    <w:rsid w:val="00AC3359"/>
    <w:rsid w:val="00AC67EB"/>
    <w:rsid w:val="00AD2F54"/>
    <w:rsid w:val="00AE3E1D"/>
    <w:rsid w:val="00AF2A71"/>
    <w:rsid w:val="00B16550"/>
    <w:rsid w:val="00B17CCD"/>
    <w:rsid w:val="00B21DF9"/>
    <w:rsid w:val="00B265DE"/>
    <w:rsid w:val="00B406CB"/>
    <w:rsid w:val="00B44E3B"/>
    <w:rsid w:val="00B50965"/>
    <w:rsid w:val="00B53C3A"/>
    <w:rsid w:val="00B554F0"/>
    <w:rsid w:val="00B6021D"/>
    <w:rsid w:val="00B66344"/>
    <w:rsid w:val="00B809B6"/>
    <w:rsid w:val="00B83A1B"/>
    <w:rsid w:val="00B96A70"/>
    <w:rsid w:val="00BA0AAE"/>
    <w:rsid w:val="00BA1629"/>
    <w:rsid w:val="00BA1EF7"/>
    <w:rsid w:val="00BA5E46"/>
    <w:rsid w:val="00BA6DAC"/>
    <w:rsid w:val="00BB27B2"/>
    <w:rsid w:val="00BC5B90"/>
    <w:rsid w:val="00BD1926"/>
    <w:rsid w:val="00BE0530"/>
    <w:rsid w:val="00BE19B5"/>
    <w:rsid w:val="00BF1F08"/>
    <w:rsid w:val="00BF2F80"/>
    <w:rsid w:val="00BF52A0"/>
    <w:rsid w:val="00BF70C1"/>
    <w:rsid w:val="00C0188A"/>
    <w:rsid w:val="00C11AFA"/>
    <w:rsid w:val="00C1217D"/>
    <w:rsid w:val="00C16640"/>
    <w:rsid w:val="00C172CA"/>
    <w:rsid w:val="00C301C1"/>
    <w:rsid w:val="00C30DB6"/>
    <w:rsid w:val="00C35AE3"/>
    <w:rsid w:val="00C41E5E"/>
    <w:rsid w:val="00C46CDB"/>
    <w:rsid w:val="00C475AF"/>
    <w:rsid w:val="00C5318B"/>
    <w:rsid w:val="00C54DD6"/>
    <w:rsid w:val="00C55297"/>
    <w:rsid w:val="00C61F34"/>
    <w:rsid w:val="00C64986"/>
    <w:rsid w:val="00C6542B"/>
    <w:rsid w:val="00C65FA1"/>
    <w:rsid w:val="00C6706B"/>
    <w:rsid w:val="00C92485"/>
    <w:rsid w:val="00C9258E"/>
    <w:rsid w:val="00C9362E"/>
    <w:rsid w:val="00CA4A2C"/>
    <w:rsid w:val="00CA5EE8"/>
    <w:rsid w:val="00CC049C"/>
    <w:rsid w:val="00CC1099"/>
    <w:rsid w:val="00CC1AE6"/>
    <w:rsid w:val="00CC716C"/>
    <w:rsid w:val="00CD56A4"/>
    <w:rsid w:val="00CF3DDE"/>
    <w:rsid w:val="00CF3FDA"/>
    <w:rsid w:val="00CF4295"/>
    <w:rsid w:val="00CF5828"/>
    <w:rsid w:val="00D05666"/>
    <w:rsid w:val="00D079F9"/>
    <w:rsid w:val="00D10B36"/>
    <w:rsid w:val="00D11F12"/>
    <w:rsid w:val="00D13122"/>
    <w:rsid w:val="00D21E29"/>
    <w:rsid w:val="00D22BCD"/>
    <w:rsid w:val="00D34BCD"/>
    <w:rsid w:val="00D41BD9"/>
    <w:rsid w:val="00D456CB"/>
    <w:rsid w:val="00D671D9"/>
    <w:rsid w:val="00D67EC2"/>
    <w:rsid w:val="00D75090"/>
    <w:rsid w:val="00D7633F"/>
    <w:rsid w:val="00D91235"/>
    <w:rsid w:val="00D935B0"/>
    <w:rsid w:val="00DB3F5B"/>
    <w:rsid w:val="00DD45DF"/>
    <w:rsid w:val="00DD5F8B"/>
    <w:rsid w:val="00DE0ABB"/>
    <w:rsid w:val="00DE141A"/>
    <w:rsid w:val="00DE1831"/>
    <w:rsid w:val="00DF0F60"/>
    <w:rsid w:val="00DF16A4"/>
    <w:rsid w:val="00DF603B"/>
    <w:rsid w:val="00DF60F3"/>
    <w:rsid w:val="00E01454"/>
    <w:rsid w:val="00E0147F"/>
    <w:rsid w:val="00E03997"/>
    <w:rsid w:val="00E061A8"/>
    <w:rsid w:val="00E07124"/>
    <w:rsid w:val="00E12C05"/>
    <w:rsid w:val="00E1480C"/>
    <w:rsid w:val="00E153B9"/>
    <w:rsid w:val="00E15F31"/>
    <w:rsid w:val="00E24E50"/>
    <w:rsid w:val="00E31CF1"/>
    <w:rsid w:val="00E3489F"/>
    <w:rsid w:val="00E649EC"/>
    <w:rsid w:val="00E770C6"/>
    <w:rsid w:val="00E82F7D"/>
    <w:rsid w:val="00E855F4"/>
    <w:rsid w:val="00E86809"/>
    <w:rsid w:val="00EA3CF6"/>
    <w:rsid w:val="00EB103E"/>
    <w:rsid w:val="00EB461D"/>
    <w:rsid w:val="00EC6289"/>
    <w:rsid w:val="00ED79F9"/>
    <w:rsid w:val="00EE5A4A"/>
    <w:rsid w:val="00F02442"/>
    <w:rsid w:val="00F0315E"/>
    <w:rsid w:val="00F06C81"/>
    <w:rsid w:val="00F22258"/>
    <w:rsid w:val="00F25C81"/>
    <w:rsid w:val="00F3652D"/>
    <w:rsid w:val="00F4079A"/>
    <w:rsid w:val="00F40C47"/>
    <w:rsid w:val="00F41E6A"/>
    <w:rsid w:val="00F52618"/>
    <w:rsid w:val="00F52B70"/>
    <w:rsid w:val="00F559CF"/>
    <w:rsid w:val="00F67554"/>
    <w:rsid w:val="00F70940"/>
    <w:rsid w:val="00F73B0E"/>
    <w:rsid w:val="00F74D1E"/>
    <w:rsid w:val="00F8004E"/>
    <w:rsid w:val="00F85800"/>
    <w:rsid w:val="00F95CD9"/>
    <w:rsid w:val="00FB0479"/>
    <w:rsid w:val="00FB199B"/>
    <w:rsid w:val="00FD4F09"/>
    <w:rsid w:val="00FE0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8CDC"/>
  <w15:chartTrackingRefBased/>
  <w15:docId w15:val="{D739D745-28E2-4C64-9672-FABB6792E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2B2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02B2E"/>
  </w:style>
  <w:style w:type="paragraph" w:customStyle="1" w:styleId="Level1">
    <w:name w:val="Level 1"/>
    <w:basedOn w:val="Normal"/>
    <w:rsid w:val="00202B2E"/>
    <w:pPr>
      <w:numPr>
        <w:numId w:val="2"/>
      </w:numPr>
      <w:ind w:left="720" w:hanging="720"/>
      <w:outlineLvl w:val="0"/>
    </w:pPr>
  </w:style>
  <w:style w:type="paragraph" w:styleId="Header">
    <w:name w:val="header"/>
    <w:basedOn w:val="Normal"/>
    <w:link w:val="HeaderChar"/>
    <w:uiPriority w:val="99"/>
    <w:rsid w:val="00202B2E"/>
    <w:pPr>
      <w:tabs>
        <w:tab w:val="center" w:pos="4320"/>
        <w:tab w:val="right" w:pos="8640"/>
      </w:tabs>
    </w:pPr>
  </w:style>
  <w:style w:type="character" w:styleId="PageNumber">
    <w:name w:val="page number"/>
    <w:basedOn w:val="DefaultParagraphFont"/>
    <w:rsid w:val="00202B2E"/>
  </w:style>
  <w:style w:type="paragraph" w:styleId="BalloonText">
    <w:name w:val="Balloon Text"/>
    <w:basedOn w:val="Normal"/>
    <w:semiHidden/>
    <w:rsid w:val="00F4079A"/>
    <w:rPr>
      <w:rFonts w:ascii="Tahoma" w:hAnsi="Tahoma" w:cs="Tahoma"/>
      <w:sz w:val="16"/>
      <w:szCs w:val="16"/>
    </w:rPr>
  </w:style>
  <w:style w:type="character" w:styleId="CommentReference">
    <w:name w:val="annotation reference"/>
    <w:rsid w:val="00C475AF"/>
    <w:rPr>
      <w:sz w:val="16"/>
      <w:szCs w:val="16"/>
    </w:rPr>
  </w:style>
  <w:style w:type="paragraph" w:styleId="CommentText">
    <w:name w:val="annotation text"/>
    <w:basedOn w:val="Normal"/>
    <w:link w:val="CommentTextChar"/>
    <w:rsid w:val="00C475AF"/>
    <w:rPr>
      <w:szCs w:val="20"/>
    </w:rPr>
  </w:style>
  <w:style w:type="character" w:customStyle="1" w:styleId="CommentTextChar">
    <w:name w:val="Comment Text Char"/>
    <w:link w:val="CommentText"/>
    <w:rsid w:val="00C475AF"/>
    <w:rPr>
      <w:rFonts w:ascii="Courier" w:hAnsi="Courier"/>
    </w:rPr>
  </w:style>
  <w:style w:type="paragraph" w:styleId="CommentSubject">
    <w:name w:val="annotation subject"/>
    <w:basedOn w:val="CommentText"/>
    <w:next w:val="CommentText"/>
    <w:link w:val="CommentSubjectChar"/>
    <w:rsid w:val="00C475AF"/>
    <w:rPr>
      <w:b/>
      <w:bCs/>
    </w:rPr>
  </w:style>
  <w:style w:type="character" w:customStyle="1" w:styleId="CommentSubjectChar">
    <w:name w:val="Comment Subject Char"/>
    <w:link w:val="CommentSubject"/>
    <w:rsid w:val="00C475AF"/>
    <w:rPr>
      <w:rFonts w:ascii="Courier" w:hAnsi="Courier"/>
      <w:b/>
      <w:bCs/>
    </w:rPr>
  </w:style>
  <w:style w:type="paragraph" w:styleId="Footer">
    <w:name w:val="footer"/>
    <w:basedOn w:val="Normal"/>
    <w:link w:val="FooterChar"/>
    <w:rsid w:val="00A1501E"/>
    <w:pPr>
      <w:tabs>
        <w:tab w:val="center" w:pos="4680"/>
        <w:tab w:val="right" w:pos="9360"/>
      </w:tabs>
    </w:pPr>
  </w:style>
  <w:style w:type="character" w:customStyle="1" w:styleId="FooterChar">
    <w:name w:val="Footer Char"/>
    <w:link w:val="Footer"/>
    <w:rsid w:val="00A1501E"/>
    <w:rPr>
      <w:rFonts w:ascii="Courier" w:hAnsi="Courier"/>
      <w:szCs w:val="24"/>
    </w:rPr>
  </w:style>
  <w:style w:type="character" w:customStyle="1" w:styleId="HeaderChar">
    <w:name w:val="Header Char"/>
    <w:link w:val="Header"/>
    <w:uiPriority w:val="99"/>
    <w:rsid w:val="00A1501E"/>
    <w:rPr>
      <w:rFonts w:ascii="Courier" w:hAnsi="Courier"/>
      <w:szCs w:val="24"/>
    </w:rPr>
  </w:style>
  <w:style w:type="paragraph" w:styleId="BodyText2">
    <w:name w:val="Body Text 2"/>
    <w:basedOn w:val="Normal"/>
    <w:link w:val="BodyText2Char"/>
    <w:rsid w:val="00487C60"/>
    <w:pPr>
      <w:widowControl/>
      <w:autoSpaceDE/>
      <w:autoSpaceDN/>
      <w:adjustRightInd/>
      <w:ind w:right="-540"/>
    </w:pPr>
  </w:style>
  <w:style w:type="character" w:customStyle="1" w:styleId="BodyText2Char">
    <w:name w:val="Body Text 2 Char"/>
    <w:link w:val="BodyText2"/>
    <w:rsid w:val="00487C60"/>
    <w:rPr>
      <w:sz w:val="24"/>
      <w:szCs w:val="24"/>
    </w:rPr>
  </w:style>
  <w:style w:type="character" w:styleId="Hyperlink">
    <w:name w:val="Hyperlink"/>
    <w:rsid w:val="00573C39"/>
    <w:rPr>
      <w:strike w:val="0"/>
      <w:dstrike w:val="0"/>
      <w:color w:val="0C5081"/>
      <w:u w:val="none"/>
      <w:effect w:val="none"/>
    </w:rPr>
  </w:style>
  <w:style w:type="paragraph" w:styleId="FootnoteText">
    <w:name w:val="footnote text"/>
    <w:basedOn w:val="Normal"/>
    <w:link w:val="FootnoteTextChar"/>
    <w:rsid w:val="00573C39"/>
    <w:pPr>
      <w:widowControl/>
      <w:autoSpaceDE/>
      <w:autoSpaceDN/>
      <w:adjustRightInd/>
    </w:pPr>
    <w:rPr>
      <w:sz w:val="20"/>
      <w:szCs w:val="20"/>
    </w:rPr>
  </w:style>
  <w:style w:type="character" w:customStyle="1" w:styleId="FootnoteTextChar">
    <w:name w:val="Footnote Text Char"/>
    <w:basedOn w:val="DefaultParagraphFont"/>
    <w:link w:val="FootnoteText"/>
    <w:rsid w:val="00573C39"/>
  </w:style>
  <w:style w:type="paragraph" w:styleId="Revision">
    <w:name w:val="Revision"/>
    <w:hidden/>
    <w:uiPriority w:val="99"/>
    <w:semiHidden/>
    <w:rsid w:val="00E061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705487">
      <w:bodyDiv w:val="1"/>
      <w:marLeft w:val="0"/>
      <w:marRight w:val="0"/>
      <w:marTop w:val="0"/>
      <w:marBottom w:val="0"/>
      <w:divBdr>
        <w:top w:val="none" w:sz="0" w:space="0" w:color="auto"/>
        <w:left w:val="none" w:sz="0" w:space="0" w:color="auto"/>
        <w:bottom w:val="none" w:sz="0" w:space="0" w:color="auto"/>
        <w:right w:val="none" w:sz="0" w:space="0" w:color="auto"/>
      </w:divBdr>
    </w:div>
    <w:div w:id="579097543">
      <w:bodyDiv w:val="1"/>
      <w:marLeft w:val="0"/>
      <w:marRight w:val="0"/>
      <w:marTop w:val="0"/>
      <w:marBottom w:val="0"/>
      <w:divBdr>
        <w:top w:val="none" w:sz="0" w:space="0" w:color="auto"/>
        <w:left w:val="none" w:sz="0" w:space="0" w:color="auto"/>
        <w:bottom w:val="none" w:sz="0" w:space="0" w:color="auto"/>
        <w:right w:val="none" w:sz="0" w:space="0" w:color="auto"/>
      </w:divBdr>
    </w:div>
    <w:div w:id="810293256">
      <w:bodyDiv w:val="1"/>
      <w:marLeft w:val="0"/>
      <w:marRight w:val="0"/>
      <w:marTop w:val="0"/>
      <w:marBottom w:val="0"/>
      <w:divBdr>
        <w:top w:val="none" w:sz="0" w:space="0" w:color="auto"/>
        <w:left w:val="none" w:sz="0" w:space="0" w:color="auto"/>
        <w:bottom w:val="none" w:sz="0" w:space="0" w:color="auto"/>
        <w:right w:val="none" w:sz="0" w:space="0" w:color="auto"/>
      </w:divBdr>
    </w:div>
    <w:div w:id="860164988">
      <w:bodyDiv w:val="1"/>
      <w:marLeft w:val="0"/>
      <w:marRight w:val="0"/>
      <w:marTop w:val="0"/>
      <w:marBottom w:val="0"/>
      <w:divBdr>
        <w:top w:val="none" w:sz="0" w:space="0" w:color="auto"/>
        <w:left w:val="none" w:sz="0" w:space="0" w:color="auto"/>
        <w:bottom w:val="none" w:sz="0" w:space="0" w:color="auto"/>
        <w:right w:val="none" w:sz="0" w:space="0" w:color="auto"/>
      </w:divBdr>
    </w:div>
    <w:div w:id="1157650564">
      <w:bodyDiv w:val="1"/>
      <w:marLeft w:val="0"/>
      <w:marRight w:val="0"/>
      <w:marTop w:val="0"/>
      <w:marBottom w:val="0"/>
      <w:divBdr>
        <w:top w:val="none" w:sz="0" w:space="0" w:color="auto"/>
        <w:left w:val="none" w:sz="0" w:space="0" w:color="auto"/>
        <w:bottom w:val="none" w:sz="0" w:space="0" w:color="auto"/>
        <w:right w:val="none" w:sz="0" w:space="0" w:color="auto"/>
      </w:divBdr>
    </w:div>
    <w:div w:id="1299722651">
      <w:bodyDiv w:val="1"/>
      <w:marLeft w:val="0"/>
      <w:marRight w:val="0"/>
      <w:marTop w:val="0"/>
      <w:marBottom w:val="0"/>
      <w:divBdr>
        <w:top w:val="none" w:sz="0" w:space="0" w:color="auto"/>
        <w:left w:val="none" w:sz="0" w:space="0" w:color="auto"/>
        <w:bottom w:val="none" w:sz="0" w:space="0" w:color="auto"/>
        <w:right w:val="none" w:sz="0" w:space="0" w:color="auto"/>
      </w:divBdr>
    </w:div>
    <w:div w:id="210187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4569-FEF6-407A-AAB6-C544B97E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3471</Words>
  <Characters>19786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NHTSA-NSA</Company>
  <LinksUpToDate>false</LinksUpToDate>
  <CharactersWithSpaces>23211</CharactersWithSpaces>
  <SharedDoc>false</SharedDoc>
  <HLinks>
    <vt:vector size="6" baseType="variant">
      <vt:variant>
        <vt:i4>131078</vt:i4>
      </vt:variant>
      <vt:variant>
        <vt:i4>0</vt:i4>
      </vt:variant>
      <vt:variant>
        <vt:i4>0</vt:i4>
      </vt:variant>
      <vt:variant>
        <vt:i4>5</vt:i4>
      </vt:variant>
      <vt:variant>
        <vt:lpwstr>https://www.bls.gov/news.release/ecec.t01.htm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Carlita Ballard</dc:creator>
  <cp:keywords/>
  <dc:description/>
  <cp:lastModifiedBy>Culbreath, Walter (NHTSA)</cp:lastModifiedBy>
  <cp:revision>2</cp:revision>
  <cp:lastPrinted>2016-10-04T18:35:00Z</cp:lastPrinted>
  <dcterms:created xsi:type="dcterms:W3CDTF">2022-03-16T19:50:00Z</dcterms:created>
  <dcterms:modified xsi:type="dcterms:W3CDTF">2022-03-16T19:50:00Z</dcterms:modified>
</cp:coreProperties>
</file>