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6B1A" w:rsidP="00B20B95" w:rsidRDefault="00ED6B1A" w14:paraId="11BE7EC3" w14:textId="77777777">
      <w:pPr>
        <w:jc w:val="center"/>
        <w:rPr>
          <w:b/>
        </w:rPr>
      </w:pPr>
      <w:bookmarkStart w:name="_Hlk47077316" w:id="0"/>
      <w:r>
        <w:rPr>
          <w:b/>
        </w:rPr>
        <w:t xml:space="preserve">Information Collection Request Support Statement: Part A </w:t>
      </w:r>
    </w:p>
    <w:p w:rsidR="00ED6B1A" w:rsidP="00B20B95" w:rsidRDefault="00ED6B1A" w14:paraId="418551E4" w14:textId="77777777">
      <w:pPr>
        <w:jc w:val="center"/>
        <w:rPr>
          <w:b/>
        </w:rPr>
      </w:pPr>
      <w:r>
        <w:rPr>
          <w:b/>
        </w:rPr>
        <w:t>Part 563, Event Data Recorders</w:t>
      </w:r>
    </w:p>
    <w:p w:rsidR="00B20B95" w:rsidP="00ED6B1A" w:rsidRDefault="00ED6B1A" w14:paraId="203F7FEC" w14:textId="3860D062">
      <w:pPr>
        <w:jc w:val="center"/>
        <w:rPr>
          <w:b/>
        </w:rPr>
      </w:pPr>
      <w:r>
        <w:rPr>
          <w:b/>
        </w:rPr>
        <w:t>OMB Control No. 2127-New</w:t>
      </w:r>
    </w:p>
    <w:bookmarkEnd w:id="0"/>
    <w:p w:rsidR="00B20B95" w:rsidP="00B20B95" w:rsidRDefault="00B20B95" w14:paraId="3F1B3EDA" w14:textId="77777777">
      <w:pPr>
        <w:rPr>
          <w:b/>
        </w:rPr>
      </w:pPr>
    </w:p>
    <w:p w:rsidR="00B20B95" w:rsidP="00B20B95" w:rsidRDefault="001B161C" w14:paraId="251525C0" w14:textId="4AE66F9B">
      <w:pPr>
        <w:rPr>
          <w:b/>
        </w:rPr>
      </w:pPr>
      <w:r>
        <w:rPr>
          <w:b/>
        </w:rPr>
        <w:t>Abstract</w:t>
      </w:r>
      <w:r w:rsidRPr="00DD5373">
        <w:rPr>
          <w:b/>
        </w:rPr>
        <w:t>:</w:t>
      </w:r>
      <w:r w:rsidRPr="00DD5373">
        <w:rPr>
          <w:rStyle w:val="FootnoteReference"/>
          <w:b/>
        </w:rPr>
        <w:footnoteReference w:id="1"/>
      </w:r>
      <w:r>
        <w:rPr>
          <w:b/>
        </w:rPr>
        <w:t xml:space="preserve"> </w:t>
      </w:r>
    </w:p>
    <w:p w:rsidR="001B161C" w:rsidP="00B20B95" w:rsidRDefault="001B161C" w14:paraId="3FA3F5DC" w14:textId="77777777">
      <w:pPr>
        <w:rPr>
          <w:b/>
        </w:rPr>
      </w:pPr>
    </w:p>
    <w:p w:rsidRPr="00E75BDD" w:rsidR="00E75BDD" w:rsidP="00E75BDD" w:rsidRDefault="00546DBA" w14:paraId="3755ED73" w14:textId="0ABCCFDA">
      <w:pPr>
        <w:rPr>
          <w:iCs/>
        </w:rPr>
      </w:pPr>
      <w:r>
        <w:rPr>
          <w:iCs/>
        </w:rPr>
        <w:t xml:space="preserve">49 CFR Part 563, Event </w:t>
      </w:r>
      <w:r w:rsidR="00CE65A8">
        <w:rPr>
          <w:iCs/>
        </w:rPr>
        <w:t>d</w:t>
      </w:r>
      <w:r>
        <w:rPr>
          <w:iCs/>
        </w:rPr>
        <w:t xml:space="preserve">ata </w:t>
      </w:r>
      <w:r w:rsidR="00CE65A8">
        <w:rPr>
          <w:iCs/>
        </w:rPr>
        <w:t>r</w:t>
      </w:r>
      <w:r>
        <w:rPr>
          <w:iCs/>
        </w:rPr>
        <w:t xml:space="preserve">ecorders, </w:t>
      </w:r>
      <w:r w:rsidRPr="00546DBA">
        <w:rPr>
          <w:iCs/>
        </w:rPr>
        <w:t xml:space="preserve">specifies uniform, national requirements for vehicles equipped with event data recorders (EDRs) concerning the collection, storage, and retrievability of onboard motor vehicle crash event data. </w:t>
      </w:r>
      <w:r w:rsidR="0053055B">
        <w:rPr>
          <w:iCs/>
        </w:rPr>
        <w:t xml:space="preserve"> </w:t>
      </w:r>
      <w:r w:rsidR="00E75BDD">
        <w:rPr>
          <w:iCs/>
        </w:rPr>
        <w:t>More specifically it</w:t>
      </w:r>
      <w:r w:rsidRPr="00E75BDD" w:rsidR="00E75BDD">
        <w:rPr>
          <w:iCs/>
        </w:rPr>
        <w:t xml:space="preserve"> requires </w:t>
      </w:r>
      <w:r w:rsidR="00A53D45">
        <w:rPr>
          <w:iCs/>
        </w:rPr>
        <w:t xml:space="preserve">manufacturers that </w:t>
      </w:r>
      <w:r w:rsidRPr="00E75BDD" w:rsidR="00E75BDD">
        <w:rPr>
          <w:iCs/>
        </w:rPr>
        <w:t>voluntarily install EDRs in vehicles with a gross vehicle weight</w:t>
      </w:r>
      <w:r w:rsidR="00E75BDD">
        <w:rPr>
          <w:iCs/>
        </w:rPr>
        <w:t xml:space="preserve"> </w:t>
      </w:r>
      <w:r w:rsidRPr="00E75BDD" w:rsidR="00E75BDD">
        <w:rPr>
          <w:iCs/>
        </w:rPr>
        <w:t>rating (GVWR) of 3,855 kilograms (8,500 pounds) or less to</w:t>
      </w:r>
      <w:r w:rsidR="000F6FB6">
        <w:rPr>
          <w:iCs/>
        </w:rPr>
        <w:t xml:space="preserve"> ensure that the EDRs</w:t>
      </w:r>
      <w:r w:rsidRPr="00E75BDD" w:rsidR="00E75BDD">
        <w:rPr>
          <w:iCs/>
        </w:rPr>
        <w:t>:</w:t>
      </w:r>
    </w:p>
    <w:p w:rsidRPr="00E75BDD" w:rsidR="00E75BDD" w:rsidP="00D51E5B" w:rsidRDefault="00E75BDD" w14:paraId="76831F2E" w14:textId="040AEADA">
      <w:pPr>
        <w:pStyle w:val="ListParagraph"/>
        <w:numPr>
          <w:ilvl w:val="0"/>
          <w:numId w:val="1"/>
        </w:numPr>
        <w:spacing w:before="60" w:after="60"/>
        <w:rPr>
          <w:iCs/>
        </w:rPr>
      </w:pPr>
      <w:r w:rsidRPr="00E75BDD">
        <w:rPr>
          <w:iCs/>
        </w:rPr>
        <w:t xml:space="preserve">Record 15 essential data </w:t>
      </w:r>
      <w:proofErr w:type="gramStart"/>
      <w:r w:rsidRPr="00E75BDD">
        <w:rPr>
          <w:iCs/>
        </w:rPr>
        <w:t>elements</w:t>
      </w:r>
      <w:r w:rsidR="001C59DF">
        <w:rPr>
          <w:iCs/>
        </w:rPr>
        <w:t>;</w:t>
      </w:r>
      <w:proofErr w:type="gramEnd"/>
    </w:p>
    <w:p w:rsidRPr="00E75BDD" w:rsidR="00E75BDD" w:rsidP="001C59DF" w:rsidRDefault="00E75BDD" w14:paraId="1F500FB7" w14:textId="31E063D2">
      <w:pPr>
        <w:pStyle w:val="ListParagraph"/>
        <w:numPr>
          <w:ilvl w:val="0"/>
          <w:numId w:val="1"/>
        </w:numPr>
        <w:rPr>
          <w:iCs/>
        </w:rPr>
      </w:pPr>
      <w:r w:rsidRPr="00E75BDD">
        <w:rPr>
          <w:iCs/>
        </w:rPr>
        <w:t xml:space="preserve">Record up to 30 additional data elements if the vehicle is equipped to record these </w:t>
      </w:r>
      <w:proofErr w:type="gramStart"/>
      <w:r w:rsidRPr="00E75BDD">
        <w:rPr>
          <w:iCs/>
        </w:rPr>
        <w:t>elements</w:t>
      </w:r>
      <w:r w:rsidR="001C59DF">
        <w:rPr>
          <w:iCs/>
        </w:rPr>
        <w:t>;</w:t>
      </w:r>
      <w:proofErr w:type="gramEnd"/>
    </w:p>
    <w:p w:rsidRPr="00E75BDD" w:rsidR="00E75BDD" w:rsidP="00D51E5B" w:rsidRDefault="00E75BDD" w14:paraId="5D779773" w14:textId="086232BA">
      <w:pPr>
        <w:pStyle w:val="ListParagraph"/>
        <w:numPr>
          <w:ilvl w:val="0"/>
          <w:numId w:val="1"/>
        </w:numPr>
        <w:spacing w:before="60" w:after="60"/>
        <w:rPr>
          <w:iCs/>
        </w:rPr>
      </w:pPr>
      <w:r w:rsidRPr="00E75BDD">
        <w:rPr>
          <w:iCs/>
        </w:rPr>
        <w:t xml:space="preserve">Record these data elements in a standardized format, with specifications for range, accuracy, resolution, sampling rate, recording duration, and filter </w:t>
      </w:r>
      <w:proofErr w:type="gramStart"/>
      <w:r w:rsidRPr="00E75BDD">
        <w:rPr>
          <w:iCs/>
        </w:rPr>
        <w:t>class</w:t>
      </w:r>
      <w:r w:rsidR="001C59DF">
        <w:rPr>
          <w:iCs/>
        </w:rPr>
        <w:t>;</w:t>
      </w:r>
      <w:proofErr w:type="gramEnd"/>
    </w:p>
    <w:p w:rsidRPr="00E75BDD" w:rsidR="00E75BDD" w:rsidP="00D51E5B" w:rsidRDefault="00E75BDD" w14:paraId="4FFA0AEA" w14:textId="3A40CF54">
      <w:pPr>
        <w:pStyle w:val="ListParagraph"/>
        <w:numPr>
          <w:ilvl w:val="0"/>
          <w:numId w:val="1"/>
        </w:numPr>
        <w:spacing w:before="60" w:after="60"/>
        <w:rPr>
          <w:iCs/>
        </w:rPr>
      </w:pPr>
      <w:r w:rsidRPr="00E75BDD">
        <w:rPr>
          <w:iCs/>
        </w:rPr>
        <w:t>Function after full-scale vehicle crash tests specified in FMVSS Nos. 208 and 214</w:t>
      </w:r>
      <w:r w:rsidR="001C59DF">
        <w:rPr>
          <w:iCs/>
        </w:rPr>
        <w:t>;</w:t>
      </w:r>
      <w:r w:rsidRPr="00E75BDD">
        <w:rPr>
          <w:iCs/>
        </w:rPr>
        <w:t xml:space="preserve"> and</w:t>
      </w:r>
    </w:p>
    <w:p w:rsidRPr="00E75BDD" w:rsidR="00E75BDD" w:rsidP="00D51E5B" w:rsidRDefault="00E75BDD" w14:paraId="4681A1AD" w14:textId="77777777">
      <w:pPr>
        <w:pStyle w:val="ListParagraph"/>
        <w:numPr>
          <w:ilvl w:val="0"/>
          <w:numId w:val="1"/>
        </w:numPr>
        <w:spacing w:before="60" w:after="60"/>
        <w:rPr>
          <w:iCs/>
        </w:rPr>
      </w:pPr>
      <w:r w:rsidRPr="00E75BDD">
        <w:rPr>
          <w:iCs/>
        </w:rPr>
        <w:t>Have the capacity to record two events in a multi-event crash.</w:t>
      </w:r>
    </w:p>
    <w:p w:rsidRPr="00E75BDD" w:rsidR="00B20B95" w:rsidP="00E75BDD" w:rsidRDefault="00E75BDD" w14:paraId="69E655DB" w14:textId="502BC529">
      <w:r w:rsidRPr="00E75BDD">
        <w:rPr>
          <w:iCs/>
        </w:rPr>
        <w:t xml:space="preserve">In addition, </w:t>
      </w:r>
      <w:r>
        <w:rPr>
          <w:iCs/>
        </w:rPr>
        <w:t>Part 563</w:t>
      </w:r>
      <w:r w:rsidRPr="00E75BDD">
        <w:rPr>
          <w:iCs/>
        </w:rPr>
        <w:t xml:space="preserve"> requires vehicle manufacturers to make a retrieval tool for the</w:t>
      </w:r>
      <w:r w:rsidR="00924580">
        <w:rPr>
          <w:iCs/>
        </w:rPr>
        <w:t xml:space="preserve"> </w:t>
      </w:r>
      <w:r w:rsidRPr="00E75BDD">
        <w:rPr>
          <w:iCs/>
        </w:rPr>
        <w:t>EDR information commercially available</w:t>
      </w:r>
      <w:r>
        <w:rPr>
          <w:iCs/>
        </w:rPr>
        <w:t xml:space="preserve">, and </w:t>
      </w:r>
      <w:r w:rsidRPr="00E75BDD">
        <w:rPr>
          <w:iCs/>
        </w:rPr>
        <w:t>include a standardized statement in the owner’s manual indicating that the vehicle is</w:t>
      </w:r>
      <w:r>
        <w:rPr>
          <w:iCs/>
        </w:rPr>
        <w:t xml:space="preserve"> </w:t>
      </w:r>
      <w:r w:rsidRPr="00E75BDD">
        <w:rPr>
          <w:iCs/>
        </w:rPr>
        <w:t>equipped with an</w:t>
      </w:r>
      <w:r>
        <w:rPr>
          <w:iCs/>
        </w:rPr>
        <w:t xml:space="preserve"> EDR and describing its purpose</w:t>
      </w:r>
      <w:r w:rsidR="007C588D">
        <w:rPr>
          <w:iCs/>
        </w:rPr>
        <w:t xml:space="preserve"> (the owner’s manual requirements </w:t>
      </w:r>
      <w:r w:rsidRPr="007C588D" w:rsidR="007C588D">
        <w:rPr>
          <w:iCs/>
        </w:rPr>
        <w:t xml:space="preserve">will be incorporated into the consolidated owner’s manual requirements information collection </w:t>
      </w:r>
      <w:r w:rsidR="007C588D">
        <w:rPr>
          <w:iCs/>
        </w:rPr>
        <w:t xml:space="preserve">with </w:t>
      </w:r>
      <w:r w:rsidRPr="007C588D" w:rsidR="007C588D">
        <w:rPr>
          <w:iCs/>
        </w:rPr>
        <w:t>OMB Control Number 2127-0541)</w:t>
      </w:r>
      <w:r w:rsidRPr="00E75BDD" w:rsidR="00546DBA">
        <w:t xml:space="preserve">.  </w:t>
      </w:r>
      <w:r w:rsidRPr="00E75BDD">
        <w:t>Part 563</w:t>
      </w:r>
      <w:r w:rsidRPr="00E75BDD" w:rsidR="00546DBA">
        <w:t xml:space="preserve"> help</w:t>
      </w:r>
      <w:r>
        <w:t>s</w:t>
      </w:r>
      <w:r w:rsidRPr="00E75BDD" w:rsidR="00546DBA">
        <w:t xml:space="preserve"> ensure that</w:t>
      </w:r>
      <w:r w:rsidR="001C59DF">
        <w:t xml:space="preserve"> </w:t>
      </w:r>
      <w:r w:rsidRPr="00E75BDD" w:rsidR="00546DBA">
        <w:t>EDRs</w:t>
      </w:r>
      <w:r w:rsidR="001C59DF">
        <w:t xml:space="preserve"> </w:t>
      </w:r>
      <w:r w:rsidRPr="00E75BDD" w:rsidR="00546DBA">
        <w:t xml:space="preserve">record, in a readily usable manner, data valuable for effective crash investigations and for analysis of safety equipment performance (e.g., advanced restraint systems). </w:t>
      </w:r>
      <w:r w:rsidR="00796358">
        <w:t xml:space="preserve"> </w:t>
      </w:r>
      <w:r w:rsidR="00B3584F">
        <w:t xml:space="preserve">The information from EDRs are used by </w:t>
      </w:r>
      <w:r w:rsidRPr="00EE283C" w:rsidR="00EE283C">
        <w:t>crash investigators and researcher</w:t>
      </w:r>
      <w:r w:rsidR="00B3584F">
        <w:t>s to better understand</w:t>
      </w:r>
      <w:r w:rsidRPr="00EE283C" w:rsidR="00EE283C">
        <w:t xml:space="preserve"> the severity of the crash, operation of </w:t>
      </w:r>
      <w:r w:rsidR="00CF1377">
        <w:t xml:space="preserve">vehicle </w:t>
      </w:r>
      <w:r w:rsidRPr="00EE283C" w:rsidR="00EE283C">
        <w:t>air bags, and what air bag deployment decision strate</w:t>
      </w:r>
      <w:r w:rsidR="005F2FA0">
        <w:t xml:space="preserve">gies were used during the event, </w:t>
      </w:r>
      <w:r w:rsidRPr="005F2FA0" w:rsidR="005F2FA0">
        <w:t xml:space="preserve">which </w:t>
      </w:r>
      <w:r w:rsidR="00CF1377">
        <w:t>may</w:t>
      </w:r>
      <w:r w:rsidRPr="005F2FA0" w:rsidR="00CF1377">
        <w:t xml:space="preserve"> </w:t>
      </w:r>
      <w:r w:rsidRPr="005F2FA0" w:rsidR="005F2FA0">
        <w:t>in turn lead to the development of safer vehicle designs</w:t>
      </w:r>
      <w:r w:rsidR="005F2FA0">
        <w:t xml:space="preserve">. </w:t>
      </w:r>
      <w:r w:rsidRPr="00ED50C5" w:rsidR="00ED50C5">
        <w:t>Additionally, the agency’s experience in handling unintended acceleration and pedal entrapment allegations has demonstrated that, if a vehicle is equipped with an EDR, the data from that EDR can improve the ability of both the agency and the vehicle’s manufacturer to identify and address safety concerns associated with possible defects in the design or performance of the vehicle.</w:t>
      </w:r>
    </w:p>
    <w:p w:rsidR="00546DBA" w:rsidP="00B20B95" w:rsidRDefault="00546DBA" w14:paraId="44789C48" w14:textId="77777777">
      <w:pPr>
        <w:rPr>
          <w:b/>
        </w:rPr>
      </w:pPr>
    </w:p>
    <w:p w:rsidR="00B20B95" w:rsidP="00B20B95" w:rsidRDefault="00B20B95" w14:paraId="62105B4F" w14:textId="4AC62086">
      <w:pPr>
        <w:pStyle w:val="BodyText"/>
      </w:pPr>
      <w:r>
        <w:t xml:space="preserve">1.  Explain the circumstances that made the collection of information necessary. </w:t>
      </w:r>
      <w:r w:rsidRPr="000F6FB6" w:rsidR="000F6FB6">
        <w:t xml:space="preserve">Identify any legal and administrative requirements that necessitate the collection. </w:t>
      </w:r>
      <w:r>
        <w:t>Attach a copy of the appropriate statute or regulation mandating or authorizing the collection of information.</w:t>
      </w:r>
    </w:p>
    <w:p w:rsidR="00D71ECD" w:rsidP="00B20B95" w:rsidRDefault="00D71ECD" w14:paraId="6DC61BE5" w14:textId="77777777">
      <w:pPr>
        <w:rPr>
          <w:b/>
        </w:rPr>
      </w:pPr>
    </w:p>
    <w:p w:rsidR="00D71ECD" w:rsidP="008B3BA9" w:rsidRDefault="00D71ECD" w14:paraId="0BF424AE" w14:textId="07801165">
      <w:pPr>
        <w:rPr>
          <w:rFonts w:ascii="Calibri" w:hAnsi="Calibri" w:eastAsia="Calibri"/>
          <w:sz w:val="22"/>
          <w:szCs w:val="22"/>
        </w:rPr>
      </w:pPr>
      <w:r w:rsidRPr="00D71ECD">
        <w:rPr>
          <w:rFonts w:eastAsia="Calibri"/>
          <w:color w:val="000000"/>
        </w:rPr>
        <w:t xml:space="preserve">Under 49 U.S.C. 322(a), the Secretary of Transportation (the “Secretary”) is authorized to prescribe regulations to carry out </w:t>
      </w:r>
      <w:r w:rsidR="00291D8D">
        <w:rPr>
          <w:rFonts w:eastAsia="Calibri"/>
          <w:color w:val="000000"/>
        </w:rPr>
        <w:t xml:space="preserve">the </w:t>
      </w:r>
      <w:r w:rsidRPr="00D71ECD">
        <w:rPr>
          <w:rFonts w:eastAsia="Calibri"/>
          <w:color w:val="000000"/>
        </w:rPr>
        <w:t>duties and power</w:t>
      </w:r>
      <w:r w:rsidR="00291D8D">
        <w:rPr>
          <w:rFonts w:eastAsia="Calibri"/>
          <w:color w:val="000000"/>
        </w:rPr>
        <w:t>s</w:t>
      </w:r>
      <w:r w:rsidRPr="00D71ECD">
        <w:rPr>
          <w:rFonts w:eastAsia="Calibri"/>
          <w:color w:val="000000"/>
        </w:rPr>
        <w:t xml:space="preserve"> of the Secretary. </w:t>
      </w:r>
      <w:r w:rsidR="0091399F">
        <w:rPr>
          <w:rFonts w:eastAsia="Calibri"/>
          <w:color w:val="000000"/>
        </w:rPr>
        <w:t xml:space="preserve"> </w:t>
      </w:r>
      <w:r w:rsidRPr="00D71ECD">
        <w:rPr>
          <w:rFonts w:eastAsia="Calibri"/>
          <w:color w:val="000000"/>
        </w:rPr>
        <w:t xml:space="preserve">One of the duties of the Secretary is to administer the National Traffic and Motor Vehicle Safety Act, as amended. </w:t>
      </w:r>
      <w:r w:rsidR="0091399F">
        <w:rPr>
          <w:rFonts w:eastAsia="Calibri"/>
          <w:color w:val="000000"/>
        </w:rPr>
        <w:t xml:space="preserve"> </w:t>
      </w:r>
      <w:r w:rsidRPr="00D71ECD">
        <w:rPr>
          <w:rFonts w:eastAsia="Calibri"/>
          <w:color w:val="000000"/>
        </w:rPr>
        <w:t>The Secretary has delegated the responsibility for carrying out the National Traffic and Motor Vehicle Safety Act to NHTSA.</w:t>
      </w:r>
      <w:r w:rsidRPr="00D71ECD">
        <w:rPr>
          <w:rFonts w:eastAsia="Calibri"/>
          <w:color w:val="000000"/>
          <w:vertAlign w:val="superscript"/>
        </w:rPr>
        <w:footnoteReference w:id="2"/>
      </w:r>
      <w:r w:rsidRPr="00D71ECD">
        <w:rPr>
          <w:rFonts w:eastAsia="Calibri"/>
          <w:color w:val="000000"/>
        </w:rPr>
        <w:t xml:space="preserve"> </w:t>
      </w:r>
      <w:r w:rsidR="0091399F">
        <w:rPr>
          <w:rFonts w:eastAsia="Calibri"/>
          <w:color w:val="000000"/>
        </w:rPr>
        <w:t xml:space="preserve"> </w:t>
      </w:r>
      <w:r w:rsidRPr="00D71ECD">
        <w:rPr>
          <w:rFonts w:eastAsia="Calibri"/>
          <w:color w:val="000000"/>
        </w:rPr>
        <w:t xml:space="preserve">Two </w:t>
      </w:r>
      <w:r w:rsidR="00CF1377">
        <w:rPr>
          <w:rFonts w:eastAsia="Calibri"/>
          <w:color w:val="000000"/>
        </w:rPr>
        <w:t>statutory provisions</w:t>
      </w:r>
      <w:r w:rsidRPr="00D71ECD">
        <w:rPr>
          <w:rFonts w:eastAsia="Calibri"/>
          <w:color w:val="000000"/>
        </w:rPr>
        <w:t>, 49 U.S.C. 30182 and 23 U.S.C. 403, authorize NHTSA to collect motor vehicle crash data to support its safety mission.  NHTSA collects motor vehicle crash information under these authorities to support its statutory mandate to establish motor vehicle safety standards and reduce the occurrence and cost of traffic crashes.</w:t>
      </w:r>
      <w:r w:rsidRPr="00D71ECD">
        <w:rPr>
          <w:rFonts w:eastAsia="Calibri"/>
          <w:color w:val="000000"/>
          <w:vertAlign w:val="superscript"/>
        </w:rPr>
        <w:footnoteReference w:id="3"/>
      </w:r>
      <w:r w:rsidRPr="00D71ECD">
        <w:rPr>
          <w:rFonts w:eastAsia="Calibri"/>
          <w:color w:val="000000"/>
        </w:rPr>
        <w:t xml:space="preserve">  NHTSA also utilizes crash data in the enforcement of motor vehicle safety recalls and other motor vehicle highway safety programs that reduce fatalities, injuries, and property damage caused by motor vehicle crashes.</w:t>
      </w:r>
      <w:r w:rsidRPr="00D71ECD">
        <w:rPr>
          <w:rFonts w:ascii="Calibri" w:hAnsi="Calibri" w:eastAsia="Calibri"/>
          <w:sz w:val="22"/>
          <w:szCs w:val="22"/>
        </w:rPr>
        <w:t xml:space="preserve">  </w:t>
      </w:r>
    </w:p>
    <w:p w:rsidRPr="00D71ECD" w:rsidR="00EB386F" w:rsidP="008B3BA9" w:rsidRDefault="00EB386F" w14:paraId="5922CDE4" w14:textId="77777777">
      <w:pPr>
        <w:rPr>
          <w:rFonts w:ascii="Calibri" w:hAnsi="Calibri" w:eastAsia="Calibri"/>
          <w:sz w:val="22"/>
          <w:szCs w:val="22"/>
        </w:rPr>
      </w:pPr>
    </w:p>
    <w:p w:rsidR="00D71ECD" w:rsidP="00D71ECD" w:rsidRDefault="00EB386F" w14:paraId="48A6035E" w14:textId="1DBE4909">
      <w:pPr>
        <w:rPr>
          <w:rFonts w:eastAsia="Calibri"/>
          <w:color w:val="000000"/>
        </w:rPr>
      </w:pPr>
      <w:r w:rsidRPr="00EB386F">
        <w:rPr>
          <w:rFonts w:eastAsia="Calibri"/>
          <w:color w:val="000000"/>
        </w:rPr>
        <w:t>In 2006, NHTSA exercised its general authority to issue such rules and regulations as deemed necessary to carry out Chapter 301 of Title 49, United States Code</w:t>
      </w:r>
      <w:r w:rsidR="00242E40">
        <w:rPr>
          <w:rFonts w:eastAsia="Calibri"/>
          <w:color w:val="000000"/>
        </w:rPr>
        <w:t>,</w:t>
      </w:r>
      <w:r w:rsidRPr="00EB386F">
        <w:rPr>
          <w:rFonts w:eastAsia="Calibri"/>
          <w:color w:val="000000"/>
        </w:rPr>
        <w:t xml:space="preserve"> to promulgate 49 CFR Part 563.</w:t>
      </w:r>
      <w:r w:rsidRPr="00EB386F">
        <w:rPr>
          <w:rFonts w:eastAsia="Calibri"/>
          <w:color w:val="000000"/>
          <w:vertAlign w:val="superscript"/>
        </w:rPr>
        <w:footnoteReference w:id="4"/>
      </w:r>
      <w:r w:rsidRPr="00EB386F">
        <w:rPr>
          <w:rFonts w:eastAsia="Calibri"/>
          <w:color w:val="000000"/>
        </w:rPr>
        <w:t xml:space="preserve"> </w:t>
      </w:r>
      <w:r w:rsidR="0091399F">
        <w:rPr>
          <w:rFonts w:eastAsia="Calibri"/>
          <w:color w:val="000000"/>
        </w:rPr>
        <w:t xml:space="preserve"> </w:t>
      </w:r>
      <w:r w:rsidRPr="00D71ECD" w:rsidR="00D71ECD">
        <w:rPr>
          <w:rFonts w:eastAsia="Calibri"/>
          <w:color w:val="000000"/>
        </w:rPr>
        <w:t>NHTSA issued Part 563</w:t>
      </w:r>
      <w:r w:rsidR="00A039EE">
        <w:rPr>
          <w:rFonts w:eastAsia="Calibri"/>
          <w:color w:val="000000"/>
        </w:rPr>
        <w:t xml:space="preserve"> to</w:t>
      </w:r>
      <w:r w:rsidRPr="00D71ECD" w:rsidR="00D71ECD">
        <w:rPr>
          <w:rFonts w:eastAsia="Calibri"/>
          <w:color w:val="000000"/>
        </w:rPr>
        <w:t xml:space="preserve"> improve crash data collection by standardizing data recorded on EDRs to help provide a better understanding of the circumstances in which crashes and injuries occur, which will in turn lead to the development of safer vehicle designs.</w:t>
      </w:r>
    </w:p>
    <w:p w:rsidR="00B20B95" w:rsidP="00D71ECD" w:rsidRDefault="00B20B95" w14:paraId="288BC7C8" w14:textId="0A931C01">
      <w:pPr>
        <w:rPr>
          <w:b/>
        </w:rPr>
      </w:pPr>
      <w:r>
        <w:rPr>
          <w:b/>
        </w:rPr>
        <w:t xml:space="preserve"> </w:t>
      </w:r>
    </w:p>
    <w:p w:rsidR="00B20B95" w:rsidP="00B20B95" w:rsidRDefault="00B20B95" w14:paraId="6D3EC744" w14:textId="4A9597C7">
      <w:pPr>
        <w:rPr>
          <w:b/>
          <w:bCs/>
        </w:rPr>
      </w:pPr>
      <w:r>
        <w:rPr>
          <w:b/>
          <w:bCs/>
        </w:rPr>
        <w:t>2.</w:t>
      </w:r>
      <w:r w:rsidRPr="008B3BA9" w:rsidR="000431CF">
        <w:rPr>
          <w:rFonts w:eastAsia="Calibri"/>
          <w:b/>
        </w:rPr>
        <w:t xml:space="preserve"> Indicate how, by whom, and for what purpose the information is to be used. Except for a new collection, indicate the actual use the agency has made of the information received from the current collection</w:t>
      </w:r>
      <w:r w:rsidR="000431CF">
        <w:rPr>
          <w:b/>
          <w:bCs/>
        </w:rPr>
        <w:t>.</w:t>
      </w:r>
    </w:p>
    <w:p w:rsidR="00B20B95" w:rsidP="00B20B95" w:rsidRDefault="00B20B95" w14:paraId="1C6F67FA" w14:textId="77777777">
      <w:pPr>
        <w:rPr>
          <w:b/>
          <w:bCs/>
        </w:rPr>
      </w:pPr>
    </w:p>
    <w:p w:rsidRPr="00C347EF" w:rsidR="00C347EF" w:rsidP="00C347EF" w:rsidRDefault="0029520F" w14:paraId="4DAFB226" w14:textId="2D62C8E5">
      <w:r>
        <w:t xml:space="preserve">Part 563 </w:t>
      </w:r>
      <w:r w:rsidR="00B20B95">
        <w:t>specifies requirements for vehicle manufacturers to make data retrieval tools and/or methods commercially available so that crash investigators and researchers are able to retrieve data from EDRs.</w:t>
      </w:r>
      <w:r w:rsidR="00FE34BE">
        <w:rPr>
          <w:rStyle w:val="FootnoteReference"/>
        </w:rPr>
        <w:footnoteReference w:id="5"/>
      </w:r>
      <w:r w:rsidR="00B20B95">
        <w:t xml:space="preserve">  </w:t>
      </w:r>
      <w:r w:rsidR="00412870">
        <w:t xml:space="preserve">Section 563.7 lists the data elements required for vehicles equipped with an EDR.  These data elements are </w:t>
      </w:r>
      <w:r w:rsidR="00387633">
        <w:t>delineated</w:t>
      </w:r>
      <w:r w:rsidR="00ED4A40">
        <w:t xml:space="preserve"> into Table I, data elements required for all vehicles equipped with an EDR (15 </w:t>
      </w:r>
      <w:r w:rsidRPr="006A5B78" w:rsidR="00D27CB9">
        <w:rPr>
          <w:iCs/>
        </w:rPr>
        <w:t>essential</w:t>
      </w:r>
      <w:r w:rsidR="00246E16">
        <w:t xml:space="preserve"> data </w:t>
      </w:r>
      <w:r w:rsidR="00ED4A40">
        <w:t xml:space="preserve">elements), and Table II, data elements required for vehicles under specified minimum conditions (30 </w:t>
      </w:r>
      <w:r w:rsidR="00246E16">
        <w:t xml:space="preserve">additional data </w:t>
      </w:r>
      <w:r w:rsidR="00ED4A40">
        <w:t xml:space="preserve">elements).  </w:t>
      </w:r>
      <w:r w:rsidR="00403B95">
        <w:t xml:space="preserve">Data collected from the EDR of a crash-involved vehicle can provide valuable information on the severity of the crash, operation of its air bags, and what air bag deployment decision strategies were used during the event.  </w:t>
      </w:r>
      <w:r w:rsidRPr="00C74C36" w:rsidR="00403B95">
        <w:rPr>
          <w:rFonts w:eastAsia="Calibri"/>
        </w:rPr>
        <w:t xml:space="preserve">EDR data </w:t>
      </w:r>
      <w:r w:rsidR="00403B95">
        <w:rPr>
          <w:rFonts w:eastAsia="Calibri"/>
        </w:rPr>
        <w:t xml:space="preserve">are used to </w:t>
      </w:r>
      <w:r w:rsidRPr="00C74C36" w:rsidR="00403B95">
        <w:rPr>
          <w:rFonts w:eastAsia="Calibri"/>
        </w:rPr>
        <w:t xml:space="preserve">improve </w:t>
      </w:r>
      <w:r w:rsidR="009B4741">
        <w:rPr>
          <w:rFonts w:eastAsia="Calibri"/>
        </w:rPr>
        <w:t>the quality of</w:t>
      </w:r>
      <w:r w:rsidRPr="00C74C36" w:rsidR="00403B95">
        <w:rPr>
          <w:rFonts w:eastAsia="Calibri"/>
        </w:rPr>
        <w:t xml:space="preserve"> crash data collection to assist safety researchers, vehicle manufacturers, and the agency </w:t>
      </w:r>
      <w:r w:rsidR="009B4741">
        <w:rPr>
          <w:rFonts w:eastAsia="Calibri"/>
        </w:rPr>
        <w:t xml:space="preserve">in </w:t>
      </w:r>
      <w:r w:rsidRPr="00C74C36" w:rsidR="009B4741">
        <w:rPr>
          <w:rFonts w:eastAsia="Calibri"/>
        </w:rPr>
        <w:t xml:space="preserve">crash </w:t>
      </w:r>
      <w:r w:rsidR="009B4741">
        <w:rPr>
          <w:rFonts w:eastAsia="Calibri"/>
        </w:rPr>
        <w:t xml:space="preserve">and defect </w:t>
      </w:r>
      <w:r w:rsidRPr="00C74C36" w:rsidR="009B4741">
        <w:rPr>
          <w:rFonts w:eastAsia="Calibri"/>
        </w:rPr>
        <w:t>investigation</w:t>
      </w:r>
      <w:r w:rsidR="009B4741">
        <w:rPr>
          <w:rFonts w:eastAsia="Calibri"/>
        </w:rPr>
        <w:t>s</w:t>
      </w:r>
      <w:r w:rsidRPr="00C74C36" w:rsidR="009B4741">
        <w:rPr>
          <w:rFonts w:eastAsia="Calibri"/>
        </w:rPr>
        <w:t xml:space="preserve"> </w:t>
      </w:r>
      <w:r w:rsidRPr="00C74C36" w:rsidR="00403B95">
        <w:rPr>
          <w:rFonts w:eastAsia="Calibri"/>
        </w:rPr>
        <w:t>to understand vehicle crashes better and more precisely.</w:t>
      </w:r>
      <w:r w:rsidR="0091399F">
        <w:rPr>
          <w:rFonts w:eastAsia="Calibri"/>
        </w:rPr>
        <w:t xml:space="preserve"> </w:t>
      </w:r>
      <w:r w:rsidR="00403B95">
        <w:rPr>
          <w:rFonts w:eastAsia="Calibri"/>
        </w:rPr>
        <w:t xml:space="preserve"> </w:t>
      </w:r>
      <w:r w:rsidRPr="00C347EF" w:rsidR="00C347EF">
        <w:t xml:space="preserve">Similarly, vehicle manufacturers are able to utilize EDRs in improving vehicle designs and </w:t>
      </w:r>
      <w:r w:rsidR="009B4741">
        <w:t xml:space="preserve">in </w:t>
      </w:r>
      <w:r w:rsidRPr="00C347EF" w:rsidR="00C347EF">
        <w:t>developing more effective vehicle safety countermeasures, and EDR data may be used by Advanced Automatic Crash Notification (AACN) systems to aid emergency response teams in assessing the severity of a crash and estimating the probability of serious injury.</w:t>
      </w:r>
    </w:p>
    <w:p w:rsidRPr="00C347EF" w:rsidR="00C347EF" w:rsidP="00C347EF" w:rsidRDefault="00C347EF" w14:paraId="685242AE" w14:textId="77777777"/>
    <w:p w:rsidR="00C347EF" w:rsidP="00B20B95" w:rsidRDefault="00C347EF" w14:paraId="393BFEC3" w14:textId="05AC8C5E">
      <w:r w:rsidRPr="00C347EF">
        <w:lastRenderedPageBreak/>
        <w:t>Additionally, the agency’s experience in handling unintended acceleration and pedal entrapment allegations has demonstrated that</w:t>
      </w:r>
      <w:r w:rsidR="009B4741">
        <w:t>,</w:t>
      </w:r>
      <w:r w:rsidRPr="00C347EF">
        <w:t xml:space="preserve"> if a vehicle is equipped with an EDR, the data from that EDR can improve the ability of both the agency and the vehicle’s manufacturer to identify and address safety concerns associated with possible defects in the design or performance of the vehicle.</w:t>
      </w:r>
    </w:p>
    <w:p w:rsidR="00B20B95" w:rsidP="00B20B95" w:rsidRDefault="00B20B95" w14:paraId="5CC7F6FC" w14:textId="77777777">
      <w:pPr>
        <w:rPr>
          <w:b/>
        </w:rPr>
      </w:pPr>
    </w:p>
    <w:p w:rsidR="00B20B95" w:rsidP="00B20B95" w:rsidRDefault="00B20B95" w14:paraId="7E5AFB15" w14:textId="4AFCF576">
      <w:pPr>
        <w:rPr>
          <w:b/>
          <w:bCs/>
        </w:rPr>
      </w:pPr>
      <w:r>
        <w:rPr>
          <w:b/>
          <w:bCs/>
        </w:rPr>
        <w:t xml:space="preserve">3.  </w:t>
      </w:r>
      <w:r w:rsidRPr="008C1D88" w:rsidR="008C1D88">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0B95" w:rsidP="00B20B95" w:rsidRDefault="00B20B95" w14:paraId="035F5728" w14:textId="77777777">
      <w:pPr>
        <w:rPr>
          <w:b/>
          <w:bCs/>
        </w:rPr>
      </w:pPr>
    </w:p>
    <w:p w:rsidR="00B20B95" w:rsidP="00B20B95" w:rsidRDefault="00B20B95" w14:paraId="7B9F5D30" w14:textId="1231FF74">
      <w:r>
        <w:t>An EDR is a function or device installed in a motor vehicle to automatically record technical information about the status and operation of vehicle systems for a very brief period of time (i.e., a few seconds) and in very limited circumstances (</w:t>
      </w:r>
      <w:r w:rsidRPr="00026D51">
        <w:rPr>
          <w:color w:val="000000"/>
        </w:rPr>
        <w:t xml:space="preserve">immediately </w:t>
      </w:r>
      <w:r w:rsidRPr="00A85411">
        <w:t>before and during a crash</w:t>
      </w:r>
      <w:r>
        <w:t xml:space="preserve">), primarily for the purpose of post-crash assessment of vehicle safety system performance.  </w:t>
      </w:r>
      <w:r w:rsidR="0029520F">
        <w:t>Part 563 also requires</w:t>
      </w:r>
      <w:r>
        <w:t xml:space="preserve"> vehicle manufacturers to make data retrieval tools and/or methods commercially available so that crash investigators and researchers are able to retrieve data from EDRs.  </w:t>
      </w:r>
    </w:p>
    <w:p w:rsidR="00B20B95" w:rsidP="00B20B95" w:rsidRDefault="00B20B95" w14:paraId="2BC6FB77" w14:textId="77777777"/>
    <w:p w:rsidR="00B20B95" w:rsidP="00B20B95" w:rsidRDefault="00B20B95" w14:paraId="0BA9D5FB" w14:textId="32EE2C5E">
      <w:pPr>
        <w:pStyle w:val="BodyText"/>
      </w:pPr>
      <w:r>
        <w:t xml:space="preserve">4.  </w:t>
      </w:r>
      <w:r w:rsidRPr="008B3BA9" w:rsidR="00174C63">
        <w:rPr>
          <w:rFonts w:eastAsia="Calibri"/>
          <w:bCs w:val="0"/>
        </w:rPr>
        <w:t>Describe efforts to identify duplication. Show specifically why any similar information already available cannot be used or modified for use for the purposes described in Item 2 above.</w:t>
      </w:r>
    </w:p>
    <w:p w:rsidR="00B20B95" w:rsidP="00B20B95" w:rsidRDefault="00B20B95" w14:paraId="0D82B82E" w14:textId="77777777">
      <w:pPr>
        <w:pStyle w:val="BodyText"/>
      </w:pPr>
    </w:p>
    <w:p w:rsidR="00B20B95" w:rsidP="00B20B95" w:rsidRDefault="00B20B95" w14:paraId="6AE086D0" w14:textId="77777777">
      <w:pPr>
        <w:pStyle w:val="BodyTextIndent"/>
        <w:ind w:left="0"/>
      </w:pPr>
      <w:r>
        <w:t xml:space="preserve">EDR data can supplement the information obtained from traditional crash investigations.  </w:t>
      </w:r>
      <w:r w:rsidRPr="00B31937">
        <w:t>While crash investigators gather insightful information about the dynamics of crashes, some of these parameters</w:t>
      </w:r>
      <w:r>
        <w:t xml:space="preserve">, e.g., </w:t>
      </w:r>
      <w:r w:rsidRPr="00B31937">
        <w:t>change in velocity</w:t>
      </w:r>
      <w:r>
        <w:t>,</w:t>
      </w:r>
      <w:r w:rsidRPr="00B31937">
        <w:t xml:space="preserve"> cannot be determined or cannot be as accurately measured by traditional post-crash investigation procedures</w:t>
      </w:r>
      <w:r>
        <w:t xml:space="preserve">, which usually include </w:t>
      </w:r>
      <w:r w:rsidRPr="00B31937">
        <w:t xml:space="preserve">visually examining and evaluating physical evidence </w:t>
      </w:r>
      <w:r>
        <w:t xml:space="preserve">such as the </w:t>
      </w:r>
      <w:r w:rsidRPr="00B31937">
        <w:t>crash-involved vehicles and skid marks.  Data collected by the EDR can provide a direct means for measuring these needed crash parameters.</w:t>
      </w:r>
    </w:p>
    <w:p w:rsidR="00B20B95" w:rsidP="00B20B95" w:rsidRDefault="00B20B95" w14:paraId="42A0CC0E" w14:textId="77777777">
      <w:pPr>
        <w:rPr>
          <w:b/>
        </w:rPr>
      </w:pPr>
    </w:p>
    <w:p w:rsidR="00B20B95" w:rsidP="00B20B95" w:rsidRDefault="00B20B95" w14:paraId="2DC0FD8B" w14:textId="77777777">
      <w:pPr>
        <w:pStyle w:val="BodyText"/>
      </w:pPr>
      <w:r>
        <w:t xml:space="preserve">5.  If the collection of information involves small businesses or other small entities, describe the methods used to minimize the burden. </w:t>
      </w:r>
    </w:p>
    <w:p w:rsidR="00B20B95" w:rsidP="00B20B95" w:rsidRDefault="00B20B95" w14:paraId="5FCB89C5" w14:textId="77777777">
      <w:pPr>
        <w:pStyle w:val="BodyText"/>
      </w:pPr>
    </w:p>
    <w:p w:rsidRPr="00B92159" w:rsidR="00B20B95" w:rsidP="00B20B95" w:rsidRDefault="0029520F" w14:paraId="1E714753" w14:textId="7A3FC9CF">
      <w:pPr>
        <w:pStyle w:val="BodyText"/>
        <w:rPr>
          <w:b w:val="0"/>
        </w:rPr>
      </w:pPr>
      <w:r>
        <w:rPr>
          <w:b w:val="0"/>
        </w:rPr>
        <w:t xml:space="preserve">Part 563 only applies to </w:t>
      </w:r>
      <w:r w:rsidR="00B45D2D">
        <w:rPr>
          <w:b w:val="0"/>
        </w:rPr>
        <w:t xml:space="preserve">manufacturers that voluntarily install EDRs in </w:t>
      </w:r>
      <w:r>
        <w:rPr>
          <w:b w:val="0"/>
        </w:rPr>
        <w:t>vehicles</w:t>
      </w:r>
      <w:r w:rsidR="00B45D2D">
        <w:rPr>
          <w:b w:val="0"/>
        </w:rPr>
        <w:t>.</w:t>
      </w:r>
      <w:r w:rsidR="0053055B">
        <w:rPr>
          <w:b w:val="0"/>
        </w:rPr>
        <w:t xml:space="preserve"> </w:t>
      </w:r>
      <w:r w:rsidR="00B45D2D">
        <w:rPr>
          <w:b w:val="0"/>
        </w:rPr>
        <w:t xml:space="preserve"> Therefore, to the extent that this collection impacts small businesses, it does so only to the extent that those businesses have chosen to install EDRs on their vehicles. </w:t>
      </w:r>
      <w:r w:rsidR="0053055B">
        <w:rPr>
          <w:b w:val="0"/>
        </w:rPr>
        <w:t xml:space="preserve"> </w:t>
      </w:r>
      <w:r w:rsidR="00B45D2D">
        <w:rPr>
          <w:b w:val="0"/>
        </w:rPr>
        <w:t xml:space="preserve">Additionally, NHTSA estimates that there is no incremental cost to manufacturers associated with </w:t>
      </w:r>
      <w:r w:rsidR="006423AF">
        <w:rPr>
          <w:b w:val="0"/>
        </w:rPr>
        <w:t xml:space="preserve">ensuring that a </w:t>
      </w:r>
      <w:proofErr w:type="gramStart"/>
      <w:r w:rsidR="006423AF">
        <w:rPr>
          <w:b w:val="0"/>
        </w:rPr>
        <w:t>voluntarily-installed</w:t>
      </w:r>
      <w:proofErr w:type="gramEnd"/>
      <w:r w:rsidR="006423AF">
        <w:rPr>
          <w:b w:val="0"/>
        </w:rPr>
        <w:t xml:space="preserve"> EDR complies with the standardiz</w:t>
      </w:r>
      <w:r w:rsidR="00371A53">
        <w:rPr>
          <w:b w:val="0"/>
        </w:rPr>
        <w:t>ation requirements in Part 563</w:t>
      </w:r>
      <w:r w:rsidRPr="009540A4" w:rsidR="00B20B95">
        <w:rPr>
          <w:b w:val="0"/>
        </w:rPr>
        <w:t>.</w:t>
      </w:r>
    </w:p>
    <w:p w:rsidR="00B20B95" w:rsidP="00B20B95" w:rsidRDefault="00B20B95" w14:paraId="7AC9FF2F" w14:textId="77777777">
      <w:pPr>
        <w:pStyle w:val="BodyText"/>
      </w:pPr>
    </w:p>
    <w:p w:rsidR="00B20B95" w:rsidP="00B20B95" w:rsidRDefault="00B20B95" w14:paraId="324FAB95" w14:textId="5D9F3278">
      <w:pPr>
        <w:pStyle w:val="BodyText"/>
      </w:pPr>
      <w:r>
        <w:t xml:space="preserve">6.  </w:t>
      </w:r>
      <w:r w:rsidRPr="008B3BA9" w:rsidR="006423AF">
        <w:rPr>
          <w:rFonts w:eastAsia="Calibri"/>
          <w:bCs w:val="0"/>
        </w:rPr>
        <w:t>Describe the consequence to Federal program or policy activities if the collection is not conducted or is conducted less frequently, as well as any technical or legal obstacles to reducing burden.</w:t>
      </w:r>
    </w:p>
    <w:p w:rsidR="00B20B95" w:rsidP="00B20B95" w:rsidRDefault="00B20B95" w14:paraId="35763032" w14:textId="77777777">
      <w:pPr>
        <w:pStyle w:val="BodyText"/>
      </w:pPr>
    </w:p>
    <w:p w:rsidR="00B20B95" w:rsidP="00B20B95" w:rsidRDefault="00FB6C71" w14:paraId="6B8E2E94" w14:textId="7C2E04DA">
      <w:pPr>
        <w:pStyle w:val="BodyText"/>
      </w:pPr>
      <w:r>
        <w:rPr>
          <w:b w:val="0"/>
        </w:rPr>
        <w:t xml:space="preserve">Without the requirements in Part 563, crash investigators </w:t>
      </w:r>
      <w:r w:rsidR="00C56B54">
        <w:rPr>
          <w:b w:val="0"/>
        </w:rPr>
        <w:t>would be less able to collect information from the vehicle to understand the crash</w:t>
      </w:r>
      <w:r w:rsidR="000828FB">
        <w:rPr>
          <w:b w:val="0"/>
        </w:rPr>
        <w:t xml:space="preserve">. </w:t>
      </w:r>
      <w:r w:rsidR="0053055B">
        <w:rPr>
          <w:b w:val="0"/>
        </w:rPr>
        <w:t xml:space="preserve"> </w:t>
      </w:r>
      <w:r w:rsidR="0029520F">
        <w:rPr>
          <w:b w:val="0"/>
        </w:rPr>
        <w:t>It</w:t>
      </w:r>
      <w:r w:rsidRPr="0067004D" w:rsidR="00B20B95">
        <w:rPr>
          <w:b w:val="0"/>
        </w:rPr>
        <w:t xml:space="preserve"> is important to be able to obtain EDR data generated by the crash experience of vehicles so that the agency has as much information </w:t>
      </w:r>
      <w:r w:rsidR="00CB7FA0">
        <w:rPr>
          <w:b w:val="0"/>
        </w:rPr>
        <w:t xml:space="preserve">as </w:t>
      </w:r>
      <w:r w:rsidR="00CB7FA0">
        <w:rPr>
          <w:b w:val="0"/>
        </w:rPr>
        <w:lastRenderedPageBreak/>
        <w:t>possible on</w:t>
      </w:r>
      <w:r w:rsidRPr="0067004D" w:rsidR="00B20B95">
        <w:rPr>
          <w:b w:val="0"/>
        </w:rPr>
        <w:t xml:space="preserve"> </w:t>
      </w:r>
      <w:r w:rsidR="0029520F">
        <w:rPr>
          <w:b w:val="0"/>
        </w:rPr>
        <w:t xml:space="preserve">the performance </w:t>
      </w:r>
      <w:r w:rsidR="00CB7FA0">
        <w:rPr>
          <w:b w:val="0"/>
        </w:rPr>
        <w:t>of</w:t>
      </w:r>
      <w:r w:rsidRPr="00CB7FA0" w:rsidR="00CB7FA0">
        <w:rPr>
          <w:b w:val="0"/>
        </w:rPr>
        <w:t xml:space="preserve"> crashworthiness </w:t>
      </w:r>
      <w:r w:rsidR="00CB7FA0">
        <w:rPr>
          <w:b w:val="0"/>
        </w:rPr>
        <w:t>c</w:t>
      </w:r>
      <w:r w:rsidRPr="00CB7FA0" w:rsidR="00CB7FA0">
        <w:rPr>
          <w:b w:val="0"/>
        </w:rPr>
        <w:t>ountermeasures</w:t>
      </w:r>
      <w:r w:rsidR="00CB7FA0">
        <w:rPr>
          <w:b w:val="0"/>
        </w:rPr>
        <w:t xml:space="preserve"> and </w:t>
      </w:r>
      <w:r w:rsidR="0029520F">
        <w:rPr>
          <w:b w:val="0"/>
        </w:rPr>
        <w:t xml:space="preserve">of </w:t>
      </w:r>
      <w:r w:rsidRPr="0067004D" w:rsidR="00B20B95">
        <w:rPr>
          <w:b w:val="0"/>
        </w:rPr>
        <w:t>emerging advanced technologies.</w:t>
      </w:r>
      <w:r w:rsidR="00FD38A6">
        <w:rPr>
          <w:b w:val="0"/>
        </w:rPr>
        <w:t xml:space="preserve"> </w:t>
      </w:r>
      <w:r w:rsidR="00796358">
        <w:rPr>
          <w:b w:val="0"/>
        </w:rPr>
        <w:t xml:space="preserve"> </w:t>
      </w:r>
      <w:r w:rsidR="00B20B95">
        <w:rPr>
          <w:b w:val="0"/>
        </w:rPr>
        <w:t xml:space="preserve">Additionally, </w:t>
      </w:r>
      <w:r w:rsidRPr="0067004D" w:rsidR="00B20B95">
        <w:rPr>
          <w:b w:val="0"/>
        </w:rPr>
        <w:t>EDR data can have</w:t>
      </w:r>
      <w:r w:rsidR="00B20B95">
        <w:rPr>
          <w:b w:val="0"/>
        </w:rPr>
        <w:t xml:space="preserve"> significant value</w:t>
      </w:r>
      <w:r w:rsidRPr="0067004D" w:rsidR="00B20B95">
        <w:rPr>
          <w:b w:val="0"/>
        </w:rPr>
        <w:t xml:space="preserve">, as shown in the unintended acceleration study, in aiding the agency in assessing the performance of </w:t>
      </w:r>
      <w:r w:rsidR="00CB7FA0">
        <w:rPr>
          <w:b w:val="0"/>
        </w:rPr>
        <w:t xml:space="preserve">a </w:t>
      </w:r>
      <w:r w:rsidRPr="0067004D" w:rsidR="00B20B95">
        <w:rPr>
          <w:b w:val="0"/>
        </w:rPr>
        <w:t xml:space="preserve">vehicle in the course of a safety defect investigation.  </w:t>
      </w:r>
    </w:p>
    <w:p w:rsidR="00B20B95" w:rsidP="00B20B95" w:rsidRDefault="00B20B95" w14:paraId="489DDF79" w14:textId="77777777"/>
    <w:p w:rsidRPr="008B3BA9" w:rsidR="007D007E" w:rsidP="008B3BA9" w:rsidRDefault="007D007E" w14:paraId="44015CC4" w14:textId="4D8BDBE6">
      <w:pPr>
        <w:pStyle w:val="ListParagraph"/>
        <w:numPr>
          <w:ilvl w:val="0"/>
          <w:numId w:val="5"/>
        </w:numPr>
        <w:autoSpaceDE w:val="0"/>
        <w:autoSpaceDN w:val="0"/>
        <w:adjustRightInd w:val="0"/>
        <w:spacing w:after="120"/>
        <w:ind w:left="360"/>
        <w:rPr>
          <w:rFonts w:eastAsia="Calibri"/>
          <w:b/>
        </w:rPr>
      </w:pPr>
      <w:bookmarkStart w:name="_Hlk45116897" w:id="1"/>
      <w:r w:rsidRPr="008B3BA9">
        <w:rPr>
          <w:rFonts w:eastAsia="Calibri"/>
          <w:b/>
        </w:rPr>
        <w:t>Explain any special circumstances that would cause an information collection to be conducted in a manner:</w:t>
      </w:r>
    </w:p>
    <w:p w:rsidRPr="008B3BA9" w:rsidR="007D007E" w:rsidP="007D007E" w:rsidRDefault="007D007E" w14:paraId="035093AA" w14:textId="77777777">
      <w:pPr>
        <w:numPr>
          <w:ilvl w:val="1"/>
          <w:numId w:val="4"/>
        </w:numPr>
        <w:autoSpaceDE w:val="0"/>
        <w:autoSpaceDN w:val="0"/>
        <w:adjustRightInd w:val="0"/>
        <w:spacing w:after="120" w:line="276" w:lineRule="auto"/>
        <w:rPr>
          <w:rFonts w:eastAsia="Calibri"/>
          <w:b/>
        </w:rPr>
      </w:pPr>
      <w:r w:rsidRPr="008B3BA9">
        <w:rPr>
          <w:rFonts w:eastAsia="Calibri"/>
          <w:b/>
        </w:rPr>
        <w:t xml:space="preserve">requiring respondents to report information to the agency more often than </w:t>
      </w:r>
      <w:proofErr w:type="gramStart"/>
      <w:r w:rsidRPr="008B3BA9">
        <w:rPr>
          <w:rFonts w:eastAsia="Calibri"/>
          <w:b/>
        </w:rPr>
        <w:t>quarterly;</w:t>
      </w:r>
      <w:proofErr w:type="gramEnd"/>
    </w:p>
    <w:p w:rsidRPr="008B3BA9" w:rsidR="007D007E" w:rsidP="007D007E" w:rsidRDefault="007D007E" w14:paraId="453D86AC" w14:textId="77777777">
      <w:pPr>
        <w:numPr>
          <w:ilvl w:val="1"/>
          <w:numId w:val="4"/>
        </w:numPr>
        <w:autoSpaceDE w:val="0"/>
        <w:autoSpaceDN w:val="0"/>
        <w:adjustRightInd w:val="0"/>
        <w:spacing w:after="120" w:line="276" w:lineRule="auto"/>
        <w:rPr>
          <w:rFonts w:eastAsia="Calibri"/>
          <w:b/>
        </w:rPr>
      </w:pPr>
      <w:r w:rsidRPr="008B3BA9">
        <w:rPr>
          <w:rFonts w:eastAsia="Calibri"/>
          <w:b/>
        </w:rPr>
        <w:t xml:space="preserve">requiring respondents to prepare a written response to a collection of information in fewer than 30 days after receipt of </w:t>
      </w:r>
      <w:proofErr w:type="gramStart"/>
      <w:r w:rsidRPr="008B3BA9">
        <w:rPr>
          <w:rFonts w:eastAsia="Calibri"/>
          <w:b/>
        </w:rPr>
        <w:t>it;</w:t>
      </w:r>
      <w:proofErr w:type="gramEnd"/>
    </w:p>
    <w:p w:rsidRPr="008B3BA9" w:rsidR="007D007E" w:rsidP="007D007E" w:rsidRDefault="007D007E" w14:paraId="64644AE1" w14:textId="77777777">
      <w:pPr>
        <w:numPr>
          <w:ilvl w:val="1"/>
          <w:numId w:val="4"/>
        </w:numPr>
        <w:autoSpaceDE w:val="0"/>
        <w:autoSpaceDN w:val="0"/>
        <w:adjustRightInd w:val="0"/>
        <w:spacing w:after="120" w:line="276" w:lineRule="auto"/>
        <w:rPr>
          <w:rFonts w:eastAsia="Calibri"/>
          <w:b/>
        </w:rPr>
      </w:pPr>
      <w:r w:rsidRPr="008B3BA9">
        <w:rPr>
          <w:rFonts w:eastAsia="Calibri"/>
          <w:b/>
        </w:rPr>
        <w:t xml:space="preserve">requiring respondents to submit more than an original and two copies of any </w:t>
      </w:r>
      <w:proofErr w:type="gramStart"/>
      <w:r w:rsidRPr="008B3BA9">
        <w:rPr>
          <w:rFonts w:eastAsia="Calibri"/>
          <w:b/>
        </w:rPr>
        <w:t>document;</w:t>
      </w:r>
      <w:proofErr w:type="gramEnd"/>
    </w:p>
    <w:p w:rsidRPr="008B3BA9" w:rsidR="007D007E" w:rsidP="007D007E" w:rsidRDefault="007D007E" w14:paraId="769974C6" w14:textId="77777777">
      <w:pPr>
        <w:numPr>
          <w:ilvl w:val="1"/>
          <w:numId w:val="4"/>
        </w:numPr>
        <w:autoSpaceDE w:val="0"/>
        <w:autoSpaceDN w:val="0"/>
        <w:adjustRightInd w:val="0"/>
        <w:spacing w:after="120" w:line="276" w:lineRule="auto"/>
        <w:rPr>
          <w:rFonts w:eastAsia="Calibri"/>
          <w:b/>
        </w:rPr>
      </w:pPr>
      <w:r w:rsidRPr="008B3BA9">
        <w:rPr>
          <w:rFonts w:eastAsia="Calibri"/>
          <w:b/>
        </w:rPr>
        <w:t xml:space="preserve">requiring respondents to retain records, other than health, medical, government contract, grant-in-aid, or tax records, for more than three </w:t>
      </w:r>
      <w:proofErr w:type="gramStart"/>
      <w:r w:rsidRPr="008B3BA9">
        <w:rPr>
          <w:rFonts w:eastAsia="Calibri"/>
          <w:b/>
        </w:rPr>
        <w:t>years;</w:t>
      </w:r>
      <w:proofErr w:type="gramEnd"/>
    </w:p>
    <w:p w:rsidRPr="008B3BA9" w:rsidR="007D007E" w:rsidP="007D007E" w:rsidRDefault="007D007E" w14:paraId="7821C45D" w14:textId="77777777">
      <w:pPr>
        <w:numPr>
          <w:ilvl w:val="1"/>
          <w:numId w:val="4"/>
        </w:numPr>
        <w:autoSpaceDE w:val="0"/>
        <w:autoSpaceDN w:val="0"/>
        <w:adjustRightInd w:val="0"/>
        <w:spacing w:after="120" w:line="276" w:lineRule="auto"/>
        <w:rPr>
          <w:rFonts w:eastAsia="Calibri"/>
          <w:b/>
        </w:rPr>
      </w:pPr>
      <w:r w:rsidRPr="008B3BA9">
        <w:rPr>
          <w:rFonts w:eastAsia="Calibri"/>
          <w:b/>
        </w:rPr>
        <w:t xml:space="preserve">in connection with a statistical survey, that is not designed to produce valid and reliable results that can be generalized to the universe of </w:t>
      </w:r>
      <w:proofErr w:type="gramStart"/>
      <w:r w:rsidRPr="008B3BA9">
        <w:rPr>
          <w:rFonts w:eastAsia="Calibri"/>
          <w:b/>
        </w:rPr>
        <w:t>study;</w:t>
      </w:r>
      <w:proofErr w:type="gramEnd"/>
    </w:p>
    <w:p w:rsidRPr="008B3BA9" w:rsidR="007D007E" w:rsidP="007D007E" w:rsidRDefault="007D007E" w14:paraId="42772E7A" w14:textId="77777777">
      <w:pPr>
        <w:numPr>
          <w:ilvl w:val="1"/>
          <w:numId w:val="4"/>
        </w:numPr>
        <w:autoSpaceDE w:val="0"/>
        <w:autoSpaceDN w:val="0"/>
        <w:adjustRightInd w:val="0"/>
        <w:spacing w:after="120" w:line="276" w:lineRule="auto"/>
        <w:rPr>
          <w:rFonts w:eastAsia="Calibri"/>
          <w:b/>
        </w:rPr>
      </w:pPr>
      <w:r w:rsidRPr="008B3BA9">
        <w:rPr>
          <w:rFonts w:eastAsia="Calibri"/>
          <w:b/>
        </w:rPr>
        <w:t xml:space="preserve">requiring the use of a statistical data classification that has not been reviewed and approved by </w:t>
      </w:r>
      <w:proofErr w:type="gramStart"/>
      <w:r w:rsidRPr="008B3BA9">
        <w:rPr>
          <w:rFonts w:eastAsia="Calibri"/>
          <w:b/>
        </w:rPr>
        <w:t>OMB;</w:t>
      </w:r>
      <w:proofErr w:type="gramEnd"/>
    </w:p>
    <w:p w:rsidRPr="008B3BA9" w:rsidR="007D007E" w:rsidP="007D007E" w:rsidRDefault="007D007E" w14:paraId="713EE08C" w14:textId="77777777">
      <w:pPr>
        <w:numPr>
          <w:ilvl w:val="1"/>
          <w:numId w:val="4"/>
        </w:numPr>
        <w:autoSpaceDE w:val="0"/>
        <w:autoSpaceDN w:val="0"/>
        <w:adjustRightInd w:val="0"/>
        <w:spacing w:after="120" w:line="276" w:lineRule="auto"/>
        <w:rPr>
          <w:rFonts w:eastAsia="Calibri"/>
          <w:b/>
        </w:rPr>
      </w:pPr>
      <w:r w:rsidRPr="008B3BA9">
        <w:rPr>
          <w:rFonts w:eastAsia="Calibr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B3BA9" w:rsidR="007D007E" w:rsidP="007D007E" w:rsidRDefault="007D007E" w14:paraId="14396016" w14:textId="77777777">
      <w:pPr>
        <w:numPr>
          <w:ilvl w:val="1"/>
          <w:numId w:val="4"/>
        </w:numPr>
        <w:autoSpaceDE w:val="0"/>
        <w:autoSpaceDN w:val="0"/>
        <w:adjustRightInd w:val="0"/>
        <w:spacing w:after="120" w:line="276" w:lineRule="auto"/>
        <w:rPr>
          <w:rFonts w:eastAsia="Calibri"/>
          <w:b/>
        </w:rPr>
      </w:pPr>
      <w:r w:rsidRPr="008B3BA9">
        <w:rPr>
          <w:rFonts w:eastAsia="Calibri"/>
          <w:b/>
        </w:rPr>
        <w:t>requiring respondents to submit proprietary trade secrets, or other confidential information unless the agency can demonstrate that it has instituted procedures to protect the information's confidentiality to the extent permitted by law.</w:t>
      </w:r>
      <w:bookmarkEnd w:id="1"/>
    </w:p>
    <w:p w:rsidR="00B20B95" w:rsidP="00B20B95" w:rsidRDefault="0020767E" w14:paraId="11C5E847" w14:textId="1D5CFC85">
      <w:pPr>
        <w:pStyle w:val="BodyText"/>
        <w:rPr>
          <w:rFonts w:eastAsia="Calibri"/>
          <w:b w:val="0"/>
          <w:bCs w:val="0"/>
        </w:rPr>
      </w:pPr>
      <w:r w:rsidRPr="008B3BA9">
        <w:rPr>
          <w:rFonts w:eastAsia="Calibri"/>
          <w:b w:val="0"/>
          <w:bCs w:val="0"/>
        </w:rPr>
        <w:t>There are no special circumstances that would cause this collection to be collected in a manner inconsistent with 5 CFR 1320.5(d)(2).</w:t>
      </w:r>
    </w:p>
    <w:p w:rsidRPr="00FF32F2" w:rsidR="008B3BA9" w:rsidP="00B20B95" w:rsidRDefault="008B3BA9" w14:paraId="13502A0C" w14:textId="77777777">
      <w:pPr>
        <w:pStyle w:val="BodyText"/>
      </w:pPr>
    </w:p>
    <w:p w:rsidR="00B20B95" w:rsidP="00B20B95" w:rsidRDefault="00B20B95" w14:paraId="706CB97E" w14:textId="2735B6A1">
      <w:pPr>
        <w:pStyle w:val="BodyText"/>
      </w:pPr>
      <w:r w:rsidRPr="00FF32F2">
        <w:t>8.  I</w:t>
      </w:r>
      <w:r w:rsidRPr="00E238A6" w:rsidR="00E238A6">
        <w:t xml:space="preserve">f applicable, provide a copy and identify the date and page number of </w:t>
      </w:r>
      <w:proofErr w:type="gramStart"/>
      <w:r w:rsidRPr="00E238A6" w:rsidR="00E238A6">
        <w:t>publication</w:t>
      </w:r>
      <w:proofErr w:type="gramEnd"/>
      <w:r w:rsidRPr="00E238A6" w:rsidR="00E238A6">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BE087C" w:rsidR="00BE087C">
        <w:t xml:space="preserve"> on the availability of data, frequency of collection, the clarity of instructions and </w:t>
      </w:r>
      <w:r w:rsidRPr="00BE087C" w:rsidR="00BE087C">
        <w:lastRenderedPageBreak/>
        <w:t>recordkeeping, disclosure, or reporting format, and on the data elements to be recorded, disclosed, or reported</w:t>
      </w:r>
      <w:r w:rsidRPr="00FF32F2">
        <w:t>.</w:t>
      </w:r>
    </w:p>
    <w:p w:rsidR="00B20B95" w:rsidP="00B20B95" w:rsidRDefault="00B20B95" w14:paraId="1614FE7A" w14:textId="77777777">
      <w:pPr>
        <w:tabs>
          <w:tab w:val="center" w:pos="4680"/>
        </w:tabs>
        <w:rPr>
          <w:color w:val="000000"/>
        </w:rPr>
      </w:pPr>
    </w:p>
    <w:p w:rsidR="00CB7FA0" w:rsidP="00B20B95" w:rsidRDefault="00CB7FA0" w14:paraId="68EEE6EA" w14:textId="0785FB51">
      <w:pPr>
        <w:pStyle w:val="BodyText"/>
        <w:rPr>
          <w:b w:val="0"/>
          <w:bCs w:val="0"/>
        </w:rPr>
      </w:pPr>
      <w:r w:rsidRPr="00CB7FA0">
        <w:rPr>
          <w:b w:val="0"/>
          <w:bCs w:val="0"/>
        </w:rPr>
        <w:t xml:space="preserve">A copy of the Federal Register notice </w:t>
      </w:r>
      <w:r w:rsidR="00772597">
        <w:rPr>
          <w:b w:val="0"/>
          <w:bCs w:val="0"/>
        </w:rPr>
        <w:t xml:space="preserve">published on </w:t>
      </w:r>
      <w:r w:rsidRPr="00772597" w:rsidR="00772597">
        <w:rPr>
          <w:b w:val="0"/>
          <w:bCs w:val="0"/>
        </w:rPr>
        <w:t>August 26, 2021</w:t>
      </w:r>
      <w:r w:rsidR="00772597">
        <w:rPr>
          <w:b w:val="0"/>
          <w:bCs w:val="0"/>
        </w:rPr>
        <w:t xml:space="preserve"> </w:t>
      </w:r>
      <w:r w:rsidRPr="00CB7FA0">
        <w:rPr>
          <w:b w:val="0"/>
          <w:bCs w:val="0"/>
        </w:rPr>
        <w:t>(</w:t>
      </w:r>
      <w:r w:rsidR="00DE2246">
        <w:rPr>
          <w:b w:val="0"/>
          <w:bCs w:val="0"/>
        </w:rPr>
        <w:t>86</w:t>
      </w:r>
      <w:r w:rsidRPr="00CB7FA0" w:rsidR="00DE2246">
        <w:rPr>
          <w:b w:val="0"/>
          <w:bCs w:val="0"/>
        </w:rPr>
        <w:t xml:space="preserve"> </w:t>
      </w:r>
      <w:r w:rsidRPr="00CB7FA0">
        <w:rPr>
          <w:b w:val="0"/>
          <w:bCs w:val="0"/>
        </w:rPr>
        <w:t xml:space="preserve">FR </w:t>
      </w:r>
      <w:r w:rsidR="00DE2246">
        <w:rPr>
          <w:b w:val="0"/>
          <w:bCs w:val="0"/>
        </w:rPr>
        <w:t>47719</w:t>
      </w:r>
      <w:r w:rsidRPr="00CB7FA0">
        <w:rPr>
          <w:b w:val="0"/>
          <w:bCs w:val="0"/>
        </w:rPr>
        <w:t xml:space="preserve">) soliciting comments on </w:t>
      </w:r>
      <w:r>
        <w:rPr>
          <w:b w:val="0"/>
          <w:bCs w:val="0"/>
        </w:rPr>
        <w:t>this</w:t>
      </w:r>
      <w:r w:rsidRPr="00CB7FA0">
        <w:rPr>
          <w:b w:val="0"/>
          <w:bCs w:val="0"/>
        </w:rPr>
        <w:t xml:space="preserve"> collection of information is attac</w:t>
      </w:r>
      <w:r>
        <w:rPr>
          <w:b w:val="0"/>
          <w:bCs w:val="0"/>
        </w:rPr>
        <w:t>hed.</w:t>
      </w:r>
      <w:r w:rsidR="00DE2246">
        <w:rPr>
          <w:b w:val="0"/>
          <w:bCs w:val="0"/>
        </w:rPr>
        <w:t xml:space="preserve">  We received four comments in response to the notice.  The commenters were the Insurance </w:t>
      </w:r>
      <w:r w:rsidR="00C376BE">
        <w:rPr>
          <w:b w:val="0"/>
          <w:bCs w:val="0"/>
        </w:rPr>
        <w:t>Institute</w:t>
      </w:r>
      <w:r w:rsidR="00DE2246">
        <w:rPr>
          <w:b w:val="0"/>
          <w:bCs w:val="0"/>
        </w:rPr>
        <w:t xml:space="preserve"> for </w:t>
      </w:r>
      <w:r w:rsidR="00C376BE">
        <w:rPr>
          <w:b w:val="0"/>
          <w:bCs w:val="0"/>
        </w:rPr>
        <w:t>Highway</w:t>
      </w:r>
      <w:r w:rsidR="00DE2246">
        <w:rPr>
          <w:b w:val="0"/>
          <w:bCs w:val="0"/>
        </w:rPr>
        <w:t xml:space="preserve"> Safety and Highway Loss Data Institute, </w:t>
      </w:r>
      <w:r w:rsidR="0036208C">
        <w:rPr>
          <w:b w:val="0"/>
          <w:bCs w:val="0"/>
        </w:rPr>
        <w:t xml:space="preserve">the </w:t>
      </w:r>
      <w:r w:rsidR="00DE2246">
        <w:rPr>
          <w:b w:val="0"/>
          <w:bCs w:val="0"/>
        </w:rPr>
        <w:t xml:space="preserve">National Association of Mutual Insurance Companies, Advocates for Highway and Auto Safety, and the Center for Auto Safety.  </w:t>
      </w:r>
      <w:bookmarkStart w:name="_Hlk87439478" w:id="2"/>
      <w:r w:rsidR="0077216A">
        <w:rPr>
          <w:b w:val="0"/>
          <w:bCs w:val="0"/>
        </w:rPr>
        <w:t xml:space="preserve">All commenters supported the information collection; however, </w:t>
      </w:r>
      <w:bookmarkEnd w:id="2"/>
      <w:r w:rsidR="0077216A">
        <w:rPr>
          <w:b w:val="0"/>
          <w:bCs w:val="0"/>
        </w:rPr>
        <w:t>t</w:t>
      </w:r>
      <w:r w:rsidR="00DE2246">
        <w:rPr>
          <w:b w:val="0"/>
          <w:bCs w:val="0"/>
        </w:rPr>
        <w:t xml:space="preserve">he comments </w:t>
      </w:r>
      <w:r w:rsidR="00C376BE">
        <w:rPr>
          <w:b w:val="0"/>
          <w:bCs w:val="0"/>
        </w:rPr>
        <w:t xml:space="preserve">did not address the estimated cost and hour burden of this information collection.  </w:t>
      </w:r>
      <w:r w:rsidRPr="00BB6EC0" w:rsidR="00BB6EC0">
        <w:rPr>
          <w:b w:val="0"/>
          <w:bCs w:val="0"/>
        </w:rPr>
        <w:t xml:space="preserve">The comments instead made recommendations to NHTSA to mandate event data recorders and expand the number of data elements required in Part 563 and to make the data available to the public for certain vehicles.  These comments, however, cannot be addressed by this process of seeking approval for the information collection for the current Part 563 because the recommendations would require rulemaking.  NHTSA also notes that this information collection does not pertain to the submission of EDR data to NHTSA or the collection of EDR data by NHTSA.  Instead, it only pertains to the requirement for manufacturers to ensure that EDRs voluntarily installed on vehicles subject to Part 563 collect certain minimum data in standardized formats.  Any consideration of the public disclosure of EDR data in NHTSA’s possession is outside of the scope of this information collection request.  Additionally, NHTSA notes that such disclosure would be subject to the Driver Privacy Act of 2015 assigns ownership of EDR data to the vehicle owner, provides limitations on data retrieval from EDR data, and prohibits, with specific exemptions, access to EDR data. </w:t>
      </w:r>
    </w:p>
    <w:p w:rsidR="0027598E" w:rsidP="00B20B95" w:rsidRDefault="0027598E" w14:paraId="3A071423" w14:textId="3C9C6805">
      <w:pPr>
        <w:pStyle w:val="BodyText"/>
        <w:rPr>
          <w:b w:val="0"/>
          <w:bCs w:val="0"/>
        </w:rPr>
      </w:pPr>
    </w:p>
    <w:p w:rsidR="0027598E" w:rsidP="00B20B95" w:rsidRDefault="0027598E" w14:paraId="574F5178" w14:textId="5784C95D">
      <w:pPr>
        <w:pStyle w:val="BodyText"/>
        <w:rPr>
          <w:b w:val="0"/>
          <w:bCs w:val="0"/>
        </w:rPr>
      </w:pPr>
      <w:r w:rsidRPr="0027598E">
        <w:rPr>
          <w:b w:val="0"/>
          <w:bCs w:val="0"/>
        </w:rPr>
        <w:t xml:space="preserve">NHTSA published a 30-day notice on </w:t>
      </w:r>
      <w:r>
        <w:rPr>
          <w:b w:val="0"/>
          <w:bCs w:val="0"/>
        </w:rPr>
        <w:t xml:space="preserve">March 17, 2022, </w:t>
      </w:r>
      <w:r w:rsidRPr="0027598E">
        <w:rPr>
          <w:b w:val="0"/>
          <w:bCs w:val="0"/>
        </w:rPr>
        <w:t>that stated NHTSA’s intention to submit this ICR to OMB for approval (</w:t>
      </w:r>
      <w:r>
        <w:rPr>
          <w:b w:val="0"/>
          <w:bCs w:val="0"/>
        </w:rPr>
        <w:t>87</w:t>
      </w:r>
      <w:r w:rsidRPr="0027598E">
        <w:rPr>
          <w:b w:val="0"/>
          <w:bCs w:val="0"/>
        </w:rPr>
        <w:t xml:space="preserve"> FR </w:t>
      </w:r>
      <w:r>
        <w:rPr>
          <w:b w:val="0"/>
          <w:bCs w:val="0"/>
        </w:rPr>
        <w:t>15302</w:t>
      </w:r>
      <w:r w:rsidRPr="0027598E">
        <w:rPr>
          <w:b w:val="0"/>
          <w:bCs w:val="0"/>
        </w:rPr>
        <w:t>).</w:t>
      </w:r>
    </w:p>
    <w:p w:rsidR="003B6D5D" w:rsidP="00B20B95" w:rsidRDefault="003B6D5D" w14:paraId="531BD0EE" w14:textId="77777777">
      <w:pPr>
        <w:pStyle w:val="BodyText"/>
        <w:rPr>
          <w:b w:val="0"/>
        </w:rPr>
      </w:pPr>
    </w:p>
    <w:p w:rsidR="00B20B95" w:rsidP="00B20B95" w:rsidRDefault="00B20B95" w14:paraId="301D8C2E" w14:textId="77777777">
      <w:pPr>
        <w:pStyle w:val="BodyText"/>
        <w:tabs>
          <w:tab w:val="center" w:pos="4680"/>
        </w:tabs>
      </w:pPr>
      <w:r>
        <w:t>9. Explain any decision to provide any payment or gift to respondents, other than remuneration of contractors or grantees.</w:t>
      </w:r>
    </w:p>
    <w:p w:rsidR="00B20B95" w:rsidP="00B20B95" w:rsidRDefault="00B20B95" w14:paraId="78978D22" w14:textId="77777777">
      <w:pPr>
        <w:tabs>
          <w:tab w:val="center" w:pos="4680"/>
        </w:tabs>
      </w:pPr>
    </w:p>
    <w:p w:rsidR="00B20B95" w:rsidP="00B20B95" w:rsidRDefault="00743ED3" w14:paraId="690E5C0B" w14:textId="7530A589">
      <w:pPr>
        <w:pStyle w:val="BodyText"/>
        <w:rPr>
          <w:b w:val="0"/>
          <w:bCs w:val="0"/>
        </w:rPr>
      </w:pPr>
      <w:r>
        <w:rPr>
          <w:b w:val="0"/>
          <w:bCs w:val="0"/>
        </w:rPr>
        <w:t>This information collection does not involve</w:t>
      </w:r>
      <w:r w:rsidR="00B20B95">
        <w:rPr>
          <w:b w:val="0"/>
          <w:bCs w:val="0"/>
        </w:rPr>
        <w:t xml:space="preserve"> any payment</w:t>
      </w:r>
      <w:r>
        <w:rPr>
          <w:b w:val="0"/>
          <w:bCs w:val="0"/>
        </w:rPr>
        <w:t>s</w:t>
      </w:r>
      <w:r w:rsidR="00B20B95">
        <w:rPr>
          <w:b w:val="0"/>
          <w:bCs w:val="0"/>
        </w:rPr>
        <w:t xml:space="preserve"> or gift</w:t>
      </w:r>
      <w:r>
        <w:rPr>
          <w:b w:val="0"/>
          <w:bCs w:val="0"/>
        </w:rPr>
        <w:t>s</w:t>
      </w:r>
      <w:r w:rsidR="00B20B95">
        <w:rPr>
          <w:b w:val="0"/>
          <w:bCs w:val="0"/>
        </w:rPr>
        <w:t xml:space="preserve"> to respondents.</w:t>
      </w:r>
    </w:p>
    <w:p w:rsidR="00B20B95" w:rsidP="00B20B95" w:rsidRDefault="00B20B95" w14:paraId="66EDF43A" w14:textId="77777777">
      <w:pPr>
        <w:pStyle w:val="BodyText"/>
        <w:tabs>
          <w:tab w:val="center" w:pos="4680"/>
        </w:tabs>
        <w:rPr>
          <w:b w:val="0"/>
          <w:bCs w:val="0"/>
        </w:rPr>
      </w:pPr>
    </w:p>
    <w:p w:rsidR="00B20B95" w:rsidP="00B20B95" w:rsidRDefault="00B20B95" w14:paraId="51BF33EE" w14:textId="5FC05671">
      <w:pPr>
        <w:pStyle w:val="BodyText"/>
        <w:tabs>
          <w:tab w:val="center" w:pos="4680"/>
        </w:tabs>
      </w:pPr>
      <w:r>
        <w:t xml:space="preserve">10.  </w:t>
      </w:r>
      <w:r w:rsidRPr="00E238A6" w:rsidR="00E238A6">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20B95" w:rsidP="00B20B95" w:rsidRDefault="00B20B95" w14:paraId="2F3809A7" w14:textId="77777777">
      <w:pPr>
        <w:pStyle w:val="BodyText"/>
        <w:tabs>
          <w:tab w:val="center" w:pos="4680"/>
        </w:tabs>
      </w:pPr>
    </w:p>
    <w:p w:rsidR="00B20B95" w:rsidP="00B20B95" w:rsidRDefault="00CB7FA0" w14:paraId="13D71D7E" w14:textId="77777777">
      <w:pPr>
        <w:autoSpaceDE w:val="0"/>
        <w:autoSpaceDN w:val="0"/>
        <w:adjustRightInd w:val="0"/>
      </w:pPr>
      <w:r>
        <w:t>Part 563 does not require v</w:t>
      </w:r>
      <w:r w:rsidR="00B20B95">
        <w:t>ehicle manufacturers to retain or report information gathered by EDRs because the devices themselves continuously monitor vehicle systems and determine when to record, retain, and/or overwrite information.  The information is collected automatically by electronic means.  Manufacturers are only required to make data retrieval tools and/or methods commercially available.  Accordingly, no confidential information is being collected from vehicle manufacturers.</w:t>
      </w:r>
    </w:p>
    <w:p w:rsidRPr="007E721D" w:rsidR="00B20B95" w:rsidP="00B20B95" w:rsidRDefault="00B20B95" w14:paraId="3E932BBD" w14:textId="77777777">
      <w:pPr>
        <w:pStyle w:val="BodyText"/>
      </w:pPr>
    </w:p>
    <w:p w:rsidR="00B20B95" w:rsidP="00B20B95" w:rsidRDefault="00B20B95" w14:paraId="2F01B7A5" w14:textId="23F77C78">
      <w:pPr>
        <w:autoSpaceDE w:val="0"/>
        <w:autoSpaceDN w:val="0"/>
        <w:adjustRightInd w:val="0"/>
        <w:rPr>
          <w:b/>
        </w:rPr>
      </w:pPr>
      <w:r w:rsidRPr="007E721D">
        <w:rPr>
          <w:b/>
        </w:rPr>
        <w:t xml:space="preserve">11. </w:t>
      </w:r>
      <w:r>
        <w:rPr>
          <w:b/>
        </w:rPr>
        <w:t xml:space="preserve"> </w:t>
      </w:r>
      <w:r w:rsidRPr="004421D3" w:rsidR="004421D3">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Pr="004421D3" w:rsidR="004421D3">
        <w:rPr>
          <w:b/>
        </w:rPr>
        <w:lastRenderedPageBreak/>
        <w:t>questions necessary, the specific uses to be made of the information, the explanation to be given to persons from whom the information is requested, and any steps to be taken to obtain their consent.</w:t>
      </w:r>
    </w:p>
    <w:p w:rsidR="00B20B95" w:rsidP="00B20B95" w:rsidRDefault="00B20B95" w14:paraId="6FEF0171" w14:textId="77777777">
      <w:pPr>
        <w:autoSpaceDE w:val="0"/>
        <w:autoSpaceDN w:val="0"/>
        <w:adjustRightInd w:val="0"/>
        <w:rPr>
          <w:b/>
        </w:rPr>
      </w:pPr>
    </w:p>
    <w:p w:rsidRPr="00026D51" w:rsidR="00B20B95" w:rsidP="00B20B95" w:rsidRDefault="004421D3" w14:paraId="3F173759" w14:textId="0C7D2CBD">
      <w:pPr>
        <w:rPr>
          <w:color w:val="000000"/>
        </w:rPr>
      </w:pPr>
      <w:r>
        <w:rPr>
          <w:color w:val="000000"/>
        </w:rPr>
        <w:t>The information collection does not involve any information that would be considered of a sensitive nature.</w:t>
      </w:r>
      <w:r w:rsidR="0053055B">
        <w:rPr>
          <w:color w:val="000000"/>
        </w:rPr>
        <w:t xml:space="preserve"> </w:t>
      </w:r>
      <w:r>
        <w:rPr>
          <w:color w:val="000000"/>
        </w:rPr>
        <w:t xml:space="preserve"> </w:t>
      </w:r>
      <w:r w:rsidR="00B20B95">
        <w:rPr>
          <w:color w:val="000000"/>
        </w:rPr>
        <w:t>NHTSA has</w:t>
      </w:r>
      <w:r w:rsidRPr="00026D51" w:rsidR="00B20B95">
        <w:rPr>
          <w:color w:val="000000"/>
        </w:rPr>
        <w:t xml:space="preserve"> sought</w:t>
      </w:r>
      <w:r w:rsidR="00B20B95">
        <w:rPr>
          <w:color w:val="000000"/>
        </w:rPr>
        <w:t>,</w:t>
      </w:r>
      <w:r w:rsidRPr="00026D51" w:rsidR="00B20B95">
        <w:rPr>
          <w:color w:val="000000"/>
        </w:rPr>
        <w:t xml:space="preserve"> in developing and establishing the EDR </w:t>
      </w:r>
      <w:r w:rsidR="005D526A">
        <w:rPr>
          <w:color w:val="000000"/>
        </w:rPr>
        <w:t xml:space="preserve">performance </w:t>
      </w:r>
      <w:r w:rsidRPr="00026D51" w:rsidR="00B20B95">
        <w:rPr>
          <w:color w:val="000000"/>
        </w:rPr>
        <w:t>requirements</w:t>
      </w:r>
      <w:r w:rsidR="00B20B95">
        <w:rPr>
          <w:color w:val="000000"/>
        </w:rPr>
        <w:t>,</w:t>
      </w:r>
      <w:r w:rsidRPr="00026D51" w:rsidR="00B20B95">
        <w:rPr>
          <w:color w:val="000000"/>
        </w:rPr>
        <w:t xml:space="preserve"> to minimize the types of data recorded and the duration of any recording</w:t>
      </w:r>
      <w:r w:rsidR="005D526A">
        <w:rPr>
          <w:color w:val="000000"/>
        </w:rPr>
        <w:t xml:space="preserve"> for all voluntarily installed EDRs</w:t>
      </w:r>
      <w:r w:rsidRPr="00026D51" w:rsidR="00B20B95">
        <w:rPr>
          <w:color w:val="000000"/>
        </w:rPr>
        <w:t xml:space="preserve">.  We do not require the recording of data for prolonged intervals (i.e., several minutes) or audio/visual data that the public may associate with event data recorders in other modes of transportation.  We believe that our objectives can be met by using a very brief snapshot of EDR data </w:t>
      </w:r>
      <w:r w:rsidR="00B20B95">
        <w:rPr>
          <w:color w:val="000000"/>
        </w:rPr>
        <w:t xml:space="preserve">in the time period immediately </w:t>
      </w:r>
      <w:r w:rsidRPr="00026D51" w:rsidR="00B20B95">
        <w:rPr>
          <w:color w:val="000000"/>
        </w:rPr>
        <w:t xml:space="preserve">surrounding a crash. </w:t>
      </w:r>
    </w:p>
    <w:p w:rsidR="00B20B95" w:rsidP="00B20B95" w:rsidRDefault="00B20B95" w14:paraId="78B32F5D" w14:textId="77777777">
      <w:pPr>
        <w:rPr>
          <w:color w:val="000000"/>
        </w:rPr>
      </w:pPr>
    </w:p>
    <w:p w:rsidRPr="004B4746" w:rsidR="00B20B95" w:rsidP="00B20B95" w:rsidRDefault="00B20B95" w14:paraId="2C353211" w14:textId="198EDA37">
      <w:r w:rsidRPr="00026D51">
        <w:rPr>
          <w:color w:val="000000"/>
        </w:rPr>
        <w:t xml:space="preserve">The </w:t>
      </w:r>
      <w:r>
        <w:rPr>
          <w:color w:val="000000"/>
        </w:rPr>
        <w:t xml:space="preserve">current voluntary </w:t>
      </w:r>
      <w:r w:rsidRPr="00026D51">
        <w:rPr>
          <w:color w:val="000000"/>
        </w:rPr>
        <w:t xml:space="preserve">EDR requirements </w:t>
      </w:r>
      <w:r w:rsidR="00CB7FA0">
        <w:rPr>
          <w:color w:val="000000"/>
        </w:rPr>
        <w:t>in 49 CFR Part 563</w:t>
      </w:r>
      <w:r>
        <w:rPr>
          <w:color w:val="000000"/>
        </w:rPr>
        <w:t xml:space="preserve"> </w:t>
      </w:r>
      <w:r w:rsidRPr="00026D51">
        <w:rPr>
          <w:color w:val="000000"/>
        </w:rPr>
        <w:t xml:space="preserve">standardize EDR data recording for an extremely short duration (i.e., a few seconds immediately before and </w:t>
      </w:r>
      <w:r>
        <w:rPr>
          <w:color w:val="000000"/>
        </w:rPr>
        <w:t>during</w:t>
      </w:r>
      <w:r w:rsidRPr="00026D51">
        <w:rPr>
          <w:color w:val="000000"/>
        </w:rPr>
        <w:t xml:space="preserve"> a crash).  </w:t>
      </w:r>
      <w:r w:rsidRPr="00026D51">
        <w:t xml:space="preserve">EDRs </w:t>
      </w:r>
      <w:r>
        <w:t xml:space="preserve">compliant with Part 563 requirements </w:t>
      </w:r>
      <w:r w:rsidRPr="00026D51">
        <w:t xml:space="preserve">continuously record and seconds later erase data unless and until a </w:t>
      </w:r>
      <w:r>
        <w:t>frontal air bag</w:t>
      </w:r>
      <w:r w:rsidRPr="00026D51">
        <w:t xml:space="preserve"> </w:t>
      </w:r>
      <w:r>
        <w:t>or in some cases, a side air bag deploys</w:t>
      </w:r>
      <w:r w:rsidRPr="00026D51">
        <w:t xml:space="preserve">.  If no </w:t>
      </w:r>
      <w:r>
        <w:t>frontal or side air bag</w:t>
      </w:r>
      <w:r w:rsidRPr="00026D51">
        <w:t xml:space="preserve"> ever </w:t>
      </w:r>
      <w:r>
        <w:t>deploys</w:t>
      </w:r>
      <w:r w:rsidRPr="00026D51">
        <w:t xml:space="preserve">, no data are ever permanently captured and stored.  </w:t>
      </w:r>
      <w:r>
        <w:t xml:space="preserve">Other types of events can result in storage of data that can be overwritten by subsequent events.  Data are only required to be locked and cannot be overwritten when an air bag deploys in a crash event.  </w:t>
      </w:r>
      <w:r w:rsidRPr="00026D51">
        <w:t xml:space="preserve">When </w:t>
      </w:r>
      <w:r>
        <w:t>recordable events</w:t>
      </w:r>
      <w:r w:rsidRPr="00026D51">
        <w:t xml:space="preserve"> do occur, EDRs only capture data for a few seconds.  </w:t>
      </w:r>
      <w:r w:rsidRPr="00026D51">
        <w:rPr>
          <w:color w:val="000000"/>
        </w:rPr>
        <w:t>EDRs do not record any personal information</w:t>
      </w:r>
      <w:r w:rsidR="005D526A">
        <w:rPr>
          <w:color w:val="000000"/>
        </w:rPr>
        <w:t>, including location identification information</w:t>
      </w:r>
      <w:r w:rsidRPr="00026D51">
        <w:rPr>
          <w:color w:val="000000"/>
        </w:rPr>
        <w:t xml:space="preserve">.  They do not record </w:t>
      </w:r>
      <w:r w:rsidRPr="00026D51">
        <w:t xml:space="preserve">any audio or video data.  </w:t>
      </w:r>
    </w:p>
    <w:p w:rsidRPr="007E721D" w:rsidR="00B20B95" w:rsidP="00B20B95" w:rsidRDefault="00B20B95" w14:paraId="0FCE7FE9" w14:textId="77777777">
      <w:pPr>
        <w:autoSpaceDE w:val="0"/>
        <w:autoSpaceDN w:val="0"/>
        <w:adjustRightInd w:val="0"/>
        <w:rPr>
          <w:b/>
        </w:rPr>
      </w:pPr>
    </w:p>
    <w:p w:rsidR="00B20B95" w:rsidP="00B20B95" w:rsidRDefault="00B20B95" w14:paraId="000DB6EF" w14:textId="427D96E5">
      <w:pPr>
        <w:pStyle w:val="BodyText"/>
      </w:pPr>
      <w:r w:rsidRPr="00351793">
        <w:t>12. Provide estimates of the hour burden of the collection of information on the respondents</w:t>
      </w:r>
      <w:r w:rsidRPr="00D545CD" w:rsidR="00D545CD">
        <w:t xml:space="preserve"> and estimates of the annualized labor cost to respondents associated with that hour burden</w:t>
      </w:r>
      <w:r w:rsidRPr="00351793">
        <w:t>.</w:t>
      </w:r>
    </w:p>
    <w:p w:rsidR="00B20B95" w:rsidP="00B20B95" w:rsidRDefault="00B20B95" w14:paraId="292FA586" w14:textId="77777777">
      <w:pPr>
        <w:pStyle w:val="BodyText"/>
        <w:tabs>
          <w:tab w:val="center" w:pos="4680"/>
        </w:tabs>
        <w:rPr>
          <w:b w:val="0"/>
        </w:rPr>
      </w:pPr>
    </w:p>
    <w:p w:rsidR="00DD74FA" w:rsidP="00B20B95" w:rsidRDefault="00B20B95" w14:paraId="23EDD016" w14:textId="50F3B5B1">
      <w:r>
        <w:t xml:space="preserve">The respondents are manufacturers of </w:t>
      </w:r>
      <w:r w:rsidRPr="00D809BE">
        <w:t xml:space="preserve">passenger cars, multipurpose passenger vehicles, trucks, and buses </w:t>
      </w:r>
      <w:r>
        <w:t>having a</w:t>
      </w:r>
      <w:r w:rsidRPr="00D809BE">
        <w:t xml:space="preserve"> GVWR of 3,855 kg (8,500 pounds) or less and an unloaded vehicle weight of 2,495 kg (5,500 pounds)</w:t>
      </w:r>
      <w:r w:rsidR="00CB7FA0">
        <w:t xml:space="preserve"> that voluntarily equip their vehicles with EDRs</w:t>
      </w:r>
      <w:r>
        <w:t>.  The agency estimate</w:t>
      </w:r>
      <w:r w:rsidR="00DD74FA">
        <w:t>s that there are approximately 1</w:t>
      </w:r>
      <w:r>
        <w:t>8 such manufacturers</w:t>
      </w:r>
      <w:r w:rsidR="00DD74FA">
        <w:t xml:space="preserve"> and that about 99.</w:t>
      </w:r>
      <w:r w:rsidR="004D4E70">
        <w:t>5</w:t>
      </w:r>
      <w:r w:rsidR="00DD74FA">
        <w:t>% of model year 20</w:t>
      </w:r>
      <w:r w:rsidR="004D4E70">
        <w:t>2</w:t>
      </w:r>
      <w:r w:rsidR="00DD74FA">
        <w:t xml:space="preserve">1 light vehicles </w:t>
      </w:r>
      <w:r w:rsidR="00BB6EC0">
        <w:t xml:space="preserve">(approximately 15,045,600 vehicles) </w:t>
      </w:r>
      <w:r w:rsidR="00B04D6E">
        <w:t xml:space="preserve">were equipped with </w:t>
      </w:r>
      <w:r w:rsidR="00DD74FA">
        <w:t>an EDR</w:t>
      </w:r>
      <w:r>
        <w:t>.</w:t>
      </w:r>
      <w:r w:rsidRPr="00A91AC1" w:rsidR="00E47892">
        <w:t xml:space="preserve">  </w:t>
      </w:r>
    </w:p>
    <w:p w:rsidR="009E62E0" w:rsidP="009E62E0" w:rsidRDefault="009E62E0" w14:paraId="7554AB43" w14:textId="77777777">
      <w:pPr>
        <w:pStyle w:val="BodyText"/>
        <w:rPr>
          <w:b w:val="0"/>
          <w:iCs/>
        </w:rPr>
      </w:pPr>
    </w:p>
    <w:p w:rsidR="005E253C" w:rsidP="009E62E0" w:rsidRDefault="009E62E0" w14:paraId="6DB9595B" w14:textId="3038125A">
      <w:pPr>
        <w:pStyle w:val="BodyText"/>
        <w:rPr>
          <w:b w:val="0"/>
        </w:rPr>
      </w:pPr>
      <w:r w:rsidRPr="006A24E8">
        <w:rPr>
          <w:b w:val="0"/>
          <w:iCs/>
        </w:rPr>
        <w:t xml:space="preserve">There are no annual reporting or recordkeeping burdens associated with </w:t>
      </w:r>
      <w:r>
        <w:rPr>
          <w:b w:val="0"/>
          <w:iCs/>
        </w:rPr>
        <w:t xml:space="preserve">Part 563, except for the owner’s manual statement requirement which </w:t>
      </w:r>
      <w:r w:rsidR="00EF2F9B">
        <w:rPr>
          <w:b w:val="0"/>
          <w:iCs/>
        </w:rPr>
        <w:t xml:space="preserve">will be </w:t>
      </w:r>
      <w:r>
        <w:rPr>
          <w:b w:val="0"/>
          <w:iCs/>
        </w:rPr>
        <w:t xml:space="preserve">incorporated into the </w:t>
      </w:r>
      <w:r w:rsidR="00566843">
        <w:rPr>
          <w:b w:val="0"/>
          <w:iCs/>
        </w:rPr>
        <w:t>c</w:t>
      </w:r>
      <w:r>
        <w:rPr>
          <w:b w:val="0"/>
          <w:iCs/>
        </w:rPr>
        <w:t xml:space="preserve">onsolidated owner’s manual requirements information collection </w:t>
      </w:r>
      <w:r w:rsidR="009B05BE">
        <w:rPr>
          <w:b w:val="0"/>
          <w:iCs/>
        </w:rPr>
        <w:t>(</w:t>
      </w:r>
      <w:r w:rsidR="005700D0">
        <w:rPr>
          <w:b w:val="0"/>
          <w:iCs/>
        </w:rPr>
        <w:t>OMB Control</w:t>
      </w:r>
      <w:r>
        <w:rPr>
          <w:b w:val="0"/>
          <w:iCs/>
        </w:rPr>
        <w:t xml:space="preserve"> Number 2127-0541</w:t>
      </w:r>
      <w:r w:rsidR="009B05BE">
        <w:rPr>
          <w:b w:val="0"/>
          <w:iCs/>
        </w:rPr>
        <w:t>)</w:t>
      </w:r>
      <w:r w:rsidRPr="006A24E8">
        <w:rPr>
          <w:b w:val="0"/>
          <w:iCs/>
        </w:rPr>
        <w:t xml:space="preserve">.  </w:t>
      </w:r>
      <w:r w:rsidRPr="006A24E8">
        <w:rPr>
          <w:b w:val="0"/>
        </w:rPr>
        <w:t xml:space="preserve">Vehicle manufacturers are not required to </w:t>
      </w:r>
      <w:proofErr w:type="gramStart"/>
      <w:r w:rsidRPr="006A24E8">
        <w:rPr>
          <w:b w:val="0"/>
        </w:rPr>
        <w:t>retain</w:t>
      </w:r>
      <w:proofErr w:type="gramEnd"/>
      <w:r w:rsidRPr="006A24E8">
        <w:rPr>
          <w:b w:val="0"/>
        </w:rPr>
        <w:t xml:space="preserve"> or report information gathered by EDRs because the devices themselves continuously monitor vehicle systems and determine when to record, retain, and/or overwrite information.  The information is collected automatically by electronic means.</w:t>
      </w:r>
      <w:r w:rsidR="009A5D4E">
        <w:rPr>
          <w:b w:val="0"/>
        </w:rPr>
        <w:t xml:space="preserve"> </w:t>
      </w:r>
      <w:r w:rsidRPr="002126E1" w:rsidR="002126E1">
        <w:rPr>
          <w:b w:val="0"/>
        </w:rPr>
        <w:t>The</w:t>
      </w:r>
      <w:r w:rsidR="002126E1">
        <w:rPr>
          <w:b w:val="0"/>
        </w:rPr>
        <w:t xml:space="preserve">refore, </w:t>
      </w:r>
      <w:r w:rsidR="00FE0576">
        <w:rPr>
          <w:b w:val="0"/>
        </w:rPr>
        <w:t xml:space="preserve">NHTSA estimates that </w:t>
      </w:r>
      <w:r w:rsidR="002126E1">
        <w:rPr>
          <w:b w:val="0"/>
        </w:rPr>
        <w:t>this</w:t>
      </w:r>
      <w:r w:rsidRPr="002126E1" w:rsidR="002126E1">
        <w:rPr>
          <w:b w:val="0"/>
        </w:rPr>
        <w:t xml:space="preserve"> information collection will not have a time burden</w:t>
      </w:r>
      <w:r w:rsidR="00FE0576">
        <w:rPr>
          <w:b w:val="0"/>
        </w:rPr>
        <w:t>. Instead, the only burden associated with this information collection</w:t>
      </w:r>
      <w:r w:rsidRPr="002126E1" w:rsidR="002126E1">
        <w:rPr>
          <w:b w:val="0"/>
        </w:rPr>
        <w:t xml:space="preserve"> is </w:t>
      </w:r>
      <w:r w:rsidR="00FE0576">
        <w:rPr>
          <w:b w:val="0"/>
        </w:rPr>
        <w:t>the</w:t>
      </w:r>
      <w:r w:rsidR="005E253C">
        <w:rPr>
          <w:b w:val="0"/>
        </w:rPr>
        <w:t xml:space="preserve"> additional</w:t>
      </w:r>
      <w:r w:rsidR="00FE0576">
        <w:rPr>
          <w:b w:val="0"/>
        </w:rPr>
        <w:t xml:space="preserve"> cost </w:t>
      </w:r>
      <w:r w:rsidR="005E253C">
        <w:rPr>
          <w:b w:val="0"/>
        </w:rPr>
        <w:t>associated with</w:t>
      </w:r>
      <w:r w:rsidRPr="002126E1" w:rsidR="002126E1">
        <w:rPr>
          <w:b w:val="0"/>
        </w:rPr>
        <w:t xml:space="preserve"> </w:t>
      </w:r>
      <w:r w:rsidR="002126E1">
        <w:rPr>
          <w:b w:val="0"/>
        </w:rPr>
        <w:t>equipping vehicles with</w:t>
      </w:r>
      <w:r w:rsidRPr="002126E1" w:rsidR="002126E1">
        <w:rPr>
          <w:b w:val="0"/>
        </w:rPr>
        <w:t xml:space="preserve"> a compliant EDR</w:t>
      </w:r>
      <w:r w:rsidR="005E253C">
        <w:rPr>
          <w:b w:val="0"/>
        </w:rPr>
        <w:t xml:space="preserve"> in place of a non-compliant EDR. </w:t>
      </w:r>
    </w:p>
    <w:p w:rsidR="002F1E7B" w:rsidP="00441757" w:rsidRDefault="002F1E7B" w14:paraId="11CF4B3E" w14:textId="77777777"/>
    <w:p w:rsidR="00B20B95" w:rsidP="00B20B95" w:rsidRDefault="00B20B95" w14:paraId="586CE40A" w14:textId="1C156C94">
      <w:pPr>
        <w:pStyle w:val="BodyText"/>
      </w:pPr>
      <w:r>
        <w:t xml:space="preserve">13.  </w:t>
      </w:r>
      <w:r w:rsidRPr="001F5F62" w:rsidR="001F5F62">
        <w:t>Provide an estimate of the total annual cost burden to respondents or record keepers resulting from the collection of information. Do not include the cost of any hour burden already reflected in the response provided in question 1</w:t>
      </w:r>
      <w:r w:rsidR="001F5F62">
        <w:t xml:space="preserve">2. </w:t>
      </w:r>
    </w:p>
    <w:p w:rsidR="0013404A" w:rsidP="0013404A" w:rsidRDefault="0013404A" w14:paraId="01102D98" w14:textId="77777777">
      <w:pPr>
        <w:pStyle w:val="BodyText"/>
        <w:tabs>
          <w:tab w:val="center" w:pos="4680"/>
        </w:tabs>
        <w:rPr>
          <w:b w:val="0"/>
        </w:rPr>
      </w:pPr>
    </w:p>
    <w:p w:rsidR="0002073D" w:rsidP="0002073D" w:rsidRDefault="0002073D" w14:paraId="5AB5F11B" w14:textId="28C71209">
      <w:pPr>
        <w:pStyle w:val="BodyText"/>
        <w:rPr>
          <w:b w:val="0"/>
        </w:rPr>
      </w:pPr>
      <w:r>
        <w:rPr>
          <w:b w:val="0"/>
        </w:rPr>
        <w:t>I</w:t>
      </w:r>
      <w:r w:rsidRPr="0099346B">
        <w:rPr>
          <w:b w:val="0"/>
        </w:rPr>
        <w:t>n the August 2006 final rule</w:t>
      </w:r>
      <w:r>
        <w:rPr>
          <w:b w:val="0"/>
        </w:rPr>
        <w:t xml:space="preserve"> that established Part 563</w:t>
      </w:r>
      <w:r w:rsidRPr="0099346B">
        <w:rPr>
          <w:b w:val="0"/>
        </w:rPr>
        <w:t>, the agency estimated that the costs associated with the final rule were negligible.  Several factors contributed to this determination.  First, NHTSA estimated that about 64 percent of new light vehicles in 2005 already added the EDR capability to the vehicles</w:t>
      </w:r>
      <w:r w:rsidR="007642D5">
        <w:rPr>
          <w:b w:val="0"/>
        </w:rPr>
        <w:t>’</w:t>
      </w:r>
      <w:r w:rsidRPr="0099346B">
        <w:rPr>
          <w:b w:val="0"/>
        </w:rPr>
        <w:t xml:space="preserve"> existing air bag control systems.  Thus, the EDRs were simply capturing information that was already being processed by the vehicle.  Additionally, in the final rule the agency sought to limit the number of EDR data elements and associated requirements to the minimum necessary to achieve our stated purposes. </w:t>
      </w:r>
      <w:r w:rsidR="007642D5">
        <w:rPr>
          <w:b w:val="0"/>
        </w:rPr>
        <w:t xml:space="preserve"> </w:t>
      </w:r>
      <w:r w:rsidRPr="0099346B">
        <w:rPr>
          <w:b w:val="0"/>
        </w:rPr>
        <w:t>At that time, NHTSA determined that the industry</w:t>
      </w:r>
      <w:r w:rsidR="007642D5">
        <w:rPr>
          <w:b w:val="0"/>
        </w:rPr>
        <w:t>’</w:t>
      </w:r>
      <w:r w:rsidRPr="0099346B">
        <w:rPr>
          <w:b w:val="0"/>
        </w:rPr>
        <w:t xml:space="preserve">s current state-of-the-art </w:t>
      </w:r>
      <w:r w:rsidRPr="0099346B" w:rsidR="007642D5">
        <w:rPr>
          <w:b w:val="0"/>
        </w:rPr>
        <w:t>EDR</w:t>
      </w:r>
      <w:r w:rsidR="001A36FF">
        <w:rPr>
          <w:b w:val="0"/>
        </w:rPr>
        <w:t>s</w:t>
      </w:r>
      <w:r w:rsidRPr="0099346B" w:rsidR="007642D5">
        <w:rPr>
          <w:b w:val="0"/>
        </w:rPr>
        <w:t xml:space="preserve"> </w:t>
      </w:r>
      <w:r w:rsidRPr="0099346B">
        <w:rPr>
          <w:b w:val="0"/>
        </w:rPr>
        <w:t xml:space="preserve">largely met the purposes of Part 563. </w:t>
      </w:r>
      <w:r w:rsidR="007642D5">
        <w:rPr>
          <w:b w:val="0"/>
        </w:rPr>
        <w:t xml:space="preserve"> </w:t>
      </w:r>
      <w:r w:rsidRPr="0099346B">
        <w:rPr>
          <w:b w:val="0"/>
        </w:rPr>
        <w:t xml:space="preserve">Thus, it was unnecessary to specify requirements for additional sensors or other hardware that would increase EDR costs appreciably. </w:t>
      </w:r>
      <w:r w:rsidR="007642D5">
        <w:rPr>
          <w:b w:val="0"/>
        </w:rPr>
        <w:t xml:space="preserve"> </w:t>
      </w:r>
      <w:r w:rsidRPr="0099346B">
        <w:rPr>
          <w:b w:val="0"/>
        </w:rPr>
        <w:t xml:space="preserve">NHTSA stated in the </w:t>
      </w:r>
      <w:r>
        <w:rPr>
          <w:b w:val="0"/>
        </w:rPr>
        <w:t xml:space="preserve">2006 </w:t>
      </w:r>
      <w:r w:rsidRPr="0099346B">
        <w:rPr>
          <w:b w:val="0"/>
        </w:rPr>
        <w:t>final rule that the most significant technology cost could result from the need to upgrade data storage.</w:t>
      </w:r>
      <w:r>
        <w:rPr>
          <w:b w:val="0"/>
        </w:rPr>
        <w:t xml:space="preserve">  </w:t>
      </w:r>
    </w:p>
    <w:p w:rsidR="0002073D" w:rsidP="0002073D" w:rsidRDefault="0002073D" w14:paraId="10EF7FD7" w14:textId="77777777"/>
    <w:p w:rsidR="0002073D" w:rsidP="0002073D" w:rsidRDefault="0002073D" w14:paraId="4F080537" w14:textId="414BC49E">
      <w:r>
        <w:t>However, in general, the cost of data storage, long-term or short-term, has drastically reduced over the years.</w:t>
      </w:r>
      <w:r>
        <w:rPr>
          <w:rStyle w:val="FootnoteReference"/>
        </w:rPr>
        <w:footnoteReference w:id="6"/>
      </w:r>
      <w:r>
        <w:t xml:space="preserve">  Regardless of the storage type, costs are now a fraction of what they were even 10 years ago.</w:t>
      </w:r>
      <w:r>
        <w:rPr>
          <w:rStyle w:val="FootnoteReference"/>
        </w:rPr>
        <w:footnoteReference w:id="7"/>
      </w:r>
      <w:r>
        <w:t xml:space="preserve">  A recent study from NHTSA looking at EDR technologies reported that information provided by industry indicated that a typical recorded event requires about 2 kilobytes (</w:t>
      </w:r>
      <w:proofErr w:type="spellStart"/>
      <w:r>
        <w:t>Kb</w:t>
      </w:r>
      <w:proofErr w:type="spellEnd"/>
      <w:r>
        <w:t>) of memory depending on the manufacturer.</w:t>
      </w:r>
      <w:r>
        <w:rPr>
          <w:rStyle w:val="FootnoteReference"/>
        </w:rPr>
        <w:footnoteReference w:id="8"/>
      </w:r>
      <w:r>
        <w:t xml:space="preserve">  Information from manufacturers also indicated that the typical microprocessor used in vehicle applications, in approximately the 2013 timeframe, had 32 </w:t>
      </w:r>
      <w:proofErr w:type="spellStart"/>
      <w:r>
        <w:t>Kb</w:t>
      </w:r>
      <w:proofErr w:type="spellEnd"/>
      <w:r>
        <w:t xml:space="preserve"> or 64 </w:t>
      </w:r>
      <w:proofErr w:type="spellStart"/>
      <w:r>
        <w:t>Kb</w:t>
      </w:r>
      <w:proofErr w:type="spellEnd"/>
      <w:r>
        <w:t xml:space="preserve"> of flash data as part of the air bag control module (ACM) and that only a fraction of the memory is dedicated to the EDR data.  This study also estimated the total memory usage for all Table I and Table II data elements recorded for the minimum required duration and frequency requirements in Part 563.  It reported that to record Table I and II data elements would require 0.072 </w:t>
      </w:r>
      <w:proofErr w:type="spellStart"/>
      <w:r>
        <w:t>Kb</w:t>
      </w:r>
      <w:proofErr w:type="spellEnd"/>
      <w:r>
        <w:t xml:space="preserve"> and 0.858 </w:t>
      </w:r>
      <w:proofErr w:type="spellStart"/>
      <w:r>
        <w:t>Kb</w:t>
      </w:r>
      <w:proofErr w:type="spellEnd"/>
      <w:r>
        <w:t xml:space="preserve"> of memory storage, respectively.  More importantly, </w:t>
      </w:r>
      <w:r w:rsidRPr="008959B5">
        <w:t xml:space="preserve">since </w:t>
      </w:r>
      <w:r>
        <w:t>the 2006 final rule</w:t>
      </w:r>
      <w:r w:rsidR="003D12F6">
        <w:t>,</w:t>
      </w:r>
      <w:r w:rsidRPr="008959B5">
        <w:t xml:space="preserve"> NHTSA estimates that 99.5 percent of model year 2021 light vehicles have a compliant EDR</w:t>
      </w:r>
      <w:r w:rsidR="001A36FF">
        <w:t>,</w:t>
      </w:r>
      <w:r w:rsidRPr="008959B5">
        <w:t xml:space="preserve"> meaning manufacturers have already incurred the cost of meeting the Part 563 requirements.  </w:t>
      </w:r>
    </w:p>
    <w:p w:rsidR="0002073D" w:rsidP="0002073D" w:rsidRDefault="0002073D" w14:paraId="01BCEBF8" w14:textId="77777777"/>
    <w:p w:rsidR="0002073D" w:rsidP="0002073D" w:rsidRDefault="0002073D" w14:paraId="47B54C87" w14:textId="1AE39706">
      <w:r>
        <w:t>Given that EDRs are installed on nearly all new light vehicles, the large amount of storage that is part of the airbag control module (32 kb or 64 kb), the small fraction required for EDR data (&lt;1 kb), and the negligible costs for data storage, NHTSA continues to believe that there would be no additional costs or negligible costs associated with the Part 563 requirements.</w:t>
      </w:r>
      <w:r w:rsidR="00C75420">
        <w:t xml:space="preserve"> Therefore, the cost burden for this information collection is discussed qualitatively. </w:t>
      </w:r>
    </w:p>
    <w:p w:rsidR="0002073D" w:rsidP="008959B5" w:rsidRDefault="0002073D" w14:paraId="20BBD30C" w14:textId="535111EB">
      <w:pPr>
        <w:pStyle w:val="BodyText"/>
        <w:rPr>
          <w:b w:val="0"/>
        </w:rPr>
      </w:pPr>
    </w:p>
    <w:p w:rsidRPr="008959B5" w:rsidR="004C48FB" w:rsidP="008959B5" w:rsidRDefault="00142808" w14:paraId="64B1DBA3" w14:textId="1C53025F">
      <w:pPr>
        <w:pStyle w:val="BodyText"/>
        <w:rPr>
          <w:b w:val="0"/>
          <w:sz w:val="22"/>
          <w:szCs w:val="22"/>
        </w:rPr>
      </w:pPr>
      <w:r>
        <w:rPr>
          <w:b w:val="0"/>
        </w:rPr>
        <w:t xml:space="preserve">Part 563 only applies to </w:t>
      </w:r>
      <w:r w:rsidR="002911CE">
        <w:rPr>
          <w:b w:val="0"/>
        </w:rPr>
        <w:t xml:space="preserve">vehicles </w:t>
      </w:r>
      <w:proofErr w:type="gramStart"/>
      <w:r w:rsidR="002911CE">
        <w:rPr>
          <w:b w:val="0"/>
        </w:rPr>
        <w:t>voluntarily-equipped</w:t>
      </w:r>
      <w:proofErr w:type="gramEnd"/>
      <w:r w:rsidR="002911CE">
        <w:rPr>
          <w:b w:val="0"/>
        </w:rPr>
        <w:t xml:space="preserve"> with EDRs.</w:t>
      </w:r>
      <w:r w:rsidR="0053055B">
        <w:rPr>
          <w:b w:val="0"/>
        </w:rPr>
        <w:t xml:space="preserve"> </w:t>
      </w:r>
      <w:r w:rsidR="002911CE">
        <w:rPr>
          <w:b w:val="0"/>
        </w:rPr>
        <w:t xml:space="preserve"> Therefore, any burden is based on the differences in cost between a compliant and non-compliant-EDR.</w:t>
      </w:r>
      <w:r w:rsidR="0053055B">
        <w:rPr>
          <w:b w:val="0"/>
        </w:rPr>
        <w:t xml:space="preserve"> </w:t>
      </w:r>
      <w:r w:rsidR="002911CE">
        <w:rPr>
          <w:b w:val="0"/>
        </w:rPr>
        <w:t xml:space="preserve"> In considering additional burden for compliant EDRs, NHTSA considered</w:t>
      </w:r>
      <w:r w:rsidRPr="008959B5" w:rsidR="004C48FB">
        <w:rPr>
          <w:b w:val="0"/>
        </w:rPr>
        <w:t>:</w:t>
      </w:r>
    </w:p>
    <w:p w:rsidR="004C48FB" w:rsidP="004C48FB" w:rsidRDefault="004C48FB" w14:paraId="1643D7A2" w14:textId="77777777"/>
    <w:p w:rsidR="004C48FB" w:rsidP="004C48FB" w:rsidRDefault="004C48FB" w14:paraId="43B41182" w14:textId="346D6189">
      <w:pPr>
        <w:numPr>
          <w:ilvl w:val="0"/>
          <w:numId w:val="3"/>
        </w:numPr>
      </w:pPr>
      <w:r>
        <w:t xml:space="preserve">The additional burden of meeting </w:t>
      </w:r>
      <w:r w:rsidR="00C94066">
        <w:t xml:space="preserve">a </w:t>
      </w:r>
      <w:r>
        <w:t xml:space="preserve">10-day data crash survivability requirement </w:t>
      </w:r>
    </w:p>
    <w:p w:rsidR="004C48FB" w:rsidP="004C48FB" w:rsidRDefault="004C48FB" w14:paraId="6E106FC8" w14:textId="1DA23C3F">
      <w:pPr>
        <w:numPr>
          <w:ilvl w:val="0"/>
          <w:numId w:val="3"/>
        </w:numPr>
      </w:pPr>
      <w:r>
        <w:t>The additional burden of meeting the data format requirements</w:t>
      </w:r>
      <w:r w:rsidR="00566843">
        <w:t>.</w:t>
      </w:r>
      <w:r>
        <w:t xml:space="preserve"> </w:t>
      </w:r>
    </w:p>
    <w:p w:rsidR="004C48FB" w:rsidP="004C48FB" w:rsidRDefault="004C48FB" w14:paraId="079D3768" w14:textId="77777777">
      <w:pPr>
        <w:pStyle w:val="BodyText"/>
        <w:tabs>
          <w:tab w:val="center" w:pos="4680"/>
        </w:tabs>
        <w:rPr>
          <w:b w:val="0"/>
        </w:rPr>
      </w:pPr>
    </w:p>
    <w:p w:rsidR="004C48FB" w:rsidP="004C48FB" w:rsidRDefault="004C48FB" w14:paraId="3D695C33" w14:textId="288B8C34">
      <w:pPr>
        <w:autoSpaceDE w:val="0"/>
        <w:autoSpaceDN w:val="0"/>
        <w:adjustRightInd w:val="0"/>
      </w:pPr>
      <w:r>
        <w:lastRenderedPageBreak/>
        <w:t>Part 563 requires that an EDR must function during and after the compliance tests specified in FMVSS Nos. 208 and 214.  The EDR’s stored data is required to be downloadable 10</w:t>
      </w:r>
      <w:r w:rsidR="00FB6D19">
        <w:t xml:space="preserve"> </w:t>
      </w:r>
      <w:r>
        <w:t xml:space="preserve">days after the crash tests.  This requirement provides a basic functioning and survivability level for EDRs, </w:t>
      </w:r>
      <w:r w:rsidR="009B564B">
        <w:t xml:space="preserve">but </w:t>
      </w:r>
      <w:r>
        <w:t>does not ensure that EDRs survive extremely severe crashes, fire, or fluid immersion.  The burden for data survivability can include costs for an additional power supply and enhancements for computer area network (CAN) such as wiring, data bus, and harness.</w:t>
      </w:r>
      <w:r w:rsidRPr="007D6110">
        <w:t xml:space="preserve"> </w:t>
      </w:r>
      <w:r>
        <w:t xml:space="preserve"> However, before Part 563 was established the agency had not documented an EDR survivability problem except in rare and extremely severe events such as fire and submergence. </w:t>
      </w:r>
      <w:r w:rsidR="00566843">
        <w:t xml:space="preserve"> </w:t>
      </w:r>
      <w:r>
        <w:t xml:space="preserve">Thus, the agency does not believe vehicle manufacturers incur additional costs to comply with the ability to retrieve the essential data elements 10 days after the crash test. </w:t>
      </w:r>
      <w:r w:rsidR="00F45183">
        <w:t xml:space="preserve"> </w:t>
      </w:r>
    </w:p>
    <w:p w:rsidR="004C48FB" w:rsidP="004C48FB" w:rsidRDefault="004C48FB" w14:paraId="0E02E354" w14:textId="77777777">
      <w:pPr>
        <w:autoSpaceDE w:val="0"/>
        <w:autoSpaceDN w:val="0"/>
        <w:adjustRightInd w:val="0"/>
      </w:pPr>
    </w:p>
    <w:p w:rsidR="004C48FB" w:rsidP="004C48FB" w:rsidRDefault="004C48FB" w14:paraId="1FD7B5FB" w14:textId="033A1092">
      <w:pPr>
        <w:autoSpaceDE w:val="0"/>
        <w:autoSpaceDN w:val="0"/>
        <w:adjustRightInd w:val="0"/>
      </w:pPr>
      <w:r>
        <w:t>With regard to the memory capacity required to meet the Part 563 data requirements, due to proprietary concerns the adequacy of existing memory capacity of Part 563 non-compliant vehicles is not known.  However, we believe that the Part 563 requirements are comparable to the current industry EDR practices.  In terms of the burden associated with software algorithm changes to meet the data format requirements, the agency believes that</w:t>
      </w:r>
      <w:r w:rsidR="00E8481D">
        <w:t>,</w:t>
      </w:r>
      <w:r>
        <w:t xml:space="preserve"> in the event a vehicle manufacturer needs to redesign their software algorithm, the redesign would be minor (e.g., changing the specifications in their codes). The agency estimates that the cost of algorithm redesign would be negligible on a per vehicle basis and it would be an upfront cost (i.e., not a recurring burden). </w:t>
      </w:r>
    </w:p>
    <w:p w:rsidR="0013404A" w:rsidP="00B20B95" w:rsidRDefault="0013404A" w14:paraId="40C9CC60" w14:textId="3FBC28B6">
      <w:pPr>
        <w:pStyle w:val="BodyText"/>
        <w:rPr>
          <w:b w:val="0"/>
        </w:rPr>
      </w:pPr>
    </w:p>
    <w:p w:rsidR="00B20B95" w:rsidP="00B20B95" w:rsidRDefault="00B20B95" w14:paraId="18B262C2" w14:textId="659A5BBF">
      <w:pPr>
        <w:pStyle w:val="BodyText"/>
      </w:pPr>
      <w:r w:rsidRPr="00FF32F2">
        <w:t>14. P</w:t>
      </w:r>
      <w:r w:rsidRPr="001F5F62" w:rsidR="001F5F62">
        <w:t>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20B95" w:rsidP="00B20B95" w:rsidRDefault="00B20B95" w14:paraId="0E8364D3" w14:textId="77777777">
      <w:pPr>
        <w:pStyle w:val="BodyText"/>
        <w:rPr>
          <w:b w:val="0"/>
          <w:bCs w:val="0"/>
        </w:rPr>
      </w:pPr>
    </w:p>
    <w:p w:rsidR="00B20B95" w:rsidP="00B20B95" w:rsidRDefault="00B20B95" w14:paraId="13BEEA59" w14:textId="7629742D">
      <w:pPr>
        <w:pStyle w:val="BodyText"/>
        <w:rPr>
          <w:b w:val="0"/>
          <w:bCs w:val="0"/>
        </w:rPr>
      </w:pPr>
      <w:r>
        <w:rPr>
          <w:b w:val="0"/>
          <w:bCs w:val="0"/>
        </w:rPr>
        <w:t xml:space="preserve">There are no additional costs incurred by the Federal Government as a result of this </w:t>
      </w:r>
      <w:r w:rsidR="001F5F62">
        <w:rPr>
          <w:b w:val="0"/>
          <w:bCs w:val="0"/>
        </w:rPr>
        <w:t xml:space="preserve">information collection. </w:t>
      </w:r>
    </w:p>
    <w:p w:rsidR="005700D0" w:rsidP="00B20B95" w:rsidRDefault="005700D0" w14:paraId="2F5ACFF8" w14:textId="77777777">
      <w:pPr>
        <w:pStyle w:val="BodyText"/>
      </w:pPr>
    </w:p>
    <w:p w:rsidR="00B20B95" w:rsidP="00B20B95" w:rsidRDefault="00B20B95" w14:paraId="1E31188C" w14:textId="6359AAF2">
      <w:pPr>
        <w:pStyle w:val="BodyText"/>
      </w:pPr>
      <w:r w:rsidRPr="00351793">
        <w:t xml:space="preserve">15. </w:t>
      </w:r>
      <w:r w:rsidRPr="001F5F62" w:rsidR="001F5F62">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p>
    <w:p w:rsidR="00B20B95" w:rsidP="00B20B95" w:rsidRDefault="00B20B95" w14:paraId="5C877FE2" w14:textId="77777777">
      <w:pPr>
        <w:pStyle w:val="BodyText"/>
      </w:pPr>
    </w:p>
    <w:p w:rsidR="00F45183" w:rsidP="00F45183" w:rsidRDefault="00F45183" w14:paraId="5541F6D0" w14:textId="70E1F771">
      <w:pPr>
        <w:pStyle w:val="BodyText"/>
        <w:rPr>
          <w:b w:val="0"/>
        </w:rPr>
      </w:pPr>
      <w:r w:rsidRPr="00F45183">
        <w:rPr>
          <w:b w:val="0"/>
        </w:rPr>
        <w:t>This is a new information collection</w:t>
      </w:r>
      <w:r w:rsidR="00C108CD">
        <w:rPr>
          <w:b w:val="0"/>
        </w:rPr>
        <w:t xml:space="preserve">, but it is not expected to </w:t>
      </w:r>
      <w:r w:rsidRPr="00F45183">
        <w:rPr>
          <w:b w:val="0"/>
        </w:rPr>
        <w:t xml:space="preserve">increase NHTSA’s overall </w:t>
      </w:r>
      <w:r w:rsidR="00E8481D">
        <w:rPr>
          <w:b w:val="0"/>
        </w:rPr>
        <w:t xml:space="preserve">hour </w:t>
      </w:r>
      <w:r w:rsidRPr="00F45183">
        <w:rPr>
          <w:b w:val="0"/>
        </w:rPr>
        <w:t xml:space="preserve">burden </w:t>
      </w:r>
      <w:r w:rsidR="001F5F62">
        <w:rPr>
          <w:b w:val="0"/>
        </w:rPr>
        <w:t xml:space="preserve">or cost </w:t>
      </w:r>
      <w:r w:rsidRPr="00F45183">
        <w:rPr>
          <w:b w:val="0"/>
        </w:rPr>
        <w:t>total</w:t>
      </w:r>
      <w:r w:rsidR="001F5F62">
        <w:rPr>
          <w:b w:val="0"/>
        </w:rPr>
        <w:t>s</w:t>
      </w:r>
      <w:r w:rsidR="00C108CD">
        <w:rPr>
          <w:b w:val="0"/>
        </w:rPr>
        <w:t xml:space="preserve"> because the burden imposed is negligible</w:t>
      </w:r>
      <w:r w:rsidRPr="00F45183">
        <w:rPr>
          <w:b w:val="0"/>
        </w:rPr>
        <w:t>.</w:t>
      </w:r>
    </w:p>
    <w:p w:rsidR="00B20B95" w:rsidP="00B20B95" w:rsidRDefault="00B20B95" w14:paraId="5EA6711D" w14:textId="77777777">
      <w:pPr>
        <w:pStyle w:val="BodyText"/>
        <w:rPr>
          <w:b w:val="0"/>
        </w:rPr>
      </w:pPr>
    </w:p>
    <w:p w:rsidR="00B20B95" w:rsidP="00B20B95" w:rsidRDefault="00B20B95" w14:paraId="324E406D" w14:textId="1416F793">
      <w:pPr>
        <w:pStyle w:val="BodyText"/>
      </w:pPr>
      <w:r w:rsidRPr="00FF32F2">
        <w:t xml:space="preserve">16. </w:t>
      </w:r>
      <w:r w:rsidRPr="005D4CB3" w:rsidR="005D4CB3">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p w:rsidR="00B20B95" w:rsidP="00B20B95" w:rsidRDefault="00B20B95" w14:paraId="7F0A55BC" w14:textId="77777777">
      <w:pPr>
        <w:pStyle w:val="BodyText"/>
      </w:pPr>
    </w:p>
    <w:p w:rsidR="00B20B95" w:rsidP="00B20B95" w:rsidRDefault="003B5166" w14:paraId="5D83DB63" w14:textId="407FF4B3">
      <w:pPr>
        <w:pStyle w:val="BodyText"/>
        <w:rPr>
          <w:b w:val="0"/>
        </w:rPr>
      </w:pPr>
      <w:r>
        <w:rPr>
          <w:b w:val="0"/>
        </w:rPr>
        <w:t>No results from the collection of information will be published.</w:t>
      </w:r>
    </w:p>
    <w:p w:rsidR="00EA64AB" w:rsidP="00B20B95" w:rsidRDefault="00EA64AB" w14:paraId="07DB5FEE" w14:textId="77777777">
      <w:pPr>
        <w:pStyle w:val="BodyText"/>
      </w:pPr>
    </w:p>
    <w:p w:rsidR="00B20B95" w:rsidP="00B20B95" w:rsidRDefault="00B20B95" w14:paraId="2684531C" w14:textId="77777777">
      <w:pPr>
        <w:pStyle w:val="BodyText"/>
      </w:pPr>
      <w:r>
        <w:lastRenderedPageBreak/>
        <w:t>17. If seeking approval to not display the expiration date for OMB approval of the information collection, explain the reasons that the display would be inappropriate.</w:t>
      </w:r>
    </w:p>
    <w:p w:rsidR="00B20B95" w:rsidP="00B20B95" w:rsidRDefault="00B20B95" w14:paraId="3D753376" w14:textId="77777777">
      <w:pPr>
        <w:pStyle w:val="BodyText"/>
        <w:rPr>
          <w:b w:val="0"/>
          <w:bCs w:val="0"/>
        </w:rPr>
      </w:pPr>
    </w:p>
    <w:p w:rsidR="00B20B95" w:rsidP="00B20B95" w:rsidRDefault="00B20B95" w14:paraId="54440AFC" w14:textId="50248A55">
      <w:pPr>
        <w:pStyle w:val="BodyText"/>
        <w:rPr>
          <w:b w:val="0"/>
          <w:bCs w:val="0"/>
        </w:rPr>
      </w:pPr>
      <w:r>
        <w:rPr>
          <w:b w:val="0"/>
          <w:bCs w:val="0"/>
        </w:rPr>
        <w:t>NHTSA is seeking such approval</w:t>
      </w:r>
      <w:r w:rsidR="00E20A3C">
        <w:rPr>
          <w:b w:val="0"/>
          <w:bCs w:val="0"/>
        </w:rPr>
        <w:t xml:space="preserve"> because the information collection is only contained in a regulation, Part 563, and updating the expiration date would require rulemaking</w:t>
      </w:r>
      <w:r>
        <w:rPr>
          <w:b w:val="0"/>
          <w:bCs w:val="0"/>
        </w:rPr>
        <w:t>.</w:t>
      </w:r>
    </w:p>
    <w:p w:rsidR="00B20B95" w:rsidP="00B20B95" w:rsidRDefault="00B20B95" w14:paraId="51664C93" w14:textId="77777777">
      <w:pPr>
        <w:pStyle w:val="BodyText"/>
      </w:pPr>
    </w:p>
    <w:p w:rsidR="00B20B95" w:rsidP="00B20B95" w:rsidRDefault="00B20B95" w14:paraId="5C9473E0" w14:textId="1BCFD85A">
      <w:pPr>
        <w:pStyle w:val="BodyText"/>
      </w:pPr>
      <w:r>
        <w:t xml:space="preserve">18. </w:t>
      </w:r>
      <w:r w:rsidRPr="00E20A3C" w:rsidR="00E20A3C">
        <w:t>Explain each exception to the topics of the certification statement identified in "Certification for Paperwork Reduction Act Submissions." The required certifications can be found at 5 CFR 1320.9.</w:t>
      </w:r>
    </w:p>
    <w:p w:rsidR="00B20B95" w:rsidP="00B20B95" w:rsidRDefault="00B20B95" w14:paraId="462E355C" w14:textId="77777777">
      <w:pPr>
        <w:pStyle w:val="BodyText"/>
        <w:ind w:firstLine="720"/>
        <w:rPr>
          <w:b w:val="0"/>
          <w:bCs w:val="0"/>
        </w:rPr>
      </w:pPr>
    </w:p>
    <w:p w:rsidR="00B20B95" w:rsidP="00B20B95" w:rsidRDefault="00B20B95" w14:paraId="75C1F438" w14:textId="77777777">
      <w:pPr>
        <w:pStyle w:val="BodyText"/>
        <w:rPr>
          <w:b w:val="0"/>
          <w:bCs w:val="0"/>
        </w:rPr>
      </w:pPr>
      <w:r>
        <w:rPr>
          <w:b w:val="0"/>
          <w:bCs w:val="0"/>
        </w:rPr>
        <w:t>No exceptions to the certification statement are made.</w:t>
      </w:r>
    </w:p>
    <w:p w:rsidRPr="006A24E8" w:rsidR="00B20B95" w:rsidP="00B20B95" w:rsidRDefault="00B20B95" w14:paraId="2CC2F477" w14:textId="77777777">
      <w:pPr>
        <w:pStyle w:val="BodyText"/>
      </w:pPr>
    </w:p>
    <w:p w:rsidR="00A25ED3" w:rsidRDefault="00A25ED3" w14:paraId="4E295744" w14:textId="77777777"/>
    <w:sectPr w:rsidR="00A25ED3" w:rsidSect="00A25ED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44D20" w14:textId="77777777" w:rsidR="00247CD0" w:rsidRDefault="00247CD0" w:rsidP="00B20B95">
      <w:r>
        <w:separator/>
      </w:r>
    </w:p>
  </w:endnote>
  <w:endnote w:type="continuationSeparator" w:id="0">
    <w:p w14:paraId="5257557E" w14:textId="77777777" w:rsidR="00247CD0" w:rsidRDefault="00247CD0" w:rsidP="00B2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26E05" w14:textId="77777777" w:rsidR="00247CD0" w:rsidRDefault="00247CD0" w:rsidP="00B20B95">
      <w:r>
        <w:separator/>
      </w:r>
    </w:p>
  </w:footnote>
  <w:footnote w:type="continuationSeparator" w:id="0">
    <w:p w14:paraId="6CDC9880" w14:textId="77777777" w:rsidR="00247CD0" w:rsidRDefault="00247CD0" w:rsidP="00B20B95">
      <w:r>
        <w:continuationSeparator/>
      </w:r>
    </w:p>
  </w:footnote>
  <w:footnote w:id="1">
    <w:p w14:paraId="05546BF2" w14:textId="638BAB45" w:rsidR="00F15FA1" w:rsidRPr="0039208F" w:rsidRDefault="00F15FA1" w:rsidP="001B161C">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w:t>
      </w:r>
      <w:r w:rsidR="00BE087C" w:rsidRPr="00BE087C">
        <w:t>if the information collection involves approval by an institutional review board, include a statement to that effect</w:t>
      </w:r>
      <w:r w:rsidR="00BE087C">
        <w:t>; (8)</w:t>
      </w:r>
      <w:r w:rsidR="00BE087C" w:rsidRPr="00BE087C">
        <w:t xml:space="preserve"> </w:t>
      </w:r>
      <w:r w:rsidRPr="0039208F">
        <w:t>the purpose of the collection; and (</w:t>
      </w:r>
      <w:r w:rsidR="00BE087C">
        <w:t>9</w:t>
      </w:r>
      <w:r w:rsidRPr="0039208F">
        <w:t>) if a revision, a description of the revision and the change in burden.</w:t>
      </w:r>
    </w:p>
  </w:footnote>
  <w:footnote w:id="2">
    <w:p w14:paraId="37E817F9" w14:textId="5E8EE2C3" w:rsidR="00F15FA1" w:rsidRPr="006F2277" w:rsidRDefault="00F15FA1" w:rsidP="00D71ECD">
      <w:pPr>
        <w:pStyle w:val="FootnoteText"/>
      </w:pPr>
      <w:r w:rsidRPr="006F2277">
        <w:rPr>
          <w:rStyle w:val="FootnoteReference"/>
        </w:rPr>
        <w:footnoteRef/>
      </w:r>
      <w:r w:rsidRPr="006F2277">
        <w:t xml:space="preserve"> 49 U.S.C. 105 and 322; delega</w:t>
      </w:r>
      <w:r w:rsidR="00AA1C71">
        <w:t>tion of authority at 49 CFR 1.95</w:t>
      </w:r>
      <w:r w:rsidRPr="006F2277">
        <w:t>.</w:t>
      </w:r>
    </w:p>
  </w:footnote>
  <w:footnote w:id="3">
    <w:p w14:paraId="51DA3349" w14:textId="1D754EB5" w:rsidR="00F15FA1" w:rsidRPr="006F2277" w:rsidRDefault="00F15FA1" w:rsidP="00D71ECD">
      <w:pPr>
        <w:pStyle w:val="FootnoteText"/>
      </w:pPr>
      <w:r w:rsidRPr="006F2277">
        <w:rPr>
          <w:rStyle w:val="FootnoteReference"/>
        </w:rPr>
        <w:footnoteRef/>
      </w:r>
      <w:r w:rsidRPr="006F2277">
        <w:t xml:space="preserve"> See 49 U.S.C. 30101 and 30111.</w:t>
      </w:r>
    </w:p>
  </w:footnote>
  <w:footnote w:id="4">
    <w:p w14:paraId="6AE7DA21" w14:textId="38594601" w:rsidR="00F15FA1" w:rsidRPr="006F2277" w:rsidRDefault="00F15FA1" w:rsidP="00EB386F">
      <w:pPr>
        <w:pStyle w:val="FootnoteText"/>
      </w:pPr>
      <w:r w:rsidRPr="006F2277">
        <w:rPr>
          <w:rStyle w:val="FootnoteReference"/>
        </w:rPr>
        <w:footnoteRef/>
      </w:r>
      <w:r w:rsidRPr="006F2277">
        <w:t xml:space="preserve"> 71 FR 5099</w:t>
      </w:r>
      <w:r w:rsidR="00242E40">
        <w:t>7</w:t>
      </w:r>
      <w:r w:rsidRPr="006F2277">
        <w:t xml:space="preserve">, August 28, 2006. </w:t>
      </w:r>
    </w:p>
  </w:footnote>
  <w:footnote w:id="5">
    <w:p w14:paraId="2F6CCCBD" w14:textId="47981DFB" w:rsidR="00F15FA1" w:rsidRDefault="00F15FA1">
      <w:pPr>
        <w:pStyle w:val="FootnoteText"/>
      </w:pPr>
      <w:r>
        <w:rPr>
          <w:rStyle w:val="FootnoteReference"/>
        </w:rPr>
        <w:footnoteRef/>
      </w:r>
      <w:r>
        <w:t xml:space="preserve"> This information collection request does not cover retrieval of EDR data by NHTSA. To the extent that NHTSA collects EDR data to support crash investigations, those collections would be covered, to the extent applicable, by NHTSA’s information collections for crash investigations. </w:t>
      </w:r>
    </w:p>
  </w:footnote>
  <w:footnote w:id="6">
    <w:p w14:paraId="1145C32C" w14:textId="77777777" w:rsidR="0002073D" w:rsidRDefault="0002073D" w:rsidP="0002073D">
      <w:pPr>
        <w:pStyle w:val="FootnoteText"/>
      </w:pPr>
      <w:r>
        <w:rPr>
          <w:rStyle w:val="FootnoteReference"/>
        </w:rPr>
        <w:footnoteRef/>
      </w:r>
      <w:r>
        <w:t xml:space="preserve"> </w:t>
      </w:r>
      <w:hyperlink r:id="rId1" w:history="1">
        <w:r w:rsidRPr="00B91671">
          <w:rPr>
            <w:rStyle w:val="Hyperlink"/>
          </w:rPr>
          <w:t>https://www.computerworld.com/article/3182207/cw50-data-storage-goes-from-1m-to-2-cents-per-gigabyte.html</w:t>
        </w:r>
      </w:hyperlink>
      <w:r>
        <w:t xml:space="preserve"> </w:t>
      </w:r>
    </w:p>
  </w:footnote>
  <w:footnote w:id="7">
    <w:p w14:paraId="3C5D1739" w14:textId="77777777" w:rsidR="0002073D" w:rsidRDefault="0002073D" w:rsidP="0002073D">
      <w:pPr>
        <w:pStyle w:val="FootnoteText"/>
      </w:pPr>
      <w:r>
        <w:rPr>
          <w:rStyle w:val="FootnoteReference"/>
        </w:rPr>
        <w:footnoteRef/>
      </w:r>
      <w:r>
        <w:t xml:space="preserve"> </w:t>
      </w:r>
      <w:hyperlink r:id="rId2" w:history="1">
        <w:r w:rsidRPr="00B91671">
          <w:rPr>
            <w:rStyle w:val="Hyperlink"/>
          </w:rPr>
          <w:t>https://hblok.net/blog/posts/2017/12/17/historical-cost-of-computer-memory-and-storage-4/</w:t>
        </w:r>
      </w:hyperlink>
      <w:r>
        <w:t xml:space="preserve"> </w:t>
      </w:r>
    </w:p>
  </w:footnote>
  <w:footnote w:id="8">
    <w:p w14:paraId="5A50ADF0" w14:textId="50B16FF0" w:rsidR="0002073D" w:rsidRDefault="0002073D" w:rsidP="0002073D">
      <w:pPr>
        <w:pStyle w:val="FootnoteText"/>
      </w:pPr>
      <w:r>
        <w:rPr>
          <w:rStyle w:val="FootnoteReference"/>
        </w:rPr>
        <w:footnoteRef/>
      </w:r>
      <w:r>
        <w:t xml:space="preserve"> DOT HS 812 929</w:t>
      </w:r>
      <w:bookmarkStart w:id="3" w:name="_Hlk76467329"/>
      <w:r w:rsidR="007642D5">
        <w:t xml:space="preserve">, </w:t>
      </w:r>
      <w:r w:rsidR="007642D5" w:rsidRPr="007642D5">
        <w:t>https://www.nhtsa.gov/document/light-vehicle-event-data-recorder-technologies</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36710"/>
      <w:docPartObj>
        <w:docPartGallery w:val="Page Numbers (Top of Page)"/>
        <w:docPartUnique/>
      </w:docPartObj>
    </w:sdtPr>
    <w:sdtEndPr/>
    <w:sdtContent>
      <w:p w14:paraId="1FECAACF" w14:textId="7561B7D2" w:rsidR="00F15FA1" w:rsidRDefault="00F15FA1">
        <w:pPr>
          <w:pStyle w:val="Header"/>
          <w:jc w:val="right"/>
        </w:pPr>
        <w:r>
          <w:fldChar w:fldCharType="begin"/>
        </w:r>
        <w:r>
          <w:instrText xml:space="preserve"> PAGE   \* MERGEFORMAT </w:instrText>
        </w:r>
        <w:r>
          <w:fldChar w:fldCharType="separate"/>
        </w:r>
        <w:r w:rsidR="00807758">
          <w:rPr>
            <w:noProof/>
          </w:rPr>
          <w:t>7</w:t>
        </w:r>
        <w:r>
          <w:fldChar w:fldCharType="end"/>
        </w:r>
      </w:p>
    </w:sdtContent>
  </w:sdt>
  <w:p w14:paraId="55618F81" w14:textId="77777777" w:rsidR="00F15FA1" w:rsidRDefault="00F15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44A"/>
    <w:multiLevelType w:val="hybridMultilevel"/>
    <w:tmpl w:val="DB84E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25F39"/>
    <w:multiLevelType w:val="hybridMultilevel"/>
    <w:tmpl w:val="08D084EE"/>
    <w:lvl w:ilvl="0" w:tplc="D2F49AD2">
      <w:start w:val="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F302C"/>
    <w:multiLevelType w:val="hybridMultilevel"/>
    <w:tmpl w:val="AE6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15345"/>
    <w:multiLevelType w:val="hybridMultilevel"/>
    <w:tmpl w:val="0FFA4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35871"/>
    <w:multiLevelType w:val="hybridMultilevel"/>
    <w:tmpl w:val="DB389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NDE1NDAyM7cwNzNR0lEKTi0uzszPAykwrwUA+cODSywAAAA="/>
  </w:docVars>
  <w:rsids>
    <w:rsidRoot w:val="00B20B95"/>
    <w:rsid w:val="0002009A"/>
    <w:rsid w:val="0002073D"/>
    <w:rsid w:val="0003770F"/>
    <w:rsid w:val="000431CF"/>
    <w:rsid w:val="00050866"/>
    <w:rsid w:val="00074B17"/>
    <w:rsid w:val="000828FB"/>
    <w:rsid w:val="000B49E2"/>
    <w:rsid w:val="000C0F16"/>
    <w:rsid w:val="000F3379"/>
    <w:rsid w:val="000F6FB6"/>
    <w:rsid w:val="0013404A"/>
    <w:rsid w:val="00142808"/>
    <w:rsid w:val="00144093"/>
    <w:rsid w:val="0016337D"/>
    <w:rsid w:val="00174C63"/>
    <w:rsid w:val="00176A22"/>
    <w:rsid w:val="00185595"/>
    <w:rsid w:val="001A36FF"/>
    <w:rsid w:val="001B161C"/>
    <w:rsid w:val="001C59DF"/>
    <w:rsid w:val="001E6729"/>
    <w:rsid w:val="001F5F62"/>
    <w:rsid w:val="0020767E"/>
    <w:rsid w:val="002126E1"/>
    <w:rsid w:val="00242E40"/>
    <w:rsid w:val="00243080"/>
    <w:rsid w:val="00246E16"/>
    <w:rsid w:val="00247CD0"/>
    <w:rsid w:val="0027598E"/>
    <w:rsid w:val="002822E9"/>
    <w:rsid w:val="002911CE"/>
    <w:rsid w:val="00291D8D"/>
    <w:rsid w:val="0029520F"/>
    <w:rsid w:val="002F1E7B"/>
    <w:rsid w:val="00324C65"/>
    <w:rsid w:val="00343DA7"/>
    <w:rsid w:val="0036208C"/>
    <w:rsid w:val="00371A53"/>
    <w:rsid w:val="003840CC"/>
    <w:rsid w:val="00387633"/>
    <w:rsid w:val="00390AFE"/>
    <w:rsid w:val="003B5166"/>
    <w:rsid w:val="003B6D5D"/>
    <w:rsid w:val="003D12F6"/>
    <w:rsid w:val="003F54AF"/>
    <w:rsid w:val="003F6A2D"/>
    <w:rsid w:val="00403B95"/>
    <w:rsid w:val="004055D7"/>
    <w:rsid w:val="00412870"/>
    <w:rsid w:val="00421CF4"/>
    <w:rsid w:val="0044104A"/>
    <w:rsid w:val="00441757"/>
    <w:rsid w:val="004421D3"/>
    <w:rsid w:val="00467C52"/>
    <w:rsid w:val="004724EC"/>
    <w:rsid w:val="004777D4"/>
    <w:rsid w:val="004A00FE"/>
    <w:rsid w:val="004B4746"/>
    <w:rsid w:val="004C27D8"/>
    <w:rsid w:val="004C44E7"/>
    <w:rsid w:val="004C48FB"/>
    <w:rsid w:val="004D344A"/>
    <w:rsid w:val="004D4E70"/>
    <w:rsid w:val="004D5635"/>
    <w:rsid w:val="004F3DC9"/>
    <w:rsid w:val="004F4342"/>
    <w:rsid w:val="005149A2"/>
    <w:rsid w:val="00527270"/>
    <w:rsid w:val="0053055B"/>
    <w:rsid w:val="00546DBA"/>
    <w:rsid w:val="00556E7E"/>
    <w:rsid w:val="00566843"/>
    <w:rsid w:val="00566BAC"/>
    <w:rsid w:val="005700D0"/>
    <w:rsid w:val="00576B61"/>
    <w:rsid w:val="00585AD5"/>
    <w:rsid w:val="005D4CB3"/>
    <w:rsid w:val="005D526A"/>
    <w:rsid w:val="005E253C"/>
    <w:rsid w:val="005F2FA0"/>
    <w:rsid w:val="006102A6"/>
    <w:rsid w:val="0061180D"/>
    <w:rsid w:val="00617E82"/>
    <w:rsid w:val="006423AF"/>
    <w:rsid w:val="00661E70"/>
    <w:rsid w:val="006752DA"/>
    <w:rsid w:val="00684816"/>
    <w:rsid w:val="006A6E75"/>
    <w:rsid w:val="006D1757"/>
    <w:rsid w:val="006F67C1"/>
    <w:rsid w:val="0071536B"/>
    <w:rsid w:val="00743ED3"/>
    <w:rsid w:val="00750715"/>
    <w:rsid w:val="00761691"/>
    <w:rsid w:val="007642D5"/>
    <w:rsid w:val="0077216A"/>
    <w:rsid w:val="00772597"/>
    <w:rsid w:val="00796358"/>
    <w:rsid w:val="007A0C57"/>
    <w:rsid w:val="007B4C12"/>
    <w:rsid w:val="007C588D"/>
    <w:rsid w:val="007D007E"/>
    <w:rsid w:val="007D6110"/>
    <w:rsid w:val="007F7725"/>
    <w:rsid w:val="0080370E"/>
    <w:rsid w:val="00807758"/>
    <w:rsid w:val="0081785A"/>
    <w:rsid w:val="00825D31"/>
    <w:rsid w:val="008503FC"/>
    <w:rsid w:val="008959B5"/>
    <w:rsid w:val="008B3BA9"/>
    <w:rsid w:val="008C1D88"/>
    <w:rsid w:val="008E0FD6"/>
    <w:rsid w:val="008F1248"/>
    <w:rsid w:val="0091399F"/>
    <w:rsid w:val="009168B9"/>
    <w:rsid w:val="00916ECB"/>
    <w:rsid w:val="00924580"/>
    <w:rsid w:val="00942EDA"/>
    <w:rsid w:val="00952EEA"/>
    <w:rsid w:val="0095786A"/>
    <w:rsid w:val="009605F7"/>
    <w:rsid w:val="0099346B"/>
    <w:rsid w:val="0099516E"/>
    <w:rsid w:val="009A5D4E"/>
    <w:rsid w:val="009B05BE"/>
    <w:rsid w:val="009B4741"/>
    <w:rsid w:val="009B564B"/>
    <w:rsid w:val="009C1669"/>
    <w:rsid w:val="009E62E0"/>
    <w:rsid w:val="00A009BD"/>
    <w:rsid w:val="00A013B4"/>
    <w:rsid w:val="00A039EE"/>
    <w:rsid w:val="00A24BFE"/>
    <w:rsid w:val="00A25ED3"/>
    <w:rsid w:val="00A40B01"/>
    <w:rsid w:val="00A44DEA"/>
    <w:rsid w:val="00A53D45"/>
    <w:rsid w:val="00A61E95"/>
    <w:rsid w:val="00AA1C71"/>
    <w:rsid w:val="00AB3689"/>
    <w:rsid w:val="00AC2CCE"/>
    <w:rsid w:val="00AC54FC"/>
    <w:rsid w:val="00AC7960"/>
    <w:rsid w:val="00AE0503"/>
    <w:rsid w:val="00AE2922"/>
    <w:rsid w:val="00AF77F9"/>
    <w:rsid w:val="00B01420"/>
    <w:rsid w:val="00B04D6E"/>
    <w:rsid w:val="00B13248"/>
    <w:rsid w:val="00B20B95"/>
    <w:rsid w:val="00B22124"/>
    <w:rsid w:val="00B2445E"/>
    <w:rsid w:val="00B3584F"/>
    <w:rsid w:val="00B438A9"/>
    <w:rsid w:val="00B45D2D"/>
    <w:rsid w:val="00BA2B7D"/>
    <w:rsid w:val="00BA4632"/>
    <w:rsid w:val="00BB6EC0"/>
    <w:rsid w:val="00BE087C"/>
    <w:rsid w:val="00BE2CD6"/>
    <w:rsid w:val="00BF0A62"/>
    <w:rsid w:val="00C108CD"/>
    <w:rsid w:val="00C14556"/>
    <w:rsid w:val="00C33300"/>
    <w:rsid w:val="00C347EF"/>
    <w:rsid w:val="00C376BE"/>
    <w:rsid w:val="00C56B54"/>
    <w:rsid w:val="00C75420"/>
    <w:rsid w:val="00C94066"/>
    <w:rsid w:val="00CB6D1C"/>
    <w:rsid w:val="00CB7FA0"/>
    <w:rsid w:val="00CD0144"/>
    <w:rsid w:val="00CD4F44"/>
    <w:rsid w:val="00CE357A"/>
    <w:rsid w:val="00CE65A8"/>
    <w:rsid w:val="00CF1377"/>
    <w:rsid w:val="00D27CB9"/>
    <w:rsid w:val="00D51E5B"/>
    <w:rsid w:val="00D545CD"/>
    <w:rsid w:val="00D71483"/>
    <w:rsid w:val="00D71ECD"/>
    <w:rsid w:val="00D7594A"/>
    <w:rsid w:val="00D923B1"/>
    <w:rsid w:val="00D97606"/>
    <w:rsid w:val="00DA323D"/>
    <w:rsid w:val="00DD74FA"/>
    <w:rsid w:val="00DE2246"/>
    <w:rsid w:val="00DF15AD"/>
    <w:rsid w:val="00DF7D9A"/>
    <w:rsid w:val="00E20A3C"/>
    <w:rsid w:val="00E238A6"/>
    <w:rsid w:val="00E47892"/>
    <w:rsid w:val="00E75BDD"/>
    <w:rsid w:val="00E80E13"/>
    <w:rsid w:val="00E8481D"/>
    <w:rsid w:val="00E858B7"/>
    <w:rsid w:val="00EA64AB"/>
    <w:rsid w:val="00EB386F"/>
    <w:rsid w:val="00ED4A40"/>
    <w:rsid w:val="00ED50C5"/>
    <w:rsid w:val="00ED6B1A"/>
    <w:rsid w:val="00EE283C"/>
    <w:rsid w:val="00EF2F9B"/>
    <w:rsid w:val="00F15FA1"/>
    <w:rsid w:val="00F35745"/>
    <w:rsid w:val="00F45183"/>
    <w:rsid w:val="00F65C29"/>
    <w:rsid w:val="00F66313"/>
    <w:rsid w:val="00F8237F"/>
    <w:rsid w:val="00F8430C"/>
    <w:rsid w:val="00FB5F26"/>
    <w:rsid w:val="00FB6C71"/>
    <w:rsid w:val="00FB6D19"/>
    <w:rsid w:val="00FD38A6"/>
    <w:rsid w:val="00FD7253"/>
    <w:rsid w:val="00FE0576"/>
    <w:rsid w:val="00FE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F1AB"/>
  <w15:docId w15:val="{172F2132-30B3-4638-B755-D68098AC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B9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0B95"/>
    <w:rPr>
      <w:rFonts w:eastAsia="Times New Roman"/>
      <w:b/>
      <w:bCs/>
    </w:rPr>
  </w:style>
  <w:style w:type="character" w:customStyle="1" w:styleId="BodyTextChar">
    <w:name w:val="Body Text Char"/>
    <w:basedOn w:val="DefaultParagraphFont"/>
    <w:link w:val="BodyText"/>
    <w:rsid w:val="00B20B95"/>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B20B95"/>
    <w:pPr>
      <w:spacing w:after="120"/>
      <w:ind w:left="360"/>
    </w:pPr>
  </w:style>
  <w:style w:type="character" w:customStyle="1" w:styleId="BodyTextIndentChar">
    <w:name w:val="Body Text Indent Char"/>
    <w:basedOn w:val="DefaultParagraphFont"/>
    <w:link w:val="BodyTextIndent"/>
    <w:uiPriority w:val="99"/>
    <w:rsid w:val="00B20B95"/>
    <w:rPr>
      <w:rFonts w:ascii="Times New Roman" w:hAnsi="Times New Roman" w:cs="Times New Roman"/>
      <w:sz w:val="24"/>
      <w:szCs w:val="24"/>
    </w:rPr>
  </w:style>
  <w:style w:type="character" w:styleId="FootnoteReference">
    <w:name w:val="footnote reference"/>
    <w:uiPriority w:val="99"/>
    <w:semiHidden/>
    <w:rsid w:val="00B20B95"/>
    <w:rPr>
      <w:rFonts w:ascii="Times New Roman" w:hAnsi="Times New Roman"/>
      <w:sz w:val="24"/>
      <w:vertAlign w:val="superscript"/>
    </w:rPr>
  </w:style>
  <w:style w:type="paragraph" w:styleId="FootnoteText">
    <w:name w:val="footnote text"/>
    <w:basedOn w:val="Normal"/>
    <w:link w:val="FootnoteTextChar"/>
    <w:uiPriority w:val="99"/>
    <w:rsid w:val="00B20B95"/>
    <w:pPr>
      <w:widowControl w:val="0"/>
      <w:autoSpaceDE w:val="0"/>
      <w:autoSpaceDN w:val="0"/>
      <w:adjustRightInd w:val="0"/>
      <w:contextualSpacing/>
    </w:pPr>
    <w:rPr>
      <w:rFonts w:eastAsia="Times New Roman"/>
      <w:sz w:val="22"/>
      <w:szCs w:val="20"/>
    </w:rPr>
  </w:style>
  <w:style w:type="character" w:customStyle="1" w:styleId="FootnoteTextChar">
    <w:name w:val="Footnote Text Char"/>
    <w:basedOn w:val="DefaultParagraphFont"/>
    <w:link w:val="FootnoteText"/>
    <w:uiPriority w:val="99"/>
    <w:rsid w:val="00B20B95"/>
    <w:rPr>
      <w:rFonts w:ascii="Times New Roman" w:eastAsia="Times New Roman" w:hAnsi="Times New Roman" w:cs="Times New Roman"/>
      <w:szCs w:val="20"/>
    </w:rPr>
  </w:style>
  <w:style w:type="paragraph" w:styleId="Header">
    <w:name w:val="header"/>
    <w:basedOn w:val="Normal"/>
    <w:link w:val="HeaderChar"/>
    <w:uiPriority w:val="99"/>
    <w:unhideWhenUsed/>
    <w:rsid w:val="00B20B95"/>
    <w:pPr>
      <w:tabs>
        <w:tab w:val="center" w:pos="4680"/>
        <w:tab w:val="right" w:pos="9360"/>
      </w:tabs>
    </w:pPr>
  </w:style>
  <w:style w:type="character" w:customStyle="1" w:styleId="HeaderChar">
    <w:name w:val="Header Char"/>
    <w:basedOn w:val="DefaultParagraphFont"/>
    <w:link w:val="Header"/>
    <w:uiPriority w:val="99"/>
    <w:rsid w:val="00B20B9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20B95"/>
    <w:rPr>
      <w:sz w:val="16"/>
      <w:szCs w:val="16"/>
    </w:rPr>
  </w:style>
  <w:style w:type="paragraph" w:styleId="CommentText">
    <w:name w:val="annotation text"/>
    <w:basedOn w:val="Normal"/>
    <w:link w:val="CommentTextChar"/>
    <w:uiPriority w:val="99"/>
    <w:semiHidden/>
    <w:unhideWhenUsed/>
    <w:rsid w:val="00B20B95"/>
    <w:rPr>
      <w:sz w:val="20"/>
      <w:szCs w:val="20"/>
    </w:rPr>
  </w:style>
  <w:style w:type="character" w:customStyle="1" w:styleId="CommentTextChar">
    <w:name w:val="Comment Text Char"/>
    <w:basedOn w:val="DefaultParagraphFont"/>
    <w:link w:val="CommentText"/>
    <w:uiPriority w:val="99"/>
    <w:semiHidden/>
    <w:rsid w:val="00B20B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20B95"/>
    <w:rPr>
      <w:rFonts w:ascii="Tahoma" w:hAnsi="Tahoma" w:cs="Tahoma"/>
      <w:sz w:val="16"/>
      <w:szCs w:val="16"/>
    </w:rPr>
  </w:style>
  <w:style w:type="character" w:customStyle="1" w:styleId="BalloonTextChar">
    <w:name w:val="Balloon Text Char"/>
    <w:basedOn w:val="DefaultParagraphFont"/>
    <w:link w:val="BalloonText"/>
    <w:uiPriority w:val="99"/>
    <w:semiHidden/>
    <w:rsid w:val="00B20B95"/>
    <w:rPr>
      <w:rFonts w:ascii="Tahoma" w:hAnsi="Tahoma" w:cs="Tahoma"/>
      <w:sz w:val="16"/>
      <w:szCs w:val="16"/>
    </w:rPr>
  </w:style>
  <w:style w:type="character" w:styleId="Hyperlink">
    <w:name w:val="Hyperlink"/>
    <w:basedOn w:val="DefaultParagraphFont"/>
    <w:unhideWhenUsed/>
    <w:rsid w:val="00546DBA"/>
    <w:rPr>
      <w:color w:val="0000FF"/>
      <w:u w:val="single"/>
    </w:rPr>
  </w:style>
  <w:style w:type="paragraph" w:styleId="ListParagraph">
    <w:name w:val="List Paragraph"/>
    <w:basedOn w:val="Normal"/>
    <w:uiPriority w:val="34"/>
    <w:qFormat/>
    <w:rsid w:val="00E75BDD"/>
    <w:pPr>
      <w:ind w:left="720"/>
      <w:contextualSpacing/>
    </w:pPr>
  </w:style>
  <w:style w:type="paragraph" w:styleId="CommentSubject">
    <w:name w:val="annotation subject"/>
    <w:basedOn w:val="CommentText"/>
    <w:next w:val="CommentText"/>
    <w:link w:val="CommentSubjectChar"/>
    <w:uiPriority w:val="99"/>
    <w:semiHidden/>
    <w:unhideWhenUsed/>
    <w:rsid w:val="005D526A"/>
    <w:rPr>
      <w:b/>
      <w:bCs/>
    </w:rPr>
  </w:style>
  <w:style w:type="character" w:customStyle="1" w:styleId="CommentSubjectChar">
    <w:name w:val="Comment Subject Char"/>
    <w:basedOn w:val="CommentTextChar"/>
    <w:link w:val="CommentSubject"/>
    <w:uiPriority w:val="99"/>
    <w:semiHidden/>
    <w:rsid w:val="005D526A"/>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7642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20664">
      <w:bodyDiv w:val="1"/>
      <w:marLeft w:val="0"/>
      <w:marRight w:val="0"/>
      <w:marTop w:val="0"/>
      <w:marBottom w:val="0"/>
      <w:divBdr>
        <w:top w:val="none" w:sz="0" w:space="0" w:color="auto"/>
        <w:left w:val="none" w:sz="0" w:space="0" w:color="auto"/>
        <w:bottom w:val="none" w:sz="0" w:space="0" w:color="auto"/>
        <w:right w:val="none" w:sz="0" w:space="0" w:color="auto"/>
      </w:divBdr>
    </w:div>
    <w:div w:id="9186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hblok.net/blog/posts/2017/12/17/historical-cost-of-computer-memory-and-storage-4/" TargetMode="External"/><Relationship Id="rId1" Type="http://schemas.openxmlformats.org/officeDocument/2006/relationships/hyperlink" Target="https://www.computerworld.com/article/3182207/cw50-data-storage-goes-from-1m-to-2-cents-per-gigaby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47EF-22DB-43D6-A5A4-4A6010B6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3685</Words>
  <Characters>21009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harriett.fitzgerald</dc:creator>
  <cp:lastModifiedBy>Rush, Carla (NHTSA)</cp:lastModifiedBy>
  <cp:revision>2</cp:revision>
  <dcterms:created xsi:type="dcterms:W3CDTF">2022-03-17T13:00:00Z</dcterms:created>
  <dcterms:modified xsi:type="dcterms:W3CDTF">2022-03-17T13:00:00Z</dcterms:modified>
</cp:coreProperties>
</file>