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F78" w:rsidR="0026362A" w:rsidP="004D4FCA" w:rsidRDefault="0026362A" w14:paraId="0A43F513" w14:textId="77777777">
      <w:pPr>
        <w:jc w:val="center"/>
        <w:rPr>
          <w:sz w:val="25"/>
          <w:szCs w:val="25"/>
        </w:rPr>
      </w:pPr>
      <w:r w:rsidRPr="00782F78">
        <w:rPr>
          <w:sz w:val="25"/>
          <w:szCs w:val="25"/>
        </w:rPr>
        <w:t>DEPARTMENT OF TRANSPORTATION</w:t>
      </w:r>
    </w:p>
    <w:p w:rsidRPr="00782F78" w:rsidR="0026362A" w:rsidP="004D4FCA" w:rsidRDefault="0026362A" w14:paraId="6C1DA0A2" w14:textId="77777777">
      <w:pPr>
        <w:jc w:val="center"/>
        <w:rPr>
          <w:sz w:val="25"/>
          <w:szCs w:val="25"/>
          <w:u w:val="single"/>
        </w:rPr>
      </w:pPr>
      <w:r w:rsidRPr="00782F78">
        <w:rPr>
          <w:sz w:val="25"/>
          <w:szCs w:val="25"/>
          <w:u w:val="single"/>
        </w:rPr>
        <w:t>FEDERAL TRANSIT ADMINISTRATION</w:t>
      </w:r>
    </w:p>
    <w:p w:rsidRPr="00782F78" w:rsidR="0026362A" w:rsidP="004D4FCA" w:rsidRDefault="0026362A" w14:paraId="47A852AC" w14:textId="77777777">
      <w:pPr>
        <w:jc w:val="center"/>
        <w:rPr>
          <w:sz w:val="25"/>
          <w:szCs w:val="25"/>
          <w:u w:val="single"/>
        </w:rPr>
      </w:pPr>
      <w:r w:rsidRPr="00782F78">
        <w:rPr>
          <w:sz w:val="25"/>
          <w:szCs w:val="25"/>
          <w:u w:val="single"/>
        </w:rPr>
        <w:t>JUSTIFICATION STATEMENT</w:t>
      </w:r>
    </w:p>
    <w:p w:rsidRPr="00782F78" w:rsidR="00980B5B" w:rsidP="004D4FCA" w:rsidRDefault="00980B5B" w14:paraId="1F787903" w14:textId="77777777">
      <w:pPr>
        <w:jc w:val="center"/>
        <w:rPr>
          <w:b/>
          <w:sz w:val="25"/>
          <w:szCs w:val="25"/>
        </w:rPr>
      </w:pPr>
    </w:p>
    <w:p w:rsidRPr="000C4206" w:rsidR="00FC64B5" w:rsidP="004D4FCA" w:rsidRDefault="00B5289F" w14:paraId="6BC72A79" w14:textId="77777777">
      <w:pPr>
        <w:jc w:val="center"/>
        <w:rPr>
          <w:b/>
        </w:rPr>
      </w:pPr>
      <w:r w:rsidRPr="000C4206">
        <w:rPr>
          <w:b/>
        </w:rPr>
        <w:t>49 U.S.C S</w:t>
      </w:r>
      <w:r w:rsidRPr="000C4206" w:rsidR="0026362A">
        <w:rPr>
          <w:b/>
        </w:rPr>
        <w:t>ECTION</w:t>
      </w:r>
      <w:r w:rsidRPr="000C4206">
        <w:rPr>
          <w:b/>
        </w:rPr>
        <w:t xml:space="preserve"> 53</w:t>
      </w:r>
      <w:r w:rsidRPr="000C4206" w:rsidR="0070371A">
        <w:rPr>
          <w:b/>
        </w:rPr>
        <w:t>20</w:t>
      </w:r>
      <w:r w:rsidRPr="000C4206">
        <w:rPr>
          <w:b/>
        </w:rPr>
        <w:t xml:space="preserve"> </w:t>
      </w:r>
      <w:r w:rsidRPr="000C4206" w:rsidR="0070371A">
        <w:rPr>
          <w:b/>
        </w:rPr>
        <w:t>PAUL S. SARBANES</w:t>
      </w:r>
    </w:p>
    <w:p w:rsidRPr="000C4206" w:rsidR="00A70E34" w:rsidP="004D4FCA" w:rsidRDefault="0070371A" w14:paraId="52B5619C" w14:textId="77777777">
      <w:pPr>
        <w:jc w:val="center"/>
        <w:rPr>
          <w:b/>
        </w:rPr>
      </w:pPr>
      <w:r w:rsidRPr="000C4206">
        <w:rPr>
          <w:b/>
        </w:rPr>
        <w:t>TRANSIT IN PARKS</w:t>
      </w:r>
      <w:r w:rsidRPr="000C4206" w:rsidR="00ED6A6C">
        <w:rPr>
          <w:b/>
        </w:rPr>
        <w:t xml:space="preserve"> PROGRAM</w:t>
      </w:r>
    </w:p>
    <w:p w:rsidRPr="000C4206" w:rsidR="0026362A" w:rsidP="004D4FCA" w:rsidRDefault="00335544" w14:paraId="136E8F0B" w14:textId="77777777">
      <w:pPr>
        <w:jc w:val="center"/>
        <w:rPr>
          <w:b/>
        </w:rPr>
      </w:pPr>
      <w:r w:rsidRPr="000C4206">
        <w:rPr>
          <w:b/>
        </w:rPr>
        <w:t>OMB# 2132 -</w:t>
      </w:r>
      <w:r w:rsidRPr="000C4206" w:rsidR="00A70E34">
        <w:rPr>
          <w:b/>
        </w:rPr>
        <w:t>0574</w:t>
      </w:r>
    </w:p>
    <w:p w:rsidRPr="00335544" w:rsidR="00FC64B5" w:rsidP="00782F78" w:rsidRDefault="00FC64B5" w14:paraId="21E6FB66" w14:textId="77777777">
      <w:pPr>
        <w:rPr>
          <w:b/>
          <w:snapToGrid w:val="0"/>
          <w:color w:val="000000"/>
          <w:sz w:val="23"/>
          <w:szCs w:val="23"/>
          <w:u w:val="single"/>
        </w:rPr>
      </w:pPr>
      <w:r w:rsidRPr="00335544">
        <w:rPr>
          <w:b/>
          <w:snapToGrid w:val="0"/>
          <w:color w:val="000000"/>
          <w:sz w:val="23"/>
          <w:szCs w:val="23"/>
          <w:u w:val="single"/>
        </w:rPr>
        <w:t>ABSTRACT</w:t>
      </w:r>
    </w:p>
    <w:p w:rsidR="00335544" w:rsidP="00782F78" w:rsidRDefault="00B17F47" w14:paraId="354748D4" w14:textId="3E0532E5">
      <w:pPr>
        <w:rPr>
          <w:color w:val="000000"/>
          <w:sz w:val="23"/>
          <w:szCs w:val="23"/>
        </w:rPr>
      </w:pPr>
      <w:r w:rsidRPr="00E22E4F">
        <w:rPr>
          <w:snapToGrid w:val="0"/>
          <w:color w:val="000000"/>
        </w:rPr>
        <w:t>This supporting statement is associated with a request for</w:t>
      </w:r>
      <w:r>
        <w:rPr>
          <w:snapToGrid w:val="0"/>
          <w:color w:val="000000"/>
        </w:rPr>
        <w:t xml:space="preserve"> an extension of a </w:t>
      </w:r>
      <w:r w:rsidRPr="00E22E4F">
        <w:rPr>
          <w:snapToGrid w:val="0"/>
          <w:color w:val="000000"/>
        </w:rPr>
        <w:t xml:space="preserve">currently approved information collection. </w:t>
      </w:r>
      <w:r w:rsidRPr="00E22E4F">
        <w:rPr>
          <w:color w:val="000000"/>
        </w:rPr>
        <w:t> The change in this collection reflects a reduction in burden</w:t>
      </w:r>
      <w:r w:rsidRPr="00E22E4F">
        <w:rPr>
          <w:color w:val="1F497D"/>
        </w:rPr>
        <w:t xml:space="preserve"> </w:t>
      </w:r>
      <w:r w:rsidRPr="00E22E4F">
        <w:rPr>
          <w:color w:val="000000"/>
        </w:rPr>
        <w:t>on the public and federal government</w:t>
      </w:r>
      <w:r>
        <w:rPr>
          <w:color w:val="000000"/>
        </w:rPr>
        <w:t xml:space="preserve"> due to </w:t>
      </w:r>
      <w:r w:rsidRPr="00335544" w:rsidR="00FC64B5">
        <w:rPr>
          <w:color w:val="000000"/>
          <w:sz w:val="23"/>
          <w:szCs w:val="23"/>
        </w:rPr>
        <w:t xml:space="preserve">U.S.C. Section 5320 Paul S. Sarbanes Transit in the Parks </w:t>
      </w:r>
      <w:r w:rsidRPr="00335544" w:rsidR="002C1C00">
        <w:rPr>
          <w:color w:val="000000"/>
          <w:sz w:val="23"/>
          <w:szCs w:val="23"/>
        </w:rPr>
        <w:t>P</w:t>
      </w:r>
      <w:r w:rsidRPr="00335544" w:rsidR="00FC64B5">
        <w:rPr>
          <w:color w:val="000000"/>
          <w:sz w:val="23"/>
          <w:szCs w:val="23"/>
        </w:rPr>
        <w:t>rogram being repealed by Congress under the Moving Ahead for Progress in the 21</w:t>
      </w:r>
      <w:r w:rsidRPr="00335544" w:rsidR="00FC64B5">
        <w:rPr>
          <w:color w:val="000000"/>
          <w:sz w:val="23"/>
          <w:szCs w:val="23"/>
          <w:vertAlign w:val="superscript"/>
        </w:rPr>
        <w:t>st</w:t>
      </w:r>
      <w:r w:rsidRPr="00335544" w:rsidR="00FC64B5">
        <w:rPr>
          <w:color w:val="000000"/>
          <w:sz w:val="23"/>
          <w:szCs w:val="23"/>
        </w:rPr>
        <w:t xml:space="preserve"> Century Act </w:t>
      </w:r>
    </w:p>
    <w:p w:rsidRPr="0019170A" w:rsidR="000C4206" w:rsidP="000C4206" w:rsidRDefault="00FC64B5" w14:paraId="0AC1BF84" w14:textId="4E2561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335544">
        <w:rPr>
          <w:color w:val="000000"/>
          <w:sz w:val="23"/>
          <w:szCs w:val="23"/>
        </w:rPr>
        <w:t xml:space="preserve">(MAP-21).  </w:t>
      </w:r>
      <w:r w:rsidR="000C4206">
        <w:rPr>
          <w:color w:val="000000"/>
          <w:sz w:val="23"/>
          <w:szCs w:val="23"/>
        </w:rPr>
        <w:t xml:space="preserve">There are </w:t>
      </w:r>
      <w:r w:rsidR="00B17F47">
        <w:rPr>
          <w:color w:val="000000"/>
          <w:sz w:val="23"/>
          <w:szCs w:val="23"/>
        </w:rPr>
        <w:t xml:space="preserve">now </w:t>
      </w:r>
      <w:r w:rsidR="000C4206">
        <w:rPr>
          <w:color w:val="000000"/>
          <w:sz w:val="23"/>
          <w:szCs w:val="23"/>
        </w:rPr>
        <w:t xml:space="preserve">only </w:t>
      </w:r>
      <w:r w:rsidR="00413287">
        <w:rPr>
          <w:color w:val="000000"/>
          <w:sz w:val="23"/>
          <w:szCs w:val="23"/>
        </w:rPr>
        <w:t>four</w:t>
      </w:r>
      <w:r w:rsidR="00B17F47">
        <w:rPr>
          <w:color w:val="000000"/>
          <w:sz w:val="23"/>
          <w:szCs w:val="23"/>
        </w:rPr>
        <w:t xml:space="preserve"> </w:t>
      </w:r>
      <w:r w:rsidR="000C4206">
        <w:rPr>
          <w:color w:val="000000"/>
          <w:sz w:val="23"/>
          <w:szCs w:val="23"/>
        </w:rPr>
        <w:t>open grants</w:t>
      </w:r>
      <w:r w:rsidR="00B17F47">
        <w:rPr>
          <w:color w:val="000000"/>
          <w:sz w:val="23"/>
          <w:szCs w:val="23"/>
        </w:rPr>
        <w:t>/respondents</w:t>
      </w:r>
      <w:r w:rsidR="000C4206">
        <w:rPr>
          <w:color w:val="000000"/>
          <w:sz w:val="23"/>
          <w:szCs w:val="23"/>
        </w:rPr>
        <w:t xml:space="preserve"> associated with this information collection.</w:t>
      </w:r>
      <w:r w:rsidRPr="000C4206" w:rsidR="000C4206">
        <w:rPr>
          <w:snapToGrid w:val="0"/>
          <w:color w:val="000000"/>
          <w:sz w:val="23"/>
          <w:szCs w:val="23"/>
        </w:rPr>
        <w:t xml:space="preserve"> </w:t>
      </w:r>
      <w:r w:rsidRPr="0019170A" w:rsidR="000C4206">
        <w:rPr>
          <w:snapToGrid w:val="0"/>
          <w:color w:val="000000"/>
          <w:sz w:val="23"/>
          <w:szCs w:val="23"/>
        </w:rPr>
        <w:t xml:space="preserve"> Once the funds are fully expended this information collection will be discontinued.</w:t>
      </w:r>
    </w:p>
    <w:p w:rsidRPr="00335544" w:rsidR="00FC64B5" w:rsidP="00782F78" w:rsidRDefault="00FC64B5" w14:paraId="45DCDDE8" w14:textId="77777777">
      <w:pPr>
        <w:rPr>
          <w:snapToGrid w:val="0"/>
          <w:sz w:val="23"/>
          <w:szCs w:val="23"/>
        </w:rPr>
      </w:pPr>
    </w:p>
    <w:p w:rsidRPr="00335544" w:rsidR="00B46399" w:rsidP="007E66EC" w:rsidRDefault="00FE69A2" w14:paraId="4539D48A" w14:textId="77777777">
      <w:pPr>
        <w:spacing w:before="100" w:beforeAutospacing="1"/>
        <w:rPr>
          <w:b/>
          <w:sz w:val="23"/>
          <w:szCs w:val="23"/>
        </w:rPr>
      </w:pPr>
      <w:r w:rsidRPr="00335544">
        <w:rPr>
          <w:b/>
          <w:sz w:val="23"/>
          <w:szCs w:val="23"/>
        </w:rPr>
        <w:t>1.  Circumstances that make collection necessary.</w:t>
      </w:r>
    </w:p>
    <w:p w:rsidRPr="00335544" w:rsidR="007B3EB0" w:rsidP="007B3EB0" w:rsidRDefault="007B3EB0" w14:paraId="569B8201" w14:textId="77777777">
      <w:pPr>
        <w:autoSpaceDE w:val="0"/>
        <w:autoSpaceDN w:val="0"/>
        <w:adjustRightInd w:val="0"/>
        <w:rPr>
          <w:sz w:val="23"/>
          <w:szCs w:val="23"/>
        </w:rPr>
      </w:pPr>
    </w:p>
    <w:p w:rsidRPr="00335544" w:rsidR="004D4FCA" w:rsidP="007B3EB0" w:rsidRDefault="004224F6" w14:paraId="26D75255" w14:textId="77777777">
      <w:pPr>
        <w:autoSpaceDE w:val="0"/>
        <w:autoSpaceDN w:val="0"/>
        <w:adjustRightInd w:val="0"/>
        <w:rPr>
          <w:color w:val="0F0F0F"/>
          <w:sz w:val="23"/>
          <w:szCs w:val="23"/>
        </w:rPr>
      </w:pPr>
      <w:r w:rsidRPr="00335544">
        <w:rPr>
          <w:sz w:val="23"/>
          <w:szCs w:val="23"/>
          <w:lang w:val="en"/>
        </w:rPr>
        <w:t xml:space="preserve">The Paul S. Sarbanes Transit in Parks </w:t>
      </w:r>
      <w:r w:rsidRPr="00335544" w:rsidR="002C1C00">
        <w:rPr>
          <w:sz w:val="23"/>
          <w:szCs w:val="23"/>
          <w:lang w:val="en"/>
        </w:rPr>
        <w:t>P</w:t>
      </w:r>
      <w:r w:rsidRPr="00335544">
        <w:rPr>
          <w:sz w:val="23"/>
          <w:szCs w:val="23"/>
          <w:lang w:val="en"/>
        </w:rPr>
        <w:t xml:space="preserve">rogram </w:t>
      </w:r>
      <w:bookmarkStart w:name="_Hlk89786868" w:id="0"/>
      <w:r w:rsidRPr="00335544">
        <w:rPr>
          <w:sz w:val="23"/>
          <w:szCs w:val="23"/>
          <w:lang w:val="en"/>
        </w:rPr>
        <w:t>addresse</w:t>
      </w:r>
      <w:r w:rsidRPr="00335544" w:rsidR="00EF4A7E">
        <w:rPr>
          <w:sz w:val="23"/>
          <w:szCs w:val="23"/>
          <w:lang w:val="en"/>
        </w:rPr>
        <w:t>d</w:t>
      </w:r>
      <w:r w:rsidRPr="00335544">
        <w:rPr>
          <w:sz w:val="23"/>
          <w:szCs w:val="23"/>
          <w:lang w:val="en"/>
        </w:rPr>
        <w:t xml:space="preserve"> the challenge of increasing vehicle congestion in and around our national parks and other federal lands. </w:t>
      </w:r>
      <w:r w:rsidRPr="00335544" w:rsidR="002C1C00">
        <w:rPr>
          <w:sz w:val="23"/>
          <w:szCs w:val="23"/>
          <w:lang w:val="en"/>
        </w:rPr>
        <w:t xml:space="preserve"> </w:t>
      </w:r>
      <w:bookmarkStart w:name="_Hlk89786898" w:id="1"/>
      <w:bookmarkEnd w:id="0"/>
      <w:r w:rsidRPr="00335544">
        <w:rPr>
          <w:sz w:val="23"/>
          <w:szCs w:val="23"/>
          <w:lang w:val="en"/>
        </w:rPr>
        <w:t>America’s national parks, wildlife refuges, and national forests were created to protect unique environmental and cultural treasures, but are now facing traffic, pollution and crowding that diminishes the visitor experience and threatens the environment. To address these concerns, this program provide</w:t>
      </w:r>
      <w:r w:rsidRPr="00335544" w:rsidR="00EF4A7E">
        <w:rPr>
          <w:sz w:val="23"/>
          <w:szCs w:val="23"/>
          <w:lang w:val="en"/>
        </w:rPr>
        <w:t>d</w:t>
      </w:r>
      <w:r w:rsidRPr="00335544">
        <w:rPr>
          <w:sz w:val="23"/>
          <w:szCs w:val="23"/>
          <w:lang w:val="en"/>
        </w:rPr>
        <w:t xml:space="preserve"> funding for</w:t>
      </w:r>
      <w:r w:rsidRPr="00335544" w:rsidR="000D3804">
        <w:rPr>
          <w:sz w:val="23"/>
          <w:szCs w:val="23"/>
          <w:lang w:val="en"/>
        </w:rPr>
        <w:t xml:space="preserve"> </w:t>
      </w:r>
      <w:r w:rsidRPr="00335544" w:rsidR="000D3804">
        <w:rPr>
          <w:color w:val="0F0F0F"/>
          <w:sz w:val="23"/>
          <w:szCs w:val="23"/>
        </w:rPr>
        <w:t>the planning and capital costs of alternative transportation systems</w:t>
      </w:r>
      <w:r w:rsidRPr="00335544">
        <w:rPr>
          <w:sz w:val="23"/>
          <w:szCs w:val="23"/>
          <w:lang w:val="en"/>
        </w:rPr>
        <w:t xml:space="preserve">, such as shuttle buses, rail connections and even bicycle trails.  The program </w:t>
      </w:r>
      <w:r w:rsidRPr="00335544" w:rsidR="008E2567">
        <w:rPr>
          <w:sz w:val="23"/>
          <w:szCs w:val="23"/>
          <w:lang w:val="en"/>
        </w:rPr>
        <w:t>provided</w:t>
      </w:r>
      <w:r w:rsidRPr="00335544">
        <w:rPr>
          <w:sz w:val="23"/>
          <w:szCs w:val="23"/>
        </w:rPr>
        <w:t xml:space="preserve"> g</w:t>
      </w:r>
      <w:r w:rsidRPr="00335544" w:rsidR="007B3EB0">
        <w:rPr>
          <w:color w:val="0F0F0F"/>
          <w:sz w:val="23"/>
          <w:szCs w:val="23"/>
        </w:rPr>
        <w:t>rants to Federal land management agencies, including but not limited to the National Park Service, the Fish and Wildlife Service, the Bureau of Land Management, the Forest Service, the Bureau of Reclamation, and to State, tribal and local governments</w:t>
      </w:r>
      <w:r w:rsidRPr="00335544" w:rsidR="000D3804">
        <w:rPr>
          <w:color w:val="0F0F0F"/>
          <w:sz w:val="23"/>
          <w:szCs w:val="23"/>
        </w:rPr>
        <w:t>.</w:t>
      </w:r>
      <w:bookmarkEnd w:id="1"/>
      <w:r w:rsidRPr="00335544" w:rsidR="000D3804">
        <w:rPr>
          <w:color w:val="0F0F0F"/>
          <w:sz w:val="23"/>
          <w:szCs w:val="23"/>
        </w:rPr>
        <w:t xml:space="preserve"> </w:t>
      </w:r>
      <w:r w:rsidRPr="00335544" w:rsidR="007B3EB0">
        <w:rPr>
          <w:color w:val="0F0F0F"/>
          <w:sz w:val="23"/>
          <w:szCs w:val="23"/>
        </w:rPr>
        <w:t xml:space="preserve"> </w:t>
      </w:r>
    </w:p>
    <w:p w:rsidRPr="00335544" w:rsidR="000D3804" w:rsidP="007B3EB0" w:rsidRDefault="000D3804" w14:paraId="2D7E44EC" w14:textId="77777777">
      <w:pPr>
        <w:autoSpaceDE w:val="0"/>
        <w:autoSpaceDN w:val="0"/>
        <w:adjustRightInd w:val="0"/>
        <w:rPr>
          <w:color w:val="0F0F0F"/>
          <w:sz w:val="23"/>
          <w:szCs w:val="23"/>
        </w:rPr>
      </w:pPr>
    </w:p>
    <w:p w:rsidRPr="00335544" w:rsidR="002F65E0" w:rsidP="00B75B81" w:rsidRDefault="004224F6" w14:paraId="6026D47E" w14:textId="77777777">
      <w:pPr>
        <w:autoSpaceDE w:val="0"/>
        <w:autoSpaceDN w:val="0"/>
        <w:adjustRightInd w:val="0"/>
        <w:rPr>
          <w:color w:val="0F0F0F"/>
          <w:sz w:val="23"/>
          <w:szCs w:val="23"/>
        </w:rPr>
      </w:pPr>
      <w:r w:rsidRPr="00335544">
        <w:rPr>
          <w:sz w:val="23"/>
          <w:szCs w:val="23"/>
          <w:lang w:val="en"/>
        </w:rPr>
        <w:t>The Paul S. Sarbanes Transit in Parks Program (Transit in Parks) was originally authorized</w:t>
      </w:r>
      <w:r w:rsidRPr="00335544" w:rsidR="002F65E0">
        <w:rPr>
          <w:sz w:val="23"/>
          <w:szCs w:val="23"/>
          <w:lang w:val="en"/>
        </w:rPr>
        <w:t xml:space="preserve"> in 2006 under </w:t>
      </w:r>
      <w:r w:rsidRPr="00335544" w:rsidR="002F65E0">
        <w:rPr>
          <w:sz w:val="23"/>
          <w:szCs w:val="23"/>
        </w:rPr>
        <w:t xml:space="preserve">Section 3021 of the Safe, Accountable, Flexible, Efficient Transportation Equity Act—A Legacy for Users of 2005 (SAFETEA–LU) and codified in 49 U.S.C. 5320. </w:t>
      </w:r>
      <w:r w:rsidRPr="00335544" w:rsidR="00B46399">
        <w:rPr>
          <w:color w:val="0F0F0F"/>
          <w:sz w:val="23"/>
          <w:szCs w:val="23"/>
        </w:rPr>
        <w:t>The program</w:t>
      </w:r>
      <w:r w:rsidRPr="00335544" w:rsidR="00335544">
        <w:rPr>
          <w:color w:val="0F0F0F"/>
          <w:sz w:val="23"/>
          <w:szCs w:val="23"/>
        </w:rPr>
        <w:t xml:space="preserve"> was</w:t>
      </w:r>
      <w:r w:rsidRPr="00335544" w:rsidR="00B46399">
        <w:rPr>
          <w:color w:val="0F0F0F"/>
          <w:sz w:val="23"/>
          <w:szCs w:val="23"/>
        </w:rPr>
        <w:t xml:space="preserve"> administered by the Federal Transit Administration (FTA) in partnership with the Department of the Interior (DOI) and the U.S. Department of Agriculture’s Forest Service.  </w:t>
      </w:r>
    </w:p>
    <w:p w:rsidRPr="00335544" w:rsidR="00390F0B" w:rsidP="00FC64B5" w:rsidRDefault="00390F0B" w14:paraId="4CB2DF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rsidRPr="005D14BF" w:rsidR="00335544" w:rsidP="00FC64B5" w:rsidRDefault="00FC64B5" w14:paraId="0544A3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3"/>
          <w:szCs w:val="23"/>
          <w:lang w:val="en"/>
        </w:rPr>
      </w:pPr>
      <w:r w:rsidRPr="005D14BF">
        <w:rPr>
          <w:color w:val="000000"/>
          <w:sz w:val="23"/>
          <w:szCs w:val="23"/>
        </w:rPr>
        <w:t xml:space="preserve">On October 1, 2013, the </w:t>
      </w:r>
      <w:r w:rsidRPr="005D14BF" w:rsidR="002C1C00">
        <w:rPr>
          <w:color w:val="000000"/>
          <w:sz w:val="23"/>
          <w:szCs w:val="23"/>
        </w:rPr>
        <w:t>Paul S. Sarbanes Transit in Parks</w:t>
      </w:r>
      <w:r w:rsidRPr="005D14BF">
        <w:rPr>
          <w:color w:val="000000"/>
          <w:sz w:val="23"/>
          <w:szCs w:val="23"/>
        </w:rPr>
        <w:t xml:space="preserve"> </w:t>
      </w:r>
      <w:r w:rsidRPr="005D14BF" w:rsidR="002C1C00">
        <w:rPr>
          <w:color w:val="000000"/>
          <w:sz w:val="23"/>
          <w:szCs w:val="23"/>
        </w:rPr>
        <w:t>P</w:t>
      </w:r>
      <w:r w:rsidRPr="005D14BF">
        <w:rPr>
          <w:color w:val="000000"/>
          <w:sz w:val="23"/>
          <w:szCs w:val="23"/>
        </w:rPr>
        <w:t>rogram was repealed by Congress under the Moving Ahead for Progress in the 21</w:t>
      </w:r>
      <w:r w:rsidRPr="005D14BF">
        <w:rPr>
          <w:color w:val="000000"/>
          <w:sz w:val="23"/>
          <w:szCs w:val="23"/>
          <w:vertAlign w:val="superscript"/>
        </w:rPr>
        <w:t>st</w:t>
      </w:r>
      <w:r w:rsidRPr="005D14BF">
        <w:rPr>
          <w:color w:val="000000"/>
          <w:sz w:val="23"/>
          <w:szCs w:val="23"/>
        </w:rPr>
        <w:t xml:space="preserve"> Century Act</w:t>
      </w:r>
      <w:r w:rsidRPr="005D14BF" w:rsidR="002F65E0">
        <w:rPr>
          <w:color w:val="000000"/>
          <w:sz w:val="23"/>
          <w:szCs w:val="23"/>
        </w:rPr>
        <w:t xml:space="preserve"> (MAP-21)</w:t>
      </w:r>
      <w:r w:rsidRPr="005D14BF">
        <w:rPr>
          <w:color w:val="000000"/>
          <w:sz w:val="23"/>
          <w:szCs w:val="23"/>
        </w:rPr>
        <w:t xml:space="preserve">.  </w:t>
      </w:r>
      <w:r w:rsidRPr="005D14BF" w:rsidR="00335544">
        <w:rPr>
          <w:color w:val="000000"/>
          <w:sz w:val="23"/>
          <w:szCs w:val="23"/>
          <w:lang w:val="en"/>
        </w:rPr>
        <w:t xml:space="preserve">FTA announced the final selection of competitive project awards on </w:t>
      </w:r>
      <w:hyperlink w:history="1" r:id="rId7">
        <w:r w:rsidRPr="005D14BF" w:rsidR="00335544">
          <w:rPr>
            <w:color w:val="000000"/>
            <w:sz w:val="23"/>
            <w:szCs w:val="23"/>
            <w:lang w:val="en"/>
          </w:rPr>
          <w:t>February 18, 2013</w:t>
        </w:r>
      </w:hyperlink>
      <w:r w:rsidRPr="005D14BF" w:rsidR="00335544">
        <w:rPr>
          <w:color w:val="000000"/>
          <w:sz w:val="23"/>
          <w:szCs w:val="23"/>
          <w:lang w:val="en"/>
        </w:rPr>
        <w:t>. Alternative transportation projects formerly eligible under Transit in Parks are now eligible under the Federal Highway Administration’s </w:t>
      </w:r>
      <w:hyperlink w:history="1" r:id="rId8">
        <w:r w:rsidRPr="005D14BF" w:rsidR="00335544">
          <w:rPr>
            <w:color w:val="000000"/>
            <w:sz w:val="23"/>
            <w:szCs w:val="23"/>
            <w:lang w:val="en"/>
          </w:rPr>
          <w:t>Federal Lands Transportation Program</w:t>
        </w:r>
      </w:hyperlink>
      <w:r w:rsidRPr="005D14BF" w:rsidR="00335544">
        <w:rPr>
          <w:color w:val="000000"/>
          <w:sz w:val="23"/>
          <w:szCs w:val="23"/>
          <w:lang w:val="en"/>
        </w:rPr>
        <w:t xml:space="preserve"> and the </w:t>
      </w:r>
      <w:hyperlink w:history="1" r:id="rId9">
        <w:r w:rsidRPr="005D14BF" w:rsidR="00335544">
          <w:rPr>
            <w:color w:val="000000"/>
            <w:sz w:val="23"/>
            <w:szCs w:val="23"/>
            <w:lang w:val="en"/>
          </w:rPr>
          <w:t>Federal Lands Access Program</w:t>
        </w:r>
      </w:hyperlink>
      <w:r w:rsidRPr="005D14BF" w:rsidR="00335544">
        <w:rPr>
          <w:color w:val="000000"/>
          <w:sz w:val="23"/>
          <w:szCs w:val="23"/>
          <w:lang w:val="en"/>
        </w:rPr>
        <w:t>.</w:t>
      </w:r>
    </w:p>
    <w:p w:rsidRPr="00335544" w:rsidR="00335544" w:rsidP="00FC64B5" w:rsidRDefault="00335544" w14:paraId="35532F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lang w:val="en"/>
        </w:rPr>
      </w:pPr>
    </w:p>
    <w:p w:rsidR="00EF4A7E" w:rsidP="00FC64B5" w:rsidRDefault="005311FA" w14:paraId="533FA90F" w14:textId="12F2BC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Unicode MS"/>
          <w:color w:val="000000"/>
        </w:rPr>
      </w:pPr>
      <w:r w:rsidRPr="00335544">
        <w:rPr>
          <w:sz w:val="23"/>
          <w:szCs w:val="23"/>
        </w:rPr>
        <w:t>Originally, the program had two requirement</w:t>
      </w:r>
      <w:r w:rsidRPr="00335544" w:rsidR="00EF4A7E">
        <w:rPr>
          <w:sz w:val="23"/>
          <w:szCs w:val="23"/>
        </w:rPr>
        <w:t xml:space="preserve">s; </w:t>
      </w:r>
      <w:r w:rsidRPr="00335544" w:rsidR="003303CE">
        <w:rPr>
          <w:sz w:val="23"/>
          <w:szCs w:val="23"/>
        </w:rPr>
        <w:t xml:space="preserve">1.) </w:t>
      </w:r>
      <w:r w:rsidRPr="00335544" w:rsidR="00EF4A7E">
        <w:rPr>
          <w:sz w:val="23"/>
          <w:szCs w:val="23"/>
        </w:rPr>
        <w:t xml:space="preserve">the competitive grant application stage and </w:t>
      </w:r>
      <w:r w:rsidRPr="00335544" w:rsidR="003303CE">
        <w:rPr>
          <w:sz w:val="23"/>
          <w:szCs w:val="23"/>
        </w:rPr>
        <w:t xml:space="preserve">2.) </w:t>
      </w:r>
      <w:r w:rsidR="00DE0FE4">
        <w:rPr>
          <w:sz w:val="23"/>
          <w:szCs w:val="23"/>
        </w:rPr>
        <w:t xml:space="preserve">the </w:t>
      </w:r>
      <w:r w:rsidRPr="00335544" w:rsidR="00EF4A7E">
        <w:rPr>
          <w:sz w:val="23"/>
          <w:szCs w:val="23"/>
        </w:rPr>
        <w:t xml:space="preserve">grant application </w:t>
      </w:r>
      <w:r w:rsidRPr="00335544" w:rsidR="004660A8">
        <w:rPr>
          <w:sz w:val="23"/>
          <w:szCs w:val="23"/>
        </w:rPr>
        <w:t>development</w:t>
      </w:r>
      <w:r w:rsidRPr="00335544" w:rsidR="00EF4A7E">
        <w:rPr>
          <w:sz w:val="23"/>
          <w:szCs w:val="23"/>
        </w:rPr>
        <w:t xml:space="preserve"> stage. </w:t>
      </w:r>
      <w:r w:rsidRPr="00335544" w:rsidR="00390F0B">
        <w:rPr>
          <w:sz w:val="23"/>
          <w:szCs w:val="23"/>
        </w:rPr>
        <w:t xml:space="preserve"> </w:t>
      </w:r>
      <w:r w:rsidR="00335544">
        <w:rPr>
          <w:sz w:val="23"/>
          <w:szCs w:val="23"/>
        </w:rPr>
        <w:t>Since b</w:t>
      </w:r>
      <w:r w:rsidRPr="00335544" w:rsidR="00EF4A7E">
        <w:rPr>
          <w:sz w:val="23"/>
          <w:szCs w:val="23"/>
        </w:rPr>
        <w:t>eing repealed</w:t>
      </w:r>
      <w:r w:rsidRPr="00335544">
        <w:rPr>
          <w:sz w:val="23"/>
          <w:szCs w:val="23"/>
        </w:rPr>
        <w:t xml:space="preserve">, the competitive grant application stage was eliminated, dramatically reducing the number of respondents </w:t>
      </w:r>
      <w:r w:rsidRPr="00335544" w:rsidR="00390F0B">
        <w:rPr>
          <w:sz w:val="23"/>
          <w:szCs w:val="23"/>
        </w:rPr>
        <w:t xml:space="preserve">previously associated with the collection. </w:t>
      </w:r>
      <w:r w:rsidRPr="00335544">
        <w:rPr>
          <w:sz w:val="23"/>
          <w:szCs w:val="23"/>
        </w:rPr>
        <w:t xml:space="preserve"> </w:t>
      </w:r>
      <w:r w:rsidRPr="00A83E5F" w:rsidR="00B17F47">
        <w:t>However,</w:t>
      </w:r>
      <w:r w:rsidRPr="00A83E5F" w:rsidR="00B17F47">
        <w:rPr>
          <w:rFonts w:eastAsia="Arial Unicode MS"/>
          <w:color w:val="000000"/>
        </w:rPr>
        <w:t xml:space="preserve"> to meet federal program oversight responsibilities, FTA must continue to collect information under the program management stage until the period of availability expires</w:t>
      </w:r>
      <w:r w:rsidR="00B17F47">
        <w:rPr>
          <w:rFonts w:eastAsia="Arial Unicode MS"/>
          <w:color w:val="000000"/>
        </w:rPr>
        <w:t>;</w:t>
      </w:r>
      <w:r w:rsidRPr="00A83E5F" w:rsidR="00B17F47">
        <w:rPr>
          <w:rFonts w:eastAsia="Arial Unicode MS"/>
          <w:color w:val="000000"/>
        </w:rPr>
        <w:t xml:space="preserve"> the funds are fully expended</w:t>
      </w:r>
      <w:r w:rsidR="00B17F47">
        <w:rPr>
          <w:rFonts w:eastAsia="Arial Unicode MS"/>
          <w:color w:val="000000"/>
        </w:rPr>
        <w:t>;</w:t>
      </w:r>
      <w:r w:rsidRPr="00A83E5F" w:rsidR="00B17F47">
        <w:rPr>
          <w:rFonts w:eastAsia="Arial Unicode MS"/>
          <w:color w:val="000000"/>
        </w:rPr>
        <w:t xml:space="preserve"> the funds are rescinded by Congress</w:t>
      </w:r>
      <w:r w:rsidR="00B17F47">
        <w:rPr>
          <w:rFonts w:eastAsia="Arial Unicode MS"/>
          <w:color w:val="000000"/>
        </w:rPr>
        <w:t>;</w:t>
      </w:r>
      <w:r w:rsidRPr="00A83E5F" w:rsidR="00B17F47">
        <w:rPr>
          <w:rFonts w:eastAsia="Arial Unicode MS"/>
          <w:color w:val="000000"/>
        </w:rPr>
        <w:t xml:space="preserve"> or the</w:t>
      </w:r>
      <w:r w:rsidRPr="00A83E5F" w:rsidR="00B17F47">
        <w:rPr>
          <w:rFonts w:eastAsia="Arial Unicode MS"/>
        </w:rPr>
        <w:t xml:space="preserve"> </w:t>
      </w:r>
      <w:r w:rsidRPr="00A83E5F" w:rsidR="00B17F47">
        <w:rPr>
          <w:rFonts w:eastAsia="Arial Unicode MS"/>
          <w:color w:val="000000"/>
        </w:rPr>
        <w:t>funds are otherwise reallocated.</w:t>
      </w:r>
      <w:r w:rsidR="00B17F47">
        <w:rPr>
          <w:rFonts w:eastAsia="Arial Unicode MS"/>
          <w:color w:val="000000"/>
        </w:rPr>
        <w:t xml:space="preserve">  </w:t>
      </w:r>
    </w:p>
    <w:p w:rsidRPr="00335544" w:rsidR="0099520B" w:rsidP="0099520B" w:rsidRDefault="00762738" w14:paraId="4FC103C9" w14:textId="77777777">
      <w:pPr>
        <w:numPr>
          <w:ilvl w:val="0"/>
          <w:numId w:val="2"/>
        </w:numPr>
        <w:spacing w:before="100" w:beforeAutospacing="1"/>
        <w:ind w:left="0" w:firstLine="0"/>
        <w:rPr>
          <w:b/>
          <w:sz w:val="23"/>
          <w:szCs w:val="23"/>
        </w:rPr>
      </w:pPr>
      <w:r w:rsidRPr="00335544">
        <w:rPr>
          <w:b/>
          <w:sz w:val="23"/>
          <w:szCs w:val="23"/>
        </w:rPr>
        <w:lastRenderedPageBreak/>
        <w:t>H</w:t>
      </w:r>
      <w:r w:rsidRPr="00335544" w:rsidR="00890A03">
        <w:rPr>
          <w:b/>
          <w:sz w:val="23"/>
          <w:szCs w:val="23"/>
        </w:rPr>
        <w:t xml:space="preserve">ow, by whom, and for what purpose the information is to be used. </w:t>
      </w:r>
    </w:p>
    <w:p w:rsidRPr="00335544" w:rsidR="002C1C00" w:rsidP="00D31EC4" w:rsidRDefault="002C1C00" w14:paraId="3ABB0B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3"/>
          <w:szCs w:val="23"/>
        </w:rPr>
      </w:pPr>
    </w:p>
    <w:p w:rsidR="00EB1551" w:rsidP="00D31EC4" w:rsidRDefault="00BC14C6" w14:paraId="34C6C352" w14:textId="6610571D">
      <w:pPr>
        <w:pStyle w:val="NormalWeb"/>
        <w:spacing w:before="0" w:beforeAutospacing="0" w:after="0" w:afterAutospacing="0"/>
        <w:ind w:left="0"/>
        <w:rPr>
          <w:rFonts w:ascii="Times New Roman" w:hAnsi="Times New Roman" w:cs="Times New Roman"/>
          <w:color w:val="auto"/>
        </w:rPr>
      </w:pPr>
      <w:r w:rsidRPr="001A320E">
        <w:rPr>
          <w:rFonts w:ascii="Times New Roman" w:hAnsi="Times New Roman" w:cs="Times New Roman"/>
          <w:color w:val="auto"/>
        </w:rPr>
        <w:t>The recipients of the Transit in Parks grants were</w:t>
      </w:r>
      <w:r w:rsidRPr="001A320E">
        <w:rPr>
          <w:rFonts w:ascii="Times New Roman" w:hAnsi="Times New Roman" w:cs="Times New Roman"/>
          <w:color w:val="0F0F0F"/>
        </w:rPr>
        <w:t xml:space="preserve"> Federal land management agencies. T</w:t>
      </w:r>
      <w:r w:rsidR="001A320E">
        <w:rPr>
          <w:rFonts w:ascii="Times New Roman" w:hAnsi="Times New Roman" w:cs="Times New Roman"/>
          <w:color w:val="0F0F0F"/>
        </w:rPr>
        <w:t>hey received federal funding</w:t>
      </w:r>
      <w:r w:rsidRPr="001A320E">
        <w:rPr>
          <w:rFonts w:ascii="Times New Roman" w:hAnsi="Times New Roman" w:cs="Times New Roman"/>
          <w:lang w:val="en"/>
        </w:rPr>
        <w:t xml:space="preserve"> for </w:t>
      </w:r>
      <w:r w:rsidRPr="001A320E">
        <w:rPr>
          <w:rFonts w:ascii="Times New Roman" w:hAnsi="Times New Roman" w:cs="Times New Roman"/>
          <w:color w:val="0F0F0F"/>
        </w:rPr>
        <w:t xml:space="preserve">the planning and capital costs </w:t>
      </w:r>
      <w:r w:rsidR="001A320E">
        <w:rPr>
          <w:rFonts w:ascii="Times New Roman" w:hAnsi="Times New Roman" w:cs="Times New Roman"/>
          <w:color w:val="0F0F0F"/>
        </w:rPr>
        <w:t>to purchase and build</w:t>
      </w:r>
      <w:r w:rsidRPr="001A320E">
        <w:rPr>
          <w:rFonts w:ascii="Times New Roman" w:hAnsi="Times New Roman" w:cs="Times New Roman"/>
          <w:color w:val="0F0F0F"/>
        </w:rPr>
        <w:t xml:space="preserve"> alternative transportation systems</w:t>
      </w:r>
      <w:r w:rsidRPr="001A320E">
        <w:rPr>
          <w:rFonts w:ascii="Times New Roman" w:hAnsi="Times New Roman" w:cs="Times New Roman"/>
          <w:lang w:val="en"/>
        </w:rPr>
        <w:t xml:space="preserve">, such as shuttle buses, rail connections and even bicycle trails in our Nation’s national parks, wildlife refuges, etc. After a grant </w:t>
      </w:r>
      <w:r w:rsidRPr="001A320E" w:rsidR="001A320E">
        <w:rPr>
          <w:rFonts w:ascii="Times New Roman" w:hAnsi="Times New Roman" w:cs="Times New Roman"/>
          <w:lang w:val="en"/>
        </w:rPr>
        <w:t xml:space="preserve">has </w:t>
      </w:r>
      <w:r w:rsidRPr="001A320E">
        <w:rPr>
          <w:rFonts w:ascii="Times New Roman" w:hAnsi="Times New Roman" w:cs="Times New Roman"/>
          <w:lang w:val="en"/>
        </w:rPr>
        <w:t>been awarded and funding secured</w:t>
      </w:r>
      <w:r w:rsidRPr="001A320E" w:rsidR="001A320E">
        <w:rPr>
          <w:rFonts w:ascii="Times New Roman" w:hAnsi="Times New Roman" w:cs="Times New Roman"/>
          <w:lang w:val="en"/>
        </w:rPr>
        <w:t xml:space="preserve">, </w:t>
      </w:r>
      <w:r w:rsidRPr="001A320E" w:rsidR="00C95467">
        <w:rPr>
          <w:rFonts w:ascii="Times New Roman" w:hAnsi="Times New Roman" w:cs="Times New Roman"/>
          <w:color w:val="auto"/>
        </w:rPr>
        <w:t>FTA collects i</w:t>
      </w:r>
      <w:r w:rsidRPr="001A320E" w:rsidR="00EB1551">
        <w:rPr>
          <w:rFonts w:ascii="Times New Roman" w:hAnsi="Times New Roman" w:cs="Times New Roman"/>
          <w:color w:val="auto"/>
        </w:rPr>
        <w:t xml:space="preserve">nformation during the </w:t>
      </w:r>
      <w:r w:rsidRPr="001A320E" w:rsidR="003303CE">
        <w:rPr>
          <w:rFonts w:ascii="Times New Roman" w:hAnsi="Times New Roman" w:cs="Times New Roman"/>
          <w:color w:val="auto"/>
        </w:rPr>
        <w:t>P</w:t>
      </w:r>
      <w:r w:rsidRPr="001A320E" w:rsidR="00EB1551">
        <w:rPr>
          <w:rFonts w:ascii="Times New Roman" w:hAnsi="Times New Roman" w:cs="Times New Roman"/>
          <w:color w:val="auto"/>
        </w:rPr>
        <w:t xml:space="preserve">roject </w:t>
      </w:r>
      <w:r w:rsidRPr="001A320E" w:rsidR="003303CE">
        <w:rPr>
          <w:rFonts w:ascii="Times New Roman" w:hAnsi="Times New Roman" w:cs="Times New Roman"/>
          <w:color w:val="auto"/>
        </w:rPr>
        <w:t>M</w:t>
      </w:r>
      <w:r w:rsidRPr="001A320E" w:rsidR="00EB1551">
        <w:rPr>
          <w:rFonts w:ascii="Times New Roman" w:hAnsi="Times New Roman" w:cs="Times New Roman"/>
          <w:color w:val="auto"/>
        </w:rPr>
        <w:t xml:space="preserve">anagement </w:t>
      </w:r>
      <w:r w:rsidRPr="001A320E" w:rsidR="003303CE">
        <w:rPr>
          <w:rFonts w:ascii="Times New Roman" w:hAnsi="Times New Roman" w:cs="Times New Roman"/>
          <w:color w:val="auto"/>
        </w:rPr>
        <w:t>S</w:t>
      </w:r>
      <w:r w:rsidRPr="001A320E" w:rsidR="00EB1551">
        <w:rPr>
          <w:rFonts w:ascii="Times New Roman" w:hAnsi="Times New Roman" w:cs="Times New Roman"/>
          <w:color w:val="auto"/>
        </w:rPr>
        <w:t xml:space="preserve">tage from recipients that are currently managing an active or incomplete project. </w:t>
      </w:r>
      <w:r w:rsidRPr="001A320E" w:rsidR="00C95467">
        <w:rPr>
          <w:rFonts w:ascii="Times New Roman" w:hAnsi="Times New Roman" w:cs="Times New Roman"/>
          <w:color w:val="auto"/>
        </w:rPr>
        <w:t>The narrative information is submitted through</w:t>
      </w:r>
      <w:r w:rsidRPr="001A320E" w:rsidR="001A320E">
        <w:rPr>
          <w:rFonts w:ascii="Times New Roman" w:hAnsi="Times New Roman" w:cs="Times New Roman"/>
          <w:color w:val="auto"/>
        </w:rPr>
        <w:t xml:space="preserve"> an online reporting system called </w:t>
      </w:r>
      <w:r w:rsidRPr="001A320E" w:rsidR="001A320E">
        <w:rPr>
          <w:rFonts w:ascii="Times New Roman" w:hAnsi="Times New Roman" w:cs="Times New Roman"/>
          <w:lang w:val="en"/>
        </w:rPr>
        <w:t xml:space="preserve">Transit Award Management System </w:t>
      </w:r>
      <w:r w:rsidRPr="001A320E" w:rsidR="001A320E">
        <w:rPr>
          <w:rFonts w:ascii="Times New Roman" w:hAnsi="Times New Roman" w:cs="Times New Roman"/>
          <w:color w:val="auto"/>
        </w:rPr>
        <w:t>(</w:t>
      </w:r>
      <w:proofErr w:type="spellStart"/>
      <w:r w:rsidRPr="001A320E" w:rsidR="001A320E">
        <w:rPr>
          <w:rFonts w:ascii="Times New Roman" w:hAnsi="Times New Roman" w:cs="Times New Roman"/>
          <w:color w:val="auto"/>
        </w:rPr>
        <w:t>T</w:t>
      </w:r>
      <w:r w:rsidRPr="001A320E" w:rsidR="00DE0FE4">
        <w:rPr>
          <w:rFonts w:ascii="Times New Roman" w:hAnsi="Times New Roman" w:cs="Times New Roman"/>
          <w:color w:val="auto"/>
        </w:rPr>
        <w:t>rAMS</w:t>
      </w:r>
      <w:proofErr w:type="spellEnd"/>
      <w:r w:rsidRPr="001A320E" w:rsidR="001A320E">
        <w:rPr>
          <w:rFonts w:ascii="Times New Roman" w:hAnsi="Times New Roman" w:cs="Times New Roman"/>
          <w:color w:val="auto"/>
        </w:rPr>
        <w:t>)</w:t>
      </w:r>
      <w:r w:rsidRPr="001A320E" w:rsidR="00DE0FE4">
        <w:rPr>
          <w:rFonts w:ascii="Times New Roman" w:hAnsi="Times New Roman" w:cs="Times New Roman"/>
          <w:color w:val="auto"/>
        </w:rPr>
        <w:t>.</w:t>
      </w:r>
      <w:r w:rsidRPr="001A320E" w:rsidR="00C95467">
        <w:rPr>
          <w:rFonts w:ascii="Times New Roman" w:hAnsi="Times New Roman" w:cs="Times New Roman"/>
          <w:color w:val="auto"/>
        </w:rPr>
        <w:t xml:space="preserve">  The purpose of the collection of this i</w:t>
      </w:r>
      <w:r w:rsidRPr="001A320E" w:rsidR="00EB1551">
        <w:rPr>
          <w:rFonts w:ascii="Times New Roman" w:hAnsi="Times New Roman" w:cs="Times New Roman"/>
          <w:color w:val="auto"/>
        </w:rPr>
        <w:t>nformation is to monitor the implementation of the project. Projects must be monitored to ensure that the work remains within the scope of the competitively selected award, that acceptable progress is being made towards completion in a reasonable timeframe, and that reimbursement requests and the drawdown of funds is in line with the proposed project milestones.</w:t>
      </w:r>
    </w:p>
    <w:p w:rsidR="00B17F47" w:rsidP="00D31EC4" w:rsidRDefault="00B17F47" w14:paraId="1BEACFC6" w14:textId="1A31A969">
      <w:pPr>
        <w:pStyle w:val="NormalWeb"/>
        <w:spacing w:before="0" w:beforeAutospacing="0" w:after="0" w:afterAutospacing="0"/>
        <w:ind w:left="0"/>
        <w:rPr>
          <w:rFonts w:ascii="Times New Roman" w:hAnsi="Times New Roman" w:cs="Times New Roman"/>
          <w:color w:val="auto"/>
        </w:rPr>
      </w:pPr>
    </w:p>
    <w:p w:rsidRPr="00B17F47" w:rsidR="00B17F47" w:rsidP="00B17F47" w:rsidRDefault="00B17F47" w14:paraId="13C285E2" w14:textId="2A6E9A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Since the application stage has been eliminated, the only information collected as part of the Transit in Parks Program occurs during the </w:t>
      </w:r>
      <w:r w:rsidRPr="00A83E5F">
        <w:t xml:space="preserve">Project Management </w:t>
      </w:r>
      <w:r w:rsidRPr="00A83E5F">
        <w:rPr>
          <w:bCs/>
          <w:snapToGrid w:val="0"/>
          <w:color w:val="000000"/>
        </w:rPr>
        <w:t>Stage</w:t>
      </w:r>
      <w:r>
        <w:rPr>
          <w:bCs/>
          <w:snapToGrid w:val="0"/>
          <w:color w:val="000000"/>
        </w:rPr>
        <w:t xml:space="preserve"> During this stage, grant recipients are required to submit an Annual Milestone Progress Report (MPR) electronically via </w:t>
      </w:r>
      <w:r w:rsidRPr="001200C9">
        <w:rPr>
          <w:bCs/>
          <w:snapToGrid w:val="0"/>
          <w:color w:val="000000"/>
        </w:rPr>
        <w:t>FTA’s Transit Award Management System (</w:t>
      </w:r>
      <w:proofErr w:type="spellStart"/>
      <w:r w:rsidRPr="001200C9">
        <w:rPr>
          <w:bCs/>
          <w:snapToGrid w:val="0"/>
          <w:color w:val="000000"/>
        </w:rPr>
        <w:t>TrAMS</w:t>
      </w:r>
      <w:proofErr w:type="spellEnd"/>
      <w:r w:rsidRPr="001200C9">
        <w:rPr>
          <w:bCs/>
          <w:snapToGrid w:val="0"/>
          <w:color w:val="000000"/>
        </w:rPr>
        <w:t>)</w:t>
      </w:r>
      <w:r>
        <w:rPr>
          <w:bCs/>
          <w:snapToGrid w:val="0"/>
          <w:color w:val="000000"/>
        </w:rPr>
        <w:t xml:space="preserve">. </w:t>
      </w:r>
    </w:p>
    <w:p w:rsidR="00B17F47" w:rsidP="00B17F47" w:rsidRDefault="00B17F47" w14:paraId="2896F3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B17F47" w:rsidP="00B17F47" w:rsidRDefault="00B17F47" w14:paraId="421732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Pr>
          <w:snapToGrid w:val="0"/>
          <w:color w:val="000000"/>
        </w:rPr>
        <w:t>Below is a summary of the annual report or information collected.</w:t>
      </w:r>
    </w:p>
    <w:p w:rsidR="00B17F47" w:rsidP="00B17F47" w:rsidRDefault="00B17F47" w14:paraId="0EFBBC1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p w:rsidR="00B17F47" w:rsidP="00B17F47" w:rsidRDefault="00B17F47" w14:paraId="6A6CA3C3" w14:textId="735B2BEA">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rPr>
          <w:snapToGrid w:val="0"/>
          <w:color w:val="000000"/>
        </w:rPr>
      </w:pPr>
      <w:r w:rsidRPr="00A83E5F">
        <w:rPr>
          <w:snapToGrid w:val="0"/>
          <w:color w:val="000000"/>
          <w:u w:val="single"/>
        </w:rPr>
        <w:t>Milestone/Progress Reports (MPR)</w:t>
      </w:r>
      <w:r>
        <w:rPr>
          <w:snapToGrid w:val="0"/>
          <w:color w:val="000000"/>
          <w:u w:val="single"/>
        </w:rPr>
        <w:t>/Annually</w:t>
      </w:r>
      <w:r>
        <w:rPr>
          <w:snapToGrid w:val="0"/>
          <w:color w:val="000000"/>
        </w:rPr>
        <w:t>:</w:t>
      </w:r>
      <w:r w:rsidRPr="00A83E5F">
        <w:rPr>
          <w:snapToGrid w:val="0"/>
          <w:color w:val="000000"/>
        </w:rPr>
        <w:t xml:space="preserve">  These narrative reports define the level of activity for each project element during the reporting period.  All significant event</w:t>
      </w:r>
      <w:r w:rsidRPr="0023444B">
        <w:rPr>
          <w:snapToGrid w:val="0"/>
          <w:color w:val="000000"/>
        </w:rPr>
        <w:t xml:space="preserve">s (e.g. </w:t>
      </w:r>
      <w:r w:rsidRPr="00A83E5F">
        <w:rPr>
          <w:snapToGrid w:val="0"/>
          <w:color w:val="000000"/>
        </w:rPr>
        <w:t>delays,</w:t>
      </w:r>
      <w:r w:rsidRPr="0023444B">
        <w:rPr>
          <w:snapToGrid w:val="0"/>
          <w:color w:val="000000"/>
        </w:rPr>
        <w:t xml:space="preserve"> problems, milestone achievements</w:t>
      </w:r>
      <w:r>
        <w:rPr>
          <w:snapToGrid w:val="0"/>
          <w:color w:val="000000"/>
        </w:rPr>
        <w:t>, etc.)</w:t>
      </w:r>
      <w:r w:rsidRPr="0023444B">
        <w:rPr>
          <w:snapToGrid w:val="0"/>
          <w:color w:val="000000"/>
        </w:rPr>
        <w:t xml:space="preserve"> are reported to FTA.  The reports greatly reduce the need for on-site visits by staff.  </w:t>
      </w:r>
    </w:p>
    <w:p w:rsidR="00B17F47" w:rsidP="00B17F47" w:rsidRDefault="00B17F47" w14:paraId="3DAE1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3"/>
          <w:szCs w:val="23"/>
        </w:rPr>
      </w:pPr>
    </w:p>
    <w:p w:rsidRPr="00335544" w:rsidR="00B17F47" w:rsidP="00B17F47" w:rsidRDefault="00B17F47" w14:paraId="11347E18" w14:textId="309B49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r>
        <w:rPr>
          <w:bCs/>
          <w:sz w:val="23"/>
          <w:szCs w:val="23"/>
        </w:rPr>
        <w:t xml:space="preserve">Since there are no longer major milestone updates, respondents simply review the information currently in the system and submit </w:t>
      </w:r>
      <w:r w:rsidR="00C37C77">
        <w:rPr>
          <w:bCs/>
          <w:sz w:val="23"/>
          <w:szCs w:val="23"/>
        </w:rPr>
        <w:t>verification that no action has been taken on the remaining funds. I</w:t>
      </w:r>
      <w:r>
        <w:rPr>
          <w:bCs/>
          <w:sz w:val="23"/>
          <w:szCs w:val="23"/>
        </w:rPr>
        <w:t xml:space="preserve">t </w:t>
      </w:r>
      <w:r w:rsidRPr="00335544">
        <w:rPr>
          <w:bCs/>
          <w:sz w:val="23"/>
          <w:szCs w:val="23"/>
        </w:rPr>
        <w:t xml:space="preserve">is estimated that it takes approximately 2 hours to submit each </w:t>
      </w:r>
      <w:r>
        <w:rPr>
          <w:bCs/>
          <w:sz w:val="23"/>
          <w:szCs w:val="23"/>
        </w:rPr>
        <w:t>Milestone</w:t>
      </w:r>
      <w:r w:rsidR="00413287">
        <w:rPr>
          <w:bCs/>
          <w:sz w:val="23"/>
          <w:szCs w:val="23"/>
        </w:rPr>
        <w:t xml:space="preserve"> Report (MPR)</w:t>
      </w:r>
      <w:r w:rsidRPr="00335544">
        <w:rPr>
          <w:bCs/>
          <w:sz w:val="23"/>
          <w:szCs w:val="23"/>
        </w:rPr>
        <w:t>. A screenshot of a sample MPR are included in this information collection request (ICR).</w:t>
      </w:r>
    </w:p>
    <w:p w:rsidR="00B17F47" w:rsidP="00B17F47" w:rsidRDefault="00B17F47" w14:paraId="0BB09AEF"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contextualSpacing/>
        <w:rPr>
          <w:snapToGrid w:val="0"/>
          <w:color w:val="000000"/>
        </w:rPr>
      </w:pPr>
    </w:p>
    <w:p w:rsidR="00B17F47" w:rsidP="00B17F47" w:rsidRDefault="00B17F47" w14:paraId="64D35A03"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rPr>
      </w:pPr>
    </w:p>
    <w:p w:rsidRPr="00335544" w:rsidR="00B422F0" w:rsidP="00782F78" w:rsidRDefault="00DE7423" w14:paraId="570C205A" w14:textId="77777777">
      <w:pPr>
        <w:pStyle w:val="BodyText"/>
        <w:rPr>
          <w:b/>
          <w:sz w:val="23"/>
          <w:szCs w:val="23"/>
        </w:rPr>
      </w:pPr>
      <w:r w:rsidRPr="00335544">
        <w:rPr>
          <w:b/>
          <w:color w:val="auto"/>
          <w:sz w:val="23"/>
          <w:szCs w:val="23"/>
        </w:rPr>
        <w:t xml:space="preserve">3. </w:t>
      </w:r>
      <w:r w:rsidRPr="00335544" w:rsidR="00577E52">
        <w:rPr>
          <w:b/>
          <w:color w:val="auto"/>
          <w:sz w:val="23"/>
          <w:szCs w:val="23"/>
        </w:rPr>
        <w:t>D</w:t>
      </w:r>
      <w:r w:rsidRPr="00335544" w:rsidR="00577E52">
        <w:rPr>
          <w:b/>
          <w:sz w:val="23"/>
          <w:szCs w:val="23"/>
        </w:rPr>
        <w:t xml:space="preserve">escribe </w:t>
      </w:r>
      <w:r w:rsidRPr="00335544" w:rsidR="00B422F0">
        <w:rPr>
          <w:b/>
          <w:sz w:val="23"/>
          <w:szCs w:val="23"/>
        </w:rPr>
        <w:t>whether collection of information involves information technology and any consideration of using information technology to reduce the burden.</w:t>
      </w:r>
    </w:p>
    <w:p w:rsidRPr="00335544" w:rsidR="004D4FCA" w:rsidP="00782F78" w:rsidRDefault="004D4FCA" w14:paraId="07420620" w14:textId="77777777">
      <w:pPr>
        <w:pStyle w:val="BodyText"/>
        <w:rPr>
          <w:color w:val="auto"/>
          <w:sz w:val="23"/>
          <w:szCs w:val="23"/>
        </w:rPr>
      </w:pPr>
    </w:p>
    <w:p w:rsidRPr="00335544" w:rsidR="00EC7B59" w:rsidP="00782F78" w:rsidRDefault="006266CF" w14:paraId="0AF19C8C" w14:textId="77777777">
      <w:pPr>
        <w:pStyle w:val="BodyText"/>
        <w:rPr>
          <w:color w:val="auto"/>
          <w:sz w:val="23"/>
          <w:szCs w:val="23"/>
        </w:rPr>
      </w:pPr>
      <w:r w:rsidRPr="00335544">
        <w:rPr>
          <w:color w:val="auto"/>
          <w:sz w:val="23"/>
          <w:szCs w:val="23"/>
        </w:rPr>
        <w:t>FTA’s T</w:t>
      </w:r>
      <w:r w:rsidR="0012076E">
        <w:rPr>
          <w:color w:val="auto"/>
          <w:sz w:val="23"/>
          <w:szCs w:val="23"/>
        </w:rPr>
        <w:t>rAMS</w:t>
      </w:r>
      <w:r w:rsidRPr="00335544" w:rsidR="00C95467">
        <w:rPr>
          <w:color w:val="auto"/>
          <w:sz w:val="23"/>
          <w:szCs w:val="23"/>
        </w:rPr>
        <w:t xml:space="preserve"> </w:t>
      </w:r>
      <w:r w:rsidRPr="00335544">
        <w:rPr>
          <w:color w:val="auto"/>
          <w:sz w:val="23"/>
          <w:szCs w:val="23"/>
        </w:rPr>
        <w:t xml:space="preserve">system electronically assists State, local and tribal grantees with </w:t>
      </w:r>
      <w:r w:rsidRPr="00335544" w:rsidR="00D31EC4">
        <w:rPr>
          <w:color w:val="auto"/>
          <w:sz w:val="23"/>
          <w:szCs w:val="23"/>
        </w:rPr>
        <w:t xml:space="preserve">reporting requirements </w:t>
      </w:r>
      <w:r w:rsidRPr="00335544">
        <w:rPr>
          <w:color w:val="auto"/>
          <w:sz w:val="23"/>
          <w:szCs w:val="23"/>
        </w:rPr>
        <w:t xml:space="preserve">for federal funds.  </w:t>
      </w:r>
      <w:r w:rsidR="0012076E">
        <w:rPr>
          <w:color w:val="auto"/>
          <w:sz w:val="23"/>
          <w:szCs w:val="23"/>
        </w:rPr>
        <w:t>All (</w:t>
      </w:r>
      <w:r w:rsidRPr="00335544" w:rsidR="00EC7B59">
        <w:rPr>
          <w:color w:val="auto"/>
          <w:sz w:val="23"/>
          <w:szCs w:val="23"/>
        </w:rPr>
        <w:t>100%</w:t>
      </w:r>
      <w:r w:rsidR="0012076E">
        <w:rPr>
          <w:color w:val="auto"/>
          <w:sz w:val="23"/>
          <w:szCs w:val="23"/>
        </w:rPr>
        <w:t>)</w:t>
      </w:r>
      <w:r w:rsidRPr="00335544" w:rsidR="00EC7B59">
        <w:rPr>
          <w:color w:val="auto"/>
          <w:sz w:val="23"/>
          <w:szCs w:val="23"/>
        </w:rPr>
        <w:t xml:space="preserve"> of the grant </w:t>
      </w:r>
      <w:r w:rsidRPr="00335544" w:rsidR="00116225">
        <w:rPr>
          <w:color w:val="auto"/>
          <w:sz w:val="23"/>
          <w:szCs w:val="23"/>
        </w:rPr>
        <w:t>recipients</w:t>
      </w:r>
      <w:r w:rsidRPr="00335544" w:rsidR="00EC7B59">
        <w:rPr>
          <w:color w:val="auto"/>
          <w:sz w:val="23"/>
          <w:szCs w:val="23"/>
        </w:rPr>
        <w:t xml:space="preserve"> utilize T</w:t>
      </w:r>
      <w:r w:rsidR="0012076E">
        <w:rPr>
          <w:color w:val="auto"/>
          <w:sz w:val="23"/>
          <w:szCs w:val="23"/>
        </w:rPr>
        <w:t xml:space="preserve">rAMS </w:t>
      </w:r>
      <w:r w:rsidRPr="00335544" w:rsidR="00EC7B59">
        <w:rPr>
          <w:color w:val="auto"/>
          <w:sz w:val="23"/>
          <w:szCs w:val="23"/>
        </w:rPr>
        <w:t>to submit th</w:t>
      </w:r>
      <w:r w:rsidRPr="00335544" w:rsidR="00D31EC4">
        <w:rPr>
          <w:color w:val="auto"/>
          <w:sz w:val="23"/>
          <w:szCs w:val="23"/>
        </w:rPr>
        <w:t xml:space="preserve">is </w:t>
      </w:r>
      <w:r w:rsidR="0012076E">
        <w:rPr>
          <w:color w:val="auto"/>
          <w:sz w:val="23"/>
          <w:szCs w:val="23"/>
        </w:rPr>
        <w:t>reporting requirements in the program management stage.</w:t>
      </w:r>
      <w:r w:rsidRPr="00335544" w:rsidR="00D31EC4">
        <w:rPr>
          <w:color w:val="auto"/>
          <w:sz w:val="23"/>
          <w:szCs w:val="23"/>
        </w:rPr>
        <w:t xml:space="preserve"> </w:t>
      </w:r>
      <w:r w:rsidRPr="0012076E" w:rsidR="0012076E">
        <w:rPr>
          <w:color w:val="auto"/>
          <w:sz w:val="23"/>
          <w:szCs w:val="23"/>
          <w:lang w:val="en"/>
        </w:rPr>
        <w:t xml:space="preserve">TrAMS was created to provide greater efficiency and improved transparency and accountability. FTA deployed TrAMS in February 2016 to provide an efficient, user-friendly, and flexible tool to award and manage grants and cooperative agreements and to strengthen the integrity and consistency of </w:t>
      </w:r>
      <w:r w:rsidR="0012076E">
        <w:rPr>
          <w:color w:val="auto"/>
          <w:sz w:val="23"/>
          <w:szCs w:val="23"/>
          <w:lang w:val="en"/>
        </w:rPr>
        <w:t xml:space="preserve">the </w:t>
      </w:r>
      <w:r w:rsidRPr="0012076E" w:rsidR="0012076E">
        <w:rPr>
          <w:color w:val="auto"/>
          <w:sz w:val="23"/>
          <w:szCs w:val="23"/>
          <w:lang w:val="en"/>
        </w:rPr>
        <w:t>award and management financial and programmatic information. TrAMS replaced the Transit Electronic Award Management (TEAM) system which had been in operation since 1998.</w:t>
      </w:r>
    </w:p>
    <w:p w:rsidRPr="00335544" w:rsidR="004D4FCA" w:rsidP="00782F78" w:rsidRDefault="004D4FCA" w14:paraId="720F4CB2" w14:textId="77777777">
      <w:pPr>
        <w:pStyle w:val="BodyText"/>
        <w:rPr>
          <w:color w:val="auto"/>
          <w:sz w:val="23"/>
          <w:szCs w:val="23"/>
        </w:rPr>
      </w:pPr>
    </w:p>
    <w:p w:rsidR="004D4FCA" w:rsidP="00782F78" w:rsidRDefault="004D4FCA" w14:paraId="4FFE3E73" w14:textId="505A591D">
      <w:pPr>
        <w:pStyle w:val="BodyText"/>
        <w:rPr>
          <w:color w:val="auto"/>
          <w:sz w:val="23"/>
          <w:szCs w:val="23"/>
        </w:rPr>
      </w:pPr>
    </w:p>
    <w:p w:rsidR="00413287" w:rsidP="00782F78" w:rsidRDefault="00413287" w14:paraId="35198FB1" w14:textId="30AA5131">
      <w:pPr>
        <w:pStyle w:val="BodyText"/>
        <w:rPr>
          <w:color w:val="auto"/>
          <w:sz w:val="23"/>
          <w:szCs w:val="23"/>
        </w:rPr>
      </w:pPr>
    </w:p>
    <w:p w:rsidR="00413287" w:rsidP="00782F78" w:rsidRDefault="00413287" w14:paraId="10F9A11E" w14:textId="53A6A6FB">
      <w:pPr>
        <w:pStyle w:val="BodyText"/>
        <w:rPr>
          <w:color w:val="auto"/>
          <w:sz w:val="23"/>
          <w:szCs w:val="23"/>
        </w:rPr>
      </w:pPr>
    </w:p>
    <w:p w:rsidRPr="00335544" w:rsidR="00413287" w:rsidP="00782F78" w:rsidRDefault="00413287" w14:paraId="3B60D608" w14:textId="77777777">
      <w:pPr>
        <w:pStyle w:val="BodyText"/>
        <w:rPr>
          <w:color w:val="auto"/>
          <w:sz w:val="23"/>
          <w:szCs w:val="23"/>
        </w:rPr>
      </w:pPr>
    </w:p>
    <w:p w:rsidRPr="00335544" w:rsidR="00B422F0" w:rsidP="00782F78" w:rsidRDefault="001800DD" w14:paraId="67AEB04B" w14:textId="77777777">
      <w:pPr>
        <w:pStyle w:val="BodyText"/>
        <w:rPr>
          <w:b/>
          <w:sz w:val="23"/>
          <w:szCs w:val="23"/>
        </w:rPr>
      </w:pPr>
      <w:r w:rsidRPr="00335544">
        <w:rPr>
          <w:b/>
          <w:sz w:val="23"/>
          <w:szCs w:val="23"/>
        </w:rPr>
        <w:lastRenderedPageBreak/>
        <w:t xml:space="preserve">4.   </w:t>
      </w:r>
      <w:r w:rsidRPr="00335544" w:rsidR="00B422F0">
        <w:rPr>
          <w:b/>
          <w:sz w:val="23"/>
          <w:szCs w:val="23"/>
        </w:rPr>
        <w:t xml:space="preserve">Describe efforts to identify </w:t>
      </w:r>
      <w:r w:rsidRPr="00335544" w:rsidR="00402C74">
        <w:rPr>
          <w:b/>
          <w:sz w:val="23"/>
          <w:szCs w:val="23"/>
        </w:rPr>
        <w:t>duplication</w:t>
      </w:r>
      <w:r w:rsidRPr="00335544" w:rsidR="00B422F0">
        <w:rPr>
          <w:b/>
          <w:sz w:val="23"/>
          <w:szCs w:val="23"/>
        </w:rPr>
        <w:t>.  Show specifically why any similar information already available cannot be used or modified for use for the purposes described in item 2.</w:t>
      </w:r>
    </w:p>
    <w:p w:rsidRPr="00335544" w:rsidR="004D4FCA" w:rsidP="00782F78" w:rsidRDefault="004D4FCA" w14:paraId="33AE2A61" w14:textId="77777777">
      <w:pPr>
        <w:pStyle w:val="BodyText"/>
        <w:rPr>
          <w:b/>
          <w:sz w:val="23"/>
          <w:szCs w:val="23"/>
        </w:rPr>
      </w:pPr>
    </w:p>
    <w:p w:rsidRPr="00335544" w:rsidR="00556056" w:rsidP="00782F78" w:rsidRDefault="00556056" w14:paraId="3B9C8BC1" w14:textId="77777777">
      <w:pPr>
        <w:pStyle w:val="BodyText"/>
        <w:rPr>
          <w:sz w:val="23"/>
          <w:szCs w:val="23"/>
        </w:rPr>
      </w:pPr>
      <w:r w:rsidRPr="00335544">
        <w:rPr>
          <w:sz w:val="23"/>
          <w:szCs w:val="23"/>
        </w:rPr>
        <w:t xml:space="preserve">The </w:t>
      </w:r>
      <w:r w:rsidRPr="00335544" w:rsidR="006266CF">
        <w:rPr>
          <w:sz w:val="23"/>
          <w:szCs w:val="23"/>
        </w:rPr>
        <w:t>reports are</w:t>
      </w:r>
      <w:r w:rsidRPr="00335544">
        <w:rPr>
          <w:sz w:val="23"/>
          <w:szCs w:val="23"/>
        </w:rPr>
        <w:t xml:space="preserve"> project-specific and cannot be obtained from other sources.  </w:t>
      </w:r>
    </w:p>
    <w:p w:rsidRPr="00335544" w:rsidR="004D4FCA" w:rsidP="00782F78" w:rsidRDefault="004D4FCA" w14:paraId="7FAA2DA5" w14:textId="77777777">
      <w:pPr>
        <w:pStyle w:val="BodyText"/>
        <w:rPr>
          <w:sz w:val="23"/>
          <w:szCs w:val="23"/>
        </w:rPr>
      </w:pPr>
    </w:p>
    <w:p w:rsidRPr="00335544" w:rsidR="004B5771" w:rsidP="00782F78" w:rsidRDefault="004B5771" w14:paraId="3EA61E89" w14:textId="77777777">
      <w:pPr>
        <w:pStyle w:val="BodyText"/>
        <w:rPr>
          <w:sz w:val="23"/>
          <w:szCs w:val="23"/>
        </w:rPr>
      </w:pPr>
    </w:p>
    <w:p w:rsidRPr="00335544" w:rsidR="00B422F0" w:rsidP="00782F78" w:rsidRDefault="001800DD" w14:paraId="05EE3089" w14:textId="77777777">
      <w:pPr>
        <w:pStyle w:val="BodyText"/>
        <w:rPr>
          <w:b/>
          <w:sz w:val="23"/>
          <w:szCs w:val="23"/>
        </w:rPr>
      </w:pPr>
      <w:r w:rsidRPr="00335544">
        <w:rPr>
          <w:b/>
          <w:sz w:val="23"/>
          <w:szCs w:val="23"/>
        </w:rPr>
        <w:t xml:space="preserve">5.   </w:t>
      </w:r>
      <w:r w:rsidRPr="00335544" w:rsidR="00B422F0">
        <w:rPr>
          <w:b/>
          <w:sz w:val="23"/>
          <w:szCs w:val="23"/>
        </w:rPr>
        <w:t>If the collection of information impacts small businesses or other small entities, describe any methods used to minimize burden.</w:t>
      </w:r>
    </w:p>
    <w:p w:rsidRPr="00335544" w:rsidR="004D4FCA" w:rsidP="00782F78" w:rsidRDefault="004D4FCA" w14:paraId="1DC8A52E" w14:textId="77777777">
      <w:pPr>
        <w:pStyle w:val="BodyText"/>
        <w:rPr>
          <w:b/>
          <w:sz w:val="23"/>
          <w:szCs w:val="23"/>
        </w:rPr>
      </w:pPr>
    </w:p>
    <w:p w:rsidRPr="00335544" w:rsidR="00114F31" w:rsidP="00782F78" w:rsidRDefault="007D46CF" w14:paraId="35758C09" w14:textId="77777777">
      <w:pPr>
        <w:pStyle w:val="BodyText"/>
        <w:rPr>
          <w:sz w:val="23"/>
          <w:szCs w:val="23"/>
        </w:rPr>
      </w:pPr>
      <w:r w:rsidRPr="00335544">
        <w:rPr>
          <w:sz w:val="23"/>
          <w:szCs w:val="23"/>
        </w:rPr>
        <w:t>The information collected does not involve small businesses.</w:t>
      </w:r>
    </w:p>
    <w:p w:rsidRPr="00335544" w:rsidR="00C8603C" w:rsidP="001800DD" w:rsidRDefault="001800DD" w14:paraId="798A0331" w14:textId="77777777">
      <w:pPr>
        <w:pStyle w:val="BodyText"/>
        <w:spacing w:before="100" w:beforeAutospacing="1"/>
        <w:rPr>
          <w:b/>
          <w:sz w:val="23"/>
          <w:szCs w:val="23"/>
        </w:rPr>
      </w:pPr>
      <w:r w:rsidRPr="00335544">
        <w:rPr>
          <w:b/>
          <w:sz w:val="23"/>
          <w:szCs w:val="23"/>
        </w:rPr>
        <w:t xml:space="preserve">6.   </w:t>
      </w:r>
      <w:r w:rsidRPr="00335544" w:rsidR="00B422F0">
        <w:rPr>
          <w:b/>
          <w:sz w:val="23"/>
          <w:szCs w:val="23"/>
        </w:rPr>
        <w:t xml:space="preserve">Describe consequences to </w:t>
      </w:r>
      <w:r w:rsidRPr="00335544" w:rsidR="00BF4A15">
        <w:rPr>
          <w:b/>
          <w:sz w:val="23"/>
          <w:szCs w:val="23"/>
        </w:rPr>
        <w:t>f</w:t>
      </w:r>
      <w:r w:rsidRPr="00335544" w:rsidR="00B422F0">
        <w:rPr>
          <w:b/>
          <w:sz w:val="23"/>
          <w:szCs w:val="23"/>
        </w:rPr>
        <w:t>ederal program or policy activities if the information were not collected or collected less frequently, as well as any technical or legal obstacles to reducing burden.</w:t>
      </w:r>
    </w:p>
    <w:p w:rsidRPr="00335544" w:rsidR="00D926CB" w:rsidP="00782F78" w:rsidRDefault="00D926CB" w14:paraId="3EA96B68" w14:textId="77777777">
      <w:pPr>
        <w:pStyle w:val="BodyText"/>
        <w:rPr>
          <w:sz w:val="23"/>
          <w:szCs w:val="23"/>
        </w:rPr>
      </w:pPr>
    </w:p>
    <w:p w:rsidRPr="00335544" w:rsidR="00C8603C" w:rsidP="00782F78" w:rsidRDefault="00C8603C" w14:paraId="048A5152" w14:textId="77777777">
      <w:pPr>
        <w:pStyle w:val="BodyText"/>
        <w:rPr>
          <w:sz w:val="23"/>
          <w:szCs w:val="23"/>
        </w:rPr>
      </w:pPr>
      <w:r w:rsidRPr="00335544">
        <w:rPr>
          <w:sz w:val="23"/>
          <w:szCs w:val="23"/>
        </w:rPr>
        <w:t xml:space="preserve">If the FFR information was not collected during the project management stage, FTA would not be able to track expenditures for approved projects as federally required.  Further reduction of reporting information would make it impossible to examine projects to ensure that grant recipients are successful stewards of federal funds and have </w:t>
      </w:r>
      <w:r w:rsidRPr="00335544">
        <w:rPr>
          <w:sz w:val="23"/>
          <w:szCs w:val="23"/>
          <w:lang w:val="en"/>
        </w:rPr>
        <w:t>financial systems in place to monitor their grant expenditures</w:t>
      </w:r>
      <w:r w:rsidRPr="00335544">
        <w:rPr>
          <w:sz w:val="23"/>
          <w:szCs w:val="23"/>
        </w:rPr>
        <w:t xml:space="preserve">.  </w:t>
      </w:r>
      <w:r w:rsidRPr="00335544" w:rsidR="000421F2">
        <w:rPr>
          <w:sz w:val="23"/>
          <w:szCs w:val="23"/>
        </w:rPr>
        <w:t>Timely s</w:t>
      </w:r>
      <w:r w:rsidRPr="00335544">
        <w:rPr>
          <w:sz w:val="23"/>
          <w:szCs w:val="23"/>
        </w:rPr>
        <w:t>ubmission of MPRs ensures projects remain within the scope of the competitively selected award, that acceptable progress is being made towards completion in a reasonable timeframe, and that reimbursement requests and the drawdown of funds is in line with the proposed project milestones.</w:t>
      </w:r>
    </w:p>
    <w:p w:rsidRPr="00335544" w:rsidR="004D4FCA" w:rsidP="00782F78" w:rsidRDefault="004D4FCA" w14:paraId="495E76C7" w14:textId="77777777">
      <w:pPr>
        <w:pStyle w:val="BodyText"/>
        <w:rPr>
          <w:sz w:val="23"/>
          <w:szCs w:val="23"/>
        </w:rPr>
      </w:pPr>
    </w:p>
    <w:p w:rsidRPr="00335544" w:rsidR="004D4FCA" w:rsidP="00782F78" w:rsidRDefault="004D4FCA" w14:paraId="47FF8EC7" w14:textId="77777777">
      <w:pPr>
        <w:pStyle w:val="BodyText"/>
        <w:rPr>
          <w:sz w:val="23"/>
          <w:szCs w:val="23"/>
        </w:rPr>
      </w:pPr>
    </w:p>
    <w:p w:rsidRPr="00335544" w:rsidR="00B422F0" w:rsidP="00782F78" w:rsidRDefault="001800DD" w14:paraId="32154402" w14:textId="77777777">
      <w:pPr>
        <w:pStyle w:val="BodyText"/>
        <w:rPr>
          <w:b/>
          <w:sz w:val="23"/>
          <w:szCs w:val="23"/>
        </w:rPr>
      </w:pPr>
      <w:r w:rsidRPr="00335544">
        <w:rPr>
          <w:b/>
          <w:sz w:val="23"/>
          <w:szCs w:val="23"/>
        </w:rPr>
        <w:t xml:space="preserve">7.   </w:t>
      </w:r>
      <w:r w:rsidRPr="00335544" w:rsidR="00B422F0">
        <w:rPr>
          <w:b/>
          <w:sz w:val="23"/>
          <w:szCs w:val="23"/>
        </w:rPr>
        <w:t>Explain any special circumstances that would cause information collection to be conducted in a manner inconsistent with 5 CFR 1320.6.</w:t>
      </w:r>
    </w:p>
    <w:p w:rsidR="0012076E" w:rsidP="00782F78" w:rsidRDefault="0012076E" w14:paraId="74DEC0CA" w14:textId="77777777">
      <w:pPr>
        <w:pStyle w:val="BodyText"/>
        <w:rPr>
          <w:sz w:val="23"/>
          <w:szCs w:val="23"/>
        </w:rPr>
      </w:pPr>
    </w:p>
    <w:p w:rsidRPr="00335544" w:rsidR="00F35F41" w:rsidP="00782F78" w:rsidRDefault="00F35F41" w14:paraId="2096EAD7" w14:textId="77777777">
      <w:pPr>
        <w:pStyle w:val="BodyText"/>
        <w:rPr>
          <w:sz w:val="23"/>
          <w:szCs w:val="23"/>
        </w:rPr>
      </w:pPr>
      <w:r w:rsidRPr="00335544">
        <w:rPr>
          <w:sz w:val="23"/>
          <w:szCs w:val="23"/>
        </w:rPr>
        <w:t>The information collected is consistent with the guidelines in 5 CFR 1320.6.</w:t>
      </w:r>
    </w:p>
    <w:p w:rsidRPr="00335544" w:rsidR="004D4FCA" w:rsidP="00782F78" w:rsidRDefault="004D4FCA" w14:paraId="58BBEB7B" w14:textId="77777777">
      <w:pPr>
        <w:pStyle w:val="BodyText"/>
        <w:rPr>
          <w:sz w:val="23"/>
          <w:szCs w:val="23"/>
        </w:rPr>
      </w:pPr>
    </w:p>
    <w:p w:rsidRPr="00335544" w:rsidR="004D4FCA" w:rsidP="00782F78" w:rsidRDefault="004D4FCA" w14:paraId="3C45C26C" w14:textId="77777777">
      <w:pPr>
        <w:pStyle w:val="BodyText"/>
        <w:rPr>
          <w:sz w:val="23"/>
          <w:szCs w:val="23"/>
        </w:rPr>
      </w:pPr>
    </w:p>
    <w:p w:rsidRPr="00335544" w:rsidR="00B422F0" w:rsidP="00782F78" w:rsidRDefault="001800DD" w14:paraId="5B4082EC" w14:textId="77777777">
      <w:pPr>
        <w:pStyle w:val="BodyText"/>
        <w:rPr>
          <w:b/>
          <w:sz w:val="23"/>
          <w:szCs w:val="23"/>
        </w:rPr>
      </w:pPr>
      <w:r w:rsidRPr="00335544">
        <w:rPr>
          <w:b/>
          <w:sz w:val="23"/>
          <w:szCs w:val="23"/>
        </w:rPr>
        <w:t xml:space="preserve">8.   </w:t>
      </w:r>
      <w:r w:rsidRPr="00335544" w:rsidR="00665F2E">
        <w:rPr>
          <w:b/>
          <w:sz w:val="23"/>
          <w:szCs w:val="23"/>
        </w:rPr>
        <w:t>Describe efforts to consult with persons outside the agency to obtain their views.</w:t>
      </w:r>
    </w:p>
    <w:p w:rsidRPr="00335544" w:rsidR="004D4FCA" w:rsidP="00782F78" w:rsidRDefault="004D4FCA" w14:paraId="54EB81D5" w14:textId="77777777">
      <w:pPr>
        <w:pStyle w:val="BodyText"/>
        <w:rPr>
          <w:b/>
          <w:sz w:val="23"/>
          <w:szCs w:val="23"/>
        </w:rPr>
      </w:pPr>
    </w:p>
    <w:p w:rsidRPr="00335544" w:rsidR="004D4FCA" w:rsidP="00782F78" w:rsidRDefault="00506A89" w14:paraId="69E0AA02" w14:textId="7C4088EF">
      <w:pPr>
        <w:pStyle w:val="BodyText"/>
        <w:rPr>
          <w:sz w:val="23"/>
          <w:szCs w:val="23"/>
        </w:rPr>
      </w:pPr>
      <w:r w:rsidRPr="00335544">
        <w:rPr>
          <w:sz w:val="23"/>
          <w:szCs w:val="23"/>
        </w:rPr>
        <w:t>A</w:t>
      </w:r>
      <w:r w:rsidRPr="00335544" w:rsidR="00AD108B">
        <w:rPr>
          <w:sz w:val="23"/>
          <w:szCs w:val="23"/>
        </w:rPr>
        <w:t xml:space="preserve"> 60-day Federal Register notice was published on</w:t>
      </w:r>
      <w:r w:rsidR="00A15CCA">
        <w:rPr>
          <w:sz w:val="23"/>
          <w:szCs w:val="23"/>
        </w:rPr>
        <w:t xml:space="preserve"> October 22, 2021</w:t>
      </w:r>
      <w:r w:rsidRPr="00335544" w:rsidR="00EA097A">
        <w:rPr>
          <w:sz w:val="23"/>
          <w:szCs w:val="23"/>
        </w:rPr>
        <w:t xml:space="preserve"> </w:t>
      </w:r>
      <w:r w:rsidRPr="00335544" w:rsidR="00C7606B">
        <w:rPr>
          <w:sz w:val="23"/>
          <w:szCs w:val="23"/>
        </w:rPr>
        <w:t xml:space="preserve">Vol. </w:t>
      </w:r>
      <w:r w:rsidRPr="00335544" w:rsidR="00EA097A">
        <w:rPr>
          <w:sz w:val="23"/>
          <w:szCs w:val="23"/>
        </w:rPr>
        <w:t>8</w:t>
      </w:r>
      <w:r w:rsidR="00A15CCA">
        <w:rPr>
          <w:sz w:val="23"/>
          <w:szCs w:val="23"/>
        </w:rPr>
        <w:t>6</w:t>
      </w:r>
      <w:r w:rsidRPr="00335544" w:rsidR="00C7606B">
        <w:rPr>
          <w:sz w:val="23"/>
          <w:szCs w:val="23"/>
        </w:rPr>
        <w:t>, No.</w:t>
      </w:r>
      <w:r w:rsidRPr="00335544" w:rsidR="00EA097A">
        <w:rPr>
          <w:sz w:val="23"/>
          <w:szCs w:val="23"/>
        </w:rPr>
        <w:t xml:space="preserve"> </w:t>
      </w:r>
      <w:r w:rsidR="00A15CCA">
        <w:rPr>
          <w:sz w:val="23"/>
          <w:szCs w:val="23"/>
        </w:rPr>
        <w:t>202</w:t>
      </w:r>
      <w:r w:rsidRPr="00335544" w:rsidR="00C7606B">
        <w:rPr>
          <w:sz w:val="23"/>
          <w:szCs w:val="23"/>
        </w:rPr>
        <w:t xml:space="preserve"> </w:t>
      </w:r>
      <w:r w:rsidRPr="00335544" w:rsidR="00AD108B">
        <w:rPr>
          <w:sz w:val="23"/>
          <w:szCs w:val="23"/>
        </w:rPr>
        <w:t>(page</w:t>
      </w:r>
      <w:r w:rsidRPr="00335544" w:rsidR="00EA097A">
        <w:rPr>
          <w:sz w:val="23"/>
          <w:szCs w:val="23"/>
        </w:rPr>
        <w:t xml:space="preserve"> </w:t>
      </w:r>
      <w:r w:rsidR="00A15CCA">
        <w:rPr>
          <w:sz w:val="23"/>
          <w:szCs w:val="23"/>
        </w:rPr>
        <w:t>58723</w:t>
      </w:r>
      <w:r w:rsidRPr="00335544" w:rsidR="00AD108B">
        <w:rPr>
          <w:sz w:val="23"/>
          <w:szCs w:val="23"/>
        </w:rPr>
        <w:t xml:space="preserve">) soliciting comments prior to submission to the Office of Management and Budget (OMB).  </w:t>
      </w:r>
      <w:r w:rsidR="00A15CCA">
        <w:rPr>
          <w:sz w:val="23"/>
          <w:szCs w:val="23"/>
        </w:rPr>
        <w:t>No comments were received from that notice</w:t>
      </w:r>
      <w:r w:rsidRPr="00641F9B" w:rsidR="00A15CCA">
        <w:rPr>
          <w:sz w:val="23"/>
          <w:szCs w:val="23"/>
        </w:rPr>
        <w:t xml:space="preserve">. </w:t>
      </w:r>
      <w:r w:rsidRPr="00641F9B" w:rsidR="00AD108B">
        <w:rPr>
          <w:sz w:val="23"/>
          <w:szCs w:val="23"/>
        </w:rPr>
        <w:t xml:space="preserve">A 30-day Federal Register notice was published on </w:t>
      </w:r>
      <w:r w:rsidRPr="00641F9B" w:rsidR="00A15CCA">
        <w:rPr>
          <w:sz w:val="23"/>
          <w:szCs w:val="23"/>
        </w:rPr>
        <w:t xml:space="preserve">December </w:t>
      </w:r>
      <w:r w:rsidRPr="00641F9B" w:rsidR="00641F9B">
        <w:rPr>
          <w:sz w:val="23"/>
          <w:szCs w:val="23"/>
        </w:rPr>
        <w:t>28</w:t>
      </w:r>
      <w:r w:rsidRPr="00641F9B" w:rsidR="00EA097A">
        <w:rPr>
          <w:sz w:val="23"/>
          <w:szCs w:val="23"/>
        </w:rPr>
        <w:t>, 20</w:t>
      </w:r>
      <w:r w:rsidRPr="00641F9B" w:rsidR="00A15CCA">
        <w:rPr>
          <w:sz w:val="23"/>
          <w:szCs w:val="23"/>
        </w:rPr>
        <w:t>21</w:t>
      </w:r>
      <w:r w:rsidRPr="00641F9B" w:rsidR="0012076E">
        <w:rPr>
          <w:sz w:val="23"/>
          <w:szCs w:val="23"/>
        </w:rPr>
        <w:t xml:space="preserve"> </w:t>
      </w:r>
      <w:r w:rsidRPr="00641F9B" w:rsidR="00C7606B">
        <w:rPr>
          <w:sz w:val="23"/>
          <w:szCs w:val="23"/>
        </w:rPr>
        <w:t xml:space="preserve">Vol. </w:t>
      </w:r>
      <w:r w:rsidRPr="00641F9B" w:rsidR="00641F9B">
        <w:rPr>
          <w:sz w:val="23"/>
          <w:szCs w:val="23"/>
        </w:rPr>
        <w:t>86</w:t>
      </w:r>
      <w:r w:rsidRPr="00641F9B" w:rsidR="00C7606B">
        <w:rPr>
          <w:sz w:val="23"/>
          <w:szCs w:val="23"/>
        </w:rPr>
        <w:t>,</w:t>
      </w:r>
      <w:r w:rsidR="00B07894">
        <w:rPr>
          <w:sz w:val="23"/>
          <w:szCs w:val="23"/>
        </w:rPr>
        <w:t xml:space="preserve"> No. 246</w:t>
      </w:r>
      <w:r w:rsidRPr="00641F9B" w:rsidR="00C7606B">
        <w:rPr>
          <w:sz w:val="23"/>
          <w:szCs w:val="23"/>
        </w:rPr>
        <w:t xml:space="preserve"> </w:t>
      </w:r>
      <w:r w:rsidRPr="00641F9B" w:rsidR="00AD108B">
        <w:rPr>
          <w:sz w:val="23"/>
          <w:szCs w:val="23"/>
        </w:rPr>
        <w:t xml:space="preserve"> (page</w:t>
      </w:r>
      <w:r w:rsidRPr="00641F9B" w:rsidR="00641F9B">
        <w:rPr>
          <w:sz w:val="23"/>
          <w:szCs w:val="23"/>
        </w:rPr>
        <w:t xml:space="preserve"> </w:t>
      </w:r>
      <w:r w:rsidR="00B07894">
        <w:rPr>
          <w:sz w:val="23"/>
          <w:szCs w:val="23"/>
        </w:rPr>
        <w:t>73841</w:t>
      </w:r>
      <w:r w:rsidRPr="00641F9B" w:rsidR="00641F9B">
        <w:rPr>
          <w:sz w:val="23"/>
          <w:szCs w:val="23"/>
        </w:rPr>
        <w:t>)</w:t>
      </w:r>
      <w:r w:rsidRPr="00641F9B" w:rsidR="00AD108B">
        <w:rPr>
          <w:sz w:val="23"/>
          <w:szCs w:val="23"/>
        </w:rPr>
        <w:t>.</w:t>
      </w:r>
      <w:r w:rsidR="00A15CCA">
        <w:rPr>
          <w:sz w:val="23"/>
          <w:szCs w:val="23"/>
        </w:rPr>
        <w:t xml:space="preserve"> No other stakeholder outreach has been conducted as the program was appealed and longer exist.  </w:t>
      </w:r>
      <w:r w:rsidRPr="00335544" w:rsidR="00AD108B">
        <w:rPr>
          <w:sz w:val="23"/>
          <w:szCs w:val="23"/>
        </w:rPr>
        <w:t xml:space="preserve">  </w:t>
      </w:r>
    </w:p>
    <w:p w:rsidRPr="00335544" w:rsidR="00665F2E" w:rsidP="00782F78" w:rsidRDefault="004D4FCA" w14:paraId="6AE70290" w14:textId="77777777">
      <w:pPr>
        <w:pStyle w:val="BodyText"/>
        <w:rPr>
          <w:b/>
          <w:sz w:val="23"/>
          <w:szCs w:val="23"/>
        </w:rPr>
      </w:pPr>
      <w:r w:rsidRPr="00335544">
        <w:rPr>
          <w:sz w:val="23"/>
          <w:szCs w:val="23"/>
        </w:rPr>
        <w:br/>
      </w:r>
      <w:r w:rsidRPr="00335544" w:rsidR="001800DD">
        <w:rPr>
          <w:b/>
          <w:sz w:val="23"/>
          <w:szCs w:val="23"/>
        </w:rPr>
        <w:t xml:space="preserve">9.   </w:t>
      </w:r>
      <w:r w:rsidRPr="00335544" w:rsidR="00665F2E">
        <w:rPr>
          <w:b/>
          <w:sz w:val="23"/>
          <w:szCs w:val="23"/>
        </w:rPr>
        <w:t>Explain any decision to provide any payment or gift to respondents, other than remuneration contractors or grantees.</w:t>
      </w:r>
    </w:p>
    <w:p w:rsidRPr="00335544" w:rsidR="004D4FCA" w:rsidP="00782F78" w:rsidRDefault="004D4FCA" w14:paraId="3B5A4779" w14:textId="77777777">
      <w:pPr>
        <w:pStyle w:val="BodyText"/>
        <w:rPr>
          <w:b/>
          <w:sz w:val="23"/>
          <w:szCs w:val="23"/>
        </w:rPr>
      </w:pPr>
    </w:p>
    <w:p w:rsidRPr="00335544" w:rsidR="00A143A5" w:rsidP="00782F78" w:rsidRDefault="006E79D4" w14:paraId="1174BBDC" w14:textId="77777777">
      <w:pPr>
        <w:pStyle w:val="BodyText"/>
        <w:rPr>
          <w:sz w:val="23"/>
          <w:szCs w:val="23"/>
        </w:rPr>
      </w:pPr>
      <w:r w:rsidRPr="00335544">
        <w:rPr>
          <w:sz w:val="23"/>
          <w:szCs w:val="23"/>
        </w:rPr>
        <w:t>No payment or gift is made to respondents.</w:t>
      </w:r>
    </w:p>
    <w:p w:rsidRPr="00335544" w:rsidR="004D4FCA" w:rsidP="00782F78" w:rsidRDefault="004D4FCA" w14:paraId="4657A4AA" w14:textId="77777777">
      <w:pPr>
        <w:pStyle w:val="BodyText"/>
        <w:rPr>
          <w:sz w:val="23"/>
          <w:szCs w:val="23"/>
        </w:rPr>
      </w:pPr>
    </w:p>
    <w:p w:rsidR="0012076E" w:rsidP="00782F78" w:rsidRDefault="0012076E" w14:paraId="7162BFFA" w14:textId="77777777">
      <w:pPr>
        <w:pStyle w:val="BodyText"/>
        <w:rPr>
          <w:b/>
          <w:sz w:val="23"/>
          <w:szCs w:val="23"/>
        </w:rPr>
      </w:pPr>
    </w:p>
    <w:p w:rsidRPr="00335544" w:rsidR="00665F2E" w:rsidP="00782F78" w:rsidRDefault="00EC7EF5" w14:paraId="746BDB5E" w14:textId="77777777">
      <w:pPr>
        <w:pStyle w:val="BodyText"/>
        <w:rPr>
          <w:b/>
          <w:sz w:val="23"/>
          <w:szCs w:val="23"/>
        </w:rPr>
      </w:pPr>
      <w:r w:rsidRPr="00335544">
        <w:rPr>
          <w:b/>
          <w:sz w:val="23"/>
          <w:szCs w:val="23"/>
        </w:rPr>
        <w:t xml:space="preserve">10. </w:t>
      </w:r>
      <w:r w:rsidRPr="00335544" w:rsidR="00665F2E">
        <w:rPr>
          <w:b/>
          <w:sz w:val="23"/>
          <w:szCs w:val="23"/>
        </w:rPr>
        <w:t>Describe any assurance of confidentiality provided respondents.</w:t>
      </w:r>
    </w:p>
    <w:p w:rsidRPr="00335544" w:rsidR="008E2567" w:rsidP="00782F78" w:rsidRDefault="008E2567" w14:paraId="68CBA799" w14:textId="77777777">
      <w:pPr>
        <w:pStyle w:val="BodyText"/>
        <w:rPr>
          <w:sz w:val="23"/>
          <w:szCs w:val="23"/>
        </w:rPr>
      </w:pPr>
    </w:p>
    <w:p w:rsidRPr="00335544" w:rsidR="006E79D4" w:rsidP="00782F78" w:rsidRDefault="001C3003" w14:paraId="67E97B8F" w14:textId="77777777">
      <w:pPr>
        <w:pStyle w:val="BodyText"/>
        <w:rPr>
          <w:sz w:val="23"/>
          <w:szCs w:val="23"/>
        </w:rPr>
      </w:pPr>
      <w:r w:rsidRPr="00335544">
        <w:rPr>
          <w:sz w:val="23"/>
          <w:szCs w:val="23"/>
        </w:rPr>
        <w:t>There is no assurance of confidentiality regarding submissions.</w:t>
      </w:r>
    </w:p>
    <w:p w:rsidR="00D926CB" w:rsidP="00782F78" w:rsidRDefault="00D926CB" w14:paraId="03361B22" w14:textId="07B9B874">
      <w:pPr>
        <w:pStyle w:val="BodyText"/>
        <w:rPr>
          <w:sz w:val="23"/>
          <w:szCs w:val="23"/>
        </w:rPr>
      </w:pPr>
    </w:p>
    <w:p w:rsidRPr="00335544" w:rsidR="00665F2E" w:rsidP="00782F78" w:rsidRDefault="00EC7EF5" w14:paraId="4DBB9655" w14:textId="77777777">
      <w:pPr>
        <w:pStyle w:val="BodyText"/>
        <w:rPr>
          <w:b/>
          <w:sz w:val="23"/>
          <w:szCs w:val="23"/>
        </w:rPr>
      </w:pPr>
      <w:r w:rsidRPr="00335544">
        <w:rPr>
          <w:b/>
          <w:sz w:val="23"/>
          <w:szCs w:val="23"/>
        </w:rPr>
        <w:t xml:space="preserve">11.  </w:t>
      </w:r>
      <w:r w:rsidRPr="00335544" w:rsidR="00665F2E">
        <w:rPr>
          <w:b/>
          <w:sz w:val="23"/>
          <w:szCs w:val="23"/>
        </w:rPr>
        <w:t>Additional justification for any questions of a sensitive nature.</w:t>
      </w:r>
    </w:p>
    <w:p w:rsidRPr="00335544" w:rsidR="004D4FCA" w:rsidP="00782F78" w:rsidRDefault="004D4FCA" w14:paraId="30831073" w14:textId="77777777">
      <w:pPr>
        <w:pStyle w:val="BodyText"/>
        <w:rPr>
          <w:b/>
          <w:sz w:val="23"/>
          <w:szCs w:val="23"/>
        </w:rPr>
      </w:pPr>
    </w:p>
    <w:p w:rsidRPr="00335544" w:rsidR="004D4FCA" w:rsidP="00782F78" w:rsidRDefault="001C3003" w14:paraId="2F1AE6E4" w14:textId="77777777">
      <w:pPr>
        <w:pStyle w:val="BodyText"/>
        <w:rPr>
          <w:sz w:val="23"/>
          <w:szCs w:val="23"/>
        </w:rPr>
      </w:pPr>
      <w:r w:rsidRPr="00335544">
        <w:rPr>
          <w:sz w:val="23"/>
          <w:szCs w:val="23"/>
        </w:rPr>
        <w:t>None of the information is of a sensitive nature.</w:t>
      </w:r>
      <w:r w:rsidRPr="00335544" w:rsidR="00121829">
        <w:rPr>
          <w:sz w:val="23"/>
          <w:szCs w:val="23"/>
        </w:rPr>
        <w:t xml:space="preserve"> </w:t>
      </w:r>
    </w:p>
    <w:p w:rsidRPr="00335544" w:rsidR="00665F2E" w:rsidP="00EC7EF5" w:rsidRDefault="00EC7EF5" w14:paraId="36188DDF" w14:textId="77777777">
      <w:pPr>
        <w:pStyle w:val="BodyText"/>
        <w:tabs>
          <w:tab w:val="num" w:pos="900"/>
        </w:tabs>
        <w:spacing w:before="100" w:beforeAutospacing="1"/>
        <w:rPr>
          <w:b/>
          <w:color w:val="auto"/>
          <w:sz w:val="23"/>
          <w:szCs w:val="23"/>
        </w:rPr>
      </w:pPr>
      <w:r w:rsidRPr="00335544">
        <w:rPr>
          <w:b/>
          <w:color w:val="auto"/>
          <w:sz w:val="23"/>
          <w:szCs w:val="23"/>
        </w:rPr>
        <w:t xml:space="preserve">12.  </w:t>
      </w:r>
      <w:r w:rsidRPr="00335544" w:rsidR="00665F2E">
        <w:rPr>
          <w:b/>
          <w:color w:val="auto"/>
          <w:sz w:val="23"/>
          <w:szCs w:val="23"/>
        </w:rPr>
        <w:t>Estimate of the hour burden of the collection of information and annualized cost to respondents.</w:t>
      </w:r>
    </w:p>
    <w:p w:rsidR="00BF5CBB" w:rsidP="00BF5CBB" w:rsidRDefault="00BF5CBB" w14:paraId="67078411" w14:textId="77777777">
      <w:pPr>
        <w:widowControl w:val="0"/>
        <w:rPr>
          <w:b/>
          <w:i/>
          <w:color w:val="000000"/>
          <w:sz w:val="23"/>
          <w:szCs w:val="23"/>
        </w:rPr>
      </w:pPr>
    </w:p>
    <w:p w:rsidR="00EA097A" w:rsidP="00BF5CBB" w:rsidRDefault="00EA097A" w14:paraId="26627B23" w14:textId="4C2E91C4">
      <w:pPr>
        <w:widowControl w:val="0"/>
        <w:rPr>
          <w:color w:val="000000"/>
          <w:sz w:val="23"/>
          <w:szCs w:val="23"/>
        </w:rPr>
      </w:pPr>
      <w:r w:rsidRPr="00335544">
        <w:rPr>
          <w:b/>
          <w:i/>
          <w:color w:val="000000"/>
          <w:sz w:val="23"/>
          <w:szCs w:val="23"/>
        </w:rPr>
        <w:t xml:space="preserve">Estimated Annual Number of Respondents: </w:t>
      </w:r>
      <w:r w:rsidRPr="00413287" w:rsidR="00413287">
        <w:rPr>
          <w:bCs/>
          <w:iCs/>
          <w:color w:val="000000"/>
          <w:sz w:val="23"/>
          <w:szCs w:val="23"/>
        </w:rPr>
        <w:t>4</w:t>
      </w:r>
    </w:p>
    <w:p w:rsidRPr="00335544" w:rsidR="00A9390A" w:rsidP="00BF5CBB" w:rsidRDefault="00A9390A" w14:paraId="2B1AA3F7" w14:textId="1DF98B5C">
      <w:pPr>
        <w:widowControl w:val="0"/>
        <w:rPr>
          <w:i/>
          <w:color w:val="000000"/>
          <w:sz w:val="23"/>
          <w:szCs w:val="23"/>
        </w:rPr>
      </w:pPr>
      <w:r w:rsidRPr="00A9390A">
        <w:rPr>
          <w:b/>
          <w:i/>
          <w:color w:val="000000"/>
          <w:sz w:val="23"/>
          <w:szCs w:val="23"/>
        </w:rPr>
        <w:t>Estimated Annual Number of Responses</w:t>
      </w:r>
      <w:r>
        <w:rPr>
          <w:color w:val="000000"/>
          <w:sz w:val="23"/>
          <w:szCs w:val="23"/>
        </w:rPr>
        <w:t xml:space="preserve">: </w:t>
      </w:r>
      <w:r w:rsidR="00413287">
        <w:rPr>
          <w:color w:val="000000"/>
          <w:sz w:val="23"/>
          <w:szCs w:val="23"/>
        </w:rPr>
        <w:t>4</w:t>
      </w:r>
    </w:p>
    <w:p w:rsidRPr="00335544" w:rsidR="00EA097A" w:rsidP="00BF5CBB" w:rsidRDefault="00EA097A" w14:paraId="381101B0" w14:textId="31A2070B">
      <w:pPr>
        <w:widowControl w:val="0"/>
        <w:rPr>
          <w:i/>
          <w:color w:val="000000"/>
          <w:sz w:val="23"/>
          <w:szCs w:val="23"/>
        </w:rPr>
      </w:pPr>
      <w:r w:rsidRPr="00335544">
        <w:rPr>
          <w:b/>
          <w:i/>
          <w:color w:val="000000"/>
          <w:sz w:val="23"/>
          <w:szCs w:val="23"/>
        </w:rPr>
        <w:t xml:space="preserve">Estimated Total Annual Burden Hours: </w:t>
      </w:r>
      <w:r w:rsidRPr="00F92991" w:rsidR="00A15CCA">
        <w:rPr>
          <w:bCs/>
          <w:iCs/>
          <w:color w:val="000000"/>
          <w:sz w:val="23"/>
          <w:szCs w:val="23"/>
        </w:rPr>
        <w:t>8</w:t>
      </w:r>
      <w:r w:rsidRPr="00EE7435" w:rsidR="006C1FA0">
        <w:rPr>
          <w:color w:val="000000"/>
          <w:sz w:val="23"/>
          <w:szCs w:val="23"/>
        </w:rPr>
        <w:t xml:space="preserve"> hours</w:t>
      </w:r>
    </w:p>
    <w:p w:rsidR="00BF5CBB" w:rsidP="00BF5CBB" w:rsidRDefault="00EA097A" w14:paraId="7F7A974C" w14:textId="02070768">
      <w:pPr>
        <w:widowControl w:val="0"/>
        <w:rPr>
          <w:i/>
          <w:color w:val="000000"/>
          <w:sz w:val="23"/>
          <w:szCs w:val="23"/>
        </w:rPr>
      </w:pPr>
      <w:r w:rsidRPr="00335544">
        <w:rPr>
          <w:b/>
          <w:i/>
          <w:color w:val="000000"/>
          <w:sz w:val="23"/>
          <w:szCs w:val="23"/>
        </w:rPr>
        <w:t>Estimated Total Cost to Respondents</w:t>
      </w:r>
      <w:r w:rsidRPr="00EE7435">
        <w:rPr>
          <w:b/>
          <w:i/>
          <w:color w:val="000000"/>
          <w:sz w:val="23"/>
          <w:szCs w:val="23"/>
        </w:rPr>
        <w:t xml:space="preserve">: </w:t>
      </w:r>
      <w:r w:rsidRPr="00EE7435" w:rsidR="000C4206">
        <w:rPr>
          <w:b/>
          <w:i/>
          <w:color w:val="000000"/>
          <w:sz w:val="23"/>
          <w:szCs w:val="23"/>
        </w:rPr>
        <w:t>$</w:t>
      </w:r>
      <w:r w:rsidRPr="00F92991" w:rsidR="00F92991">
        <w:rPr>
          <w:bCs/>
          <w:iCs/>
          <w:color w:val="000000"/>
          <w:sz w:val="23"/>
          <w:szCs w:val="23"/>
        </w:rPr>
        <w:t>359.20</w:t>
      </w:r>
    </w:p>
    <w:p w:rsidRPr="00BF5CBB" w:rsidR="00EA097A" w:rsidP="00BF5CBB" w:rsidRDefault="00EA097A" w14:paraId="1D0B4110" w14:textId="77777777">
      <w:pPr>
        <w:widowControl w:val="0"/>
        <w:rPr>
          <w:i/>
          <w:color w:val="000000"/>
          <w:sz w:val="23"/>
          <w:szCs w:val="23"/>
        </w:rPr>
      </w:pPr>
      <w:r w:rsidRPr="00335544">
        <w:rPr>
          <w:b/>
          <w:i/>
          <w:color w:val="000000"/>
          <w:sz w:val="23"/>
          <w:szCs w:val="23"/>
        </w:rPr>
        <w:t>Frequency</w:t>
      </w:r>
      <w:r w:rsidRPr="00335544">
        <w:rPr>
          <w:i/>
          <w:color w:val="000000"/>
          <w:sz w:val="23"/>
          <w:szCs w:val="23"/>
        </w:rPr>
        <w:t xml:space="preserve">: </w:t>
      </w:r>
      <w:r w:rsidRPr="00335544">
        <w:rPr>
          <w:b/>
          <w:i/>
          <w:color w:val="000000"/>
          <w:sz w:val="23"/>
          <w:szCs w:val="23"/>
        </w:rPr>
        <w:t>Annually</w:t>
      </w:r>
    </w:p>
    <w:p w:rsidRPr="00335544" w:rsidR="00BE53D4" w:rsidP="00BE53D4" w:rsidRDefault="00BE53D4" w14:paraId="53CBBF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3"/>
          <w:szCs w:val="23"/>
        </w:rPr>
      </w:pPr>
    </w:p>
    <w:p w:rsidRPr="00335544" w:rsidR="00BE53D4" w:rsidP="00BF5CBB" w:rsidRDefault="00BE53D4" w14:paraId="4A7BB6C7" w14:textId="05E60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335544">
        <w:rPr>
          <w:snapToGrid w:val="0"/>
          <w:color w:val="000000"/>
          <w:sz w:val="23"/>
          <w:szCs w:val="23"/>
        </w:rPr>
        <w:t xml:space="preserve">The estimated hourly and cost burden of the Paul S. Sarbanes Transit in Parks Grant Program during the Project Management stage is presented below.  The estimate is based on the review of the </w:t>
      </w:r>
      <w:proofErr w:type="gramStart"/>
      <w:r w:rsidRPr="00335544">
        <w:rPr>
          <w:snapToGrid w:val="0"/>
          <w:color w:val="000000"/>
          <w:sz w:val="23"/>
          <w:szCs w:val="23"/>
        </w:rPr>
        <w:t>grantees</w:t>
      </w:r>
      <w:proofErr w:type="gramEnd"/>
      <w:r w:rsidRPr="00335544">
        <w:rPr>
          <w:snapToGrid w:val="0"/>
          <w:color w:val="000000"/>
          <w:sz w:val="23"/>
          <w:szCs w:val="23"/>
        </w:rPr>
        <w:t xml:space="preserve"> internal documents in preparation of each of the required reports that are submitted into TrAMS by the grant recipient.  FTA estimates that only (1) Business Operations Personnel/Cost Estimator will be involved in the preparation of the request.  Although there is no new funding available for this program, there are currently a total of (</w:t>
      </w:r>
      <w:r w:rsidR="00A15CCA">
        <w:rPr>
          <w:snapToGrid w:val="0"/>
          <w:color w:val="000000"/>
          <w:sz w:val="23"/>
          <w:szCs w:val="23"/>
        </w:rPr>
        <w:t>4</w:t>
      </w:r>
      <w:r w:rsidRPr="00335544">
        <w:rPr>
          <w:snapToGrid w:val="0"/>
          <w:color w:val="000000"/>
          <w:sz w:val="23"/>
          <w:szCs w:val="23"/>
        </w:rPr>
        <w:t>) open grants that require reporting information under the project management stage. All respondents must submit a Milestone Progress Report on an annual basis (</w:t>
      </w:r>
      <w:r w:rsidR="00F92991">
        <w:rPr>
          <w:snapToGrid w:val="0"/>
          <w:color w:val="000000"/>
          <w:sz w:val="23"/>
          <w:szCs w:val="23"/>
        </w:rPr>
        <w:t>4</w:t>
      </w:r>
      <w:r w:rsidRPr="00335544">
        <w:rPr>
          <w:snapToGrid w:val="0"/>
          <w:color w:val="000000"/>
          <w:sz w:val="23"/>
          <w:szCs w:val="23"/>
        </w:rPr>
        <w:t xml:space="preserve">x1 = </w:t>
      </w:r>
      <w:r w:rsidR="00A15CCA">
        <w:rPr>
          <w:snapToGrid w:val="0"/>
          <w:color w:val="000000"/>
          <w:sz w:val="23"/>
          <w:szCs w:val="23"/>
        </w:rPr>
        <w:t>4</w:t>
      </w:r>
      <w:r w:rsidRPr="00335544">
        <w:rPr>
          <w:snapToGrid w:val="0"/>
          <w:color w:val="000000"/>
          <w:sz w:val="23"/>
          <w:szCs w:val="23"/>
        </w:rPr>
        <w:t>)</w:t>
      </w:r>
      <w:r w:rsidRPr="00335544" w:rsidR="00A22F66">
        <w:rPr>
          <w:snapToGrid w:val="0"/>
          <w:color w:val="000000"/>
          <w:sz w:val="23"/>
          <w:szCs w:val="23"/>
        </w:rPr>
        <w:t xml:space="preserve">. </w:t>
      </w:r>
      <w:r w:rsidRPr="00335544">
        <w:rPr>
          <w:snapToGrid w:val="0"/>
          <w:color w:val="000000"/>
          <w:sz w:val="23"/>
          <w:szCs w:val="23"/>
        </w:rPr>
        <w:t xml:space="preserve"> Therefore, there are a total of </w:t>
      </w:r>
      <w:r w:rsidR="00A15CCA">
        <w:rPr>
          <w:snapToGrid w:val="0"/>
          <w:color w:val="000000"/>
          <w:sz w:val="23"/>
          <w:szCs w:val="23"/>
        </w:rPr>
        <w:t>4</w:t>
      </w:r>
      <w:r w:rsidRPr="00335544">
        <w:rPr>
          <w:snapToGrid w:val="0"/>
          <w:color w:val="000000"/>
          <w:sz w:val="23"/>
          <w:szCs w:val="23"/>
        </w:rPr>
        <w:t xml:space="preserve"> reports submitted on an annual basis. If each report takes approximately 2 hours to complete, the total annual burden hours is </w:t>
      </w:r>
      <w:r w:rsidR="00A15CCA">
        <w:rPr>
          <w:snapToGrid w:val="0"/>
          <w:color w:val="000000"/>
          <w:sz w:val="23"/>
          <w:szCs w:val="23"/>
        </w:rPr>
        <w:t>8 h</w:t>
      </w:r>
      <w:r w:rsidRPr="00335544">
        <w:rPr>
          <w:snapToGrid w:val="0"/>
          <w:color w:val="000000"/>
          <w:sz w:val="23"/>
          <w:szCs w:val="23"/>
        </w:rPr>
        <w:t>ours (</w:t>
      </w:r>
      <w:r w:rsidR="00A15CCA">
        <w:rPr>
          <w:snapToGrid w:val="0"/>
          <w:color w:val="000000"/>
          <w:sz w:val="23"/>
          <w:szCs w:val="23"/>
        </w:rPr>
        <w:t>4</w:t>
      </w:r>
      <w:r w:rsidRPr="00335544">
        <w:rPr>
          <w:snapToGrid w:val="0"/>
          <w:color w:val="000000"/>
          <w:sz w:val="23"/>
          <w:szCs w:val="23"/>
        </w:rPr>
        <w:t xml:space="preserve"> x 2).</w:t>
      </w:r>
    </w:p>
    <w:p w:rsidRPr="00335544" w:rsidR="00BE53D4" w:rsidP="00BE53D4" w:rsidRDefault="00BE53D4" w14:paraId="071FC5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3"/>
          <w:szCs w:val="23"/>
        </w:rPr>
      </w:pPr>
      <w:r w:rsidRPr="00335544">
        <w:rPr>
          <w:snapToGrid w:val="0"/>
          <w:color w:val="000000"/>
          <w:sz w:val="23"/>
          <w:szCs w:val="23"/>
        </w:rPr>
        <w:tab/>
      </w:r>
    </w:p>
    <w:tbl>
      <w:tblPr>
        <w:tblW w:w="900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35"/>
        <w:gridCol w:w="2070"/>
        <w:gridCol w:w="2274"/>
        <w:gridCol w:w="1721"/>
      </w:tblGrid>
      <w:tr w:rsidRPr="00335544" w:rsidR="00BE53D4" w:rsidTr="00DA5C9C" w14:paraId="5B5F6018" w14:textId="77777777">
        <w:trPr>
          <w:tblHeader/>
        </w:trPr>
        <w:tc>
          <w:tcPr>
            <w:tcW w:w="2935" w:type="dxa"/>
          </w:tcPr>
          <w:p w:rsidRPr="00335544" w:rsidR="00BE53D4" w:rsidP="002E26C8" w:rsidRDefault="00BE53D4" w14:paraId="68EDD3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3"/>
                <w:szCs w:val="23"/>
              </w:rPr>
            </w:pPr>
            <w:r w:rsidRPr="00335544">
              <w:rPr>
                <w:b/>
                <w:bCs/>
                <w:snapToGrid w:val="0"/>
                <w:color w:val="000000"/>
                <w:sz w:val="23"/>
                <w:szCs w:val="23"/>
              </w:rPr>
              <w:t>Report Requirements</w:t>
            </w:r>
          </w:p>
        </w:tc>
        <w:tc>
          <w:tcPr>
            <w:tcW w:w="2070" w:type="dxa"/>
          </w:tcPr>
          <w:p w:rsidRPr="00335544" w:rsidR="00BE53D4" w:rsidP="002E26C8" w:rsidRDefault="00BE53D4" w14:paraId="06E28A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3"/>
                <w:szCs w:val="23"/>
              </w:rPr>
            </w:pPr>
            <w:r w:rsidRPr="00335544">
              <w:rPr>
                <w:b/>
                <w:bCs/>
                <w:snapToGrid w:val="0"/>
                <w:color w:val="000000"/>
                <w:sz w:val="23"/>
                <w:szCs w:val="23"/>
              </w:rPr>
              <w:t># Total Respondents</w:t>
            </w:r>
          </w:p>
        </w:tc>
        <w:tc>
          <w:tcPr>
            <w:tcW w:w="2274" w:type="dxa"/>
          </w:tcPr>
          <w:p w:rsidRPr="00335544" w:rsidR="00BE53D4" w:rsidP="002E26C8" w:rsidRDefault="00BE53D4" w14:paraId="3BD9F219" w14:textId="13630E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3"/>
                <w:szCs w:val="23"/>
              </w:rPr>
            </w:pPr>
            <w:r w:rsidRPr="00335544">
              <w:rPr>
                <w:b/>
                <w:bCs/>
                <w:snapToGrid w:val="0"/>
                <w:color w:val="000000"/>
                <w:sz w:val="23"/>
                <w:szCs w:val="23"/>
              </w:rPr>
              <w:t xml:space="preserve">#Total </w:t>
            </w:r>
            <w:r w:rsidR="00A15CCA">
              <w:rPr>
                <w:b/>
                <w:bCs/>
                <w:snapToGrid w:val="0"/>
                <w:color w:val="000000"/>
                <w:sz w:val="23"/>
                <w:szCs w:val="23"/>
              </w:rPr>
              <w:t>Responses</w:t>
            </w:r>
            <w:r w:rsidRPr="00335544">
              <w:rPr>
                <w:b/>
                <w:bCs/>
                <w:snapToGrid w:val="0"/>
                <w:color w:val="000000"/>
                <w:sz w:val="23"/>
                <w:szCs w:val="23"/>
              </w:rPr>
              <w:t>/Reports Annually</w:t>
            </w:r>
          </w:p>
        </w:tc>
        <w:tc>
          <w:tcPr>
            <w:tcW w:w="1721" w:type="dxa"/>
          </w:tcPr>
          <w:p w:rsidRPr="00335544" w:rsidR="00BE53D4" w:rsidP="002E26C8" w:rsidRDefault="00BE53D4" w14:paraId="332988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3"/>
                <w:szCs w:val="23"/>
              </w:rPr>
            </w:pPr>
            <w:r w:rsidRPr="00335544">
              <w:rPr>
                <w:b/>
                <w:bCs/>
                <w:snapToGrid w:val="0"/>
                <w:color w:val="000000"/>
                <w:sz w:val="23"/>
                <w:szCs w:val="23"/>
              </w:rPr>
              <w:t>Burden hours per submission</w:t>
            </w:r>
          </w:p>
        </w:tc>
      </w:tr>
      <w:tr w:rsidRPr="00335544" w:rsidR="00BE53D4" w:rsidTr="00DA5C9C" w14:paraId="1D8FAC48" w14:textId="77777777">
        <w:tc>
          <w:tcPr>
            <w:tcW w:w="2935" w:type="dxa"/>
          </w:tcPr>
          <w:p w:rsidRPr="00335544" w:rsidR="00BE53D4" w:rsidP="002E26C8" w:rsidRDefault="00BE53D4" w14:paraId="39CD5A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3"/>
                <w:szCs w:val="23"/>
              </w:rPr>
            </w:pPr>
          </w:p>
          <w:p w:rsidRPr="00335544" w:rsidR="00BE53D4" w:rsidP="002E26C8" w:rsidRDefault="00BE53D4" w14:paraId="160D39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335544">
              <w:rPr>
                <w:snapToGrid w:val="0"/>
                <w:color w:val="000000"/>
                <w:sz w:val="23"/>
                <w:szCs w:val="23"/>
              </w:rPr>
              <w:t>Milestones/Progress Reports (MPR)</w:t>
            </w:r>
            <w:r w:rsidR="00DA5C9C">
              <w:rPr>
                <w:snapToGrid w:val="0"/>
                <w:color w:val="000000"/>
                <w:sz w:val="23"/>
                <w:szCs w:val="23"/>
              </w:rPr>
              <w:t xml:space="preserve"> </w:t>
            </w:r>
            <w:r w:rsidRPr="00335544">
              <w:rPr>
                <w:snapToGrid w:val="0"/>
                <w:color w:val="000000"/>
                <w:sz w:val="23"/>
                <w:szCs w:val="23"/>
              </w:rPr>
              <w:t>Submitted Annually</w:t>
            </w:r>
            <w:r w:rsidRPr="00335544">
              <w:rPr>
                <w:snapToGrid w:val="0"/>
                <w:color w:val="000000"/>
                <w:sz w:val="23"/>
                <w:szCs w:val="23"/>
              </w:rPr>
              <w:tab/>
            </w:r>
          </w:p>
          <w:p w:rsidRPr="00335544" w:rsidR="00BE53D4" w:rsidP="002E26C8" w:rsidRDefault="00BE53D4" w14:paraId="146A5A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p>
        </w:tc>
        <w:tc>
          <w:tcPr>
            <w:tcW w:w="2070" w:type="dxa"/>
          </w:tcPr>
          <w:p w:rsidRPr="00335544" w:rsidR="00BE53D4" w:rsidP="002E26C8" w:rsidRDefault="00BE53D4" w14:paraId="4F12FA6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p w:rsidRPr="00335544" w:rsidR="00BE53D4" w:rsidP="002E26C8" w:rsidRDefault="00A15CCA" w14:paraId="261DB4F0" w14:textId="46C3D2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r>
              <w:rPr>
                <w:snapToGrid w:val="0"/>
                <w:color w:val="000000"/>
                <w:sz w:val="23"/>
                <w:szCs w:val="23"/>
              </w:rPr>
              <w:t>4</w:t>
            </w:r>
          </w:p>
          <w:p w:rsidRPr="00335544" w:rsidR="00BE53D4" w:rsidP="002E26C8" w:rsidRDefault="00BE53D4" w14:paraId="5CB31B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tc>
        <w:tc>
          <w:tcPr>
            <w:tcW w:w="2274" w:type="dxa"/>
          </w:tcPr>
          <w:p w:rsidRPr="00335544" w:rsidR="00BE53D4" w:rsidP="002E26C8" w:rsidRDefault="00BE53D4" w14:paraId="5E2F0B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p w:rsidRPr="00335544" w:rsidR="00BE53D4" w:rsidP="002E26C8" w:rsidRDefault="00A15CCA" w14:paraId="4DD6E3C3" w14:textId="14B36A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r>
              <w:rPr>
                <w:snapToGrid w:val="0"/>
                <w:color w:val="000000"/>
                <w:sz w:val="23"/>
                <w:szCs w:val="23"/>
              </w:rPr>
              <w:t>4</w:t>
            </w:r>
          </w:p>
          <w:p w:rsidRPr="00335544" w:rsidR="00BE53D4" w:rsidP="00BE53D4" w:rsidRDefault="00BE53D4" w14:paraId="47EC97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tc>
        <w:tc>
          <w:tcPr>
            <w:tcW w:w="1721" w:type="dxa"/>
          </w:tcPr>
          <w:p w:rsidRPr="00335544" w:rsidR="00BE53D4" w:rsidP="002E26C8" w:rsidRDefault="00BE53D4" w14:paraId="5A78B2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p w:rsidRPr="00335544" w:rsidR="00BE53D4" w:rsidP="002E26C8" w:rsidRDefault="00A15CCA" w14:paraId="6359CE7B" w14:textId="5E6B6B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r>
              <w:rPr>
                <w:snapToGrid w:val="0"/>
                <w:color w:val="000000"/>
                <w:sz w:val="23"/>
                <w:szCs w:val="23"/>
              </w:rPr>
              <w:t>2</w:t>
            </w:r>
          </w:p>
          <w:p w:rsidRPr="00335544" w:rsidR="00BE53D4" w:rsidP="002E26C8" w:rsidRDefault="00BE53D4" w14:paraId="0753311C" w14:textId="5A287D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3"/>
                <w:szCs w:val="23"/>
              </w:rPr>
            </w:pPr>
          </w:p>
        </w:tc>
      </w:tr>
    </w:tbl>
    <w:p w:rsidR="00DA5C9C" w:rsidP="00007257" w:rsidRDefault="00DA5C9C" w14:paraId="2BD106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Cs w:val="20"/>
          <w:u w:val="single"/>
        </w:rPr>
      </w:pPr>
    </w:p>
    <w:p w:rsidRPr="00007257" w:rsidR="00007257" w:rsidP="00007257" w:rsidRDefault="00DA5C9C" w14:paraId="0D0536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0C4206">
        <w:rPr>
          <w:snapToGrid w:val="0"/>
          <w:color w:val="000000"/>
          <w:sz w:val="23"/>
          <w:szCs w:val="23"/>
          <w:u w:val="single"/>
        </w:rPr>
        <w:t>b. Cost to Respondents</w:t>
      </w:r>
      <w:r w:rsidRPr="00007257" w:rsidR="00007257">
        <w:rPr>
          <w:snapToGrid w:val="0"/>
          <w:color w:val="000000"/>
          <w:sz w:val="23"/>
          <w:szCs w:val="23"/>
        </w:rPr>
        <w:t>:</w:t>
      </w:r>
    </w:p>
    <w:p w:rsidRPr="00007257" w:rsidR="00007257" w:rsidP="00007257" w:rsidRDefault="00A15CCA" w14:paraId="1C08C79C" w14:textId="0A123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3"/>
          <w:szCs w:val="23"/>
        </w:rPr>
      </w:pPr>
      <w:r>
        <w:rPr>
          <w:color w:val="000000"/>
          <w:sz w:val="23"/>
          <w:szCs w:val="23"/>
        </w:rPr>
        <w:t xml:space="preserve">According the Bureau of Labor Statistics, </w:t>
      </w:r>
      <w:r w:rsidRPr="00007257" w:rsidR="00007257">
        <w:rPr>
          <w:color w:val="000000"/>
          <w:sz w:val="23"/>
          <w:szCs w:val="23"/>
        </w:rPr>
        <w:t>FTA estimates that the average salary of the respondent, typically a Business and Financial Operations Personnel/Cost Estimator (occupation code 13-1051</w:t>
      </w:r>
      <w:r w:rsidRPr="00007257" w:rsidR="00007257">
        <w:rPr>
          <w:sz w:val="23"/>
          <w:szCs w:val="23"/>
        </w:rPr>
        <w:t xml:space="preserve"> </w:t>
      </w:r>
      <w:hyperlink w:history="1" r:id="rId10">
        <w:r w:rsidRPr="000C4206" w:rsidR="00007257">
          <w:rPr>
            <w:color w:val="0000FF"/>
            <w:sz w:val="23"/>
            <w:szCs w:val="23"/>
            <w:u w:val="single"/>
          </w:rPr>
          <w:t>https://www.bls.gov/oes/current/oes131051.htm</w:t>
        </w:r>
      </w:hyperlink>
      <w:r w:rsidRPr="00007257" w:rsidR="00007257">
        <w:rPr>
          <w:color w:val="000000"/>
          <w:sz w:val="23"/>
          <w:szCs w:val="23"/>
        </w:rPr>
        <w:t>) has a median hourly wage of $</w:t>
      </w:r>
      <w:r>
        <w:rPr>
          <w:color w:val="000000"/>
          <w:sz w:val="23"/>
          <w:szCs w:val="23"/>
        </w:rPr>
        <w:t>44.90</w:t>
      </w:r>
      <w:r w:rsidRPr="00007257" w:rsidR="00007257">
        <w:rPr>
          <w:color w:val="000000"/>
          <w:sz w:val="23"/>
          <w:szCs w:val="23"/>
        </w:rPr>
        <w:t xml:space="preserve"> (hourly salary weighted with a 28% benefits adjustment) according to the Bureau of Labor Statistics. </w:t>
      </w:r>
    </w:p>
    <w:p w:rsidRPr="00007257" w:rsidR="00007257" w:rsidP="00007257" w:rsidRDefault="00007257" w14:paraId="17DE6FDC" w14:textId="1900A5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007257">
        <w:rPr>
          <w:snapToGrid w:val="0"/>
          <w:color w:val="000000"/>
          <w:sz w:val="23"/>
          <w:szCs w:val="23"/>
        </w:rPr>
        <w:t>It is estimated to take each respondent approximately (2) hours to prepare and submit the at an average salary of $</w:t>
      </w:r>
      <w:r w:rsidR="00413287">
        <w:rPr>
          <w:snapToGrid w:val="0"/>
          <w:color w:val="000000"/>
          <w:sz w:val="23"/>
          <w:szCs w:val="23"/>
        </w:rPr>
        <w:t>44.90</w:t>
      </w:r>
      <w:r w:rsidRPr="00007257">
        <w:rPr>
          <w:snapToGrid w:val="0"/>
          <w:color w:val="000000"/>
          <w:sz w:val="23"/>
          <w:szCs w:val="23"/>
        </w:rPr>
        <w:t xml:space="preserve"> per hour.  There is a total of </w:t>
      </w:r>
      <w:r w:rsidR="00413287">
        <w:rPr>
          <w:snapToGrid w:val="0"/>
          <w:color w:val="000000"/>
          <w:sz w:val="23"/>
          <w:szCs w:val="23"/>
        </w:rPr>
        <w:t xml:space="preserve">4 </w:t>
      </w:r>
      <w:r w:rsidRPr="00007257">
        <w:rPr>
          <w:snapToGrid w:val="0"/>
          <w:color w:val="000000"/>
          <w:sz w:val="23"/>
          <w:szCs w:val="23"/>
        </w:rPr>
        <w:t xml:space="preserve">reports annually; </w:t>
      </w:r>
      <w:r w:rsidR="000C4206">
        <w:rPr>
          <w:snapToGrid w:val="0"/>
          <w:color w:val="000000"/>
          <w:sz w:val="23"/>
          <w:szCs w:val="23"/>
        </w:rPr>
        <w:t xml:space="preserve">it takes </w:t>
      </w:r>
      <w:r w:rsidRPr="00007257">
        <w:rPr>
          <w:snapToGrid w:val="0"/>
          <w:color w:val="000000"/>
          <w:sz w:val="23"/>
          <w:szCs w:val="23"/>
        </w:rPr>
        <w:t>therefore, the cost is estimated to be $</w:t>
      </w:r>
      <w:bookmarkStart w:name="_Hlk89788748" w:id="2"/>
      <w:r w:rsidR="00413287">
        <w:rPr>
          <w:snapToGrid w:val="0"/>
          <w:color w:val="000000"/>
          <w:sz w:val="23"/>
          <w:szCs w:val="23"/>
        </w:rPr>
        <w:t>359.20</w:t>
      </w:r>
      <w:r w:rsidR="000C4206">
        <w:rPr>
          <w:snapToGrid w:val="0"/>
          <w:color w:val="000000"/>
          <w:sz w:val="23"/>
          <w:szCs w:val="23"/>
        </w:rPr>
        <w:t xml:space="preserve"> </w:t>
      </w:r>
      <w:bookmarkEnd w:id="2"/>
      <w:r w:rsidR="000C4206">
        <w:rPr>
          <w:snapToGrid w:val="0"/>
          <w:color w:val="000000"/>
          <w:sz w:val="23"/>
          <w:szCs w:val="23"/>
        </w:rPr>
        <w:t>([$</w:t>
      </w:r>
      <w:r w:rsidR="00413287">
        <w:rPr>
          <w:snapToGrid w:val="0"/>
          <w:color w:val="000000"/>
          <w:sz w:val="23"/>
          <w:szCs w:val="23"/>
        </w:rPr>
        <w:t xml:space="preserve">44.90 </w:t>
      </w:r>
      <w:r w:rsidR="000C4206">
        <w:rPr>
          <w:snapToGrid w:val="0"/>
          <w:color w:val="000000"/>
          <w:sz w:val="23"/>
          <w:szCs w:val="23"/>
        </w:rPr>
        <w:t>x</w:t>
      </w:r>
      <w:r w:rsidR="00413287">
        <w:rPr>
          <w:snapToGrid w:val="0"/>
          <w:color w:val="000000"/>
          <w:sz w:val="23"/>
          <w:szCs w:val="23"/>
        </w:rPr>
        <w:t xml:space="preserve"> </w:t>
      </w:r>
      <w:r w:rsidR="000C4206">
        <w:rPr>
          <w:snapToGrid w:val="0"/>
          <w:color w:val="000000"/>
          <w:sz w:val="23"/>
          <w:szCs w:val="23"/>
        </w:rPr>
        <w:t xml:space="preserve">2] x </w:t>
      </w:r>
      <w:r w:rsidR="00413287">
        <w:rPr>
          <w:snapToGrid w:val="0"/>
          <w:color w:val="000000"/>
          <w:sz w:val="23"/>
          <w:szCs w:val="23"/>
        </w:rPr>
        <w:t>2</w:t>
      </w:r>
      <w:r w:rsidR="000C4206">
        <w:rPr>
          <w:snapToGrid w:val="0"/>
          <w:color w:val="000000"/>
          <w:sz w:val="23"/>
          <w:szCs w:val="23"/>
        </w:rPr>
        <w:t>)</w:t>
      </w:r>
      <w:r w:rsidRPr="00007257">
        <w:rPr>
          <w:snapToGrid w:val="0"/>
          <w:color w:val="000000"/>
          <w:sz w:val="23"/>
          <w:szCs w:val="23"/>
        </w:rPr>
        <w:t xml:space="preserve">. </w:t>
      </w:r>
    </w:p>
    <w:p w:rsidRPr="000C4206" w:rsidR="00665F2E" w:rsidP="00EC7EF5" w:rsidRDefault="00EC7EF5" w14:paraId="4B7609A3" w14:textId="77777777">
      <w:pPr>
        <w:pStyle w:val="BodyText"/>
        <w:spacing w:before="100" w:beforeAutospacing="1"/>
        <w:rPr>
          <w:b/>
          <w:sz w:val="23"/>
          <w:szCs w:val="23"/>
        </w:rPr>
      </w:pPr>
      <w:r w:rsidRPr="000C4206">
        <w:rPr>
          <w:b/>
          <w:sz w:val="23"/>
          <w:szCs w:val="23"/>
        </w:rPr>
        <w:t xml:space="preserve">13.  </w:t>
      </w:r>
      <w:r w:rsidRPr="000C4206" w:rsidR="00665F2E">
        <w:rPr>
          <w:b/>
          <w:sz w:val="23"/>
          <w:szCs w:val="23"/>
        </w:rPr>
        <w:t>Estimate of total annual cost burden to respondents or record keepers resulting from the collection of information (not including the cost of any hour burden shown in Items 12 and 14).</w:t>
      </w:r>
    </w:p>
    <w:p w:rsidRPr="000C4206" w:rsidR="008E2567" w:rsidP="00782F78" w:rsidRDefault="008E2567" w14:paraId="0A5C8D55" w14:textId="77777777">
      <w:pPr>
        <w:pStyle w:val="BodyText"/>
        <w:rPr>
          <w:sz w:val="23"/>
          <w:szCs w:val="23"/>
        </w:rPr>
      </w:pPr>
    </w:p>
    <w:p w:rsidRPr="000C4206" w:rsidR="0019170A" w:rsidP="00782F78" w:rsidRDefault="0074057E" w14:paraId="1BA6A490" w14:textId="77777777">
      <w:pPr>
        <w:pStyle w:val="BodyText"/>
        <w:rPr>
          <w:sz w:val="23"/>
          <w:szCs w:val="23"/>
        </w:rPr>
      </w:pPr>
      <w:r>
        <w:rPr>
          <w:sz w:val="23"/>
          <w:szCs w:val="23"/>
        </w:rPr>
        <w:t>The information requested is collected and reviewed in the course of normal business practices; therefore, no additional costs are associated beyond that shown in items 12 and 14.</w:t>
      </w:r>
    </w:p>
    <w:p w:rsidRPr="000C4206" w:rsidR="00DF7025" w:rsidP="00782F78" w:rsidRDefault="00DF7025" w14:paraId="6303E201" w14:textId="77777777">
      <w:pPr>
        <w:pStyle w:val="BodyText"/>
        <w:rPr>
          <w:sz w:val="23"/>
          <w:szCs w:val="23"/>
        </w:rPr>
      </w:pPr>
    </w:p>
    <w:p w:rsidRPr="000C4206" w:rsidR="00665F2E" w:rsidP="00782F78" w:rsidRDefault="00EC7EF5" w14:paraId="27023B53" w14:textId="77777777">
      <w:pPr>
        <w:pStyle w:val="BodyText"/>
        <w:rPr>
          <w:b/>
          <w:sz w:val="23"/>
          <w:szCs w:val="23"/>
        </w:rPr>
      </w:pPr>
      <w:r w:rsidRPr="000C4206">
        <w:rPr>
          <w:b/>
          <w:sz w:val="23"/>
          <w:szCs w:val="23"/>
        </w:rPr>
        <w:t xml:space="preserve">14.  </w:t>
      </w:r>
      <w:r w:rsidRPr="000C4206" w:rsidR="00665F2E">
        <w:rPr>
          <w:b/>
          <w:sz w:val="23"/>
          <w:szCs w:val="23"/>
        </w:rPr>
        <w:t xml:space="preserve">Estimates of the annualized cost to the </w:t>
      </w:r>
      <w:r w:rsidRPr="000C4206" w:rsidR="00A143A5">
        <w:rPr>
          <w:b/>
          <w:sz w:val="23"/>
          <w:szCs w:val="23"/>
        </w:rPr>
        <w:t>f</w:t>
      </w:r>
      <w:r w:rsidRPr="000C4206" w:rsidR="00665F2E">
        <w:rPr>
          <w:b/>
          <w:sz w:val="23"/>
          <w:szCs w:val="23"/>
        </w:rPr>
        <w:t>ederal government.</w:t>
      </w:r>
    </w:p>
    <w:p w:rsidRPr="000C4206" w:rsidR="0019170A" w:rsidP="00782F78" w:rsidRDefault="0019170A" w14:paraId="1BAA9567" w14:textId="77777777">
      <w:pPr>
        <w:pStyle w:val="BodyText"/>
        <w:rPr>
          <w:b/>
          <w:sz w:val="23"/>
          <w:szCs w:val="23"/>
        </w:rPr>
      </w:pPr>
    </w:p>
    <w:p w:rsidRPr="0019170A" w:rsidR="0019170A" w:rsidP="0019170A" w:rsidRDefault="0019170A" w14:paraId="7A32575F" w14:textId="2F241D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r w:rsidRPr="0019170A">
        <w:rPr>
          <w:snapToGrid w:val="0"/>
          <w:color w:val="000000"/>
          <w:sz w:val="23"/>
          <w:szCs w:val="23"/>
        </w:rPr>
        <w:t>The average FTA employee reviewing program management reports (FFRs and MPRs) submitted into TrAMS by recipients is a GS-12 step 5 (average salary, $4</w:t>
      </w:r>
      <w:r w:rsidR="00413287">
        <w:rPr>
          <w:snapToGrid w:val="0"/>
          <w:color w:val="000000"/>
          <w:sz w:val="23"/>
          <w:szCs w:val="23"/>
        </w:rPr>
        <w:t>7</w:t>
      </w:r>
      <w:r w:rsidRPr="0019170A">
        <w:rPr>
          <w:snapToGrid w:val="0"/>
          <w:color w:val="000000"/>
          <w:sz w:val="23"/>
          <w:szCs w:val="23"/>
        </w:rPr>
        <w:t>.</w:t>
      </w:r>
      <w:r w:rsidR="00413287">
        <w:rPr>
          <w:snapToGrid w:val="0"/>
          <w:color w:val="000000"/>
          <w:sz w:val="23"/>
          <w:szCs w:val="23"/>
        </w:rPr>
        <w:t>35</w:t>
      </w:r>
      <w:r w:rsidRPr="0019170A">
        <w:rPr>
          <w:snapToGrid w:val="0"/>
          <w:color w:val="000000"/>
          <w:sz w:val="23"/>
          <w:szCs w:val="23"/>
        </w:rPr>
        <w:t xml:space="preserve"> per hour</w:t>
      </w:r>
      <w:r w:rsidR="00413287">
        <w:rPr>
          <w:snapToGrid w:val="0"/>
          <w:color w:val="000000"/>
          <w:sz w:val="23"/>
          <w:szCs w:val="23"/>
        </w:rPr>
        <w:t xml:space="preserve"> </w:t>
      </w:r>
      <w:hyperlink w:history="1" r:id="rId11">
        <w:r w:rsidRPr="00413287" w:rsidR="00413287">
          <w:rPr>
            <w:color w:val="0000FF"/>
            <w:u w:val="single"/>
          </w:rPr>
          <w:t>SALARY TABLE 2021-DCB (opm.gov)</w:t>
        </w:r>
      </w:hyperlink>
      <w:r w:rsidRPr="0019170A">
        <w:rPr>
          <w:snapToGrid w:val="0"/>
          <w:color w:val="000000"/>
          <w:sz w:val="23"/>
          <w:szCs w:val="23"/>
        </w:rPr>
        <w:t xml:space="preserve">).  It takes approximately 2 hours per report for review. There are </w:t>
      </w:r>
      <w:r w:rsidR="00413287">
        <w:rPr>
          <w:snapToGrid w:val="0"/>
          <w:color w:val="000000"/>
          <w:sz w:val="23"/>
          <w:szCs w:val="23"/>
        </w:rPr>
        <w:t>4</w:t>
      </w:r>
      <w:r w:rsidRPr="0019170A">
        <w:rPr>
          <w:snapToGrid w:val="0"/>
          <w:color w:val="000000"/>
          <w:sz w:val="23"/>
          <w:szCs w:val="23"/>
        </w:rPr>
        <w:t xml:space="preserve"> reports per year.  Thus, the total annual hours spent reviewing reports is </w:t>
      </w:r>
      <w:r w:rsidR="00413287">
        <w:rPr>
          <w:snapToGrid w:val="0"/>
          <w:color w:val="000000"/>
          <w:sz w:val="23"/>
          <w:szCs w:val="23"/>
        </w:rPr>
        <w:t xml:space="preserve">8 hours. </w:t>
      </w:r>
      <w:r w:rsidRPr="0019170A">
        <w:rPr>
          <w:snapToGrid w:val="0"/>
          <w:color w:val="000000"/>
          <w:sz w:val="23"/>
          <w:szCs w:val="23"/>
        </w:rPr>
        <w:t xml:space="preserve">  The total cost to the federal government is $</w:t>
      </w:r>
      <w:r w:rsidR="00413287">
        <w:rPr>
          <w:snapToGrid w:val="0"/>
          <w:color w:val="000000"/>
          <w:sz w:val="23"/>
          <w:szCs w:val="23"/>
        </w:rPr>
        <w:t xml:space="preserve">378.80. </w:t>
      </w:r>
    </w:p>
    <w:p w:rsidRPr="000C4206" w:rsidR="0019170A" w:rsidP="00782F78" w:rsidRDefault="0019170A" w14:paraId="784ED83C" w14:textId="77777777">
      <w:pPr>
        <w:pStyle w:val="BodyText"/>
        <w:rPr>
          <w:b/>
          <w:sz w:val="23"/>
          <w:szCs w:val="23"/>
        </w:rPr>
      </w:pPr>
    </w:p>
    <w:p w:rsidRPr="000C4206" w:rsidR="0019170A" w:rsidP="00782F78" w:rsidRDefault="0019170A" w14:paraId="03CA7867" w14:textId="77777777">
      <w:pPr>
        <w:pStyle w:val="BodyText"/>
        <w:rPr>
          <w:b/>
          <w:sz w:val="23"/>
          <w:szCs w:val="23"/>
        </w:rPr>
      </w:pPr>
    </w:p>
    <w:tbl>
      <w:tblPr>
        <w:tblW w:w="8448" w:type="dxa"/>
        <w:tblInd w:w="390" w:type="dxa"/>
        <w:tblLook w:val="0000" w:firstRow="0" w:lastRow="0" w:firstColumn="0" w:lastColumn="0" w:noHBand="0" w:noVBand="0"/>
      </w:tblPr>
      <w:tblGrid>
        <w:gridCol w:w="3408"/>
        <w:gridCol w:w="1530"/>
        <w:gridCol w:w="1620"/>
        <w:gridCol w:w="1890"/>
      </w:tblGrid>
      <w:tr w:rsidRPr="000C4206" w:rsidR="009F787D" w:rsidTr="00782F78" w14:paraId="55DC6761" w14:textId="77777777">
        <w:trPr>
          <w:trHeight w:val="255"/>
        </w:trPr>
        <w:tc>
          <w:tcPr>
            <w:tcW w:w="3408" w:type="dxa"/>
            <w:tcBorders>
              <w:top w:val="nil"/>
              <w:left w:val="single" w:color="auto" w:sz="8" w:space="0"/>
              <w:bottom w:val="nil"/>
              <w:right w:val="nil"/>
            </w:tcBorders>
            <w:shd w:val="clear" w:color="auto" w:fill="C0C0C0"/>
            <w:noWrap/>
            <w:vAlign w:val="bottom"/>
          </w:tcPr>
          <w:p w:rsidRPr="000C4206" w:rsidR="009F787D" w:rsidP="007E66EC" w:rsidRDefault="009F787D" w14:paraId="0979AB9D" w14:textId="77777777">
            <w:pPr>
              <w:spacing w:before="100" w:beforeAutospacing="1"/>
              <w:rPr>
                <w:sz w:val="23"/>
                <w:szCs w:val="23"/>
              </w:rPr>
            </w:pPr>
            <w:r w:rsidRPr="000C4206">
              <w:rPr>
                <w:sz w:val="23"/>
                <w:szCs w:val="23"/>
              </w:rPr>
              <w:t> </w:t>
            </w:r>
          </w:p>
        </w:tc>
        <w:tc>
          <w:tcPr>
            <w:tcW w:w="1530" w:type="dxa"/>
            <w:tcBorders>
              <w:top w:val="nil"/>
              <w:left w:val="nil"/>
              <w:bottom w:val="nil"/>
              <w:right w:val="nil"/>
            </w:tcBorders>
            <w:shd w:val="clear" w:color="auto" w:fill="C0C0C0"/>
            <w:noWrap/>
            <w:vAlign w:val="bottom"/>
          </w:tcPr>
          <w:p w:rsidRPr="000C4206" w:rsidR="009F787D" w:rsidP="007E66EC" w:rsidRDefault="009F787D" w14:paraId="1BB94F40" w14:textId="77777777">
            <w:pPr>
              <w:spacing w:before="100" w:beforeAutospacing="1"/>
              <w:rPr>
                <w:sz w:val="23"/>
                <w:szCs w:val="23"/>
              </w:rPr>
            </w:pPr>
            <w:r w:rsidRPr="000C4206">
              <w:rPr>
                <w:sz w:val="23"/>
                <w:szCs w:val="23"/>
              </w:rPr>
              <w:t> </w:t>
            </w:r>
          </w:p>
        </w:tc>
        <w:tc>
          <w:tcPr>
            <w:tcW w:w="1620" w:type="dxa"/>
            <w:tcBorders>
              <w:top w:val="nil"/>
              <w:left w:val="nil"/>
              <w:bottom w:val="nil"/>
              <w:right w:val="nil"/>
            </w:tcBorders>
            <w:shd w:val="clear" w:color="auto" w:fill="C0C0C0"/>
            <w:noWrap/>
            <w:vAlign w:val="bottom"/>
          </w:tcPr>
          <w:p w:rsidRPr="000C4206" w:rsidR="009F787D" w:rsidP="007E66EC" w:rsidRDefault="009F787D" w14:paraId="2F21F9FB" w14:textId="77777777">
            <w:pPr>
              <w:spacing w:before="100" w:beforeAutospacing="1"/>
              <w:rPr>
                <w:sz w:val="23"/>
                <w:szCs w:val="23"/>
              </w:rPr>
            </w:pPr>
            <w:r w:rsidRPr="000C4206">
              <w:rPr>
                <w:sz w:val="23"/>
                <w:szCs w:val="23"/>
              </w:rPr>
              <w:t> </w:t>
            </w:r>
          </w:p>
        </w:tc>
        <w:tc>
          <w:tcPr>
            <w:tcW w:w="1890" w:type="dxa"/>
            <w:tcBorders>
              <w:top w:val="nil"/>
              <w:left w:val="nil"/>
              <w:bottom w:val="nil"/>
              <w:right w:val="single" w:color="auto" w:sz="8" w:space="0"/>
            </w:tcBorders>
            <w:shd w:val="clear" w:color="auto" w:fill="C0C0C0"/>
            <w:noWrap/>
            <w:vAlign w:val="bottom"/>
          </w:tcPr>
          <w:p w:rsidRPr="000C4206" w:rsidR="009F787D" w:rsidP="007E66EC" w:rsidRDefault="009F787D" w14:paraId="457FE0B5" w14:textId="77777777">
            <w:pPr>
              <w:spacing w:before="100" w:beforeAutospacing="1"/>
              <w:rPr>
                <w:sz w:val="23"/>
                <w:szCs w:val="23"/>
              </w:rPr>
            </w:pPr>
            <w:r w:rsidRPr="000C4206">
              <w:rPr>
                <w:sz w:val="23"/>
                <w:szCs w:val="23"/>
              </w:rPr>
              <w:t> </w:t>
            </w:r>
          </w:p>
        </w:tc>
      </w:tr>
      <w:tr w:rsidRPr="000C4206" w:rsidR="009F787D" w:rsidTr="00782F78" w14:paraId="32F6A902" w14:textId="77777777">
        <w:trPr>
          <w:trHeight w:val="270"/>
        </w:trPr>
        <w:tc>
          <w:tcPr>
            <w:tcW w:w="3408" w:type="dxa"/>
            <w:tcBorders>
              <w:top w:val="nil"/>
              <w:left w:val="single" w:color="auto" w:sz="8" w:space="0"/>
              <w:bottom w:val="single" w:color="auto" w:sz="8" w:space="0"/>
              <w:right w:val="nil"/>
            </w:tcBorders>
            <w:shd w:val="clear" w:color="auto" w:fill="C0C0C0"/>
            <w:noWrap/>
            <w:vAlign w:val="bottom"/>
          </w:tcPr>
          <w:p w:rsidRPr="000C4206" w:rsidR="009F787D" w:rsidP="007E66EC" w:rsidRDefault="009F787D" w14:paraId="0376D619" w14:textId="77777777">
            <w:pPr>
              <w:spacing w:before="100" w:beforeAutospacing="1"/>
              <w:rPr>
                <w:b/>
                <w:bCs/>
                <w:sz w:val="23"/>
                <w:szCs w:val="23"/>
              </w:rPr>
            </w:pPr>
            <w:r w:rsidRPr="000C4206">
              <w:rPr>
                <w:b/>
                <w:bCs/>
                <w:sz w:val="23"/>
                <w:szCs w:val="23"/>
              </w:rPr>
              <w:t>Project Management Stage</w:t>
            </w:r>
          </w:p>
        </w:tc>
        <w:tc>
          <w:tcPr>
            <w:tcW w:w="1530" w:type="dxa"/>
            <w:tcBorders>
              <w:top w:val="nil"/>
              <w:left w:val="nil"/>
              <w:bottom w:val="single" w:color="auto" w:sz="8" w:space="0"/>
              <w:right w:val="nil"/>
            </w:tcBorders>
            <w:shd w:val="clear" w:color="auto" w:fill="C0C0C0"/>
            <w:noWrap/>
            <w:vAlign w:val="bottom"/>
          </w:tcPr>
          <w:p w:rsidRPr="000C4206" w:rsidR="009F787D" w:rsidP="007E66EC" w:rsidRDefault="009F787D" w14:paraId="0100391B" w14:textId="77777777">
            <w:pPr>
              <w:spacing w:before="100" w:beforeAutospacing="1"/>
              <w:rPr>
                <w:b/>
                <w:bCs/>
                <w:sz w:val="23"/>
                <w:szCs w:val="23"/>
              </w:rPr>
            </w:pPr>
            <w:r w:rsidRPr="000C4206">
              <w:rPr>
                <w:b/>
                <w:bCs/>
                <w:sz w:val="23"/>
                <w:szCs w:val="23"/>
              </w:rPr>
              <w:t> </w:t>
            </w:r>
          </w:p>
        </w:tc>
        <w:tc>
          <w:tcPr>
            <w:tcW w:w="1620" w:type="dxa"/>
            <w:tcBorders>
              <w:top w:val="nil"/>
              <w:left w:val="nil"/>
              <w:bottom w:val="single" w:color="auto" w:sz="8" w:space="0"/>
              <w:right w:val="nil"/>
            </w:tcBorders>
            <w:shd w:val="clear" w:color="auto" w:fill="C0C0C0"/>
            <w:noWrap/>
            <w:vAlign w:val="bottom"/>
          </w:tcPr>
          <w:p w:rsidRPr="000C4206" w:rsidR="009F787D" w:rsidP="007E66EC" w:rsidRDefault="009F787D" w14:paraId="009B60E2" w14:textId="77777777">
            <w:pPr>
              <w:spacing w:before="100" w:beforeAutospacing="1"/>
              <w:rPr>
                <w:b/>
                <w:bCs/>
                <w:sz w:val="23"/>
                <w:szCs w:val="23"/>
              </w:rPr>
            </w:pPr>
            <w:r w:rsidRPr="000C4206">
              <w:rPr>
                <w:b/>
                <w:bCs/>
                <w:sz w:val="23"/>
                <w:szCs w:val="23"/>
              </w:rPr>
              <w:t> </w:t>
            </w:r>
          </w:p>
        </w:tc>
        <w:tc>
          <w:tcPr>
            <w:tcW w:w="1890" w:type="dxa"/>
            <w:tcBorders>
              <w:top w:val="nil"/>
              <w:left w:val="nil"/>
              <w:bottom w:val="single" w:color="auto" w:sz="8" w:space="0"/>
              <w:right w:val="single" w:color="auto" w:sz="8" w:space="0"/>
            </w:tcBorders>
            <w:shd w:val="clear" w:color="auto" w:fill="C0C0C0"/>
            <w:noWrap/>
            <w:vAlign w:val="bottom"/>
          </w:tcPr>
          <w:p w:rsidRPr="000C4206" w:rsidR="009F787D" w:rsidP="007E66EC" w:rsidRDefault="009F787D" w14:paraId="63E067B0" w14:textId="77777777">
            <w:pPr>
              <w:spacing w:before="100" w:beforeAutospacing="1"/>
              <w:rPr>
                <w:b/>
                <w:bCs/>
                <w:sz w:val="23"/>
                <w:szCs w:val="23"/>
              </w:rPr>
            </w:pPr>
            <w:r w:rsidRPr="000C4206">
              <w:rPr>
                <w:b/>
                <w:bCs/>
                <w:sz w:val="23"/>
                <w:szCs w:val="23"/>
              </w:rPr>
              <w:t> </w:t>
            </w:r>
          </w:p>
        </w:tc>
      </w:tr>
      <w:tr w:rsidRPr="000C4206" w:rsidR="009F787D" w:rsidTr="00782F78" w14:paraId="718A9A97" w14:textId="77777777">
        <w:trPr>
          <w:trHeight w:val="270"/>
        </w:trPr>
        <w:tc>
          <w:tcPr>
            <w:tcW w:w="3408" w:type="dxa"/>
            <w:tcBorders>
              <w:top w:val="nil"/>
              <w:left w:val="single" w:color="auto" w:sz="8" w:space="0"/>
              <w:bottom w:val="single" w:color="auto" w:sz="8" w:space="0"/>
              <w:right w:val="single" w:color="auto" w:sz="8" w:space="0"/>
            </w:tcBorders>
            <w:shd w:val="clear" w:color="auto" w:fill="auto"/>
            <w:noWrap/>
            <w:vAlign w:val="bottom"/>
          </w:tcPr>
          <w:p w:rsidRPr="000C4206" w:rsidR="009F787D" w:rsidP="007E66EC" w:rsidRDefault="00D81266" w14:paraId="36D31D95" w14:textId="77777777">
            <w:pPr>
              <w:spacing w:before="100" w:beforeAutospacing="1"/>
              <w:rPr>
                <w:sz w:val="23"/>
                <w:szCs w:val="23"/>
              </w:rPr>
            </w:pPr>
            <w:r w:rsidRPr="000C4206">
              <w:rPr>
                <w:sz w:val="23"/>
                <w:szCs w:val="23"/>
              </w:rPr>
              <w:t>Quarterly Progress &amp; Milestone Report (Narrative)</w:t>
            </w:r>
          </w:p>
        </w:tc>
        <w:tc>
          <w:tcPr>
            <w:tcW w:w="1530" w:type="dxa"/>
            <w:tcBorders>
              <w:top w:val="nil"/>
              <w:left w:val="nil"/>
              <w:bottom w:val="single" w:color="auto" w:sz="8" w:space="0"/>
              <w:right w:val="single" w:color="auto" w:sz="8" w:space="0"/>
            </w:tcBorders>
            <w:shd w:val="clear" w:color="auto" w:fill="auto"/>
            <w:noWrap/>
            <w:vAlign w:val="bottom"/>
          </w:tcPr>
          <w:p w:rsidRPr="000C4206" w:rsidR="009F787D" w:rsidP="00A70E34" w:rsidRDefault="00413287" w14:paraId="5C22B58B" w14:textId="60062E48">
            <w:pPr>
              <w:spacing w:before="100" w:beforeAutospacing="1"/>
              <w:jc w:val="right"/>
              <w:rPr>
                <w:sz w:val="23"/>
                <w:szCs w:val="23"/>
              </w:rPr>
            </w:pPr>
            <w:r>
              <w:rPr>
                <w:sz w:val="23"/>
                <w:szCs w:val="23"/>
              </w:rPr>
              <w:t>4 reports @ 2 hours each = 8 hours</w:t>
            </w:r>
          </w:p>
        </w:tc>
        <w:tc>
          <w:tcPr>
            <w:tcW w:w="1620" w:type="dxa"/>
            <w:tcBorders>
              <w:top w:val="nil"/>
              <w:left w:val="nil"/>
              <w:bottom w:val="single" w:color="auto" w:sz="8" w:space="0"/>
              <w:right w:val="single" w:color="auto" w:sz="8" w:space="0"/>
            </w:tcBorders>
            <w:shd w:val="clear" w:color="auto" w:fill="auto"/>
            <w:noWrap/>
            <w:vAlign w:val="bottom"/>
          </w:tcPr>
          <w:p w:rsidRPr="000C4206" w:rsidR="009F787D" w:rsidP="007E66EC" w:rsidRDefault="009F787D" w14:paraId="3A9B7C39" w14:textId="4DAF1BEC">
            <w:pPr>
              <w:spacing w:before="100" w:beforeAutospacing="1"/>
              <w:jc w:val="right"/>
              <w:rPr>
                <w:sz w:val="23"/>
                <w:szCs w:val="23"/>
              </w:rPr>
            </w:pPr>
            <w:r w:rsidRPr="000C4206">
              <w:rPr>
                <w:sz w:val="23"/>
                <w:szCs w:val="23"/>
              </w:rPr>
              <w:t>$4</w:t>
            </w:r>
            <w:r w:rsidR="00413287">
              <w:rPr>
                <w:sz w:val="23"/>
                <w:szCs w:val="23"/>
              </w:rPr>
              <w:t>7.35</w:t>
            </w:r>
            <w:r w:rsidRPr="000C4206">
              <w:rPr>
                <w:sz w:val="23"/>
                <w:szCs w:val="23"/>
              </w:rPr>
              <w:t xml:space="preserve"> </w:t>
            </w:r>
          </w:p>
        </w:tc>
        <w:tc>
          <w:tcPr>
            <w:tcW w:w="1890" w:type="dxa"/>
            <w:tcBorders>
              <w:top w:val="nil"/>
              <w:left w:val="nil"/>
              <w:bottom w:val="single" w:color="auto" w:sz="8" w:space="0"/>
              <w:right w:val="single" w:color="auto" w:sz="8" w:space="0"/>
            </w:tcBorders>
            <w:shd w:val="clear" w:color="auto" w:fill="auto"/>
            <w:noWrap/>
            <w:vAlign w:val="bottom"/>
          </w:tcPr>
          <w:p w:rsidRPr="000C4206" w:rsidR="009F787D" w:rsidP="00A70E34" w:rsidRDefault="009F787D" w14:paraId="79F971AB" w14:textId="02BE43E6">
            <w:pPr>
              <w:spacing w:before="100" w:beforeAutospacing="1"/>
              <w:jc w:val="right"/>
              <w:rPr>
                <w:sz w:val="23"/>
                <w:szCs w:val="23"/>
              </w:rPr>
            </w:pPr>
            <w:r w:rsidRPr="000C4206">
              <w:rPr>
                <w:sz w:val="23"/>
                <w:szCs w:val="23"/>
              </w:rPr>
              <w:t>$</w:t>
            </w:r>
            <w:r w:rsidR="00413287">
              <w:rPr>
                <w:sz w:val="23"/>
                <w:szCs w:val="23"/>
              </w:rPr>
              <w:t>378.80</w:t>
            </w:r>
            <w:r w:rsidRPr="000C4206">
              <w:rPr>
                <w:sz w:val="23"/>
                <w:szCs w:val="23"/>
              </w:rPr>
              <w:t xml:space="preserve"> </w:t>
            </w:r>
          </w:p>
        </w:tc>
      </w:tr>
      <w:tr w:rsidRPr="000C4206" w:rsidR="009F787D" w:rsidTr="00782F78" w14:paraId="77C799B2" w14:textId="77777777">
        <w:trPr>
          <w:trHeight w:val="270"/>
        </w:trPr>
        <w:tc>
          <w:tcPr>
            <w:tcW w:w="3408" w:type="dxa"/>
            <w:tcBorders>
              <w:top w:val="nil"/>
              <w:left w:val="single" w:color="auto" w:sz="8" w:space="0"/>
              <w:bottom w:val="single" w:color="auto" w:sz="8" w:space="0"/>
              <w:right w:val="single" w:color="auto" w:sz="8" w:space="0"/>
            </w:tcBorders>
            <w:shd w:val="clear" w:color="auto" w:fill="auto"/>
            <w:noWrap/>
            <w:vAlign w:val="bottom"/>
          </w:tcPr>
          <w:p w:rsidRPr="000C4206" w:rsidR="009F787D" w:rsidP="007E66EC" w:rsidRDefault="009F787D" w14:paraId="6D597B3A" w14:textId="77777777">
            <w:pPr>
              <w:spacing w:before="100" w:beforeAutospacing="1"/>
              <w:jc w:val="right"/>
              <w:rPr>
                <w:b/>
                <w:bCs/>
                <w:sz w:val="23"/>
                <w:szCs w:val="23"/>
              </w:rPr>
            </w:pPr>
          </w:p>
        </w:tc>
        <w:tc>
          <w:tcPr>
            <w:tcW w:w="1530" w:type="dxa"/>
            <w:tcBorders>
              <w:top w:val="nil"/>
              <w:left w:val="nil"/>
              <w:bottom w:val="single" w:color="auto" w:sz="8" w:space="0"/>
              <w:right w:val="single" w:color="auto" w:sz="8" w:space="0"/>
            </w:tcBorders>
            <w:shd w:val="clear" w:color="auto" w:fill="auto"/>
            <w:noWrap/>
            <w:vAlign w:val="bottom"/>
          </w:tcPr>
          <w:p w:rsidRPr="000C4206" w:rsidR="009F787D" w:rsidP="00A70E34" w:rsidRDefault="009F787D" w14:paraId="1CD96153" w14:textId="77777777">
            <w:pPr>
              <w:spacing w:before="100" w:beforeAutospacing="1"/>
              <w:jc w:val="right"/>
              <w:rPr>
                <w:b/>
                <w:bCs/>
                <w:sz w:val="23"/>
                <w:szCs w:val="23"/>
              </w:rPr>
            </w:pPr>
          </w:p>
        </w:tc>
        <w:tc>
          <w:tcPr>
            <w:tcW w:w="1620" w:type="dxa"/>
            <w:tcBorders>
              <w:top w:val="nil"/>
              <w:left w:val="nil"/>
              <w:bottom w:val="single" w:color="auto" w:sz="8" w:space="0"/>
              <w:right w:val="single" w:color="auto" w:sz="8" w:space="0"/>
            </w:tcBorders>
            <w:shd w:val="clear" w:color="auto" w:fill="auto"/>
            <w:noWrap/>
            <w:vAlign w:val="bottom"/>
          </w:tcPr>
          <w:p w:rsidRPr="000C4206" w:rsidR="009F787D" w:rsidP="007E66EC" w:rsidRDefault="009F787D" w14:paraId="5A776D5D" w14:textId="77777777">
            <w:pPr>
              <w:spacing w:before="100" w:beforeAutospacing="1"/>
              <w:jc w:val="right"/>
              <w:rPr>
                <w:b/>
                <w:bCs/>
                <w:sz w:val="23"/>
                <w:szCs w:val="23"/>
              </w:rPr>
            </w:pPr>
            <w:r w:rsidRPr="000C4206">
              <w:rPr>
                <w:b/>
                <w:bCs/>
                <w:sz w:val="23"/>
                <w:szCs w:val="23"/>
              </w:rPr>
              <w:t> </w:t>
            </w:r>
          </w:p>
        </w:tc>
        <w:tc>
          <w:tcPr>
            <w:tcW w:w="1890" w:type="dxa"/>
            <w:tcBorders>
              <w:top w:val="nil"/>
              <w:left w:val="nil"/>
              <w:bottom w:val="single" w:color="auto" w:sz="8" w:space="0"/>
              <w:right w:val="single" w:color="auto" w:sz="8" w:space="0"/>
            </w:tcBorders>
            <w:shd w:val="clear" w:color="auto" w:fill="auto"/>
            <w:noWrap/>
            <w:vAlign w:val="bottom"/>
          </w:tcPr>
          <w:p w:rsidRPr="000C4206" w:rsidR="009F787D" w:rsidP="00A70E34" w:rsidRDefault="009F787D" w14:paraId="32AB7C2D" w14:textId="77777777">
            <w:pPr>
              <w:spacing w:before="100" w:beforeAutospacing="1"/>
              <w:jc w:val="right"/>
              <w:rPr>
                <w:b/>
                <w:bCs/>
                <w:sz w:val="23"/>
                <w:szCs w:val="23"/>
              </w:rPr>
            </w:pPr>
          </w:p>
        </w:tc>
      </w:tr>
      <w:tr w:rsidRPr="000C4206" w:rsidR="009F787D" w:rsidTr="00782F78" w14:paraId="150E3F06" w14:textId="77777777">
        <w:trPr>
          <w:trHeight w:val="270"/>
        </w:trPr>
        <w:tc>
          <w:tcPr>
            <w:tcW w:w="3408" w:type="dxa"/>
            <w:tcBorders>
              <w:top w:val="single" w:color="auto" w:sz="8" w:space="0"/>
              <w:left w:val="single" w:color="auto" w:sz="8" w:space="0"/>
              <w:bottom w:val="single" w:color="auto" w:sz="8" w:space="0"/>
              <w:right w:val="single" w:color="auto" w:sz="8" w:space="0"/>
            </w:tcBorders>
            <w:shd w:val="clear" w:color="auto" w:fill="auto"/>
            <w:noWrap/>
            <w:vAlign w:val="bottom"/>
          </w:tcPr>
          <w:p w:rsidRPr="000C4206" w:rsidR="009F787D" w:rsidP="007E66EC" w:rsidRDefault="004B5771" w14:paraId="3F602937" w14:textId="77777777">
            <w:pPr>
              <w:spacing w:before="100" w:beforeAutospacing="1"/>
              <w:jc w:val="right"/>
              <w:rPr>
                <w:b/>
                <w:bCs/>
                <w:sz w:val="23"/>
                <w:szCs w:val="23"/>
              </w:rPr>
            </w:pPr>
            <w:r w:rsidRPr="000C4206">
              <w:rPr>
                <w:b/>
                <w:bCs/>
                <w:sz w:val="23"/>
                <w:szCs w:val="23"/>
              </w:rPr>
              <w:t>TOTAL</w:t>
            </w:r>
          </w:p>
        </w:tc>
        <w:tc>
          <w:tcPr>
            <w:tcW w:w="1530" w:type="dxa"/>
            <w:tcBorders>
              <w:top w:val="single" w:color="auto" w:sz="8" w:space="0"/>
              <w:left w:val="nil"/>
              <w:bottom w:val="single" w:color="auto" w:sz="8" w:space="0"/>
              <w:right w:val="single" w:color="auto" w:sz="8" w:space="0"/>
            </w:tcBorders>
            <w:shd w:val="clear" w:color="auto" w:fill="auto"/>
            <w:noWrap/>
            <w:vAlign w:val="bottom"/>
          </w:tcPr>
          <w:p w:rsidRPr="000C4206" w:rsidR="009F787D" w:rsidP="00A70E34" w:rsidRDefault="009F787D" w14:paraId="6719FE04" w14:textId="77777777">
            <w:pPr>
              <w:spacing w:before="100" w:beforeAutospacing="1"/>
              <w:jc w:val="right"/>
              <w:rPr>
                <w:b/>
                <w:bCs/>
                <w:sz w:val="23"/>
                <w:szCs w:val="23"/>
              </w:rPr>
            </w:pPr>
          </w:p>
        </w:tc>
        <w:tc>
          <w:tcPr>
            <w:tcW w:w="1620" w:type="dxa"/>
            <w:tcBorders>
              <w:top w:val="single" w:color="auto" w:sz="8" w:space="0"/>
              <w:left w:val="nil"/>
              <w:bottom w:val="single" w:color="auto" w:sz="8" w:space="0"/>
              <w:right w:val="single" w:color="auto" w:sz="8" w:space="0"/>
            </w:tcBorders>
            <w:shd w:val="clear" w:color="auto" w:fill="auto"/>
            <w:noWrap/>
            <w:vAlign w:val="bottom"/>
          </w:tcPr>
          <w:p w:rsidRPr="000C4206" w:rsidR="009F787D" w:rsidP="007E66EC" w:rsidRDefault="009F787D" w14:paraId="6B32D3E4" w14:textId="77777777">
            <w:pPr>
              <w:spacing w:before="100" w:beforeAutospacing="1"/>
              <w:rPr>
                <w:b/>
                <w:bCs/>
                <w:sz w:val="23"/>
                <w:szCs w:val="23"/>
              </w:rPr>
            </w:pPr>
            <w:r w:rsidRPr="000C4206">
              <w:rPr>
                <w:b/>
                <w:bCs/>
                <w:sz w:val="23"/>
                <w:szCs w:val="23"/>
              </w:rPr>
              <w:t> </w:t>
            </w:r>
          </w:p>
        </w:tc>
        <w:tc>
          <w:tcPr>
            <w:tcW w:w="1890" w:type="dxa"/>
            <w:tcBorders>
              <w:top w:val="single" w:color="auto" w:sz="8" w:space="0"/>
              <w:left w:val="nil"/>
              <w:bottom w:val="single" w:color="auto" w:sz="8" w:space="0"/>
              <w:right w:val="single" w:color="auto" w:sz="8" w:space="0"/>
            </w:tcBorders>
            <w:shd w:val="clear" w:color="auto" w:fill="auto"/>
            <w:noWrap/>
            <w:vAlign w:val="bottom"/>
          </w:tcPr>
          <w:p w:rsidRPr="000C4206" w:rsidR="009F787D" w:rsidP="00A70E34" w:rsidRDefault="009F787D" w14:paraId="17F7B603" w14:textId="5B5711C0">
            <w:pPr>
              <w:spacing w:before="100" w:beforeAutospacing="1"/>
              <w:jc w:val="right"/>
              <w:rPr>
                <w:b/>
                <w:bCs/>
                <w:sz w:val="23"/>
                <w:szCs w:val="23"/>
              </w:rPr>
            </w:pPr>
            <w:r w:rsidRPr="000C4206">
              <w:rPr>
                <w:b/>
                <w:bCs/>
                <w:sz w:val="23"/>
                <w:szCs w:val="23"/>
              </w:rPr>
              <w:t>$</w:t>
            </w:r>
            <w:r w:rsidR="00413287">
              <w:rPr>
                <w:b/>
                <w:bCs/>
                <w:sz w:val="23"/>
                <w:szCs w:val="23"/>
              </w:rPr>
              <w:t>378.80</w:t>
            </w:r>
          </w:p>
        </w:tc>
      </w:tr>
    </w:tbl>
    <w:p w:rsidRPr="000C4206" w:rsidR="008E2567" w:rsidP="00782F78" w:rsidRDefault="008E2567" w14:paraId="5E9489EB" w14:textId="77777777">
      <w:pPr>
        <w:pStyle w:val="BodyText"/>
        <w:rPr>
          <w:sz w:val="23"/>
          <w:szCs w:val="23"/>
        </w:rPr>
      </w:pPr>
    </w:p>
    <w:p w:rsidRPr="000C4206" w:rsidR="00D54B0E" w:rsidP="00782F78" w:rsidRDefault="00C32EA2" w14:paraId="037BD3D1" w14:textId="63349313">
      <w:pPr>
        <w:pStyle w:val="BodyText"/>
        <w:rPr>
          <w:sz w:val="23"/>
          <w:szCs w:val="23"/>
        </w:rPr>
      </w:pPr>
      <w:r w:rsidRPr="000C4206">
        <w:rPr>
          <w:sz w:val="23"/>
          <w:szCs w:val="23"/>
        </w:rPr>
        <w:t>It is estimat</w:t>
      </w:r>
      <w:r w:rsidRPr="000C4206" w:rsidR="00BF4A15">
        <w:rPr>
          <w:sz w:val="23"/>
          <w:szCs w:val="23"/>
        </w:rPr>
        <w:t>ed that the annual cost to the f</w:t>
      </w:r>
      <w:r w:rsidRPr="000C4206">
        <w:rPr>
          <w:sz w:val="23"/>
          <w:szCs w:val="23"/>
        </w:rPr>
        <w:t xml:space="preserve">ederal government </w:t>
      </w:r>
      <w:r w:rsidRPr="000C4206" w:rsidR="00616010">
        <w:rPr>
          <w:sz w:val="23"/>
          <w:szCs w:val="23"/>
        </w:rPr>
        <w:t>is $</w:t>
      </w:r>
      <w:r w:rsidR="00413287">
        <w:rPr>
          <w:sz w:val="23"/>
          <w:szCs w:val="23"/>
        </w:rPr>
        <w:t xml:space="preserve"> 378.80</w:t>
      </w:r>
      <w:r w:rsidRPr="000C4206" w:rsidR="00616010">
        <w:rPr>
          <w:sz w:val="23"/>
          <w:szCs w:val="23"/>
        </w:rPr>
        <w:t xml:space="preserve">.  </w:t>
      </w:r>
    </w:p>
    <w:p w:rsidRPr="000C4206" w:rsidR="008E2567" w:rsidP="00782F78" w:rsidRDefault="008E2567" w14:paraId="4079AB6E" w14:textId="77777777">
      <w:pPr>
        <w:pStyle w:val="BodyText"/>
        <w:rPr>
          <w:sz w:val="23"/>
          <w:szCs w:val="23"/>
        </w:rPr>
      </w:pPr>
    </w:p>
    <w:p w:rsidRPr="000C4206" w:rsidR="00665F2E" w:rsidP="00782F78" w:rsidRDefault="00EC7EF5" w14:paraId="16B25EC6" w14:textId="77777777">
      <w:pPr>
        <w:pStyle w:val="BodyText"/>
        <w:rPr>
          <w:b/>
          <w:sz w:val="23"/>
          <w:szCs w:val="23"/>
        </w:rPr>
      </w:pPr>
      <w:r w:rsidRPr="000C4206">
        <w:rPr>
          <w:b/>
          <w:sz w:val="23"/>
          <w:szCs w:val="23"/>
        </w:rPr>
        <w:t xml:space="preserve">15.  </w:t>
      </w:r>
      <w:r w:rsidRPr="000C4206" w:rsidR="00665F2E">
        <w:rPr>
          <w:b/>
          <w:sz w:val="23"/>
          <w:szCs w:val="23"/>
        </w:rPr>
        <w:t>Explain reasons for changes in burden, including the need for any increases.</w:t>
      </w:r>
    </w:p>
    <w:p w:rsidRPr="000C4206" w:rsidR="0019170A" w:rsidP="0019170A" w:rsidRDefault="0019170A" w14:paraId="53EA94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p>
    <w:p w:rsidRPr="000C4206" w:rsidR="000C4206" w:rsidP="000C4206" w:rsidRDefault="0019170A" w14:paraId="6942FEF9" w14:textId="032DAC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3"/>
          <w:szCs w:val="23"/>
          <w:lang w:val="en"/>
        </w:rPr>
      </w:pPr>
      <w:r w:rsidRPr="0019170A">
        <w:rPr>
          <w:snapToGrid w:val="0"/>
          <w:color w:val="000000"/>
          <w:sz w:val="23"/>
          <w:szCs w:val="23"/>
        </w:rPr>
        <w:t xml:space="preserve">This information </w:t>
      </w:r>
      <w:r w:rsidRPr="000C4206">
        <w:rPr>
          <w:snapToGrid w:val="0"/>
          <w:color w:val="000000"/>
          <w:sz w:val="23"/>
          <w:szCs w:val="23"/>
        </w:rPr>
        <w:t xml:space="preserve">collection </w:t>
      </w:r>
      <w:r w:rsidRPr="0019170A">
        <w:rPr>
          <w:snapToGrid w:val="0"/>
          <w:color w:val="000000"/>
          <w:sz w:val="23"/>
          <w:szCs w:val="23"/>
        </w:rPr>
        <w:t xml:space="preserve">reflects a </w:t>
      </w:r>
      <w:r w:rsidRPr="000C4206">
        <w:rPr>
          <w:snapToGrid w:val="0"/>
          <w:color w:val="000000"/>
          <w:sz w:val="23"/>
          <w:szCs w:val="23"/>
        </w:rPr>
        <w:t xml:space="preserve">change in burden.  There is a </w:t>
      </w:r>
      <w:r w:rsidRPr="0019170A">
        <w:rPr>
          <w:snapToGrid w:val="0"/>
          <w:color w:val="000000"/>
          <w:sz w:val="23"/>
          <w:szCs w:val="23"/>
        </w:rPr>
        <w:t xml:space="preserve">burden decrease because the </w:t>
      </w:r>
      <w:r w:rsidRPr="000C4206">
        <w:rPr>
          <w:snapToGrid w:val="0"/>
          <w:color w:val="000000"/>
          <w:sz w:val="23"/>
          <w:szCs w:val="23"/>
        </w:rPr>
        <w:t>Transit in Parks Program w</w:t>
      </w:r>
      <w:r w:rsidRPr="0019170A">
        <w:rPr>
          <w:snapToGrid w:val="0"/>
          <w:color w:val="000000"/>
          <w:sz w:val="23"/>
          <w:szCs w:val="23"/>
        </w:rPr>
        <w:t xml:space="preserve">as repealed by Congress under the Moving Ahead for Progress in the 21st Century Act (MAP-21).  </w:t>
      </w:r>
      <w:r w:rsidRPr="000C4206" w:rsidR="000C4206">
        <w:rPr>
          <w:snapToGrid w:val="0"/>
          <w:color w:val="000000"/>
          <w:sz w:val="23"/>
          <w:szCs w:val="23"/>
        </w:rPr>
        <w:t>Thus</w:t>
      </w:r>
      <w:r w:rsidRPr="0019170A">
        <w:rPr>
          <w:snapToGrid w:val="0"/>
          <w:color w:val="000000"/>
          <w:sz w:val="23"/>
          <w:szCs w:val="23"/>
        </w:rPr>
        <w:t>, the application stage and all information collected as part of this process in the program has been eliminated. This resulted in a significant decrease because the large pool of grantees submitting the comprehensive applications is no longer applicable</w:t>
      </w:r>
      <w:r w:rsidRPr="000C4206">
        <w:rPr>
          <w:snapToGrid w:val="0"/>
          <w:color w:val="000000"/>
          <w:sz w:val="23"/>
          <w:szCs w:val="23"/>
        </w:rPr>
        <w:t xml:space="preserve">. Thus, </w:t>
      </w:r>
      <w:r w:rsidRPr="0019170A">
        <w:rPr>
          <w:snapToGrid w:val="0"/>
          <w:color w:val="000000"/>
          <w:sz w:val="23"/>
          <w:szCs w:val="23"/>
        </w:rPr>
        <w:t xml:space="preserve">the </w:t>
      </w:r>
      <w:r w:rsidR="000C4206">
        <w:rPr>
          <w:snapToGrid w:val="0"/>
          <w:color w:val="000000"/>
          <w:sz w:val="23"/>
          <w:szCs w:val="23"/>
        </w:rPr>
        <w:t>Federal G</w:t>
      </w:r>
      <w:r w:rsidRPr="0019170A">
        <w:rPr>
          <w:snapToGrid w:val="0"/>
          <w:color w:val="000000"/>
          <w:sz w:val="23"/>
          <w:szCs w:val="23"/>
        </w:rPr>
        <w:t xml:space="preserve">overnment no longer needs to conduct detailed reviews of each of the applications for selection of funding. </w:t>
      </w:r>
      <w:r w:rsidRPr="000C4206">
        <w:rPr>
          <w:snapToGrid w:val="0"/>
          <w:color w:val="000000"/>
          <w:sz w:val="23"/>
          <w:szCs w:val="23"/>
        </w:rPr>
        <w:t xml:space="preserve">There are currently only </w:t>
      </w:r>
      <w:r w:rsidR="00413287">
        <w:rPr>
          <w:snapToGrid w:val="0"/>
          <w:color w:val="000000"/>
          <w:sz w:val="23"/>
          <w:szCs w:val="23"/>
        </w:rPr>
        <w:t>four</w:t>
      </w:r>
      <w:r w:rsidRPr="000C4206">
        <w:rPr>
          <w:snapToGrid w:val="0"/>
          <w:color w:val="000000"/>
          <w:sz w:val="23"/>
          <w:szCs w:val="23"/>
        </w:rPr>
        <w:t xml:space="preserve"> </w:t>
      </w:r>
      <w:r w:rsidR="00413287">
        <w:rPr>
          <w:snapToGrid w:val="0"/>
          <w:color w:val="000000"/>
          <w:sz w:val="23"/>
          <w:szCs w:val="23"/>
        </w:rPr>
        <w:t xml:space="preserve">respondents with </w:t>
      </w:r>
      <w:r w:rsidRPr="000C4206">
        <w:rPr>
          <w:snapToGrid w:val="0"/>
          <w:color w:val="000000"/>
          <w:sz w:val="23"/>
          <w:szCs w:val="23"/>
        </w:rPr>
        <w:t xml:space="preserve">open grants requiring reporting </w:t>
      </w:r>
      <w:r w:rsidRPr="000C4206" w:rsidR="000C4206">
        <w:rPr>
          <w:snapToGrid w:val="0"/>
          <w:color w:val="000000"/>
          <w:sz w:val="23"/>
          <w:szCs w:val="23"/>
        </w:rPr>
        <w:t xml:space="preserve">under </w:t>
      </w:r>
      <w:r w:rsidR="000C4206">
        <w:rPr>
          <w:snapToGrid w:val="0"/>
          <w:color w:val="000000"/>
          <w:sz w:val="23"/>
          <w:szCs w:val="23"/>
        </w:rPr>
        <w:t xml:space="preserve">the </w:t>
      </w:r>
      <w:r w:rsidRPr="000C4206" w:rsidR="000C4206">
        <w:rPr>
          <w:snapToGrid w:val="0"/>
          <w:color w:val="000000"/>
          <w:sz w:val="23"/>
          <w:szCs w:val="23"/>
        </w:rPr>
        <w:t xml:space="preserve">Transit in Parks </w:t>
      </w:r>
      <w:r w:rsidR="000C4206">
        <w:rPr>
          <w:snapToGrid w:val="0"/>
          <w:color w:val="000000"/>
          <w:sz w:val="23"/>
          <w:szCs w:val="23"/>
        </w:rPr>
        <w:t xml:space="preserve">Program, </w:t>
      </w:r>
      <w:r w:rsidRPr="000C4206" w:rsidR="000C4206">
        <w:rPr>
          <w:snapToGrid w:val="0"/>
          <w:color w:val="000000"/>
          <w:sz w:val="23"/>
          <w:szCs w:val="23"/>
        </w:rPr>
        <w:t xml:space="preserve">as these projects still have federal funding associated with them. </w:t>
      </w:r>
      <w:r w:rsidRPr="0019170A">
        <w:rPr>
          <w:snapToGrid w:val="0"/>
          <w:color w:val="000000"/>
          <w:sz w:val="23"/>
          <w:szCs w:val="23"/>
        </w:rPr>
        <w:t xml:space="preserve"> Once the funds are fully expended this information collection will be discontinued.</w:t>
      </w:r>
      <w:r w:rsidR="000C4206">
        <w:rPr>
          <w:snapToGrid w:val="0"/>
          <w:color w:val="000000"/>
          <w:sz w:val="23"/>
          <w:szCs w:val="23"/>
        </w:rPr>
        <w:t xml:space="preserve">  </w:t>
      </w:r>
      <w:r w:rsidRPr="000C4206" w:rsidR="000C4206">
        <w:rPr>
          <w:color w:val="000000"/>
          <w:sz w:val="23"/>
          <w:szCs w:val="23"/>
          <w:lang w:val="en"/>
        </w:rPr>
        <w:t>Alternative transportation projects formerly eligible under Transit in Parks are now eligible under the Federal Highway Administration’s </w:t>
      </w:r>
      <w:hyperlink w:history="1" r:id="rId12">
        <w:r w:rsidRPr="000C4206" w:rsidR="000C4206">
          <w:rPr>
            <w:color w:val="000000"/>
            <w:sz w:val="23"/>
            <w:szCs w:val="23"/>
            <w:lang w:val="en"/>
          </w:rPr>
          <w:t>Federal Lands Transportation Program</w:t>
        </w:r>
      </w:hyperlink>
      <w:r w:rsidRPr="000C4206" w:rsidR="000C4206">
        <w:rPr>
          <w:color w:val="000000"/>
          <w:sz w:val="23"/>
          <w:szCs w:val="23"/>
          <w:lang w:val="en"/>
        </w:rPr>
        <w:t xml:space="preserve"> and the </w:t>
      </w:r>
      <w:hyperlink w:history="1" r:id="rId13">
        <w:r w:rsidRPr="000C4206" w:rsidR="000C4206">
          <w:rPr>
            <w:color w:val="000000"/>
            <w:sz w:val="23"/>
            <w:szCs w:val="23"/>
            <w:lang w:val="en"/>
          </w:rPr>
          <w:t>Federal Lands Access Program</w:t>
        </w:r>
      </w:hyperlink>
      <w:r w:rsidRPr="000C4206" w:rsidR="000C4206">
        <w:rPr>
          <w:color w:val="000000"/>
          <w:sz w:val="23"/>
          <w:szCs w:val="23"/>
          <w:lang w:val="en"/>
        </w:rPr>
        <w:t>.</w:t>
      </w:r>
    </w:p>
    <w:p w:rsidRPr="0019170A" w:rsidR="0019170A" w:rsidP="0019170A" w:rsidRDefault="0019170A" w14:paraId="4A3C8F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3"/>
          <w:szCs w:val="23"/>
        </w:rPr>
      </w:pPr>
    </w:p>
    <w:p w:rsidRPr="000C4206" w:rsidR="00665F2E" w:rsidP="007E66EC" w:rsidRDefault="0008792F" w14:paraId="106CCE94" w14:textId="77777777">
      <w:pPr>
        <w:pStyle w:val="BodyText"/>
        <w:spacing w:before="100" w:beforeAutospacing="1"/>
        <w:rPr>
          <w:b/>
          <w:sz w:val="23"/>
          <w:szCs w:val="23"/>
        </w:rPr>
      </w:pPr>
      <w:r w:rsidRPr="000C4206">
        <w:rPr>
          <w:b/>
          <w:sz w:val="23"/>
          <w:szCs w:val="23"/>
        </w:rPr>
        <w:t>16</w:t>
      </w:r>
      <w:r w:rsidRPr="000C4206">
        <w:rPr>
          <w:sz w:val="23"/>
          <w:szCs w:val="23"/>
        </w:rPr>
        <w:t xml:space="preserve">. </w:t>
      </w:r>
      <w:r w:rsidRPr="000C4206" w:rsidR="00665F2E">
        <w:rPr>
          <w:b/>
          <w:sz w:val="23"/>
          <w:szCs w:val="23"/>
        </w:rPr>
        <w:t>Plans for tabulation and publication for collections of information whose results will be published.</w:t>
      </w:r>
    </w:p>
    <w:p w:rsidR="00075C8D" w:rsidP="007E66EC" w:rsidRDefault="00F52922" w14:paraId="393DCC4C" w14:textId="77777777">
      <w:pPr>
        <w:pStyle w:val="BodyText"/>
        <w:spacing w:before="100" w:beforeAutospacing="1"/>
        <w:rPr>
          <w:sz w:val="23"/>
          <w:szCs w:val="23"/>
        </w:rPr>
      </w:pPr>
      <w:r w:rsidRPr="000C4206">
        <w:rPr>
          <w:sz w:val="23"/>
          <w:szCs w:val="23"/>
        </w:rPr>
        <w:t>FTA does not plan to publish the results of the information collected for statistical use.</w:t>
      </w:r>
    </w:p>
    <w:p w:rsidRPr="000C4206" w:rsidR="00665F2E" w:rsidP="00EC7EF5" w:rsidRDefault="00EC7EF5" w14:paraId="501E6DD4" w14:textId="77777777">
      <w:pPr>
        <w:pStyle w:val="BodyText"/>
        <w:spacing w:before="100" w:beforeAutospacing="1"/>
        <w:rPr>
          <w:b/>
          <w:sz w:val="23"/>
          <w:szCs w:val="23"/>
        </w:rPr>
      </w:pPr>
      <w:r w:rsidRPr="000C4206">
        <w:rPr>
          <w:b/>
          <w:sz w:val="23"/>
          <w:szCs w:val="23"/>
        </w:rPr>
        <w:t xml:space="preserve">17.  </w:t>
      </w:r>
      <w:r w:rsidRPr="000C4206" w:rsidR="00665F2E">
        <w:rPr>
          <w:b/>
          <w:sz w:val="23"/>
          <w:szCs w:val="23"/>
        </w:rPr>
        <w:t>If seeking approval no</w:t>
      </w:r>
      <w:r w:rsidRPr="000C4206" w:rsidR="003F50EA">
        <w:rPr>
          <w:b/>
          <w:sz w:val="23"/>
          <w:szCs w:val="23"/>
        </w:rPr>
        <w:t>t</w:t>
      </w:r>
      <w:r w:rsidRPr="000C4206" w:rsidR="00665F2E">
        <w:rPr>
          <w:b/>
          <w:sz w:val="23"/>
          <w:szCs w:val="23"/>
        </w:rPr>
        <w:t xml:space="preserve"> to display the expiration date of OMB approval, explain the reasons.</w:t>
      </w:r>
    </w:p>
    <w:p w:rsidRPr="000C4206" w:rsidR="00A143A5" w:rsidP="007E66EC" w:rsidRDefault="003F50EA" w14:paraId="3A6848CA" w14:textId="77777777">
      <w:pPr>
        <w:pStyle w:val="BodyText"/>
        <w:spacing w:before="100" w:beforeAutospacing="1"/>
        <w:rPr>
          <w:sz w:val="23"/>
          <w:szCs w:val="23"/>
        </w:rPr>
      </w:pPr>
      <w:r w:rsidRPr="000C4206">
        <w:rPr>
          <w:sz w:val="23"/>
          <w:szCs w:val="23"/>
        </w:rPr>
        <w:t>FTA is</w:t>
      </w:r>
      <w:r w:rsidRPr="000C4206" w:rsidR="006D1CC4">
        <w:rPr>
          <w:sz w:val="23"/>
          <w:szCs w:val="23"/>
        </w:rPr>
        <w:t xml:space="preserve"> </w:t>
      </w:r>
      <w:r w:rsidRPr="000C4206">
        <w:rPr>
          <w:sz w:val="23"/>
          <w:szCs w:val="23"/>
        </w:rPr>
        <w:t>not seeking approval not to display the expiration date of OMB approval.</w:t>
      </w:r>
    </w:p>
    <w:p w:rsidRPr="000C4206" w:rsidR="003F50EA" w:rsidP="00EC7EF5" w:rsidRDefault="00EC7EF5" w14:paraId="4DBD4101" w14:textId="77777777">
      <w:pPr>
        <w:pStyle w:val="BodyText"/>
        <w:spacing w:before="100" w:beforeAutospacing="1"/>
        <w:rPr>
          <w:b/>
          <w:sz w:val="23"/>
          <w:szCs w:val="23"/>
        </w:rPr>
      </w:pPr>
      <w:r w:rsidRPr="000C4206">
        <w:rPr>
          <w:b/>
          <w:sz w:val="23"/>
          <w:szCs w:val="23"/>
        </w:rPr>
        <w:t xml:space="preserve">18.  </w:t>
      </w:r>
      <w:r w:rsidRPr="000C4206" w:rsidR="00665F2E">
        <w:rPr>
          <w:b/>
          <w:sz w:val="23"/>
          <w:szCs w:val="23"/>
        </w:rPr>
        <w:t>Explain any exceptions to the certification statement identified in item 19 of Form 83-I.</w:t>
      </w:r>
    </w:p>
    <w:p w:rsidRPr="000C4206" w:rsidR="0029479A" w:rsidP="00CE764A" w:rsidRDefault="003F50EA" w14:paraId="7073921C" w14:textId="77777777">
      <w:pPr>
        <w:pStyle w:val="BodyText"/>
        <w:spacing w:before="100" w:beforeAutospacing="1"/>
        <w:rPr>
          <w:sz w:val="23"/>
          <w:szCs w:val="23"/>
        </w:rPr>
      </w:pPr>
      <w:r w:rsidRPr="000C4206">
        <w:rPr>
          <w:sz w:val="23"/>
          <w:szCs w:val="23"/>
        </w:rPr>
        <w:t>No exceptions are stated.</w:t>
      </w:r>
    </w:p>
    <w:sectPr w:rsidRPr="000C4206" w:rsidR="0029479A" w:rsidSect="00D31EC4">
      <w:headerReference w:type="even" r:id="rId14"/>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8A07A" w14:textId="77777777" w:rsidR="00C91153" w:rsidRDefault="00C91153">
      <w:r>
        <w:separator/>
      </w:r>
    </w:p>
  </w:endnote>
  <w:endnote w:type="continuationSeparator" w:id="0">
    <w:p w14:paraId="48F215C1" w14:textId="77777777" w:rsidR="00C91153" w:rsidRDefault="00C9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3B9D" w14:textId="77777777" w:rsidR="003C3E85" w:rsidRDefault="003C3E85" w:rsidP="00616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2DFE8" w14:textId="77777777" w:rsidR="003C3E85" w:rsidRDefault="003C3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A859" w14:textId="77777777" w:rsidR="003C3E85" w:rsidRDefault="003C3E85" w:rsidP="006162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1F4D">
      <w:rPr>
        <w:rStyle w:val="PageNumber"/>
        <w:noProof/>
      </w:rPr>
      <w:t>2</w:t>
    </w:r>
    <w:r>
      <w:rPr>
        <w:rStyle w:val="PageNumber"/>
      </w:rPr>
      <w:fldChar w:fldCharType="end"/>
    </w:r>
  </w:p>
  <w:p w14:paraId="7F1D565D" w14:textId="77777777" w:rsidR="003C3E85" w:rsidRDefault="003C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938B5" w14:textId="77777777" w:rsidR="00C91153" w:rsidRDefault="00C91153">
      <w:r>
        <w:separator/>
      </w:r>
    </w:p>
  </w:footnote>
  <w:footnote w:type="continuationSeparator" w:id="0">
    <w:p w14:paraId="75034F58" w14:textId="77777777" w:rsidR="00C91153" w:rsidRDefault="00C9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F1EB" w14:textId="77777777" w:rsidR="003C3E85" w:rsidRDefault="003C3E85" w:rsidP="006162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97BAC3" w14:textId="77777777" w:rsidR="003C3E85" w:rsidRDefault="003C3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02100"/>
    <w:multiLevelType w:val="hybridMultilevel"/>
    <w:tmpl w:val="73980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724F55"/>
    <w:multiLevelType w:val="multilevel"/>
    <w:tmpl w:val="7656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245DE"/>
    <w:multiLevelType w:val="hybridMultilevel"/>
    <w:tmpl w:val="39805C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75705"/>
    <w:multiLevelType w:val="hybridMultilevel"/>
    <w:tmpl w:val="688C56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C374A"/>
    <w:multiLevelType w:val="hybridMultilevel"/>
    <w:tmpl w:val="0D0C0B7E"/>
    <w:lvl w:ilvl="0" w:tplc="706C76B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6303C26"/>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2B9405C9"/>
    <w:multiLevelType w:val="hybridMultilevel"/>
    <w:tmpl w:val="ADF4F9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6AE5"/>
    <w:multiLevelType w:val="hybridMultilevel"/>
    <w:tmpl w:val="106AF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A5DCE"/>
    <w:multiLevelType w:val="hybridMultilevel"/>
    <w:tmpl w:val="C77C7EAA"/>
    <w:lvl w:ilvl="0" w:tplc="29FC0218">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426844F5"/>
    <w:multiLevelType w:val="hybridMultilevel"/>
    <w:tmpl w:val="BAAAA964"/>
    <w:lvl w:ilvl="0" w:tplc="FCE0CB98">
      <w:start w:val="2"/>
      <w:numFmt w:val="decimal"/>
      <w:lvlText w:val="%1."/>
      <w:lvlJc w:val="left"/>
      <w:pPr>
        <w:tabs>
          <w:tab w:val="num" w:pos="360"/>
        </w:tabs>
        <w:ind w:left="360" w:hanging="360"/>
      </w:pPr>
      <w:rPr>
        <w:rFonts w:hint="default"/>
        <w:color w:val="auto"/>
      </w:rPr>
    </w:lvl>
    <w:lvl w:ilvl="1" w:tplc="A61287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2210427"/>
    <w:multiLevelType w:val="multilevel"/>
    <w:tmpl w:val="4C72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04022"/>
    <w:multiLevelType w:val="multilevel"/>
    <w:tmpl w:val="4C7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3B35DC"/>
    <w:multiLevelType w:val="hybridMultilevel"/>
    <w:tmpl w:val="652EF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B6091"/>
    <w:multiLevelType w:val="hybridMultilevel"/>
    <w:tmpl w:val="2528BF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11"/>
  </w:num>
  <w:num w:numId="6">
    <w:abstractNumId w:val="10"/>
  </w:num>
  <w:num w:numId="7">
    <w:abstractNumId w:val="1"/>
  </w:num>
  <w:num w:numId="8">
    <w:abstractNumId w:val="0"/>
  </w:num>
  <w:num w:numId="9">
    <w:abstractNumId w:val="7"/>
  </w:num>
  <w:num w:numId="10">
    <w:abstractNumId w:val="13"/>
  </w:num>
  <w:num w:numId="11">
    <w:abstractNumId w:val="3"/>
  </w:num>
  <w:num w:numId="12">
    <w:abstractNumId w:val="6"/>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A2"/>
    <w:rsid w:val="00007257"/>
    <w:rsid w:val="00023371"/>
    <w:rsid w:val="00034520"/>
    <w:rsid w:val="000421F2"/>
    <w:rsid w:val="000423D7"/>
    <w:rsid w:val="00044083"/>
    <w:rsid w:val="00065A83"/>
    <w:rsid w:val="0007241B"/>
    <w:rsid w:val="00072AA4"/>
    <w:rsid w:val="00075C8D"/>
    <w:rsid w:val="000847F3"/>
    <w:rsid w:val="0008792F"/>
    <w:rsid w:val="000A0D45"/>
    <w:rsid w:val="000A118D"/>
    <w:rsid w:val="000A2195"/>
    <w:rsid w:val="000A466D"/>
    <w:rsid w:val="000B4E29"/>
    <w:rsid w:val="000C4206"/>
    <w:rsid w:val="000C4619"/>
    <w:rsid w:val="000C4E3B"/>
    <w:rsid w:val="000C75BF"/>
    <w:rsid w:val="000C7ED0"/>
    <w:rsid w:val="000D3804"/>
    <w:rsid w:val="000E377A"/>
    <w:rsid w:val="000E3F33"/>
    <w:rsid w:val="000E4EE3"/>
    <w:rsid w:val="001020DD"/>
    <w:rsid w:val="00102629"/>
    <w:rsid w:val="00112072"/>
    <w:rsid w:val="00114F31"/>
    <w:rsid w:val="00116225"/>
    <w:rsid w:val="0012076E"/>
    <w:rsid w:val="00121829"/>
    <w:rsid w:val="001265B9"/>
    <w:rsid w:val="00137653"/>
    <w:rsid w:val="00141982"/>
    <w:rsid w:val="0015510D"/>
    <w:rsid w:val="001800DD"/>
    <w:rsid w:val="00185CAA"/>
    <w:rsid w:val="0019170A"/>
    <w:rsid w:val="001A097D"/>
    <w:rsid w:val="001A320E"/>
    <w:rsid w:val="001A342A"/>
    <w:rsid w:val="001B01A6"/>
    <w:rsid w:val="001B2500"/>
    <w:rsid w:val="001C3003"/>
    <w:rsid w:val="001C6D70"/>
    <w:rsid w:val="001D3017"/>
    <w:rsid w:val="001E3DD7"/>
    <w:rsid w:val="001F176B"/>
    <w:rsid w:val="001F5957"/>
    <w:rsid w:val="001F6881"/>
    <w:rsid w:val="00204A2B"/>
    <w:rsid w:val="00246387"/>
    <w:rsid w:val="0026362A"/>
    <w:rsid w:val="002675AB"/>
    <w:rsid w:val="0029479A"/>
    <w:rsid w:val="002A2DF2"/>
    <w:rsid w:val="002C1C00"/>
    <w:rsid w:val="002C262E"/>
    <w:rsid w:val="002D6C52"/>
    <w:rsid w:val="002E0A26"/>
    <w:rsid w:val="002E26C8"/>
    <w:rsid w:val="002E4F7A"/>
    <w:rsid w:val="002F3419"/>
    <w:rsid w:val="002F65E0"/>
    <w:rsid w:val="003303CE"/>
    <w:rsid w:val="00335544"/>
    <w:rsid w:val="00337B8C"/>
    <w:rsid w:val="00350E78"/>
    <w:rsid w:val="00351F9C"/>
    <w:rsid w:val="003552D3"/>
    <w:rsid w:val="003649BF"/>
    <w:rsid w:val="00390F0B"/>
    <w:rsid w:val="00395801"/>
    <w:rsid w:val="00397687"/>
    <w:rsid w:val="003A3E24"/>
    <w:rsid w:val="003B2501"/>
    <w:rsid w:val="003C3E85"/>
    <w:rsid w:val="003C7DEC"/>
    <w:rsid w:val="003F50EA"/>
    <w:rsid w:val="00402C74"/>
    <w:rsid w:val="00413287"/>
    <w:rsid w:val="0041471E"/>
    <w:rsid w:val="004224F6"/>
    <w:rsid w:val="004243AD"/>
    <w:rsid w:val="00427DE2"/>
    <w:rsid w:val="00430380"/>
    <w:rsid w:val="00436CF8"/>
    <w:rsid w:val="00442A5F"/>
    <w:rsid w:val="00443ED1"/>
    <w:rsid w:val="004520D8"/>
    <w:rsid w:val="00461BFD"/>
    <w:rsid w:val="004660A8"/>
    <w:rsid w:val="0047751B"/>
    <w:rsid w:val="00481DF5"/>
    <w:rsid w:val="004839FB"/>
    <w:rsid w:val="004842A9"/>
    <w:rsid w:val="00493150"/>
    <w:rsid w:val="004A29F2"/>
    <w:rsid w:val="004B5771"/>
    <w:rsid w:val="004D4FCA"/>
    <w:rsid w:val="004E055D"/>
    <w:rsid w:val="004E1311"/>
    <w:rsid w:val="004E7001"/>
    <w:rsid w:val="004F2E67"/>
    <w:rsid w:val="004F5A68"/>
    <w:rsid w:val="004F674E"/>
    <w:rsid w:val="00506A89"/>
    <w:rsid w:val="0051094A"/>
    <w:rsid w:val="00527A1C"/>
    <w:rsid w:val="005300DF"/>
    <w:rsid w:val="005311FA"/>
    <w:rsid w:val="005427EC"/>
    <w:rsid w:val="00542EF8"/>
    <w:rsid w:val="00547D6B"/>
    <w:rsid w:val="00556056"/>
    <w:rsid w:val="005708D0"/>
    <w:rsid w:val="00577E52"/>
    <w:rsid w:val="005800B3"/>
    <w:rsid w:val="00585639"/>
    <w:rsid w:val="005857C1"/>
    <w:rsid w:val="005B3EA0"/>
    <w:rsid w:val="005C5B10"/>
    <w:rsid w:val="005D0577"/>
    <w:rsid w:val="005D14BF"/>
    <w:rsid w:val="005E657B"/>
    <w:rsid w:val="00607F61"/>
    <w:rsid w:val="00611FBB"/>
    <w:rsid w:val="0061396E"/>
    <w:rsid w:val="00614E7B"/>
    <w:rsid w:val="00616010"/>
    <w:rsid w:val="00616229"/>
    <w:rsid w:val="006266CF"/>
    <w:rsid w:val="00641F9B"/>
    <w:rsid w:val="00663B3E"/>
    <w:rsid w:val="00665F2E"/>
    <w:rsid w:val="00671C12"/>
    <w:rsid w:val="00675F94"/>
    <w:rsid w:val="00676FCC"/>
    <w:rsid w:val="0068301F"/>
    <w:rsid w:val="00690B39"/>
    <w:rsid w:val="00695606"/>
    <w:rsid w:val="00695BDB"/>
    <w:rsid w:val="00696B4B"/>
    <w:rsid w:val="00697493"/>
    <w:rsid w:val="006B4ADB"/>
    <w:rsid w:val="006B70CF"/>
    <w:rsid w:val="006C1FA0"/>
    <w:rsid w:val="006C3E59"/>
    <w:rsid w:val="006C425B"/>
    <w:rsid w:val="006D1CC4"/>
    <w:rsid w:val="006D1CE3"/>
    <w:rsid w:val="006E55F6"/>
    <w:rsid w:val="006E627F"/>
    <w:rsid w:val="006E79D4"/>
    <w:rsid w:val="00700145"/>
    <w:rsid w:val="0070371A"/>
    <w:rsid w:val="00710939"/>
    <w:rsid w:val="00734DEB"/>
    <w:rsid w:val="00736A41"/>
    <w:rsid w:val="0074057E"/>
    <w:rsid w:val="00742D78"/>
    <w:rsid w:val="0074321D"/>
    <w:rsid w:val="0075740D"/>
    <w:rsid w:val="00762738"/>
    <w:rsid w:val="00767F48"/>
    <w:rsid w:val="00782F78"/>
    <w:rsid w:val="0078405F"/>
    <w:rsid w:val="00792B16"/>
    <w:rsid w:val="00795651"/>
    <w:rsid w:val="007A42BA"/>
    <w:rsid w:val="007A7759"/>
    <w:rsid w:val="007B3EB0"/>
    <w:rsid w:val="007C3D62"/>
    <w:rsid w:val="007C59F8"/>
    <w:rsid w:val="007C5E33"/>
    <w:rsid w:val="007D46CF"/>
    <w:rsid w:val="007E66EC"/>
    <w:rsid w:val="0080103A"/>
    <w:rsid w:val="008014D2"/>
    <w:rsid w:val="00817A3A"/>
    <w:rsid w:val="008243E3"/>
    <w:rsid w:val="0082784B"/>
    <w:rsid w:val="00840E20"/>
    <w:rsid w:val="008623C1"/>
    <w:rsid w:val="00866C07"/>
    <w:rsid w:val="00870C3C"/>
    <w:rsid w:val="00872BF7"/>
    <w:rsid w:val="00876EAC"/>
    <w:rsid w:val="00890A03"/>
    <w:rsid w:val="008A4FCC"/>
    <w:rsid w:val="008B10F3"/>
    <w:rsid w:val="008B3BD4"/>
    <w:rsid w:val="008E2567"/>
    <w:rsid w:val="008E3320"/>
    <w:rsid w:val="008E7F36"/>
    <w:rsid w:val="008F5BF7"/>
    <w:rsid w:val="009050A2"/>
    <w:rsid w:val="00907B7C"/>
    <w:rsid w:val="009109D7"/>
    <w:rsid w:val="009305AB"/>
    <w:rsid w:val="00936B07"/>
    <w:rsid w:val="00936B4C"/>
    <w:rsid w:val="009771DE"/>
    <w:rsid w:val="00980B5B"/>
    <w:rsid w:val="0099520B"/>
    <w:rsid w:val="009A453A"/>
    <w:rsid w:val="009C1786"/>
    <w:rsid w:val="009E48FF"/>
    <w:rsid w:val="009F2F00"/>
    <w:rsid w:val="009F75F1"/>
    <w:rsid w:val="009F787D"/>
    <w:rsid w:val="00A043A9"/>
    <w:rsid w:val="00A0493E"/>
    <w:rsid w:val="00A06ED1"/>
    <w:rsid w:val="00A143A5"/>
    <w:rsid w:val="00A15CCA"/>
    <w:rsid w:val="00A22F66"/>
    <w:rsid w:val="00A2397A"/>
    <w:rsid w:val="00A25B59"/>
    <w:rsid w:val="00A47683"/>
    <w:rsid w:val="00A62F23"/>
    <w:rsid w:val="00A63051"/>
    <w:rsid w:val="00A70E34"/>
    <w:rsid w:val="00A9390A"/>
    <w:rsid w:val="00AB03F4"/>
    <w:rsid w:val="00AC4850"/>
    <w:rsid w:val="00AD0FEF"/>
    <w:rsid w:val="00AD108B"/>
    <w:rsid w:val="00AE6A29"/>
    <w:rsid w:val="00AE77DF"/>
    <w:rsid w:val="00AF32BE"/>
    <w:rsid w:val="00AF68ED"/>
    <w:rsid w:val="00B04E6F"/>
    <w:rsid w:val="00B05944"/>
    <w:rsid w:val="00B07894"/>
    <w:rsid w:val="00B111DC"/>
    <w:rsid w:val="00B115F9"/>
    <w:rsid w:val="00B15078"/>
    <w:rsid w:val="00B178B0"/>
    <w:rsid w:val="00B17F47"/>
    <w:rsid w:val="00B20136"/>
    <w:rsid w:val="00B23CE4"/>
    <w:rsid w:val="00B422F0"/>
    <w:rsid w:val="00B46399"/>
    <w:rsid w:val="00B5176F"/>
    <w:rsid w:val="00B5289F"/>
    <w:rsid w:val="00B52D8D"/>
    <w:rsid w:val="00B54AAF"/>
    <w:rsid w:val="00B63CFD"/>
    <w:rsid w:val="00B73C77"/>
    <w:rsid w:val="00B75B81"/>
    <w:rsid w:val="00B84377"/>
    <w:rsid w:val="00B8589A"/>
    <w:rsid w:val="00B93A03"/>
    <w:rsid w:val="00B93A38"/>
    <w:rsid w:val="00BA0112"/>
    <w:rsid w:val="00BA1639"/>
    <w:rsid w:val="00BA6ADC"/>
    <w:rsid w:val="00BC14C6"/>
    <w:rsid w:val="00BC55B6"/>
    <w:rsid w:val="00BD299E"/>
    <w:rsid w:val="00BD3FC9"/>
    <w:rsid w:val="00BE53D4"/>
    <w:rsid w:val="00BE578A"/>
    <w:rsid w:val="00BF4A15"/>
    <w:rsid w:val="00BF5CBB"/>
    <w:rsid w:val="00C32EA2"/>
    <w:rsid w:val="00C35136"/>
    <w:rsid w:val="00C36CFC"/>
    <w:rsid w:val="00C37C77"/>
    <w:rsid w:val="00C420CA"/>
    <w:rsid w:val="00C4326E"/>
    <w:rsid w:val="00C557AF"/>
    <w:rsid w:val="00C57CA4"/>
    <w:rsid w:val="00C6079E"/>
    <w:rsid w:val="00C668F4"/>
    <w:rsid w:val="00C75471"/>
    <w:rsid w:val="00C7606B"/>
    <w:rsid w:val="00C85EC8"/>
    <w:rsid w:val="00C8603C"/>
    <w:rsid w:val="00C91153"/>
    <w:rsid w:val="00C95467"/>
    <w:rsid w:val="00CD474F"/>
    <w:rsid w:val="00CD6D75"/>
    <w:rsid w:val="00CE2B03"/>
    <w:rsid w:val="00CE764A"/>
    <w:rsid w:val="00CF0C3F"/>
    <w:rsid w:val="00D01F4D"/>
    <w:rsid w:val="00D04B57"/>
    <w:rsid w:val="00D05A6F"/>
    <w:rsid w:val="00D11ACA"/>
    <w:rsid w:val="00D20A67"/>
    <w:rsid w:val="00D272E3"/>
    <w:rsid w:val="00D31EC4"/>
    <w:rsid w:val="00D332AB"/>
    <w:rsid w:val="00D3438C"/>
    <w:rsid w:val="00D41B96"/>
    <w:rsid w:val="00D54B0E"/>
    <w:rsid w:val="00D66F32"/>
    <w:rsid w:val="00D81266"/>
    <w:rsid w:val="00D90482"/>
    <w:rsid w:val="00D926CB"/>
    <w:rsid w:val="00D93142"/>
    <w:rsid w:val="00D979B0"/>
    <w:rsid w:val="00DA2E78"/>
    <w:rsid w:val="00DA5C9C"/>
    <w:rsid w:val="00DA6349"/>
    <w:rsid w:val="00DC5640"/>
    <w:rsid w:val="00DD15DB"/>
    <w:rsid w:val="00DD62B4"/>
    <w:rsid w:val="00DE0FE4"/>
    <w:rsid w:val="00DE7423"/>
    <w:rsid w:val="00DF7025"/>
    <w:rsid w:val="00E0530A"/>
    <w:rsid w:val="00E15E54"/>
    <w:rsid w:val="00E16438"/>
    <w:rsid w:val="00E26073"/>
    <w:rsid w:val="00E3621F"/>
    <w:rsid w:val="00E36655"/>
    <w:rsid w:val="00E46DFB"/>
    <w:rsid w:val="00E533E5"/>
    <w:rsid w:val="00E552E5"/>
    <w:rsid w:val="00E7207E"/>
    <w:rsid w:val="00E75EA0"/>
    <w:rsid w:val="00E76272"/>
    <w:rsid w:val="00E76688"/>
    <w:rsid w:val="00E819E5"/>
    <w:rsid w:val="00E86A57"/>
    <w:rsid w:val="00E90E29"/>
    <w:rsid w:val="00E957F0"/>
    <w:rsid w:val="00EA097A"/>
    <w:rsid w:val="00EB0A9B"/>
    <w:rsid w:val="00EB1551"/>
    <w:rsid w:val="00EB6EC7"/>
    <w:rsid w:val="00EC785A"/>
    <w:rsid w:val="00EC7B59"/>
    <w:rsid w:val="00EC7EF5"/>
    <w:rsid w:val="00ED208A"/>
    <w:rsid w:val="00ED5BEE"/>
    <w:rsid w:val="00ED6A6C"/>
    <w:rsid w:val="00EE2864"/>
    <w:rsid w:val="00EE30D2"/>
    <w:rsid w:val="00EE719B"/>
    <w:rsid w:val="00EE7435"/>
    <w:rsid w:val="00EF059A"/>
    <w:rsid w:val="00EF2BBD"/>
    <w:rsid w:val="00EF4A7E"/>
    <w:rsid w:val="00F0039C"/>
    <w:rsid w:val="00F007AF"/>
    <w:rsid w:val="00F316F7"/>
    <w:rsid w:val="00F35F41"/>
    <w:rsid w:val="00F52922"/>
    <w:rsid w:val="00F676F6"/>
    <w:rsid w:val="00F7021F"/>
    <w:rsid w:val="00F709A2"/>
    <w:rsid w:val="00F7335E"/>
    <w:rsid w:val="00F76221"/>
    <w:rsid w:val="00F77E57"/>
    <w:rsid w:val="00F92991"/>
    <w:rsid w:val="00F9702A"/>
    <w:rsid w:val="00FC17BA"/>
    <w:rsid w:val="00FC64B5"/>
    <w:rsid w:val="00FC7A40"/>
    <w:rsid w:val="00FD284F"/>
    <w:rsid w:val="00FE5C7B"/>
    <w:rsid w:val="00FE69A2"/>
    <w:rsid w:val="00FF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25237"/>
  <w15:chartTrackingRefBased/>
  <w15:docId w15:val="{ABFB2608-CFC9-455D-8FAD-56E54B8A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3F33"/>
    <w:pPr>
      <w:widowControl w:val="0"/>
    </w:pPr>
    <w:rPr>
      <w:snapToGrid w:val="0"/>
      <w:color w:val="000000"/>
      <w:szCs w:val="20"/>
    </w:rPr>
  </w:style>
  <w:style w:type="paragraph" w:styleId="BalloonText">
    <w:name w:val="Balloon Text"/>
    <w:basedOn w:val="Normal"/>
    <w:semiHidden/>
    <w:rsid w:val="00616229"/>
    <w:rPr>
      <w:rFonts w:ascii="Tahoma" w:hAnsi="Tahoma" w:cs="Tahoma"/>
      <w:sz w:val="16"/>
      <w:szCs w:val="16"/>
    </w:rPr>
  </w:style>
  <w:style w:type="paragraph" w:styleId="Header">
    <w:name w:val="header"/>
    <w:basedOn w:val="Normal"/>
    <w:rsid w:val="00616229"/>
    <w:pPr>
      <w:tabs>
        <w:tab w:val="center" w:pos="4320"/>
        <w:tab w:val="right" w:pos="8640"/>
      </w:tabs>
    </w:pPr>
  </w:style>
  <w:style w:type="character" w:styleId="PageNumber">
    <w:name w:val="page number"/>
    <w:basedOn w:val="DefaultParagraphFont"/>
    <w:rsid w:val="00616229"/>
  </w:style>
  <w:style w:type="paragraph" w:styleId="Footer">
    <w:name w:val="footer"/>
    <w:basedOn w:val="Normal"/>
    <w:rsid w:val="00616229"/>
    <w:pPr>
      <w:tabs>
        <w:tab w:val="center" w:pos="4320"/>
        <w:tab w:val="right" w:pos="8640"/>
      </w:tabs>
    </w:pPr>
  </w:style>
  <w:style w:type="character" w:styleId="Hyperlink">
    <w:name w:val="Hyperlink"/>
    <w:rsid w:val="0080103A"/>
    <w:rPr>
      <w:rFonts w:ascii="Arial" w:hAnsi="Arial" w:cs="Arial" w:hint="default"/>
      <w:strike w:val="0"/>
      <w:dstrike w:val="0"/>
      <w:color w:val="800000"/>
      <w:u w:val="none"/>
      <w:effect w:val="none"/>
    </w:rPr>
  </w:style>
  <w:style w:type="paragraph" w:styleId="NormalWeb">
    <w:name w:val="Normal (Web)"/>
    <w:basedOn w:val="Normal"/>
    <w:rsid w:val="0080103A"/>
    <w:pPr>
      <w:spacing w:before="100" w:beforeAutospacing="1" w:after="100" w:afterAutospacing="1"/>
      <w:ind w:left="48"/>
    </w:pPr>
    <w:rPr>
      <w:rFonts w:ascii="Arial" w:hAnsi="Arial" w:cs="Arial"/>
      <w:color w:val="000000"/>
      <w:sz w:val="23"/>
      <w:szCs w:val="23"/>
    </w:rPr>
  </w:style>
  <w:style w:type="paragraph" w:styleId="BodyTextIndent">
    <w:name w:val="Body Text Indent"/>
    <w:basedOn w:val="Normal"/>
    <w:link w:val="BodyTextIndentChar"/>
    <w:rsid w:val="002675AB"/>
    <w:pPr>
      <w:spacing w:after="120"/>
      <w:ind w:left="360"/>
    </w:pPr>
  </w:style>
  <w:style w:type="character" w:customStyle="1" w:styleId="BodyTextIndentChar">
    <w:name w:val="Body Text Indent Char"/>
    <w:link w:val="BodyTextIndent"/>
    <w:rsid w:val="002675AB"/>
    <w:rPr>
      <w:sz w:val="24"/>
      <w:szCs w:val="24"/>
    </w:rPr>
  </w:style>
  <w:style w:type="character" w:styleId="CommentReference">
    <w:name w:val="annotation reference"/>
    <w:rsid w:val="002C1C00"/>
    <w:rPr>
      <w:sz w:val="16"/>
      <w:szCs w:val="16"/>
    </w:rPr>
  </w:style>
  <w:style w:type="paragraph" w:styleId="CommentText">
    <w:name w:val="annotation text"/>
    <w:basedOn w:val="Normal"/>
    <w:link w:val="CommentTextChar"/>
    <w:rsid w:val="002C1C00"/>
    <w:rPr>
      <w:sz w:val="20"/>
      <w:szCs w:val="20"/>
    </w:rPr>
  </w:style>
  <w:style w:type="character" w:customStyle="1" w:styleId="CommentTextChar">
    <w:name w:val="Comment Text Char"/>
    <w:basedOn w:val="DefaultParagraphFont"/>
    <w:link w:val="CommentText"/>
    <w:rsid w:val="002C1C00"/>
  </w:style>
  <w:style w:type="paragraph" w:styleId="ListParagraph">
    <w:name w:val="List Paragraph"/>
    <w:basedOn w:val="Normal"/>
    <w:uiPriority w:val="34"/>
    <w:qFormat/>
    <w:rsid w:val="003303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4040">
      <w:bodyDiv w:val="1"/>
      <w:marLeft w:val="0"/>
      <w:marRight w:val="0"/>
      <w:marTop w:val="0"/>
      <w:marBottom w:val="0"/>
      <w:divBdr>
        <w:top w:val="none" w:sz="0" w:space="0" w:color="auto"/>
        <w:left w:val="none" w:sz="0" w:space="0" w:color="auto"/>
        <w:bottom w:val="none" w:sz="0" w:space="0" w:color="auto"/>
        <w:right w:val="none" w:sz="0" w:space="0" w:color="auto"/>
      </w:divBdr>
    </w:div>
    <w:div w:id="186219120">
      <w:bodyDiv w:val="1"/>
      <w:marLeft w:val="0"/>
      <w:marRight w:val="0"/>
      <w:marTop w:val="0"/>
      <w:marBottom w:val="0"/>
      <w:divBdr>
        <w:top w:val="none" w:sz="0" w:space="0" w:color="auto"/>
        <w:left w:val="none" w:sz="0" w:space="0" w:color="auto"/>
        <w:bottom w:val="none" w:sz="0" w:space="0" w:color="auto"/>
        <w:right w:val="none" w:sz="0" w:space="0" w:color="auto"/>
      </w:divBdr>
    </w:div>
    <w:div w:id="304815938">
      <w:bodyDiv w:val="1"/>
      <w:marLeft w:val="0"/>
      <w:marRight w:val="0"/>
      <w:marTop w:val="0"/>
      <w:marBottom w:val="0"/>
      <w:divBdr>
        <w:top w:val="none" w:sz="0" w:space="0" w:color="auto"/>
        <w:left w:val="none" w:sz="0" w:space="0" w:color="auto"/>
        <w:bottom w:val="none" w:sz="0" w:space="0" w:color="auto"/>
        <w:right w:val="none" w:sz="0" w:space="0" w:color="auto"/>
      </w:divBdr>
    </w:div>
    <w:div w:id="334651816">
      <w:bodyDiv w:val="1"/>
      <w:marLeft w:val="0"/>
      <w:marRight w:val="0"/>
      <w:marTop w:val="0"/>
      <w:marBottom w:val="0"/>
      <w:divBdr>
        <w:top w:val="none" w:sz="0" w:space="0" w:color="auto"/>
        <w:left w:val="none" w:sz="0" w:space="0" w:color="auto"/>
        <w:bottom w:val="none" w:sz="0" w:space="0" w:color="auto"/>
        <w:right w:val="none" w:sz="0" w:space="0" w:color="auto"/>
      </w:divBdr>
    </w:div>
    <w:div w:id="530070496">
      <w:bodyDiv w:val="1"/>
      <w:marLeft w:val="0"/>
      <w:marRight w:val="0"/>
      <w:marTop w:val="0"/>
      <w:marBottom w:val="0"/>
      <w:divBdr>
        <w:top w:val="none" w:sz="0" w:space="0" w:color="auto"/>
        <w:left w:val="none" w:sz="0" w:space="0" w:color="auto"/>
        <w:bottom w:val="none" w:sz="0" w:space="0" w:color="auto"/>
        <w:right w:val="none" w:sz="0" w:space="0" w:color="auto"/>
      </w:divBdr>
    </w:div>
    <w:div w:id="587614254">
      <w:bodyDiv w:val="1"/>
      <w:marLeft w:val="0"/>
      <w:marRight w:val="0"/>
      <w:marTop w:val="0"/>
      <w:marBottom w:val="0"/>
      <w:divBdr>
        <w:top w:val="none" w:sz="0" w:space="0" w:color="auto"/>
        <w:left w:val="none" w:sz="0" w:space="0" w:color="auto"/>
        <w:bottom w:val="none" w:sz="0" w:space="0" w:color="auto"/>
        <w:right w:val="none" w:sz="0" w:space="0" w:color="auto"/>
      </w:divBdr>
    </w:div>
    <w:div w:id="656109656">
      <w:bodyDiv w:val="1"/>
      <w:marLeft w:val="0"/>
      <w:marRight w:val="0"/>
      <w:marTop w:val="0"/>
      <w:marBottom w:val="0"/>
      <w:divBdr>
        <w:top w:val="none" w:sz="0" w:space="0" w:color="auto"/>
        <w:left w:val="none" w:sz="0" w:space="0" w:color="auto"/>
        <w:bottom w:val="none" w:sz="0" w:space="0" w:color="auto"/>
        <w:right w:val="none" w:sz="0" w:space="0" w:color="auto"/>
      </w:divBdr>
    </w:div>
    <w:div w:id="1149512802">
      <w:bodyDiv w:val="1"/>
      <w:marLeft w:val="0"/>
      <w:marRight w:val="0"/>
      <w:marTop w:val="0"/>
      <w:marBottom w:val="0"/>
      <w:divBdr>
        <w:top w:val="none" w:sz="0" w:space="0" w:color="auto"/>
        <w:left w:val="none" w:sz="0" w:space="0" w:color="auto"/>
        <w:bottom w:val="none" w:sz="0" w:space="0" w:color="auto"/>
        <w:right w:val="none" w:sz="0" w:space="0" w:color="auto"/>
      </w:divBdr>
    </w:div>
    <w:div w:id="1237936846">
      <w:bodyDiv w:val="1"/>
      <w:marLeft w:val="0"/>
      <w:marRight w:val="0"/>
      <w:marTop w:val="0"/>
      <w:marBottom w:val="0"/>
      <w:divBdr>
        <w:top w:val="none" w:sz="0" w:space="0" w:color="auto"/>
        <w:left w:val="none" w:sz="0" w:space="0" w:color="auto"/>
        <w:bottom w:val="none" w:sz="0" w:space="0" w:color="auto"/>
        <w:right w:val="none" w:sz="0" w:space="0" w:color="auto"/>
      </w:divBdr>
    </w:div>
    <w:div w:id="194125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h.fhwa.dot.gov/programs/fltp/" TargetMode="External"/><Relationship Id="rId13" Type="http://schemas.openxmlformats.org/officeDocument/2006/relationships/hyperlink" Target="http://www.flh.fhwa.dot.gov/programs/fla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ansit.dot.gov/about/news/us-transportation-secretary-lahood-announces-125-million-improve-access-america%E2%80%99s" TargetMode="External"/><Relationship Id="rId12" Type="http://schemas.openxmlformats.org/officeDocument/2006/relationships/hyperlink" Target="http://www.flh.fhwa.dot.gov/programs/flt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bls.gov/oes/current/oes131051.htm" TargetMode="External"/><Relationship Id="rId4" Type="http://schemas.openxmlformats.org/officeDocument/2006/relationships/webSettings" Target="webSettings.xml"/><Relationship Id="rId9" Type="http://schemas.openxmlformats.org/officeDocument/2006/relationships/hyperlink" Target="http://www.flh.fhwa.dot.gov/programs/fla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2022</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CLEAN FUELS GRANT PROGRAM</vt:lpstr>
    </vt:vector>
  </TitlesOfParts>
  <Company>dot</Company>
  <LinksUpToDate>false</LinksUpToDate>
  <CharactersWithSpaces>14101</CharactersWithSpaces>
  <SharedDoc>false</SharedDoc>
  <HLinks>
    <vt:vector size="42" baseType="variant">
      <vt:variant>
        <vt:i4>3407913</vt:i4>
      </vt:variant>
      <vt:variant>
        <vt:i4>18</vt:i4>
      </vt:variant>
      <vt:variant>
        <vt:i4>0</vt:i4>
      </vt:variant>
      <vt:variant>
        <vt:i4>5</vt:i4>
      </vt:variant>
      <vt:variant>
        <vt:lpwstr>http://www.flh.fhwa.dot.gov/programs/flap/</vt:lpwstr>
      </vt:variant>
      <vt:variant>
        <vt:lpwstr/>
      </vt:variant>
      <vt:variant>
        <vt:i4>2162729</vt:i4>
      </vt:variant>
      <vt:variant>
        <vt:i4>15</vt:i4>
      </vt:variant>
      <vt:variant>
        <vt:i4>0</vt:i4>
      </vt:variant>
      <vt:variant>
        <vt:i4>5</vt:i4>
      </vt:variant>
      <vt:variant>
        <vt:lpwstr>http://www.flh.fhwa.dot.gov/programs/fltp/</vt:lpwstr>
      </vt:variant>
      <vt:variant>
        <vt:lpwstr/>
      </vt:variant>
      <vt:variant>
        <vt:i4>4259848</vt:i4>
      </vt:variant>
      <vt:variant>
        <vt:i4>12</vt:i4>
      </vt:variant>
      <vt:variant>
        <vt:i4>0</vt:i4>
      </vt:variant>
      <vt:variant>
        <vt:i4>5</vt:i4>
      </vt:variant>
      <vt:variant>
        <vt:lpwstr>https://www.opm.gov/policy-data-oversight/pay-leave/salaries-wages/2018/general-schedule/</vt:lpwstr>
      </vt:variant>
      <vt:variant>
        <vt:lpwstr/>
      </vt:variant>
      <vt:variant>
        <vt:i4>4980762</vt:i4>
      </vt:variant>
      <vt:variant>
        <vt:i4>9</vt:i4>
      </vt:variant>
      <vt:variant>
        <vt:i4>0</vt:i4>
      </vt:variant>
      <vt:variant>
        <vt:i4>5</vt:i4>
      </vt:variant>
      <vt:variant>
        <vt:lpwstr>https://www.bls.gov/oes/current/oes131051.htm</vt:lpwstr>
      </vt:variant>
      <vt:variant>
        <vt:lpwstr/>
      </vt:variant>
      <vt:variant>
        <vt:i4>3407913</vt:i4>
      </vt:variant>
      <vt:variant>
        <vt:i4>6</vt:i4>
      </vt:variant>
      <vt:variant>
        <vt:i4>0</vt:i4>
      </vt:variant>
      <vt:variant>
        <vt:i4>5</vt:i4>
      </vt:variant>
      <vt:variant>
        <vt:lpwstr>http://www.flh.fhwa.dot.gov/programs/flap/</vt:lpwstr>
      </vt:variant>
      <vt:variant>
        <vt:lpwstr/>
      </vt:variant>
      <vt:variant>
        <vt:i4>2162729</vt:i4>
      </vt:variant>
      <vt:variant>
        <vt:i4>3</vt:i4>
      </vt:variant>
      <vt:variant>
        <vt:i4>0</vt:i4>
      </vt:variant>
      <vt:variant>
        <vt:i4>5</vt:i4>
      </vt:variant>
      <vt:variant>
        <vt:lpwstr>http://www.flh.fhwa.dot.gov/programs/fltp/</vt:lpwstr>
      </vt:variant>
      <vt:variant>
        <vt:lpwstr/>
      </vt:variant>
      <vt:variant>
        <vt:i4>5177369</vt:i4>
      </vt:variant>
      <vt:variant>
        <vt:i4>0</vt:i4>
      </vt:variant>
      <vt:variant>
        <vt:i4>0</vt:i4>
      </vt:variant>
      <vt:variant>
        <vt:i4>5</vt:i4>
      </vt:variant>
      <vt:variant>
        <vt:lpwstr>https://www.transit.dot.gov/about/news/us-transportation-secretary-lahood-announces-125-million-improve-access-america%E2%80%99s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FUELS GRANT PROGRAM</dc:title>
  <dc:subject/>
  <dc:creator>sledgek</dc:creator>
  <cp:keywords/>
  <cp:lastModifiedBy>Swain, Tia (FTA)</cp:lastModifiedBy>
  <cp:revision>2</cp:revision>
  <cp:lastPrinted>2015-03-27T17:32:00Z</cp:lastPrinted>
  <dcterms:created xsi:type="dcterms:W3CDTF">2021-12-28T14:49:00Z</dcterms:created>
  <dcterms:modified xsi:type="dcterms:W3CDTF">2021-12-28T14:49:00Z</dcterms:modified>
</cp:coreProperties>
</file>