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122DD" w:rsidP="002122DD" w:rsidRDefault="002122DD" w14:paraId="7CC518A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2122DD" w:rsidP="002122DD" w:rsidRDefault="002122DD" w14:paraId="304F107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2122DD" w:rsidP="002122DD" w:rsidRDefault="002122DD" w14:paraId="64366FD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18"/>
        </w:rPr>
      </w:pPr>
      <w:r>
        <w:rPr>
          <w:rFonts w:ascii="Helvetica" w:hAnsi="Helvetica"/>
          <w:b/>
          <w:sz w:val="18"/>
        </w:rPr>
        <w:t xml:space="preserve">A. </w:t>
      </w:r>
      <w:r>
        <w:rPr>
          <w:rFonts w:ascii="Helvetica" w:hAnsi="Helvetica"/>
          <w:b/>
          <w:sz w:val="18"/>
        </w:rPr>
        <w:tab/>
        <w:t>Justi</w:t>
      </w:r>
      <w:r>
        <w:rPr>
          <w:rFonts w:ascii="Helvetica" w:hAnsi="Helvetica"/>
          <w:b/>
          <w:color w:val="000000"/>
          <w:sz w:val="18"/>
        </w:rPr>
        <w:t>fication</w:t>
      </w:r>
    </w:p>
    <w:p w:rsidR="002122DD" w:rsidP="002122DD" w:rsidRDefault="002122DD" w14:paraId="176CFB6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18"/>
        </w:rPr>
      </w:pPr>
    </w:p>
    <w:p w:rsidRPr="009F43D5" w:rsidR="002122DD" w:rsidP="002122DD" w:rsidRDefault="002122DD" w14:paraId="4AF43FCE" w14:textId="77777777">
      <w:pPr>
        <w:keepLines/>
        <w:tabs>
          <w:tab w:val="left" w:pos="360"/>
        </w:tabs>
        <w:spacing w:after="80"/>
        <w:ind w:left="360" w:hanging="360"/>
        <w:rPr>
          <w:b/>
          <w:bCs/>
          <w:color w:val="000000"/>
          <w:sz w:val="22"/>
        </w:rPr>
      </w:pPr>
      <w:r w:rsidRPr="009F43D5">
        <w:rPr>
          <w:b/>
          <w:bCs/>
          <w:color w:val="000000"/>
          <w:sz w:val="18"/>
        </w:rPr>
        <w:t>1.</w:t>
      </w:r>
      <w:r w:rsidRPr="009F43D5">
        <w:rPr>
          <w:b/>
          <w:bCs/>
          <w:color w:val="000000"/>
          <w:sz w:val="18"/>
        </w:rPr>
        <w:tab/>
      </w:r>
      <w:r w:rsidRPr="002278CF">
        <w:rPr>
          <w:b/>
          <w:bCs/>
          <w:color w:val="000000"/>
          <w:sz w:val="22"/>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122DD" w:rsidP="002122DD" w:rsidRDefault="002122DD" w14:paraId="1740A8F1" w14:textId="77777777">
      <w:pPr>
        <w:ind w:firstLine="720"/>
        <w:jc w:val="both"/>
        <w:rPr>
          <w:rFonts w:ascii="Segoe UI" w:hAnsi="Segoe UI" w:eastAsia="Segoe UI" w:cs="Segoe UI"/>
          <w:color w:val="000000" w:themeColor="text1"/>
          <w:sz w:val="22"/>
          <w:szCs w:val="22"/>
        </w:rPr>
      </w:pPr>
      <w:r w:rsidRPr="1B7DF241">
        <w:rPr>
          <w:color w:val="000000" w:themeColor="text1"/>
          <w:sz w:val="22"/>
          <w:szCs w:val="22"/>
        </w:rPr>
        <w:t>Problem and Importance</w:t>
      </w:r>
      <w:r w:rsidRPr="009F60B5">
        <w:rPr>
          <w:color w:val="000000" w:themeColor="text1"/>
          <w:sz w:val="22"/>
          <w:szCs w:val="22"/>
        </w:rPr>
        <w:t xml:space="preserve">: </w:t>
      </w:r>
      <w:r w:rsidRPr="009F60B5">
        <w:rPr>
          <w:sz w:val="22"/>
          <w:szCs w:val="22"/>
        </w:rPr>
        <w:t>Due to the ongoing pandemic, some PHAs, POAs, and families have expressed concern with allowing routine maintenance within</w:t>
      </w:r>
      <w:r w:rsidRPr="009F60B5" w:rsidDel="00104FD7">
        <w:rPr>
          <w:color w:val="000000" w:themeColor="text1"/>
          <w:sz w:val="22"/>
          <w:szCs w:val="22"/>
        </w:rPr>
        <w:t xml:space="preserve"> </w:t>
      </w:r>
      <w:r w:rsidRPr="009F60B5">
        <w:rPr>
          <w:color w:val="000000" w:themeColor="text1"/>
          <w:sz w:val="22"/>
          <w:szCs w:val="22"/>
        </w:rPr>
        <w:t xml:space="preserve">residential units due to the public health concerns of residents. Thus, HUD is </w:t>
      </w:r>
      <w:r w:rsidRPr="009F60B5">
        <w:rPr>
          <w:sz w:val="22"/>
          <w:szCs w:val="22"/>
        </w:rPr>
        <w:t>concerned that additional risks to health and safety may exist.</w:t>
      </w:r>
      <w:r w:rsidRPr="009F60B5">
        <w:t xml:space="preserve"> </w:t>
      </w:r>
      <w:r w:rsidRPr="009F60B5">
        <w:rPr>
          <w:color w:val="000000" w:themeColor="text1"/>
          <w:sz w:val="22"/>
          <w:szCs w:val="22"/>
        </w:rPr>
        <w:t xml:space="preserve">As an additional REAC inspection </w:t>
      </w:r>
      <w:r>
        <w:rPr>
          <w:color w:val="000000" w:themeColor="text1"/>
          <w:sz w:val="22"/>
          <w:szCs w:val="22"/>
        </w:rPr>
        <w:t>tool</w:t>
      </w:r>
      <w:r w:rsidRPr="009F60B5">
        <w:rPr>
          <w:rFonts w:ascii="Segoe UI" w:hAnsi="Segoe UI" w:eastAsia="Segoe UI" w:cs="Segoe UI"/>
          <w:color w:val="000000" w:themeColor="text1"/>
          <w:sz w:val="22"/>
          <w:szCs w:val="22"/>
        </w:rPr>
        <w:t xml:space="preserve">, </w:t>
      </w:r>
      <w:r w:rsidRPr="009F60B5">
        <w:rPr>
          <w:color w:val="000000" w:themeColor="text1"/>
          <w:sz w:val="22"/>
          <w:szCs w:val="22"/>
        </w:rPr>
        <w:t>RVI</w:t>
      </w:r>
      <w:r w:rsidRPr="009F60B5">
        <w:rPr>
          <w:rFonts w:ascii="Segoe UI" w:hAnsi="Segoe UI" w:eastAsia="Segoe UI" w:cs="Segoe UI"/>
          <w:color w:val="000000" w:themeColor="text1"/>
          <w:sz w:val="22"/>
          <w:szCs w:val="22"/>
        </w:rPr>
        <w:t xml:space="preserve"> </w:t>
      </w:r>
      <w:r w:rsidRPr="009F60B5">
        <w:rPr>
          <w:color w:val="000000" w:themeColor="text1"/>
          <w:sz w:val="22"/>
          <w:szCs w:val="22"/>
        </w:rPr>
        <w:t xml:space="preserve">is an innovative and critical </w:t>
      </w:r>
      <w:r>
        <w:rPr>
          <w:color w:val="000000" w:themeColor="text1"/>
          <w:sz w:val="22"/>
          <w:szCs w:val="22"/>
        </w:rPr>
        <w:t>protocol</w:t>
      </w:r>
      <w:r w:rsidRPr="009F60B5">
        <w:rPr>
          <w:rFonts w:ascii="Segoe UI" w:hAnsi="Segoe UI" w:eastAsia="Segoe UI" w:cs="Segoe UI"/>
          <w:color w:val="000000" w:themeColor="text1"/>
          <w:sz w:val="22"/>
          <w:szCs w:val="22"/>
        </w:rPr>
        <w:t xml:space="preserve"> </w:t>
      </w:r>
      <w:r w:rsidRPr="009F60B5">
        <w:rPr>
          <w:color w:val="000000" w:themeColor="text1"/>
          <w:sz w:val="22"/>
          <w:szCs w:val="22"/>
        </w:rPr>
        <w:t>to expand the Department’s capability while minimizing the risk to residents of assisted housing. The Department wishes to utilize all available tools to gain insight to the conditions of the units, and hence, ensure residents’ safety. REAC has conducted nine RVIs using new RVI protocols. To expeditiously address the health and safety of residents, we are requesting an emergency clearance for the RVI</w:t>
      </w:r>
      <w:r w:rsidRPr="009F60B5">
        <w:rPr>
          <w:rFonts w:ascii="Segoe UI" w:hAnsi="Segoe UI" w:eastAsia="Segoe UI" w:cs="Segoe UI"/>
          <w:color w:val="000000" w:themeColor="text1"/>
          <w:sz w:val="22"/>
          <w:szCs w:val="22"/>
        </w:rPr>
        <w:t>.</w:t>
      </w:r>
    </w:p>
    <w:p w:rsidR="002122DD" w:rsidP="002122DD" w:rsidRDefault="002122DD" w14:paraId="269DD6A1" w14:textId="77777777">
      <w:pPr>
        <w:ind w:firstLine="720"/>
        <w:jc w:val="both"/>
        <w:rPr>
          <w:color w:val="000000" w:themeColor="text1"/>
          <w:sz w:val="22"/>
          <w:szCs w:val="22"/>
        </w:rPr>
      </w:pPr>
    </w:p>
    <w:p w:rsidR="002122DD" w:rsidP="002122DD" w:rsidRDefault="002122DD" w14:paraId="103FB75B" w14:textId="77777777">
      <w:pPr>
        <w:ind w:firstLine="720"/>
        <w:jc w:val="both"/>
        <w:rPr>
          <w:color w:val="000000" w:themeColor="text1"/>
          <w:sz w:val="22"/>
          <w:szCs w:val="22"/>
        </w:rPr>
      </w:pPr>
      <w:r w:rsidRPr="0546250E">
        <w:rPr>
          <w:color w:val="000000" w:themeColor="text1"/>
          <w:sz w:val="22"/>
          <w:szCs w:val="22"/>
        </w:rPr>
        <w:t>Additionally, the post-COVID environment will pose unique challenges that could continue to hinder normal operations on-site. Several high-risk properties to be inspected are still struggling with high local rates of COVID transmission. With ongoing concerns regarding COVID-19 transmission and potential future spikes in local rates and newer variants, HUD is concerned that some tenants are uncomfortable with inspections of their units. Accordingly, there will be instances where residents, inspectors and property personnel may not feel safe with an in-person inspection.  RVI is one solution to that problem. Moreover, existence of life-threatening defects inside units may not be detected without an inspection, which may lead to putting the safety and health of the residents at risk and increase the Department risk of unhabitable housing. Thus, the Department aims to minimize risk to the residents’ health and safety when other unit inspection options may be unavailable by i</w:t>
      </w:r>
      <w:r w:rsidRPr="0546250E">
        <w:rPr>
          <w:color w:val="333333"/>
          <w:sz w:val="22"/>
          <w:szCs w:val="22"/>
        </w:rPr>
        <w:t>nitiating</w:t>
      </w:r>
      <w:r w:rsidRPr="0546250E">
        <w:rPr>
          <w:color w:val="000000" w:themeColor="text1"/>
          <w:sz w:val="22"/>
          <w:szCs w:val="22"/>
        </w:rPr>
        <w:t xml:space="preserve"> RVI as an alternative and additional venue. </w:t>
      </w:r>
    </w:p>
    <w:p w:rsidRPr="007077F2" w:rsidR="002122DD" w:rsidP="002122DD" w:rsidRDefault="002122DD" w14:paraId="7769E1DE" w14:textId="77777777">
      <w:pPr>
        <w:tabs>
          <w:tab w:val="left" w:pos="360"/>
        </w:tabs>
        <w:spacing w:after="80"/>
        <w:rPr>
          <w:color w:val="000000" w:themeColor="text1"/>
          <w:sz w:val="24"/>
          <w:szCs w:val="24"/>
        </w:rPr>
      </w:pPr>
      <w:r w:rsidRPr="5306CE21">
        <w:rPr>
          <w:color w:val="000000" w:themeColor="text1"/>
          <w:sz w:val="22"/>
          <w:szCs w:val="22"/>
        </w:rPr>
        <w:t xml:space="preserve"> </w:t>
      </w:r>
    </w:p>
    <w:p w:rsidRPr="00482CEC" w:rsidR="002122DD" w:rsidP="002122DD" w:rsidRDefault="002122DD" w14:paraId="340AEA40" w14:textId="77777777">
      <w:pPr>
        <w:tabs>
          <w:tab w:val="left" w:pos="360"/>
        </w:tabs>
        <w:spacing w:after="80"/>
        <w:ind w:left="360"/>
        <w:rPr>
          <w:sz w:val="22"/>
          <w:szCs w:val="22"/>
        </w:rPr>
      </w:pPr>
      <w:r w:rsidRPr="00482CEC">
        <w:rPr>
          <w:color w:val="000000" w:themeColor="text1"/>
          <w:sz w:val="22"/>
          <w:szCs w:val="22"/>
        </w:rPr>
        <w:t xml:space="preserve">[See attachment </w:t>
      </w:r>
      <w:r w:rsidRPr="00EC2840">
        <w:rPr>
          <w:color w:val="000000" w:themeColor="text1"/>
          <w:sz w:val="22"/>
          <w:szCs w:val="22"/>
        </w:rPr>
        <w:t xml:space="preserve">of </w:t>
      </w:r>
      <w:r w:rsidRPr="00482CEC">
        <w:rPr>
          <w:rStyle w:val="normaltextrun"/>
          <w:color w:val="000000"/>
          <w:sz w:val="22"/>
          <w:szCs w:val="22"/>
          <w:shd w:val="clear" w:color="auto" w:fill="FFFFFF"/>
        </w:rPr>
        <w:t>the authorities: The Public Housing Act requirements in the Proposed Rule of the Economic Growth Regulatory Relief and Consumer Protection Act: Implementation of National Standards for the Physical Inspection of Real Estate (NSPIRE)</w:t>
      </w:r>
      <w:r>
        <w:rPr>
          <w:rStyle w:val="normaltextrun"/>
          <w:color w:val="000000"/>
          <w:sz w:val="22"/>
          <w:szCs w:val="22"/>
          <w:shd w:val="clear" w:color="auto" w:fill="FFFFFF"/>
        </w:rPr>
        <w:t xml:space="preserve">, </w:t>
      </w:r>
      <w:r w:rsidRPr="005F05B7">
        <w:rPr>
          <w:rStyle w:val="normaltextrun"/>
          <w:color w:val="000000"/>
          <w:sz w:val="22"/>
          <w:szCs w:val="22"/>
          <w:shd w:val="clear" w:color="auto" w:fill="FFFFFF"/>
        </w:rPr>
        <w:t>86 FR 2582 (Jan. 13, 2021</w:t>
      </w:r>
      <w:r>
        <w:rPr>
          <w:rStyle w:val="normaltextrun"/>
          <w:color w:val="000000"/>
          <w:sz w:val="22"/>
          <w:szCs w:val="22"/>
          <w:shd w:val="clear" w:color="auto" w:fill="FFFFFF"/>
        </w:rPr>
        <w:t>)</w:t>
      </w:r>
      <w:r w:rsidRPr="00482CEC">
        <w:rPr>
          <w:rStyle w:val="normaltextrun"/>
          <w:color w:val="000000"/>
          <w:sz w:val="22"/>
          <w:szCs w:val="22"/>
          <w:shd w:val="clear" w:color="auto" w:fill="FFFFFF"/>
        </w:rPr>
        <w:t>; the Notice of Demonstration to Assess the National Standards for the Physical Inspection of Real Estate and Associated Protocols, 84 FR 43536 (August 21, 2019); 24 CFR 203.673; 24 CFR 200.855, 200.857 and 902.13.</w:t>
      </w:r>
      <w:r w:rsidRPr="00482CEC">
        <w:rPr>
          <w:color w:val="000000"/>
          <w:sz w:val="22"/>
          <w:szCs w:val="22"/>
        </w:rPr>
        <w:t xml:space="preserve">; </w:t>
      </w:r>
      <w:r w:rsidRPr="00482CEC">
        <w:rPr>
          <w:rFonts w:eastAsia="Calibri"/>
          <w:sz w:val="22"/>
          <w:szCs w:val="22"/>
        </w:rPr>
        <w:t>United States Housing Act of 1937 (42 U.S.C. 1437, et seq.), and in the Cranston-Gonzalez National Affordable Housing Act (42 U.S.C. 12701, et seq.). Subpart G of 24 CFR Part 5; The Debt Collection Improvement Act of 1996 (31 U.S.C. 7701(c)); 24 CFR Part 902, as amended. 24 CFR 200 subpart P.]</w:t>
      </w:r>
    </w:p>
    <w:p w:rsidR="002122DD" w:rsidP="002122DD" w:rsidRDefault="002122DD" w14:paraId="21C9629B" w14:textId="77777777">
      <w:pPr>
        <w:tabs>
          <w:tab w:val="left" w:pos="360"/>
        </w:tabs>
        <w:spacing w:after="80"/>
        <w:ind w:left="360"/>
        <w:rPr>
          <w:color w:val="000000" w:themeColor="text1"/>
          <w:sz w:val="22"/>
          <w:szCs w:val="22"/>
        </w:rPr>
      </w:pPr>
    </w:p>
    <w:p w:rsidR="002122DD" w:rsidP="002122DD" w:rsidRDefault="002122DD" w14:paraId="45D8A77B" w14:textId="77777777">
      <w:pPr>
        <w:tabs>
          <w:tab w:val="left" w:pos="360"/>
        </w:tabs>
        <w:rPr>
          <w:color w:val="000000"/>
          <w:sz w:val="18"/>
        </w:rPr>
      </w:pPr>
    </w:p>
    <w:p w:rsidRPr="009F43D5" w:rsidR="002122DD" w:rsidP="002122DD" w:rsidRDefault="002122DD" w14:paraId="239DE4FD" w14:textId="77777777">
      <w:pPr>
        <w:keepLines/>
        <w:tabs>
          <w:tab w:val="left" w:pos="360"/>
        </w:tabs>
        <w:spacing w:after="80"/>
        <w:ind w:left="360" w:hanging="360"/>
        <w:rPr>
          <w:b/>
          <w:bCs/>
          <w:color w:val="000000"/>
          <w:sz w:val="18"/>
        </w:rPr>
      </w:pPr>
      <w:r w:rsidRPr="00710188">
        <w:rPr>
          <w:b/>
          <w:bCs/>
          <w:color w:val="000000"/>
          <w:sz w:val="18"/>
        </w:rPr>
        <w:t>2.</w:t>
      </w:r>
      <w:r w:rsidRPr="00710188">
        <w:rPr>
          <w:b/>
          <w:bCs/>
          <w:color w:val="000000"/>
          <w:sz w:val="18"/>
        </w:rPr>
        <w:tab/>
      </w:r>
      <w:r w:rsidRPr="00710188">
        <w:rPr>
          <w:b/>
          <w:bCs/>
          <w:color w:val="000000"/>
          <w:sz w:val="22"/>
        </w:rPr>
        <w:t>Indicate how, by whom, and for what purpose the information is to be used. Except for a new collection, indicate the actual use the agency has made of the information received from the current collection.</w:t>
      </w:r>
    </w:p>
    <w:p w:rsidR="002122DD" w:rsidP="002122DD" w:rsidRDefault="002122DD" w14:paraId="7B668670" w14:textId="77777777">
      <w:pPr>
        <w:keepLines/>
        <w:tabs>
          <w:tab w:val="left" w:pos="360"/>
        </w:tabs>
        <w:spacing w:after="80"/>
        <w:ind w:left="360"/>
        <w:rPr>
          <w:color w:val="000000"/>
          <w:sz w:val="22"/>
          <w:szCs w:val="22"/>
        </w:rPr>
      </w:pPr>
    </w:p>
    <w:p w:rsidRPr="007077F2" w:rsidR="002122DD" w:rsidP="002122DD" w:rsidRDefault="002122DD" w14:paraId="2740704C" w14:textId="77777777">
      <w:pPr>
        <w:ind w:firstLine="360"/>
        <w:rPr>
          <w:sz w:val="22"/>
          <w:szCs w:val="22"/>
        </w:rPr>
      </w:pPr>
      <w:r w:rsidRPr="0546250E">
        <w:rPr>
          <w:sz w:val="22"/>
          <w:szCs w:val="22"/>
        </w:rPr>
        <w:t xml:space="preserve">Addressing the Problem: An RVI is a physical property inspection approach that can substantially reduce the risks posed by COVID-19 as HUD/REAC returns to operations. RVIs give PHAs and POAs an alternative method to virtualize the annual REAC inspection requirement due to the challenges posed by COVID. The RVI process does not change the current Public Housing inspection requirements. The RVI information collection will inform HUD </w:t>
      </w:r>
      <w:proofErr w:type="gramStart"/>
      <w:r w:rsidRPr="0546250E">
        <w:rPr>
          <w:sz w:val="22"/>
          <w:szCs w:val="22"/>
        </w:rPr>
        <w:t>of:</w:t>
      </w:r>
      <w:proofErr w:type="gramEnd"/>
      <w:r w:rsidRPr="0546250E">
        <w:rPr>
          <w:sz w:val="22"/>
          <w:szCs w:val="22"/>
        </w:rPr>
        <w:t xml:space="preserve"> the type of Proxy (i.e., the operator of the camera on-site) and their potential involvement in an RVI; the appropriate technology and equipment that are available, and to </w:t>
      </w:r>
      <w:r w:rsidRPr="0546250E">
        <w:rPr>
          <w:sz w:val="22"/>
          <w:szCs w:val="22"/>
        </w:rPr>
        <w:lastRenderedPageBreak/>
        <w:t xml:space="preserve">certify the RVI results provided by the Proxy. Residents will be involved on a voluntary, case-by-case, and as-needed basis to serve as a Proxy for inspection of their individual unit. </w:t>
      </w:r>
    </w:p>
    <w:p w:rsidR="002122DD" w:rsidP="002122DD" w:rsidRDefault="002122DD" w14:paraId="6E20E5F4" w14:textId="77777777">
      <w:pPr>
        <w:rPr>
          <w:sz w:val="22"/>
          <w:szCs w:val="22"/>
        </w:rPr>
      </w:pPr>
    </w:p>
    <w:p w:rsidR="002122DD" w:rsidP="002122DD" w:rsidRDefault="002122DD" w14:paraId="7F22B361" w14:textId="77777777">
      <w:pPr>
        <w:ind w:firstLine="720"/>
      </w:pPr>
      <w:r w:rsidRPr="5306CE21">
        <w:rPr>
          <w:sz w:val="22"/>
          <w:szCs w:val="22"/>
        </w:rPr>
        <w:t>Necessary Data: HUD</w:t>
      </w:r>
      <w:r>
        <w:rPr>
          <w:sz w:val="22"/>
          <w:szCs w:val="22"/>
        </w:rPr>
        <w:t>/</w:t>
      </w:r>
      <w:r w:rsidRPr="5306CE21">
        <w:rPr>
          <w:sz w:val="22"/>
          <w:szCs w:val="22"/>
        </w:rPr>
        <w:t xml:space="preserve">REAC seeks to use the collected information for scheduling and implementing RVIs based on Public Housing Authority’s (PHA’s), Property Owner Agent’s (POA’s), and their residents’ RVI readiness including having access to items such as smart devices with </w:t>
      </w:r>
      <w:r w:rsidRPr="0A04E740">
        <w:rPr>
          <w:sz w:val="22"/>
          <w:szCs w:val="22"/>
        </w:rPr>
        <w:t>rear</w:t>
      </w:r>
      <w:r w:rsidRPr="5306CE21">
        <w:rPr>
          <w:sz w:val="22"/>
          <w:szCs w:val="22"/>
        </w:rPr>
        <w:t xml:space="preserve"> and front cameras, internet access and affordable wireless plans that can accommodate an RVI. The pre-inspection information collection checklist is comprised of POA’s and PHA’s access to RVI technologies, internet, staff who will serve as the proxy (i.e., operator of the RVI technology and equipment on-site). The post-RVI survey of Proxies (i.e., Operators of the RVI technology on-site) is comprised of items about the performance of the RVI. RVIs allow HUD/REAC the ability to respond to the challenges posed by the unforeseen </w:t>
      </w:r>
      <w:r>
        <w:rPr>
          <w:sz w:val="22"/>
          <w:szCs w:val="22"/>
        </w:rPr>
        <w:t xml:space="preserve">national emergencies such as the </w:t>
      </w:r>
      <w:r w:rsidRPr="5306CE21">
        <w:rPr>
          <w:sz w:val="22"/>
          <w:szCs w:val="22"/>
        </w:rPr>
        <w:t xml:space="preserve">COVID-19 pandemic and </w:t>
      </w:r>
      <w:r>
        <w:rPr>
          <w:sz w:val="22"/>
          <w:szCs w:val="22"/>
        </w:rPr>
        <w:t xml:space="preserve">substantially </w:t>
      </w:r>
      <w:r w:rsidRPr="5306CE21">
        <w:rPr>
          <w:sz w:val="22"/>
          <w:szCs w:val="22"/>
        </w:rPr>
        <w:t xml:space="preserve">contribute to reduced exposure to residents, inspectors, and property personnel relative to conducting an in-onsite, physical property inspection.  </w:t>
      </w:r>
    </w:p>
    <w:p w:rsidR="002122DD" w:rsidP="002122DD" w:rsidRDefault="002122DD" w14:paraId="7148863F" w14:textId="77777777">
      <w:pPr>
        <w:rPr>
          <w:sz w:val="22"/>
          <w:szCs w:val="22"/>
        </w:rPr>
      </w:pPr>
    </w:p>
    <w:p w:rsidRPr="007077F2" w:rsidR="002122DD" w:rsidP="002122DD" w:rsidRDefault="002122DD" w14:paraId="06532264" w14:textId="77777777">
      <w:pPr>
        <w:ind w:firstLine="720"/>
        <w:rPr>
          <w:sz w:val="22"/>
          <w:szCs w:val="22"/>
        </w:rPr>
      </w:pPr>
      <w:r w:rsidRPr="1B7DF241">
        <w:rPr>
          <w:sz w:val="22"/>
          <w:szCs w:val="22"/>
        </w:rPr>
        <w:t xml:space="preserve">Methods: The pre-RVI checklist will be conducted over the phone in a separate call between the PHA, POA, and the REAC inspector. The pre-inspection survey of residents and post-inspection survey of Proxies will be completely managed and transmitted to HUD by the PHA and POA. </w:t>
      </w:r>
      <w:r>
        <w:rPr>
          <w:sz w:val="22"/>
          <w:szCs w:val="22"/>
        </w:rPr>
        <w:t xml:space="preserve">The PHA and POA will transmit the survey responses in MS Excel to the </w:t>
      </w:r>
      <w:hyperlink w:history="1" r:id="rId5">
        <w:r w:rsidRPr="004F15DF">
          <w:rPr>
            <w:rStyle w:val="Hyperlink"/>
            <w:sz w:val="22"/>
            <w:szCs w:val="22"/>
          </w:rPr>
          <w:t>RVI@hud.gov</w:t>
        </w:r>
      </w:hyperlink>
      <w:r>
        <w:rPr>
          <w:sz w:val="22"/>
          <w:szCs w:val="22"/>
        </w:rPr>
        <w:t xml:space="preserve"> email box. The de-identified survey responses will be stored in a secure SharePoint sit</w:t>
      </w:r>
      <w:r w:rsidRPr="003307D6">
        <w:rPr>
          <w:sz w:val="22"/>
          <w:szCs w:val="22"/>
        </w:rPr>
        <w:t>e</w:t>
      </w:r>
      <w:r w:rsidRPr="007077F2">
        <w:rPr>
          <w:color w:val="FF0000"/>
          <w:sz w:val="22"/>
          <w:szCs w:val="22"/>
        </w:rPr>
        <w:t>.</w:t>
      </w:r>
    </w:p>
    <w:p w:rsidR="002122DD" w:rsidP="002122DD" w:rsidRDefault="002122DD" w14:paraId="3E5B016A" w14:textId="77777777">
      <w:pPr>
        <w:ind w:firstLine="720"/>
        <w:rPr>
          <w:sz w:val="22"/>
          <w:szCs w:val="22"/>
        </w:rPr>
      </w:pPr>
      <w:r w:rsidRPr="5306CE21">
        <w:rPr>
          <w:sz w:val="22"/>
          <w:szCs w:val="22"/>
        </w:rPr>
        <w:t>The information will allow HUD to quickly identify eligible and willing participants for HUD’s flexible RVIs. HUD expects to conduct RVIs predominately with maintenance staff which will not require a survey</w:t>
      </w:r>
      <w:r>
        <w:rPr>
          <w:sz w:val="22"/>
          <w:szCs w:val="22"/>
        </w:rPr>
        <w:t xml:space="preserve"> of maintenance after the COVID pandemic is over</w:t>
      </w:r>
      <w:r w:rsidRPr="5306CE21">
        <w:rPr>
          <w:sz w:val="22"/>
          <w:szCs w:val="22"/>
        </w:rPr>
        <w:t xml:space="preserve">. </w:t>
      </w:r>
      <w:r>
        <w:rPr>
          <w:sz w:val="22"/>
          <w:szCs w:val="22"/>
        </w:rPr>
        <w:t>Currently, t</w:t>
      </w:r>
      <w:r w:rsidRPr="5306CE21">
        <w:rPr>
          <w:sz w:val="22"/>
          <w:szCs w:val="22"/>
        </w:rPr>
        <w:t xml:space="preserve">he survey is needed to ascertain residents’ preference for participating in an RVI during COVID-19 under this emergency PRA. The survey data informs a backup option to ensure HUD can consult with residents in the instance an RVI is needed and the resident needs to be involved due to special circumstances (e.g., health and safety issues due to the pandemic).  </w:t>
      </w:r>
    </w:p>
    <w:p w:rsidR="002122DD" w:rsidP="002122DD" w:rsidRDefault="002122DD" w14:paraId="445203FE" w14:textId="77777777">
      <w:pPr>
        <w:rPr>
          <w:sz w:val="22"/>
          <w:szCs w:val="22"/>
        </w:rPr>
      </w:pPr>
    </w:p>
    <w:p w:rsidR="002122DD" w:rsidP="002122DD" w:rsidRDefault="002122DD" w14:paraId="197001DD" w14:textId="77777777">
      <w:pPr>
        <w:ind w:firstLine="720"/>
      </w:pPr>
      <w:r w:rsidRPr="0546250E">
        <w:rPr>
          <w:sz w:val="22"/>
          <w:szCs w:val="22"/>
        </w:rPr>
        <w:t xml:space="preserve">Sampling: Immediately, REAC needs to conduct </w:t>
      </w:r>
      <w:r>
        <w:rPr>
          <w:sz w:val="22"/>
          <w:szCs w:val="22"/>
        </w:rPr>
        <w:t>additional</w:t>
      </w:r>
      <w:r w:rsidRPr="0546250E">
        <w:rPr>
          <w:sz w:val="22"/>
          <w:szCs w:val="22"/>
        </w:rPr>
        <w:t xml:space="preserve"> inspections using the RVI approach to meet part of the 40 or more necessary to test and evaluate RVI protocols. The checklist will be sampled from MF and PH properties who are due for a REAC annual inspection. Subsequently, the survey of residents will be a census of HUD-assisted Head-of-Households (</w:t>
      </w:r>
      <w:proofErr w:type="spellStart"/>
      <w:r w:rsidRPr="0546250E">
        <w:rPr>
          <w:sz w:val="22"/>
          <w:szCs w:val="22"/>
        </w:rPr>
        <w:t>HoHs</w:t>
      </w:r>
      <w:proofErr w:type="spellEnd"/>
      <w:r w:rsidRPr="0546250E">
        <w:rPr>
          <w:sz w:val="22"/>
          <w:szCs w:val="22"/>
        </w:rPr>
        <w:t>) where it is determined that due to the pandemic that residents will be needed to assist in the inspection to ensure the safety of all participants. The sample of proxies will be based on the sample of the units.</w:t>
      </w:r>
    </w:p>
    <w:p w:rsidR="002122DD" w:rsidP="002122DD" w:rsidRDefault="002122DD" w14:paraId="790445E9" w14:textId="77777777">
      <w:pPr>
        <w:rPr>
          <w:sz w:val="22"/>
          <w:szCs w:val="22"/>
        </w:rPr>
      </w:pPr>
    </w:p>
    <w:p w:rsidRPr="007077F2" w:rsidR="002122DD" w:rsidP="002122DD" w:rsidRDefault="002122DD" w14:paraId="33FAF88D" w14:textId="77777777">
      <w:pPr>
        <w:ind w:firstLine="720"/>
        <w:rPr>
          <w:sz w:val="22"/>
          <w:szCs w:val="22"/>
        </w:rPr>
      </w:pPr>
      <w:r w:rsidRPr="5306CE21">
        <w:rPr>
          <w:sz w:val="22"/>
          <w:szCs w:val="22"/>
        </w:rPr>
        <w:t>Survey Management and Dissemination:</w:t>
      </w:r>
      <w:r>
        <w:rPr>
          <w:sz w:val="22"/>
          <w:szCs w:val="22"/>
        </w:rPr>
        <w:t xml:space="preserve"> </w:t>
      </w:r>
      <w:r w:rsidRPr="5306CE21">
        <w:rPr>
          <w:sz w:val="22"/>
          <w:szCs w:val="22"/>
        </w:rPr>
        <w:t>The results of the RVI surveys will be transmitted to HUD via email by the PHA or POA and will be uploaded to the secure RVI SharePoint site managed by REAC. This data management approach is needed because HUD does not have the authority to collect residents’ email and or phone numbers.</w:t>
      </w:r>
      <w:r>
        <w:rPr>
          <w:sz w:val="22"/>
          <w:szCs w:val="22"/>
        </w:rPr>
        <w:t xml:space="preserve"> </w:t>
      </w:r>
      <w:r w:rsidRPr="5306CE21">
        <w:rPr>
          <w:sz w:val="22"/>
          <w:szCs w:val="22"/>
        </w:rPr>
        <w:t xml:space="preserve">All data collection requests are de-identified. </w:t>
      </w:r>
      <w:r>
        <w:rPr>
          <w:sz w:val="22"/>
          <w:szCs w:val="22"/>
        </w:rPr>
        <w:t xml:space="preserve">REAC will request that </w:t>
      </w:r>
      <w:r w:rsidRPr="5306CE21">
        <w:rPr>
          <w:sz w:val="22"/>
          <w:szCs w:val="22"/>
        </w:rPr>
        <w:t>PHAs and POAs commit to meeting HUD’s Office of the Chief Information Officer’s standards of data security and privacy</w:t>
      </w:r>
      <w:r>
        <w:rPr>
          <w:sz w:val="22"/>
          <w:szCs w:val="22"/>
        </w:rPr>
        <w:t xml:space="preserve"> when completing and transmitting the surveys to prevent spillage of Personally Identifiable Information (PII)</w:t>
      </w:r>
      <w:r w:rsidRPr="5306CE21">
        <w:rPr>
          <w:sz w:val="22"/>
          <w:szCs w:val="22"/>
        </w:rPr>
        <w:t xml:space="preserve">. </w:t>
      </w:r>
    </w:p>
    <w:p w:rsidR="002122DD" w:rsidP="002122DD" w:rsidRDefault="002122DD" w14:paraId="3E1E0B45" w14:textId="77777777">
      <w:r w:rsidRPr="5306CE21">
        <w:rPr>
          <w:sz w:val="22"/>
          <w:szCs w:val="22"/>
        </w:rPr>
        <w:t xml:space="preserve">  </w:t>
      </w:r>
    </w:p>
    <w:p w:rsidR="002122DD" w:rsidP="002122DD" w:rsidRDefault="002122DD" w14:paraId="21A32BF0" w14:textId="77777777">
      <w:pPr>
        <w:ind w:firstLine="720"/>
      </w:pPr>
      <w:r w:rsidRPr="5306CE21">
        <w:rPr>
          <w:sz w:val="22"/>
          <w:szCs w:val="22"/>
        </w:rPr>
        <w:t xml:space="preserve">Data Security and Privacy: All RVI checklist and survey data will be stored </w:t>
      </w:r>
      <w:r>
        <w:rPr>
          <w:sz w:val="22"/>
          <w:szCs w:val="22"/>
        </w:rPr>
        <w:t xml:space="preserve">in HUD’s </w:t>
      </w:r>
      <w:r w:rsidRPr="5306CE21">
        <w:rPr>
          <w:sz w:val="22"/>
          <w:szCs w:val="22"/>
        </w:rPr>
        <w:t>secure</w:t>
      </w:r>
      <w:r>
        <w:rPr>
          <w:sz w:val="22"/>
          <w:szCs w:val="22"/>
        </w:rPr>
        <w:t xml:space="preserve"> MS 365 secure systems and the</w:t>
      </w:r>
      <w:r w:rsidRPr="5306CE21">
        <w:rPr>
          <w:sz w:val="22"/>
          <w:szCs w:val="22"/>
        </w:rPr>
        <w:t xml:space="preserve"> RVI SharePoint site with restricted access to select HUD staff. </w:t>
      </w:r>
      <w:r>
        <w:rPr>
          <w:sz w:val="22"/>
          <w:szCs w:val="22"/>
        </w:rPr>
        <w:t xml:space="preserve"> </w:t>
      </w:r>
      <w:r w:rsidRPr="5306CE21">
        <w:rPr>
          <w:sz w:val="22"/>
          <w:szCs w:val="22"/>
        </w:rPr>
        <w:t>Logistics will be handled by select</w:t>
      </w:r>
      <w:r>
        <w:rPr>
          <w:sz w:val="22"/>
          <w:szCs w:val="22"/>
        </w:rPr>
        <w:t xml:space="preserve"> </w:t>
      </w:r>
      <w:r w:rsidRPr="5306CE21">
        <w:rPr>
          <w:sz w:val="22"/>
          <w:szCs w:val="22"/>
        </w:rPr>
        <w:t>REAC staff</w:t>
      </w:r>
      <w:r>
        <w:rPr>
          <w:sz w:val="22"/>
          <w:szCs w:val="22"/>
        </w:rPr>
        <w:t xml:space="preserve"> trained and dedicated to the RVI project and operations</w:t>
      </w:r>
      <w:r w:rsidRPr="5306CE21">
        <w:rPr>
          <w:sz w:val="22"/>
          <w:szCs w:val="22"/>
        </w:rPr>
        <w:t xml:space="preserve">.  </w:t>
      </w:r>
    </w:p>
    <w:p w:rsidR="002122DD" w:rsidP="002122DD" w:rsidRDefault="002122DD" w14:paraId="0BD94FD0" w14:textId="77777777">
      <w:r w:rsidRPr="5306CE21">
        <w:rPr>
          <w:sz w:val="22"/>
          <w:szCs w:val="22"/>
        </w:rPr>
        <w:t xml:space="preserve"> </w:t>
      </w:r>
    </w:p>
    <w:p w:rsidR="002122DD" w:rsidP="002122DD" w:rsidRDefault="002122DD" w14:paraId="2AD785D4" w14:textId="77777777">
      <w:pPr>
        <w:ind w:firstLine="720"/>
      </w:pPr>
      <w:r w:rsidRPr="5306CE21">
        <w:rPr>
          <w:sz w:val="22"/>
          <w:szCs w:val="22"/>
        </w:rPr>
        <w:t xml:space="preserve">Analysis: The data about the checklist and survey responses will be aggregated to compute a sample of properties to be inspected from the Multifamily and Public Housing programs using the UPCS and NSPIRE inspection </w:t>
      </w:r>
      <w:r>
        <w:rPr>
          <w:sz w:val="22"/>
          <w:szCs w:val="22"/>
        </w:rPr>
        <w:t xml:space="preserve">RVI </w:t>
      </w:r>
      <w:r w:rsidRPr="5306CE21">
        <w:rPr>
          <w:sz w:val="22"/>
          <w:szCs w:val="22"/>
        </w:rPr>
        <w:t xml:space="preserve">protocols.  </w:t>
      </w:r>
    </w:p>
    <w:p w:rsidR="002122DD" w:rsidP="002122DD" w:rsidRDefault="002122DD" w14:paraId="2935D063" w14:textId="77777777">
      <w:r w:rsidRPr="5306CE21">
        <w:rPr>
          <w:sz w:val="22"/>
          <w:szCs w:val="22"/>
        </w:rPr>
        <w:t xml:space="preserve"> </w:t>
      </w:r>
    </w:p>
    <w:p w:rsidR="002122DD" w:rsidP="002122DD" w:rsidRDefault="002122DD" w14:paraId="10882C8D" w14:textId="77777777">
      <w:pPr>
        <w:ind w:firstLine="720"/>
      </w:pPr>
      <w:r w:rsidRPr="00F023D5">
        <w:rPr>
          <w:sz w:val="22"/>
          <w:szCs w:val="22"/>
        </w:rPr>
        <w:lastRenderedPageBreak/>
        <w:t>Risks and Mitigations: The risks in PHAs and POAs completing the checklist and conducting the survey of residents and Proxies may result in low response rates, residents' fear of retaliation</w:t>
      </w:r>
      <w:r w:rsidRPr="007077F2">
        <w:rPr>
          <w:sz w:val="22"/>
          <w:szCs w:val="22"/>
        </w:rPr>
        <w:t xml:space="preserve"> or lack of interest</w:t>
      </w:r>
      <w:r>
        <w:rPr>
          <w:sz w:val="22"/>
          <w:szCs w:val="22"/>
        </w:rPr>
        <w:t xml:space="preserve"> in</w:t>
      </w:r>
      <w:r w:rsidRPr="007077F2">
        <w:rPr>
          <w:sz w:val="22"/>
          <w:szCs w:val="22"/>
        </w:rPr>
        <w:t xml:space="preserve"> inspections</w:t>
      </w:r>
      <w:r w:rsidRPr="00F023D5">
        <w:rPr>
          <w:sz w:val="22"/>
          <w:szCs w:val="22"/>
        </w:rPr>
        <w:t>.</w:t>
      </w:r>
      <w:r w:rsidRPr="5306CE21">
        <w:rPr>
          <w:sz w:val="22"/>
          <w:szCs w:val="22"/>
        </w:rPr>
        <w:t xml:space="preserve"> HUD will address this by </w:t>
      </w:r>
      <w:r>
        <w:rPr>
          <w:sz w:val="22"/>
          <w:szCs w:val="22"/>
        </w:rPr>
        <w:t>encouraging all POAs and PHAs</w:t>
      </w:r>
      <w:r w:rsidRPr="5306CE21">
        <w:rPr>
          <w:sz w:val="22"/>
          <w:szCs w:val="22"/>
        </w:rPr>
        <w:t xml:space="preserve"> </w:t>
      </w:r>
      <w:r>
        <w:rPr>
          <w:sz w:val="22"/>
          <w:szCs w:val="22"/>
        </w:rPr>
        <w:t xml:space="preserve">to gather survey responses from </w:t>
      </w:r>
      <w:r w:rsidRPr="5306CE21">
        <w:rPr>
          <w:sz w:val="22"/>
          <w:szCs w:val="22"/>
        </w:rPr>
        <w:t>residents</w:t>
      </w:r>
      <w:r>
        <w:rPr>
          <w:sz w:val="22"/>
          <w:szCs w:val="22"/>
        </w:rPr>
        <w:t xml:space="preserve"> and Proxies</w:t>
      </w:r>
      <w:r w:rsidRPr="5306CE21">
        <w:rPr>
          <w:sz w:val="22"/>
          <w:szCs w:val="22"/>
        </w:rPr>
        <w:t xml:space="preserve"> </w:t>
      </w:r>
      <w:r>
        <w:rPr>
          <w:sz w:val="22"/>
          <w:szCs w:val="22"/>
        </w:rPr>
        <w:t>and send all responses in a batch email to RVI@hud.gov</w:t>
      </w:r>
      <w:r w:rsidRPr="5306CE21">
        <w:rPr>
          <w:sz w:val="22"/>
          <w:szCs w:val="22"/>
        </w:rPr>
        <w:t xml:space="preserve">.  </w:t>
      </w:r>
      <w:r>
        <w:rPr>
          <w:sz w:val="22"/>
          <w:szCs w:val="22"/>
        </w:rPr>
        <w:t>To mitigate this potential risk, HUD REAC will craft an invitation letter for the PHA and POA that highlights the necessary equipment, roles, and responsibilities of the Proxy in the RVI process and its benefits to the ensuring resident health and safety during the pandemic. The invitation will have infographics that provides a simple and inviting overview of the RVI equipment, roles, and responsibilities of the Proxy. The letter will be provided to the PHA and the POA at the time of scheduling the RVI.</w:t>
      </w:r>
    </w:p>
    <w:p w:rsidR="002122DD" w:rsidP="002122DD" w:rsidRDefault="002122DD" w14:paraId="5321D4BE" w14:textId="77777777">
      <w:r w:rsidRPr="5306CE21">
        <w:rPr>
          <w:sz w:val="22"/>
          <w:szCs w:val="22"/>
        </w:rPr>
        <w:t xml:space="preserve"> </w:t>
      </w:r>
    </w:p>
    <w:p w:rsidR="002122DD" w:rsidP="002122DD" w:rsidRDefault="002122DD" w14:paraId="53EB6DB7" w14:textId="77777777">
      <w:pPr>
        <w:ind w:firstLine="720"/>
      </w:pPr>
      <w:r w:rsidRPr="5306CE21">
        <w:rPr>
          <w:sz w:val="22"/>
          <w:szCs w:val="22"/>
        </w:rPr>
        <w:t xml:space="preserve">Limitations: The pre-inspection logistical checklist and survey of residents and Proxies are brief and may not fully capture the concerns of residents and Proxies. To address this limitation, </w:t>
      </w:r>
      <w:r>
        <w:rPr>
          <w:sz w:val="22"/>
          <w:szCs w:val="22"/>
        </w:rPr>
        <w:t>inspectors will capture notes about their interactions with the residents and Proxies to properly route issues.</w:t>
      </w:r>
    </w:p>
    <w:p w:rsidR="002122DD" w:rsidP="002122DD" w:rsidRDefault="002122DD" w14:paraId="09DCE684" w14:textId="77777777">
      <w:r w:rsidRPr="5306CE21">
        <w:rPr>
          <w:sz w:val="22"/>
          <w:szCs w:val="22"/>
        </w:rPr>
        <w:t xml:space="preserve"> </w:t>
      </w:r>
    </w:p>
    <w:p w:rsidR="002122DD" w:rsidP="002122DD" w:rsidRDefault="002122DD" w14:paraId="7A84120B" w14:textId="77777777">
      <w:pPr>
        <w:ind w:firstLine="720"/>
      </w:pPr>
      <w:r w:rsidRPr="5306CE21">
        <w:rPr>
          <w:sz w:val="22"/>
          <w:szCs w:val="22"/>
        </w:rPr>
        <w:t xml:space="preserve">Findings: The findings of the checklist and surveys will be used to determine site readiness for an RVI and will be used to plan for the RVI and improvement of RVIs over time. All findings will be used to direct HUD to determine which site and HOHs, if needed are good candidates for an RVI and how to improve the experience of the Proxy supporting RVIs. Results from the checklist and </w:t>
      </w:r>
      <w:r>
        <w:rPr>
          <w:sz w:val="22"/>
          <w:szCs w:val="22"/>
        </w:rPr>
        <w:t xml:space="preserve">resident </w:t>
      </w:r>
      <w:r w:rsidRPr="5306CE21">
        <w:rPr>
          <w:sz w:val="22"/>
          <w:szCs w:val="22"/>
        </w:rPr>
        <w:t xml:space="preserve">survey will be used on the day of the REAC inspection.  </w:t>
      </w:r>
    </w:p>
    <w:p w:rsidR="002122DD" w:rsidP="002122DD" w:rsidRDefault="002122DD" w14:paraId="37B523C3" w14:textId="77777777">
      <w:r w:rsidRPr="5306CE21">
        <w:rPr>
          <w:sz w:val="22"/>
          <w:szCs w:val="22"/>
        </w:rPr>
        <w:t xml:space="preserve"> </w:t>
      </w:r>
    </w:p>
    <w:p w:rsidR="002122DD" w:rsidP="002122DD" w:rsidRDefault="002122DD" w14:paraId="3B29BBBE" w14:textId="77777777">
      <w:pPr>
        <w:ind w:firstLine="720"/>
      </w:pPr>
      <w:r w:rsidRPr="5306CE21">
        <w:rPr>
          <w:sz w:val="22"/>
          <w:szCs w:val="22"/>
        </w:rPr>
        <w:t>Conclusions: HUD will be able to determine the readiness of PHAs, POAs, Proxies, and residents’ willingness and ability to participate in assessing the conditions of HUD-assisted housing</w:t>
      </w:r>
      <w:r>
        <w:rPr>
          <w:sz w:val="22"/>
          <w:szCs w:val="22"/>
        </w:rPr>
        <w:t xml:space="preserve"> using the RVI protocols</w:t>
      </w:r>
      <w:r w:rsidRPr="5306CE21">
        <w:rPr>
          <w:sz w:val="22"/>
          <w:szCs w:val="22"/>
        </w:rPr>
        <w:t xml:space="preserve">.  </w:t>
      </w:r>
    </w:p>
    <w:p w:rsidR="002122DD" w:rsidP="002122DD" w:rsidRDefault="002122DD" w14:paraId="4B1441F0" w14:textId="77777777">
      <w:r w:rsidRPr="5306CE21">
        <w:rPr>
          <w:sz w:val="22"/>
          <w:szCs w:val="22"/>
        </w:rPr>
        <w:t xml:space="preserve"> </w:t>
      </w:r>
    </w:p>
    <w:p w:rsidR="002122DD" w:rsidP="002122DD" w:rsidRDefault="002122DD" w14:paraId="63326CD3" w14:textId="77777777">
      <w:pPr>
        <w:ind w:firstLine="720"/>
      </w:pPr>
      <w:r w:rsidRPr="5306CE21">
        <w:rPr>
          <w:sz w:val="22"/>
          <w:szCs w:val="22"/>
        </w:rPr>
        <w:t xml:space="preserve">Recommendations: The findings will be used to help improve the living conditions for residents who participate in HUD’s multifamily and public housing programs, during the COVID-19 pandemic.  </w:t>
      </w:r>
      <w:r>
        <w:rPr>
          <w:sz w:val="22"/>
          <w:szCs w:val="22"/>
        </w:rPr>
        <w:t>Recommendations will also be used to operationalize RVIs into the inspection programs administered by REAC.</w:t>
      </w:r>
    </w:p>
    <w:p w:rsidR="002122DD" w:rsidP="002122DD" w:rsidRDefault="002122DD" w14:paraId="2085D649" w14:textId="77777777">
      <w:r w:rsidRPr="5306CE21">
        <w:rPr>
          <w:sz w:val="22"/>
          <w:szCs w:val="22"/>
        </w:rPr>
        <w:t xml:space="preserve"> </w:t>
      </w:r>
    </w:p>
    <w:p w:rsidR="002122DD" w:rsidP="002122DD" w:rsidRDefault="002122DD" w14:paraId="497A7D1E" w14:textId="77777777">
      <w:pPr>
        <w:ind w:firstLine="720"/>
      </w:pPr>
      <w:r w:rsidRPr="5306CE21">
        <w:rPr>
          <w:sz w:val="22"/>
          <w:szCs w:val="22"/>
        </w:rPr>
        <w:t xml:space="preserve">Next Steps: </w:t>
      </w:r>
      <w:r>
        <w:rPr>
          <w:sz w:val="22"/>
          <w:szCs w:val="22"/>
        </w:rPr>
        <w:t>The Checklist and s</w:t>
      </w:r>
      <w:r w:rsidRPr="5306CE21">
        <w:rPr>
          <w:sz w:val="22"/>
          <w:szCs w:val="22"/>
        </w:rPr>
        <w:t xml:space="preserve">urvey findings will be compiled, de-identified (if needed), analyzed, and reported in aggregate to appropriate HUD staff only. This will allow HUD to conduct RVIs over time and identify health and safety concerns and prompt action to address them.  </w:t>
      </w:r>
    </w:p>
    <w:p w:rsidR="002122DD" w:rsidP="002122DD" w:rsidRDefault="002122DD" w14:paraId="7B1ED67D" w14:textId="77777777">
      <w:r w:rsidRPr="5306CE21">
        <w:rPr>
          <w:sz w:val="22"/>
          <w:szCs w:val="22"/>
        </w:rPr>
        <w:t xml:space="preserve"> </w:t>
      </w:r>
    </w:p>
    <w:p w:rsidR="002122DD" w:rsidP="002122DD" w:rsidRDefault="002122DD" w14:paraId="69177D82" w14:textId="77777777">
      <w:pPr>
        <w:tabs>
          <w:tab w:val="left" w:pos="360"/>
        </w:tabs>
        <w:spacing w:after="80"/>
        <w:ind w:firstLine="720"/>
      </w:pPr>
      <w:r w:rsidRPr="5306CE21">
        <w:rPr>
          <w:sz w:val="22"/>
          <w:szCs w:val="22"/>
        </w:rPr>
        <w:t xml:space="preserve">Keywords: Flexible, Remote Video Inspections, </w:t>
      </w:r>
      <w:r>
        <w:rPr>
          <w:sz w:val="22"/>
          <w:szCs w:val="22"/>
        </w:rPr>
        <w:t xml:space="preserve">RVI, </w:t>
      </w:r>
      <w:r w:rsidRPr="5306CE21">
        <w:rPr>
          <w:sz w:val="22"/>
          <w:szCs w:val="22"/>
        </w:rPr>
        <w:t xml:space="preserve">checklist, surveys of residents and Proxies, Public Housing, Multifamily Housing, Property Owner agents, residents, and Proxies.  </w:t>
      </w:r>
    </w:p>
    <w:p w:rsidR="002122DD" w:rsidP="002122DD" w:rsidRDefault="002122DD" w14:paraId="4536C70F" w14:textId="77777777">
      <w:pPr>
        <w:tabs>
          <w:tab w:val="left" w:pos="360"/>
        </w:tabs>
        <w:rPr>
          <w:color w:val="000000"/>
          <w:sz w:val="18"/>
        </w:rPr>
      </w:pPr>
    </w:p>
    <w:p w:rsidRPr="00F24499" w:rsidR="002122DD" w:rsidP="002122DD" w:rsidRDefault="002122DD" w14:paraId="617F5454" w14:textId="77777777">
      <w:pPr>
        <w:keepLines/>
        <w:tabs>
          <w:tab w:val="left" w:pos="360"/>
        </w:tabs>
        <w:spacing w:after="80"/>
        <w:ind w:left="360" w:hanging="360"/>
        <w:rPr>
          <w:b/>
          <w:bCs/>
          <w:color w:val="000000"/>
          <w:sz w:val="22"/>
        </w:rPr>
      </w:pPr>
      <w:r w:rsidRPr="00F24499">
        <w:rPr>
          <w:b/>
          <w:bCs/>
          <w:color w:val="000000"/>
          <w:sz w:val="18"/>
        </w:rPr>
        <w:t>3.</w:t>
      </w:r>
      <w:r w:rsidRPr="00F24499">
        <w:rPr>
          <w:b/>
          <w:bCs/>
          <w:color w:val="000000"/>
          <w:sz w:val="18"/>
        </w:rPr>
        <w:tab/>
      </w:r>
      <w:r w:rsidRPr="007F1440">
        <w:rPr>
          <w:b/>
          <w:bCs/>
          <w:color w:val="000000"/>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(item 13b1 of OMB form 83-i).</w:t>
      </w:r>
    </w:p>
    <w:p w:rsidR="002122DD" w:rsidP="002122DD" w:rsidRDefault="002122DD" w14:paraId="6CD2F819" w14:textId="77777777">
      <w:pPr>
        <w:keepLines/>
        <w:tabs>
          <w:tab w:val="left" w:pos="360"/>
        </w:tabs>
        <w:spacing w:after="80"/>
        <w:ind w:left="360"/>
        <w:rPr>
          <w:color w:val="000000"/>
          <w:sz w:val="22"/>
          <w:szCs w:val="22"/>
        </w:rPr>
      </w:pPr>
    </w:p>
    <w:p w:rsidR="002122DD" w:rsidP="002122DD" w:rsidRDefault="002122DD" w14:paraId="7484D243" w14:textId="77777777">
      <w:pPr>
        <w:tabs>
          <w:tab w:val="left" w:pos="360"/>
        </w:tabs>
        <w:spacing w:after="80"/>
        <w:ind w:left="360" w:firstLine="720"/>
        <w:rPr>
          <w:color w:val="000000" w:themeColor="text1"/>
          <w:sz w:val="22"/>
          <w:szCs w:val="22"/>
        </w:rPr>
      </w:pPr>
      <w:r w:rsidRPr="5306CE21">
        <w:rPr>
          <w:color w:val="000000" w:themeColor="text1"/>
          <w:sz w:val="22"/>
          <w:szCs w:val="22"/>
        </w:rPr>
        <w:t xml:space="preserve">Because HUD does not currently have the authority to collect the email and phone numbers of residents living in HUD-assisted housing; HUD requests authority to require the PHAs and POAs manage the surveys and send the </w:t>
      </w:r>
      <w:r>
        <w:rPr>
          <w:color w:val="000000" w:themeColor="text1"/>
          <w:sz w:val="22"/>
          <w:szCs w:val="22"/>
        </w:rPr>
        <w:t xml:space="preserve">batched </w:t>
      </w:r>
      <w:r w:rsidRPr="5306CE21">
        <w:rPr>
          <w:color w:val="000000" w:themeColor="text1"/>
          <w:sz w:val="22"/>
          <w:szCs w:val="22"/>
        </w:rPr>
        <w:t xml:space="preserve">results back to HUD without any PII such as name, email and/or phone. PHAs and POAs can easily disseminate the questions and send the de-identified information back to HUD via email. It is estimated that by having PHAs and POAs collect and share </w:t>
      </w:r>
      <w:r>
        <w:rPr>
          <w:color w:val="000000" w:themeColor="text1"/>
          <w:sz w:val="22"/>
          <w:szCs w:val="22"/>
        </w:rPr>
        <w:t xml:space="preserve">de-identified </w:t>
      </w:r>
      <w:r w:rsidRPr="5306CE21">
        <w:rPr>
          <w:color w:val="000000" w:themeColor="text1"/>
          <w:sz w:val="22"/>
          <w:szCs w:val="22"/>
        </w:rPr>
        <w:t xml:space="preserve">data, HUD REAC will increase its ability to reach a higher proportion of residents and </w:t>
      </w:r>
      <w:r>
        <w:rPr>
          <w:color w:val="000000" w:themeColor="text1"/>
          <w:sz w:val="22"/>
          <w:szCs w:val="22"/>
        </w:rPr>
        <w:t>P</w:t>
      </w:r>
      <w:r w:rsidRPr="5306CE21">
        <w:rPr>
          <w:color w:val="000000" w:themeColor="text1"/>
          <w:sz w:val="22"/>
          <w:szCs w:val="22"/>
        </w:rPr>
        <w:t xml:space="preserve">roxies </w:t>
      </w:r>
      <w:r>
        <w:rPr>
          <w:color w:val="000000" w:themeColor="text1"/>
          <w:sz w:val="22"/>
          <w:szCs w:val="22"/>
        </w:rPr>
        <w:t xml:space="preserve">using </w:t>
      </w:r>
      <w:r w:rsidRPr="5306CE21">
        <w:rPr>
          <w:color w:val="000000" w:themeColor="text1"/>
          <w:sz w:val="22"/>
          <w:szCs w:val="22"/>
        </w:rPr>
        <w:t>computers and smart devices</w:t>
      </w:r>
      <w:r>
        <w:rPr>
          <w:color w:val="000000" w:themeColor="text1"/>
          <w:sz w:val="22"/>
          <w:szCs w:val="22"/>
        </w:rPr>
        <w:t xml:space="preserve"> that will be used to perform RVIs</w:t>
      </w:r>
      <w:r w:rsidRPr="5306CE21">
        <w:rPr>
          <w:color w:val="000000" w:themeColor="text1"/>
          <w:sz w:val="22"/>
          <w:szCs w:val="22"/>
        </w:rPr>
        <w:t xml:space="preserve">.  </w:t>
      </w:r>
    </w:p>
    <w:p w:rsidR="002122DD" w:rsidP="002122DD" w:rsidRDefault="002122DD" w14:paraId="268345DC" w14:textId="77777777">
      <w:pPr>
        <w:tabs>
          <w:tab w:val="left" w:pos="360"/>
        </w:tabs>
        <w:ind w:left="360" w:hanging="360"/>
        <w:rPr>
          <w:color w:val="000000"/>
          <w:sz w:val="18"/>
        </w:rPr>
      </w:pPr>
    </w:p>
    <w:p w:rsidRPr="00F24499" w:rsidR="002122DD" w:rsidP="002122DD" w:rsidRDefault="002122DD" w14:paraId="151BC398" w14:textId="77777777">
      <w:pPr>
        <w:keepLines/>
        <w:tabs>
          <w:tab w:val="left" w:pos="360"/>
        </w:tabs>
        <w:spacing w:after="80"/>
        <w:ind w:left="360" w:hanging="360"/>
        <w:rPr>
          <w:b/>
          <w:bCs/>
          <w:color w:val="000000"/>
          <w:sz w:val="22"/>
        </w:rPr>
      </w:pPr>
      <w:r w:rsidRPr="5306CE21">
        <w:rPr>
          <w:b/>
          <w:bCs/>
          <w:color w:val="000000" w:themeColor="text1"/>
          <w:sz w:val="18"/>
          <w:szCs w:val="18"/>
        </w:rPr>
        <w:t>4.</w:t>
      </w:r>
      <w:r>
        <w:tab/>
      </w:r>
      <w:r w:rsidRPr="5306CE21">
        <w:rPr>
          <w:b/>
          <w:bCs/>
          <w:color w:val="000000" w:themeColor="text1"/>
          <w:sz w:val="22"/>
          <w:szCs w:val="22"/>
        </w:rPr>
        <w:t>Describe efforts to identify duplication. Show specifically why any similar information already available cannot be used or modified for use for the purposes described in Item 2 above.</w:t>
      </w:r>
    </w:p>
    <w:p w:rsidR="002122DD" w:rsidP="002122DD" w:rsidRDefault="002122DD" w14:paraId="652B5A4F" w14:textId="77777777">
      <w:pPr>
        <w:tabs>
          <w:tab w:val="left" w:pos="360"/>
        </w:tabs>
        <w:spacing w:after="80" w:line="259" w:lineRule="auto"/>
        <w:ind w:left="360" w:firstLine="720"/>
        <w:rPr>
          <w:color w:val="000000" w:themeColor="text1"/>
          <w:sz w:val="22"/>
          <w:szCs w:val="22"/>
        </w:rPr>
      </w:pPr>
      <w:r w:rsidRPr="5306CE21">
        <w:rPr>
          <w:color w:val="000000" w:themeColor="text1"/>
          <w:sz w:val="22"/>
          <w:szCs w:val="22"/>
        </w:rPr>
        <w:t>Currently, HUD REAC does not formally collect information about HUD-assisted housing RVI readiness nor residents’ willingness and readiness to assist with RVIs; or the experiences of Proxies during an RVI. The American Housing Survey does not collect information about HUD-assisted residents’ ability and willingness to participate in an RVI. Also, HUD does not have the authority to collect HUD-assisted residents’ email or phone on the 500</w:t>
      </w:r>
      <w:r>
        <w:rPr>
          <w:color w:val="000000" w:themeColor="text1"/>
          <w:sz w:val="22"/>
          <w:szCs w:val="22"/>
        </w:rPr>
        <w:t>5</w:t>
      </w:r>
      <w:r w:rsidRPr="5306CE21">
        <w:rPr>
          <w:color w:val="000000" w:themeColor="text1"/>
          <w:sz w:val="22"/>
          <w:szCs w:val="22"/>
        </w:rPr>
        <w:t>9 or 500</w:t>
      </w:r>
      <w:r>
        <w:rPr>
          <w:color w:val="000000" w:themeColor="text1"/>
          <w:sz w:val="22"/>
          <w:szCs w:val="22"/>
        </w:rPr>
        <w:t>5</w:t>
      </w:r>
      <w:r w:rsidRPr="5306CE21">
        <w:rPr>
          <w:color w:val="000000" w:themeColor="text1"/>
          <w:sz w:val="22"/>
          <w:szCs w:val="22"/>
        </w:rPr>
        <w:t xml:space="preserve">8 forms to automate data collection.   </w:t>
      </w:r>
    </w:p>
    <w:p w:rsidR="002122DD" w:rsidP="002122DD" w:rsidRDefault="002122DD" w14:paraId="4B347C77" w14:textId="77777777">
      <w:pPr>
        <w:tabs>
          <w:tab w:val="left" w:pos="360"/>
        </w:tabs>
        <w:ind w:left="360" w:hanging="360"/>
        <w:rPr>
          <w:color w:val="000000"/>
          <w:sz w:val="18"/>
        </w:rPr>
      </w:pPr>
    </w:p>
    <w:p w:rsidRPr="00F24499" w:rsidR="002122DD" w:rsidP="002122DD" w:rsidRDefault="002122DD" w14:paraId="3797AD0F" w14:textId="77777777">
      <w:pPr>
        <w:keepLines/>
        <w:tabs>
          <w:tab w:val="left" w:pos="360"/>
        </w:tabs>
        <w:spacing w:after="80"/>
        <w:ind w:left="360" w:hanging="360"/>
        <w:rPr>
          <w:b/>
          <w:bCs/>
          <w:color w:val="000000"/>
          <w:sz w:val="22"/>
        </w:rPr>
      </w:pPr>
      <w:r w:rsidRPr="5306CE21">
        <w:rPr>
          <w:b/>
          <w:bCs/>
          <w:color w:val="000000" w:themeColor="text1"/>
          <w:sz w:val="18"/>
          <w:szCs w:val="18"/>
        </w:rPr>
        <w:t>5.</w:t>
      </w:r>
      <w:r>
        <w:tab/>
      </w:r>
      <w:r w:rsidRPr="00331404">
        <w:rPr>
          <w:b/>
          <w:bCs/>
          <w:color w:val="000000" w:themeColor="text1"/>
          <w:sz w:val="22"/>
          <w:szCs w:val="22"/>
        </w:rPr>
        <w:t>Does the collection of information impact small businesses or other small entities (item 5 of OMB form 83-i)?  Describe any methods used to minimize burden.</w:t>
      </w:r>
    </w:p>
    <w:p w:rsidR="002122DD" w:rsidP="002122DD" w:rsidRDefault="002122DD" w14:paraId="50D6EB65" w14:textId="77777777">
      <w:pPr>
        <w:tabs>
          <w:tab w:val="left" w:pos="360"/>
        </w:tabs>
        <w:spacing w:after="80"/>
        <w:ind w:left="360" w:firstLine="720"/>
        <w:rPr>
          <w:color w:val="000000" w:themeColor="text1"/>
          <w:sz w:val="22"/>
          <w:szCs w:val="22"/>
        </w:rPr>
      </w:pPr>
      <w:r w:rsidRPr="5306CE21">
        <w:rPr>
          <w:color w:val="000000" w:themeColor="text1"/>
          <w:sz w:val="22"/>
          <w:szCs w:val="22"/>
        </w:rPr>
        <w:t xml:space="preserve">This ICR to collect RVI checklist information as well as resident and proxy survey data are part of fulfilling HUD’s core mission and </w:t>
      </w:r>
      <w:r>
        <w:rPr>
          <w:color w:val="000000" w:themeColor="text1"/>
          <w:sz w:val="22"/>
          <w:szCs w:val="22"/>
        </w:rPr>
        <w:t>it is not expected to</w:t>
      </w:r>
      <w:r w:rsidRPr="5306CE21">
        <w:rPr>
          <w:color w:val="000000" w:themeColor="text1"/>
          <w:sz w:val="22"/>
          <w:szCs w:val="22"/>
        </w:rPr>
        <w:t xml:space="preserve"> negatively impact small businesses. HUD REAC staff discussed with small groups of PHAs and POAs how to best collaborate on completing RVIs. Based on this communication, to reduce the burden on PHAs and POAs, HUD developed a voluntary process that uses standardized items that are limited to the minimum information needed to complete </w:t>
      </w:r>
      <w:r>
        <w:rPr>
          <w:color w:val="000000" w:themeColor="text1"/>
          <w:sz w:val="22"/>
          <w:szCs w:val="22"/>
        </w:rPr>
        <w:t xml:space="preserve">and learn from </w:t>
      </w:r>
      <w:r w:rsidRPr="5306CE21">
        <w:rPr>
          <w:color w:val="000000" w:themeColor="text1"/>
          <w:sz w:val="22"/>
          <w:szCs w:val="22"/>
        </w:rPr>
        <w:t xml:space="preserve">RVIs. Information will be provided to the PHAs and POAs over the phone and via email to decide how they will transfer the submitted responses back to HUD’s RVI email box. PHAs and POAs will be reminded not to send PII to HUD. </w:t>
      </w:r>
    </w:p>
    <w:p w:rsidR="002122DD" w:rsidP="002122DD" w:rsidRDefault="002122DD" w14:paraId="60115E73" w14:textId="77777777">
      <w:pPr>
        <w:tabs>
          <w:tab w:val="left" w:pos="360"/>
        </w:tabs>
        <w:ind w:left="360" w:hanging="360"/>
        <w:rPr>
          <w:color w:val="000000"/>
          <w:sz w:val="18"/>
        </w:rPr>
      </w:pPr>
    </w:p>
    <w:p w:rsidRPr="00F24499" w:rsidR="002122DD" w:rsidP="002122DD" w:rsidRDefault="002122DD" w14:paraId="15615D0A" w14:textId="77777777">
      <w:pPr>
        <w:keepLines/>
        <w:tabs>
          <w:tab w:val="left" w:pos="360"/>
        </w:tabs>
        <w:spacing w:after="80"/>
        <w:ind w:left="360" w:hanging="360"/>
        <w:rPr>
          <w:b/>
          <w:bCs/>
          <w:color w:val="000000"/>
          <w:sz w:val="22"/>
        </w:rPr>
      </w:pPr>
      <w:r w:rsidRPr="00F24499">
        <w:rPr>
          <w:b/>
          <w:bCs/>
          <w:color w:val="000000"/>
          <w:sz w:val="18"/>
        </w:rPr>
        <w:t>6.</w:t>
      </w:r>
      <w:r w:rsidRPr="00F24499">
        <w:rPr>
          <w:b/>
          <w:bCs/>
          <w:color w:val="000000"/>
          <w:sz w:val="18"/>
        </w:rPr>
        <w:tab/>
      </w:r>
      <w:r w:rsidRPr="00F24499">
        <w:rPr>
          <w:b/>
          <w:bCs/>
          <w:color w:val="000000"/>
          <w:sz w:val="22"/>
        </w:rPr>
        <w:t>Describe the consequence to Federal program or policy activities if the collection is not conducted or is conducted less frequently, as well as any technical or legal obstacles to reducing burden.</w:t>
      </w:r>
    </w:p>
    <w:p w:rsidRPr="002278CF" w:rsidR="002122DD" w:rsidP="002122DD" w:rsidRDefault="002122DD" w14:paraId="533AF464" w14:textId="77777777">
      <w:pPr>
        <w:keepLines/>
        <w:tabs>
          <w:tab w:val="left" w:pos="360"/>
        </w:tabs>
        <w:spacing w:after="80"/>
        <w:ind w:left="360"/>
        <w:rPr>
          <w:color w:val="000000"/>
          <w:sz w:val="22"/>
          <w:szCs w:val="22"/>
        </w:rPr>
      </w:pPr>
    </w:p>
    <w:p w:rsidR="002122DD" w:rsidP="002122DD" w:rsidRDefault="002122DD" w14:paraId="17BE7D2B" w14:textId="77777777">
      <w:pPr>
        <w:tabs>
          <w:tab w:val="left" w:pos="360"/>
        </w:tabs>
        <w:spacing w:after="80"/>
        <w:ind w:left="360" w:firstLine="720"/>
        <w:rPr>
          <w:color w:val="000000" w:themeColor="text1"/>
          <w:sz w:val="22"/>
          <w:szCs w:val="22"/>
        </w:rPr>
      </w:pPr>
      <w:r w:rsidRPr="0546250E">
        <w:rPr>
          <w:color w:val="000000" w:themeColor="text1"/>
          <w:sz w:val="22"/>
          <w:szCs w:val="22"/>
        </w:rPr>
        <w:t xml:space="preserve">Without the information in this ICR, it will be difficult </w:t>
      </w:r>
      <w:r w:rsidRPr="007077F2">
        <w:rPr>
          <w:strike/>
          <w:color w:val="000000" w:themeColor="text1"/>
          <w:sz w:val="22"/>
          <w:szCs w:val="22"/>
        </w:rPr>
        <w:t>or even impossible</w:t>
      </w:r>
      <w:r w:rsidRPr="0546250E">
        <w:rPr>
          <w:color w:val="000000" w:themeColor="text1"/>
          <w:sz w:val="22"/>
          <w:szCs w:val="22"/>
        </w:rPr>
        <w:t xml:space="preserve"> to conduct physical inspections during national security events such as the COVID-19 pandemic.  In addition, HUD will not be able to assess the effectiveness and required changes to equipment, human capital, and protocols to enable the Department to conduct remote inspections or gather insights about the differences between an RVI and an on-site inspection. By collaborating with PHAs and POAs to share the tools in this ICR and collect the data they will be able to streamline data collection from properties that meet the technology and human capital requirements. For the surveys, MS Excel will be used to communicate questions with ease and is a common tool that can be securely emailed by PHAs and POAs back to HUD.</w:t>
      </w:r>
    </w:p>
    <w:p w:rsidR="002122DD" w:rsidP="002122DD" w:rsidRDefault="002122DD" w14:paraId="01D49020" w14:textId="77777777">
      <w:pPr>
        <w:keepLines/>
        <w:tabs>
          <w:tab w:val="left" w:pos="360"/>
        </w:tabs>
        <w:spacing w:after="80"/>
        <w:ind w:left="360" w:hanging="360"/>
        <w:rPr>
          <w:color w:val="000000"/>
          <w:sz w:val="18"/>
        </w:rPr>
      </w:pPr>
    </w:p>
    <w:p w:rsidRPr="00865C62" w:rsidR="002122DD" w:rsidP="002122DD" w:rsidRDefault="002122DD" w14:paraId="52A9C343" w14:textId="77777777">
      <w:pPr>
        <w:numPr>
          <w:ilvl w:val="0"/>
          <w:numId w:val="2"/>
        </w:numPr>
        <w:overflowPunct/>
        <w:autoSpaceDE/>
        <w:autoSpaceDN/>
        <w:adjustRightInd/>
        <w:spacing w:after="200" w:line="276" w:lineRule="auto"/>
        <w:contextualSpacing/>
        <w:textAlignment w:val="auto"/>
        <w:rPr>
          <w:rFonts w:eastAsia="Calibri"/>
          <w:sz w:val="22"/>
          <w:szCs w:val="22"/>
        </w:rPr>
      </w:pPr>
      <w:r w:rsidRPr="00865C62">
        <w:rPr>
          <w:rFonts w:eastAsia="Calibri"/>
          <w:b/>
          <w:sz w:val="22"/>
          <w:szCs w:val="22"/>
        </w:rPr>
        <w:t>Explain any special circumstances that would cause an information to be collected in a manner:</w:t>
      </w:r>
    </w:p>
    <w:p w:rsidRPr="007617D9" w:rsidR="002122DD" w:rsidP="002122DD" w:rsidRDefault="002122DD" w14:paraId="55B4BE8D" w14:textId="77777777">
      <w:pPr>
        <w:keepLines/>
        <w:numPr>
          <w:ilvl w:val="0"/>
          <w:numId w:val="1"/>
        </w:numPr>
        <w:tabs>
          <w:tab w:val="left" w:pos="360"/>
        </w:tabs>
        <w:spacing w:after="80"/>
        <w:rPr>
          <w:rFonts w:eastAsia="Calibri"/>
          <w:sz w:val="22"/>
          <w:szCs w:val="22"/>
        </w:rPr>
      </w:pPr>
      <w:bookmarkStart w:name="_Hlk494808620" w:id="0"/>
      <w:r w:rsidRPr="007617D9">
        <w:rPr>
          <w:rFonts w:eastAsia="Calibri"/>
          <w:sz w:val="22"/>
          <w:szCs w:val="22"/>
        </w:rPr>
        <w:t xml:space="preserve">requiring respondents to report information to the agency more than </w:t>
      </w:r>
      <w:proofErr w:type="gramStart"/>
      <w:r w:rsidRPr="007617D9">
        <w:rPr>
          <w:rFonts w:eastAsia="Calibri"/>
          <w:sz w:val="22"/>
          <w:szCs w:val="22"/>
        </w:rPr>
        <w:t>quarterly;</w:t>
      </w:r>
      <w:proofErr w:type="gramEnd"/>
      <w:r w:rsidRPr="007617D9">
        <w:rPr>
          <w:rFonts w:eastAsia="Calibri"/>
          <w:sz w:val="22"/>
          <w:szCs w:val="22"/>
        </w:rPr>
        <w:t xml:space="preserve"> </w:t>
      </w:r>
    </w:p>
    <w:p w:rsidRPr="007617D9" w:rsidR="002122DD" w:rsidP="002122DD" w:rsidRDefault="002122DD" w14:paraId="11FF1692" w14:textId="77777777">
      <w:pPr>
        <w:overflowPunct/>
        <w:autoSpaceDE/>
        <w:autoSpaceDN/>
        <w:adjustRightInd/>
        <w:spacing w:after="200" w:line="276" w:lineRule="auto"/>
        <w:ind w:left="720"/>
        <w:contextualSpacing/>
        <w:textAlignment w:val="auto"/>
        <w:rPr>
          <w:rFonts w:eastAsia="Calibri"/>
          <w:bCs/>
          <w:sz w:val="22"/>
          <w:szCs w:val="22"/>
        </w:rPr>
      </w:pPr>
    </w:p>
    <w:p w:rsidRPr="00977B67" w:rsidR="002122DD" w:rsidP="002122DD" w:rsidRDefault="002122DD" w14:paraId="02118F5F" w14:textId="77777777">
      <w:pPr>
        <w:overflowPunct/>
        <w:autoSpaceDE/>
        <w:autoSpaceDN/>
        <w:adjustRightInd/>
        <w:spacing w:after="200" w:line="276" w:lineRule="auto"/>
        <w:ind w:left="720"/>
        <w:contextualSpacing/>
        <w:textAlignment w:val="auto"/>
        <w:rPr>
          <w:rFonts w:eastAsia="Calibri"/>
          <w:i/>
          <w:iCs/>
          <w:sz w:val="22"/>
          <w:szCs w:val="22"/>
        </w:rPr>
      </w:pPr>
      <w:r w:rsidRPr="00977B67">
        <w:rPr>
          <w:rFonts w:eastAsia="Calibri"/>
          <w:i/>
          <w:iCs/>
          <w:sz w:val="22"/>
          <w:szCs w:val="22"/>
        </w:rPr>
        <w:t>Not applicable.</w:t>
      </w:r>
    </w:p>
    <w:p w:rsidRPr="007617D9" w:rsidR="002122DD" w:rsidP="002122DD" w:rsidRDefault="002122DD" w14:paraId="76B5E90E" w14:textId="77777777">
      <w:pPr>
        <w:overflowPunct/>
        <w:autoSpaceDE/>
        <w:autoSpaceDN/>
        <w:adjustRightInd/>
        <w:spacing w:after="200" w:line="276" w:lineRule="auto"/>
        <w:ind w:left="720"/>
        <w:contextualSpacing/>
        <w:textAlignment w:val="auto"/>
        <w:rPr>
          <w:rFonts w:eastAsia="Calibri"/>
          <w:sz w:val="22"/>
          <w:szCs w:val="22"/>
        </w:rPr>
      </w:pPr>
    </w:p>
    <w:p w:rsidRPr="007617D9" w:rsidR="002122DD" w:rsidP="002122DD" w:rsidRDefault="002122DD" w14:paraId="3BBAAB1C" w14:textId="77777777">
      <w:pPr>
        <w:keepLines/>
        <w:numPr>
          <w:ilvl w:val="0"/>
          <w:numId w:val="1"/>
        </w:numPr>
        <w:tabs>
          <w:tab w:val="left" w:pos="360"/>
        </w:tabs>
        <w:spacing w:after="80"/>
        <w:rPr>
          <w:rFonts w:eastAsia="Calibri"/>
          <w:sz w:val="22"/>
          <w:szCs w:val="22"/>
        </w:rPr>
      </w:pPr>
      <w:r w:rsidRPr="007617D9">
        <w:rPr>
          <w:rFonts w:eastAsia="Calibri"/>
          <w:sz w:val="22"/>
          <w:szCs w:val="22"/>
        </w:rPr>
        <w:t xml:space="preserve">requiring respondents to prepare a written response to a collection of information in fewer than 30 days after receipt of </w:t>
      </w:r>
      <w:proofErr w:type="gramStart"/>
      <w:r w:rsidRPr="007617D9">
        <w:rPr>
          <w:rFonts w:eastAsia="Calibri"/>
          <w:sz w:val="22"/>
          <w:szCs w:val="22"/>
        </w:rPr>
        <w:t>it;</w:t>
      </w:r>
      <w:proofErr w:type="gramEnd"/>
    </w:p>
    <w:p w:rsidR="002122DD" w:rsidP="002122DD" w:rsidRDefault="002122DD" w14:paraId="034326AB" w14:textId="77777777">
      <w:pPr>
        <w:overflowPunct/>
        <w:autoSpaceDE/>
        <w:autoSpaceDN/>
        <w:adjustRightInd/>
        <w:spacing w:after="200" w:line="276" w:lineRule="auto"/>
        <w:ind w:left="720"/>
        <w:contextualSpacing/>
        <w:textAlignment w:val="auto"/>
        <w:rPr>
          <w:rFonts w:eastAsia="Calibri"/>
          <w:bCs/>
          <w:sz w:val="22"/>
          <w:szCs w:val="22"/>
        </w:rPr>
      </w:pPr>
    </w:p>
    <w:p w:rsidRPr="00977B67" w:rsidR="002122DD" w:rsidP="002122DD" w:rsidRDefault="002122DD" w14:paraId="422F2B43" w14:textId="77777777">
      <w:pPr>
        <w:overflowPunct/>
        <w:autoSpaceDE/>
        <w:autoSpaceDN/>
        <w:adjustRightInd/>
        <w:spacing w:after="200" w:line="276" w:lineRule="auto"/>
        <w:ind w:left="720"/>
        <w:contextualSpacing/>
        <w:textAlignment w:val="auto"/>
        <w:rPr>
          <w:rFonts w:eastAsia="Calibri"/>
          <w:bCs/>
          <w:i/>
          <w:iCs/>
          <w:sz w:val="22"/>
          <w:szCs w:val="22"/>
        </w:rPr>
      </w:pPr>
      <w:r w:rsidRPr="00977B67">
        <w:rPr>
          <w:rFonts w:eastAsia="Calibri"/>
          <w:bCs/>
          <w:i/>
          <w:iCs/>
          <w:sz w:val="22"/>
          <w:szCs w:val="22"/>
        </w:rPr>
        <w:t xml:space="preserve">HUD REAC issues a </w:t>
      </w:r>
      <w:r>
        <w:rPr>
          <w:rFonts w:eastAsia="Calibri"/>
          <w:bCs/>
          <w:i/>
          <w:iCs/>
          <w:sz w:val="22"/>
          <w:szCs w:val="22"/>
        </w:rPr>
        <w:t>28</w:t>
      </w:r>
      <w:r w:rsidRPr="00977B67">
        <w:rPr>
          <w:rFonts w:eastAsia="Calibri"/>
          <w:bCs/>
          <w:i/>
          <w:iCs/>
          <w:sz w:val="22"/>
          <w:szCs w:val="22"/>
        </w:rPr>
        <w:t xml:space="preserve">-day notice to ensure properties are </w:t>
      </w:r>
      <w:r>
        <w:rPr>
          <w:rFonts w:eastAsia="Calibri"/>
          <w:bCs/>
          <w:i/>
          <w:iCs/>
          <w:sz w:val="22"/>
          <w:szCs w:val="22"/>
        </w:rPr>
        <w:t>aware that an upcoming assessment of the physical conditions or their properties is forthcoming</w:t>
      </w:r>
      <w:r w:rsidRPr="00977B67">
        <w:rPr>
          <w:rFonts w:eastAsia="Calibri"/>
          <w:bCs/>
          <w:i/>
          <w:iCs/>
          <w:sz w:val="22"/>
          <w:szCs w:val="22"/>
        </w:rPr>
        <w:t>. To meet this requirement, responses are requested within less than 30 days.</w:t>
      </w:r>
    </w:p>
    <w:p w:rsidRPr="007617D9" w:rsidR="002122DD" w:rsidP="002122DD" w:rsidRDefault="002122DD" w14:paraId="269B8B93" w14:textId="77777777">
      <w:pPr>
        <w:overflowPunct/>
        <w:autoSpaceDE/>
        <w:autoSpaceDN/>
        <w:adjustRightInd/>
        <w:spacing w:after="200" w:line="276" w:lineRule="auto"/>
        <w:ind w:left="1080"/>
        <w:contextualSpacing/>
        <w:textAlignment w:val="auto"/>
        <w:rPr>
          <w:rFonts w:eastAsia="Calibri"/>
          <w:sz w:val="22"/>
          <w:szCs w:val="22"/>
        </w:rPr>
      </w:pPr>
    </w:p>
    <w:p w:rsidRPr="007617D9" w:rsidR="002122DD" w:rsidP="002122DD" w:rsidRDefault="002122DD" w14:paraId="384655E7" w14:textId="77777777">
      <w:pPr>
        <w:keepLines/>
        <w:numPr>
          <w:ilvl w:val="0"/>
          <w:numId w:val="1"/>
        </w:numPr>
        <w:tabs>
          <w:tab w:val="left" w:pos="360"/>
        </w:tabs>
        <w:spacing w:after="80"/>
        <w:rPr>
          <w:rFonts w:eastAsia="Calibri"/>
          <w:sz w:val="22"/>
          <w:szCs w:val="22"/>
        </w:rPr>
      </w:pPr>
      <w:r w:rsidRPr="007617D9">
        <w:rPr>
          <w:rFonts w:eastAsia="Calibri"/>
          <w:sz w:val="22"/>
          <w:szCs w:val="22"/>
        </w:rPr>
        <w:lastRenderedPageBreak/>
        <w:t xml:space="preserve">requiring respondents to submit more than an original and two copies of any </w:t>
      </w:r>
      <w:proofErr w:type="gramStart"/>
      <w:r w:rsidRPr="007617D9">
        <w:rPr>
          <w:rFonts w:eastAsia="Calibri"/>
          <w:sz w:val="22"/>
          <w:szCs w:val="22"/>
        </w:rPr>
        <w:t>document;</w:t>
      </w:r>
      <w:proofErr w:type="gramEnd"/>
    </w:p>
    <w:p w:rsidRPr="009747E6" w:rsidR="002122DD" w:rsidP="002122DD" w:rsidRDefault="002122DD" w14:paraId="7D5A4E0A" w14:textId="77777777">
      <w:pPr>
        <w:overflowPunct/>
        <w:autoSpaceDE/>
        <w:autoSpaceDN/>
        <w:adjustRightInd/>
        <w:spacing w:after="200" w:line="276" w:lineRule="auto"/>
        <w:ind w:left="720"/>
        <w:contextualSpacing/>
        <w:textAlignment w:val="auto"/>
        <w:rPr>
          <w:rFonts w:eastAsia="Calibri"/>
          <w:bCs/>
          <w:sz w:val="22"/>
          <w:szCs w:val="22"/>
        </w:rPr>
      </w:pPr>
    </w:p>
    <w:p w:rsidR="002122DD" w:rsidP="002122DD" w:rsidRDefault="002122DD" w14:paraId="0C70CEA5" w14:textId="77777777">
      <w:pPr>
        <w:overflowPunct/>
        <w:autoSpaceDE/>
        <w:autoSpaceDN/>
        <w:adjustRightInd/>
        <w:spacing w:after="200" w:line="276" w:lineRule="auto"/>
        <w:contextualSpacing/>
        <w:textAlignment w:val="auto"/>
        <w:rPr>
          <w:rFonts w:eastAsia="Calibri"/>
          <w:i/>
          <w:iCs/>
          <w:sz w:val="22"/>
          <w:szCs w:val="22"/>
        </w:rPr>
      </w:pPr>
      <w:r>
        <w:rPr>
          <w:rFonts w:eastAsia="Calibri"/>
          <w:sz w:val="22"/>
          <w:szCs w:val="22"/>
        </w:rPr>
        <w:t xml:space="preserve">             </w:t>
      </w:r>
      <w:r w:rsidRPr="00977B67">
        <w:rPr>
          <w:rFonts w:eastAsia="Calibri"/>
          <w:i/>
          <w:iCs/>
          <w:sz w:val="22"/>
          <w:szCs w:val="22"/>
        </w:rPr>
        <w:t>Not applicable.</w:t>
      </w:r>
    </w:p>
    <w:p w:rsidRPr="00977B67" w:rsidR="002122DD" w:rsidP="002122DD" w:rsidRDefault="002122DD" w14:paraId="5EB450E7" w14:textId="77777777">
      <w:pPr>
        <w:overflowPunct/>
        <w:autoSpaceDE/>
        <w:autoSpaceDN/>
        <w:adjustRightInd/>
        <w:spacing w:after="200" w:line="276" w:lineRule="auto"/>
        <w:contextualSpacing/>
        <w:textAlignment w:val="auto"/>
        <w:rPr>
          <w:rFonts w:eastAsia="Calibri"/>
          <w:i/>
          <w:iCs/>
          <w:sz w:val="22"/>
          <w:szCs w:val="22"/>
        </w:rPr>
      </w:pPr>
    </w:p>
    <w:p w:rsidRPr="007617D9" w:rsidR="002122DD" w:rsidP="002122DD" w:rsidRDefault="002122DD" w14:paraId="46909A44" w14:textId="77777777">
      <w:pPr>
        <w:keepLines/>
        <w:numPr>
          <w:ilvl w:val="0"/>
          <w:numId w:val="1"/>
        </w:numPr>
        <w:tabs>
          <w:tab w:val="left" w:pos="360"/>
        </w:tabs>
        <w:spacing w:after="80"/>
        <w:rPr>
          <w:rFonts w:eastAsia="Calibri"/>
          <w:sz w:val="22"/>
          <w:szCs w:val="22"/>
        </w:rPr>
      </w:pPr>
      <w:r w:rsidRPr="007617D9">
        <w:rPr>
          <w:rFonts w:eastAsia="Calibri"/>
          <w:sz w:val="22"/>
          <w:szCs w:val="22"/>
        </w:rPr>
        <w:t xml:space="preserve">requiring respondents to retain records other than health, medical, government contract, grant-in-aid, or tax records for more than three </w:t>
      </w:r>
      <w:proofErr w:type="gramStart"/>
      <w:r w:rsidRPr="007617D9">
        <w:rPr>
          <w:rFonts w:eastAsia="Calibri"/>
          <w:sz w:val="22"/>
          <w:szCs w:val="22"/>
        </w:rPr>
        <w:t>years;</w:t>
      </w:r>
      <w:proofErr w:type="gramEnd"/>
    </w:p>
    <w:p w:rsidRPr="009747E6" w:rsidR="002122DD" w:rsidP="002122DD" w:rsidRDefault="002122DD" w14:paraId="347AEF35" w14:textId="77777777">
      <w:pPr>
        <w:overflowPunct/>
        <w:autoSpaceDE/>
        <w:autoSpaceDN/>
        <w:adjustRightInd/>
        <w:spacing w:after="200" w:line="276" w:lineRule="auto"/>
        <w:ind w:left="720"/>
        <w:contextualSpacing/>
        <w:textAlignment w:val="auto"/>
        <w:rPr>
          <w:rFonts w:eastAsia="Calibri"/>
          <w:bCs/>
          <w:sz w:val="22"/>
          <w:szCs w:val="22"/>
        </w:rPr>
      </w:pPr>
    </w:p>
    <w:p w:rsidR="002122DD" w:rsidP="002122DD" w:rsidRDefault="002122DD" w14:paraId="6B378930" w14:textId="77777777">
      <w:pPr>
        <w:overflowPunct/>
        <w:autoSpaceDE/>
        <w:autoSpaceDN/>
        <w:adjustRightInd/>
        <w:spacing w:after="200" w:line="276" w:lineRule="auto"/>
        <w:contextualSpacing/>
        <w:textAlignment w:val="auto"/>
        <w:rPr>
          <w:rFonts w:eastAsia="Calibri"/>
          <w:i/>
          <w:iCs/>
          <w:sz w:val="22"/>
          <w:szCs w:val="22"/>
        </w:rPr>
      </w:pPr>
      <w:r>
        <w:rPr>
          <w:rFonts w:eastAsia="Calibri"/>
          <w:sz w:val="22"/>
          <w:szCs w:val="22"/>
        </w:rPr>
        <w:t xml:space="preserve">             </w:t>
      </w:r>
      <w:r w:rsidRPr="00977B67">
        <w:rPr>
          <w:rFonts w:eastAsia="Calibri"/>
          <w:i/>
          <w:iCs/>
          <w:sz w:val="22"/>
          <w:szCs w:val="22"/>
        </w:rPr>
        <w:t>Not applicable.</w:t>
      </w:r>
    </w:p>
    <w:p w:rsidRPr="007617D9" w:rsidR="002122DD" w:rsidP="002122DD" w:rsidRDefault="002122DD" w14:paraId="4C96D479" w14:textId="77777777">
      <w:pPr>
        <w:overflowPunct/>
        <w:autoSpaceDE/>
        <w:autoSpaceDN/>
        <w:adjustRightInd/>
        <w:spacing w:after="200" w:line="276" w:lineRule="auto"/>
        <w:contextualSpacing/>
        <w:textAlignment w:val="auto"/>
        <w:rPr>
          <w:rFonts w:eastAsia="Calibri"/>
          <w:sz w:val="22"/>
          <w:szCs w:val="22"/>
        </w:rPr>
      </w:pPr>
    </w:p>
    <w:p w:rsidRPr="007617D9" w:rsidR="002122DD" w:rsidP="002122DD" w:rsidRDefault="002122DD" w14:paraId="5161FE4C" w14:textId="77777777">
      <w:pPr>
        <w:keepLines/>
        <w:numPr>
          <w:ilvl w:val="0"/>
          <w:numId w:val="1"/>
        </w:numPr>
        <w:tabs>
          <w:tab w:val="left" w:pos="360"/>
        </w:tabs>
        <w:spacing w:after="80"/>
        <w:rPr>
          <w:rFonts w:eastAsia="Calibri"/>
          <w:sz w:val="22"/>
          <w:szCs w:val="22"/>
        </w:rPr>
      </w:pPr>
      <w:r w:rsidRPr="007617D9">
        <w:rPr>
          <w:rFonts w:eastAsia="Calibri"/>
          <w:sz w:val="22"/>
          <w:szCs w:val="22"/>
        </w:rPr>
        <w:t xml:space="preserve">in connection with a statistical survey, that is not designed to produce valid and reliable results than can be generalized to the universe of the </w:t>
      </w:r>
      <w:proofErr w:type="gramStart"/>
      <w:r w:rsidRPr="007617D9">
        <w:rPr>
          <w:rFonts w:eastAsia="Calibri"/>
          <w:sz w:val="22"/>
          <w:szCs w:val="22"/>
        </w:rPr>
        <w:t>study;</w:t>
      </w:r>
      <w:proofErr w:type="gramEnd"/>
    </w:p>
    <w:p w:rsidR="002122DD" w:rsidP="002122DD" w:rsidRDefault="002122DD" w14:paraId="3765895E" w14:textId="77777777">
      <w:pPr>
        <w:overflowPunct/>
        <w:autoSpaceDE/>
        <w:autoSpaceDN/>
        <w:adjustRightInd/>
        <w:spacing w:after="200" w:line="276" w:lineRule="auto"/>
        <w:ind w:left="720"/>
        <w:contextualSpacing/>
        <w:textAlignment w:val="auto"/>
        <w:rPr>
          <w:rFonts w:eastAsia="Calibri"/>
          <w:bCs/>
          <w:sz w:val="22"/>
          <w:szCs w:val="22"/>
        </w:rPr>
      </w:pPr>
    </w:p>
    <w:p w:rsidRPr="009747E6" w:rsidR="002122DD" w:rsidP="002122DD" w:rsidRDefault="002122DD" w14:paraId="4D53BA3B" w14:textId="77777777">
      <w:pPr>
        <w:overflowPunct/>
        <w:autoSpaceDE/>
        <w:autoSpaceDN/>
        <w:adjustRightInd/>
        <w:spacing w:after="200" w:line="276" w:lineRule="auto"/>
        <w:ind w:left="720"/>
        <w:contextualSpacing/>
        <w:textAlignment w:val="auto"/>
        <w:rPr>
          <w:rFonts w:eastAsia="Calibri"/>
          <w:bCs/>
          <w:sz w:val="22"/>
          <w:szCs w:val="22"/>
        </w:rPr>
      </w:pPr>
      <w:r w:rsidRPr="00977B67">
        <w:rPr>
          <w:rFonts w:eastAsia="Calibri"/>
          <w:i/>
          <w:iCs/>
          <w:sz w:val="22"/>
          <w:szCs w:val="22"/>
        </w:rPr>
        <w:t>Not applicable.</w:t>
      </w:r>
    </w:p>
    <w:p w:rsidRPr="007617D9" w:rsidR="002122DD" w:rsidP="002122DD" w:rsidRDefault="002122DD" w14:paraId="201C5688" w14:textId="77777777">
      <w:pPr>
        <w:overflowPunct/>
        <w:autoSpaceDE/>
        <w:autoSpaceDN/>
        <w:adjustRightInd/>
        <w:spacing w:after="200" w:line="276" w:lineRule="auto"/>
        <w:ind w:left="1080"/>
        <w:contextualSpacing/>
        <w:textAlignment w:val="auto"/>
        <w:rPr>
          <w:rFonts w:eastAsia="Calibri"/>
          <w:sz w:val="22"/>
          <w:szCs w:val="22"/>
        </w:rPr>
      </w:pPr>
    </w:p>
    <w:p w:rsidRPr="007617D9" w:rsidR="002122DD" w:rsidP="002122DD" w:rsidRDefault="002122DD" w14:paraId="7A3064DD" w14:textId="77777777">
      <w:pPr>
        <w:keepLines/>
        <w:numPr>
          <w:ilvl w:val="0"/>
          <w:numId w:val="1"/>
        </w:numPr>
        <w:tabs>
          <w:tab w:val="left" w:pos="360"/>
        </w:tabs>
        <w:spacing w:after="80"/>
        <w:rPr>
          <w:rFonts w:eastAsia="Calibri"/>
          <w:sz w:val="22"/>
          <w:szCs w:val="22"/>
        </w:rPr>
      </w:pPr>
      <w:r w:rsidRPr="007617D9">
        <w:rPr>
          <w:rFonts w:eastAsia="Calibri"/>
          <w:sz w:val="22"/>
          <w:szCs w:val="22"/>
        </w:rPr>
        <w:t xml:space="preserve">requiring the use of statistical data classification that has not been reviewed and approved by </w:t>
      </w:r>
      <w:proofErr w:type="gramStart"/>
      <w:r w:rsidRPr="007617D9">
        <w:rPr>
          <w:rFonts w:eastAsia="Calibri"/>
          <w:sz w:val="22"/>
          <w:szCs w:val="22"/>
        </w:rPr>
        <w:t>OMB;</w:t>
      </w:r>
      <w:proofErr w:type="gramEnd"/>
    </w:p>
    <w:p w:rsidR="002122DD" w:rsidP="002122DD" w:rsidRDefault="002122DD" w14:paraId="2D9A5ABD" w14:textId="77777777">
      <w:pPr>
        <w:overflowPunct/>
        <w:autoSpaceDE/>
        <w:autoSpaceDN/>
        <w:adjustRightInd/>
        <w:spacing w:after="200" w:line="276" w:lineRule="auto"/>
        <w:ind w:left="720"/>
        <w:contextualSpacing/>
        <w:textAlignment w:val="auto"/>
        <w:rPr>
          <w:rFonts w:eastAsia="Calibri"/>
          <w:bCs/>
          <w:sz w:val="22"/>
          <w:szCs w:val="22"/>
        </w:rPr>
      </w:pPr>
    </w:p>
    <w:p w:rsidRPr="009747E6" w:rsidR="002122DD" w:rsidP="002122DD" w:rsidRDefault="002122DD" w14:paraId="1597C03B" w14:textId="77777777">
      <w:pPr>
        <w:overflowPunct/>
        <w:autoSpaceDE/>
        <w:autoSpaceDN/>
        <w:adjustRightInd/>
        <w:spacing w:after="200" w:line="276" w:lineRule="auto"/>
        <w:ind w:left="720"/>
        <w:contextualSpacing/>
        <w:textAlignment w:val="auto"/>
        <w:rPr>
          <w:rFonts w:eastAsia="Calibri"/>
          <w:bCs/>
          <w:sz w:val="22"/>
          <w:szCs w:val="22"/>
        </w:rPr>
      </w:pPr>
      <w:r w:rsidRPr="00977B67">
        <w:rPr>
          <w:rFonts w:eastAsia="Calibri"/>
          <w:i/>
          <w:iCs/>
          <w:sz w:val="22"/>
          <w:szCs w:val="22"/>
        </w:rPr>
        <w:t>Not applicable.</w:t>
      </w:r>
    </w:p>
    <w:p w:rsidRPr="007617D9" w:rsidR="002122DD" w:rsidP="002122DD" w:rsidRDefault="002122DD" w14:paraId="79B65A6B" w14:textId="77777777">
      <w:pPr>
        <w:overflowPunct/>
        <w:autoSpaceDE/>
        <w:autoSpaceDN/>
        <w:adjustRightInd/>
        <w:spacing w:after="200" w:line="276" w:lineRule="auto"/>
        <w:ind w:left="1080"/>
        <w:contextualSpacing/>
        <w:textAlignment w:val="auto"/>
        <w:rPr>
          <w:rFonts w:eastAsia="Calibri"/>
          <w:sz w:val="22"/>
          <w:szCs w:val="22"/>
        </w:rPr>
      </w:pPr>
    </w:p>
    <w:p w:rsidRPr="007617D9" w:rsidR="002122DD" w:rsidP="002122DD" w:rsidRDefault="002122DD" w14:paraId="63B7A38B" w14:textId="77777777">
      <w:pPr>
        <w:keepLines/>
        <w:numPr>
          <w:ilvl w:val="0"/>
          <w:numId w:val="1"/>
        </w:numPr>
        <w:tabs>
          <w:tab w:val="left" w:pos="360"/>
        </w:tabs>
        <w:spacing w:after="80"/>
        <w:rPr>
          <w:rFonts w:eastAsia="Calibri"/>
          <w:sz w:val="22"/>
          <w:szCs w:val="22"/>
        </w:rPr>
      </w:pPr>
      <w:r w:rsidRPr="007617D9">
        <w:rPr>
          <w:rFonts w:eastAsia="Calibri"/>
          <w:sz w:val="22"/>
          <w:szCs w:val="22"/>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122DD" w:rsidP="002122DD" w:rsidRDefault="002122DD" w14:paraId="170A0243" w14:textId="77777777">
      <w:pPr>
        <w:overflowPunct/>
        <w:autoSpaceDE/>
        <w:autoSpaceDN/>
        <w:adjustRightInd/>
        <w:spacing w:after="200" w:line="276" w:lineRule="auto"/>
        <w:ind w:left="720"/>
        <w:contextualSpacing/>
        <w:textAlignment w:val="auto"/>
        <w:rPr>
          <w:rFonts w:eastAsia="Calibri"/>
          <w:bCs/>
          <w:sz w:val="22"/>
          <w:szCs w:val="22"/>
        </w:rPr>
      </w:pPr>
    </w:p>
    <w:p w:rsidRPr="00841F92" w:rsidR="002122DD" w:rsidP="002122DD" w:rsidRDefault="002122DD" w14:paraId="760573FE" w14:textId="77777777">
      <w:pPr>
        <w:overflowPunct/>
        <w:autoSpaceDE/>
        <w:autoSpaceDN/>
        <w:adjustRightInd/>
        <w:spacing w:after="200" w:line="276" w:lineRule="auto"/>
        <w:ind w:left="720" w:firstLine="360"/>
        <w:contextualSpacing/>
        <w:textAlignment w:val="auto"/>
        <w:rPr>
          <w:rFonts w:eastAsia="Calibri"/>
          <w:i/>
          <w:iCs/>
          <w:sz w:val="22"/>
          <w:szCs w:val="22"/>
        </w:rPr>
      </w:pPr>
      <w:r w:rsidRPr="5306CE21">
        <w:rPr>
          <w:rFonts w:eastAsia="Calibri"/>
          <w:i/>
          <w:iCs/>
          <w:sz w:val="22"/>
          <w:szCs w:val="22"/>
        </w:rPr>
        <w:t xml:space="preserve">HUD will first provide PHAs and POAs with the standardized checklist and survey questions that do not request Personally Identifiable Information; and, have PHAs and POAs commit to meeting HUD’s Office of the Chief Information Officer’s standards of data security and privacy. All data collection requests are de-identified. </w:t>
      </w:r>
    </w:p>
    <w:p w:rsidRPr="007617D9" w:rsidR="002122DD" w:rsidP="002122DD" w:rsidRDefault="002122DD" w14:paraId="4A3FC531" w14:textId="77777777">
      <w:pPr>
        <w:overflowPunct/>
        <w:autoSpaceDE/>
        <w:autoSpaceDN/>
        <w:adjustRightInd/>
        <w:spacing w:after="200" w:line="276" w:lineRule="auto"/>
        <w:ind w:left="1080"/>
        <w:contextualSpacing/>
        <w:textAlignment w:val="auto"/>
        <w:rPr>
          <w:rFonts w:eastAsia="Calibri"/>
          <w:sz w:val="22"/>
          <w:szCs w:val="22"/>
        </w:rPr>
      </w:pPr>
    </w:p>
    <w:p w:rsidR="002122DD" w:rsidP="002122DD" w:rsidRDefault="002122DD" w14:paraId="0B7CD4A0" w14:textId="77777777">
      <w:pPr>
        <w:keepLines/>
        <w:numPr>
          <w:ilvl w:val="0"/>
          <w:numId w:val="1"/>
        </w:numPr>
        <w:tabs>
          <w:tab w:val="left" w:pos="360"/>
        </w:tabs>
        <w:spacing w:after="80"/>
        <w:rPr>
          <w:rFonts w:eastAsia="Calibri"/>
          <w:sz w:val="22"/>
          <w:szCs w:val="22"/>
        </w:rPr>
      </w:pPr>
      <w:r w:rsidRPr="007617D9">
        <w:rPr>
          <w:rFonts w:eastAsia="Calibri"/>
          <w:sz w:val="22"/>
          <w:szCs w:val="22"/>
        </w:rPr>
        <w:t>requiring respondents to submit proprietary trade secret, or other confidential information unless the agency can demonstrate that it has instituted procedures to protect the information’s confidentiality to the extent permitted by law.</w:t>
      </w:r>
    </w:p>
    <w:p w:rsidRPr="00841F92" w:rsidR="002122DD" w:rsidP="002122DD" w:rsidRDefault="002122DD" w14:paraId="4EF5C036" w14:textId="77777777">
      <w:pPr>
        <w:keepLines/>
        <w:tabs>
          <w:tab w:val="left" w:pos="360"/>
        </w:tabs>
        <w:spacing w:after="80"/>
        <w:ind w:left="720"/>
        <w:rPr>
          <w:rFonts w:eastAsia="Calibri"/>
          <w:i/>
          <w:iCs/>
          <w:sz w:val="22"/>
          <w:szCs w:val="22"/>
        </w:rPr>
      </w:pPr>
      <w:r w:rsidRPr="00841F92">
        <w:rPr>
          <w:rFonts w:eastAsia="Calibri"/>
          <w:i/>
          <w:iCs/>
          <w:sz w:val="22"/>
          <w:szCs w:val="22"/>
        </w:rPr>
        <w:t>Not applicable.</w:t>
      </w:r>
    </w:p>
    <w:bookmarkEnd w:id="0"/>
    <w:p w:rsidR="002122DD" w:rsidP="002122DD" w:rsidRDefault="002122DD" w14:paraId="44DBB966" w14:textId="77777777">
      <w:pPr>
        <w:tabs>
          <w:tab w:val="left" w:pos="360"/>
        </w:tabs>
        <w:rPr>
          <w:color w:val="000000"/>
          <w:sz w:val="22"/>
        </w:rPr>
      </w:pPr>
    </w:p>
    <w:p w:rsidRPr="007077F2" w:rsidR="002122DD" w:rsidP="002122DD" w:rsidRDefault="002122DD" w14:paraId="3C645978" w14:textId="77777777">
      <w:pPr>
        <w:keepLines/>
        <w:tabs>
          <w:tab w:val="left" w:pos="360"/>
        </w:tabs>
        <w:spacing w:after="80"/>
        <w:ind w:left="360" w:hanging="360"/>
        <w:rPr>
          <w:i/>
          <w:iCs/>
          <w:color w:val="000000"/>
          <w:sz w:val="22"/>
        </w:rPr>
      </w:pPr>
      <w:r w:rsidRPr="00335B36">
        <w:rPr>
          <w:b/>
          <w:bCs/>
          <w:color w:val="000000"/>
          <w:sz w:val="18"/>
        </w:rPr>
        <w:t>8.</w:t>
      </w:r>
      <w:r w:rsidRPr="00335B36">
        <w:rPr>
          <w:b/>
          <w:bCs/>
          <w:color w:val="000000"/>
          <w:sz w:val="18"/>
        </w:rPr>
        <w:tab/>
      </w:r>
      <w:r w:rsidRPr="00335B36">
        <w:rPr>
          <w:b/>
          <w:bCs/>
          <w:color w:val="000000"/>
          <w:sz w:val="22"/>
        </w:rPr>
        <w:t xml:space="preserve">Identify the date and page number of the </w:t>
      </w:r>
      <w:r w:rsidRPr="00335B36">
        <w:rPr>
          <w:b/>
          <w:bCs/>
          <w:i/>
          <w:iCs/>
          <w:color w:val="000000"/>
          <w:sz w:val="22"/>
        </w:rPr>
        <w:t>Federal Register</w:t>
      </w:r>
      <w:r w:rsidRPr="00335B36">
        <w:rPr>
          <w:b/>
          <w:bCs/>
          <w:color w:val="000000"/>
          <w:sz w:val="22"/>
        </w:rPr>
        <w:t xml:space="preserve"> notice (and provide a copy) soliciting comments on the information.  Summarize public comments and describe actions taken by the agency in response to these comments.  Describe all efforts to consult with persons outside the agency to obtain them. </w:t>
      </w:r>
      <w:r w:rsidRPr="007077F2">
        <w:rPr>
          <w:i/>
          <w:iCs/>
          <w:color w:val="000000"/>
          <w:sz w:val="22"/>
        </w:rPr>
        <w:t xml:space="preserve">This is a new </w:t>
      </w:r>
      <w:proofErr w:type="gramStart"/>
      <w:r w:rsidRPr="007077F2">
        <w:rPr>
          <w:i/>
          <w:iCs/>
          <w:color w:val="000000"/>
          <w:sz w:val="22"/>
        </w:rPr>
        <w:t>ICR</w:t>
      </w:r>
      <w:proofErr w:type="gramEnd"/>
      <w:r>
        <w:rPr>
          <w:i/>
          <w:iCs/>
          <w:color w:val="000000"/>
          <w:sz w:val="22"/>
        </w:rPr>
        <w:t xml:space="preserve"> and HUD needs OMB approval to initiate this step</w:t>
      </w:r>
      <w:r w:rsidRPr="007077F2">
        <w:rPr>
          <w:i/>
          <w:iCs/>
          <w:color w:val="000000"/>
          <w:sz w:val="22"/>
        </w:rPr>
        <w:t>.</w:t>
      </w:r>
    </w:p>
    <w:p w:rsidRPr="00F24499" w:rsidR="002122DD" w:rsidP="002122DD" w:rsidRDefault="002122DD" w14:paraId="70C91B25" w14:textId="77777777">
      <w:pPr>
        <w:keepLines/>
        <w:tabs>
          <w:tab w:val="left" w:pos="360"/>
        </w:tabs>
        <w:spacing w:after="80"/>
        <w:ind w:left="360" w:hanging="360"/>
        <w:rPr>
          <w:b/>
          <w:bCs/>
          <w:color w:val="000000"/>
          <w:sz w:val="22"/>
        </w:rPr>
      </w:pPr>
    </w:p>
    <w:p w:rsidRPr="00F83286" w:rsidR="002122DD" w:rsidP="002122DD" w:rsidRDefault="002122DD" w14:paraId="6E235060" w14:textId="77777777">
      <w:pPr>
        <w:keepLines/>
        <w:tabs>
          <w:tab w:val="left" w:pos="360"/>
        </w:tabs>
        <w:spacing w:after="80"/>
        <w:ind w:left="360" w:hanging="360"/>
        <w:rPr>
          <w:b/>
          <w:bCs/>
          <w:color w:val="000000"/>
          <w:sz w:val="22"/>
        </w:rPr>
      </w:pPr>
      <w:r w:rsidRPr="00F83286">
        <w:rPr>
          <w:b/>
          <w:bCs/>
          <w:color w:val="000000"/>
          <w:sz w:val="18"/>
        </w:rPr>
        <w:t>9.</w:t>
      </w:r>
      <w:r w:rsidRPr="00F83286">
        <w:rPr>
          <w:b/>
          <w:bCs/>
          <w:color w:val="000000"/>
          <w:sz w:val="18"/>
        </w:rPr>
        <w:tab/>
      </w:r>
      <w:r w:rsidRPr="000612BD">
        <w:rPr>
          <w:b/>
          <w:bCs/>
          <w:color w:val="000000"/>
          <w:sz w:val="22"/>
        </w:rPr>
        <w:t xml:space="preserve">Explain any decision to provide any payment or gift to respondents, other than </w:t>
      </w:r>
      <w:proofErr w:type="spellStart"/>
      <w:r w:rsidRPr="000612BD">
        <w:rPr>
          <w:b/>
          <w:bCs/>
          <w:color w:val="000000"/>
          <w:sz w:val="22"/>
        </w:rPr>
        <w:t>reenumeration</w:t>
      </w:r>
      <w:proofErr w:type="spellEnd"/>
      <w:r w:rsidRPr="000612BD">
        <w:rPr>
          <w:b/>
          <w:bCs/>
          <w:color w:val="000000"/>
          <w:sz w:val="22"/>
        </w:rPr>
        <w:t xml:space="preserve"> of</w:t>
      </w:r>
      <w:r>
        <w:rPr>
          <w:b/>
          <w:bCs/>
          <w:color w:val="000000"/>
          <w:sz w:val="22"/>
        </w:rPr>
        <w:t xml:space="preserve"> </w:t>
      </w:r>
      <w:r w:rsidRPr="000612BD">
        <w:rPr>
          <w:b/>
          <w:bCs/>
          <w:color w:val="000000"/>
          <w:sz w:val="22"/>
        </w:rPr>
        <w:t>contractors or grantees.</w:t>
      </w:r>
    </w:p>
    <w:p w:rsidRPr="00865C62" w:rsidR="002122DD" w:rsidP="002122DD" w:rsidRDefault="002122DD" w14:paraId="5BCF6F7B" w14:textId="77777777">
      <w:pPr>
        <w:tabs>
          <w:tab w:val="left" w:pos="360"/>
        </w:tabs>
        <w:rPr>
          <w:color w:val="000000"/>
          <w:sz w:val="22"/>
          <w:szCs w:val="22"/>
        </w:rPr>
      </w:pPr>
      <w:r>
        <w:rPr>
          <w:color w:val="000000"/>
          <w:sz w:val="18"/>
        </w:rPr>
        <w:tab/>
      </w:r>
    </w:p>
    <w:p w:rsidR="002122DD" w:rsidP="002122DD" w:rsidRDefault="002122DD" w14:paraId="3FF49E38" w14:textId="77777777">
      <w:pPr>
        <w:tabs>
          <w:tab w:val="left" w:pos="360"/>
        </w:tabs>
        <w:ind w:left="720" w:hanging="360"/>
        <w:rPr>
          <w:color w:val="000000"/>
          <w:sz w:val="22"/>
          <w:szCs w:val="22"/>
        </w:rPr>
      </w:pPr>
      <w:r w:rsidRPr="00841F92">
        <w:rPr>
          <w:color w:val="000000"/>
          <w:sz w:val="22"/>
          <w:szCs w:val="22"/>
        </w:rPr>
        <w:t>Because physical property inspection is part of HUD REAC’s routines and mandated line of business, an incentive for</w:t>
      </w:r>
    </w:p>
    <w:p w:rsidR="002122DD" w:rsidP="002122DD" w:rsidRDefault="002122DD" w14:paraId="2666B0B3" w14:textId="77777777">
      <w:pPr>
        <w:tabs>
          <w:tab w:val="left" w:pos="360"/>
        </w:tabs>
        <w:ind w:left="720" w:hanging="360"/>
        <w:rPr>
          <w:color w:val="000000"/>
          <w:sz w:val="22"/>
          <w:szCs w:val="22"/>
        </w:rPr>
      </w:pPr>
      <w:r w:rsidRPr="00841F92">
        <w:rPr>
          <w:color w:val="000000"/>
          <w:sz w:val="22"/>
          <w:szCs w:val="22"/>
        </w:rPr>
        <w:t>respondents are not requested at this time.</w:t>
      </w:r>
    </w:p>
    <w:p w:rsidRPr="00841F92" w:rsidR="002122DD" w:rsidP="002122DD" w:rsidRDefault="002122DD" w14:paraId="4C957B26" w14:textId="77777777">
      <w:pPr>
        <w:tabs>
          <w:tab w:val="left" w:pos="360"/>
        </w:tabs>
        <w:ind w:left="720" w:hanging="360"/>
        <w:rPr>
          <w:color w:val="000000"/>
          <w:sz w:val="22"/>
          <w:szCs w:val="22"/>
        </w:rPr>
      </w:pPr>
    </w:p>
    <w:p w:rsidRPr="00F83286" w:rsidR="002122DD" w:rsidP="002122DD" w:rsidRDefault="002122DD" w14:paraId="1DA23C85" w14:textId="77777777">
      <w:pPr>
        <w:keepLines/>
        <w:tabs>
          <w:tab w:val="left" w:pos="360"/>
        </w:tabs>
        <w:spacing w:after="80"/>
        <w:ind w:left="360" w:hanging="360"/>
        <w:rPr>
          <w:b/>
          <w:bCs/>
          <w:color w:val="000000"/>
          <w:sz w:val="22"/>
        </w:rPr>
      </w:pPr>
      <w:r w:rsidRPr="00F83286">
        <w:rPr>
          <w:b/>
          <w:bCs/>
          <w:color w:val="000000"/>
          <w:sz w:val="18"/>
        </w:rPr>
        <w:t>10.</w:t>
      </w:r>
      <w:r w:rsidRPr="00F83286">
        <w:rPr>
          <w:b/>
          <w:bCs/>
          <w:color w:val="000000"/>
          <w:sz w:val="18"/>
        </w:rPr>
        <w:tab/>
      </w:r>
      <w:r w:rsidRPr="00F83286">
        <w:rPr>
          <w:b/>
          <w:bCs/>
          <w:color w:val="000000"/>
          <w:sz w:val="22"/>
        </w:rPr>
        <w:t xml:space="preserve">Describe any assurance of confidentiality provided to respondents and the basis for assurance in statute, </w:t>
      </w:r>
      <w:proofErr w:type="gramStart"/>
      <w:r w:rsidRPr="00F83286">
        <w:rPr>
          <w:b/>
          <w:bCs/>
          <w:color w:val="000000"/>
          <w:sz w:val="22"/>
        </w:rPr>
        <w:t>regulation</w:t>
      </w:r>
      <w:proofErr w:type="gramEnd"/>
      <w:r w:rsidRPr="00F83286">
        <w:rPr>
          <w:b/>
          <w:bCs/>
          <w:color w:val="000000"/>
          <w:sz w:val="22"/>
        </w:rPr>
        <w:t xml:space="preserve"> or agency policy.</w:t>
      </w:r>
    </w:p>
    <w:p w:rsidRPr="00865C62" w:rsidR="002122DD" w:rsidP="002122DD" w:rsidRDefault="002122DD" w14:paraId="73F87A61" w14:textId="77777777">
      <w:pPr>
        <w:tabs>
          <w:tab w:val="left" w:pos="360"/>
        </w:tabs>
        <w:rPr>
          <w:color w:val="000000"/>
          <w:sz w:val="22"/>
          <w:szCs w:val="22"/>
        </w:rPr>
      </w:pPr>
      <w:r>
        <w:rPr>
          <w:color w:val="000000"/>
          <w:sz w:val="18"/>
        </w:rPr>
        <w:tab/>
      </w:r>
    </w:p>
    <w:p w:rsidR="002122DD" w:rsidP="002122DD" w:rsidRDefault="002122DD" w14:paraId="1E7BC0B2" w14:textId="77777777">
      <w:pPr>
        <w:tabs>
          <w:tab w:val="left" w:pos="360"/>
        </w:tabs>
        <w:ind w:left="360" w:hanging="360"/>
        <w:rPr>
          <w:color w:val="000000"/>
          <w:sz w:val="22"/>
          <w:szCs w:val="22"/>
        </w:rPr>
      </w:pPr>
      <w:r w:rsidRPr="5306CE21">
        <w:rPr>
          <w:color w:val="000000" w:themeColor="text1"/>
          <w:sz w:val="18"/>
          <w:szCs w:val="18"/>
        </w:rPr>
        <w:t xml:space="preserve">        </w:t>
      </w:r>
      <w:r w:rsidRPr="5306CE21">
        <w:rPr>
          <w:color w:val="000000" w:themeColor="text1"/>
          <w:sz w:val="22"/>
          <w:szCs w:val="22"/>
        </w:rPr>
        <w:t>HUD has selected an approach to avoid the collection and transfer of Personally Identifiable Information (PII) by using the inspection and unit ID as unique identifiers for the checklist and surveys. </w:t>
      </w:r>
    </w:p>
    <w:p w:rsidRPr="00841F92" w:rsidR="002122DD" w:rsidP="002122DD" w:rsidRDefault="002122DD" w14:paraId="0C9C1E0C" w14:textId="77777777">
      <w:pPr>
        <w:tabs>
          <w:tab w:val="left" w:pos="360"/>
        </w:tabs>
        <w:ind w:left="360" w:hanging="360"/>
        <w:rPr>
          <w:color w:val="000000"/>
          <w:sz w:val="22"/>
          <w:szCs w:val="22"/>
        </w:rPr>
      </w:pPr>
    </w:p>
    <w:p w:rsidR="002122DD" w:rsidP="002122DD" w:rsidRDefault="002122DD" w14:paraId="5C395A5F" w14:textId="77777777">
      <w:pPr>
        <w:keepLines/>
        <w:tabs>
          <w:tab w:val="left" w:pos="360"/>
        </w:tabs>
        <w:spacing w:after="80"/>
        <w:ind w:left="360" w:hanging="360"/>
        <w:rPr>
          <w:b/>
          <w:bCs/>
          <w:color w:val="000000"/>
          <w:sz w:val="22"/>
        </w:rPr>
      </w:pPr>
      <w:r w:rsidRPr="00F83286">
        <w:rPr>
          <w:b/>
          <w:bCs/>
          <w:color w:val="000000"/>
          <w:sz w:val="18"/>
        </w:rPr>
        <w:t>11.</w:t>
      </w:r>
      <w:r w:rsidRPr="00F83286">
        <w:rPr>
          <w:b/>
          <w:bCs/>
          <w:color w:val="000000"/>
          <w:sz w:val="18"/>
        </w:rPr>
        <w:tab/>
      </w:r>
      <w:r w:rsidRPr="000612BD">
        <w:rPr>
          <w:b/>
          <w:bCs/>
          <w:color w:val="000000"/>
          <w:sz w:val="22"/>
        </w:rPr>
        <w:t>Provide additional justification for any questions of a sensitive nature, such as sexual behavior and attitudes, religious beliefs, and other matters that are commonly considered private.</w:t>
      </w:r>
    </w:p>
    <w:p w:rsidRPr="00F83286" w:rsidR="002122DD" w:rsidP="002122DD" w:rsidRDefault="002122DD" w14:paraId="1F4CC834" w14:textId="77777777">
      <w:pPr>
        <w:keepLines/>
        <w:tabs>
          <w:tab w:val="left" w:pos="360"/>
        </w:tabs>
        <w:spacing w:after="80"/>
        <w:ind w:left="360" w:hanging="360"/>
        <w:rPr>
          <w:b/>
          <w:bCs/>
          <w:color w:val="000000"/>
          <w:sz w:val="22"/>
        </w:rPr>
      </w:pPr>
    </w:p>
    <w:p w:rsidR="002122DD" w:rsidP="002122DD" w:rsidRDefault="002122DD" w14:paraId="5FA936A0" w14:textId="77777777">
      <w:pPr>
        <w:tabs>
          <w:tab w:val="left" w:pos="360"/>
        </w:tabs>
        <w:ind w:left="360"/>
        <w:rPr>
          <w:color w:val="000000" w:themeColor="text1"/>
          <w:sz w:val="22"/>
          <w:szCs w:val="22"/>
        </w:rPr>
      </w:pPr>
      <w:r w:rsidRPr="5306CE21">
        <w:rPr>
          <w:color w:val="000000" w:themeColor="text1"/>
          <w:sz w:val="22"/>
          <w:szCs w:val="22"/>
        </w:rPr>
        <w:t xml:space="preserve">The checklist and questionnaires do not collect financial and identifying information. The questions focus on typical   topics that comprise an RVI. </w:t>
      </w:r>
    </w:p>
    <w:p w:rsidR="002122DD" w:rsidP="002122DD" w:rsidRDefault="002122DD" w14:paraId="79A179C1" w14:textId="77777777">
      <w:pPr>
        <w:tabs>
          <w:tab w:val="left" w:pos="360"/>
        </w:tabs>
        <w:rPr>
          <w:color w:val="000000" w:themeColor="text1"/>
          <w:sz w:val="22"/>
          <w:szCs w:val="22"/>
        </w:rPr>
      </w:pPr>
    </w:p>
    <w:p w:rsidR="002122DD" w:rsidP="002122DD" w:rsidRDefault="002122DD" w14:paraId="42C8D4F4" w14:textId="77777777">
      <w:pPr>
        <w:tabs>
          <w:tab w:val="left" w:pos="360"/>
        </w:tabs>
        <w:ind w:left="360" w:hanging="360"/>
        <w:rPr>
          <w:color w:val="000000"/>
          <w:sz w:val="18"/>
        </w:rPr>
      </w:pPr>
    </w:p>
    <w:p w:rsidRPr="00F83286" w:rsidR="002122DD" w:rsidP="002122DD" w:rsidRDefault="002122DD" w14:paraId="2D9E6796" w14:textId="77777777">
      <w:pPr>
        <w:keepLines/>
        <w:tabs>
          <w:tab w:val="left" w:pos="360"/>
        </w:tabs>
        <w:spacing w:after="80"/>
        <w:ind w:left="360" w:hanging="360"/>
        <w:rPr>
          <w:b/>
          <w:bCs/>
          <w:color w:val="000000"/>
          <w:sz w:val="22"/>
        </w:rPr>
      </w:pPr>
      <w:r w:rsidRPr="47C66882">
        <w:rPr>
          <w:b/>
          <w:color w:val="000000" w:themeColor="text1"/>
          <w:sz w:val="18"/>
          <w:szCs w:val="18"/>
        </w:rPr>
        <w:t>12.</w:t>
      </w:r>
      <w:r>
        <w:tab/>
      </w:r>
      <w:r w:rsidRPr="47C66882">
        <w:rPr>
          <w:b/>
          <w:color w:val="000000" w:themeColor="text1"/>
          <w:sz w:val="22"/>
          <w:szCs w:val="22"/>
        </w:rPr>
        <w:t>Provide estimates of the hour burden of the collection of information. The statement should: * Indicate the number of respondents, frequency of response, annual hour burden, and an explanation of how the burden was estimated.  Read the complete instructions on the form 83i.</w:t>
      </w:r>
    </w:p>
    <w:p w:rsidR="002122DD" w:rsidP="002122DD" w:rsidRDefault="002122DD" w14:paraId="30F8C241" w14:textId="77777777">
      <w:pPr>
        <w:keepLines/>
        <w:spacing w:after="80"/>
        <w:ind w:left="360" w:hanging="360"/>
        <w:rPr>
          <w:color w:val="000000" w:themeColor="text1"/>
          <w:sz w:val="22"/>
          <w:szCs w:val="22"/>
        </w:rPr>
      </w:pPr>
    </w:p>
    <w:tbl>
      <w:tblPr>
        <w:tblW w:w="10920" w:type="dxa"/>
        <w:tblLayout w:type="fixed"/>
        <w:tblLook w:val="04A0" w:firstRow="1" w:lastRow="0" w:firstColumn="1" w:lastColumn="0" w:noHBand="0" w:noVBand="1"/>
      </w:tblPr>
      <w:tblGrid>
        <w:gridCol w:w="2415"/>
        <w:gridCol w:w="1260"/>
        <w:gridCol w:w="1245"/>
        <w:gridCol w:w="1335"/>
        <w:gridCol w:w="1425"/>
        <w:gridCol w:w="900"/>
        <w:gridCol w:w="810"/>
        <w:gridCol w:w="1530"/>
      </w:tblGrid>
      <w:tr w:rsidRPr="00D9757C" w:rsidR="002122DD" w:rsidTr="00AC3E63" w14:paraId="64EE6DD4" w14:textId="77777777">
        <w:trPr>
          <w:trHeight w:val="1485"/>
        </w:trPr>
        <w:tc>
          <w:tcPr>
            <w:tcW w:w="2415" w:type="dxa"/>
            <w:tcBorders>
              <w:top w:val="single" w:color="auto" w:sz="8" w:space="0"/>
              <w:left w:val="single" w:color="auto" w:sz="8" w:space="0"/>
              <w:bottom w:val="single" w:color="000000" w:themeColor="text1" w:sz="8" w:space="0"/>
              <w:right w:val="single" w:color="000000" w:themeColor="text1" w:sz="8" w:space="0"/>
            </w:tcBorders>
            <w:shd w:val="clear" w:color="auto" w:fill="C6D9F1"/>
          </w:tcPr>
          <w:p w:rsidRPr="0096251D" w:rsidR="002122DD" w:rsidP="00AC3E63" w:rsidRDefault="002122DD" w14:paraId="52410C82" w14:textId="77777777">
            <w:pPr>
              <w:rPr>
                <w:sz w:val="18"/>
                <w:szCs w:val="18"/>
              </w:rPr>
            </w:pPr>
            <w:r w:rsidRPr="00D9757C">
              <w:rPr>
                <w:b/>
                <w:bCs/>
                <w:sz w:val="18"/>
                <w:szCs w:val="18"/>
              </w:rPr>
              <w:t>#Informati</w:t>
            </w:r>
            <w:r w:rsidRPr="00D9757C">
              <w:rPr>
                <w:b/>
                <w:bCs/>
                <w:color w:val="000000" w:themeColor="text1"/>
                <w:sz w:val="18"/>
                <w:szCs w:val="18"/>
              </w:rPr>
              <w:t>on</w:t>
            </w:r>
            <w:r w:rsidRPr="00D9757C">
              <w:rPr>
                <w:color w:val="000000" w:themeColor="text1"/>
                <w:sz w:val="18"/>
                <w:szCs w:val="18"/>
              </w:rPr>
              <w:t xml:space="preserve"> </w:t>
            </w:r>
          </w:p>
          <w:p w:rsidRPr="0096251D" w:rsidR="002122DD" w:rsidP="00AC3E63" w:rsidRDefault="002122DD" w14:paraId="2489A95A" w14:textId="77777777">
            <w:pPr>
              <w:rPr>
                <w:sz w:val="18"/>
                <w:szCs w:val="18"/>
              </w:rPr>
            </w:pPr>
            <w:r w:rsidRPr="00D9757C">
              <w:rPr>
                <w:b/>
                <w:bCs/>
                <w:color w:val="000000" w:themeColor="text1"/>
                <w:sz w:val="18"/>
                <w:szCs w:val="18"/>
              </w:rPr>
              <w:t>Collection</w:t>
            </w:r>
            <w:r w:rsidRPr="00D9757C">
              <w:rPr>
                <w:color w:val="000000" w:themeColor="text1"/>
                <w:sz w:val="18"/>
                <w:szCs w:val="18"/>
              </w:rPr>
              <w:t xml:space="preserve"> </w:t>
            </w:r>
          </w:p>
        </w:tc>
        <w:tc>
          <w:tcPr>
            <w:tcW w:w="1260" w:type="dxa"/>
            <w:tcBorders>
              <w:top w:val="single" w:color="auto" w:sz="8" w:space="0"/>
              <w:left w:val="single" w:color="000000" w:themeColor="text1" w:sz="8" w:space="0"/>
              <w:bottom w:val="single" w:color="000000" w:themeColor="text1" w:sz="8" w:space="0"/>
              <w:right w:val="single" w:color="000000" w:themeColor="text1" w:sz="8" w:space="0"/>
            </w:tcBorders>
            <w:shd w:val="clear" w:color="auto" w:fill="C6D9F1"/>
          </w:tcPr>
          <w:p w:rsidRPr="0096251D" w:rsidR="002122DD" w:rsidP="00AC3E63" w:rsidRDefault="002122DD" w14:paraId="5032982B" w14:textId="77777777">
            <w:pPr>
              <w:rPr>
                <w:sz w:val="18"/>
                <w:szCs w:val="18"/>
              </w:rPr>
            </w:pPr>
            <w:r w:rsidRPr="00D9757C">
              <w:rPr>
                <w:b/>
                <w:bCs/>
                <w:color w:val="000000" w:themeColor="text1"/>
                <w:sz w:val="18"/>
                <w:szCs w:val="18"/>
              </w:rPr>
              <w:t>Number of</w:t>
            </w:r>
            <w:r w:rsidRPr="00D9757C">
              <w:rPr>
                <w:color w:val="000000" w:themeColor="text1"/>
                <w:sz w:val="18"/>
                <w:szCs w:val="18"/>
              </w:rPr>
              <w:t xml:space="preserve"> </w:t>
            </w:r>
          </w:p>
          <w:p w:rsidRPr="0096251D" w:rsidR="002122DD" w:rsidP="00AC3E63" w:rsidRDefault="002122DD" w14:paraId="4004857C" w14:textId="77777777">
            <w:pPr>
              <w:rPr>
                <w:sz w:val="18"/>
                <w:szCs w:val="18"/>
              </w:rPr>
            </w:pPr>
            <w:r w:rsidRPr="00D9757C">
              <w:rPr>
                <w:b/>
                <w:bCs/>
                <w:color w:val="000000" w:themeColor="text1"/>
                <w:sz w:val="18"/>
                <w:szCs w:val="18"/>
              </w:rPr>
              <w:t>Respondents</w:t>
            </w:r>
            <w:r w:rsidRPr="00D9757C">
              <w:rPr>
                <w:color w:val="000000" w:themeColor="text1"/>
                <w:sz w:val="18"/>
                <w:szCs w:val="18"/>
              </w:rPr>
              <w:t xml:space="preserve"> </w:t>
            </w:r>
          </w:p>
          <w:p w:rsidRPr="0096251D" w:rsidR="002122DD" w:rsidP="00AC3E63" w:rsidRDefault="002122DD" w14:paraId="0881B40D" w14:textId="77777777">
            <w:pPr>
              <w:rPr>
                <w:sz w:val="18"/>
                <w:szCs w:val="18"/>
              </w:rPr>
            </w:pPr>
            <w:r w:rsidRPr="00D9757C">
              <w:rPr>
                <w:color w:val="000000" w:themeColor="text1"/>
                <w:sz w:val="18"/>
                <w:szCs w:val="18"/>
              </w:rPr>
              <w:t>(</w:t>
            </w:r>
            <w:r>
              <w:rPr>
                <w:color w:val="000000" w:themeColor="text1"/>
                <w:sz w:val="18"/>
                <w:szCs w:val="18"/>
              </w:rPr>
              <w:t>12.5</w:t>
            </w:r>
            <w:r w:rsidRPr="00D9757C">
              <w:rPr>
                <w:color w:val="000000" w:themeColor="text1"/>
                <w:sz w:val="18"/>
                <w:szCs w:val="18"/>
              </w:rPr>
              <w:t>% of Properties Inspected overall and then split in half by program type)</w:t>
            </w:r>
          </w:p>
        </w:tc>
        <w:tc>
          <w:tcPr>
            <w:tcW w:w="1245" w:type="dxa"/>
            <w:tcBorders>
              <w:top w:val="single" w:color="auto" w:sz="8" w:space="0"/>
              <w:left w:val="single" w:color="000000" w:themeColor="text1" w:sz="8" w:space="0"/>
              <w:bottom w:val="single" w:color="000000" w:themeColor="text1" w:sz="8" w:space="0"/>
              <w:right w:val="single" w:color="000000" w:themeColor="text1" w:sz="8" w:space="0"/>
            </w:tcBorders>
            <w:shd w:val="clear" w:color="auto" w:fill="C6D9F1"/>
          </w:tcPr>
          <w:p w:rsidRPr="0096251D" w:rsidR="002122DD" w:rsidP="00AC3E63" w:rsidRDefault="002122DD" w14:paraId="72E50D91" w14:textId="77777777">
            <w:pPr>
              <w:rPr>
                <w:sz w:val="18"/>
                <w:szCs w:val="18"/>
              </w:rPr>
            </w:pPr>
            <w:r w:rsidRPr="00D9757C">
              <w:rPr>
                <w:b/>
                <w:bCs/>
                <w:color w:val="000000" w:themeColor="text1"/>
                <w:sz w:val="18"/>
                <w:szCs w:val="18"/>
              </w:rPr>
              <w:t>*Average Number of Reponses per Respondent</w:t>
            </w:r>
            <w:r w:rsidRPr="00D9757C">
              <w:rPr>
                <w:color w:val="000000" w:themeColor="text1"/>
                <w:sz w:val="18"/>
                <w:szCs w:val="18"/>
              </w:rPr>
              <w:t xml:space="preserve"> </w:t>
            </w:r>
          </w:p>
        </w:tc>
        <w:tc>
          <w:tcPr>
            <w:tcW w:w="1335" w:type="dxa"/>
            <w:tcBorders>
              <w:top w:val="single" w:color="auto" w:sz="8" w:space="0"/>
              <w:left w:val="single" w:color="000000" w:themeColor="text1" w:sz="8" w:space="0"/>
              <w:bottom w:val="single" w:color="000000" w:themeColor="text1" w:sz="8" w:space="0"/>
              <w:right w:val="single" w:color="000000" w:themeColor="text1" w:sz="8" w:space="0"/>
            </w:tcBorders>
            <w:shd w:val="clear" w:color="auto" w:fill="C6D9F1"/>
          </w:tcPr>
          <w:p w:rsidRPr="00D9757C" w:rsidR="002122DD" w:rsidP="00AC3E63" w:rsidRDefault="002122DD" w14:paraId="58467261" w14:textId="77777777">
            <w:pPr>
              <w:rPr>
                <w:b/>
                <w:bCs/>
                <w:color w:val="000000" w:themeColor="text1"/>
                <w:sz w:val="18"/>
                <w:szCs w:val="18"/>
              </w:rPr>
            </w:pPr>
            <w:r w:rsidRPr="00D9757C">
              <w:rPr>
                <w:b/>
                <w:bCs/>
                <w:color w:val="000000" w:themeColor="text1"/>
                <w:sz w:val="18"/>
                <w:szCs w:val="18"/>
              </w:rPr>
              <w:t>Total Annual Responses</w:t>
            </w:r>
          </w:p>
          <w:p w:rsidRPr="0096251D" w:rsidR="002122DD" w:rsidP="00AC3E63" w:rsidRDefault="002122DD" w14:paraId="219ED313" w14:textId="77777777">
            <w:pPr>
              <w:rPr>
                <w:sz w:val="18"/>
                <w:szCs w:val="18"/>
              </w:rPr>
            </w:pPr>
            <w:r w:rsidRPr="00D9757C">
              <w:rPr>
                <w:color w:val="000000" w:themeColor="text1"/>
                <w:sz w:val="18"/>
                <w:szCs w:val="18"/>
              </w:rPr>
              <w:t>(</w:t>
            </w:r>
            <w:r>
              <w:rPr>
                <w:color w:val="000000" w:themeColor="text1"/>
                <w:sz w:val="18"/>
                <w:szCs w:val="18"/>
              </w:rPr>
              <w:t>12.5</w:t>
            </w:r>
            <w:r w:rsidRPr="00D9757C">
              <w:rPr>
                <w:color w:val="000000" w:themeColor="text1"/>
                <w:sz w:val="18"/>
                <w:szCs w:val="18"/>
              </w:rPr>
              <w:t xml:space="preserve">% of Properties Inspected overall and then split in half by program type) </w:t>
            </w:r>
          </w:p>
        </w:tc>
        <w:tc>
          <w:tcPr>
            <w:tcW w:w="1425" w:type="dxa"/>
            <w:tcBorders>
              <w:top w:val="single" w:color="auto" w:sz="8" w:space="0"/>
              <w:left w:val="single" w:color="000000" w:themeColor="text1" w:sz="8" w:space="0"/>
              <w:bottom w:val="single" w:color="000000" w:themeColor="text1" w:sz="8" w:space="0"/>
              <w:right w:val="single" w:color="000000" w:themeColor="text1" w:sz="8" w:space="0"/>
            </w:tcBorders>
            <w:shd w:val="clear" w:color="auto" w:fill="C6D9F1"/>
          </w:tcPr>
          <w:p w:rsidRPr="00D9757C" w:rsidR="002122DD" w:rsidP="00AC3E63" w:rsidRDefault="002122DD" w14:paraId="65143F97" w14:textId="77777777">
            <w:pPr>
              <w:jc w:val="center"/>
              <w:rPr>
                <w:b/>
                <w:bCs/>
                <w:color w:val="000000" w:themeColor="text1"/>
                <w:sz w:val="18"/>
                <w:szCs w:val="18"/>
              </w:rPr>
            </w:pPr>
            <w:r w:rsidRPr="00D9757C">
              <w:rPr>
                <w:b/>
                <w:bCs/>
                <w:color w:val="000000" w:themeColor="text1"/>
                <w:sz w:val="18"/>
                <w:szCs w:val="18"/>
              </w:rPr>
              <w:t>Burden Hours/Minutes per Response</w:t>
            </w:r>
          </w:p>
          <w:p w:rsidRPr="00D9757C" w:rsidR="002122DD" w:rsidP="00AC3E63" w:rsidRDefault="002122DD" w14:paraId="54D86CD4" w14:textId="77777777">
            <w:pPr>
              <w:jc w:val="center"/>
              <w:rPr>
                <w:color w:val="000000" w:themeColor="text1"/>
                <w:sz w:val="18"/>
                <w:szCs w:val="18"/>
              </w:rPr>
            </w:pPr>
          </w:p>
        </w:tc>
        <w:tc>
          <w:tcPr>
            <w:tcW w:w="900" w:type="dxa"/>
            <w:tcBorders>
              <w:top w:val="single" w:color="auto" w:sz="8" w:space="0"/>
              <w:left w:val="single" w:color="000000" w:themeColor="text1" w:sz="8" w:space="0"/>
              <w:bottom w:val="single" w:color="000000" w:themeColor="text1" w:sz="8" w:space="0"/>
              <w:right w:val="single" w:color="000000" w:themeColor="text1" w:sz="8" w:space="0"/>
            </w:tcBorders>
            <w:shd w:val="clear" w:color="auto" w:fill="C6D9F1"/>
          </w:tcPr>
          <w:p w:rsidRPr="0096251D" w:rsidR="002122DD" w:rsidP="00AC3E63" w:rsidRDefault="002122DD" w14:paraId="0DD3ED37" w14:textId="77777777">
            <w:pPr>
              <w:rPr>
                <w:sz w:val="18"/>
                <w:szCs w:val="18"/>
              </w:rPr>
            </w:pPr>
            <w:r w:rsidRPr="00D9757C">
              <w:rPr>
                <w:b/>
                <w:bCs/>
                <w:color w:val="000000" w:themeColor="text1"/>
                <w:sz w:val="18"/>
                <w:szCs w:val="18"/>
              </w:rPr>
              <w:t xml:space="preserve">    Total  </w:t>
            </w:r>
            <w:r w:rsidRPr="00D9757C">
              <w:rPr>
                <w:color w:val="000000" w:themeColor="text1"/>
                <w:sz w:val="18"/>
                <w:szCs w:val="18"/>
              </w:rPr>
              <w:t xml:space="preserve"> </w:t>
            </w:r>
          </w:p>
          <w:p w:rsidRPr="0096251D" w:rsidR="002122DD" w:rsidP="00AC3E63" w:rsidRDefault="002122DD" w14:paraId="1640158C" w14:textId="77777777">
            <w:pPr>
              <w:rPr>
                <w:sz w:val="18"/>
                <w:szCs w:val="18"/>
              </w:rPr>
            </w:pPr>
            <w:r w:rsidRPr="00D9757C">
              <w:rPr>
                <w:b/>
                <w:bCs/>
                <w:color w:val="000000" w:themeColor="text1"/>
                <w:sz w:val="18"/>
                <w:szCs w:val="18"/>
              </w:rPr>
              <w:t xml:space="preserve">    Hours       </w:t>
            </w:r>
            <w:r w:rsidRPr="00D9757C">
              <w:rPr>
                <w:color w:val="000000" w:themeColor="text1"/>
                <w:sz w:val="18"/>
                <w:szCs w:val="18"/>
              </w:rPr>
              <w:t xml:space="preserve"> </w:t>
            </w:r>
          </w:p>
        </w:tc>
        <w:tc>
          <w:tcPr>
            <w:tcW w:w="810" w:type="dxa"/>
            <w:tcBorders>
              <w:top w:val="single" w:color="auto" w:sz="8" w:space="0"/>
              <w:left w:val="single" w:color="000000" w:themeColor="text1" w:sz="8" w:space="0"/>
              <w:bottom w:val="single" w:color="000000" w:themeColor="text1" w:sz="8" w:space="0"/>
              <w:right w:val="single" w:color="000000" w:themeColor="text1" w:sz="8" w:space="0"/>
            </w:tcBorders>
            <w:shd w:val="clear" w:color="auto" w:fill="C6D9F1"/>
          </w:tcPr>
          <w:p w:rsidRPr="0096251D" w:rsidR="002122DD" w:rsidP="00AC3E63" w:rsidRDefault="002122DD" w14:paraId="33876909" w14:textId="77777777">
            <w:pPr>
              <w:rPr>
                <w:sz w:val="18"/>
                <w:szCs w:val="18"/>
              </w:rPr>
            </w:pPr>
            <w:r w:rsidRPr="00D9757C">
              <w:rPr>
                <w:b/>
                <w:bCs/>
                <w:color w:val="000000" w:themeColor="text1"/>
                <w:sz w:val="18"/>
                <w:szCs w:val="18"/>
              </w:rPr>
              <w:t>Hourly Cost</w:t>
            </w:r>
            <w:r w:rsidRPr="00D9757C">
              <w:rPr>
                <w:color w:val="000000" w:themeColor="text1"/>
                <w:sz w:val="18"/>
                <w:szCs w:val="18"/>
              </w:rPr>
              <w:t xml:space="preserve"> </w:t>
            </w:r>
          </w:p>
        </w:tc>
        <w:tc>
          <w:tcPr>
            <w:tcW w:w="1530" w:type="dxa"/>
            <w:tcBorders>
              <w:top w:val="single" w:color="auto" w:sz="8" w:space="0"/>
              <w:left w:val="single" w:color="000000" w:themeColor="text1" w:sz="8" w:space="0"/>
              <w:bottom w:val="single" w:color="000000" w:themeColor="text1" w:sz="8" w:space="0"/>
              <w:right w:val="single" w:color="000000" w:themeColor="text1" w:sz="8" w:space="0"/>
            </w:tcBorders>
            <w:shd w:val="clear" w:color="auto" w:fill="C6D9F1"/>
          </w:tcPr>
          <w:p w:rsidRPr="0096251D" w:rsidR="002122DD" w:rsidP="00AC3E63" w:rsidRDefault="002122DD" w14:paraId="6CD55B8E" w14:textId="77777777">
            <w:pPr>
              <w:rPr>
                <w:sz w:val="18"/>
                <w:szCs w:val="18"/>
              </w:rPr>
            </w:pPr>
            <w:r w:rsidRPr="00D9757C">
              <w:rPr>
                <w:b/>
                <w:bCs/>
                <w:color w:val="000000" w:themeColor="text1"/>
                <w:sz w:val="18"/>
                <w:szCs w:val="18"/>
              </w:rPr>
              <w:t>Total Annual Cost</w:t>
            </w:r>
            <w:r w:rsidRPr="00D9757C">
              <w:rPr>
                <w:color w:val="000000" w:themeColor="text1"/>
                <w:sz w:val="18"/>
                <w:szCs w:val="18"/>
              </w:rPr>
              <w:t xml:space="preserve"> </w:t>
            </w:r>
          </w:p>
          <w:p w:rsidRPr="0096251D" w:rsidR="002122DD" w:rsidP="00AC3E63" w:rsidRDefault="002122DD" w14:paraId="502635E5" w14:textId="77777777">
            <w:pPr>
              <w:rPr>
                <w:sz w:val="18"/>
                <w:szCs w:val="18"/>
              </w:rPr>
            </w:pPr>
            <w:r w:rsidRPr="00D9757C">
              <w:rPr>
                <w:color w:val="000000" w:themeColor="text1"/>
                <w:sz w:val="18"/>
                <w:szCs w:val="18"/>
              </w:rPr>
              <w:t xml:space="preserve"> </w:t>
            </w:r>
          </w:p>
        </w:tc>
      </w:tr>
      <w:tr w:rsidRPr="00D9757C" w:rsidR="002122DD" w:rsidTr="00AC3E63" w14:paraId="55A0FFFE" w14:textId="77777777">
        <w:tc>
          <w:tcPr>
            <w:tcW w:w="2415" w:type="dxa"/>
            <w:tcBorders>
              <w:top w:val="single" w:color="000000" w:themeColor="text1" w:sz="8" w:space="0"/>
              <w:left w:val="single" w:color="auto" w:sz="8" w:space="0"/>
              <w:bottom w:val="single" w:color="000000" w:themeColor="text1" w:sz="8" w:space="0"/>
              <w:right w:val="single" w:color="000000" w:themeColor="text1" w:sz="8" w:space="0"/>
            </w:tcBorders>
          </w:tcPr>
          <w:p w:rsidRPr="0096251D" w:rsidR="002122DD" w:rsidP="00AC3E63" w:rsidRDefault="002122DD" w14:paraId="29F83D7A" w14:textId="77777777">
            <w:pPr>
              <w:rPr>
                <w:sz w:val="18"/>
                <w:szCs w:val="18"/>
              </w:rPr>
            </w:pPr>
            <w:r w:rsidRPr="0096251D">
              <w:rPr>
                <w:b/>
                <w:bCs/>
                <w:color w:val="000000" w:themeColor="text1"/>
                <w:sz w:val="18"/>
                <w:szCs w:val="18"/>
              </w:rPr>
              <w:t>PH</w:t>
            </w:r>
            <w:r w:rsidRPr="0096251D">
              <w:rPr>
                <w:color w:val="000000" w:themeColor="text1"/>
                <w:sz w:val="18"/>
                <w:szCs w:val="18"/>
              </w:rPr>
              <w:t xml:space="preserve"> Pre-Inspection Checklist </w:t>
            </w:r>
          </w:p>
        </w:tc>
        <w:tc>
          <w:tcPr>
            <w:tcW w:w="126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96251D" w:rsidR="002122DD" w:rsidP="00AC3E63" w:rsidRDefault="002122DD" w14:paraId="335B3488" w14:textId="77777777">
            <w:pPr>
              <w:jc w:val="center"/>
              <w:rPr>
                <w:color w:val="000000" w:themeColor="text1"/>
                <w:sz w:val="18"/>
                <w:szCs w:val="18"/>
              </w:rPr>
            </w:pPr>
            <w:r w:rsidRPr="0096251D">
              <w:rPr>
                <w:b/>
                <w:bCs/>
                <w:color w:val="000000" w:themeColor="text1"/>
                <w:sz w:val="18"/>
                <w:szCs w:val="18"/>
              </w:rPr>
              <w:t>406</w:t>
            </w:r>
            <w:r w:rsidRPr="0096251D">
              <w:rPr>
                <w:color w:val="000000" w:themeColor="text1"/>
                <w:sz w:val="18"/>
                <w:szCs w:val="18"/>
              </w:rPr>
              <w:t xml:space="preserve"> </w:t>
            </w:r>
          </w:p>
        </w:tc>
        <w:tc>
          <w:tcPr>
            <w:tcW w:w="124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D9757C" w:rsidR="002122DD" w:rsidP="00AC3E63" w:rsidRDefault="002122DD" w14:paraId="4CFB1C9F" w14:textId="77777777">
            <w:pPr>
              <w:jc w:val="center"/>
              <w:rPr>
                <w:sz w:val="18"/>
                <w:szCs w:val="18"/>
              </w:rPr>
            </w:pPr>
            <w:r w:rsidRPr="00D9757C">
              <w:rPr>
                <w:sz w:val="18"/>
                <w:szCs w:val="18"/>
              </w:rPr>
              <w:t xml:space="preserve">1 </w:t>
            </w:r>
          </w:p>
        </w:tc>
        <w:tc>
          <w:tcPr>
            <w:tcW w:w="133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96251D" w:rsidR="002122DD" w:rsidP="00AC3E63" w:rsidRDefault="002122DD" w14:paraId="5885EA15" w14:textId="77777777">
            <w:pPr>
              <w:jc w:val="center"/>
              <w:rPr>
                <w:rFonts w:eastAsia="Arial"/>
                <w:color w:val="000000" w:themeColor="text1"/>
                <w:sz w:val="18"/>
                <w:szCs w:val="18"/>
              </w:rPr>
            </w:pPr>
            <w:r w:rsidRPr="0096251D">
              <w:rPr>
                <w:b/>
                <w:bCs/>
                <w:color w:val="000000" w:themeColor="text1"/>
                <w:sz w:val="18"/>
                <w:szCs w:val="18"/>
              </w:rPr>
              <w:t>406</w:t>
            </w:r>
            <w:r w:rsidRPr="0096251D">
              <w:rPr>
                <w:rFonts w:eastAsia="Arial"/>
                <w:color w:val="000000" w:themeColor="text1"/>
                <w:sz w:val="18"/>
                <w:szCs w:val="18"/>
              </w:rPr>
              <w:t xml:space="preserve"> </w:t>
            </w:r>
          </w:p>
        </w:tc>
        <w:tc>
          <w:tcPr>
            <w:tcW w:w="142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D9757C" w:rsidR="002122DD" w:rsidP="00AC3E63" w:rsidRDefault="002122DD" w14:paraId="24721E2B" w14:textId="77777777">
            <w:pPr>
              <w:jc w:val="center"/>
              <w:rPr>
                <w:sz w:val="18"/>
                <w:szCs w:val="18"/>
              </w:rPr>
            </w:pPr>
            <w:r w:rsidRPr="00D9757C">
              <w:rPr>
                <w:sz w:val="18"/>
                <w:szCs w:val="18"/>
              </w:rPr>
              <w:t xml:space="preserve">.33 hr. (20 min) </w:t>
            </w:r>
          </w:p>
        </w:tc>
        <w:tc>
          <w:tcPr>
            <w:tcW w:w="90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Pr="00D9757C" w:rsidR="002122DD" w:rsidP="00AC3E63" w:rsidRDefault="002122DD" w14:paraId="48FC18BC" w14:textId="77777777">
            <w:pPr>
              <w:jc w:val="center"/>
              <w:rPr>
                <w:sz w:val="18"/>
                <w:szCs w:val="18"/>
              </w:rPr>
            </w:pPr>
            <w:r w:rsidRPr="0096251D">
              <w:rPr>
                <w:color w:val="000000"/>
                <w:sz w:val="18"/>
                <w:szCs w:val="18"/>
              </w:rPr>
              <w:t>133.98 hrs.</w:t>
            </w:r>
          </w:p>
        </w:tc>
        <w:tc>
          <w:tcPr>
            <w:tcW w:w="81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D9757C" w:rsidR="002122DD" w:rsidP="00AC3E63" w:rsidRDefault="002122DD" w14:paraId="0A4DB838" w14:textId="77777777">
            <w:pPr>
              <w:jc w:val="center"/>
              <w:rPr>
                <w:sz w:val="18"/>
                <w:szCs w:val="18"/>
              </w:rPr>
            </w:pPr>
            <w:r w:rsidRPr="00D9757C">
              <w:rPr>
                <w:sz w:val="18"/>
                <w:szCs w:val="18"/>
              </w:rPr>
              <w:t xml:space="preserve">$36 </w:t>
            </w:r>
          </w:p>
        </w:tc>
        <w:tc>
          <w:tcPr>
            <w:tcW w:w="153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Pr="00D9757C" w:rsidR="002122DD" w:rsidP="00AC3E63" w:rsidRDefault="002122DD" w14:paraId="62A1009A" w14:textId="77777777">
            <w:pPr>
              <w:jc w:val="center"/>
              <w:rPr>
                <w:sz w:val="18"/>
                <w:szCs w:val="18"/>
              </w:rPr>
            </w:pPr>
            <w:r w:rsidRPr="0096251D">
              <w:rPr>
                <w:b/>
                <w:bCs/>
                <w:sz w:val="18"/>
                <w:szCs w:val="18"/>
              </w:rPr>
              <w:t>4823.28</w:t>
            </w:r>
          </w:p>
        </w:tc>
      </w:tr>
      <w:tr w:rsidRPr="00D9757C" w:rsidR="002122DD" w:rsidTr="00AC3E63" w14:paraId="63E7DF58" w14:textId="77777777">
        <w:tc>
          <w:tcPr>
            <w:tcW w:w="2415" w:type="dxa"/>
            <w:tcBorders>
              <w:top w:val="single" w:color="000000" w:themeColor="text1" w:sz="8" w:space="0"/>
              <w:left w:val="single" w:color="auto" w:sz="8" w:space="0"/>
              <w:bottom w:val="single" w:color="000000" w:themeColor="text1" w:sz="8" w:space="0"/>
              <w:right w:val="single" w:color="000000" w:themeColor="text1" w:sz="8" w:space="0"/>
            </w:tcBorders>
          </w:tcPr>
          <w:p w:rsidRPr="0096251D" w:rsidR="002122DD" w:rsidP="00AC3E63" w:rsidRDefault="002122DD" w14:paraId="1C898A45" w14:textId="77777777">
            <w:pPr>
              <w:rPr>
                <w:sz w:val="18"/>
                <w:szCs w:val="18"/>
              </w:rPr>
            </w:pPr>
            <w:r w:rsidRPr="0096251D">
              <w:rPr>
                <w:b/>
                <w:bCs/>
                <w:color w:val="000000" w:themeColor="text1"/>
                <w:sz w:val="18"/>
                <w:szCs w:val="18"/>
              </w:rPr>
              <w:t xml:space="preserve">PH </w:t>
            </w:r>
            <w:r w:rsidRPr="00D9757C">
              <w:rPr>
                <w:sz w:val="18"/>
                <w:szCs w:val="18"/>
              </w:rPr>
              <w:t xml:space="preserve">Pre-Remote Video Inspection (RVI) Survey of Residents </w:t>
            </w:r>
          </w:p>
        </w:tc>
        <w:tc>
          <w:tcPr>
            <w:tcW w:w="126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96251D" w:rsidR="002122DD" w:rsidP="00AC3E63" w:rsidRDefault="002122DD" w14:paraId="638A281F" w14:textId="77777777">
            <w:pPr>
              <w:jc w:val="center"/>
              <w:rPr>
                <w:b/>
                <w:bCs/>
                <w:color w:val="000000" w:themeColor="text1"/>
                <w:sz w:val="18"/>
                <w:szCs w:val="18"/>
              </w:rPr>
            </w:pPr>
            <w:r w:rsidRPr="0096251D">
              <w:rPr>
                <w:b/>
                <w:bCs/>
                <w:color w:val="000000" w:themeColor="text1"/>
                <w:sz w:val="18"/>
                <w:szCs w:val="18"/>
              </w:rPr>
              <w:t>406</w:t>
            </w:r>
          </w:p>
        </w:tc>
        <w:tc>
          <w:tcPr>
            <w:tcW w:w="124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D9757C" w:rsidR="002122DD" w:rsidP="00AC3E63" w:rsidRDefault="002122DD" w14:paraId="463209CC" w14:textId="77777777">
            <w:pPr>
              <w:jc w:val="center"/>
              <w:rPr>
                <w:sz w:val="18"/>
                <w:szCs w:val="18"/>
              </w:rPr>
            </w:pPr>
            <w:r w:rsidRPr="00D9757C">
              <w:rPr>
                <w:sz w:val="18"/>
                <w:szCs w:val="18"/>
              </w:rPr>
              <w:t xml:space="preserve">1 </w:t>
            </w:r>
          </w:p>
        </w:tc>
        <w:tc>
          <w:tcPr>
            <w:tcW w:w="133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96251D" w:rsidR="002122DD" w:rsidP="00AC3E63" w:rsidRDefault="002122DD" w14:paraId="08AEBD77" w14:textId="77777777">
            <w:pPr>
              <w:jc w:val="center"/>
              <w:rPr>
                <w:rFonts w:eastAsia="Arial"/>
                <w:color w:val="000000" w:themeColor="text1"/>
                <w:sz w:val="18"/>
                <w:szCs w:val="18"/>
              </w:rPr>
            </w:pPr>
            <w:r w:rsidRPr="0096251D">
              <w:rPr>
                <w:b/>
                <w:bCs/>
                <w:color w:val="000000" w:themeColor="text1"/>
                <w:sz w:val="18"/>
                <w:szCs w:val="18"/>
              </w:rPr>
              <w:t>406</w:t>
            </w:r>
            <w:r w:rsidRPr="0096251D">
              <w:rPr>
                <w:rFonts w:eastAsia="Arial"/>
                <w:color w:val="000000" w:themeColor="text1"/>
                <w:sz w:val="18"/>
                <w:szCs w:val="18"/>
              </w:rPr>
              <w:t xml:space="preserve"> </w:t>
            </w:r>
          </w:p>
        </w:tc>
        <w:tc>
          <w:tcPr>
            <w:tcW w:w="142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D9757C" w:rsidR="002122DD" w:rsidP="00AC3E63" w:rsidRDefault="002122DD" w14:paraId="32A7365A" w14:textId="77777777">
            <w:pPr>
              <w:jc w:val="center"/>
              <w:rPr>
                <w:sz w:val="18"/>
                <w:szCs w:val="18"/>
              </w:rPr>
            </w:pPr>
            <w:r w:rsidRPr="00D9757C">
              <w:rPr>
                <w:sz w:val="18"/>
                <w:szCs w:val="18"/>
              </w:rPr>
              <w:t xml:space="preserve">.08 hr. (5 min.) </w:t>
            </w:r>
          </w:p>
        </w:tc>
        <w:tc>
          <w:tcPr>
            <w:tcW w:w="90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Pr="00D9757C" w:rsidR="002122DD" w:rsidP="00AC3E63" w:rsidRDefault="002122DD" w14:paraId="53DCF668" w14:textId="77777777">
            <w:pPr>
              <w:jc w:val="center"/>
              <w:rPr>
                <w:sz w:val="18"/>
                <w:szCs w:val="18"/>
              </w:rPr>
            </w:pPr>
            <w:r w:rsidRPr="0096251D">
              <w:rPr>
                <w:color w:val="000000"/>
                <w:sz w:val="18"/>
                <w:szCs w:val="18"/>
              </w:rPr>
              <w:t>32.48 hrs.</w:t>
            </w:r>
          </w:p>
        </w:tc>
        <w:tc>
          <w:tcPr>
            <w:tcW w:w="81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D9757C" w:rsidR="002122DD" w:rsidP="00AC3E63" w:rsidRDefault="002122DD" w14:paraId="5EE5DA35" w14:textId="77777777">
            <w:pPr>
              <w:jc w:val="center"/>
              <w:rPr>
                <w:sz w:val="18"/>
                <w:szCs w:val="18"/>
              </w:rPr>
            </w:pPr>
            <w:r w:rsidRPr="00D9757C">
              <w:rPr>
                <w:sz w:val="18"/>
                <w:szCs w:val="18"/>
              </w:rPr>
              <w:t xml:space="preserve">$7.5 </w:t>
            </w:r>
          </w:p>
        </w:tc>
        <w:tc>
          <w:tcPr>
            <w:tcW w:w="153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Pr="00D9757C" w:rsidR="002122DD" w:rsidP="00AC3E63" w:rsidRDefault="002122DD" w14:paraId="32F108B5" w14:textId="77777777">
            <w:pPr>
              <w:jc w:val="center"/>
              <w:rPr>
                <w:sz w:val="18"/>
                <w:szCs w:val="18"/>
              </w:rPr>
            </w:pPr>
            <w:r w:rsidRPr="0096251D">
              <w:rPr>
                <w:b/>
                <w:bCs/>
                <w:sz w:val="18"/>
                <w:szCs w:val="18"/>
              </w:rPr>
              <w:t>243.6</w:t>
            </w:r>
          </w:p>
        </w:tc>
      </w:tr>
      <w:tr w:rsidRPr="00D9757C" w:rsidR="002122DD" w:rsidTr="00AC3E63" w14:paraId="74208BDD" w14:textId="77777777">
        <w:tc>
          <w:tcPr>
            <w:tcW w:w="2415" w:type="dxa"/>
            <w:tcBorders>
              <w:top w:val="single" w:color="000000" w:themeColor="text1" w:sz="8" w:space="0"/>
              <w:left w:val="single" w:color="auto" w:sz="8" w:space="0"/>
              <w:bottom w:val="single" w:color="000000" w:themeColor="text1" w:sz="8" w:space="0"/>
              <w:right w:val="single" w:color="000000" w:themeColor="text1" w:sz="8" w:space="0"/>
            </w:tcBorders>
          </w:tcPr>
          <w:p w:rsidRPr="0096251D" w:rsidR="002122DD" w:rsidP="00AC3E63" w:rsidRDefault="002122DD" w14:paraId="517019C5" w14:textId="77777777">
            <w:pPr>
              <w:rPr>
                <w:sz w:val="18"/>
                <w:szCs w:val="18"/>
              </w:rPr>
            </w:pPr>
            <w:r w:rsidRPr="00D9757C">
              <w:rPr>
                <w:b/>
                <w:bCs/>
                <w:sz w:val="18"/>
                <w:szCs w:val="18"/>
              </w:rPr>
              <w:t>PH</w:t>
            </w:r>
            <w:r w:rsidRPr="00D9757C">
              <w:rPr>
                <w:sz w:val="18"/>
                <w:szCs w:val="18"/>
              </w:rPr>
              <w:t xml:space="preserve"> Post-Remote Video Inspection (RVI) Survey of Proxys (Operators) </w:t>
            </w:r>
          </w:p>
        </w:tc>
        <w:tc>
          <w:tcPr>
            <w:tcW w:w="126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96251D" w:rsidR="002122DD" w:rsidP="00AC3E63" w:rsidRDefault="002122DD" w14:paraId="54997C7F" w14:textId="77777777">
            <w:pPr>
              <w:jc w:val="center"/>
              <w:rPr>
                <w:b/>
                <w:bCs/>
                <w:color w:val="000000" w:themeColor="text1"/>
                <w:sz w:val="18"/>
                <w:szCs w:val="18"/>
              </w:rPr>
            </w:pPr>
            <w:r w:rsidRPr="0096251D">
              <w:rPr>
                <w:b/>
                <w:bCs/>
                <w:color w:val="000000" w:themeColor="text1"/>
                <w:sz w:val="18"/>
                <w:szCs w:val="18"/>
              </w:rPr>
              <w:t>406</w:t>
            </w:r>
          </w:p>
        </w:tc>
        <w:tc>
          <w:tcPr>
            <w:tcW w:w="124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D9757C" w:rsidR="002122DD" w:rsidP="00AC3E63" w:rsidRDefault="002122DD" w14:paraId="1F49FD7D" w14:textId="77777777">
            <w:pPr>
              <w:jc w:val="center"/>
              <w:rPr>
                <w:sz w:val="18"/>
                <w:szCs w:val="18"/>
              </w:rPr>
            </w:pPr>
            <w:r w:rsidRPr="00D9757C">
              <w:rPr>
                <w:sz w:val="18"/>
                <w:szCs w:val="18"/>
              </w:rPr>
              <w:t xml:space="preserve">1 </w:t>
            </w:r>
          </w:p>
        </w:tc>
        <w:tc>
          <w:tcPr>
            <w:tcW w:w="133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D9757C" w:rsidR="002122DD" w:rsidP="00AC3E63" w:rsidRDefault="002122DD" w14:paraId="748E66B8" w14:textId="77777777">
            <w:pPr>
              <w:jc w:val="center"/>
              <w:rPr>
                <w:sz w:val="18"/>
                <w:szCs w:val="18"/>
              </w:rPr>
            </w:pPr>
            <w:r w:rsidRPr="0096251D">
              <w:rPr>
                <w:b/>
                <w:bCs/>
                <w:color w:val="000000" w:themeColor="text1"/>
                <w:sz w:val="18"/>
                <w:szCs w:val="18"/>
              </w:rPr>
              <w:t>406</w:t>
            </w:r>
            <w:r w:rsidRPr="00D9757C">
              <w:rPr>
                <w:sz w:val="18"/>
                <w:szCs w:val="18"/>
              </w:rPr>
              <w:t xml:space="preserve"> </w:t>
            </w:r>
          </w:p>
        </w:tc>
        <w:tc>
          <w:tcPr>
            <w:tcW w:w="142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D9757C" w:rsidR="002122DD" w:rsidP="00AC3E63" w:rsidRDefault="002122DD" w14:paraId="16079788" w14:textId="77777777">
            <w:pPr>
              <w:jc w:val="center"/>
              <w:rPr>
                <w:sz w:val="18"/>
                <w:szCs w:val="18"/>
              </w:rPr>
            </w:pPr>
            <w:r w:rsidRPr="00D9757C">
              <w:rPr>
                <w:sz w:val="18"/>
                <w:szCs w:val="18"/>
              </w:rPr>
              <w:t xml:space="preserve">.33 hr. (20 min) </w:t>
            </w:r>
          </w:p>
        </w:tc>
        <w:tc>
          <w:tcPr>
            <w:tcW w:w="90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Pr="00D9757C" w:rsidR="002122DD" w:rsidP="00AC3E63" w:rsidRDefault="002122DD" w14:paraId="3C4D0B75" w14:textId="77777777">
            <w:pPr>
              <w:jc w:val="center"/>
              <w:rPr>
                <w:sz w:val="18"/>
                <w:szCs w:val="18"/>
              </w:rPr>
            </w:pPr>
            <w:r w:rsidRPr="0096251D">
              <w:rPr>
                <w:color w:val="000000"/>
                <w:sz w:val="18"/>
                <w:szCs w:val="18"/>
              </w:rPr>
              <w:t>133.98 hrs.</w:t>
            </w:r>
          </w:p>
        </w:tc>
        <w:tc>
          <w:tcPr>
            <w:tcW w:w="81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D9757C" w:rsidR="002122DD" w:rsidP="00AC3E63" w:rsidRDefault="002122DD" w14:paraId="72BD532E" w14:textId="77777777">
            <w:pPr>
              <w:jc w:val="center"/>
              <w:rPr>
                <w:sz w:val="18"/>
                <w:szCs w:val="18"/>
              </w:rPr>
            </w:pPr>
            <w:r w:rsidRPr="00D9757C">
              <w:rPr>
                <w:sz w:val="18"/>
                <w:szCs w:val="18"/>
              </w:rPr>
              <w:t xml:space="preserve">$22 </w:t>
            </w:r>
          </w:p>
          <w:p w:rsidRPr="00D9757C" w:rsidR="002122DD" w:rsidP="00AC3E63" w:rsidRDefault="002122DD" w14:paraId="642CF715" w14:textId="77777777">
            <w:pPr>
              <w:jc w:val="center"/>
              <w:rPr>
                <w:sz w:val="18"/>
                <w:szCs w:val="18"/>
              </w:rPr>
            </w:pPr>
            <w:r w:rsidRPr="00D9757C">
              <w:rPr>
                <w:sz w:val="18"/>
                <w:szCs w:val="18"/>
              </w:rPr>
              <w:t xml:space="preserve"> </w:t>
            </w:r>
          </w:p>
        </w:tc>
        <w:tc>
          <w:tcPr>
            <w:tcW w:w="153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Pr="00D9757C" w:rsidR="002122DD" w:rsidP="00AC3E63" w:rsidRDefault="002122DD" w14:paraId="2C0FC5B5" w14:textId="77777777">
            <w:pPr>
              <w:jc w:val="center"/>
              <w:rPr>
                <w:b/>
                <w:bCs/>
                <w:sz w:val="18"/>
                <w:szCs w:val="18"/>
              </w:rPr>
            </w:pPr>
            <w:r w:rsidRPr="0096251D">
              <w:rPr>
                <w:b/>
                <w:bCs/>
                <w:sz w:val="18"/>
                <w:szCs w:val="18"/>
              </w:rPr>
              <w:t>2947.56</w:t>
            </w:r>
          </w:p>
        </w:tc>
      </w:tr>
      <w:tr w:rsidRPr="00D9757C" w:rsidR="002122DD" w:rsidTr="00AC3E63" w14:paraId="1F7C81E7" w14:textId="77777777">
        <w:tc>
          <w:tcPr>
            <w:tcW w:w="2415" w:type="dxa"/>
            <w:tcBorders>
              <w:top w:val="single" w:color="auto" w:sz="8" w:space="0"/>
              <w:left w:val="single" w:color="auto" w:sz="8" w:space="0"/>
              <w:bottom w:val="single" w:color="000000" w:themeColor="text1" w:sz="8" w:space="0"/>
              <w:right w:val="single" w:color="000000" w:themeColor="text1" w:sz="8" w:space="0"/>
            </w:tcBorders>
          </w:tcPr>
          <w:p w:rsidRPr="0096251D" w:rsidR="002122DD" w:rsidP="00AC3E63" w:rsidRDefault="002122DD" w14:paraId="1FA298B2" w14:textId="77777777">
            <w:pPr>
              <w:rPr>
                <w:sz w:val="18"/>
                <w:szCs w:val="18"/>
              </w:rPr>
            </w:pPr>
            <w:r w:rsidRPr="0096251D">
              <w:rPr>
                <w:b/>
                <w:bCs/>
                <w:color w:val="000000" w:themeColor="text1"/>
                <w:sz w:val="18"/>
                <w:szCs w:val="18"/>
              </w:rPr>
              <w:t>MF</w:t>
            </w:r>
            <w:r w:rsidRPr="0096251D">
              <w:rPr>
                <w:color w:val="000000" w:themeColor="text1"/>
                <w:sz w:val="18"/>
                <w:szCs w:val="18"/>
              </w:rPr>
              <w:t xml:space="preserve"> Pre-Inspection Checklist </w:t>
            </w:r>
          </w:p>
        </w:tc>
        <w:tc>
          <w:tcPr>
            <w:tcW w:w="1260" w:type="dxa"/>
            <w:tcBorders>
              <w:top w:val="single" w:color="auto" w:sz="8" w:space="0"/>
              <w:left w:val="single" w:color="000000" w:themeColor="text1" w:sz="8" w:space="0"/>
              <w:bottom w:val="single" w:color="000000" w:themeColor="text1" w:sz="8" w:space="0"/>
              <w:right w:val="single" w:color="000000" w:themeColor="text1" w:sz="8" w:space="0"/>
            </w:tcBorders>
          </w:tcPr>
          <w:p w:rsidRPr="0096251D" w:rsidR="002122DD" w:rsidP="00AC3E63" w:rsidRDefault="002122DD" w14:paraId="3BC89E6F" w14:textId="77777777">
            <w:pPr>
              <w:jc w:val="center"/>
              <w:rPr>
                <w:b/>
                <w:bCs/>
                <w:color w:val="000000" w:themeColor="text1"/>
                <w:sz w:val="18"/>
                <w:szCs w:val="18"/>
              </w:rPr>
            </w:pPr>
            <w:r w:rsidRPr="0096251D">
              <w:rPr>
                <w:b/>
                <w:bCs/>
                <w:color w:val="000000" w:themeColor="text1"/>
                <w:sz w:val="18"/>
                <w:szCs w:val="18"/>
              </w:rPr>
              <w:t>406</w:t>
            </w:r>
          </w:p>
        </w:tc>
        <w:tc>
          <w:tcPr>
            <w:tcW w:w="1245" w:type="dxa"/>
            <w:tcBorders>
              <w:top w:val="single" w:color="auto" w:sz="8" w:space="0"/>
              <w:left w:val="single" w:color="000000" w:themeColor="text1" w:sz="8" w:space="0"/>
              <w:bottom w:val="single" w:color="000000" w:themeColor="text1" w:sz="8" w:space="0"/>
              <w:right w:val="single" w:color="000000" w:themeColor="text1" w:sz="8" w:space="0"/>
            </w:tcBorders>
          </w:tcPr>
          <w:p w:rsidRPr="00D9757C" w:rsidR="002122DD" w:rsidP="00AC3E63" w:rsidRDefault="002122DD" w14:paraId="1A72E3E4" w14:textId="77777777">
            <w:pPr>
              <w:jc w:val="center"/>
              <w:rPr>
                <w:sz w:val="18"/>
                <w:szCs w:val="18"/>
              </w:rPr>
            </w:pPr>
            <w:r w:rsidRPr="00D9757C">
              <w:rPr>
                <w:sz w:val="18"/>
                <w:szCs w:val="18"/>
              </w:rPr>
              <w:t xml:space="preserve">1 </w:t>
            </w:r>
          </w:p>
        </w:tc>
        <w:tc>
          <w:tcPr>
            <w:tcW w:w="1335" w:type="dxa"/>
            <w:tcBorders>
              <w:top w:val="single" w:color="auto" w:sz="8" w:space="0"/>
              <w:left w:val="single" w:color="000000" w:themeColor="text1" w:sz="8" w:space="0"/>
              <w:bottom w:val="single" w:color="000000" w:themeColor="text1" w:sz="8" w:space="0"/>
              <w:right w:val="single" w:color="000000" w:themeColor="text1" w:sz="8" w:space="0"/>
            </w:tcBorders>
          </w:tcPr>
          <w:p w:rsidRPr="0096251D" w:rsidR="002122DD" w:rsidP="00AC3E63" w:rsidRDefault="002122DD" w14:paraId="449D53F5" w14:textId="77777777">
            <w:pPr>
              <w:jc w:val="center"/>
              <w:rPr>
                <w:rFonts w:eastAsia="Arial"/>
                <w:color w:val="000000" w:themeColor="text1"/>
                <w:sz w:val="18"/>
                <w:szCs w:val="18"/>
              </w:rPr>
            </w:pPr>
            <w:r w:rsidRPr="0096251D">
              <w:rPr>
                <w:b/>
                <w:bCs/>
                <w:color w:val="000000" w:themeColor="text1"/>
                <w:sz w:val="18"/>
                <w:szCs w:val="18"/>
              </w:rPr>
              <w:t>406</w:t>
            </w:r>
          </w:p>
        </w:tc>
        <w:tc>
          <w:tcPr>
            <w:tcW w:w="1425" w:type="dxa"/>
            <w:tcBorders>
              <w:top w:val="single" w:color="auto" w:sz="8" w:space="0"/>
              <w:left w:val="single" w:color="000000" w:themeColor="text1" w:sz="8" w:space="0"/>
              <w:bottom w:val="single" w:color="000000" w:themeColor="text1" w:sz="8" w:space="0"/>
              <w:right w:val="single" w:color="000000" w:themeColor="text1" w:sz="8" w:space="0"/>
            </w:tcBorders>
          </w:tcPr>
          <w:p w:rsidRPr="00D9757C" w:rsidR="002122DD" w:rsidP="00AC3E63" w:rsidRDefault="002122DD" w14:paraId="62AAA555" w14:textId="77777777">
            <w:pPr>
              <w:jc w:val="center"/>
              <w:rPr>
                <w:sz w:val="18"/>
                <w:szCs w:val="18"/>
              </w:rPr>
            </w:pPr>
            <w:r w:rsidRPr="00D9757C">
              <w:rPr>
                <w:sz w:val="18"/>
                <w:szCs w:val="18"/>
              </w:rPr>
              <w:t xml:space="preserve">.33 hr. (20 min) </w:t>
            </w:r>
          </w:p>
        </w:tc>
        <w:tc>
          <w:tcPr>
            <w:tcW w:w="900" w:type="dxa"/>
            <w:tcBorders>
              <w:top w:val="single" w:color="auto" w:sz="8" w:space="0"/>
              <w:left w:val="single" w:color="000000" w:themeColor="text1" w:sz="8" w:space="0"/>
              <w:bottom w:val="single" w:color="000000" w:themeColor="text1" w:sz="8" w:space="0"/>
              <w:right w:val="single" w:color="000000" w:themeColor="text1" w:sz="8" w:space="0"/>
            </w:tcBorders>
            <w:vAlign w:val="bottom"/>
          </w:tcPr>
          <w:p w:rsidRPr="00D9757C" w:rsidR="002122DD" w:rsidP="00AC3E63" w:rsidRDefault="002122DD" w14:paraId="4795AB15" w14:textId="77777777">
            <w:pPr>
              <w:jc w:val="center"/>
              <w:rPr>
                <w:sz w:val="18"/>
                <w:szCs w:val="18"/>
              </w:rPr>
            </w:pPr>
            <w:r w:rsidRPr="0096251D">
              <w:rPr>
                <w:color w:val="000000"/>
                <w:sz w:val="18"/>
                <w:szCs w:val="18"/>
              </w:rPr>
              <w:t>133.98 hrs.</w:t>
            </w:r>
          </w:p>
        </w:tc>
        <w:tc>
          <w:tcPr>
            <w:tcW w:w="810" w:type="dxa"/>
            <w:tcBorders>
              <w:top w:val="single" w:color="auto" w:sz="8" w:space="0"/>
              <w:left w:val="single" w:color="000000" w:themeColor="text1" w:sz="8" w:space="0"/>
              <w:bottom w:val="single" w:color="000000" w:themeColor="text1" w:sz="8" w:space="0"/>
              <w:right w:val="single" w:color="000000" w:themeColor="text1" w:sz="8" w:space="0"/>
            </w:tcBorders>
          </w:tcPr>
          <w:p w:rsidRPr="00D9757C" w:rsidR="002122DD" w:rsidP="00AC3E63" w:rsidRDefault="002122DD" w14:paraId="53D13279" w14:textId="77777777">
            <w:pPr>
              <w:jc w:val="center"/>
              <w:rPr>
                <w:sz w:val="18"/>
                <w:szCs w:val="18"/>
              </w:rPr>
            </w:pPr>
            <w:r w:rsidRPr="00D9757C">
              <w:rPr>
                <w:sz w:val="18"/>
                <w:szCs w:val="18"/>
              </w:rPr>
              <w:t xml:space="preserve">$36 </w:t>
            </w:r>
          </w:p>
        </w:tc>
        <w:tc>
          <w:tcPr>
            <w:tcW w:w="1530" w:type="dxa"/>
            <w:tcBorders>
              <w:top w:val="single" w:color="auto" w:sz="8" w:space="0"/>
              <w:left w:val="single" w:color="000000" w:themeColor="text1" w:sz="8" w:space="0"/>
              <w:bottom w:val="single" w:color="000000" w:themeColor="text1" w:sz="8" w:space="0"/>
              <w:right w:val="single" w:color="000000" w:themeColor="text1" w:sz="8" w:space="0"/>
            </w:tcBorders>
            <w:vAlign w:val="bottom"/>
          </w:tcPr>
          <w:p w:rsidRPr="00D9757C" w:rsidR="002122DD" w:rsidP="00AC3E63" w:rsidRDefault="002122DD" w14:paraId="1B8A30BD" w14:textId="77777777">
            <w:pPr>
              <w:jc w:val="center"/>
              <w:rPr>
                <w:sz w:val="18"/>
                <w:szCs w:val="18"/>
              </w:rPr>
            </w:pPr>
            <w:r w:rsidRPr="0096251D">
              <w:rPr>
                <w:b/>
                <w:bCs/>
                <w:sz w:val="18"/>
                <w:szCs w:val="18"/>
              </w:rPr>
              <w:t>4823.28</w:t>
            </w:r>
          </w:p>
        </w:tc>
      </w:tr>
      <w:tr w:rsidRPr="00D9757C" w:rsidR="002122DD" w:rsidTr="00AC3E63" w14:paraId="47230630" w14:textId="77777777">
        <w:tc>
          <w:tcPr>
            <w:tcW w:w="2415" w:type="dxa"/>
            <w:tcBorders>
              <w:top w:val="single" w:color="000000" w:themeColor="text1" w:sz="8" w:space="0"/>
              <w:left w:val="single" w:color="auto" w:sz="8" w:space="0"/>
              <w:bottom w:val="single" w:color="000000" w:themeColor="text1" w:sz="8" w:space="0"/>
              <w:right w:val="single" w:color="000000" w:themeColor="text1" w:sz="8" w:space="0"/>
            </w:tcBorders>
          </w:tcPr>
          <w:p w:rsidRPr="0096251D" w:rsidR="002122DD" w:rsidP="00AC3E63" w:rsidRDefault="002122DD" w14:paraId="06903A16" w14:textId="77777777">
            <w:pPr>
              <w:rPr>
                <w:sz w:val="18"/>
                <w:szCs w:val="18"/>
              </w:rPr>
            </w:pPr>
            <w:r w:rsidRPr="0096251D">
              <w:rPr>
                <w:b/>
                <w:bCs/>
                <w:color w:val="000000" w:themeColor="text1"/>
                <w:sz w:val="18"/>
                <w:szCs w:val="18"/>
              </w:rPr>
              <w:t>MF</w:t>
            </w:r>
            <w:r w:rsidRPr="00D9757C">
              <w:rPr>
                <w:sz w:val="18"/>
                <w:szCs w:val="18"/>
              </w:rPr>
              <w:t xml:space="preserve"> Pre-Remote Video Inspection (RVI) Survey of Residents </w:t>
            </w:r>
          </w:p>
        </w:tc>
        <w:tc>
          <w:tcPr>
            <w:tcW w:w="126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96251D" w:rsidR="002122DD" w:rsidP="00AC3E63" w:rsidRDefault="002122DD" w14:paraId="66111630" w14:textId="77777777">
            <w:pPr>
              <w:jc w:val="center"/>
              <w:rPr>
                <w:b/>
                <w:bCs/>
                <w:color w:val="000000" w:themeColor="text1"/>
                <w:sz w:val="18"/>
                <w:szCs w:val="18"/>
              </w:rPr>
            </w:pPr>
            <w:r w:rsidRPr="0096251D">
              <w:rPr>
                <w:b/>
                <w:bCs/>
                <w:color w:val="000000" w:themeColor="text1"/>
                <w:sz w:val="18"/>
                <w:szCs w:val="18"/>
              </w:rPr>
              <w:t>406</w:t>
            </w:r>
          </w:p>
        </w:tc>
        <w:tc>
          <w:tcPr>
            <w:tcW w:w="124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D9757C" w:rsidR="002122DD" w:rsidP="00AC3E63" w:rsidRDefault="002122DD" w14:paraId="388D121E" w14:textId="77777777">
            <w:pPr>
              <w:jc w:val="center"/>
              <w:rPr>
                <w:sz w:val="18"/>
                <w:szCs w:val="18"/>
              </w:rPr>
            </w:pPr>
            <w:r w:rsidRPr="00D9757C">
              <w:rPr>
                <w:sz w:val="18"/>
                <w:szCs w:val="18"/>
              </w:rPr>
              <w:t xml:space="preserve">1 </w:t>
            </w:r>
          </w:p>
        </w:tc>
        <w:tc>
          <w:tcPr>
            <w:tcW w:w="133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96251D" w:rsidR="002122DD" w:rsidP="00AC3E63" w:rsidRDefault="002122DD" w14:paraId="16FCEB35" w14:textId="77777777">
            <w:pPr>
              <w:jc w:val="center"/>
              <w:rPr>
                <w:rFonts w:eastAsia="Arial"/>
                <w:color w:val="000000" w:themeColor="text1"/>
                <w:sz w:val="18"/>
                <w:szCs w:val="18"/>
              </w:rPr>
            </w:pPr>
            <w:r w:rsidRPr="0096251D">
              <w:rPr>
                <w:b/>
                <w:bCs/>
                <w:color w:val="000000" w:themeColor="text1"/>
                <w:sz w:val="18"/>
                <w:szCs w:val="18"/>
              </w:rPr>
              <w:t>406</w:t>
            </w:r>
          </w:p>
        </w:tc>
        <w:tc>
          <w:tcPr>
            <w:tcW w:w="142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D9757C" w:rsidR="002122DD" w:rsidP="00AC3E63" w:rsidRDefault="002122DD" w14:paraId="7FD80FB7" w14:textId="77777777">
            <w:pPr>
              <w:jc w:val="center"/>
              <w:rPr>
                <w:sz w:val="18"/>
                <w:szCs w:val="18"/>
              </w:rPr>
            </w:pPr>
            <w:r w:rsidRPr="00D9757C">
              <w:rPr>
                <w:sz w:val="18"/>
                <w:szCs w:val="18"/>
              </w:rPr>
              <w:t xml:space="preserve">.08 hr. (5 min.) </w:t>
            </w:r>
          </w:p>
        </w:tc>
        <w:tc>
          <w:tcPr>
            <w:tcW w:w="90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Pr="00D9757C" w:rsidR="002122DD" w:rsidP="00AC3E63" w:rsidRDefault="002122DD" w14:paraId="1EDFD9EA" w14:textId="77777777">
            <w:pPr>
              <w:jc w:val="center"/>
              <w:rPr>
                <w:sz w:val="18"/>
                <w:szCs w:val="18"/>
              </w:rPr>
            </w:pPr>
            <w:r w:rsidRPr="0096251D">
              <w:rPr>
                <w:color w:val="000000"/>
                <w:sz w:val="18"/>
                <w:szCs w:val="18"/>
              </w:rPr>
              <w:t>32.48 hrs.</w:t>
            </w:r>
          </w:p>
        </w:tc>
        <w:tc>
          <w:tcPr>
            <w:tcW w:w="81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D9757C" w:rsidR="002122DD" w:rsidP="00AC3E63" w:rsidRDefault="002122DD" w14:paraId="0CB7B85C" w14:textId="77777777">
            <w:pPr>
              <w:jc w:val="center"/>
              <w:rPr>
                <w:sz w:val="18"/>
                <w:szCs w:val="18"/>
              </w:rPr>
            </w:pPr>
            <w:r w:rsidRPr="00D9757C">
              <w:rPr>
                <w:sz w:val="18"/>
                <w:szCs w:val="18"/>
              </w:rPr>
              <w:t xml:space="preserve">$7.5 </w:t>
            </w:r>
          </w:p>
        </w:tc>
        <w:tc>
          <w:tcPr>
            <w:tcW w:w="153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Pr="00D9757C" w:rsidR="002122DD" w:rsidP="00AC3E63" w:rsidRDefault="002122DD" w14:paraId="7F28466F" w14:textId="77777777">
            <w:pPr>
              <w:jc w:val="center"/>
              <w:rPr>
                <w:sz w:val="18"/>
                <w:szCs w:val="18"/>
              </w:rPr>
            </w:pPr>
            <w:r w:rsidRPr="0096251D">
              <w:rPr>
                <w:b/>
                <w:bCs/>
                <w:sz w:val="18"/>
                <w:szCs w:val="18"/>
              </w:rPr>
              <w:t>243.6</w:t>
            </w:r>
          </w:p>
        </w:tc>
      </w:tr>
      <w:tr w:rsidRPr="00D9757C" w:rsidR="002122DD" w:rsidTr="00AC3E63" w14:paraId="260B08D7" w14:textId="77777777">
        <w:tc>
          <w:tcPr>
            <w:tcW w:w="2415" w:type="dxa"/>
            <w:tcBorders>
              <w:top w:val="single" w:color="000000" w:themeColor="text1" w:sz="8" w:space="0"/>
              <w:left w:val="single" w:color="auto" w:sz="8" w:space="0"/>
              <w:bottom w:val="single" w:color="000000" w:themeColor="text1" w:sz="8" w:space="0"/>
              <w:right w:val="single" w:color="000000" w:themeColor="text1" w:sz="8" w:space="0"/>
            </w:tcBorders>
          </w:tcPr>
          <w:p w:rsidRPr="0096251D" w:rsidR="002122DD" w:rsidP="00AC3E63" w:rsidRDefault="002122DD" w14:paraId="25B12EA3" w14:textId="77777777">
            <w:pPr>
              <w:rPr>
                <w:sz w:val="18"/>
                <w:szCs w:val="18"/>
              </w:rPr>
            </w:pPr>
            <w:r w:rsidRPr="00D9757C">
              <w:rPr>
                <w:b/>
                <w:bCs/>
                <w:sz w:val="18"/>
                <w:szCs w:val="18"/>
              </w:rPr>
              <w:t>MF</w:t>
            </w:r>
            <w:r w:rsidRPr="00D9757C">
              <w:rPr>
                <w:sz w:val="18"/>
                <w:szCs w:val="18"/>
              </w:rPr>
              <w:t xml:space="preserve"> Post-Remote Video Inspection (RVI) Survey of Proxys (Operators) </w:t>
            </w:r>
          </w:p>
        </w:tc>
        <w:tc>
          <w:tcPr>
            <w:tcW w:w="126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96251D" w:rsidR="002122DD" w:rsidP="00AC3E63" w:rsidRDefault="002122DD" w14:paraId="1956FCD5" w14:textId="77777777">
            <w:pPr>
              <w:jc w:val="center"/>
              <w:rPr>
                <w:b/>
                <w:bCs/>
                <w:color w:val="000000" w:themeColor="text1"/>
                <w:sz w:val="18"/>
                <w:szCs w:val="18"/>
              </w:rPr>
            </w:pPr>
            <w:r w:rsidRPr="0096251D">
              <w:rPr>
                <w:b/>
                <w:bCs/>
                <w:color w:val="000000" w:themeColor="text1"/>
                <w:sz w:val="18"/>
                <w:szCs w:val="18"/>
              </w:rPr>
              <w:t xml:space="preserve">406 </w:t>
            </w:r>
          </w:p>
        </w:tc>
        <w:tc>
          <w:tcPr>
            <w:tcW w:w="124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D9757C" w:rsidR="002122DD" w:rsidP="00AC3E63" w:rsidRDefault="002122DD" w14:paraId="392E3426" w14:textId="77777777">
            <w:pPr>
              <w:jc w:val="center"/>
              <w:rPr>
                <w:sz w:val="18"/>
                <w:szCs w:val="18"/>
              </w:rPr>
            </w:pPr>
            <w:r w:rsidRPr="00D9757C">
              <w:rPr>
                <w:sz w:val="18"/>
                <w:szCs w:val="18"/>
              </w:rPr>
              <w:t xml:space="preserve">1 </w:t>
            </w:r>
          </w:p>
        </w:tc>
        <w:tc>
          <w:tcPr>
            <w:tcW w:w="133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D9757C" w:rsidR="002122DD" w:rsidP="00AC3E63" w:rsidRDefault="002122DD" w14:paraId="3C935532" w14:textId="77777777">
            <w:pPr>
              <w:jc w:val="center"/>
              <w:rPr>
                <w:sz w:val="18"/>
                <w:szCs w:val="18"/>
              </w:rPr>
            </w:pPr>
            <w:r w:rsidRPr="0096251D">
              <w:rPr>
                <w:b/>
                <w:bCs/>
                <w:color w:val="000000" w:themeColor="text1"/>
                <w:sz w:val="18"/>
                <w:szCs w:val="18"/>
              </w:rPr>
              <w:t>406</w:t>
            </w:r>
          </w:p>
        </w:tc>
        <w:tc>
          <w:tcPr>
            <w:tcW w:w="142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D9757C" w:rsidR="002122DD" w:rsidP="00AC3E63" w:rsidRDefault="002122DD" w14:paraId="7B382C43" w14:textId="77777777">
            <w:pPr>
              <w:jc w:val="center"/>
              <w:rPr>
                <w:sz w:val="18"/>
                <w:szCs w:val="18"/>
              </w:rPr>
            </w:pPr>
            <w:r w:rsidRPr="00D9757C">
              <w:rPr>
                <w:sz w:val="18"/>
                <w:szCs w:val="18"/>
              </w:rPr>
              <w:t xml:space="preserve">.33 hr. (20 min) </w:t>
            </w:r>
          </w:p>
        </w:tc>
        <w:tc>
          <w:tcPr>
            <w:tcW w:w="90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Pr="00D9757C" w:rsidR="002122DD" w:rsidP="00AC3E63" w:rsidRDefault="002122DD" w14:paraId="35070306" w14:textId="77777777">
            <w:pPr>
              <w:jc w:val="center"/>
              <w:rPr>
                <w:sz w:val="18"/>
                <w:szCs w:val="18"/>
              </w:rPr>
            </w:pPr>
            <w:r w:rsidRPr="0096251D">
              <w:rPr>
                <w:color w:val="000000"/>
                <w:sz w:val="18"/>
                <w:szCs w:val="18"/>
              </w:rPr>
              <w:t>133.98 hrs.</w:t>
            </w:r>
          </w:p>
        </w:tc>
        <w:tc>
          <w:tcPr>
            <w:tcW w:w="81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D9757C" w:rsidR="002122DD" w:rsidP="00AC3E63" w:rsidRDefault="002122DD" w14:paraId="690BBA3E" w14:textId="77777777">
            <w:pPr>
              <w:jc w:val="center"/>
              <w:rPr>
                <w:sz w:val="18"/>
                <w:szCs w:val="18"/>
              </w:rPr>
            </w:pPr>
            <w:r w:rsidRPr="00D9757C">
              <w:rPr>
                <w:sz w:val="18"/>
                <w:szCs w:val="18"/>
              </w:rPr>
              <w:t xml:space="preserve">$22 </w:t>
            </w:r>
          </w:p>
          <w:p w:rsidRPr="00D9757C" w:rsidR="002122DD" w:rsidP="00AC3E63" w:rsidRDefault="002122DD" w14:paraId="01F4DE27" w14:textId="77777777">
            <w:pPr>
              <w:jc w:val="center"/>
              <w:rPr>
                <w:sz w:val="18"/>
                <w:szCs w:val="18"/>
              </w:rPr>
            </w:pPr>
            <w:r w:rsidRPr="00D9757C">
              <w:rPr>
                <w:sz w:val="18"/>
                <w:szCs w:val="18"/>
              </w:rPr>
              <w:t xml:space="preserve"> </w:t>
            </w:r>
          </w:p>
        </w:tc>
        <w:tc>
          <w:tcPr>
            <w:tcW w:w="153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Pr="00D9757C" w:rsidR="002122DD" w:rsidP="00AC3E63" w:rsidRDefault="002122DD" w14:paraId="29FB3AC9" w14:textId="77777777">
            <w:pPr>
              <w:jc w:val="center"/>
              <w:rPr>
                <w:b/>
                <w:bCs/>
                <w:sz w:val="18"/>
                <w:szCs w:val="18"/>
              </w:rPr>
            </w:pPr>
            <w:r w:rsidRPr="0096251D">
              <w:rPr>
                <w:b/>
                <w:bCs/>
                <w:sz w:val="18"/>
                <w:szCs w:val="18"/>
              </w:rPr>
              <w:t>2947.56</w:t>
            </w:r>
          </w:p>
        </w:tc>
      </w:tr>
      <w:tr w:rsidRPr="00D9757C" w:rsidR="002122DD" w:rsidTr="00AC3E63" w14:paraId="3A6D27F3" w14:textId="77777777">
        <w:trPr>
          <w:trHeight w:val="510"/>
        </w:trPr>
        <w:tc>
          <w:tcPr>
            <w:tcW w:w="2415" w:type="dxa"/>
            <w:tcBorders>
              <w:top w:val="single" w:color="auto" w:sz="8" w:space="0"/>
              <w:left w:val="nil"/>
              <w:bottom w:val="nil"/>
              <w:right w:val="nil"/>
            </w:tcBorders>
            <w:vAlign w:val="bottom"/>
          </w:tcPr>
          <w:p w:rsidRPr="0096251D" w:rsidR="002122DD" w:rsidP="00AC3E63" w:rsidRDefault="002122DD" w14:paraId="105EE617" w14:textId="77777777">
            <w:pPr>
              <w:rPr>
                <w:sz w:val="18"/>
                <w:szCs w:val="18"/>
              </w:rPr>
            </w:pPr>
            <w:r w:rsidRPr="0096251D">
              <w:rPr>
                <w:b/>
                <w:bCs/>
                <w:sz w:val="18"/>
                <w:szCs w:val="18"/>
              </w:rPr>
              <w:t>Totals</w:t>
            </w:r>
            <w:r w:rsidRPr="0096251D">
              <w:rPr>
                <w:sz w:val="18"/>
                <w:szCs w:val="18"/>
              </w:rPr>
              <w:t xml:space="preserve"> </w:t>
            </w:r>
          </w:p>
        </w:tc>
        <w:tc>
          <w:tcPr>
            <w:tcW w:w="1260" w:type="dxa"/>
            <w:tcBorders>
              <w:top w:val="single" w:color="auto" w:sz="8" w:space="0"/>
              <w:left w:val="nil"/>
              <w:bottom w:val="nil"/>
              <w:right w:val="nil"/>
            </w:tcBorders>
            <w:vAlign w:val="bottom"/>
          </w:tcPr>
          <w:p w:rsidRPr="0096251D" w:rsidR="002122DD" w:rsidP="00AC3E63" w:rsidRDefault="002122DD" w14:paraId="23ADCCDC" w14:textId="77777777">
            <w:pPr>
              <w:rPr>
                <w:sz w:val="18"/>
                <w:szCs w:val="18"/>
              </w:rPr>
            </w:pPr>
            <w:r w:rsidRPr="0096251D">
              <w:rPr>
                <w:rFonts w:eastAsia="Helvetica"/>
                <w:color w:val="000000" w:themeColor="text1"/>
                <w:sz w:val="18"/>
                <w:szCs w:val="18"/>
              </w:rPr>
              <w:t>     406</w:t>
            </w:r>
            <w:r w:rsidRPr="0096251D">
              <w:rPr>
                <w:sz w:val="18"/>
                <w:szCs w:val="18"/>
              </w:rPr>
              <w:t xml:space="preserve"> </w:t>
            </w:r>
          </w:p>
        </w:tc>
        <w:tc>
          <w:tcPr>
            <w:tcW w:w="2580" w:type="dxa"/>
            <w:gridSpan w:val="2"/>
            <w:tcBorders>
              <w:top w:val="single" w:color="auto" w:sz="8" w:space="0"/>
              <w:left w:val="nil"/>
              <w:bottom w:val="nil"/>
              <w:right w:val="nil"/>
            </w:tcBorders>
            <w:vAlign w:val="bottom"/>
          </w:tcPr>
          <w:p w:rsidRPr="0096251D" w:rsidR="002122DD" w:rsidP="00AC3E63" w:rsidRDefault="002122DD" w14:paraId="5D98D8DB" w14:textId="77777777">
            <w:pPr>
              <w:rPr>
                <w:sz w:val="18"/>
                <w:szCs w:val="18"/>
              </w:rPr>
            </w:pPr>
            <w:r w:rsidRPr="0096251D">
              <w:rPr>
                <w:b/>
                <w:bCs/>
                <w:sz w:val="18"/>
                <w:szCs w:val="18"/>
              </w:rPr>
              <w:t>Total Responses:</w:t>
            </w:r>
            <w:r w:rsidRPr="0096251D">
              <w:rPr>
                <w:rFonts w:eastAsia="Helvetica"/>
                <w:color w:val="000000" w:themeColor="text1"/>
                <w:sz w:val="18"/>
                <w:szCs w:val="18"/>
              </w:rPr>
              <w:t>     </w:t>
            </w:r>
            <w:r w:rsidRPr="00C15B5D">
              <w:rPr>
                <w:rFonts w:eastAsia="Helvetica"/>
                <w:color w:val="000000" w:themeColor="text1"/>
                <w:sz w:val="18"/>
                <w:szCs w:val="18"/>
              </w:rPr>
              <w:t>1,218</w:t>
            </w:r>
          </w:p>
        </w:tc>
        <w:tc>
          <w:tcPr>
            <w:tcW w:w="2325" w:type="dxa"/>
            <w:gridSpan w:val="2"/>
            <w:tcBorders>
              <w:top w:val="single" w:color="auto" w:sz="8" w:space="0"/>
              <w:left w:val="nil"/>
              <w:bottom w:val="nil"/>
              <w:right w:val="nil"/>
            </w:tcBorders>
            <w:vAlign w:val="bottom"/>
          </w:tcPr>
          <w:p w:rsidRPr="0096251D" w:rsidR="002122DD" w:rsidP="00AC3E63" w:rsidRDefault="002122DD" w14:paraId="4BC42798" w14:textId="77777777">
            <w:pPr>
              <w:rPr>
                <w:sz w:val="18"/>
                <w:szCs w:val="18"/>
              </w:rPr>
            </w:pPr>
            <w:r w:rsidRPr="0096251D">
              <w:rPr>
                <w:b/>
                <w:bCs/>
                <w:sz w:val="18"/>
                <w:szCs w:val="18"/>
              </w:rPr>
              <w:t>Total Hours:300</w:t>
            </w:r>
            <w:r w:rsidRPr="0096251D">
              <w:rPr>
                <w:rFonts w:eastAsia="Helvetica"/>
                <w:color w:val="000000" w:themeColor="text1"/>
                <w:sz w:val="18"/>
                <w:szCs w:val="18"/>
              </w:rPr>
              <w:t>     </w:t>
            </w:r>
            <w:r w:rsidRPr="0096251D">
              <w:rPr>
                <w:sz w:val="18"/>
                <w:szCs w:val="18"/>
              </w:rPr>
              <w:t xml:space="preserve"> </w:t>
            </w:r>
          </w:p>
        </w:tc>
        <w:tc>
          <w:tcPr>
            <w:tcW w:w="810" w:type="dxa"/>
            <w:tcBorders>
              <w:top w:val="single" w:color="auto" w:sz="8" w:space="0"/>
              <w:left w:val="nil"/>
              <w:bottom w:val="nil"/>
              <w:right w:val="nil"/>
            </w:tcBorders>
          </w:tcPr>
          <w:p w:rsidRPr="0096251D" w:rsidR="002122DD" w:rsidP="00AC3E63" w:rsidRDefault="002122DD" w14:paraId="3F2FCA7C" w14:textId="77777777">
            <w:pPr>
              <w:rPr>
                <w:sz w:val="18"/>
                <w:szCs w:val="18"/>
              </w:rPr>
            </w:pPr>
            <w:r w:rsidRPr="0096251D">
              <w:rPr>
                <w:sz w:val="18"/>
                <w:szCs w:val="18"/>
              </w:rPr>
              <w:t xml:space="preserve"> </w:t>
            </w:r>
          </w:p>
        </w:tc>
        <w:tc>
          <w:tcPr>
            <w:tcW w:w="1530" w:type="dxa"/>
            <w:tcBorders>
              <w:top w:val="single" w:color="auto" w:sz="8" w:space="0"/>
              <w:left w:val="nil"/>
              <w:bottom w:val="nil"/>
              <w:right w:val="nil"/>
            </w:tcBorders>
          </w:tcPr>
          <w:p w:rsidRPr="0096251D" w:rsidR="002122DD" w:rsidP="00AC3E63" w:rsidRDefault="002122DD" w14:paraId="2777CFD7" w14:textId="77777777">
            <w:pPr>
              <w:rPr>
                <w:sz w:val="18"/>
                <w:szCs w:val="18"/>
              </w:rPr>
            </w:pPr>
            <w:r w:rsidRPr="0096251D">
              <w:rPr>
                <w:sz w:val="18"/>
                <w:szCs w:val="18"/>
              </w:rPr>
              <w:t xml:space="preserve"> </w:t>
            </w:r>
          </w:p>
        </w:tc>
      </w:tr>
    </w:tbl>
    <w:p w:rsidR="002122DD" w:rsidP="002122DD" w:rsidRDefault="002122DD" w14:paraId="08A25BA4" w14:textId="77777777">
      <w:pPr>
        <w:keepLines/>
        <w:spacing w:after="80"/>
      </w:pPr>
      <w:r w:rsidRPr="47C66882">
        <w:rPr>
          <w:i/>
          <w:iCs/>
          <w:color w:val="000000" w:themeColor="text1"/>
          <w:sz w:val="22"/>
          <w:szCs w:val="22"/>
        </w:rPr>
        <w:t>*Average Number of Responses per Respondent = Total Annual Responses / Number of Respondents</w:t>
      </w:r>
      <w:r w:rsidRPr="47C66882">
        <w:rPr>
          <w:color w:val="000000" w:themeColor="text1"/>
          <w:sz w:val="22"/>
          <w:szCs w:val="22"/>
        </w:rPr>
        <w:t xml:space="preserve"> </w:t>
      </w:r>
    </w:p>
    <w:p w:rsidR="002122DD" w:rsidP="002122DD" w:rsidRDefault="002122DD" w14:paraId="57A24532" w14:textId="77777777">
      <w:pPr>
        <w:keepLines/>
        <w:spacing w:after="80"/>
        <w:rPr>
          <w:color w:val="000000" w:themeColor="text1"/>
          <w:sz w:val="22"/>
          <w:szCs w:val="22"/>
        </w:rPr>
      </w:pPr>
      <w:r w:rsidRPr="47C66882">
        <w:rPr>
          <w:i/>
          <w:iCs/>
          <w:color w:val="000000" w:themeColor="text1"/>
          <w:sz w:val="22"/>
          <w:szCs w:val="22"/>
        </w:rPr>
        <w:t xml:space="preserve">#Respondents will only complete the checklist, survey and disclosure for MF </w:t>
      </w:r>
      <w:r w:rsidRPr="47C66882">
        <w:rPr>
          <w:b/>
          <w:bCs/>
          <w:i/>
          <w:iCs/>
          <w:color w:val="000000" w:themeColor="text1"/>
          <w:sz w:val="22"/>
          <w:szCs w:val="22"/>
        </w:rPr>
        <w:t xml:space="preserve">or </w:t>
      </w:r>
      <w:r w:rsidRPr="47C66882">
        <w:rPr>
          <w:i/>
          <w:iCs/>
          <w:color w:val="000000" w:themeColor="text1"/>
          <w:sz w:val="22"/>
          <w:szCs w:val="22"/>
        </w:rPr>
        <w:t>PH properties.</w:t>
      </w:r>
    </w:p>
    <w:p w:rsidR="002122DD" w:rsidP="002122DD" w:rsidRDefault="002122DD" w14:paraId="074565DC" w14:textId="77777777">
      <w:pPr>
        <w:keepLines/>
        <w:tabs>
          <w:tab w:val="left" w:pos="360"/>
        </w:tabs>
        <w:spacing w:after="80"/>
        <w:ind w:left="360" w:hanging="360"/>
        <w:rPr>
          <w:color w:val="000000"/>
          <w:sz w:val="18"/>
          <w:szCs w:val="18"/>
        </w:rPr>
      </w:pPr>
    </w:p>
    <w:p w:rsidRPr="00FC6446" w:rsidR="002122DD" w:rsidP="002122DD" w:rsidRDefault="002122DD" w14:paraId="0C616278" w14:textId="77777777">
      <w:pPr>
        <w:rPr>
          <w:i/>
          <w:iCs/>
          <w:sz w:val="22"/>
          <w:szCs w:val="22"/>
        </w:rPr>
      </w:pPr>
      <w:r w:rsidRPr="7745644E">
        <w:rPr>
          <w:i/>
          <w:iCs/>
          <w:sz w:val="22"/>
          <w:szCs w:val="22"/>
        </w:rPr>
        <w:t>*Average Number of Responses per Respondent = Total Annual Responses / Number of Respondents</w:t>
      </w:r>
    </w:p>
    <w:p w:rsidR="002122DD" w:rsidP="002122DD" w:rsidRDefault="002122DD" w14:paraId="0F0B5C41" w14:textId="77777777">
      <w:pPr>
        <w:rPr>
          <w:i/>
          <w:iCs/>
          <w:sz w:val="22"/>
          <w:szCs w:val="22"/>
        </w:rPr>
      </w:pPr>
      <w:r w:rsidRPr="7745644E">
        <w:rPr>
          <w:i/>
          <w:iCs/>
          <w:sz w:val="22"/>
          <w:szCs w:val="22"/>
        </w:rPr>
        <w:t xml:space="preserve">#Respondents will only complete the checklist, survey and disclosure for MF </w:t>
      </w:r>
      <w:r w:rsidRPr="7745644E">
        <w:rPr>
          <w:b/>
          <w:bCs/>
          <w:i/>
          <w:iCs/>
          <w:sz w:val="22"/>
          <w:szCs w:val="22"/>
        </w:rPr>
        <w:t xml:space="preserve">or </w:t>
      </w:r>
      <w:r w:rsidRPr="7745644E">
        <w:rPr>
          <w:i/>
          <w:iCs/>
          <w:sz w:val="22"/>
          <w:szCs w:val="22"/>
        </w:rPr>
        <w:t>PH properties.</w:t>
      </w:r>
    </w:p>
    <w:p w:rsidRPr="00FC6446" w:rsidR="002122DD" w:rsidP="002122DD" w:rsidRDefault="002122DD" w14:paraId="41DEE81B" w14:textId="77777777">
      <w:pPr>
        <w:rPr>
          <w:i/>
          <w:iCs/>
          <w:sz w:val="22"/>
          <w:szCs w:val="22"/>
        </w:rPr>
      </w:pPr>
    </w:p>
    <w:p w:rsidR="002122DD" w:rsidP="002122DD" w:rsidRDefault="002122DD" w14:paraId="1F7B1A05" w14:textId="77777777">
      <w:pPr>
        <w:tabs>
          <w:tab w:val="left" w:pos="360"/>
        </w:tabs>
        <w:ind w:left="360" w:hanging="360"/>
        <w:rPr>
          <w:color w:val="000000"/>
          <w:sz w:val="18"/>
        </w:rPr>
      </w:pPr>
    </w:p>
    <w:p w:rsidRPr="00F83286" w:rsidR="002122DD" w:rsidP="002122DD" w:rsidRDefault="002122DD" w14:paraId="50A1ECDC" w14:textId="77777777">
      <w:pPr>
        <w:keepLines/>
        <w:tabs>
          <w:tab w:val="left" w:pos="360"/>
        </w:tabs>
        <w:spacing w:after="80"/>
        <w:ind w:left="360" w:hanging="360"/>
        <w:rPr>
          <w:b/>
          <w:bCs/>
          <w:color w:val="000000"/>
          <w:sz w:val="22"/>
        </w:rPr>
      </w:pPr>
      <w:r w:rsidRPr="2D9107BE">
        <w:rPr>
          <w:b/>
          <w:bCs/>
          <w:color w:val="000000" w:themeColor="text1"/>
          <w:sz w:val="18"/>
          <w:szCs w:val="18"/>
        </w:rPr>
        <w:lastRenderedPageBreak/>
        <w:t>13.</w:t>
      </w:r>
      <w:r>
        <w:tab/>
      </w:r>
      <w:r w:rsidRPr="2D9107BE">
        <w:rPr>
          <w:b/>
          <w:bCs/>
          <w:color w:val="000000" w:themeColor="text1"/>
          <w:sz w:val="22"/>
          <w:szCs w:val="22"/>
        </w:rPr>
        <w:t>Estimate of the annual cost to respondents or recordkeepers (do not include the cost of hour burden shown in Items 12 and 14).  Read the complete instructions on the form 83i.</w:t>
      </w:r>
    </w:p>
    <w:p w:rsidR="002122DD" w:rsidP="002122DD" w:rsidRDefault="002122DD" w14:paraId="6F0892DA" w14:textId="77777777">
      <w:pPr>
        <w:rPr>
          <w:sz w:val="24"/>
          <w:szCs w:val="24"/>
        </w:rPr>
      </w:pPr>
    </w:p>
    <w:p w:rsidR="002122DD" w:rsidP="002122DD" w:rsidRDefault="002122DD" w14:paraId="36F6BAB8" w14:textId="77777777">
      <w:pPr>
        <w:ind w:left="360" w:firstLine="720"/>
        <w:rPr>
          <w:sz w:val="24"/>
          <w:szCs w:val="24"/>
        </w:rPr>
      </w:pPr>
      <w:r w:rsidRPr="5306CE21">
        <w:rPr>
          <w:sz w:val="24"/>
          <w:szCs w:val="24"/>
        </w:rPr>
        <w:t xml:space="preserve">HUD REAC estimates the total annual cost to MF, PH, PHA and POA respondents, their </w:t>
      </w:r>
      <w:proofErr w:type="gramStart"/>
      <w:r w:rsidRPr="5306CE21">
        <w:rPr>
          <w:sz w:val="24"/>
          <w:szCs w:val="24"/>
        </w:rPr>
        <w:t>residents</w:t>
      </w:r>
      <w:proofErr w:type="gramEnd"/>
      <w:r w:rsidRPr="5306CE21">
        <w:rPr>
          <w:sz w:val="24"/>
          <w:szCs w:val="24"/>
        </w:rPr>
        <w:t xml:space="preserve"> and staff to be $</w:t>
      </w:r>
      <w:r>
        <w:rPr>
          <w:sz w:val="24"/>
          <w:szCs w:val="24"/>
        </w:rPr>
        <w:t>13</w:t>
      </w:r>
      <w:r w:rsidRPr="005324DF">
        <w:rPr>
          <w:sz w:val="24"/>
          <w:szCs w:val="24"/>
        </w:rPr>
        <w:t>,</w:t>
      </w:r>
      <w:r>
        <w:rPr>
          <w:sz w:val="24"/>
          <w:szCs w:val="24"/>
        </w:rPr>
        <w:t xml:space="preserve">282 </w:t>
      </w:r>
      <w:r w:rsidRPr="5306CE21">
        <w:rPr>
          <w:sz w:val="24"/>
          <w:szCs w:val="24"/>
        </w:rPr>
        <w:t xml:space="preserve">based on </w:t>
      </w:r>
      <w:r>
        <w:rPr>
          <w:sz w:val="24"/>
          <w:szCs w:val="24"/>
        </w:rPr>
        <w:t>498</w:t>
      </w:r>
      <w:r w:rsidRPr="5306CE21">
        <w:rPr>
          <w:sz w:val="24"/>
          <w:szCs w:val="24"/>
        </w:rPr>
        <w:t xml:space="preserve"> hours </w:t>
      </w:r>
      <w:r>
        <w:rPr>
          <w:sz w:val="24"/>
          <w:szCs w:val="24"/>
        </w:rPr>
        <w:t xml:space="preserve">using </w:t>
      </w:r>
      <w:r w:rsidRPr="5306CE21">
        <w:rPr>
          <w:sz w:val="24"/>
          <w:szCs w:val="24"/>
        </w:rPr>
        <w:t xml:space="preserve">2020 averages from the U.S. Department of Labor and Statistics [BLS] (Please References on Page 15). The estimates are: $36 for Community Service Managers completing the checklist and $7.5 for residents completing their survey. Because the Proxy (i.e., Operator of the RVI technology on-site) can be manager, resident or maintenance person, the cost to them </w:t>
      </w:r>
      <w:proofErr w:type="gramStart"/>
      <w:r w:rsidRPr="5306CE21">
        <w:rPr>
          <w:sz w:val="24"/>
          <w:szCs w:val="24"/>
        </w:rPr>
        <w:t>are</w:t>
      </w:r>
      <w:proofErr w:type="gramEnd"/>
      <w:r w:rsidRPr="5306CE21">
        <w:rPr>
          <w:sz w:val="24"/>
          <w:szCs w:val="24"/>
        </w:rPr>
        <w:t xml:space="preserve"> based on an average for their salaries based BLS 2020 estimates for the nation. This average includes an average salary of $21 for maintenance staff in the U.S.</w:t>
      </w:r>
    </w:p>
    <w:p w:rsidR="002122DD" w:rsidP="002122DD" w:rsidRDefault="002122DD" w14:paraId="3265F2B2" w14:textId="77777777">
      <w:pPr>
        <w:ind w:left="360"/>
        <w:rPr>
          <w:sz w:val="24"/>
          <w:szCs w:val="24"/>
        </w:rPr>
      </w:pPr>
    </w:p>
    <w:p w:rsidRPr="005F0F6F" w:rsidR="002122DD" w:rsidP="002122DD" w:rsidRDefault="002122DD" w14:paraId="0C1C65F1" w14:textId="77777777">
      <w:pPr>
        <w:keepLines/>
        <w:tabs>
          <w:tab w:val="left" w:pos="360"/>
        </w:tabs>
        <w:spacing w:after="80"/>
        <w:ind w:left="360" w:hanging="360"/>
        <w:rPr>
          <w:b/>
          <w:bCs/>
          <w:color w:val="000000"/>
          <w:sz w:val="22"/>
        </w:rPr>
      </w:pPr>
      <w:r w:rsidRPr="2D9107BE">
        <w:rPr>
          <w:b/>
          <w:bCs/>
          <w:color w:val="000000" w:themeColor="text1"/>
          <w:sz w:val="18"/>
          <w:szCs w:val="18"/>
        </w:rPr>
        <w:t>14.</w:t>
      </w:r>
      <w:r>
        <w:tab/>
      </w:r>
      <w:r w:rsidRPr="005F0F6F">
        <w:rPr>
          <w:b/>
          <w:bCs/>
          <w:color w:val="000000" w:themeColor="text1"/>
          <w:sz w:val="18"/>
          <w:szCs w:val="18"/>
        </w:rPr>
        <w:t>E</w:t>
      </w:r>
      <w:r w:rsidRPr="005F0F6F">
        <w:rPr>
          <w:b/>
          <w:bCs/>
          <w:color w:val="000000" w:themeColor="text1"/>
          <w:sz w:val="22"/>
          <w:szCs w:val="22"/>
        </w:rPr>
        <w:t>stimate annualized costs to the Federal government.</w:t>
      </w:r>
    </w:p>
    <w:p w:rsidR="002122DD" w:rsidP="002122DD" w:rsidRDefault="002122DD" w14:paraId="387F88C5" w14:textId="77777777">
      <w:pPr>
        <w:ind w:left="360"/>
        <w:rPr>
          <w:sz w:val="24"/>
          <w:szCs w:val="24"/>
        </w:rPr>
      </w:pPr>
      <w:r w:rsidRPr="005F0F6F">
        <w:rPr>
          <w:sz w:val="24"/>
          <w:szCs w:val="24"/>
        </w:rPr>
        <w:t xml:space="preserve">The hourly cost is based on a GS-13 step 1, mid-level staff position in the government and represents an average annual salary of $79,468. The source for this estimate is the U.S. Office of Personnel Management, 2021. There are 6 </w:t>
      </w:r>
      <w:r w:rsidRPr="007077F2">
        <w:rPr>
          <w:sz w:val="24"/>
          <w:szCs w:val="24"/>
        </w:rPr>
        <w:t>inspector</w:t>
      </w:r>
      <w:r w:rsidRPr="005F0F6F">
        <w:rPr>
          <w:sz w:val="24"/>
          <w:szCs w:val="24"/>
        </w:rPr>
        <w:t>s working 20% of the time on RVIs (18,893.6 * 6) = 95,362</w:t>
      </w:r>
      <w:r>
        <w:rPr>
          <w:sz w:val="24"/>
          <w:szCs w:val="24"/>
        </w:rPr>
        <w:t xml:space="preserve"> and one</w:t>
      </w:r>
      <w:r w:rsidRPr="005F0F6F">
        <w:rPr>
          <w:sz w:val="24"/>
          <w:szCs w:val="24"/>
        </w:rPr>
        <w:t xml:space="preserve"> program management analyst working 60% on RVIs = 47,680</w:t>
      </w:r>
      <w:r>
        <w:rPr>
          <w:sz w:val="24"/>
          <w:szCs w:val="24"/>
        </w:rPr>
        <w:t xml:space="preserve">. </w:t>
      </w:r>
      <w:r w:rsidRPr="005F0F6F">
        <w:rPr>
          <w:sz w:val="24"/>
          <w:szCs w:val="24"/>
        </w:rPr>
        <w:t>T</w:t>
      </w:r>
      <w:r>
        <w:rPr>
          <w:sz w:val="24"/>
          <w:szCs w:val="24"/>
        </w:rPr>
        <w:t>he total cost to the government is $1</w:t>
      </w:r>
      <w:r w:rsidRPr="005F0F6F">
        <w:rPr>
          <w:sz w:val="24"/>
          <w:szCs w:val="24"/>
        </w:rPr>
        <w:t>43,043</w:t>
      </w:r>
      <w:r>
        <w:rPr>
          <w:sz w:val="24"/>
          <w:szCs w:val="24"/>
        </w:rPr>
        <w:t>.</w:t>
      </w:r>
    </w:p>
    <w:p w:rsidRPr="00865C62" w:rsidR="002122DD" w:rsidP="002122DD" w:rsidRDefault="002122DD" w14:paraId="0FAECC94" w14:textId="77777777">
      <w:pPr>
        <w:ind w:left="360"/>
      </w:pPr>
    </w:p>
    <w:p w:rsidR="002122DD" w:rsidP="002122DD" w:rsidRDefault="002122DD" w14:paraId="3FEB0988" w14:textId="77777777">
      <w:pPr>
        <w:ind w:left="360"/>
        <w:rPr>
          <w:sz w:val="24"/>
          <w:szCs w:val="24"/>
        </w:rPr>
      </w:pPr>
    </w:p>
    <w:p w:rsidRPr="00F83286" w:rsidR="002122DD" w:rsidP="002122DD" w:rsidRDefault="002122DD" w14:paraId="36D96FFD" w14:textId="77777777">
      <w:pPr>
        <w:keepLines/>
        <w:tabs>
          <w:tab w:val="left" w:pos="360"/>
        </w:tabs>
        <w:spacing w:after="80"/>
        <w:rPr>
          <w:b/>
          <w:bCs/>
          <w:color w:val="000000"/>
          <w:sz w:val="22"/>
          <w:szCs w:val="22"/>
        </w:rPr>
      </w:pPr>
      <w:r w:rsidRPr="5306CE21">
        <w:rPr>
          <w:b/>
          <w:bCs/>
          <w:color w:val="000000" w:themeColor="text1"/>
          <w:sz w:val="18"/>
          <w:szCs w:val="18"/>
        </w:rPr>
        <w:t>15.</w:t>
      </w:r>
      <w:r>
        <w:tab/>
      </w:r>
      <w:r w:rsidRPr="5306CE21">
        <w:rPr>
          <w:b/>
          <w:bCs/>
          <w:color w:val="000000" w:themeColor="text1"/>
          <w:sz w:val="22"/>
          <w:szCs w:val="22"/>
        </w:rPr>
        <w:t>Explain any program changes or adjustments reported in items 13 and 14 of the OMB Form 83i.</w:t>
      </w:r>
    </w:p>
    <w:p w:rsidR="002122DD" w:rsidP="002122DD" w:rsidRDefault="002122DD" w14:paraId="4EA9FE9F" w14:textId="77777777">
      <w:pPr>
        <w:tabs>
          <w:tab w:val="left" w:pos="360"/>
        </w:tabs>
        <w:rPr>
          <w:color w:val="000000" w:themeColor="text1"/>
          <w:sz w:val="22"/>
          <w:szCs w:val="22"/>
        </w:rPr>
      </w:pPr>
      <w:r w:rsidRPr="5306CE21">
        <w:rPr>
          <w:color w:val="000000" w:themeColor="text1"/>
          <w:sz w:val="22"/>
          <w:szCs w:val="22"/>
        </w:rPr>
        <w:t xml:space="preserve">       This collection is the first time HUD is requiring</w:t>
      </w:r>
      <w:r>
        <w:rPr>
          <w:color w:val="000000" w:themeColor="text1"/>
          <w:sz w:val="22"/>
          <w:szCs w:val="22"/>
        </w:rPr>
        <w:t xml:space="preserve"> </w:t>
      </w:r>
      <w:r w:rsidRPr="5306CE21">
        <w:rPr>
          <w:color w:val="000000" w:themeColor="text1"/>
          <w:sz w:val="22"/>
          <w:szCs w:val="22"/>
        </w:rPr>
        <w:t>that PHA</w:t>
      </w:r>
      <w:r w:rsidRPr="5306CE21">
        <w:rPr>
          <w:color w:val="000000" w:themeColor="text1"/>
          <w:sz w:val="22"/>
          <w:szCs w:val="22"/>
          <w:u w:val="single"/>
        </w:rPr>
        <w:t>s</w:t>
      </w:r>
      <w:r w:rsidRPr="5306CE21">
        <w:rPr>
          <w:color w:val="000000" w:themeColor="text1"/>
          <w:sz w:val="22"/>
          <w:szCs w:val="22"/>
        </w:rPr>
        <w:t xml:space="preserve"> and POAs</w:t>
      </w:r>
      <w:r>
        <w:rPr>
          <w:color w:val="000000" w:themeColor="text1"/>
          <w:sz w:val="22"/>
          <w:szCs w:val="22"/>
        </w:rPr>
        <w:t xml:space="preserve"> volunteering for RVIs</w:t>
      </w:r>
      <w:r w:rsidRPr="5306CE21">
        <w:rPr>
          <w:color w:val="000000" w:themeColor="text1"/>
          <w:sz w:val="22"/>
          <w:szCs w:val="22"/>
        </w:rPr>
        <w:t xml:space="preserve"> provide information</w:t>
      </w:r>
    </w:p>
    <w:p w:rsidR="002122DD" w:rsidP="002122DD" w:rsidRDefault="002122DD" w14:paraId="6A99FF10" w14:textId="77777777">
      <w:pPr>
        <w:tabs>
          <w:tab w:val="left" w:pos="360"/>
        </w:tabs>
        <w:rPr>
          <w:color w:val="000000" w:themeColor="text1"/>
          <w:sz w:val="22"/>
          <w:szCs w:val="22"/>
        </w:rPr>
      </w:pPr>
      <w:r>
        <w:rPr>
          <w:color w:val="000000" w:themeColor="text1"/>
          <w:sz w:val="22"/>
          <w:szCs w:val="22"/>
        </w:rPr>
        <w:t xml:space="preserve">       </w:t>
      </w:r>
      <w:r w:rsidRPr="5306CE21">
        <w:rPr>
          <w:color w:val="000000" w:themeColor="text1"/>
          <w:sz w:val="22"/>
          <w:szCs w:val="22"/>
        </w:rPr>
        <w:t>about their readiness t</w:t>
      </w:r>
      <w:r>
        <w:rPr>
          <w:color w:val="000000" w:themeColor="text1"/>
          <w:sz w:val="22"/>
          <w:szCs w:val="22"/>
        </w:rPr>
        <w:t xml:space="preserve">o </w:t>
      </w:r>
      <w:r w:rsidRPr="5306CE21">
        <w:rPr>
          <w:color w:val="000000" w:themeColor="text1"/>
          <w:sz w:val="22"/>
          <w:szCs w:val="22"/>
        </w:rPr>
        <w:t xml:space="preserve">collect multifamily and public housing head of household’s willingness and readiness to assist </w:t>
      </w:r>
    </w:p>
    <w:p w:rsidR="002122DD" w:rsidP="002122DD" w:rsidRDefault="002122DD" w14:paraId="30DAF8D5" w14:textId="77777777">
      <w:pPr>
        <w:tabs>
          <w:tab w:val="left" w:pos="360"/>
        </w:tabs>
        <w:rPr>
          <w:color w:val="000000" w:themeColor="text1"/>
          <w:sz w:val="22"/>
          <w:szCs w:val="22"/>
        </w:rPr>
      </w:pPr>
      <w:r>
        <w:rPr>
          <w:color w:val="000000" w:themeColor="text1"/>
          <w:sz w:val="22"/>
          <w:szCs w:val="22"/>
        </w:rPr>
        <w:t xml:space="preserve">       </w:t>
      </w:r>
      <w:r w:rsidRPr="5306CE21">
        <w:rPr>
          <w:color w:val="000000" w:themeColor="text1"/>
          <w:sz w:val="22"/>
          <w:szCs w:val="22"/>
        </w:rPr>
        <w:t>with RVIs, PHA and</w:t>
      </w:r>
      <w:r>
        <w:rPr>
          <w:color w:val="000000" w:themeColor="text1"/>
          <w:sz w:val="22"/>
          <w:szCs w:val="22"/>
        </w:rPr>
        <w:t xml:space="preserve"> </w:t>
      </w:r>
      <w:r w:rsidRPr="5306CE21">
        <w:rPr>
          <w:color w:val="000000" w:themeColor="text1"/>
          <w:sz w:val="22"/>
          <w:szCs w:val="22"/>
        </w:rPr>
        <w:t xml:space="preserve">POA; </w:t>
      </w:r>
      <w:proofErr w:type="gramStart"/>
      <w:r>
        <w:rPr>
          <w:color w:val="000000" w:themeColor="text1"/>
          <w:sz w:val="22"/>
          <w:szCs w:val="22"/>
        </w:rPr>
        <w:t>and,</w:t>
      </w:r>
      <w:proofErr w:type="gramEnd"/>
      <w:r>
        <w:rPr>
          <w:color w:val="000000" w:themeColor="text1"/>
          <w:sz w:val="22"/>
          <w:szCs w:val="22"/>
        </w:rPr>
        <w:t xml:space="preserve"> </w:t>
      </w:r>
      <w:r w:rsidRPr="5306CE21">
        <w:rPr>
          <w:color w:val="000000" w:themeColor="text1"/>
          <w:sz w:val="22"/>
          <w:szCs w:val="22"/>
        </w:rPr>
        <w:t>the performance of RVIs with Proxies</w:t>
      </w:r>
      <w:r>
        <w:rPr>
          <w:color w:val="000000" w:themeColor="text1"/>
          <w:sz w:val="22"/>
          <w:szCs w:val="22"/>
        </w:rPr>
        <w:t xml:space="preserve">. This is also the first time HUD is developing </w:t>
      </w:r>
    </w:p>
    <w:p w:rsidR="002122DD" w:rsidP="002122DD" w:rsidRDefault="002122DD" w14:paraId="5B88CC0F" w14:textId="77777777">
      <w:pPr>
        <w:tabs>
          <w:tab w:val="left" w:pos="360"/>
        </w:tabs>
        <w:rPr>
          <w:color w:val="000000" w:themeColor="text1"/>
          <w:sz w:val="22"/>
          <w:szCs w:val="22"/>
        </w:rPr>
      </w:pPr>
      <w:r>
        <w:rPr>
          <w:color w:val="000000" w:themeColor="text1"/>
          <w:sz w:val="22"/>
          <w:szCs w:val="22"/>
        </w:rPr>
        <w:t xml:space="preserve">       and testing the RVI approach with federal staff.</w:t>
      </w:r>
    </w:p>
    <w:p w:rsidR="002122DD" w:rsidP="002122DD" w:rsidRDefault="002122DD" w14:paraId="2A093CA2" w14:textId="77777777">
      <w:pPr>
        <w:tabs>
          <w:tab w:val="left" w:pos="360"/>
        </w:tabs>
        <w:ind w:left="360" w:hanging="360"/>
        <w:rPr>
          <w:color w:val="000000"/>
          <w:sz w:val="18"/>
        </w:rPr>
      </w:pPr>
    </w:p>
    <w:p w:rsidRPr="00F83286" w:rsidR="002122DD" w:rsidP="002122DD" w:rsidRDefault="002122DD" w14:paraId="3F67DCE2" w14:textId="77777777">
      <w:pPr>
        <w:keepLines/>
        <w:tabs>
          <w:tab w:val="left" w:pos="360"/>
        </w:tabs>
        <w:spacing w:after="80"/>
        <w:ind w:left="360" w:hanging="360"/>
        <w:rPr>
          <w:b/>
          <w:bCs/>
          <w:color w:val="000000"/>
          <w:sz w:val="22"/>
        </w:rPr>
      </w:pPr>
      <w:r w:rsidRPr="00810E90">
        <w:rPr>
          <w:b/>
          <w:bCs/>
          <w:color w:val="000000"/>
          <w:sz w:val="18"/>
        </w:rPr>
        <w:t>16.</w:t>
      </w:r>
      <w:r w:rsidRPr="00810E90">
        <w:rPr>
          <w:b/>
          <w:bCs/>
          <w:color w:val="000000"/>
          <w:sz w:val="18"/>
        </w:rPr>
        <w:tab/>
      </w:r>
      <w:r w:rsidRPr="00810E90">
        <w:rPr>
          <w:b/>
          <w:bCs/>
          <w:color w:val="000000"/>
          <w:sz w:val="22"/>
        </w:rPr>
        <w:t>If the information will be published, outline plans for tabulation and publication.</w:t>
      </w:r>
    </w:p>
    <w:p w:rsidRPr="00FC7230" w:rsidR="002122DD" w:rsidP="002122DD" w:rsidRDefault="002122DD" w14:paraId="0E918F44" w14:textId="77777777">
      <w:pPr>
        <w:tabs>
          <w:tab w:val="left" w:pos="360"/>
        </w:tabs>
        <w:ind w:left="360" w:hanging="360"/>
        <w:rPr>
          <w:color w:val="000000"/>
          <w:sz w:val="22"/>
          <w:szCs w:val="22"/>
        </w:rPr>
      </w:pPr>
      <w:r w:rsidRPr="00FC7230">
        <w:rPr>
          <w:color w:val="000000"/>
          <w:sz w:val="22"/>
          <w:szCs w:val="22"/>
        </w:rPr>
        <w:t xml:space="preserve">       The findings from the checklist, inspection survey of residents, </w:t>
      </w:r>
      <w:r>
        <w:rPr>
          <w:color w:val="000000"/>
          <w:sz w:val="22"/>
          <w:szCs w:val="22"/>
        </w:rPr>
        <w:t xml:space="preserve">and </w:t>
      </w:r>
      <w:r w:rsidRPr="00FC7230">
        <w:rPr>
          <w:color w:val="000000"/>
          <w:sz w:val="22"/>
          <w:szCs w:val="22"/>
        </w:rPr>
        <w:t>inspection survey of Proxies (i.e., Operators</w:t>
      </w:r>
      <w:r>
        <w:rPr>
          <w:color w:val="000000"/>
          <w:sz w:val="22"/>
          <w:szCs w:val="22"/>
        </w:rPr>
        <w:t>)</w:t>
      </w:r>
      <w:r w:rsidRPr="00FC7230">
        <w:rPr>
          <w:color w:val="000000"/>
          <w:sz w:val="22"/>
          <w:szCs w:val="22"/>
        </w:rPr>
        <w:t xml:space="preserve"> will not be published </w:t>
      </w:r>
      <w:r>
        <w:rPr>
          <w:color w:val="000000"/>
          <w:sz w:val="22"/>
          <w:szCs w:val="22"/>
        </w:rPr>
        <w:t xml:space="preserve">to the public </w:t>
      </w:r>
      <w:r w:rsidRPr="00FC7230">
        <w:rPr>
          <w:color w:val="000000"/>
          <w:sz w:val="22"/>
          <w:szCs w:val="22"/>
        </w:rPr>
        <w:t>and will be used to solely to prepare for and improve RVIs.</w:t>
      </w:r>
    </w:p>
    <w:p w:rsidRPr="00865C62" w:rsidR="002122DD" w:rsidP="002122DD" w:rsidRDefault="002122DD" w14:paraId="0131C9EC" w14:textId="77777777">
      <w:pPr>
        <w:tabs>
          <w:tab w:val="left" w:pos="360"/>
        </w:tabs>
        <w:rPr>
          <w:color w:val="000000"/>
          <w:sz w:val="22"/>
          <w:szCs w:val="22"/>
        </w:rPr>
      </w:pPr>
    </w:p>
    <w:p w:rsidRPr="00F83286" w:rsidR="002122DD" w:rsidP="002122DD" w:rsidRDefault="002122DD" w14:paraId="6E1C0845" w14:textId="77777777">
      <w:pPr>
        <w:keepLines/>
        <w:tabs>
          <w:tab w:val="left" w:pos="360"/>
        </w:tabs>
        <w:spacing w:after="80"/>
        <w:ind w:left="360" w:hanging="360"/>
        <w:rPr>
          <w:b/>
          <w:bCs/>
          <w:color w:val="000000"/>
          <w:sz w:val="22"/>
        </w:rPr>
      </w:pPr>
      <w:r w:rsidRPr="00810E90">
        <w:rPr>
          <w:b/>
          <w:bCs/>
          <w:color w:val="000000"/>
          <w:sz w:val="18"/>
        </w:rPr>
        <w:t>17.</w:t>
      </w:r>
      <w:r w:rsidRPr="00810E90">
        <w:rPr>
          <w:b/>
          <w:bCs/>
          <w:color w:val="000000"/>
          <w:sz w:val="18"/>
        </w:rPr>
        <w:tab/>
      </w:r>
      <w:r w:rsidRPr="00722469">
        <w:rPr>
          <w:b/>
          <w:bCs/>
          <w:color w:val="000000"/>
          <w:sz w:val="22"/>
          <w:szCs w:val="22"/>
        </w:rPr>
        <w:t>If seeking approval to not display the expiration date for OMB approval of the information collection, explain the reasons that display would be inappropriate.</w:t>
      </w:r>
    </w:p>
    <w:p w:rsidRPr="00FC7230" w:rsidR="002122DD" w:rsidP="002122DD" w:rsidRDefault="002122DD" w14:paraId="44763F58" w14:textId="77777777">
      <w:pPr>
        <w:tabs>
          <w:tab w:val="left" w:pos="360"/>
        </w:tabs>
        <w:ind w:left="360"/>
        <w:rPr>
          <w:color w:val="000000"/>
          <w:sz w:val="22"/>
          <w:szCs w:val="22"/>
        </w:rPr>
      </w:pPr>
      <w:r>
        <w:rPr>
          <w:color w:val="000000" w:themeColor="text1"/>
          <w:sz w:val="22"/>
          <w:szCs w:val="22"/>
        </w:rPr>
        <w:t xml:space="preserve">Once approved by OMB, </w:t>
      </w:r>
      <w:r w:rsidRPr="5306CE21">
        <w:rPr>
          <w:color w:val="000000" w:themeColor="text1"/>
          <w:sz w:val="22"/>
          <w:szCs w:val="22"/>
        </w:rPr>
        <w:t>HUD will display the OMB approval date in the MS Excel spreadsheet</w:t>
      </w:r>
      <w:r>
        <w:rPr>
          <w:color w:val="000000" w:themeColor="text1"/>
          <w:sz w:val="22"/>
          <w:szCs w:val="22"/>
        </w:rPr>
        <w:t xml:space="preserve">s </w:t>
      </w:r>
      <w:r w:rsidRPr="5306CE21">
        <w:rPr>
          <w:color w:val="000000" w:themeColor="text1"/>
          <w:sz w:val="22"/>
          <w:szCs w:val="22"/>
        </w:rPr>
        <w:t xml:space="preserve">and on SharePoint where the information collection is stored.  </w:t>
      </w:r>
    </w:p>
    <w:p w:rsidR="002122DD" w:rsidP="002122DD" w:rsidRDefault="002122DD" w14:paraId="0768F727" w14:textId="77777777">
      <w:pPr>
        <w:tabs>
          <w:tab w:val="left" w:pos="360"/>
        </w:tabs>
        <w:ind w:left="360" w:hanging="360"/>
        <w:rPr>
          <w:color w:val="000000"/>
          <w:sz w:val="18"/>
        </w:rPr>
      </w:pPr>
    </w:p>
    <w:p w:rsidRPr="00F83286" w:rsidR="002122DD" w:rsidP="002122DD" w:rsidRDefault="002122DD" w14:paraId="60DE4106" w14:textId="77777777">
      <w:pPr>
        <w:keepLines/>
        <w:tabs>
          <w:tab w:val="left" w:pos="360"/>
        </w:tabs>
        <w:spacing w:after="80"/>
        <w:ind w:left="360" w:hanging="360"/>
        <w:rPr>
          <w:b/>
          <w:bCs/>
          <w:color w:val="000000"/>
          <w:sz w:val="22"/>
        </w:rPr>
      </w:pPr>
      <w:r w:rsidRPr="00810E90">
        <w:rPr>
          <w:b/>
          <w:bCs/>
          <w:color w:val="000000"/>
          <w:sz w:val="18"/>
        </w:rPr>
        <w:t>18.</w:t>
      </w:r>
      <w:r w:rsidRPr="00810E90">
        <w:rPr>
          <w:b/>
          <w:bCs/>
          <w:color w:val="000000"/>
          <w:sz w:val="18"/>
        </w:rPr>
        <w:tab/>
      </w:r>
      <w:r w:rsidRPr="00810E90">
        <w:rPr>
          <w:b/>
          <w:bCs/>
          <w:color w:val="000000"/>
          <w:sz w:val="22"/>
        </w:rPr>
        <w:t>Explain each exception to the certification statement identified in item 19.</w:t>
      </w:r>
    </w:p>
    <w:p w:rsidRPr="00865C62" w:rsidR="002122DD" w:rsidP="002122DD" w:rsidRDefault="002122DD" w14:paraId="49716350" w14:textId="77777777">
      <w:pPr>
        <w:tabs>
          <w:tab w:val="left" w:pos="360"/>
        </w:tabs>
        <w:rPr>
          <w:color w:val="000000"/>
          <w:sz w:val="22"/>
          <w:szCs w:val="22"/>
        </w:rPr>
      </w:pPr>
      <w:r>
        <w:rPr>
          <w:color w:val="000000"/>
          <w:sz w:val="18"/>
        </w:rPr>
        <w:tab/>
      </w:r>
    </w:p>
    <w:p w:rsidR="002122DD" w:rsidP="002122DD" w:rsidRDefault="002122DD" w14:paraId="1DFBCFA1" w14:textId="77777777">
      <w:pPr>
        <w:tabs>
          <w:tab w:val="left" w:pos="360"/>
        </w:tabs>
        <w:ind w:left="360" w:hanging="360"/>
        <w:rPr>
          <w:color w:val="000000"/>
          <w:sz w:val="18"/>
        </w:rPr>
      </w:pPr>
    </w:p>
    <w:p w:rsidR="002122DD" w:rsidP="002122DD" w:rsidRDefault="002122DD" w14:paraId="6059059D" w14:textId="77777777">
      <w:pPr>
        <w:tabs>
          <w:tab w:val="left" w:pos="360"/>
        </w:tabs>
        <w:ind w:left="360" w:hanging="360"/>
        <w:rPr>
          <w:color w:val="000000"/>
        </w:rPr>
      </w:pPr>
    </w:p>
    <w:p w:rsidR="002122DD" w:rsidP="002122DD" w:rsidRDefault="002122DD" w14:paraId="523945BB" w14:textId="77777777">
      <w:pPr>
        <w:keepLines/>
        <w:pBdr>
          <w:top w:val="single" w:color="auto" w:sz="6" w:space="1"/>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18"/>
        </w:rPr>
      </w:pPr>
      <w:r>
        <w:rPr>
          <w:rFonts w:ascii="Helvetica" w:hAnsi="Helvetica"/>
          <w:b/>
          <w:color w:val="000000"/>
          <w:sz w:val="18"/>
        </w:rPr>
        <w:t xml:space="preserve">B. </w:t>
      </w:r>
      <w:r>
        <w:rPr>
          <w:rFonts w:ascii="Helvetica" w:hAnsi="Helvetica"/>
          <w:b/>
          <w:color w:val="000000"/>
          <w:sz w:val="18"/>
        </w:rPr>
        <w:tab/>
        <w:t>Collections of Information Employing Statistical Methods</w:t>
      </w:r>
    </w:p>
    <w:p w:rsidR="00A04A87" w:rsidRDefault="00A04A87" w14:paraId="3234A731" w14:textId="77777777"/>
    <w:sectPr w:rsidR="00A04A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2C4C9E"/>
    <w:multiLevelType w:val="hybridMultilevel"/>
    <w:tmpl w:val="ABD0C75E"/>
    <w:lvl w:ilvl="0" w:tplc="5FE8C7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580A04"/>
    <w:multiLevelType w:val="hybridMultilevel"/>
    <w:tmpl w:val="D892DF0C"/>
    <w:lvl w:ilvl="0" w:tplc="316449FC">
      <w:start w:val="7"/>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2DD"/>
    <w:rsid w:val="002122DD"/>
    <w:rsid w:val="0072346B"/>
    <w:rsid w:val="00A04A87"/>
    <w:rsid w:val="00C61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3A845"/>
  <w15:chartTrackingRefBased/>
  <w15:docId w15:val="{82F7A184-F550-429C-8457-C1EE2BD4C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2D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2122DD"/>
  </w:style>
  <w:style w:type="character" w:styleId="Hyperlink">
    <w:name w:val="Hyperlink"/>
    <w:basedOn w:val="DefaultParagraphFont"/>
    <w:uiPriority w:val="99"/>
    <w:unhideWhenUsed/>
    <w:rsid w:val="002122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VI@hud.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3276</Words>
  <Characters>18674</Characters>
  <Application>Microsoft Office Word</Application>
  <DocSecurity>0</DocSecurity>
  <Lines>155</Lines>
  <Paragraphs>43</Paragraphs>
  <ScaleCrop>false</ScaleCrop>
  <Company/>
  <LinksUpToDate>false</LinksUpToDate>
  <CharactersWithSpaces>21907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Pollard, Colette</dc:creator>
  <cp:keywords/>
  <dc:description/>
  <cp:lastModifiedBy>Pollard, Colette</cp:lastModifiedBy>
  <cp:revision>2</cp:revision>
  <dcterms:created xsi:type="dcterms:W3CDTF">2021-12-15T21:46:00Z</dcterms:created>
  <dcterms:modified xsi:type="dcterms:W3CDTF">2021-12-15T21:46:00Z</dcterms:modified>
</cp:coreProperties>
</file>