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F1" w:rsidP="0024672A" w:rsidRDefault="00F146F1">
      <w:pPr>
        <w:widowControl/>
        <w:tabs>
          <w:tab w:val="left" w:pos="5040"/>
        </w:tabs>
        <w:jc w:val="center"/>
        <w:rPr>
          <w:rFonts w:ascii="Times New Roman" w:hAnsi="Times New Roman"/>
        </w:rPr>
      </w:pPr>
      <w:bookmarkStart w:name="_GoBack" w:id="0"/>
      <w:bookmarkEnd w:id="0"/>
      <w:r>
        <w:rPr>
          <w:rFonts w:ascii="Times New Roman" w:hAnsi="Times New Roman"/>
        </w:rPr>
        <w:t>SUPPORTING STATEMENT</w:t>
      </w:r>
    </w:p>
    <w:p w:rsidR="00F146F1" w:rsidP="0024672A" w:rsidRDefault="00F146F1">
      <w:pPr>
        <w:widowControl/>
        <w:tabs>
          <w:tab w:val="center" w:pos="4680"/>
          <w:tab w:val="left" w:pos="5040"/>
        </w:tabs>
        <w:jc w:val="center"/>
        <w:rPr>
          <w:rFonts w:ascii="Times New Roman" w:hAnsi="Times New Roman"/>
        </w:rPr>
      </w:pPr>
      <w:r>
        <w:rPr>
          <w:rFonts w:ascii="Times New Roman" w:hAnsi="Times New Roman"/>
        </w:rPr>
        <w:t>APPLICATION PURSUANT TO SECTION 19 OF</w:t>
      </w:r>
    </w:p>
    <w:p w:rsidR="00F146F1" w:rsidP="0024672A" w:rsidRDefault="00F146F1">
      <w:pPr>
        <w:widowControl/>
        <w:tabs>
          <w:tab w:val="center" w:pos="4680"/>
          <w:tab w:val="left" w:pos="5040"/>
        </w:tabs>
        <w:jc w:val="center"/>
        <w:rPr>
          <w:rFonts w:ascii="Times New Roman" w:hAnsi="Times New Roman"/>
        </w:rPr>
      </w:pPr>
      <w:r>
        <w:rPr>
          <w:rFonts w:ascii="Times New Roman" w:hAnsi="Times New Roman"/>
        </w:rPr>
        <w:t>THE FEDERAL DEPOSIT INSURANCE ACT</w:t>
      </w:r>
    </w:p>
    <w:p w:rsidR="00F146F1" w:rsidRDefault="00F146F1">
      <w:pPr>
        <w:widowControl/>
        <w:tabs>
          <w:tab w:val="center" w:pos="4680"/>
          <w:tab w:val="left" w:pos="5040"/>
        </w:tabs>
        <w:jc w:val="center"/>
        <w:rPr>
          <w:rFonts w:ascii="Times New Roman" w:hAnsi="Times New Roman"/>
        </w:rPr>
      </w:pPr>
      <w:r>
        <w:rPr>
          <w:rFonts w:ascii="Times New Roman" w:hAnsi="Times New Roman"/>
        </w:rPr>
        <w:t xml:space="preserve">(OMB </w:t>
      </w:r>
      <w:r w:rsidR="009A2D61">
        <w:rPr>
          <w:rFonts w:ascii="Times New Roman" w:hAnsi="Times New Roman"/>
        </w:rPr>
        <w:t xml:space="preserve">Control </w:t>
      </w:r>
      <w:r>
        <w:rPr>
          <w:rFonts w:ascii="Times New Roman" w:hAnsi="Times New Roman"/>
        </w:rPr>
        <w:t>No. 3064</w:t>
      </w:r>
      <w:r>
        <w:rPr>
          <w:rFonts w:ascii="Times New Roman" w:hAnsi="Times New Roman"/>
        </w:rPr>
        <w:noBreakHyphen/>
        <w:t>0018)</w:t>
      </w: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rsidRDefault="00F146F1">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rsidRDefault="00D07D24">
      <w:pPr>
        <w:widowControl/>
        <w:autoSpaceDE w:val="0"/>
        <w:autoSpaceDN w:val="0"/>
        <w:adjustRightInd w:val="0"/>
        <w:rPr>
          <w:rFonts w:ascii="Times New Roman" w:hAnsi="Times New Roman"/>
          <w:szCs w:val="24"/>
        </w:rPr>
      </w:pPr>
    </w:p>
    <w:p w:rsidR="00B10980" w:rsidP="00B10980" w:rsidRDefault="00B10980">
      <w:pPr>
        <w:widowControl/>
        <w:autoSpaceDE w:val="0"/>
        <w:autoSpaceDN w:val="0"/>
        <w:adjustRightInd w:val="0"/>
        <w:rPr>
          <w:rFonts w:ascii="Times New Roman" w:hAnsi="Times New Roman"/>
        </w:rPr>
      </w:pPr>
      <w:r w:rsidRPr="00B10980">
        <w:rPr>
          <w:rFonts w:ascii="Times New Roman" w:hAnsi="Times New Roman"/>
        </w:rPr>
        <w:t xml:space="preserve">Section 19 of the Federal Deposit Insurance Act, 12 U.S.C. § 1829, (FDI Act) prohibits, without the prior written consent of the FDIC, </w:t>
      </w:r>
      <w:r w:rsidR="00FA1575">
        <w:rPr>
          <w:rFonts w:ascii="Times New Roman" w:hAnsi="Times New Roman"/>
        </w:rPr>
        <w:t>an individual</w:t>
      </w:r>
      <w:r w:rsidRPr="00B10980">
        <w:rPr>
          <w:rFonts w:ascii="Times New Roman" w:hAnsi="Times New Roman"/>
        </w:rPr>
        <w:t xml:space="preserve"> convicted of any criminal offense involving dishonesty or breach of trust or money laundering (covered offenses), or who has agreed to enter into a pretrial diversion or similar program in connection with a prosecution for such offense</w:t>
      </w:r>
      <w:r w:rsidR="0019296B">
        <w:rPr>
          <w:rFonts w:ascii="Times New Roman" w:hAnsi="Times New Roman"/>
        </w:rPr>
        <w:t xml:space="preserve"> (covered person)</w:t>
      </w:r>
      <w:r w:rsidRPr="00B10980">
        <w:rPr>
          <w:rFonts w:ascii="Times New Roman" w:hAnsi="Times New Roman"/>
        </w:rPr>
        <w:t xml:space="preserve">, from becoming or continuing as an institution-affiliated party (IAP), owning or controlling, directly or indirectly an insured depository institution (insured institution), or otherwise participating, directly or indirectly, in the conduct of the affairs of the insured institution.  In addition, the law forbids an insured institution from permitting such </w:t>
      </w:r>
      <w:r w:rsidR="00FA1575">
        <w:rPr>
          <w:rFonts w:ascii="Times New Roman" w:hAnsi="Times New Roman"/>
        </w:rPr>
        <w:t>an individual</w:t>
      </w:r>
      <w:r w:rsidRPr="00B10980">
        <w:rPr>
          <w:rFonts w:ascii="Times New Roman" w:hAnsi="Times New Roman"/>
        </w:rPr>
        <w:t xml:space="preserve"> to engage in any conduct or to continue any relationship prohibited by Section 19.  Section 19 provides a criminal penalty for the knowing violation of its provisions of a fine of not more than $1,000,000 for each day of the violation or imprisonment for not more than five years. </w:t>
      </w:r>
    </w:p>
    <w:p w:rsidR="00B10980" w:rsidP="00B10980" w:rsidRDefault="00B10980">
      <w:pPr>
        <w:widowControl/>
        <w:autoSpaceDE w:val="0"/>
        <w:autoSpaceDN w:val="0"/>
        <w:adjustRightInd w:val="0"/>
        <w:rPr>
          <w:rFonts w:ascii="Times New Roman" w:hAnsi="Times New Roman"/>
        </w:rPr>
      </w:pPr>
    </w:p>
    <w:p w:rsidR="00B10980" w:rsidP="00B10980" w:rsidRDefault="000467FC">
      <w:pPr>
        <w:widowControl/>
        <w:autoSpaceDE w:val="0"/>
        <w:autoSpaceDN w:val="0"/>
        <w:adjustRightInd w:val="0"/>
        <w:rPr>
          <w:rFonts w:ascii="Times New Roman" w:hAnsi="Times New Roman"/>
        </w:rPr>
      </w:pPr>
      <w:r>
        <w:rPr>
          <w:rFonts w:ascii="Times New Roman" w:hAnsi="Times New Roman"/>
        </w:rPr>
        <w:t xml:space="preserve">There are two methods by which a covered person can apply to the FDIC for written permission to become an </w:t>
      </w:r>
      <w:r w:rsidR="00940034">
        <w:rPr>
          <w:rFonts w:ascii="Times New Roman" w:hAnsi="Times New Roman"/>
        </w:rPr>
        <w:t>IAP</w:t>
      </w:r>
      <w:r>
        <w:rPr>
          <w:rFonts w:ascii="Times New Roman" w:hAnsi="Times New Roman"/>
        </w:rPr>
        <w:t xml:space="preserve"> or participate in the affairs of an insured institution.  The first method</w:t>
      </w:r>
      <w:r w:rsidR="006E7CE7">
        <w:rPr>
          <w:rFonts w:ascii="Times New Roman" w:hAnsi="Times New Roman"/>
        </w:rPr>
        <w:t xml:space="preserve"> involves a</w:t>
      </w:r>
      <w:r>
        <w:rPr>
          <w:rFonts w:ascii="Times New Roman" w:hAnsi="Times New Roman"/>
        </w:rPr>
        <w:t xml:space="preserve">n insured institution </w:t>
      </w:r>
      <w:r w:rsidR="006E7CE7">
        <w:rPr>
          <w:rFonts w:ascii="Times New Roman" w:hAnsi="Times New Roman"/>
        </w:rPr>
        <w:t xml:space="preserve">filing </w:t>
      </w:r>
      <w:r>
        <w:rPr>
          <w:rFonts w:ascii="Times New Roman" w:hAnsi="Times New Roman"/>
        </w:rPr>
        <w:t>a Section 19 application on behalf of a prospective director, officer, or employee</w:t>
      </w:r>
      <w:r w:rsidR="006E7CE7">
        <w:rPr>
          <w:rFonts w:ascii="Times New Roman" w:hAnsi="Times New Roman"/>
        </w:rPr>
        <w:t xml:space="preserve"> (Sponsorship). When an insured institution will not file a Section 19 application on behalf of a covered person, a second method allows an individual to seek a waiver</w:t>
      </w:r>
      <w:r>
        <w:rPr>
          <w:rFonts w:ascii="Times New Roman" w:hAnsi="Times New Roman"/>
        </w:rPr>
        <w:t xml:space="preserve"> </w:t>
      </w:r>
      <w:r w:rsidR="006E7CE7">
        <w:rPr>
          <w:rFonts w:ascii="Times New Roman" w:hAnsi="Times New Roman"/>
        </w:rPr>
        <w:t xml:space="preserve">of the requirement that an insured institution file a Section 19 application on their behalf (Individual Waiver).  Sponsorship and Individual Waivers are </w:t>
      </w:r>
      <w:r w:rsidR="0019296B">
        <w:rPr>
          <w:rFonts w:ascii="Times New Roman" w:hAnsi="Times New Roman"/>
        </w:rPr>
        <w:t xml:space="preserve">each </w:t>
      </w:r>
      <w:r w:rsidR="006E7CE7">
        <w:rPr>
          <w:rFonts w:ascii="Times New Roman" w:hAnsi="Times New Roman"/>
        </w:rPr>
        <w:t>made by filing FDIC Form 6710/07</w:t>
      </w:r>
      <w:r w:rsidR="0019296B">
        <w:rPr>
          <w:rFonts w:ascii="Times New Roman" w:hAnsi="Times New Roman"/>
        </w:rPr>
        <w:t xml:space="preserve"> with the FDIC</w:t>
      </w:r>
      <w:r w:rsidR="006E7CE7">
        <w:rPr>
          <w:rFonts w:ascii="Times New Roman" w:hAnsi="Times New Roman"/>
        </w:rPr>
        <w:t>.</w:t>
      </w:r>
    </w:p>
    <w:p w:rsidR="00B10980" w:rsidP="00583579" w:rsidRDefault="00B10980">
      <w:pPr>
        <w:widowControl/>
        <w:autoSpaceDE w:val="0"/>
        <w:autoSpaceDN w:val="0"/>
        <w:adjustRightInd w:val="0"/>
        <w:rPr>
          <w:rFonts w:ascii="Times New Roman" w:hAnsi="Times New Roman"/>
        </w:rPr>
      </w:pPr>
    </w:p>
    <w:p w:rsidR="009A2D61" w:rsidP="00583579" w:rsidRDefault="00041792">
      <w:pPr>
        <w:widowControl/>
        <w:autoSpaceDE w:val="0"/>
        <w:autoSpaceDN w:val="0"/>
        <w:adjustRightInd w:val="0"/>
        <w:rPr>
          <w:rFonts w:ascii="Times New Roman" w:hAnsi="Times New Roman"/>
        </w:rPr>
      </w:pPr>
      <w:r w:rsidRPr="00725F92">
        <w:rPr>
          <w:rFonts w:ascii="Times New Roman" w:hAnsi="Times New Roman"/>
          <w:szCs w:val="24"/>
        </w:rPr>
        <w:t xml:space="preserve">The FDIC is </w:t>
      </w:r>
      <w:r>
        <w:rPr>
          <w:rFonts w:ascii="Times New Roman" w:hAnsi="Times New Roman"/>
          <w:szCs w:val="24"/>
        </w:rPr>
        <w:t xml:space="preserve">therefore </w:t>
      </w:r>
      <w:r w:rsidRPr="00725F92">
        <w:rPr>
          <w:rFonts w:ascii="Times New Roman" w:hAnsi="Times New Roman"/>
          <w:szCs w:val="24"/>
        </w:rPr>
        <w:t>requesting OMB approval of information</w:t>
      </w:r>
      <w:r w:rsidRPr="00D07D24" w:rsidR="00D07D24">
        <w:rPr>
          <w:rFonts w:ascii="Times New Roman" w:hAnsi="Times New Roman"/>
          <w:szCs w:val="24"/>
        </w:rPr>
        <w:t xml:space="preserve"> </w:t>
      </w:r>
      <w:r w:rsidR="00D463FB">
        <w:rPr>
          <w:rFonts w:ascii="Times New Roman" w:hAnsi="Times New Roman"/>
          <w:szCs w:val="24"/>
        </w:rPr>
        <w:t xml:space="preserve">collection </w:t>
      </w:r>
      <w:r w:rsidR="00D07D24">
        <w:rPr>
          <w:rFonts w:ascii="Times New Roman" w:hAnsi="Times New Roman"/>
          <w:szCs w:val="24"/>
        </w:rPr>
        <w:t>titled, “</w:t>
      </w:r>
      <w:r w:rsidR="00D07D24">
        <w:rPr>
          <w:rFonts w:ascii="Times New Roman" w:hAnsi="Times New Roman"/>
        </w:rPr>
        <w:t>Application Pursuant to Section 19 of the</w:t>
      </w:r>
      <w:r w:rsidRPr="00CB7D84" w:rsidR="00D07D24">
        <w:rPr>
          <w:rFonts w:ascii="Times New Roman" w:hAnsi="Times New Roman"/>
        </w:rPr>
        <w:t xml:space="preserve"> </w:t>
      </w:r>
      <w:r w:rsidR="00D07D24">
        <w:rPr>
          <w:rFonts w:ascii="Times New Roman" w:hAnsi="Times New Roman"/>
        </w:rPr>
        <w:t xml:space="preserve">Federal Deposit Insurance Act” </w:t>
      </w:r>
      <w:r w:rsidR="00D07D24">
        <w:rPr>
          <w:rFonts w:ascii="Times New Roman" w:hAnsi="Times New Roman"/>
          <w:color w:val="000000"/>
        </w:rPr>
        <w:t>(3064-0018)</w:t>
      </w:r>
      <w:r w:rsidRPr="00725F92">
        <w:rPr>
          <w:rFonts w:ascii="Times New Roman" w:hAnsi="Times New Roman"/>
          <w:szCs w:val="24"/>
        </w:rPr>
        <w:t xml:space="preserve">, which expires </w:t>
      </w:r>
      <w:r w:rsidRPr="00CC7B69" w:rsidR="009A2D61">
        <w:rPr>
          <w:rFonts w:ascii="Times New Roman" w:hAnsi="Times New Roman"/>
          <w:spacing w:val="-3"/>
        </w:rPr>
        <w:t xml:space="preserve">on </w:t>
      </w:r>
      <w:r w:rsidR="003B6611">
        <w:rPr>
          <w:rFonts w:ascii="Times New Roman" w:hAnsi="Times New Roman"/>
          <w:spacing w:val="-3"/>
        </w:rPr>
        <w:t>October 31, 2021</w:t>
      </w:r>
      <w:r w:rsidR="009A2D61">
        <w:rPr>
          <w:rFonts w:ascii="Times New Roman" w:hAnsi="Times New Roman"/>
          <w:spacing w:val="-3"/>
        </w:rPr>
        <w:t xml:space="preserve">.  </w:t>
      </w:r>
      <w:r w:rsidRPr="007E526E" w:rsidR="009A2D61">
        <w:rPr>
          <w:rFonts w:ascii="Times New Roman" w:hAnsi="Times New Roman"/>
        </w:rPr>
        <w:t>There</w:t>
      </w:r>
      <w:r w:rsidRPr="007E526E" w:rsidR="009A2D61">
        <w:rPr>
          <w:rFonts w:ascii="Times New Roman" w:hAnsi="Times New Roman"/>
          <w:spacing w:val="-6"/>
        </w:rPr>
        <w:t xml:space="preserve"> </w:t>
      </w:r>
      <w:r w:rsidRPr="007E526E" w:rsidR="009A2D61">
        <w:rPr>
          <w:rFonts w:ascii="Times New Roman" w:hAnsi="Times New Roman"/>
        </w:rPr>
        <w:t>is no change</w:t>
      </w:r>
      <w:r w:rsidRPr="007E526E" w:rsidR="009A2D61">
        <w:rPr>
          <w:rFonts w:ascii="Times New Roman" w:hAnsi="Times New Roman"/>
          <w:spacing w:val="-7"/>
        </w:rPr>
        <w:t xml:space="preserve"> </w:t>
      </w:r>
      <w:r w:rsidRPr="007E526E" w:rsidR="009A2D61">
        <w:rPr>
          <w:rFonts w:ascii="Times New Roman" w:hAnsi="Times New Roman"/>
        </w:rPr>
        <w:t>in</w:t>
      </w:r>
      <w:r w:rsidRPr="007E526E" w:rsidR="009A2D61">
        <w:rPr>
          <w:rFonts w:ascii="Times New Roman" w:hAnsi="Times New Roman"/>
          <w:spacing w:val="-2"/>
        </w:rPr>
        <w:t xml:space="preserve"> </w:t>
      </w:r>
      <w:r w:rsidRPr="007E526E" w:rsidR="009A2D61">
        <w:rPr>
          <w:rFonts w:ascii="Times New Roman" w:hAnsi="Times New Roman"/>
        </w:rPr>
        <w:t>the</w:t>
      </w:r>
      <w:r w:rsidRPr="007E526E" w:rsidR="009A2D61">
        <w:rPr>
          <w:rFonts w:ascii="Times New Roman" w:hAnsi="Times New Roman"/>
          <w:spacing w:val="-3"/>
        </w:rPr>
        <w:t xml:space="preserve"> </w:t>
      </w:r>
      <w:r w:rsidRPr="007E526E" w:rsidR="009A2D61">
        <w:rPr>
          <w:rFonts w:ascii="Times New Roman" w:hAnsi="Times New Roman"/>
          <w:spacing w:val="-2"/>
        </w:rPr>
        <w:t>m</w:t>
      </w:r>
      <w:r w:rsidRPr="007E526E" w:rsidR="009A2D61">
        <w:rPr>
          <w:rFonts w:ascii="Times New Roman" w:hAnsi="Times New Roman"/>
        </w:rPr>
        <w:t>ethod</w:t>
      </w:r>
      <w:r w:rsidRPr="007E526E" w:rsidR="009A2D61">
        <w:rPr>
          <w:rFonts w:ascii="Times New Roman" w:hAnsi="Times New Roman"/>
          <w:spacing w:val="-7"/>
        </w:rPr>
        <w:t xml:space="preserve"> </w:t>
      </w:r>
      <w:r w:rsidRPr="007E526E" w:rsidR="009A2D61">
        <w:rPr>
          <w:rFonts w:ascii="Times New Roman" w:hAnsi="Times New Roman"/>
        </w:rPr>
        <w:t>or substance</w:t>
      </w:r>
      <w:r w:rsidRPr="007E526E" w:rsidR="009A2D61">
        <w:rPr>
          <w:rFonts w:ascii="Times New Roman" w:hAnsi="Times New Roman"/>
          <w:spacing w:val="-9"/>
        </w:rPr>
        <w:t xml:space="preserve"> </w:t>
      </w:r>
      <w:r w:rsidRPr="007E526E" w:rsidR="009A2D61">
        <w:rPr>
          <w:rFonts w:ascii="Times New Roman" w:hAnsi="Times New Roman"/>
        </w:rPr>
        <w:t>of the</w:t>
      </w:r>
      <w:r w:rsidRPr="007E526E" w:rsidR="009A2D61">
        <w:rPr>
          <w:rFonts w:ascii="Times New Roman" w:hAnsi="Times New Roman"/>
          <w:spacing w:val="-3"/>
        </w:rPr>
        <w:t xml:space="preserve"> </w:t>
      </w:r>
      <w:r w:rsidRPr="007E526E" w:rsidR="009A2D61">
        <w:rPr>
          <w:rFonts w:ascii="Times New Roman" w:hAnsi="Times New Roman"/>
        </w:rPr>
        <w:t>collection.</w:t>
      </w:r>
      <w:r w:rsidR="0019296B">
        <w:rPr>
          <w:rFonts w:ascii="Times New Roman" w:hAnsi="Times New Roman"/>
        </w:rPr>
        <w:t xml:space="preserve">  </w:t>
      </w:r>
    </w:p>
    <w:p w:rsidR="00F146F1" w:rsidRDefault="00F146F1">
      <w:pPr>
        <w:widowControl/>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JUSTIFICATION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Section 19 of the </w:t>
      </w:r>
      <w:r w:rsidR="0019296B">
        <w:rPr>
          <w:rFonts w:ascii="Times New Roman" w:hAnsi="Times New Roman"/>
        </w:rPr>
        <w:t xml:space="preserve">FDI Act </w:t>
      </w:r>
      <w:r w:rsidRPr="00B10980" w:rsidR="0024672A">
        <w:rPr>
          <w:rFonts w:ascii="Times New Roman" w:hAnsi="Times New Roman"/>
        </w:rPr>
        <w:t>prohibits, without the prior written consent of the FDIC</w:t>
      </w:r>
      <w:r w:rsidR="0024672A">
        <w:rPr>
          <w:rFonts w:ascii="Times New Roman" w:hAnsi="Times New Roman"/>
        </w:rPr>
        <w:t xml:space="preserve">, a covered person </w:t>
      </w:r>
      <w:r w:rsidRPr="00B10980" w:rsidR="0024672A">
        <w:rPr>
          <w:rFonts w:ascii="Times New Roman" w:hAnsi="Times New Roman"/>
        </w:rPr>
        <w:t xml:space="preserve">from becoming or continuing as an </w:t>
      </w:r>
      <w:r w:rsidR="0024672A">
        <w:rPr>
          <w:rFonts w:ascii="Times New Roman" w:hAnsi="Times New Roman"/>
        </w:rPr>
        <w:t>IAP</w:t>
      </w:r>
      <w:r w:rsidRPr="00B10980" w:rsidR="0024672A">
        <w:rPr>
          <w:rFonts w:ascii="Times New Roman" w:hAnsi="Times New Roman"/>
        </w:rPr>
        <w:t xml:space="preserve">, owning or controlling, directly or indirectly an insured </w:t>
      </w:r>
      <w:r w:rsidR="0024672A">
        <w:rPr>
          <w:rFonts w:ascii="Times New Roman" w:hAnsi="Times New Roman"/>
        </w:rPr>
        <w:t>institution</w:t>
      </w:r>
      <w:r w:rsidRPr="00B10980" w:rsidR="0024672A">
        <w:rPr>
          <w:rFonts w:ascii="Times New Roman" w:hAnsi="Times New Roman"/>
        </w:rPr>
        <w:t>, or otherwise participating, directly or indirectly, in the conduct of the affairs of the insured institution.  In addition, the law forbids an insured institution from permitting such a person to engage in any conduct or to continue any relationship prohibited by Section 19.  Section 19 provides a criminal penalty for the knowing violation of its provisions of a fine of not more than $1,000,000 for each day of the violation or imprisonment for not more than five years.</w:t>
      </w:r>
      <w:r>
        <w:rPr>
          <w:rFonts w:ascii="Times New Roman" w:hAnsi="Times New Roman"/>
        </w:rPr>
        <w:t xml:space="preserve"> </w:t>
      </w:r>
      <w:r w:rsidR="0024672A">
        <w:rPr>
          <w:rFonts w:ascii="Times New Roman" w:hAnsi="Times New Roman"/>
        </w:rPr>
        <w:t xml:space="preserve"> A request for FDIC written consent is </w:t>
      </w:r>
      <w:r w:rsidR="0024672A">
        <w:rPr>
          <w:rFonts w:ascii="Times New Roman" w:hAnsi="Times New Roman"/>
        </w:rPr>
        <w:lastRenderedPageBreak/>
        <w:t>made</w:t>
      </w:r>
      <w:r>
        <w:rPr>
          <w:rFonts w:ascii="Times New Roman" w:hAnsi="Times New Roman"/>
        </w:rPr>
        <w:t xml:space="preserve">, </w:t>
      </w:r>
      <w:r w:rsidR="0024672A">
        <w:rPr>
          <w:rFonts w:ascii="Times New Roman" w:hAnsi="Times New Roman"/>
        </w:rPr>
        <w:t>either through Sponsorship or Individual Waiver, by filing FDIC Form 6710/07 with the FDIC.</w:t>
      </w:r>
    </w:p>
    <w:p w:rsidR="0024672A" w:rsidRDefault="0024672A">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rsidRDefault="00F146F1">
      <w:pPr>
        <w:widowControl/>
        <w:rPr>
          <w:rFonts w:ascii="Times New Roman" w:hAnsi="Times New Roman"/>
        </w:rPr>
      </w:pPr>
    </w:p>
    <w:p w:rsidR="00F146F1" w:rsidRDefault="0024672A">
      <w:pPr>
        <w:widowControl/>
        <w:ind w:left="1440"/>
        <w:rPr>
          <w:rFonts w:ascii="Times New Roman" w:hAnsi="Times New Roman"/>
        </w:rPr>
      </w:pPr>
      <w:r>
        <w:rPr>
          <w:rFonts w:ascii="Times New Roman" w:hAnsi="Times New Roman"/>
        </w:rPr>
        <w:t>Form 6710/07</w:t>
      </w:r>
      <w:r w:rsidR="00F146F1">
        <w:rPr>
          <w:rFonts w:ascii="Times New Roman" w:hAnsi="Times New Roman"/>
        </w:rPr>
        <w:t xml:space="preserve"> contains information about</w:t>
      </w:r>
      <w:r w:rsidR="000E621B">
        <w:rPr>
          <w:rFonts w:ascii="Times New Roman" w:hAnsi="Times New Roman"/>
        </w:rPr>
        <w:t xml:space="preserve"> covered</w:t>
      </w:r>
      <w:r w:rsidR="00F146F1">
        <w:rPr>
          <w:rFonts w:ascii="Times New Roman" w:hAnsi="Times New Roman"/>
        </w:rPr>
        <w:t xml:space="preserve"> persons seeking to participate in the conduct of the affairs of an insured institution.  Such information is necessary for the FDIC to carry out its statutory responsibility to provide or withhold its consent to the participation by a </w:t>
      </w:r>
      <w:r w:rsidR="000E621B">
        <w:rPr>
          <w:rFonts w:ascii="Times New Roman" w:hAnsi="Times New Roman"/>
        </w:rPr>
        <w:t xml:space="preserve">covered </w:t>
      </w:r>
      <w:r w:rsidR="00F146F1">
        <w:rPr>
          <w:rFonts w:ascii="Times New Roman" w:hAnsi="Times New Roman"/>
        </w:rPr>
        <w:t>person in the affairs of an insured institution.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Because section 19 applications are unique to each applicant and require certification by the prospective director, officer, or employee and by an appropriate bank official as to the accuracy of the information provided, the capability for electronic submission is currently unavailable.  However, applicants may use technology to the extent feasible and appropriate in completing the application.  </w:t>
      </w:r>
    </w:p>
    <w:p w:rsidR="00F146F1" w:rsidRDefault="00F146F1">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There is no duplication of information.  Each application is a unique submission of the insured institution</w:t>
      </w:r>
      <w:r w:rsidR="00DB3B4B">
        <w:rPr>
          <w:rFonts w:ascii="Times New Roman" w:hAnsi="Times New Roman"/>
        </w:rPr>
        <w:t xml:space="preserve"> or an individual</w:t>
      </w:r>
      <w:r>
        <w:rPr>
          <w:rFonts w:ascii="Times New Roman" w:hAnsi="Times New Roman"/>
        </w:rPr>
        <w:t xml:space="preserve"> to the FDIC.  Similar information is not available from any other source.  An insured institution or individual prepares the application only when it seeks FDIC consent to the participation by a co</w:t>
      </w:r>
      <w:r w:rsidR="000E621B">
        <w:rPr>
          <w:rFonts w:ascii="Times New Roman" w:hAnsi="Times New Roman"/>
        </w:rPr>
        <w:t xml:space="preserve">vered </w:t>
      </w:r>
      <w:r>
        <w:rPr>
          <w:rFonts w:ascii="Times New Roman" w:hAnsi="Times New Roman"/>
        </w:rPr>
        <w:t xml:space="preserve">person in the affairs of the </w:t>
      </w:r>
      <w:r w:rsidR="00A352C5">
        <w:rPr>
          <w:rFonts w:ascii="Times New Roman" w:hAnsi="Times New Roman"/>
        </w:rPr>
        <w:t xml:space="preserve">insured </w:t>
      </w:r>
      <w:r>
        <w:rPr>
          <w:rFonts w:ascii="Times New Roman" w:hAnsi="Times New Roman"/>
        </w:rPr>
        <w:t>institution.</w:t>
      </w:r>
    </w:p>
    <w:p w:rsidR="00ED4700" w:rsidRDefault="00ED4700">
      <w:pPr>
        <w:widowControl/>
        <w:ind w:left="1440"/>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rsidRDefault="00F146F1">
      <w:pPr>
        <w:widowControl/>
        <w:rPr>
          <w:rFonts w:ascii="Times New Roman" w:hAnsi="Times New Roman"/>
        </w:rPr>
      </w:pPr>
    </w:p>
    <w:p w:rsidRPr="00850F7A" w:rsidR="00FA1575" w:rsidP="00850F7A" w:rsidRDefault="00F146F1">
      <w:pPr>
        <w:widowControl/>
        <w:ind w:left="1440"/>
        <w:rPr>
          <w:rFonts w:ascii="Times New Roman" w:hAnsi="Times New Roman"/>
        </w:rPr>
      </w:pPr>
      <w:r w:rsidRPr="00850F7A">
        <w:rPr>
          <w:rFonts w:ascii="Times New Roman" w:hAnsi="Times New Roman"/>
        </w:rPr>
        <w:t>All insured institutions, regardless of size, are subject to the application requirements of section 19 of the FDI Act.  The information requested on the application form is considered to be the minimum needed by the FDIC to evaluate the application.  The applicant is requested to give brief responses</w:t>
      </w:r>
      <w:r w:rsidRPr="00850F7A" w:rsidR="00FA1575">
        <w:rPr>
          <w:rFonts w:ascii="Times New Roman" w:hAnsi="Times New Roman"/>
          <w:color w:val="000000"/>
          <w:szCs w:val="24"/>
          <w:shd w:val="clear" w:color="auto" w:fill="FFFFFF"/>
        </w:rPr>
        <w:t xml:space="preserve"> </w:t>
      </w:r>
      <w:r w:rsidRPr="00FA1575" w:rsidR="00FA1575">
        <w:rPr>
          <w:rStyle w:val="normaltextrun"/>
          <w:rFonts w:ascii="Times New Roman" w:hAnsi="Times New Roman"/>
          <w:color w:val="000000"/>
          <w:szCs w:val="24"/>
          <w:shd w:val="clear" w:color="auto" w:fill="FFFFFF"/>
        </w:rPr>
        <w:t xml:space="preserve">Responses to this information collection </w:t>
      </w:r>
      <w:r w:rsidR="00FA1575">
        <w:rPr>
          <w:rStyle w:val="normaltextrun"/>
          <w:rFonts w:ascii="Times New Roman" w:hAnsi="Times New Roman"/>
          <w:color w:val="000000"/>
          <w:szCs w:val="24"/>
          <w:shd w:val="clear" w:color="auto" w:fill="FFFFFF"/>
        </w:rPr>
        <w:t>(IC)</w:t>
      </w:r>
      <w:r w:rsidRPr="00850F7A" w:rsidR="00FA1575">
        <w:rPr>
          <w:rStyle w:val="normaltextrun"/>
          <w:rFonts w:ascii="Times New Roman" w:hAnsi="Times New Roman"/>
          <w:color w:val="000000"/>
          <w:szCs w:val="24"/>
          <w:shd w:val="clear" w:color="auto" w:fill="FFFFFF"/>
        </w:rPr>
        <w:t xml:space="preserve"> are not mandatory, but are required to obtain or retain a professional relationship with an IDI of the type previously described. Potential respondents to this IC </w:t>
      </w:r>
      <w:r w:rsidRPr="00756EC1" w:rsidR="00756EC1">
        <w:rPr>
          <w:rStyle w:val="normaltextrun"/>
          <w:rFonts w:ascii="Times New Roman" w:hAnsi="Times New Roman"/>
          <w:color w:val="000000"/>
          <w:szCs w:val="24"/>
          <w:shd w:val="clear" w:color="auto" w:fill="FFFFFF"/>
        </w:rPr>
        <w:t xml:space="preserve">include </w:t>
      </w:r>
      <w:r w:rsidRPr="00850F7A" w:rsidR="00FA1575">
        <w:rPr>
          <w:rStyle w:val="normaltextrun"/>
          <w:rFonts w:ascii="Times New Roman" w:hAnsi="Times New Roman"/>
          <w:color w:val="000000"/>
          <w:szCs w:val="24"/>
          <w:shd w:val="clear" w:color="auto" w:fill="FFFFFF"/>
        </w:rPr>
        <w:t xml:space="preserve"> individuals who meet the definition of a covered person and who wish to affiliate with, own, control, or participate in the affairs of an IDI. As of December 31, 2020, there are 5,010 FDIC-insured institutions.</w:t>
      </w:r>
      <w:r w:rsidRPr="00850F7A" w:rsidR="00FA1575">
        <w:rPr>
          <w:rStyle w:val="FootnoteReference"/>
          <w:rFonts w:ascii="Times New Roman" w:hAnsi="Times New Roman"/>
          <w:color w:val="000000"/>
          <w:szCs w:val="24"/>
          <w:shd w:val="clear" w:color="auto" w:fill="FFFFFF"/>
        </w:rPr>
        <w:footnoteReference w:id="1"/>
      </w:r>
      <w:r w:rsidRPr="00850F7A" w:rsidR="00FA1575">
        <w:rPr>
          <w:rStyle w:val="normaltextrun"/>
          <w:rFonts w:ascii="Times New Roman" w:hAnsi="Times New Roman"/>
          <w:color w:val="000000"/>
          <w:szCs w:val="24"/>
          <w:shd w:val="clear" w:color="auto" w:fill="FFFFFF"/>
        </w:rPr>
        <w:t xml:space="preserve"> Of these institutions, 3,500 are considered small for the purposes of the Regulatory Flexibility Act (RFA).</w:t>
      </w:r>
      <w:r w:rsidRPr="00850F7A" w:rsidR="00FA1575">
        <w:rPr>
          <w:rStyle w:val="FootnoteReference"/>
          <w:rFonts w:ascii="Times New Roman" w:hAnsi="Times New Roman"/>
          <w:color w:val="000000"/>
          <w:szCs w:val="24"/>
          <w:shd w:val="clear" w:color="auto" w:fill="FFFFFF"/>
        </w:rPr>
        <w:footnoteReference w:id="2"/>
      </w:r>
      <w:r w:rsidRPr="00850F7A" w:rsidR="00FA1575">
        <w:rPr>
          <w:rStyle w:val="normaltextrun"/>
          <w:rFonts w:ascii="Times New Roman" w:hAnsi="Times New Roman"/>
          <w:color w:val="000000"/>
          <w:szCs w:val="24"/>
          <w:shd w:val="clear" w:color="auto" w:fill="FFFFFF"/>
        </w:rPr>
        <w:t xml:space="preserve"> </w:t>
      </w:r>
      <w:r w:rsidR="00756EC1">
        <w:rPr>
          <w:rStyle w:val="normaltextrun"/>
          <w:rFonts w:ascii="Times New Roman" w:hAnsi="Times New Roman"/>
          <w:color w:val="000000"/>
          <w:szCs w:val="24"/>
          <w:shd w:val="clear" w:color="auto" w:fill="FFFFFF"/>
        </w:rPr>
        <w:t>The majority of</w:t>
      </w:r>
      <w:r w:rsidRPr="00850F7A" w:rsidR="00FA1575">
        <w:rPr>
          <w:rStyle w:val="normaltextrun"/>
          <w:rFonts w:ascii="Times New Roman" w:hAnsi="Times New Roman"/>
          <w:color w:val="000000"/>
          <w:szCs w:val="24"/>
          <w:shd w:val="clear" w:color="auto" w:fill="FFFFFF"/>
        </w:rPr>
        <w:t xml:space="preserve"> respond</w:t>
      </w:r>
      <w:r w:rsidRPr="00FA1575" w:rsidR="00FA1575">
        <w:rPr>
          <w:rStyle w:val="normaltextrun"/>
          <w:rFonts w:ascii="Times New Roman" w:hAnsi="Times New Roman"/>
          <w:color w:val="000000"/>
          <w:szCs w:val="24"/>
          <w:shd w:val="clear" w:color="auto" w:fill="FFFFFF"/>
        </w:rPr>
        <w:t>ents to this IC are individuals which are not considered to be small entities.</w:t>
      </w:r>
      <w:r w:rsidR="00756EC1">
        <w:rPr>
          <w:rStyle w:val="normaltextrun"/>
          <w:rFonts w:ascii="Times New Roman" w:hAnsi="Times New Roman"/>
          <w:color w:val="000000"/>
          <w:szCs w:val="24"/>
          <w:shd w:val="clear" w:color="auto" w:fill="FFFFFF"/>
        </w:rPr>
        <w:t xml:space="preserve"> </w:t>
      </w:r>
      <w:r w:rsidR="00756EC1">
        <w:rPr>
          <w:rFonts w:ascii="Times New Roman" w:hAnsi="Times New Roman"/>
        </w:rPr>
        <w:t>This information collection does not have a significant impact on a substantial number of small entities as the number of applications receives on an annual basis is less than 100 and a substantial portion of those applications are from individuals.</w:t>
      </w:r>
    </w:p>
    <w:p w:rsidR="00F146F1" w:rsidRDefault="00F146F1">
      <w:pPr>
        <w:widowControl/>
        <w:ind w:left="1440"/>
        <w:rPr>
          <w:rFonts w:ascii="Times New Roman" w:hAnsi="Times New Roman"/>
        </w:rPr>
      </w:pP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The information requested is not collected on a periodic basis.  An insured institution or individual prepares the application only when it seeks FDIC conse</w:t>
      </w:r>
      <w:r w:rsidR="00A07FF0">
        <w:rPr>
          <w:rFonts w:ascii="Times New Roman" w:hAnsi="Times New Roman"/>
        </w:rPr>
        <w:t xml:space="preserve">nt to the participation by a covered </w:t>
      </w:r>
      <w:r>
        <w:rPr>
          <w:rFonts w:ascii="Times New Roman" w:hAnsi="Times New Roman"/>
        </w:rPr>
        <w:t xml:space="preserve">person in the affairs of the </w:t>
      </w:r>
      <w:r w:rsidR="00A07FF0">
        <w:rPr>
          <w:rFonts w:ascii="Times New Roman" w:hAnsi="Times New Roman"/>
        </w:rPr>
        <w:t xml:space="preserve">insured </w:t>
      </w:r>
      <w:r>
        <w:rPr>
          <w:rFonts w:ascii="Times New Roman" w:hAnsi="Times New Roman"/>
        </w:rPr>
        <w:t>institution.</w:t>
      </w:r>
    </w:p>
    <w:p w:rsidR="00F146F1" w:rsidRDefault="00F146F1">
      <w:pPr>
        <w:widowControl/>
        <w:rPr>
          <w:rFonts w:ascii="Times New Roman" w:hAnsi="Times New Roman"/>
        </w:rPr>
      </w:pPr>
    </w:p>
    <w:p w:rsidR="00F146F1" w:rsidP="00F175D5" w:rsidRDefault="00F175D5">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rsidRDefault="00F146F1">
      <w:pPr>
        <w:widowControl/>
        <w:rPr>
          <w:rFonts w:ascii="Times New Roman" w:hAnsi="Times New Roman"/>
        </w:rPr>
      </w:pPr>
    </w:p>
    <w:p w:rsidR="00F146F1" w:rsidRDefault="002423D4">
      <w:pPr>
        <w:widowControl/>
        <w:ind w:left="1296" w:firstLine="144"/>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rsidRDefault="00F146F1">
      <w:pPr>
        <w:widowControl/>
        <w:ind w:left="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Pr="00280958" w:rsidR="00F146F1" w:rsidP="00280958" w:rsidRDefault="00F146F1">
      <w:pPr>
        <w:widowControl/>
        <w:ind w:left="1440"/>
        <w:rPr>
          <w:rFonts w:ascii="Times New Roman" w:hAnsi="Times New Roman"/>
        </w:rPr>
      </w:pPr>
    </w:p>
    <w:p w:rsidR="00F146F1" w:rsidP="00280958" w:rsidRDefault="002423D4">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Pr>
          <w:rFonts w:ascii="Times New Roman" w:hAnsi="Times New Roman"/>
        </w:rPr>
        <w:t>August 16, 2021 (86 FR 45729)</w:t>
      </w:r>
      <w:r w:rsidRPr="005E1A91">
        <w:rPr>
          <w:rFonts w:ascii="Times New Roman" w:hAnsi="Times New Roman"/>
        </w:rPr>
        <w:t>.  No comments were received.</w:t>
      </w:r>
      <w:r w:rsidRPr="00280958" w:rsidR="00280958">
        <w:rPr>
          <w:rFonts w:ascii="Times New Roman" w:hAnsi="Times New Roman"/>
        </w:rPr>
        <w:t xml:space="preserve"> </w:t>
      </w:r>
    </w:p>
    <w:p w:rsidRPr="00280958" w:rsidR="00280958" w:rsidP="00280958" w:rsidRDefault="00280958">
      <w:pPr>
        <w:pStyle w:val="Footer"/>
        <w:widowControl/>
        <w:tabs>
          <w:tab w:val="clear" w:pos="4320"/>
          <w:tab w:val="clear" w:pos="8640"/>
        </w:tabs>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rsidRDefault="00F146F1">
      <w:pPr>
        <w:widowControl/>
        <w:rPr>
          <w:rFonts w:ascii="Times New Roman" w:hAnsi="Times New Roman"/>
        </w:rPr>
      </w:pPr>
    </w:p>
    <w:p w:rsidR="00F146F1" w:rsidRDefault="00F146F1">
      <w:pPr>
        <w:widowControl/>
        <w:ind w:left="720" w:firstLine="720"/>
        <w:rPr>
          <w:rFonts w:ascii="Times New Roman" w:hAnsi="Times New Roman"/>
        </w:rPr>
      </w:pPr>
      <w:r>
        <w:rPr>
          <w:rFonts w:ascii="Times New Roman" w:hAnsi="Times New Roman"/>
        </w:rPr>
        <w:t xml:space="preserve">No payment or gift will be made to respondents. </w:t>
      </w:r>
    </w:p>
    <w:p w:rsidR="00F146F1" w:rsidRDefault="00F146F1">
      <w:pPr>
        <w:widowControl/>
        <w:ind w:firstLine="576"/>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rsidRDefault="00F146F1">
      <w:pPr>
        <w:widowControl/>
        <w:ind w:left="576"/>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The application Form FDIC 6710/07 advises the applicant of the use and possible disclosure of the information provided.  The applicant institutions are advised that some of the information, including the social security number, may be provided to any appropriate Federal or State insured institution regulatory agency and law enforcement or other governmental agencies for identity verification.  Should the information indicate a violation of law, the application may be referred to any agency responsible for investigating or prosecuting such a violation.  In addition, in the event of litigation, the application may be presented to the appropriate court as evidence and to counsel in the course of discovery.  </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rsidRDefault="00F146F1">
      <w:pPr>
        <w:widowControl/>
        <w:rPr>
          <w:rFonts w:ascii="Times New Roman" w:hAnsi="Times New Roman"/>
        </w:rPr>
      </w:pPr>
    </w:p>
    <w:p w:rsidR="009D2562" w:rsidP="009D2562" w:rsidRDefault="00F146F1">
      <w:pPr>
        <w:widowControl/>
        <w:ind w:left="1440"/>
        <w:rPr>
          <w:rFonts w:ascii="Times New Roman" w:hAnsi="Times New Roman"/>
        </w:rPr>
      </w:pPr>
      <w:r w:rsidRPr="00FE0498">
        <w:rPr>
          <w:rFonts w:ascii="Times New Roman" w:hAnsi="Times New Roman"/>
        </w:rPr>
        <w:t>The application requires sensitive inf</w:t>
      </w:r>
      <w:r w:rsidR="0086148F">
        <w:rPr>
          <w:rFonts w:ascii="Times New Roman" w:hAnsi="Times New Roman"/>
        </w:rPr>
        <w:t>ormation pertaining to a person’</w:t>
      </w:r>
      <w:r w:rsidRPr="00FE0498">
        <w:rPr>
          <w:rFonts w:ascii="Times New Roman" w:hAnsi="Times New Roman"/>
        </w:rPr>
        <w:t xml:space="preserve">s conviction of criminal offenses involving dishonesty or a breach of trust.  </w:t>
      </w:r>
      <w:r w:rsidR="009D2562">
        <w:rPr>
          <w:rFonts w:ascii="Times New Roman" w:hAnsi="Times New Roman"/>
        </w:rPr>
        <w:t>This</w:t>
      </w:r>
      <w:r w:rsidR="00FE0498">
        <w:rPr>
          <w:rFonts w:ascii="Times New Roman" w:hAnsi="Times New Roman"/>
        </w:rPr>
        <w:t xml:space="preserve"> information </w:t>
      </w:r>
      <w:r w:rsidRPr="00FE0498" w:rsidR="00FE0498">
        <w:rPr>
          <w:rFonts w:ascii="Times New Roman" w:hAnsi="Times New Roman" w:eastAsia="Calibri"/>
        </w:rPr>
        <w:t>includes Personally Identifiable Information (“PII”)</w:t>
      </w:r>
      <w:bookmarkStart w:name="_DV_M1" w:id="1"/>
      <w:bookmarkStart w:name="_DV_M2" w:id="2"/>
      <w:bookmarkEnd w:id="1"/>
      <w:bookmarkEnd w:id="2"/>
      <w:r w:rsidRPr="00FE0498" w:rsidR="00FE0498">
        <w:rPr>
          <w:rFonts w:ascii="Times New Roman" w:hAnsi="Times New Roman" w:eastAsia="Calibri"/>
          <w:vertAlign w:val="superscript"/>
        </w:rPr>
        <w:footnoteReference w:id="3"/>
      </w:r>
      <w:r w:rsidR="00FE0498">
        <w:rPr>
          <w:rFonts w:ascii="Times New Roman" w:hAnsi="Times New Roman" w:eastAsia="Calibri"/>
        </w:rPr>
        <w:t xml:space="preserve">, including name, address, telephone number, date of birth and social security number. </w:t>
      </w:r>
      <w:r w:rsidRPr="00FE0498" w:rsidR="009D2562">
        <w:rPr>
          <w:rFonts w:ascii="Times New Roman" w:hAnsi="Times New Roman"/>
        </w:rPr>
        <w:t>This information is necessary to assist the FDIC in assessing the merits of the application as required by Section 19 of the FDI Act.</w:t>
      </w:r>
      <w:r w:rsidR="009D2562">
        <w:rPr>
          <w:rFonts w:ascii="Times New Roman" w:hAnsi="Times New Roman"/>
        </w:rPr>
        <w:t xml:space="preserve">  </w:t>
      </w:r>
    </w:p>
    <w:p w:rsidR="009D2562" w:rsidP="009D2562" w:rsidRDefault="009D2562">
      <w:pPr>
        <w:widowControl/>
        <w:ind w:left="1440"/>
        <w:rPr>
          <w:rFonts w:ascii="Times New Roman" w:hAnsi="Times New Roman"/>
        </w:rPr>
      </w:pPr>
    </w:p>
    <w:p w:rsidR="009D2562" w:rsidP="009D2562" w:rsidRDefault="000305E9">
      <w:pPr>
        <w:widowControl/>
        <w:ind w:left="1440"/>
      </w:pPr>
      <w:r w:rsidRPr="00440BFE">
        <w:rPr>
          <w:rFonts w:ascii="Times New Roman" w:hAnsi="Times New Roman" w:eastAsia="Calibri"/>
        </w:rPr>
        <w:t xml:space="preserve">The Systems of Records Notice associated with this collection may be viewed at the following link: </w:t>
      </w:r>
      <w:hyperlink w:history="1" r:id="rId8">
        <w:r w:rsidRPr="00440BFE">
          <w:rPr>
            <w:rStyle w:val="Hyperlink"/>
            <w:rFonts w:ascii="Times New Roman" w:hAnsi="Times New Roman" w:eastAsia="Calibri"/>
          </w:rPr>
          <w:t>https://www.f</w:t>
        </w:r>
        <w:r w:rsidRPr="00440BFE">
          <w:rPr>
            <w:rStyle w:val="Hyperlink"/>
            <w:rFonts w:ascii="Times New Roman" w:hAnsi="Times New Roman" w:eastAsia="Calibri"/>
          </w:rPr>
          <w:t>d</w:t>
        </w:r>
        <w:r w:rsidRPr="00440BFE">
          <w:rPr>
            <w:rStyle w:val="Hyperlink"/>
            <w:rFonts w:ascii="Times New Roman" w:hAnsi="Times New Roman" w:eastAsia="Calibri"/>
          </w:rPr>
          <w:t>ic.gov/regulation</w:t>
        </w:r>
        <w:r w:rsidRPr="00440BFE">
          <w:rPr>
            <w:rStyle w:val="Hyperlink"/>
            <w:rFonts w:ascii="Times New Roman" w:hAnsi="Times New Roman" w:eastAsia="Calibri"/>
          </w:rPr>
          <w:t>s</w:t>
        </w:r>
        <w:r w:rsidRPr="00440BFE">
          <w:rPr>
            <w:rStyle w:val="Hyperlink"/>
            <w:rFonts w:ascii="Times New Roman" w:hAnsi="Times New Roman" w:eastAsia="Calibri"/>
          </w:rPr>
          <w:t>/la</w:t>
        </w:r>
        <w:r w:rsidRPr="00440BFE">
          <w:rPr>
            <w:rStyle w:val="Hyperlink"/>
            <w:rFonts w:ascii="Times New Roman" w:hAnsi="Times New Roman" w:eastAsia="Calibri"/>
          </w:rPr>
          <w:t>w</w:t>
        </w:r>
        <w:r w:rsidRPr="00440BFE">
          <w:rPr>
            <w:rStyle w:val="Hyperlink"/>
            <w:rFonts w:ascii="Times New Roman" w:hAnsi="Times New Roman" w:eastAsia="Calibri"/>
          </w:rPr>
          <w:t>s/rules/2000-4000.html#fdic200030--64--0002</w:t>
        </w:r>
      </w:hyperlink>
      <w:r w:rsidRPr="00440BFE" w:rsidR="009D2562">
        <w:rPr>
          <w:rFonts w:ascii="Times New Roman" w:hAnsi="Times New Roman" w:eastAsia="Calibri"/>
        </w:rPr>
        <w:t xml:space="preserve">.  </w:t>
      </w:r>
      <w:r w:rsidRPr="00440BFE" w:rsidR="009D2562">
        <w:rPr>
          <w:rFonts w:ascii="Times New Roman" w:hAnsi="Times New Roman"/>
        </w:rPr>
        <w:t xml:space="preserve">The applicable </w:t>
      </w:r>
      <w:r w:rsidRPr="00440BFE" w:rsidR="009D2562">
        <w:rPr>
          <w:rFonts w:ascii="Times New Roman" w:hAnsi="Times New Roman" w:eastAsia="Calibri"/>
        </w:rPr>
        <w:t xml:space="preserve">Privacy Impact Assessment is available at </w:t>
      </w:r>
      <w:hyperlink w:history="1" r:id="rId9">
        <w:r w:rsidRPr="00440BFE" w:rsidR="009D2562">
          <w:rPr>
            <w:rStyle w:val="Hyperlink"/>
            <w:rFonts w:ascii="Times New Roman" w:hAnsi="Times New Roman"/>
            <w:szCs w:val="24"/>
          </w:rPr>
          <w:t>https://www.fdic.gov/about/</w:t>
        </w:r>
        <w:r w:rsidRPr="00440BFE" w:rsidR="009D2562">
          <w:rPr>
            <w:rStyle w:val="Hyperlink"/>
            <w:rFonts w:ascii="Times New Roman" w:hAnsi="Times New Roman"/>
            <w:szCs w:val="24"/>
          </w:rPr>
          <w:t>p</w:t>
        </w:r>
        <w:r w:rsidRPr="00440BFE" w:rsidR="009D2562">
          <w:rPr>
            <w:rStyle w:val="Hyperlink"/>
            <w:rFonts w:ascii="Times New Roman" w:hAnsi="Times New Roman"/>
            <w:szCs w:val="24"/>
          </w:rPr>
          <w:t>rivacy/assessments.html</w:t>
        </w:r>
      </w:hyperlink>
      <w:r w:rsidRPr="00440BFE" w:rsidR="009D2562">
        <w:rPr>
          <w:rStyle w:val="Hyperlink"/>
          <w:rFonts w:ascii="Times New Roman" w:hAnsi="Times New Roman"/>
          <w:szCs w:val="24"/>
        </w:rPr>
        <w:t>.</w:t>
      </w:r>
      <w:r w:rsidR="009D2562">
        <w:t xml:space="preserve"> </w:t>
      </w:r>
    </w:p>
    <w:p w:rsidR="009D2562" w:rsidP="00FE0498" w:rsidRDefault="009D2562">
      <w:pPr>
        <w:widowControl/>
        <w:ind w:left="1440"/>
        <w:rPr>
          <w:rFonts w:ascii="Times New Roman" w:hAnsi="Times New Roman" w:eastAsia="Calibri"/>
        </w:rPr>
      </w:pPr>
    </w:p>
    <w:p w:rsidR="002423D4" w:rsidP="00FE0498" w:rsidRDefault="002423D4">
      <w:pPr>
        <w:widowControl/>
        <w:ind w:left="1440"/>
        <w:rPr>
          <w:rFonts w:ascii="Times New Roman" w:hAnsi="Times New Roman" w:eastAsia="Calibri"/>
        </w:rPr>
      </w:pPr>
    </w:p>
    <w:p w:rsidR="002423D4" w:rsidP="00FE0498" w:rsidRDefault="002423D4">
      <w:pPr>
        <w:widowControl/>
        <w:ind w:left="1440"/>
        <w:rPr>
          <w:rFonts w:ascii="Times New Roman" w:hAnsi="Times New Roman" w:eastAsia="Calibri"/>
        </w:rPr>
      </w:pPr>
    </w:p>
    <w:p w:rsidRPr="009234BE" w:rsidR="00F146F1" w:rsidP="00F175D5" w:rsidRDefault="002423D4">
      <w:pPr>
        <w:widowControl/>
        <w:numPr>
          <w:ilvl w:val="0"/>
          <w:numId w:val="4"/>
        </w:numPr>
        <w:rPr>
          <w:rFonts w:ascii="Times New Roman" w:hAnsi="Times New Roman"/>
        </w:rPr>
      </w:pPr>
      <w:bookmarkStart w:name="_DV_M10" w:id="3"/>
      <w:bookmarkEnd w:id="3"/>
      <w:r w:rsidRPr="009234BE">
        <w:rPr>
          <w:rFonts w:ascii="Times New Roman" w:hAnsi="Times New Roman"/>
          <w:u w:val="single"/>
        </w:rPr>
        <w:t>Estimate of hour burden including annualized hourly costs:</w:t>
      </w:r>
    </w:p>
    <w:p w:rsidRPr="009234BE" w:rsidR="00F146F1" w:rsidRDefault="00F146F1">
      <w:pPr>
        <w:widowControl/>
        <w:rPr>
          <w:rFonts w:ascii="Times New Roman" w:hAnsi="Times New Roman"/>
        </w:rPr>
      </w:pPr>
    </w:p>
    <w:tbl>
      <w:tblPr>
        <w:tblW w:w="9805" w:type="dxa"/>
        <w:tblLayout w:type="fixed"/>
        <w:tblLook w:val="04A0" w:firstRow="1" w:lastRow="0" w:firstColumn="1" w:lastColumn="0" w:noHBand="0" w:noVBand="1"/>
      </w:tblPr>
      <w:tblGrid>
        <w:gridCol w:w="2335"/>
        <w:gridCol w:w="1620"/>
        <w:gridCol w:w="1260"/>
        <w:gridCol w:w="1399"/>
        <w:gridCol w:w="1274"/>
        <w:gridCol w:w="1073"/>
        <w:gridCol w:w="844"/>
      </w:tblGrid>
      <w:tr w:rsidRPr="009234BE" w:rsidR="009234BE" w:rsidTr="00CC631A">
        <w:trPr>
          <w:trHeight w:val="280"/>
        </w:trPr>
        <w:tc>
          <w:tcPr>
            <w:tcW w:w="980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9234BE" w:rsidR="009234BE" w:rsidP="009234BE" w:rsidRDefault="009234BE">
            <w:pPr>
              <w:widowControl/>
              <w:jc w:val="center"/>
              <w:rPr>
                <w:rFonts w:ascii="Times New Roman" w:hAnsi="Times New Roman"/>
                <w:snapToGrid/>
                <w:color w:val="000000"/>
                <w:sz w:val="20"/>
              </w:rPr>
            </w:pPr>
            <w:r w:rsidRPr="009234BE">
              <w:rPr>
                <w:rFonts w:ascii="Times New Roman" w:hAnsi="Times New Roman"/>
                <w:b/>
                <w:bCs/>
                <w:snapToGrid/>
                <w:color w:val="000000"/>
                <w:sz w:val="20"/>
              </w:rPr>
              <w:t>Summary of Estimated Annual Burdens (OMB No. 3064-0018)</w:t>
            </w:r>
          </w:p>
        </w:tc>
      </w:tr>
      <w:tr w:rsidRPr="009234BE" w:rsidR="009234BE" w:rsidTr="00CC631A">
        <w:trPr>
          <w:trHeight w:val="845"/>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9234BE" w:rsidR="009234BE" w:rsidP="009234BE" w:rsidRDefault="009234BE">
            <w:pPr>
              <w:widowControl/>
              <w:rPr>
                <w:rFonts w:ascii="Times New Roman" w:hAnsi="Times New Roman"/>
                <w:snapToGrid/>
                <w:color w:val="000000"/>
                <w:sz w:val="20"/>
              </w:rPr>
            </w:pPr>
            <w:r w:rsidRPr="009234BE">
              <w:rPr>
                <w:rFonts w:ascii="Times New Roman" w:hAnsi="Times New Roman"/>
                <w:snapToGrid/>
                <w:color w:val="000000"/>
                <w:sz w:val="20"/>
              </w:rPr>
              <w:t>IC Description</w:t>
            </w:r>
          </w:p>
        </w:tc>
        <w:tc>
          <w:tcPr>
            <w:tcW w:w="1620" w:type="dxa"/>
            <w:tcBorders>
              <w:top w:val="nil"/>
              <w:left w:val="nil"/>
              <w:bottom w:val="single" w:color="auto" w:sz="4" w:space="0"/>
              <w:right w:val="single" w:color="auto" w:sz="4" w:space="0"/>
            </w:tcBorders>
            <w:shd w:val="clear" w:color="auto" w:fill="auto"/>
            <w:vAlign w:val="center"/>
            <w:hideMark/>
          </w:tcPr>
          <w:p w:rsidRPr="009234BE" w:rsidR="009234BE" w:rsidP="009234BE" w:rsidRDefault="009234BE">
            <w:pPr>
              <w:widowControl/>
              <w:jc w:val="center"/>
              <w:rPr>
                <w:rFonts w:ascii="Times New Roman" w:hAnsi="Times New Roman"/>
                <w:snapToGrid/>
                <w:color w:val="000000"/>
                <w:sz w:val="20"/>
              </w:rPr>
            </w:pPr>
            <w:r w:rsidRPr="009234BE">
              <w:rPr>
                <w:rFonts w:ascii="Times New Roman" w:hAnsi="Times New Roman"/>
                <w:snapToGrid/>
                <w:color w:val="000000"/>
                <w:sz w:val="20"/>
              </w:rPr>
              <w:t>Type of Burden (Obligation to Respond)</w:t>
            </w:r>
          </w:p>
        </w:tc>
        <w:tc>
          <w:tcPr>
            <w:tcW w:w="1260" w:type="dxa"/>
            <w:tcBorders>
              <w:top w:val="nil"/>
              <w:left w:val="nil"/>
              <w:bottom w:val="single" w:color="auto" w:sz="4" w:space="0"/>
              <w:right w:val="single" w:color="auto" w:sz="4" w:space="0"/>
            </w:tcBorders>
            <w:vAlign w:val="center"/>
          </w:tcPr>
          <w:p w:rsidRPr="009234BE" w:rsidR="009234BE" w:rsidP="009234BE" w:rsidRDefault="009234BE">
            <w:pPr>
              <w:widowControl/>
              <w:jc w:val="center"/>
              <w:rPr>
                <w:rFonts w:ascii="Times New Roman" w:hAnsi="Times New Roman"/>
                <w:snapToGrid/>
                <w:color w:val="000000"/>
                <w:sz w:val="20"/>
              </w:rPr>
            </w:pPr>
            <w:r w:rsidRPr="009234BE">
              <w:rPr>
                <w:rFonts w:ascii="Times New Roman" w:hAnsi="Times New Roman"/>
                <w:snapToGrid/>
                <w:color w:val="000000"/>
                <w:sz w:val="20"/>
              </w:rPr>
              <w:t>Frequency of Response</w:t>
            </w:r>
          </w:p>
        </w:tc>
        <w:tc>
          <w:tcPr>
            <w:tcW w:w="1399" w:type="dxa"/>
            <w:tcBorders>
              <w:top w:val="nil"/>
              <w:left w:val="single" w:color="auto" w:sz="4" w:space="0"/>
              <w:bottom w:val="single" w:color="auto" w:sz="4" w:space="0"/>
              <w:right w:val="single" w:color="auto" w:sz="4" w:space="0"/>
            </w:tcBorders>
            <w:shd w:val="clear" w:color="auto" w:fill="auto"/>
            <w:vAlign w:val="center"/>
            <w:hideMark/>
          </w:tcPr>
          <w:p w:rsidRPr="009234BE" w:rsidR="009234BE" w:rsidP="009234BE" w:rsidRDefault="009234BE">
            <w:pPr>
              <w:widowControl/>
              <w:jc w:val="right"/>
              <w:rPr>
                <w:rFonts w:ascii="Times New Roman" w:hAnsi="Times New Roman"/>
                <w:snapToGrid/>
                <w:color w:val="000000"/>
                <w:sz w:val="20"/>
              </w:rPr>
            </w:pPr>
            <w:r w:rsidRPr="009234BE">
              <w:rPr>
                <w:rFonts w:ascii="Times New Roman" w:hAnsi="Times New Roman"/>
                <w:snapToGrid/>
                <w:color w:val="000000"/>
                <w:sz w:val="20"/>
              </w:rPr>
              <w:t>Number of Respondents</w:t>
            </w:r>
          </w:p>
        </w:tc>
        <w:tc>
          <w:tcPr>
            <w:tcW w:w="1274" w:type="dxa"/>
            <w:tcBorders>
              <w:top w:val="nil"/>
              <w:left w:val="nil"/>
              <w:bottom w:val="single" w:color="auto" w:sz="4" w:space="0"/>
              <w:right w:val="single" w:color="auto" w:sz="4" w:space="0"/>
            </w:tcBorders>
            <w:shd w:val="clear" w:color="auto" w:fill="auto"/>
            <w:vAlign w:val="center"/>
            <w:hideMark/>
          </w:tcPr>
          <w:p w:rsidRPr="009234BE" w:rsidR="009234BE" w:rsidP="009234BE" w:rsidRDefault="009234BE">
            <w:pPr>
              <w:widowControl/>
              <w:jc w:val="right"/>
              <w:rPr>
                <w:rFonts w:ascii="Times New Roman" w:hAnsi="Times New Roman"/>
                <w:snapToGrid/>
                <w:color w:val="000000"/>
                <w:sz w:val="20"/>
              </w:rPr>
            </w:pPr>
            <w:r w:rsidRPr="009234BE">
              <w:rPr>
                <w:rFonts w:ascii="Times New Roman" w:hAnsi="Times New Roman"/>
                <w:snapToGrid/>
                <w:color w:val="000000"/>
                <w:sz w:val="20"/>
              </w:rPr>
              <w:t>Number of Responses / Respondent</w:t>
            </w:r>
          </w:p>
        </w:tc>
        <w:tc>
          <w:tcPr>
            <w:tcW w:w="1073" w:type="dxa"/>
            <w:tcBorders>
              <w:top w:val="nil"/>
              <w:left w:val="nil"/>
              <w:bottom w:val="single" w:color="auto" w:sz="4" w:space="0"/>
              <w:right w:val="single" w:color="auto" w:sz="4" w:space="0"/>
            </w:tcBorders>
            <w:shd w:val="clear" w:color="auto" w:fill="auto"/>
            <w:vAlign w:val="center"/>
            <w:hideMark/>
          </w:tcPr>
          <w:p w:rsidRPr="009234BE" w:rsidR="009234BE" w:rsidP="009234BE" w:rsidRDefault="009234BE">
            <w:pPr>
              <w:widowControl/>
              <w:jc w:val="right"/>
              <w:rPr>
                <w:rFonts w:ascii="Times New Roman" w:hAnsi="Times New Roman"/>
                <w:snapToGrid/>
                <w:color w:val="000000"/>
                <w:sz w:val="20"/>
              </w:rPr>
            </w:pPr>
            <w:r w:rsidRPr="009234BE">
              <w:rPr>
                <w:rFonts w:ascii="Times New Roman" w:hAnsi="Times New Roman"/>
                <w:snapToGrid/>
                <w:color w:val="000000"/>
                <w:sz w:val="20"/>
              </w:rPr>
              <w:t xml:space="preserve">Hours per Response </w:t>
            </w:r>
          </w:p>
        </w:tc>
        <w:tc>
          <w:tcPr>
            <w:tcW w:w="844" w:type="dxa"/>
            <w:tcBorders>
              <w:top w:val="nil"/>
              <w:left w:val="nil"/>
              <w:bottom w:val="single" w:color="auto" w:sz="4" w:space="0"/>
              <w:right w:val="single" w:color="auto" w:sz="4" w:space="0"/>
            </w:tcBorders>
            <w:shd w:val="clear" w:color="auto" w:fill="auto"/>
            <w:vAlign w:val="center"/>
            <w:hideMark/>
          </w:tcPr>
          <w:p w:rsidRPr="009234BE" w:rsidR="009234BE" w:rsidP="009234BE" w:rsidRDefault="009234BE">
            <w:pPr>
              <w:widowControl/>
              <w:jc w:val="right"/>
              <w:rPr>
                <w:rFonts w:ascii="Times New Roman" w:hAnsi="Times New Roman"/>
                <w:snapToGrid/>
                <w:color w:val="000000"/>
                <w:sz w:val="20"/>
              </w:rPr>
            </w:pPr>
            <w:r w:rsidRPr="009234BE">
              <w:rPr>
                <w:rFonts w:ascii="Times New Roman" w:hAnsi="Times New Roman"/>
                <w:snapToGrid/>
                <w:color w:val="000000"/>
                <w:sz w:val="20"/>
              </w:rPr>
              <w:t>Annual Burden (Hours)</w:t>
            </w:r>
          </w:p>
        </w:tc>
      </w:tr>
      <w:tr w:rsidRPr="009234BE" w:rsidR="009234BE" w:rsidTr="00CC631A">
        <w:trPr>
          <w:trHeight w:val="23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9234BE" w:rsidR="009234BE" w:rsidP="009234BE" w:rsidRDefault="009234BE">
            <w:pPr>
              <w:widowControl/>
              <w:rPr>
                <w:rFonts w:ascii="Times New Roman" w:hAnsi="Times New Roman" w:eastAsia="Source Sans Pro"/>
                <w:snapToGrid/>
                <w:color w:val="000000"/>
                <w:sz w:val="20"/>
                <w:lang w:bidi="en-US"/>
              </w:rPr>
            </w:pPr>
            <w:r w:rsidRPr="009234BE">
              <w:rPr>
                <w:rFonts w:ascii="Times New Roman" w:hAnsi="Times New Roman" w:eastAsia="Source Sans Pro"/>
                <w:snapToGrid/>
                <w:color w:val="000000"/>
                <w:sz w:val="20"/>
                <w:lang w:bidi="en-US"/>
              </w:rPr>
              <w:t>Application Pursuant to Section 19 of the Federal Deposit Insurance Act</w:t>
            </w:r>
          </w:p>
        </w:tc>
        <w:tc>
          <w:tcPr>
            <w:tcW w:w="1620" w:type="dxa"/>
            <w:tcBorders>
              <w:top w:val="nil"/>
              <w:left w:val="nil"/>
              <w:bottom w:val="single" w:color="auto" w:sz="4" w:space="0"/>
              <w:right w:val="single" w:color="auto" w:sz="4" w:space="0"/>
            </w:tcBorders>
            <w:shd w:val="clear" w:color="auto" w:fill="auto"/>
            <w:noWrap/>
            <w:vAlign w:val="center"/>
            <w:hideMark/>
          </w:tcPr>
          <w:p w:rsidRPr="009234BE" w:rsidR="009234BE" w:rsidP="009234BE" w:rsidRDefault="009234BE">
            <w:pPr>
              <w:widowControl/>
              <w:jc w:val="center"/>
              <w:rPr>
                <w:rFonts w:ascii="Times New Roman" w:hAnsi="Times New Roman" w:eastAsia="Source Sans Pro"/>
                <w:snapToGrid/>
                <w:color w:val="000000"/>
                <w:sz w:val="20"/>
              </w:rPr>
            </w:pPr>
            <w:r w:rsidRPr="009234BE">
              <w:rPr>
                <w:rFonts w:ascii="Times New Roman" w:hAnsi="Times New Roman" w:eastAsia="Source Sans Pro"/>
                <w:snapToGrid/>
                <w:color w:val="000000"/>
                <w:sz w:val="20"/>
                <w:lang w:bidi="en-US"/>
              </w:rPr>
              <w:t>Reporting</w:t>
            </w:r>
            <w:r w:rsidRPr="009234BE">
              <w:rPr>
                <w:rFonts w:ascii="Times New Roman" w:hAnsi="Times New Roman" w:eastAsia="Source Sans Pro"/>
                <w:snapToGrid/>
                <w:sz w:val="20"/>
                <w:lang w:bidi="en-US"/>
              </w:rPr>
              <w:br/>
            </w:r>
            <w:r w:rsidRPr="009234BE">
              <w:rPr>
                <w:rFonts w:ascii="Times New Roman" w:hAnsi="Times New Roman" w:eastAsia="Source Sans Pro"/>
                <w:snapToGrid/>
                <w:color w:val="000000"/>
                <w:sz w:val="20"/>
                <w:lang w:bidi="en-US"/>
              </w:rPr>
              <w:t>(Required to obtain or retain benefits)</w:t>
            </w:r>
          </w:p>
        </w:tc>
        <w:tc>
          <w:tcPr>
            <w:tcW w:w="1260" w:type="dxa"/>
            <w:tcBorders>
              <w:top w:val="single" w:color="auto" w:sz="4" w:space="0"/>
              <w:left w:val="nil"/>
              <w:bottom w:val="single" w:color="auto" w:sz="4" w:space="0"/>
              <w:right w:val="single" w:color="auto" w:sz="4" w:space="0"/>
            </w:tcBorders>
            <w:vAlign w:val="center"/>
          </w:tcPr>
          <w:p w:rsidRPr="009234BE" w:rsidR="009234BE" w:rsidP="009234BE" w:rsidRDefault="009234BE">
            <w:pPr>
              <w:widowControl/>
              <w:jc w:val="center"/>
              <w:rPr>
                <w:rFonts w:ascii="Times New Roman" w:hAnsi="Times New Roman" w:eastAsia="Source Sans Pro"/>
                <w:snapToGrid/>
                <w:color w:val="000000"/>
                <w:sz w:val="20"/>
                <w:lang w:bidi="en-US"/>
              </w:rPr>
            </w:pPr>
            <w:r w:rsidRPr="009234BE">
              <w:rPr>
                <w:rFonts w:ascii="Times New Roman" w:hAnsi="Times New Roman" w:eastAsia="Source Sans Pro"/>
                <w:snapToGrid/>
                <w:color w:val="000000"/>
                <w:sz w:val="20"/>
                <w:lang w:bidi="en-US"/>
              </w:rPr>
              <w:t>On occasion</w:t>
            </w:r>
          </w:p>
        </w:tc>
        <w:tc>
          <w:tcPr>
            <w:tcW w:w="1399" w:type="dxa"/>
            <w:tcBorders>
              <w:top w:val="nil"/>
              <w:left w:val="single" w:color="auto" w:sz="4" w:space="0"/>
              <w:bottom w:val="single" w:color="auto" w:sz="4" w:space="0"/>
              <w:right w:val="single" w:color="auto" w:sz="4" w:space="0"/>
            </w:tcBorders>
            <w:shd w:val="clear" w:color="auto" w:fill="auto"/>
            <w:noWrap/>
            <w:vAlign w:val="center"/>
            <w:hideMark/>
          </w:tcPr>
          <w:p w:rsidRPr="009234BE" w:rsidR="009234BE" w:rsidP="009234BE" w:rsidRDefault="009234BE">
            <w:pPr>
              <w:widowControl/>
              <w:jc w:val="right"/>
              <w:rPr>
                <w:rFonts w:ascii="Times New Roman" w:hAnsi="Times New Roman" w:eastAsia="Source Sans Pro"/>
                <w:snapToGrid/>
                <w:color w:val="000000"/>
                <w:sz w:val="20"/>
              </w:rPr>
            </w:pPr>
            <w:r w:rsidRPr="009234BE">
              <w:rPr>
                <w:rFonts w:ascii="Times New Roman" w:hAnsi="Times New Roman" w:eastAsia="Source Sans Pro"/>
                <w:snapToGrid/>
                <w:color w:val="000000"/>
                <w:sz w:val="20"/>
              </w:rPr>
              <w:t>73</w:t>
            </w:r>
          </w:p>
        </w:tc>
        <w:tc>
          <w:tcPr>
            <w:tcW w:w="1274" w:type="dxa"/>
            <w:tcBorders>
              <w:top w:val="nil"/>
              <w:left w:val="nil"/>
              <w:bottom w:val="single" w:color="auto" w:sz="4" w:space="0"/>
              <w:right w:val="single" w:color="auto" w:sz="4" w:space="0"/>
            </w:tcBorders>
            <w:shd w:val="clear" w:color="auto" w:fill="auto"/>
            <w:noWrap/>
            <w:vAlign w:val="center"/>
            <w:hideMark/>
          </w:tcPr>
          <w:p w:rsidRPr="009234BE" w:rsidR="009234BE" w:rsidP="009234BE" w:rsidRDefault="009234BE">
            <w:pPr>
              <w:widowControl/>
              <w:jc w:val="right"/>
              <w:rPr>
                <w:rFonts w:ascii="Times New Roman" w:hAnsi="Times New Roman" w:eastAsia="Source Sans Pro"/>
                <w:snapToGrid/>
                <w:color w:val="000000"/>
                <w:sz w:val="20"/>
              </w:rPr>
            </w:pPr>
            <w:r w:rsidRPr="009234BE">
              <w:rPr>
                <w:rFonts w:ascii="Times New Roman" w:hAnsi="Times New Roman" w:eastAsia="Source Sans Pro"/>
                <w:snapToGrid/>
                <w:color w:val="000000"/>
                <w:sz w:val="20"/>
              </w:rPr>
              <w:t>1</w:t>
            </w:r>
          </w:p>
        </w:tc>
        <w:tc>
          <w:tcPr>
            <w:tcW w:w="1073" w:type="dxa"/>
            <w:tcBorders>
              <w:top w:val="nil"/>
              <w:left w:val="nil"/>
              <w:bottom w:val="single" w:color="auto" w:sz="4" w:space="0"/>
              <w:right w:val="single" w:color="auto" w:sz="4" w:space="0"/>
            </w:tcBorders>
            <w:shd w:val="clear" w:color="auto" w:fill="auto"/>
            <w:noWrap/>
            <w:vAlign w:val="center"/>
            <w:hideMark/>
          </w:tcPr>
          <w:p w:rsidRPr="009234BE" w:rsidR="009234BE" w:rsidP="009234BE" w:rsidRDefault="009234BE">
            <w:pPr>
              <w:widowControl/>
              <w:jc w:val="right"/>
              <w:rPr>
                <w:rFonts w:ascii="Times New Roman" w:hAnsi="Times New Roman" w:eastAsia="Source Sans Pro"/>
                <w:snapToGrid/>
                <w:color w:val="000000"/>
                <w:sz w:val="20"/>
              </w:rPr>
            </w:pPr>
            <w:r w:rsidRPr="009234BE">
              <w:rPr>
                <w:rFonts w:ascii="Times New Roman" w:hAnsi="Times New Roman" w:eastAsia="Source Sans Pro"/>
                <w:snapToGrid/>
                <w:color w:val="000000"/>
                <w:sz w:val="20"/>
                <w:lang w:bidi="en-US"/>
              </w:rPr>
              <w:t>16</w:t>
            </w:r>
          </w:p>
        </w:tc>
        <w:tc>
          <w:tcPr>
            <w:tcW w:w="844" w:type="dxa"/>
            <w:tcBorders>
              <w:top w:val="nil"/>
              <w:left w:val="nil"/>
              <w:bottom w:val="single" w:color="auto" w:sz="4" w:space="0"/>
              <w:right w:val="single" w:color="auto" w:sz="4" w:space="0"/>
            </w:tcBorders>
            <w:shd w:val="clear" w:color="auto" w:fill="auto"/>
            <w:noWrap/>
            <w:vAlign w:val="center"/>
            <w:hideMark/>
          </w:tcPr>
          <w:p w:rsidRPr="009234BE" w:rsidR="009234BE" w:rsidP="009234BE" w:rsidRDefault="009234BE">
            <w:pPr>
              <w:widowControl/>
              <w:jc w:val="right"/>
              <w:rPr>
                <w:rFonts w:ascii="Times New Roman" w:hAnsi="Times New Roman" w:eastAsia="Source Sans Pro"/>
                <w:snapToGrid/>
                <w:color w:val="000000"/>
                <w:sz w:val="20"/>
              </w:rPr>
            </w:pPr>
            <w:r w:rsidRPr="009234BE">
              <w:rPr>
                <w:rFonts w:ascii="Times New Roman" w:hAnsi="Times New Roman" w:eastAsia="Source Sans Pro"/>
                <w:snapToGrid/>
                <w:color w:val="000000"/>
                <w:sz w:val="20"/>
                <w:lang w:bidi="en-US"/>
              </w:rPr>
              <w:t>1,168</w:t>
            </w:r>
          </w:p>
        </w:tc>
      </w:tr>
      <w:tr w:rsidRPr="009234BE" w:rsidR="009234BE" w:rsidTr="00CC631A">
        <w:trPr>
          <w:trHeight w:val="230"/>
        </w:trPr>
        <w:tc>
          <w:tcPr>
            <w:tcW w:w="8961" w:type="dxa"/>
            <w:gridSpan w:val="6"/>
            <w:tcBorders>
              <w:top w:val="single" w:color="auto" w:sz="4" w:space="0"/>
              <w:left w:val="single" w:color="auto" w:sz="4" w:space="0"/>
              <w:bottom w:val="single" w:color="auto" w:sz="4" w:space="0"/>
            </w:tcBorders>
            <w:shd w:val="clear" w:color="auto" w:fill="auto"/>
            <w:vAlign w:val="center"/>
          </w:tcPr>
          <w:p w:rsidRPr="009234BE" w:rsidR="009234BE" w:rsidP="009234BE" w:rsidRDefault="009234BE">
            <w:pPr>
              <w:widowControl/>
              <w:jc w:val="right"/>
              <w:rPr>
                <w:rFonts w:ascii="Times New Roman" w:hAnsi="Times New Roman" w:eastAsia="Source Sans Pro"/>
                <w:snapToGrid/>
                <w:color w:val="000000"/>
                <w:sz w:val="20"/>
                <w:lang w:bidi="en-US"/>
              </w:rPr>
            </w:pPr>
            <w:r w:rsidRPr="009234BE">
              <w:rPr>
                <w:rFonts w:ascii="Times New Roman" w:hAnsi="Times New Roman" w:eastAsia="Source Sans Pro"/>
                <w:snapToGrid/>
                <w:color w:val="000000"/>
                <w:sz w:val="20"/>
                <w:lang w:bidi="en-US"/>
              </w:rPr>
              <w:t>Total Annual Burden Hours:</w:t>
            </w:r>
          </w:p>
        </w:tc>
        <w:tc>
          <w:tcPr>
            <w:tcW w:w="844" w:type="dxa"/>
            <w:tcBorders>
              <w:top w:val="nil"/>
              <w:left w:val="nil"/>
              <w:bottom w:val="single" w:color="auto" w:sz="4" w:space="0"/>
              <w:right w:val="single" w:color="auto" w:sz="4" w:space="0"/>
            </w:tcBorders>
            <w:shd w:val="clear" w:color="auto" w:fill="auto"/>
            <w:noWrap/>
            <w:vAlign w:val="center"/>
          </w:tcPr>
          <w:p w:rsidRPr="009234BE" w:rsidR="009234BE" w:rsidP="009234BE" w:rsidRDefault="009234BE">
            <w:pPr>
              <w:widowControl/>
              <w:jc w:val="right"/>
              <w:rPr>
                <w:rFonts w:ascii="Times New Roman" w:hAnsi="Times New Roman" w:eastAsia="Source Sans Pro"/>
                <w:snapToGrid/>
                <w:color w:val="000000"/>
                <w:sz w:val="20"/>
                <w:lang w:bidi="en-US"/>
              </w:rPr>
            </w:pPr>
            <w:r w:rsidRPr="009234BE">
              <w:rPr>
                <w:rFonts w:ascii="Times New Roman" w:hAnsi="Times New Roman" w:eastAsia="Source Sans Pro"/>
                <w:snapToGrid/>
                <w:color w:val="000000"/>
                <w:sz w:val="20"/>
                <w:lang w:bidi="en-US"/>
              </w:rPr>
              <w:t>1,168</w:t>
            </w:r>
          </w:p>
        </w:tc>
      </w:tr>
      <w:tr w:rsidRPr="009234BE" w:rsidR="009234BE" w:rsidTr="00CC631A">
        <w:trPr>
          <w:trHeight w:val="230"/>
        </w:trPr>
        <w:tc>
          <w:tcPr>
            <w:tcW w:w="9805" w:type="dxa"/>
            <w:gridSpan w:val="7"/>
            <w:tcBorders>
              <w:top w:val="nil"/>
              <w:left w:val="single" w:color="auto" w:sz="4" w:space="0"/>
              <w:bottom w:val="single" w:color="auto" w:sz="4" w:space="0"/>
              <w:right w:val="single" w:color="auto" w:sz="4" w:space="0"/>
            </w:tcBorders>
            <w:shd w:val="clear" w:color="auto" w:fill="auto"/>
            <w:vAlign w:val="center"/>
          </w:tcPr>
          <w:p w:rsidRPr="009234BE" w:rsidR="009234BE" w:rsidP="009234BE" w:rsidRDefault="009234BE">
            <w:pPr>
              <w:widowControl/>
              <w:rPr>
                <w:rFonts w:ascii="Times New Roman" w:hAnsi="Times New Roman" w:eastAsia="Source Sans Pro"/>
                <w:snapToGrid/>
                <w:color w:val="000000"/>
                <w:sz w:val="20"/>
                <w:lang w:bidi="en-US"/>
              </w:rPr>
            </w:pPr>
            <w:r w:rsidRPr="009234BE">
              <w:rPr>
                <w:rFonts w:ascii="Times New Roman" w:hAnsi="Times New Roman"/>
                <w:snapToGrid/>
                <w:color w:val="000000"/>
                <w:sz w:val="20"/>
              </w:rPr>
              <w:t>Source: FDIC.</w:t>
            </w:r>
          </w:p>
        </w:tc>
      </w:tr>
    </w:tbl>
    <w:p w:rsidR="0086148F" w:rsidP="0086148F" w:rsidRDefault="0086148F">
      <w:pPr>
        <w:widowControl/>
        <w:rPr>
          <w:rFonts w:ascii="Times New Roman" w:hAnsi="Times New Roman"/>
        </w:rPr>
      </w:pPr>
    </w:p>
    <w:p w:rsidRPr="009234BE" w:rsidR="009234BE" w:rsidP="009234BE" w:rsidRDefault="009234BE">
      <w:pPr>
        <w:tabs>
          <w:tab w:val="left" w:pos="-1440"/>
        </w:tabs>
        <w:spacing w:line="360" w:lineRule="auto"/>
        <w:ind w:left="1440"/>
        <w:contextualSpacing/>
        <w:rPr>
          <w:rFonts w:ascii="Times New Roman" w:hAnsi="Times New Roman"/>
        </w:rPr>
      </w:pPr>
      <w:r w:rsidRPr="009234BE">
        <w:rPr>
          <w:rFonts w:ascii="Times New Roman" w:hAnsi="Times New Roman"/>
        </w:rPr>
        <w:t xml:space="preserve">Total estimated annual burden: </w:t>
      </w:r>
      <w:r>
        <w:rPr>
          <w:rFonts w:ascii="Times New Roman" w:hAnsi="Times New Roman"/>
        </w:rPr>
        <w:t>1,168</w:t>
      </w:r>
      <w:r w:rsidRPr="009234BE">
        <w:rPr>
          <w:rFonts w:ascii="Times New Roman" w:hAnsi="Times New Roman"/>
        </w:rPr>
        <w:t xml:space="preserve"> hours</w:t>
      </w:r>
    </w:p>
    <w:p w:rsidRPr="009234BE" w:rsidR="009234BE" w:rsidP="009234BE" w:rsidRDefault="009234BE">
      <w:pPr>
        <w:tabs>
          <w:tab w:val="left" w:pos="-1440"/>
        </w:tabs>
        <w:spacing w:line="360" w:lineRule="auto"/>
        <w:ind w:left="1440"/>
        <w:contextualSpacing/>
        <w:rPr>
          <w:rFonts w:ascii="Times New Roman" w:hAnsi="Times New Roman"/>
        </w:rPr>
      </w:pPr>
      <w:r w:rsidRPr="009234BE">
        <w:rPr>
          <w:rFonts w:ascii="Times New Roman" w:hAnsi="Times New Roman"/>
        </w:rPr>
        <w:t>The total estimated annual cost is:</w:t>
      </w:r>
    </w:p>
    <w:p w:rsidR="009234BE" w:rsidP="009234BE" w:rsidRDefault="009234BE">
      <w:pPr>
        <w:widowControl/>
        <w:ind w:left="720" w:firstLine="720"/>
        <w:rPr>
          <w:rFonts w:ascii="Times New Roman" w:hAnsi="Times New Roman"/>
        </w:rPr>
      </w:pPr>
      <w:r>
        <w:rPr>
          <w:rFonts w:ascii="Times New Roman" w:hAnsi="Times New Roman"/>
        </w:rPr>
        <w:t>1,168</w:t>
      </w:r>
      <w:r w:rsidRPr="009234BE">
        <w:rPr>
          <w:rFonts w:ascii="Times New Roman" w:hAnsi="Times New Roman"/>
        </w:rPr>
        <w:t xml:space="preserve"> hours x $</w:t>
      </w:r>
      <w:r>
        <w:rPr>
          <w:rFonts w:ascii="Times New Roman" w:hAnsi="Times New Roman"/>
        </w:rPr>
        <w:t>86</w:t>
      </w:r>
      <w:r w:rsidRPr="009234BE">
        <w:rPr>
          <w:rFonts w:ascii="Times New Roman" w:hAnsi="Times New Roman"/>
        </w:rPr>
        <w:t>.37 = $</w:t>
      </w:r>
      <w:r>
        <w:rPr>
          <w:rFonts w:ascii="Times New Roman" w:hAnsi="Times New Roman"/>
        </w:rPr>
        <w:t>100,880.16</w:t>
      </w:r>
    </w:p>
    <w:p w:rsidR="002761FD" w:rsidRDefault="002761FD">
      <w:pPr>
        <w:widowControl/>
        <w:ind w:left="1152" w:firstLine="288"/>
        <w:rPr>
          <w:rFonts w:ascii="Times New Roman" w:hAnsi="Times New Roman"/>
        </w:rPr>
      </w:pPr>
    </w:p>
    <w:tbl>
      <w:tblPr>
        <w:tblW w:w="7920" w:type="dxa"/>
        <w:tblInd w:w="451" w:type="dxa"/>
        <w:tblLook w:val="04A0" w:firstRow="1" w:lastRow="0" w:firstColumn="1" w:lastColumn="0" w:noHBand="0" w:noVBand="1"/>
      </w:tblPr>
      <w:tblGrid>
        <w:gridCol w:w="3234"/>
        <w:gridCol w:w="2886"/>
        <w:gridCol w:w="1800"/>
      </w:tblGrid>
      <w:tr w:rsidRPr="009234BE" w:rsidR="009234BE" w:rsidTr="00CC631A">
        <w:trPr>
          <w:trHeight w:val="224"/>
        </w:trPr>
        <w:tc>
          <w:tcPr>
            <w:tcW w:w="7920" w:type="dxa"/>
            <w:gridSpan w:val="3"/>
            <w:tcBorders>
              <w:top w:val="single" w:color="000000" w:sz="4" w:space="0"/>
              <w:left w:val="single" w:color="000000" w:sz="4" w:space="0"/>
              <w:bottom w:val="single" w:color="000000" w:sz="8" w:space="0"/>
              <w:right w:val="single" w:color="000000" w:sz="4" w:space="0"/>
            </w:tcBorders>
            <w:shd w:val="clear" w:color="auto" w:fill="auto"/>
            <w:vAlign w:val="center"/>
            <w:hideMark/>
          </w:tcPr>
          <w:p w:rsidRPr="009234BE" w:rsidR="009234BE" w:rsidP="009234BE" w:rsidRDefault="009234BE">
            <w:pPr>
              <w:autoSpaceDE w:val="0"/>
              <w:autoSpaceDN w:val="0"/>
              <w:jc w:val="center"/>
              <w:rPr>
                <w:rFonts w:ascii="Source Sans Pro" w:hAnsi="Source Sans Pro" w:cs="Calibri"/>
                <w:b/>
                <w:bCs/>
                <w:snapToGrid/>
                <w:color w:val="000000"/>
                <w:sz w:val="20"/>
              </w:rPr>
            </w:pPr>
            <w:r w:rsidRPr="009234BE">
              <w:rPr>
                <w:rFonts w:ascii="Source Sans Pro" w:hAnsi="Source Sans Pro" w:cs="Calibri"/>
                <w:b/>
                <w:bCs/>
                <w:snapToGrid/>
                <w:color w:val="000000"/>
                <w:sz w:val="20"/>
              </w:rPr>
              <w:t>Summary of Hourly Burden Cost Estimate (OMB No. 3064-0018</w:t>
            </w:r>
            <w:r w:rsidRPr="009234BE">
              <w:rPr>
                <w:rFonts w:ascii="Source Sans Pro" w:hAnsi="Source Sans Pro"/>
                <w:b/>
                <w:bCs/>
                <w:snapToGrid/>
                <w:color w:val="000000"/>
                <w:sz w:val="20"/>
              </w:rPr>
              <w:t>)</w:t>
            </w:r>
          </w:p>
        </w:tc>
      </w:tr>
      <w:tr w:rsidRPr="009234BE" w:rsidR="009234BE" w:rsidTr="00CC631A">
        <w:trPr>
          <w:trHeight w:val="511"/>
        </w:trPr>
        <w:tc>
          <w:tcPr>
            <w:tcW w:w="3234" w:type="dxa"/>
            <w:tcBorders>
              <w:top w:val="nil"/>
              <w:left w:val="single" w:color="000000" w:sz="4" w:space="0"/>
              <w:bottom w:val="nil"/>
              <w:right w:val="single" w:color="000000" w:sz="8" w:space="0"/>
            </w:tcBorders>
            <w:shd w:val="clear" w:color="000000" w:fill="D9D9D9"/>
            <w:vAlign w:val="center"/>
            <w:hideMark/>
          </w:tcPr>
          <w:p w:rsidRPr="009234BE" w:rsidR="009234BE" w:rsidP="009234BE" w:rsidRDefault="009234BE">
            <w:pPr>
              <w:widowControl/>
              <w:jc w:val="center"/>
              <w:rPr>
                <w:rFonts w:ascii="Source Sans Pro" w:hAnsi="Source Sans Pro" w:cs="Calibri"/>
                <w:snapToGrid/>
                <w:color w:val="000000"/>
                <w:sz w:val="20"/>
              </w:rPr>
            </w:pPr>
            <w:r w:rsidRPr="009234BE">
              <w:rPr>
                <w:rFonts w:ascii="Source Sans Pro" w:hAnsi="Source Sans Pro" w:cs="Calibri"/>
                <w:snapToGrid/>
                <w:color w:val="000000"/>
                <w:sz w:val="20"/>
              </w:rPr>
              <w:t>Category of Personnel Responsible for Complying with the PRA Burden</w:t>
            </w:r>
          </w:p>
        </w:tc>
        <w:tc>
          <w:tcPr>
            <w:tcW w:w="2886" w:type="dxa"/>
            <w:tcBorders>
              <w:top w:val="nil"/>
              <w:left w:val="nil"/>
              <w:bottom w:val="nil"/>
              <w:right w:val="single" w:color="000000" w:sz="8" w:space="0"/>
            </w:tcBorders>
            <w:shd w:val="clear" w:color="000000" w:fill="D9D9D9"/>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Total Estimated Hourly Compensation</w:t>
            </w:r>
          </w:p>
        </w:tc>
        <w:tc>
          <w:tcPr>
            <w:tcW w:w="1800" w:type="dxa"/>
            <w:tcBorders>
              <w:top w:val="nil"/>
              <w:left w:val="nil"/>
              <w:bottom w:val="nil"/>
              <w:right w:val="single" w:color="000000" w:sz="4" w:space="0"/>
            </w:tcBorders>
            <w:shd w:val="clear" w:color="000000" w:fill="D9D9D9"/>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Allocated Weights -  Non-material</w:t>
            </w:r>
          </w:p>
        </w:tc>
      </w:tr>
      <w:tr w:rsidRPr="009234BE" w:rsidR="009234BE" w:rsidTr="00CC631A">
        <w:trPr>
          <w:trHeight w:val="196"/>
        </w:trPr>
        <w:tc>
          <w:tcPr>
            <w:tcW w:w="3234" w:type="dxa"/>
            <w:tcBorders>
              <w:top w:val="single" w:color="000000" w:sz="8" w:space="0"/>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color w:val="000000"/>
                <w:sz w:val="20"/>
              </w:rPr>
            </w:pPr>
            <w:r w:rsidRPr="009234BE">
              <w:rPr>
                <w:rFonts w:ascii="Source Sans Pro" w:hAnsi="Source Sans Pro" w:cs="Calibri"/>
                <w:snapToGrid/>
                <w:color w:val="000000"/>
                <w:sz w:val="20"/>
              </w:rPr>
              <w:t>Executives and Managers</w:t>
            </w:r>
            <w:r w:rsidRPr="009234BE">
              <w:rPr>
                <w:rFonts w:ascii="Source Sans Pro" w:hAnsi="Source Sans Pro" w:cs="Calibri"/>
                <w:snapToGrid/>
                <w:color w:val="000000"/>
                <w:sz w:val="20"/>
                <w:vertAlign w:val="superscript"/>
              </w:rPr>
              <w:footnoteReference w:id="4"/>
            </w:r>
          </w:p>
        </w:tc>
        <w:tc>
          <w:tcPr>
            <w:tcW w:w="2886" w:type="dxa"/>
            <w:tcBorders>
              <w:top w:val="single" w:color="000000" w:sz="8" w:space="0"/>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$123.30</w:t>
            </w:r>
          </w:p>
        </w:tc>
        <w:tc>
          <w:tcPr>
            <w:tcW w:w="1800" w:type="dxa"/>
            <w:tcBorders>
              <w:top w:val="single" w:color="000000" w:sz="8" w:space="0"/>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10%</w:t>
            </w:r>
          </w:p>
        </w:tc>
      </w:tr>
      <w:tr w:rsidRPr="009234BE" w:rsidR="009234BE" w:rsidTr="00CC631A">
        <w:trPr>
          <w:trHeight w:val="241"/>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sz w:val="20"/>
              </w:rPr>
            </w:pPr>
            <w:r w:rsidRPr="009234BE">
              <w:rPr>
                <w:rFonts w:ascii="Source Sans Pro" w:hAnsi="Source Sans Pro" w:cs="Calibri"/>
                <w:snapToGrid/>
                <w:sz w:val="20"/>
              </w:rPr>
              <w:t>Lawyers</w:t>
            </w:r>
            <w:r w:rsidRPr="009234BE">
              <w:rPr>
                <w:rFonts w:ascii="Source Sans Pro" w:hAnsi="Source Sans Pro" w:cs="Calibri"/>
                <w:snapToGrid/>
                <w:sz w:val="20"/>
                <w:vertAlign w:val="superscript"/>
              </w:rPr>
              <w:footnoteReference w:id="5"/>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$151.44</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20%</w:t>
            </w:r>
          </w:p>
        </w:tc>
      </w:tr>
      <w:tr w:rsidRPr="009234BE" w:rsidR="009234BE" w:rsidTr="00CC631A">
        <w:trPr>
          <w:trHeight w:val="300"/>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sz w:val="20"/>
              </w:rPr>
            </w:pPr>
            <w:r w:rsidRPr="009234BE">
              <w:rPr>
                <w:rFonts w:ascii="Source Sans Pro" w:hAnsi="Source Sans Pro" w:cs="Calibri"/>
                <w:snapToGrid/>
                <w:sz w:val="20"/>
              </w:rPr>
              <w:t>Compliance Officers</w:t>
            </w:r>
            <w:r w:rsidRPr="009234BE">
              <w:rPr>
                <w:rFonts w:ascii="Source Sans Pro" w:hAnsi="Source Sans Pro" w:cs="Calibri"/>
                <w:snapToGrid/>
                <w:sz w:val="20"/>
                <w:vertAlign w:val="superscript"/>
              </w:rPr>
              <w:footnoteReference w:id="6"/>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$67.35</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60%</w:t>
            </w:r>
          </w:p>
        </w:tc>
      </w:tr>
      <w:tr w:rsidRPr="009234BE" w:rsidR="009234BE" w:rsidTr="00CC631A">
        <w:trPr>
          <w:trHeight w:val="196"/>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sz w:val="20"/>
              </w:rPr>
            </w:pPr>
            <w:r w:rsidRPr="009234BE">
              <w:rPr>
                <w:rFonts w:ascii="Source Sans Pro" w:hAnsi="Source Sans Pro" w:cs="Calibri"/>
                <w:snapToGrid/>
                <w:sz w:val="20"/>
              </w:rPr>
              <w:t>IT Specialists</w:t>
            </w:r>
            <w:r w:rsidRPr="009234BE">
              <w:rPr>
                <w:rFonts w:ascii="Source Sans Pro" w:hAnsi="Source Sans Pro" w:cs="Calibri"/>
                <w:snapToGrid/>
                <w:sz w:val="20"/>
                <w:vertAlign w:val="superscript"/>
              </w:rPr>
              <w:footnoteReference w:id="7"/>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$92.30</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color w:val="000000"/>
                <w:sz w:val="20"/>
              </w:rPr>
            </w:pPr>
            <w:r w:rsidRPr="009234BE">
              <w:rPr>
                <w:rFonts w:ascii="Source Sans Pro" w:hAnsi="Source Sans Pro" w:cs="Calibri"/>
                <w:snapToGrid/>
                <w:color w:val="000000"/>
                <w:sz w:val="20"/>
              </w:rPr>
              <w:t>0%</w:t>
            </w:r>
          </w:p>
        </w:tc>
      </w:tr>
      <w:tr w:rsidRPr="009234BE" w:rsidR="009234BE" w:rsidTr="00CC631A">
        <w:trPr>
          <w:trHeight w:val="187"/>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color w:val="000000"/>
                <w:sz w:val="20"/>
              </w:rPr>
            </w:pPr>
            <w:r w:rsidRPr="009234BE">
              <w:rPr>
                <w:rFonts w:ascii="Source Sans Pro" w:hAnsi="Source Sans Pro" w:cs="Calibri"/>
                <w:snapToGrid/>
                <w:color w:val="000000"/>
                <w:sz w:val="20"/>
              </w:rPr>
              <w:t>Financial Analysts</w:t>
            </w:r>
            <w:r w:rsidRPr="009234BE">
              <w:rPr>
                <w:rFonts w:ascii="Source Sans Pro" w:hAnsi="Source Sans Pro" w:cs="Calibri"/>
                <w:snapToGrid/>
                <w:color w:val="000000"/>
                <w:sz w:val="20"/>
                <w:vertAlign w:val="superscript"/>
              </w:rPr>
              <w:footnoteReference w:id="8"/>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$79.40</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0%</w:t>
            </w:r>
          </w:p>
        </w:tc>
      </w:tr>
      <w:tr w:rsidRPr="009234BE" w:rsidR="009234BE" w:rsidTr="00CC631A">
        <w:trPr>
          <w:trHeight w:val="223"/>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color w:val="000000"/>
                <w:sz w:val="20"/>
              </w:rPr>
            </w:pPr>
            <w:r w:rsidRPr="009234BE">
              <w:rPr>
                <w:rFonts w:ascii="Source Sans Pro" w:hAnsi="Source Sans Pro" w:cs="Calibri"/>
                <w:snapToGrid/>
                <w:color w:val="000000"/>
                <w:sz w:val="20"/>
              </w:rPr>
              <w:t>Clerical</w:t>
            </w:r>
            <w:r w:rsidRPr="009234BE">
              <w:rPr>
                <w:rFonts w:ascii="Source Sans Pro" w:hAnsi="Source Sans Pro" w:cs="Calibri"/>
                <w:snapToGrid/>
                <w:color w:val="000000"/>
                <w:sz w:val="20"/>
                <w:vertAlign w:val="superscript"/>
              </w:rPr>
              <w:footnoteReference w:id="9"/>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$33.44</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10%</w:t>
            </w:r>
          </w:p>
        </w:tc>
      </w:tr>
      <w:tr w:rsidRPr="009234BE" w:rsidR="009234BE" w:rsidTr="00CC631A">
        <w:trPr>
          <w:trHeight w:val="268"/>
        </w:trPr>
        <w:tc>
          <w:tcPr>
            <w:tcW w:w="3234" w:type="dxa"/>
            <w:tcBorders>
              <w:top w:val="nil"/>
              <w:left w:val="single" w:color="000000" w:sz="4" w:space="0"/>
              <w:bottom w:val="single" w:color="000000" w:sz="8" w:space="0"/>
              <w:right w:val="single" w:color="000000" w:sz="8" w:space="0"/>
            </w:tcBorders>
            <w:shd w:val="clear" w:color="auto" w:fill="auto"/>
            <w:vAlign w:val="center"/>
            <w:hideMark/>
          </w:tcPr>
          <w:p w:rsidRPr="009234BE" w:rsidR="009234BE" w:rsidP="009234BE" w:rsidRDefault="009234BE">
            <w:pPr>
              <w:widowControl/>
              <w:rPr>
                <w:rFonts w:ascii="Source Sans Pro" w:hAnsi="Source Sans Pro" w:cs="Calibri"/>
                <w:snapToGrid/>
                <w:sz w:val="20"/>
              </w:rPr>
            </w:pPr>
            <w:r w:rsidRPr="009234BE">
              <w:rPr>
                <w:rFonts w:ascii="Source Sans Pro" w:hAnsi="Source Sans Pro" w:cs="Calibri"/>
                <w:snapToGrid/>
                <w:sz w:val="20"/>
              </w:rPr>
              <w:t>Weighted average:</w:t>
            </w:r>
          </w:p>
        </w:tc>
        <w:tc>
          <w:tcPr>
            <w:tcW w:w="2886" w:type="dxa"/>
            <w:tcBorders>
              <w:top w:val="nil"/>
              <w:left w:val="nil"/>
              <w:bottom w:val="single" w:color="000000" w:sz="8" w:space="0"/>
              <w:right w:val="single" w:color="000000" w:sz="8"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$86.37</w:t>
            </w:r>
          </w:p>
        </w:tc>
        <w:tc>
          <w:tcPr>
            <w:tcW w:w="1800" w:type="dxa"/>
            <w:tcBorders>
              <w:top w:val="nil"/>
              <w:left w:val="nil"/>
              <w:bottom w:val="single" w:color="000000" w:sz="8" w:space="0"/>
              <w:right w:val="single" w:color="000000" w:sz="4" w:space="0"/>
            </w:tcBorders>
            <w:shd w:val="clear" w:color="auto" w:fill="auto"/>
            <w:vAlign w:val="center"/>
            <w:hideMark/>
          </w:tcPr>
          <w:p w:rsidRPr="009234BE" w:rsidR="009234BE" w:rsidP="009234BE" w:rsidRDefault="009234BE">
            <w:pPr>
              <w:widowControl/>
              <w:jc w:val="center"/>
              <w:rPr>
                <w:rFonts w:ascii="Source Sans Pro" w:hAnsi="Source Sans Pro" w:cs="Calibri"/>
                <w:snapToGrid/>
                <w:sz w:val="20"/>
              </w:rPr>
            </w:pPr>
            <w:r w:rsidRPr="009234BE">
              <w:rPr>
                <w:rFonts w:ascii="Source Sans Pro" w:hAnsi="Source Sans Pro" w:cs="Calibri"/>
                <w:snapToGrid/>
                <w:sz w:val="20"/>
              </w:rPr>
              <w:t>100%</w:t>
            </w:r>
          </w:p>
        </w:tc>
      </w:tr>
      <w:tr w:rsidRPr="009234BE" w:rsidR="009234BE" w:rsidTr="00CC631A">
        <w:trPr>
          <w:trHeight w:val="511"/>
        </w:trPr>
        <w:tc>
          <w:tcPr>
            <w:tcW w:w="7920" w:type="dxa"/>
            <w:gridSpan w:val="3"/>
            <w:tcBorders>
              <w:top w:val="single" w:color="000000" w:sz="8" w:space="0"/>
              <w:left w:val="single" w:color="000000" w:sz="4" w:space="0"/>
              <w:bottom w:val="single" w:color="FFFFFF" w:sz="4" w:space="0"/>
              <w:right w:val="single" w:color="000000" w:sz="4" w:space="0"/>
            </w:tcBorders>
            <w:shd w:val="clear" w:color="auto" w:fill="auto"/>
            <w:vAlign w:val="center"/>
            <w:hideMark/>
          </w:tcPr>
          <w:p w:rsidRPr="009234BE" w:rsidR="009234BE" w:rsidP="009234BE" w:rsidRDefault="009234BE">
            <w:pPr>
              <w:widowControl/>
              <w:rPr>
                <w:rFonts w:ascii="Source Sans Pro" w:hAnsi="Source Sans Pro" w:cs="Calibri"/>
                <w:snapToGrid/>
                <w:sz w:val="16"/>
                <w:szCs w:val="16"/>
              </w:rPr>
            </w:pPr>
            <w:r w:rsidRPr="009234BE">
              <w:rPr>
                <w:rFonts w:ascii="Source Sans Pro" w:hAnsi="Source Sans Pro" w:cs="Calibri"/>
                <w:snapToGrid/>
                <w:sz w:val="16"/>
                <w:szCs w:val="16"/>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9234BE" w:rsidR="009234BE" w:rsidTr="00CC631A">
        <w:trPr>
          <w:trHeight w:val="1403"/>
        </w:trPr>
        <w:tc>
          <w:tcPr>
            <w:tcW w:w="7920" w:type="dxa"/>
            <w:gridSpan w:val="3"/>
            <w:tcBorders>
              <w:top w:val="nil"/>
              <w:left w:val="single" w:color="000000" w:sz="4" w:space="0"/>
              <w:bottom w:val="single" w:color="000000" w:sz="4" w:space="0"/>
              <w:right w:val="single" w:color="000000" w:sz="4" w:space="0"/>
            </w:tcBorders>
            <w:shd w:val="clear" w:color="auto" w:fill="auto"/>
            <w:vAlign w:val="center"/>
            <w:hideMark/>
          </w:tcPr>
          <w:p w:rsidRPr="009234BE" w:rsidR="009234BE" w:rsidP="009234BE" w:rsidRDefault="009234BE">
            <w:pPr>
              <w:widowControl/>
              <w:rPr>
                <w:rFonts w:ascii="Source Sans Pro" w:hAnsi="Source Sans Pro" w:cs="Calibri"/>
                <w:snapToGrid/>
                <w:sz w:val="16"/>
                <w:szCs w:val="16"/>
              </w:rPr>
            </w:pPr>
            <w:r w:rsidRPr="009234BE">
              <w:rPr>
                <w:rFonts w:ascii="Source Sans Pro" w:hAnsi="Source Sans Pro" w:cs="Calibri"/>
                <w:snapToGrid/>
                <w:sz w:val="16"/>
                <w:szCs w:val="16"/>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tc>
      </w:tr>
    </w:tbl>
    <w:p w:rsidR="009234BE" w:rsidRDefault="009234BE">
      <w:pPr>
        <w:widowControl/>
        <w:ind w:left="1152" w:firstLine="288"/>
        <w:rPr>
          <w:rFonts w:ascii="Times New Roman" w:hAnsi="Times New Roman"/>
        </w:rPr>
      </w:pPr>
    </w:p>
    <w:p w:rsidRPr="002423D4" w:rsidR="00F146F1" w:rsidP="002423D4" w:rsidRDefault="002423D4">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rsidRDefault="00F146F1">
      <w:pPr>
        <w:widowControl/>
        <w:rPr>
          <w:rFonts w:ascii="Times New Roman" w:hAnsi="Times New Roman"/>
        </w:rPr>
      </w:pPr>
    </w:p>
    <w:p w:rsidR="00F146F1" w:rsidRDefault="002423D4">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rsidRDefault="00F146F1">
      <w:pPr>
        <w:widowControl/>
        <w:rPr>
          <w:rFonts w:ascii="Times New Roman" w:hAnsi="Times New Roman"/>
        </w:rPr>
      </w:pPr>
    </w:p>
    <w:p w:rsidR="00F146F1" w:rsidP="00F175D5" w:rsidRDefault="002423D4">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rsidRDefault="00F146F1">
      <w:pPr>
        <w:widowControl/>
        <w:rPr>
          <w:rFonts w:ascii="Times New Roman" w:hAnsi="Times New Roman"/>
        </w:rPr>
      </w:pPr>
    </w:p>
    <w:p w:rsidR="00F146F1" w:rsidRDefault="00F146F1">
      <w:pPr>
        <w:widowControl/>
        <w:ind w:left="1440"/>
        <w:rPr>
          <w:rFonts w:ascii="Times New Roman" w:hAnsi="Times New Roman"/>
        </w:rPr>
      </w:pPr>
      <w:r>
        <w:rPr>
          <w:rFonts w:ascii="Times New Roman" w:hAnsi="Times New Roman"/>
        </w:rPr>
        <w:t xml:space="preserve">None. </w:t>
      </w:r>
    </w:p>
    <w:p w:rsidR="00F146F1" w:rsidRDefault="00F146F1">
      <w:pPr>
        <w:widowControl/>
        <w:ind w:left="1440"/>
        <w:rPr>
          <w:rFonts w:ascii="Times New Roman" w:hAnsi="Times New Roman"/>
        </w:rPr>
      </w:pPr>
    </w:p>
    <w:p w:rsidRPr="009234BE" w:rsidR="00F146F1" w:rsidP="002423D4" w:rsidRDefault="002423D4">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rsidRDefault="00F146F1">
      <w:pPr>
        <w:widowControl/>
        <w:rPr>
          <w:rFonts w:ascii="Times New Roman" w:hAnsi="Times New Roman"/>
        </w:rPr>
      </w:pPr>
    </w:p>
    <w:p w:rsidRPr="00AE5959" w:rsidR="004D178A" w:rsidP="004D178A" w:rsidRDefault="004D178A">
      <w:pPr>
        <w:tabs>
          <w:tab w:val="left" w:pos="-1440"/>
        </w:tabs>
        <w:ind w:left="1440"/>
        <w:rPr>
          <w:rFonts w:ascii="Times New Roman" w:hAnsi="Times New Roman"/>
        </w:rPr>
      </w:pPr>
      <w:r w:rsidRPr="00CC7B69">
        <w:rPr>
          <w:rFonts w:ascii="Times New Roman" w:hAnsi="Times New Roman"/>
          <w:spacing w:val="-3"/>
        </w:rPr>
        <w:t xml:space="preserve">There is no change </w:t>
      </w:r>
      <w:r w:rsidRPr="00CC7B69">
        <w:rPr>
          <w:rFonts w:ascii="Times New Roman" w:hAnsi="Times New Roman"/>
        </w:rPr>
        <w:t xml:space="preserve">to </w:t>
      </w:r>
      <w:r>
        <w:rPr>
          <w:rFonts w:ascii="Times New Roman" w:hAnsi="Times New Roman"/>
        </w:rPr>
        <w:t>the substance of</w:t>
      </w:r>
      <w:r w:rsidRPr="00CC7B69">
        <w:rPr>
          <w:rFonts w:ascii="Times New Roman" w:hAnsi="Times New Roman"/>
        </w:rPr>
        <w:t xml:space="preserve"> this information collection.</w:t>
      </w:r>
      <w:r w:rsidRPr="00E10D3E">
        <w:t> </w:t>
      </w:r>
      <w:r w:rsidR="009234BE">
        <w:rPr>
          <w:rFonts w:ascii="Times New Roman" w:hAnsi="Times New Roman"/>
        </w:rPr>
        <w:t>The increase in burden is a result of an increase in the number of estimated respondents.</w:t>
      </w:r>
      <w:r>
        <w:rPr>
          <w:rFonts w:ascii="Times New Roman" w:hAnsi="Times New Roman"/>
        </w:rPr>
        <w:t xml:space="preserve">  </w:t>
      </w:r>
    </w:p>
    <w:p w:rsidR="00D5774D" w:rsidP="003548EB" w:rsidRDefault="00D5774D">
      <w:pPr>
        <w:widowControl/>
        <w:ind w:left="1440"/>
        <w:rPr>
          <w:rFonts w:ascii="Times New Roman" w:hAnsi="Times New Roman"/>
        </w:rPr>
      </w:pPr>
    </w:p>
    <w:p w:rsidR="00F146F1" w:rsidP="00F175D5" w:rsidRDefault="002423D4">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rsidRDefault="00F146F1">
      <w:pPr>
        <w:widowControl/>
        <w:rPr>
          <w:rFonts w:ascii="Times New Roman" w:hAnsi="Times New Roman"/>
        </w:rPr>
      </w:pPr>
    </w:p>
    <w:p w:rsidR="00F146F1" w:rsidRDefault="00C856F6">
      <w:pPr>
        <w:widowControl/>
        <w:ind w:left="1296" w:firstLine="144"/>
        <w:rPr>
          <w:rFonts w:ascii="Times New Roman" w:hAnsi="Times New Roman"/>
        </w:rPr>
      </w:pPr>
      <w:r>
        <w:rPr>
          <w:rFonts w:ascii="Times New Roman" w:hAnsi="Times New Roman"/>
        </w:rPr>
        <w:t>Collections of information under the interagency statement are not published.</w:t>
      </w:r>
    </w:p>
    <w:p w:rsidR="00F146F1" w:rsidRDefault="00F146F1">
      <w:pPr>
        <w:widowControl/>
        <w:rPr>
          <w:rFonts w:ascii="Times New Roman" w:hAnsi="Times New Roman"/>
        </w:rPr>
      </w:pPr>
    </w:p>
    <w:p w:rsidR="00F146F1" w:rsidP="00F175D5" w:rsidRDefault="00C856F6">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The OMB number and expiration date are displayed on the application</w:t>
      </w:r>
      <w:r w:rsidR="009533E6">
        <w:rPr>
          <w:rFonts w:ascii="Times New Roman" w:hAnsi="Times New Roman"/>
        </w:rPr>
        <w:t>.</w:t>
      </w:r>
      <w:r>
        <w:rPr>
          <w:rFonts w:ascii="Times New Roman" w:hAnsi="Times New Roman"/>
        </w:rPr>
        <w:t xml:space="preserve"> </w:t>
      </w:r>
    </w:p>
    <w:p w:rsidR="00F146F1" w:rsidRDefault="00F146F1">
      <w:pPr>
        <w:widowControl/>
        <w:rPr>
          <w:rFonts w:ascii="Times New Roman" w:hAnsi="Times New Roman"/>
        </w:rPr>
      </w:pPr>
    </w:p>
    <w:p w:rsidR="00F146F1" w:rsidP="00F175D5" w:rsidRDefault="00C856F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rsidRDefault="00F146F1">
      <w:pPr>
        <w:widowControl/>
        <w:rPr>
          <w:rFonts w:ascii="Times New Roman" w:hAnsi="Times New Roman"/>
        </w:rPr>
      </w:pPr>
    </w:p>
    <w:p w:rsidR="00F146F1" w:rsidRDefault="00F146F1">
      <w:pPr>
        <w:widowControl/>
        <w:ind w:left="1296" w:firstLine="144"/>
        <w:rPr>
          <w:rFonts w:ascii="Times New Roman" w:hAnsi="Times New Roman"/>
        </w:rPr>
      </w:pPr>
      <w:r>
        <w:rPr>
          <w:rFonts w:ascii="Times New Roman" w:hAnsi="Times New Roman"/>
        </w:rPr>
        <w:t xml:space="preserve">None. </w:t>
      </w:r>
    </w:p>
    <w:p w:rsidR="00F146F1" w:rsidRDefault="00F146F1">
      <w:pPr>
        <w:pStyle w:val="Footer"/>
        <w:widowControl/>
        <w:tabs>
          <w:tab w:val="clear" w:pos="4320"/>
          <w:tab w:val="clear" w:pos="8640"/>
        </w:tabs>
        <w:rPr>
          <w:rFonts w:ascii="Times New Roman" w:hAnsi="Times New Roman"/>
        </w:rPr>
      </w:pPr>
    </w:p>
    <w:p w:rsidR="00F146F1" w:rsidP="0024672A" w:rsidRDefault="00F146F1">
      <w:pPr>
        <w:widowControl/>
        <w:numPr>
          <w:ilvl w:val="0"/>
          <w:numId w:val="2"/>
        </w:numPr>
        <w:rPr>
          <w:rFonts w:ascii="Times New Roman" w:hAnsi="Times New Roman"/>
        </w:rPr>
      </w:pPr>
      <w:r>
        <w:rPr>
          <w:rFonts w:ascii="Times New Roman" w:hAnsi="Times New Roman"/>
          <w:u w:val="single"/>
        </w:rPr>
        <w:t>STATISTICAL METHODS</w:t>
      </w:r>
    </w:p>
    <w:p w:rsidR="00F146F1" w:rsidRDefault="00F146F1">
      <w:pPr>
        <w:widowControl/>
        <w:rPr>
          <w:rFonts w:ascii="Times New Roman" w:hAnsi="Times New Roman"/>
        </w:rPr>
      </w:pPr>
    </w:p>
    <w:p w:rsidR="00F146F1" w:rsidRDefault="00C856F6">
      <w:pPr>
        <w:ind w:firstLine="720"/>
      </w:pPr>
      <w:r>
        <w:rPr>
          <w:rFonts w:ascii="Times New Roman" w:hAnsi="Times New Roman"/>
        </w:rPr>
        <w:t>Statistical methods are not employed in this collection.</w:t>
      </w:r>
    </w:p>
    <w:sectPr w:rsidR="00F146F1" w:rsidSect="00091BE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14D" w:rsidRDefault="00BE414D" w:rsidP="00FE0498">
      <w:r>
        <w:separator/>
      </w:r>
    </w:p>
  </w:endnote>
  <w:endnote w:type="continuationSeparator" w:id="0">
    <w:p w:rsidR="00BE414D" w:rsidRDefault="00BE414D" w:rsidP="00F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B6E" w:rsidRPr="00AB4B6E" w:rsidRDefault="00AB4B6E">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785CCB">
      <w:rPr>
        <w:rFonts w:ascii="Times New Roman" w:hAnsi="Times New Roman"/>
        <w:noProof/>
      </w:rPr>
      <w:t>4</w:t>
    </w:r>
    <w:r w:rsidRPr="00AB4B6E">
      <w:rPr>
        <w:rFonts w:ascii="Times New Roman" w:hAnsi="Times New Roman"/>
        <w:noProof/>
      </w:rPr>
      <w:fldChar w:fldCharType="end"/>
    </w:r>
  </w:p>
  <w:p w:rsidR="00AB4B6E" w:rsidRDefault="00AB4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14D" w:rsidRDefault="00BE414D" w:rsidP="00FE0498">
      <w:r>
        <w:separator/>
      </w:r>
    </w:p>
  </w:footnote>
  <w:footnote w:type="continuationSeparator" w:id="0">
    <w:p w:rsidR="00BE414D" w:rsidRDefault="00BE414D" w:rsidP="00FE0498">
      <w:r>
        <w:continuationSeparator/>
      </w:r>
    </w:p>
  </w:footnote>
  <w:footnote w:id="1">
    <w:p w:rsidR="00FA1575" w:rsidRPr="00D604B0" w:rsidRDefault="00FA1575" w:rsidP="00FA1575">
      <w:pPr>
        <w:pStyle w:val="FootnoteText"/>
      </w:pPr>
      <w:r w:rsidRPr="00D604B0">
        <w:rPr>
          <w:rStyle w:val="FootnoteReference"/>
        </w:rPr>
        <w:footnoteRef/>
      </w:r>
      <w:r>
        <w:t xml:space="preserve"> FDIC Call Report data, December 31, 2020</w:t>
      </w:r>
    </w:p>
  </w:footnote>
  <w:footnote w:id="2">
    <w:p w:rsidR="00FA1575" w:rsidRPr="00D604B0" w:rsidRDefault="00FA1575" w:rsidP="00FA1575">
      <w:pPr>
        <w:pStyle w:val="FootnoteText"/>
      </w:pPr>
      <w:r w:rsidRPr="00D604B0">
        <w:rPr>
          <w:rStyle w:val="FootnoteReference"/>
        </w:rPr>
        <w:footnoteRef/>
      </w:r>
      <w:r w:rsidRPr="00D604B0">
        <w:t xml:space="preserve"> 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covered entity’s affiliated and acquired assets, averaged over the preceding four quarters, to determine whether the covered entity is “small” for the purposes of RFA.</w:t>
      </w:r>
      <w:r w:rsidRPr="00D604B0">
        <w:rPr>
          <w:rFonts w:ascii="Arial" w:hAnsi="Arial" w:cs="Arial"/>
        </w:rPr>
        <w:t>​</w:t>
      </w:r>
    </w:p>
  </w:footnote>
  <w:footnote w:id="3">
    <w:p w:rsidR="00FE0498" w:rsidRDefault="00FE0498" w:rsidP="00FE0498">
      <w:pPr>
        <w:pStyle w:val="FootnoteText"/>
      </w:pPr>
      <w:r>
        <w:rPr>
          <w:rStyle w:val="FootnoteReference"/>
        </w:rPr>
        <w:footnoteRef/>
      </w:r>
      <w:r w:rsidR="009D2562">
        <w:t xml:space="preserve"> </w:t>
      </w:r>
      <w:r>
        <w:t>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FE0498" w:rsidRDefault="00FE0498" w:rsidP="00FE0498">
      <w:pPr>
        <w:pStyle w:val="FootnoteText"/>
      </w:pPr>
    </w:p>
  </w:footnote>
  <w:footnote w:id="4">
    <w:p w:rsidR="009234BE" w:rsidRDefault="009234BE" w:rsidP="009234BE">
      <w:pPr>
        <w:pStyle w:val="FootnoteText"/>
      </w:pPr>
      <w:r>
        <w:rPr>
          <w:rStyle w:val="FootnoteReference"/>
        </w:rPr>
        <w:footnoteRef/>
      </w:r>
      <w:r>
        <w:t xml:space="preserve"> </w:t>
      </w:r>
      <w:r>
        <w:rPr>
          <w:rStyle w:val="normaltextrun"/>
          <w:color w:val="000000"/>
          <w:szCs w:val="18"/>
          <w:shd w:val="clear" w:color="auto" w:fill="FFFFFF"/>
        </w:rPr>
        <w:t>Occupation (SOC Code): Management Occupations (110000).</w:t>
      </w:r>
      <w:r>
        <w:rPr>
          <w:rStyle w:val="eop"/>
          <w:color w:val="000000"/>
          <w:szCs w:val="18"/>
          <w:shd w:val="clear" w:color="auto" w:fill="FFFFFF"/>
        </w:rPr>
        <w:t> </w:t>
      </w:r>
    </w:p>
  </w:footnote>
  <w:footnote w:id="5">
    <w:p w:rsidR="009234BE" w:rsidRDefault="009234BE" w:rsidP="009234BE">
      <w:pPr>
        <w:pStyle w:val="FootnoteText"/>
      </w:pPr>
      <w:r>
        <w:rPr>
          <w:rStyle w:val="FootnoteReference"/>
        </w:rPr>
        <w:footnoteRef/>
      </w:r>
      <w:r>
        <w:t xml:space="preserve"> </w:t>
      </w:r>
      <w:r>
        <w:rPr>
          <w:rStyle w:val="normaltextrun"/>
          <w:color w:val="000000"/>
          <w:szCs w:val="18"/>
          <w:bdr w:val="none" w:sz="0" w:space="0" w:color="auto" w:frame="1"/>
        </w:rPr>
        <w:t>Occupation (SOC Code): Legal Occupations (230000).</w:t>
      </w:r>
    </w:p>
  </w:footnote>
  <w:footnote w:id="6">
    <w:p w:rsidR="009234BE" w:rsidRDefault="009234BE" w:rsidP="009234BE">
      <w:pPr>
        <w:pStyle w:val="FootnoteText"/>
      </w:pPr>
      <w:r>
        <w:rPr>
          <w:rStyle w:val="FootnoteReference"/>
        </w:rPr>
        <w:footnoteRef/>
      </w:r>
      <w:r>
        <w:t xml:space="preserve"> </w:t>
      </w:r>
      <w:r>
        <w:rPr>
          <w:rStyle w:val="normaltextrun"/>
          <w:color w:val="000000"/>
          <w:szCs w:val="18"/>
          <w:bdr w:val="none" w:sz="0" w:space="0" w:color="auto" w:frame="1"/>
        </w:rPr>
        <w:t>Occupation (SOC Code): Compliance Officers (131040). </w:t>
      </w:r>
    </w:p>
  </w:footnote>
  <w:footnote w:id="7">
    <w:p w:rsidR="009234BE" w:rsidRDefault="009234BE" w:rsidP="009234BE">
      <w:pPr>
        <w:pStyle w:val="FootnoteText"/>
      </w:pPr>
      <w:r>
        <w:rPr>
          <w:rStyle w:val="FootnoteReference"/>
        </w:rPr>
        <w:footnoteRef/>
      </w:r>
      <w:r>
        <w:t xml:space="preserve"> </w:t>
      </w:r>
      <w:r>
        <w:rPr>
          <w:rStyle w:val="normaltextrun"/>
          <w:color w:val="000000"/>
          <w:szCs w:val="18"/>
          <w:shd w:val="clear" w:color="auto" w:fill="FFFFFF"/>
        </w:rPr>
        <w:t>Occupation (SOC Code): Computer and Mathematical Occupations (150000).</w:t>
      </w:r>
      <w:r>
        <w:rPr>
          <w:rStyle w:val="eop"/>
          <w:color w:val="000000"/>
          <w:szCs w:val="18"/>
          <w:shd w:val="clear" w:color="auto" w:fill="FFFFFF"/>
        </w:rPr>
        <w:t> </w:t>
      </w:r>
    </w:p>
  </w:footnote>
  <w:footnote w:id="8">
    <w:p w:rsidR="009234BE" w:rsidRDefault="009234BE" w:rsidP="009234BE">
      <w:pPr>
        <w:pStyle w:val="FootnoteText"/>
      </w:pPr>
      <w:r>
        <w:rPr>
          <w:rStyle w:val="FootnoteReference"/>
        </w:rPr>
        <w:footnoteRef/>
      </w:r>
      <w:r>
        <w:t xml:space="preserve"> </w:t>
      </w:r>
      <w:r>
        <w:rPr>
          <w:rStyle w:val="normaltextrun"/>
          <w:color w:val="000000"/>
          <w:szCs w:val="18"/>
          <w:bdr w:val="none" w:sz="0" w:space="0" w:color="auto" w:frame="1"/>
        </w:rPr>
        <w:t>Occupation (SOC Code): Financial and Investment Analysts, Financial Risk Specialists, and Financial Specialists, All Other (132098).</w:t>
      </w:r>
    </w:p>
  </w:footnote>
  <w:footnote w:id="9">
    <w:p w:rsidR="009234BE" w:rsidRDefault="009234BE" w:rsidP="009234BE">
      <w:pPr>
        <w:pStyle w:val="FootnoteText"/>
      </w:pPr>
      <w:r>
        <w:rPr>
          <w:rStyle w:val="FootnoteReference"/>
        </w:rPr>
        <w:footnoteRef/>
      </w:r>
      <w:r>
        <w:t xml:space="preserve"> </w:t>
      </w:r>
      <w:r>
        <w:rPr>
          <w:rStyle w:val="normaltextrun"/>
          <w:color w:val="000000"/>
          <w:szCs w:val="18"/>
          <w:bdr w:val="none" w:sz="0" w:space="0" w:color="auto" w:frame="1"/>
        </w:rPr>
        <w:t>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3FB" w:rsidRDefault="00D4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23C"/>
    <w:multiLevelType w:val="hybridMultilevel"/>
    <w:tmpl w:val="6ED445DA"/>
    <w:lvl w:ilvl="0" w:tplc="AD0EA860">
      <w:start w:val="1"/>
      <w:numFmt w:val="decimal"/>
      <w:lvlText w:val="%1."/>
      <w:lvlJc w:val="left"/>
      <w:pPr>
        <w:ind w:left="1440" w:hanging="86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15:restartNumberingAfterBreak="0">
    <w:nsid w:val="24411919"/>
    <w:multiLevelType w:val="hybridMultilevel"/>
    <w:tmpl w:val="6E22AAEC"/>
    <w:lvl w:ilvl="0" w:tplc="AD0EA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446CD4"/>
    <w:multiLevelType w:val="hybridMultilevel"/>
    <w:tmpl w:val="BA4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436B8"/>
    <w:multiLevelType w:val="hybridMultilevel"/>
    <w:tmpl w:val="FD229DEA"/>
    <w:lvl w:ilvl="0" w:tplc="AA9485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3A"/>
    <w:rsid w:val="000305E9"/>
    <w:rsid w:val="00041792"/>
    <w:rsid w:val="000467FC"/>
    <w:rsid w:val="00091BEA"/>
    <w:rsid w:val="000E621B"/>
    <w:rsid w:val="00133277"/>
    <w:rsid w:val="0019296B"/>
    <w:rsid w:val="001B6E46"/>
    <w:rsid w:val="001C1315"/>
    <w:rsid w:val="002423D4"/>
    <w:rsid w:val="0024672A"/>
    <w:rsid w:val="00257FD9"/>
    <w:rsid w:val="00275749"/>
    <w:rsid w:val="002761FD"/>
    <w:rsid w:val="00280958"/>
    <w:rsid w:val="00293E01"/>
    <w:rsid w:val="002D08FA"/>
    <w:rsid w:val="003548EB"/>
    <w:rsid w:val="00397D8A"/>
    <w:rsid w:val="003B6611"/>
    <w:rsid w:val="00403156"/>
    <w:rsid w:val="00440BFE"/>
    <w:rsid w:val="00450EA2"/>
    <w:rsid w:val="004610F8"/>
    <w:rsid w:val="004A1DB1"/>
    <w:rsid w:val="004A735C"/>
    <w:rsid w:val="004D178A"/>
    <w:rsid w:val="00577D56"/>
    <w:rsid w:val="00583579"/>
    <w:rsid w:val="005B3F84"/>
    <w:rsid w:val="005C3A95"/>
    <w:rsid w:val="005D7D11"/>
    <w:rsid w:val="00665011"/>
    <w:rsid w:val="006C40EC"/>
    <w:rsid w:val="006D363B"/>
    <w:rsid w:val="006E7CE7"/>
    <w:rsid w:val="00756EC1"/>
    <w:rsid w:val="00785CCB"/>
    <w:rsid w:val="007C7C88"/>
    <w:rsid w:val="007E19E5"/>
    <w:rsid w:val="00850F7A"/>
    <w:rsid w:val="0086148F"/>
    <w:rsid w:val="008D5746"/>
    <w:rsid w:val="009234BE"/>
    <w:rsid w:val="00940034"/>
    <w:rsid w:val="009533E6"/>
    <w:rsid w:val="009A2D61"/>
    <w:rsid w:val="009D2562"/>
    <w:rsid w:val="00A07FF0"/>
    <w:rsid w:val="00A352C5"/>
    <w:rsid w:val="00A9693A"/>
    <w:rsid w:val="00AB4B6E"/>
    <w:rsid w:val="00AC65F4"/>
    <w:rsid w:val="00B10980"/>
    <w:rsid w:val="00BD100A"/>
    <w:rsid w:val="00BE414D"/>
    <w:rsid w:val="00BE42C9"/>
    <w:rsid w:val="00C378BA"/>
    <w:rsid w:val="00C47693"/>
    <w:rsid w:val="00C85089"/>
    <w:rsid w:val="00C856F6"/>
    <w:rsid w:val="00CC631A"/>
    <w:rsid w:val="00D07D24"/>
    <w:rsid w:val="00D463FB"/>
    <w:rsid w:val="00D5774D"/>
    <w:rsid w:val="00D61C76"/>
    <w:rsid w:val="00DB3B4B"/>
    <w:rsid w:val="00DE7B91"/>
    <w:rsid w:val="00E25D2F"/>
    <w:rsid w:val="00E57EA2"/>
    <w:rsid w:val="00ED1178"/>
    <w:rsid w:val="00ED4700"/>
    <w:rsid w:val="00EF4F6D"/>
    <w:rsid w:val="00F146F1"/>
    <w:rsid w:val="00F175D5"/>
    <w:rsid w:val="00F611B1"/>
    <w:rsid w:val="00F64A3B"/>
    <w:rsid w:val="00FA1575"/>
    <w:rsid w:val="00FA5B95"/>
    <w:rsid w:val="00FE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E049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Style 15"/>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Nota"/>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paragraph" w:styleId="BodyText">
    <w:name w:val="Body Text"/>
    <w:link w:val="BodyTextChar"/>
    <w:autoRedefine/>
    <w:uiPriority w:val="1"/>
    <w:qFormat/>
    <w:rsid w:val="00FA1575"/>
    <w:pPr>
      <w:widowControl w:val="0"/>
      <w:autoSpaceDE w:val="0"/>
      <w:autoSpaceDN w:val="0"/>
      <w:spacing w:before="240" w:after="120"/>
    </w:pPr>
    <w:rPr>
      <w:rFonts w:eastAsia="Source Sans Pro"/>
      <w:color w:val="000000"/>
      <w:sz w:val="24"/>
      <w:szCs w:val="24"/>
      <w:lang w:bidi="en-US"/>
    </w:rPr>
  </w:style>
  <w:style w:type="character" w:customStyle="1" w:styleId="BodyTextChar">
    <w:name w:val="Body Text Char"/>
    <w:link w:val="BodyText"/>
    <w:uiPriority w:val="1"/>
    <w:rsid w:val="00FA1575"/>
    <w:rPr>
      <w:rFonts w:eastAsia="Source Sans Pro"/>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ic.gov/regulations/laws/rules/2000-4000.html#fdic200030--64--00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ic.gov/about/privacy/assessment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EF5C-77FC-4DD9-AF2C-2943BCF5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Links>
    <vt:vector size="12" baseType="variant">
      <vt:variant>
        <vt:i4>3211391</vt:i4>
      </vt:variant>
      <vt:variant>
        <vt:i4>3</vt:i4>
      </vt:variant>
      <vt:variant>
        <vt:i4>0</vt:i4>
      </vt:variant>
      <vt:variant>
        <vt:i4>5</vt:i4>
      </vt:variant>
      <vt:variant>
        <vt:lpwstr>https://www.fdic.gov/about/privacy/assessments.html</vt:lpwstr>
      </vt:variant>
      <vt:variant>
        <vt:lpwstr/>
      </vt:variant>
      <vt:variant>
        <vt:i4>7798821</vt:i4>
      </vt:variant>
      <vt:variant>
        <vt:i4>0</vt:i4>
      </vt:variant>
      <vt:variant>
        <vt:i4>0</vt:i4>
      </vt:variant>
      <vt:variant>
        <vt:i4>5</vt:i4>
      </vt:variant>
      <vt:variant>
        <vt:lpwstr>https://www.fdic.gov/regulations/laws/rules/2000-4000.html</vt:lpwstr>
      </vt:variant>
      <vt:variant>
        <vt:lpwstr>fdic200030--64--0002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2021-10-22T16:51:00Z</dcterms:created>
  <dcterms:modified xsi:type="dcterms:W3CDTF">2021-10-22T16:51:00Z</dcterms:modified>
</cp:coreProperties>
</file>