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64F1" w:rsidR="00E213F5" w:rsidP="00E213F5" w:rsidRDefault="00E213F5" w14:paraId="41BB9994" w14:textId="6C594935">
      <w:pPr>
        <w:widowControl w:val="0"/>
        <w:tabs>
          <w:tab w:val="center" w:pos="4680"/>
        </w:tabs>
        <w:jc w:val="center"/>
      </w:pPr>
      <w:r w:rsidRPr="002A64F1">
        <w:fldChar w:fldCharType="begin"/>
      </w:r>
      <w:r w:rsidRPr="002A64F1">
        <w:instrText xml:space="preserve"> SEQ CHAPTER \h \r 1</w:instrText>
      </w:r>
      <w:r w:rsidRPr="002A64F1">
        <w:fldChar w:fldCharType="end"/>
      </w:r>
      <w:r w:rsidR="00DB7CA4">
        <w:t>FINAL</w:t>
      </w:r>
      <w:r w:rsidRPr="002A64F1">
        <w:t xml:space="preserve"> SUPPORTING STATEMENT</w:t>
      </w:r>
    </w:p>
    <w:p w:rsidRPr="002A64F1" w:rsidR="00E213F5" w:rsidP="00E213F5" w:rsidRDefault="00E213F5" w14:paraId="54FF9243" w14:textId="77777777">
      <w:pPr>
        <w:widowControl w:val="0"/>
        <w:tabs>
          <w:tab w:val="center" w:pos="4680"/>
        </w:tabs>
        <w:jc w:val="center"/>
      </w:pPr>
      <w:r w:rsidRPr="002A64F1">
        <w:t>FOR</w:t>
      </w:r>
    </w:p>
    <w:p w:rsidR="00490CAA" w:rsidP="00490CAA" w:rsidRDefault="00490CAA" w14:paraId="566BBA7D" w14:textId="77777777">
      <w:pPr>
        <w:pStyle w:val="BodyText"/>
        <w:ind w:left="1541" w:right="1400" w:hanging="2"/>
        <w:jc w:val="center"/>
      </w:pPr>
      <w:r>
        <w:t>NRC INSIDER THREAT PROGRAM FOR LICENSEES</w:t>
      </w:r>
    </w:p>
    <w:p w:rsidR="00490CAA" w:rsidP="00490CAA" w:rsidRDefault="00490CAA" w14:paraId="7DDE255F" w14:textId="77777777">
      <w:pPr>
        <w:pStyle w:val="BodyText"/>
        <w:ind w:left="1541" w:right="1400" w:hanging="2"/>
        <w:jc w:val="center"/>
      </w:pPr>
      <w:r>
        <w:t xml:space="preserve">AND OTHERS REQUIRING ACCESS TO CLASSIFIED INFORMATION </w:t>
      </w:r>
    </w:p>
    <w:p w:rsidRPr="002A64F1" w:rsidR="006646D1" w:rsidP="00E213F5" w:rsidRDefault="006646D1" w14:paraId="44950BDB" w14:textId="77777777">
      <w:pPr>
        <w:widowControl w:val="0"/>
        <w:jc w:val="center"/>
      </w:pPr>
    </w:p>
    <w:p w:rsidRPr="002A64F1" w:rsidR="00E213F5" w:rsidP="00E213F5" w:rsidRDefault="00E213F5" w14:paraId="35D4DCAA" w14:textId="77777777">
      <w:pPr>
        <w:widowControl w:val="0"/>
        <w:tabs>
          <w:tab w:val="center" w:pos="4680"/>
        </w:tabs>
        <w:jc w:val="center"/>
      </w:pPr>
      <w:r w:rsidRPr="002A64F1">
        <w:t>(3150-XXXX)</w:t>
      </w:r>
    </w:p>
    <w:p w:rsidRPr="002A64F1" w:rsidR="00E213F5" w:rsidP="00E213F5" w:rsidRDefault="00217EF1" w14:paraId="422226B9" w14:textId="77777777">
      <w:pPr>
        <w:widowControl w:val="0"/>
        <w:tabs>
          <w:tab w:val="center" w:pos="4680"/>
        </w:tabs>
        <w:jc w:val="center"/>
      </w:pPr>
      <w:r>
        <w:t xml:space="preserve">NEW </w:t>
      </w:r>
    </w:p>
    <w:p w:rsidRPr="002A64F1" w:rsidR="00E213F5" w:rsidP="00E213F5" w:rsidRDefault="00E213F5" w14:paraId="33344D31" w14:textId="77777777">
      <w:pPr>
        <w:widowControl w:val="0"/>
      </w:pPr>
    </w:p>
    <w:p w:rsidRPr="002A64F1" w:rsidR="00E213F5" w:rsidP="00E213F5" w:rsidRDefault="00E213F5" w14:paraId="78821D4D" w14:textId="77777777">
      <w:pPr>
        <w:widowControl w:val="0"/>
      </w:pPr>
    </w:p>
    <w:p w:rsidR="00E213F5" w:rsidP="00E213F5" w:rsidRDefault="00E213F5" w14:paraId="32AAFE45" w14:textId="7AD7FDE9">
      <w:pPr>
        <w:widowControl w:val="0"/>
        <w:rPr>
          <w:u w:val="single"/>
        </w:rPr>
      </w:pPr>
      <w:r w:rsidRPr="002A64F1">
        <w:rPr>
          <w:u w:val="single"/>
        </w:rPr>
        <w:t>Description of the Information Collection</w:t>
      </w:r>
    </w:p>
    <w:p w:rsidRPr="002A64F1" w:rsidR="00EC16A5" w:rsidP="00E213F5" w:rsidRDefault="00EC16A5" w14:paraId="4B34D44C" w14:textId="77777777">
      <w:pPr>
        <w:widowControl w:val="0"/>
      </w:pPr>
    </w:p>
    <w:p w:rsidR="003437D0" w:rsidP="000B23E0" w:rsidRDefault="004E302E" w14:paraId="362AAD51" w14:textId="5DBCB8C8">
      <w:r>
        <w:t>On October 7, 2011, the President issued E</w:t>
      </w:r>
      <w:r w:rsidR="000A3D0E">
        <w:t>xecutiv</w:t>
      </w:r>
      <w:r w:rsidR="00EC71F4">
        <w:t>e</w:t>
      </w:r>
      <w:r w:rsidR="000A3D0E">
        <w:t xml:space="preserve"> </w:t>
      </w:r>
      <w:r>
        <w:t>O</w:t>
      </w:r>
      <w:r w:rsidR="00EC71F4">
        <w:t>rder</w:t>
      </w:r>
      <w:r>
        <w:t xml:space="preserve"> </w:t>
      </w:r>
      <w:r w:rsidR="00EC71F4">
        <w:t xml:space="preserve">(EO) </w:t>
      </w:r>
      <w:r>
        <w:t xml:space="preserve">13587, “Structural Reforms to Improve the Security of Classified Networks and the Responsible Sharing and Safeguarding of Classified Information.  </w:t>
      </w:r>
      <w:r w:rsidRPr="0061070C" w:rsidR="0061070C">
        <w:t>In November 2012, following an extensive interagency coordination and vetting process, the president issued the National Insider Threat Policy and the Minimum Standards</w:t>
      </w:r>
      <w:r w:rsidR="005462C8">
        <w:t xml:space="preserve"> (NITPMS)</w:t>
      </w:r>
      <w:r w:rsidRPr="0061070C" w:rsidR="0061070C">
        <w:t>.</w:t>
      </w:r>
      <w:r w:rsidR="0061070C">
        <w:t xml:space="preserve"> </w:t>
      </w:r>
      <w:r w:rsidR="004656D2">
        <w:t xml:space="preserve"> Executive Order 12968—Access to</w:t>
      </w:r>
      <w:r w:rsidR="004A4C07">
        <w:t xml:space="preserve"> </w:t>
      </w:r>
      <w:r w:rsidR="004656D2">
        <w:t xml:space="preserve">Classified Information </w:t>
      </w:r>
      <w:r w:rsidR="000E3B03">
        <w:t xml:space="preserve">contains the </w:t>
      </w:r>
      <w:r w:rsidR="00144BFD">
        <w:t>requirements</w:t>
      </w:r>
      <w:r w:rsidR="000E3B03">
        <w:t xml:space="preserve"> for access to classified information.  </w:t>
      </w:r>
      <w:r w:rsidR="000C2458">
        <w:t>EO 13587 mandated that an insider threat program (ITP) be implemented for all Executive branch departments and agencies that access classified information</w:t>
      </w:r>
      <w:r w:rsidR="007312DC">
        <w:t>.</w:t>
      </w:r>
      <w:r w:rsidR="000C2458">
        <w:t xml:space="preserve">  </w:t>
      </w:r>
      <w:r w:rsidR="004A4C07">
        <w:t xml:space="preserve">The </w:t>
      </w:r>
      <w:r w:rsidR="005462C8">
        <w:t>NITPMS states “</w:t>
      </w:r>
      <w:r w:rsidRPr="005462C8" w:rsidR="005462C8">
        <w:t xml:space="preserve">Consistent with </w:t>
      </w:r>
      <w:r w:rsidR="00330190">
        <w:t>EO</w:t>
      </w:r>
      <w:r w:rsidRPr="005462C8" w:rsidR="005462C8">
        <w:t xml:space="preserve"> 13587 and 12968, this policy is applicable to all executive branch departments and agencies with access to classified information, or that operate or access classified computer networks; all employees with access to classified information, including classified computer networks (and including contractors and others who access classified information, or operate or access classified computer networks controlled by the federal government); and all classified information on those networks</w:t>
      </w:r>
      <w:r w:rsidR="000C2458">
        <w:t>.</w:t>
      </w:r>
      <w:r w:rsidR="005462C8">
        <w:t>”</w:t>
      </w:r>
      <w:r w:rsidR="000C2458">
        <w:t xml:space="preserve"> </w:t>
      </w:r>
      <w:r w:rsidRPr="005462C8" w:rsidR="005462C8">
        <w:t xml:space="preserve"> </w:t>
      </w:r>
      <w:r>
        <w:t xml:space="preserve">On May 18, 2016, the </w:t>
      </w:r>
      <w:r w:rsidR="00371C94">
        <w:t>Department of Defense (</w:t>
      </w:r>
      <w:r>
        <w:t>DoD</w:t>
      </w:r>
      <w:r w:rsidR="00371C94">
        <w:t>)</w:t>
      </w:r>
      <w:r>
        <w:t xml:space="preserve">, acting as the Executive Agent for the </w:t>
      </w:r>
      <w:r w:rsidR="00C174CA">
        <w:t xml:space="preserve">National Industrial Security Program </w:t>
      </w:r>
      <w:r w:rsidR="00371C94">
        <w:t xml:space="preserve">Operating Manual </w:t>
      </w:r>
      <w:r w:rsidR="00BD712C">
        <w:t>(</w:t>
      </w:r>
      <w:r>
        <w:t>NISPOM,</w:t>
      </w:r>
      <w:r w:rsidR="00BD712C">
        <w:t>) (</w:t>
      </w:r>
      <w:r w:rsidRPr="00287E1E" w:rsidR="00287E1E">
        <w:t>DoD 5220.22M</w:t>
      </w:r>
      <w:r w:rsidR="00287E1E">
        <w:t>)</w:t>
      </w:r>
      <w:r>
        <w:t xml:space="preserve"> issued NISPOM Change 2.  This change</w:t>
      </w:r>
      <w:r w:rsidR="0009410B">
        <w:t>d</w:t>
      </w:r>
      <w:r>
        <w:t xml:space="preserve"> the NISPOM to require that federal agencies that provide classified information to contractors, as defined in the NISPOM, </w:t>
      </w:r>
      <w:proofErr w:type="gramStart"/>
      <w:r>
        <w:t>develop</w:t>
      </w:r>
      <w:proofErr w:type="gramEnd"/>
      <w:r>
        <w:t xml:space="preserve"> and maintain an ITP.  The scope of affected </w:t>
      </w:r>
      <w:r w:rsidR="001C76F8">
        <w:t xml:space="preserve">the </w:t>
      </w:r>
      <w:r w:rsidR="00FE3EE2">
        <w:t xml:space="preserve">Nuclear </w:t>
      </w:r>
      <w:r w:rsidR="001C76F8">
        <w:t>Regulatory</w:t>
      </w:r>
      <w:r w:rsidR="00FE3EE2">
        <w:t xml:space="preserve"> </w:t>
      </w:r>
      <w:r w:rsidR="001C76F8">
        <w:t>Commission (</w:t>
      </w:r>
      <w:r>
        <w:t>NRC</w:t>
      </w:r>
      <w:r w:rsidR="001C76F8">
        <w:t>)</w:t>
      </w:r>
      <w:r>
        <w:t xml:space="preserve"> licensees covers </w:t>
      </w:r>
      <w:r w:rsidR="00D2453B">
        <w:t>28</w:t>
      </w:r>
      <w:r>
        <w:t xml:space="preserve"> entities with NRC facility clearances that hold approximately </w:t>
      </w:r>
      <w:r w:rsidR="001D26AC">
        <w:t>1100</w:t>
      </w:r>
      <w:r>
        <w:t xml:space="preserve"> NRC-issued personnel security clearances.</w:t>
      </w:r>
      <w:r w:rsidR="00D2453B">
        <w:t xml:space="preserve">  </w:t>
      </w:r>
      <w:r w:rsidRPr="008C4238" w:rsidR="00EC16A5">
        <w:t xml:space="preserve">Licensees under </w:t>
      </w:r>
      <w:r w:rsidR="00D87181">
        <w:t>the new ITP requirements</w:t>
      </w:r>
      <w:r w:rsidRPr="008C4238" w:rsidR="00EC16A5">
        <w:t xml:space="preserve"> fall within two categories, those who possess, </w:t>
      </w:r>
      <w:proofErr w:type="gramStart"/>
      <w:r w:rsidRPr="008C4238" w:rsidR="00EC16A5">
        <w:t>use</w:t>
      </w:r>
      <w:proofErr w:type="gramEnd"/>
      <w:r w:rsidRPr="008C4238" w:rsidR="00EC16A5">
        <w:t xml:space="preserve"> or transmit classified matter at their site or a cleared contractor site, and those licensees</w:t>
      </w:r>
      <w:r w:rsidR="00D32F11">
        <w:t xml:space="preserve"> or</w:t>
      </w:r>
      <w:r w:rsidRPr="008C4238" w:rsidR="00EC16A5">
        <w:t xml:space="preserve"> </w:t>
      </w:r>
      <w:r w:rsidR="00FE241A">
        <w:t>cleared</w:t>
      </w:r>
      <w:r w:rsidRPr="008C4238" w:rsidR="00EC16A5">
        <w:t xml:space="preserve"> contractors who only need access to classified matter at a government or appropriately cleared non-government site. </w:t>
      </w:r>
      <w:r w:rsidR="00EC16A5">
        <w:t xml:space="preserve"> </w:t>
      </w:r>
      <w:r w:rsidRPr="008C4238" w:rsidR="00EC16A5">
        <w:t xml:space="preserve">The </w:t>
      </w:r>
      <w:r w:rsidR="0071537E">
        <w:t>NISP</w:t>
      </w:r>
      <w:r w:rsidR="003F43C2">
        <w:t xml:space="preserve">OM contains the requirements as to what information is </w:t>
      </w:r>
      <w:r w:rsidR="002F5B92">
        <w:t>reportable</w:t>
      </w:r>
      <w:r w:rsidR="003F43C2">
        <w:t xml:space="preserve"> and what records are required to be kept and maintained.</w:t>
      </w:r>
      <w:r w:rsidRPr="008C4238" w:rsidR="00EC16A5">
        <w:t xml:space="preserve"> </w:t>
      </w:r>
      <w:r w:rsidR="00F01D56">
        <w:t xml:space="preserve"> Some collection requirements are re</w:t>
      </w:r>
      <w:r w:rsidR="00764F0C">
        <w:t xml:space="preserve">curring. </w:t>
      </w:r>
      <w:r w:rsidR="00EC16A5">
        <w:t xml:space="preserve"> </w:t>
      </w:r>
      <w:r w:rsidR="00764F0C">
        <w:t>Some r</w:t>
      </w:r>
      <w:r w:rsidRPr="008C4238" w:rsidR="00EC16A5">
        <w:t xml:space="preserve">eports or applications are only required as occasioned by the occurrence of specific events, such as an update to key personnel positions identified in the </w:t>
      </w:r>
      <w:r w:rsidR="00C174CA">
        <w:t>NISPOM</w:t>
      </w:r>
      <w:r w:rsidRPr="008C4238" w:rsidR="00EC16A5">
        <w:t xml:space="preserve">, or a report of loss of classified information, would be an event-triggered cost.  Periodic training and other requirements for recordkeeping that are necessary for checking the licensees’ and contractors’ procedures for maintaining acceptable security education, facility, and classification/declassification programs are examples of recurring costs. </w:t>
      </w:r>
      <w:r w:rsidR="00EC16A5">
        <w:t xml:space="preserve"> </w:t>
      </w:r>
    </w:p>
    <w:p w:rsidR="00E213F5" w:rsidP="009072C9" w:rsidRDefault="003437D0" w14:paraId="4D8B5990" w14:textId="67CF8AAD">
      <w:r>
        <w:br w:type="column"/>
      </w:r>
      <w:r w:rsidR="001750A3">
        <w:lastRenderedPageBreak/>
        <w:t>A.</w:t>
      </w:r>
      <w:r w:rsidR="001750A3">
        <w:tab/>
      </w:r>
      <w:r w:rsidRPr="00D871AC" w:rsidR="00E213F5">
        <w:t>JUSTIFICATION</w:t>
      </w:r>
    </w:p>
    <w:p w:rsidR="00E213F5" w:rsidP="00E213F5" w:rsidRDefault="00E213F5" w14:paraId="75F7B6A3" w14:textId="77777777">
      <w:pPr>
        <w:widowControl w:val="0"/>
        <w:ind w:left="360"/>
      </w:pPr>
    </w:p>
    <w:p w:rsidR="00E213F5" w:rsidP="00E213F5" w:rsidRDefault="00E213F5" w14:paraId="3B267670" w14:textId="77777777">
      <w:pPr>
        <w:widowControl w:val="0"/>
        <w:numPr>
          <w:ilvl w:val="0"/>
          <w:numId w:val="2"/>
        </w:numPr>
        <w:spacing w:line="240" w:lineRule="auto"/>
        <w:rPr>
          <w:u w:val="single"/>
        </w:rPr>
      </w:pPr>
      <w:r>
        <w:rPr>
          <w:u w:val="single"/>
        </w:rPr>
        <w:t>Need For and Practical Utility of the Collection of Information</w:t>
      </w:r>
    </w:p>
    <w:p w:rsidR="00E213F5" w:rsidP="00E213F5" w:rsidRDefault="00E213F5" w14:paraId="4D9A7DD4" w14:textId="77777777">
      <w:pPr>
        <w:widowControl w:val="0"/>
        <w:rPr>
          <w:u w:val="single"/>
        </w:rPr>
      </w:pPr>
    </w:p>
    <w:p w:rsidR="00E213F5" w:rsidP="00E213F5" w:rsidRDefault="00BE5E9D" w14:paraId="3ADA115F" w14:textId="15703998">
      <w:pPr>
        <w:widowControl w:val="0"/>
        <w:ind w:left="1080"/>
      </w:pPr>
      <w:r>
        <w:t xml:space="preserve">The scope </w:t>
      </w:r>
      <w:r w:rsidR="00823A7D">
        <w:t xml:space="preserve">of </w:t>
      </w:r>
      <w:r w:rsidR="00EC71F4">
        <w:t>EO 13587 applies to all entities</w:t>
      </w:r>
      <w:r w:rsidR="00C55036">
        <w:t xml:space="preserve">, government and private sector that access classified </w:t>
      </w:r>
      <w:r w:rsidR="00ED7438">
        <w:t>information as defined in the Atomic Energy Act of 1954</w:t>
      </w:r>
      <w:r w:rsidR="00A01E0D">
        <w:t xml:space="preserve"> (AEA)</w:t>
      </w:r>
      <w:r w:rsidR="00ED7438">
        <w:t xml:space="preserve">, as </w:t>
      </w:r>
      <w:r w:rsidR="002E189C">
        <w:t xml:space="preserve">amended, or </w:t>
      </w:r>
      <w:r w:rsidR="0093599D">
        <w:t>EO</w:t>
      </w:r>
      <w:r w:rsidR="002E189C">
        <w:t xml:space="preserve"> </w:t>
      </w:r>
      <w:r w:rsidR="00FF1F7B">
        <w:t xml:space="preserve">13526, </w:t>
      </w:r>
      <w:r w:rsidRPr="00823A7D" w:rsidR="00823A7D">
        <w:rPr>
          <w:i/>
          <w:iCs/>
        </w:rPr>
        <w:t>Classified National Security Information</w:t>
      </w:r>
      <w:r w:rsidR="00823A7D">
        <w:t xml:space="preserve">.  </w:t>
      </w:r>
      <w:r w:rsidR="008425A1">
        <w:t xml:space="preserve">The NRC has determined that licensees and their cleared contractors fall within the scope of the NISPOM </w:t>
      </w:r>
      <w:r w:rsidR="00287C63">
        <w:t>leaving</w:t>
      </w:r>
      <w:r w:rsidR="002A6C50">
        <w:t xml:space="preserve"> the NRC </w:t>
      </w:r>
      <w:r w:rsidR="00287C63">
        <w:t xml:space="preserve">no </w:t>
      </w:r>
      <w:r w:rsidR="00164F5F">
        <w:t xml:space="preserve">discretion with respect to </w:t>
      </w:r>
      <w:r w:rsidR="002A6C50">
        <w:t>impos</w:t>
      </w:r>
      <w:r w:rsidR="00164F5F">
        <w:t>i</w:t>
      </w:r>
      <w:r w:rsidR="00A917B2">
        <w:t>ng</w:t>
      </w:r>
      <w:r w:rsidR="002A6C50">
        <w:t xml:space="preserve"> </w:t>
      </w:r>
      <w:r w:rsidR="00C23F3D">
        <w:t xml:space="preserve">the </w:t>
      </w:r>
      <w:r w:rsidR="00287C63">
        <w:t xml:space="preserve">NISPOM ITP requirements </w:t>
      </w:r>
      <w:r w:rsidR="00C23F3D">
        <w:t xml:space="preserve">upon licensees and their cleared contractors who access classified information.  </w:t>
      </w:r>
    </w:p>
    <w:p w:rsidR="00360D61" w:rsidP="00E213F5" w:rsidRDefault="00360D61" w14:paraId="2CB24BFD" w14:textId="4F19F6E9">
      <w:pPr>
        <w:widowControl w:val="0"/>
        <w:ind w:left="1080"/>
      </w:pPr>
    </w:p>
    <w:p w:rsidR="00360D61" w:rsidP="00E213F5" w:rsidRDefault="00360D61" w14:paraId="322225DB" w14:textId="5E829727">
      <w:pPr>
        <w:widowControl w:val="0"/>
        <w:ind w:left="1080"/>
      </w:pPr>
      <w:r>
        <w:t xml:space="preserve">The information </w:t>
      </w:r>
      <w:r w:rsidR="00DE3167">
        <w:t>c</w:t>
      </w:r>
      <w:r w:rsidR="007C4698">
        <w:t>oll</w:t>
      </w:r>
      <w:r w:rsidR="00DE3167">
        <w:t>ec</w:t>
      </w:r>
      <w:r w:rsidR="007C4698">
        <w:t>ted</w:t>
      </w:r>
      <w:r w:rsidR="00DE3167">
        <w:t xml:space="preserve"> is required to demonstrate </w:t>
      </w:r>
      <w:r w:rsidR="004521A4">
        <w:t xml:space="preserve">that ITP requirements have been implemented and maintained by </w:t>
      </w:r>
      <w:r w:rsidR="00D757D4">
        <w:t xml:space="preserve">entities who access classified information for which </w:t>
      </w:r>
      <w:r w:rsidR="001F6540">
        <w:t xml:space="preserve">the NRC is the Cognizant Security Agency </w:t>
      </w:r>
      <w:r w:rsidR="00C35D19">
        <w:t xml:space="preserve">(CSA) </w:t>
      </w:r>
      <w:r w:rsidR="001F6540">
        <w:t>as defined in the NISPOM</w:t>
      </w:r>
      <w:r w:rsidR="00C35D19">
        <w:t>.</w:t>
      </w:r>
    </w:p>
    <w:p w:rsidR="001B359C" w:rsidP="00E213F5" w:rsidRDefault="0068096F" w14:paraId="52ED95D9" w14:textId="0C655705">
      <w:pPr>
        <w:widowControl w:val="0"/>
        <w:ind w:left="1080"/>
      </w:pPr>
      <w:r>
        <w:t xml:space="preserve">While EO 13587 </w:t>
      </w:r>
      <w:r w:rsidR="00DB53CF">
        <w:t xml:space="preserve">is an </w:t>
      </w:r>
      <w:r w:rsidR="00E82F21">
        <w:t xml:space="preserve">element of determining the </w:t>
      </w:r>
      <w:r w:rsidR="00103303">
        <w:t xml:space="preserve">suitability of an entity to access classified information, </w:t>
      </w:r>
      <w:r w:rsidRPr="00103303" w:rsidR="00103303">
        <w:t xml:space="preserve">Title 10 of the </w:t>
      </w:r>
      <w:r w:rsidRPr="00103303" w:rsidR="00103303">
        <w:rPr>
          <w:i/>
          <w:iCs/>
        </w:rPr>
        <w:t>Code of Federal Regulations</w:t>
      </w:r>
      <w:r w:rsidRPr="00103303" w:rsidR="00103303">
        <w:t xml:space="preserve"> Part 95</w:t>
      </w:r>
      <w:r w:rsidR="00103303">
        <w:t xml:space="preserve"> </w:t>
      </w:r>
      <w:r w:rsidRPr="00103303" w:rsidR="00FF1239">
        <w:t>(10 CFR</w:t>
      </w:r>
      <w:r w:rsidR="00FF1239">
        <w:t xml:space="preserve"> 95</w:t>
      </w:r>
      <w:r w:rsidRPr="00103303" w:rsidR="00FF1239">
        <w:t xml:space="preserve">) </w:t>
      </w:r>
      <w:r w:rsidR="00103303">
        <w:t xml:space="preserve">defines the scope </w:t>
      </w:r>
      <w:r w:rsidR="00371C94">
        <w:t xml:space="preserve">for </w:t>
      </w:r>
      <w:r w:rsidR="00103303">
        <w:t xml:space="preserve">who </w:t>
      </w:r>
      <w:r w:rsidR="00CC08CE">
        <w:t xml:space="preserve">the NRC grants access to classified information.  </w:t>
      </w:r>
      <w:r w:rsidR="00CF6FE2">
        <w:t xml:space="preserve">The respondents of this collection fall into two groups.  The first group </w:t>
      </w:r>
      <w:r w:rsidR="00D514F3">
        <w:t>are license</w:t>
      </w:r>
      <w:r w:rsidR="00371C94">
        <w:t>e</w:t>
      </w:r>
      <w:r w:rsidR="00D514F3">
        <w:t xml:space="preserve">s and their cleared contractors who require </w:t>
      </w:r>
      <w:r w:rsidR="0015145E">
        <w:t xml:space="preserve">access to classified information as a condition of their license.  </w:t>
      </w:r>
      <w:r w:rsidR="00AF59C2">
        <w:t>This group is comprised of</w:t>
      </w:r>
      <w:r w:rsidR="00120E35">
        <w:t xml:space="preserve"> fuel cycle licensees using technology that is </w:t>
      </w:r>
      <w:r w:rsidR="00007B6A">
        <w:t xml:space="preserve">determined to be Restricted Data as defined in the AEA.  The second group is made up of </w:t>
      </w:r>
      <w:r w:rsidR="00134589">
        <w:t>licensees who do not require access to classified information</w:t>
      </w:r>
      <w:r w:rsidR="00772E62">
        <w:t xml:space="preserve"> as a condition of their license</w:t>
      </w:r>
      <w:r w:rsidR="00134589">
        <w:t xml:space="preserve"> but </w:t>
      </w:r>
      <w:r w:rsidR="00772E62">
        <w:t xml:space="preserve">for </w:t>
      </w:r>
      <w:r w:rsidR="00134589">
        <w:t>whom the Commis</w:t>
      </w:r>
      <w:r w:rsidR="00142747">
        <w:t xml:space="preserve">sion determined it was in the best interest of common defense and security to allow limited </w:t>
      </w:r>
      <w:r w:rsidR="00E01466">
        <w:t xml:space="preserve">access to classified information under EO 13526.  The Commission extended </w:t>
      </w:r>
      <w:r w:rsidR="00FF1239">
        <w:t>the invitation to apply for access to class</w:t>
      </w:r>
      <w:r w:rsidR="00383FEE">
        <w:t xml:space="preserve">ified information under 10 CFR 95.  </w:t>
      </w:r>
      <w:r w:rsidR="00DF7864">
        <w:t xml:space="preserve">Acceptance is voluntary.  However, </w:t>
      </w:r>
      <w:r w:rsidR="00461180">
        <w:t xml:space="preserve">if accepted the invitee is bound by all the requirements necessary to establish and maintain access, including the ITP.  However, </w:t>
      </w:r>
      <w:r w:rsidR="005627CB">
        <w:t xml:space="preserve">invitees are free to surrender their access to classified information at any time with no effect upon their </w:t>
      </w:r>
      <w:r w:rsidR="00F20154">
        <w:t>license.</w:t>
      </w:r>
    </w:p>
    <w:p w:rsidR="00E213F5" w:rsidP="00E213F5" w:rsidRDefault="00E213F5" w14:paraId="5AD93DCE" w14:textId="77777777">
      <w:pPr>
        <w:widowControl w:val="0"/>
        <w:rPr>
          <w:u w:val="single"/>
        </w:rPr>
      </w:pPr>
    </w:p>
    <w:p w:rsidR="00E213F5" w:rsidP="00E213F5" w:rsidRDefault="00E213F5" w14:paraId="5B24EEF0" w14:textId="77777777">
      <w:pPr>
        <w:widowControl w:val="0"/>
        <w:numPr>
          <w:ilvl w:val="0"/>
          <w:numId w:val="2"/>
        </w:numPr>
        <w:spacing w:line="240" w:lineRule="auto"/>
        <w:rPr>
          <w:u w:val="single"/>
        </w:rPr>
      </w:pPr>
      <w:r>
        <w:rPr>
          <w:u w:val="single"/>
        </w:rPr>
        <w:t>Agency Use of Information</w:t>
      </w:r>
    </w:p>
    <w:p w:rsidR="00E213F5" w:rsidP="00E213F5" w:rsidRDefault="00E213F5" w14:paraId="32EF44A1" w14:textId="77777777">
      <w:pPr>
        <w:widowControl w:val="0"/>
        <w:rPr>
          <w:u w:val="single"/>
        </w:rPr>
      </w:pPr>
    </w:p>
    <w:p w:rsidRPr="00594502" w:rsidR="00E213F5" w:rsidP="00E213F5" w:rsidRDefault="00C35D19" w14:paraId="2028AD5B" w14:textId="7FF71719">
      <w:pPr>
        <w:widowControl w:val="0"/>
        <w:ind w:left="1080"/>
      </w:pPr>
      <w:r>
        <w:t>As the CSA for its licen</w:t>
      </w:r>
      <w:r w:rsidR="000A257F">
        <w:t>sees and their cleared contractors, the NRC has assigned responsibilities.  The NRC will use this information to</w:t>
      </w:r>
      <w:r w:rsidR="00BF4342">
        <w:t xml:space="preserve"> monitor ITP performance b</w:t>
      </w:r>
      <w:r w:rsidR="009B4DD7">
        <w:t>y its licensees and cleared contractors and to demonstrate the agency is fulfilling its respons</w:t>
      </w:r>
      <w:r w:rsidR="00D74A81">
        <w:t>ibilities under the NISPOM.</w:t>
      </w:r>
    </w:p>
    <w:p w:rsidR="00E213F5" w:rsidP="00E213F5" w:rsidRDefault="00E213F5" w14:paraId="538F3FDE" w14:textId="77777777">
      <w:pPr>
        <w:widowControl w:val="0"/>
        <w:rPr>
          <w:u w:val="single"/>
        </w:rPr>
      </w:pPr>
    </w:p>
    <w:p w:rsidR="00E213F5" w:rsidP="00E213F5" w:rsidRDefault="00E213F5" w14:paraId="39921040" w14:textId="77777777">
      <w:pPr>
        <w:widowControl w:val="0"/>
        <w:numPr>
          <w:ilvl w:val="0"/>
          <w:numId w:val="2"/>
        </w:numPr>
        <w:spacing w:line="240" w:lineRule="auto"/>
      </w:pPr>
      <w:r>
        <w:rPr>
          <w:u w:val="single"/>
        </w:rPr>
        <w:t>Reduction of Burden Through Information Technology</w:t>
      </w:r>
      <w:r>
        <w:t xml:space="preserve">  </w:t>
      </w:r>
    </w:p>
    <w:p w:rsidR="00E213F5" w:rsidP="00E213F5" w:rsidRDefault="00E213F5" w14:paraId="3386309B" w14:textId="77777777">
      <w:pPr>
        <w:widowControl w:val="0"/>
      </w:pPr>
    </w:p>
    <w:p w:rsidRPr="00217EF1" w:rsidR="00217EF1" w:rsidP="00217EF1" w:rsidRDefault="00217EF1" w14:paraId="3E037D7B" w14:textId="4E57C8C3">
      <w:pPr>
        <w:autoSpaceDE w:val="0"/>
        <w:autoSpaceDN w:val="0"/>
        <w:adjustRightInd w:val="0"/>
        <w:spacing w:line="240" w:lineRule="auto"/>
        <w:ind w:left="1080"/>
        <w:rPr>
          <w:rFonts w:eastAsia="Times New Roman"/>
        </w:rPr>
      </w:pPr>
      <w:r w:rsidRPr="00217EF1">
        <w:rPr>
          <w:rFonts w:eastAsia="Times New Roman"/>
        </w:rPr>
        <w:t xml:space="preserve">The NRC has issued </w:t>
      </w:r>
      <w:hyperlink w:history="1" r:id="rId11">
        <w:r w:rsidRPr="00217EF1">
          <w:rPr>
            <w:rFonts w:eastAsia="Times New Roman"/>
            <w:i/>
            <w:color w:val="0000FF" w:themeColor="hyperlink"/>
            <w:u w:val="single"/>
          </w:rPr>
          <w:t>Guidance for Electronic Submissions to the NRC</w:t>
        </w:r>
      </w:hyperlink>
      <w:r w:rsidRPr="00217EF1">
        <w:rPr>
          <w:rFonts w:eastAsia="Times New Roman"/>
        </w:rPr>
        <w:t xml:space="preserve"> which provides direction for the electronic transmission and submittal of documents to the NRC.  Electronic transmission and submittal of documents can be accomplished via the following avenues: </w:t>
      </w:r>
      <w:proofErr w:type="gramStart"/>
      <w:r w:rsidRPr="00217EF1">
        <w:rPr>
          <w:rFonts w:eastAsia="Times New Roman"/>
        </w:rPr>
        <w:t>the</w:t>
      </w:r>
      <w:proofErr w:type="gramEnd"/>
      <w:r w:rsidRPr="00217EF1">
        <w:rPr>
          <w:rFonts w:eastAsia="Times New Roman"/>
        </w:rPr>
        <w:t xml:space="preserve"> Electronic Information Exchange (EIE) process, which is </w:t>
      </w:r>
      <w:r w:rsidRPr="00217EF1">
        <w:rPr>
          <w:rFonts w:eastAsia="Times New Roman"/>
        </w:rPr>
        <w:lastRenderedPageBreak/>
        <w:t xml:space="preserve">available from the NRC's “Electronic Submittals” Web page, by Optical Storage Media (OSM) (e.g. CD-ROM, DVD), by facsimile or by e-mail.  It is estimated that </w:t>
      </w:r>
      <w:r w:rsidR="00496297">
        <w:rPr>
          <w:rFonts w:eastAsia="Times New Roman"/>
        </w:rPr>
        <w:t xml:space="preserve">once established, </w:t>
      </w:r>
      <w:r w:rsidRPr="00217EF1">
        <w:rPr>
          <w:rFonts w:eastAsia="Times New Roman"/>
        </w:rPr>
        <w:t xml:space="preserve">approximately </w:t>
      </w:r>
      <w:r w:rsidR="001A3544">
        <w:rPr>
          <w:rFonts w:eastAsia="Times New Roman"/>
        </w:rPr>
        <w:t>80</w:t>
      </w:r>
      <w:r w:rsidRPr="00217EF1">
        <w:rPr>
          <w:rFonts w:eastAsia="Times New Roman"/>
        </w:rPr>
        <w:t>%</w:t>
      </w:r>
      <w:r w:rsidRPr="00217EF1">
        <w:rPr>
          <w:rFonts w:eastAsia="Times New Roman"/>
          <w:b/>
        </w:rPr>
        <w:t xml:space="preserve"> </w:t>
      </w:r>
      <w:r w:rsidRPr="00217EF1">
        <w:rPr>
          <w:rFonts w:eastAsia="Times New Roman"/>
        </w:rPr>
        <w:t xml:space="preserve">of the responses </w:t>
      </w:r>
      <w:r w:rsidR="001A3544">
        <w:rPr>
          <w:rFonts w:eastAsia="Times New Roman"/>
        </w:rPr>
        <w:t>will</w:t>
      </w:r>
      <w:r w:rsidRPr="00217EF1">
        <w:rPr>
          <w:rFonts w:eastAsia="Times New Roman"/>
        </w:rPr>
        <w:t xml:space="preserve"> </w:t>
      </w:r>
      <w:r w:rsidR="001A3544">
        <w:rPr>
          <w:rFonts w:eastAsia="Times New Roman"/>
        </w:rPr>
        <w:t xml:space="preserve">be </w:t>
      </w:r>
      <w:r w:rsidRPr="00217EF1">
        <w:rPr>
          <w:rFonts w:eastAsia="Times New Roman"/>
        </w:rPr>
        <w:t>filed electronically.</w:t>
      </w:r>
    </w:p>
    <w:p w:rsidR="00E213F5" w:rsidP="00E213F5" w:rsidRDefault="00E213F5" w14:paraId="26F1A2FD" w14:textId="77777777">
      <w:pPr>
        <w:widowControl w:val="0"/>
      </w:pPr>
    </w:p>
    <w:p w:rsidR="00E213F5" w:rsidP="00E213F5" w:rsidRDefault="00E213F5" w14:paraId="1F068C71" w14:textId="77777777">
      <w:pPr>
        <w:widowControl w:val="0"/>
        <w:numPr>
          <w:ilvl w:val="0"/>
          <w:numId w:val="2"/>
        </w:numPr>
        <w:spacing w:line="240" w:lineRule="auto"/>
        <w:rPr>
          <w:u w:val="single"/>
        </w:rPr>
      </w:pPr>
      <w:r>
        <w:rPr>
          <w:u w:val="single"/>
        </w:rPr>
        <w:t>Effort to Identify Duplication and Use Similar Information</w:t>
      </w:r>
    </w:p>
    <w:p w:rsidR="00E213F5" w:rsidP="00E213F5" w:rsidRDefault="00E213F5" w14:paraId="59469E4B" w14:textId="77777777">
      <w:pPr>
        <w:widowControl w:val="0"/>
        <w:rPr>
          <w:u w:val="single"/>
        </w:rPr>
      </w:pPr>
    </w:p>
    <w:p w:rsidR="00E213F5" w:rsidP="00E213F5" w:rsidRDefault="00E213F5" w14:paraId="05339BE2" w14:textId="2C5736D4">
      <w:pPr>
        <w:widowControl w:val="0"/>
        <w:ind w:left="1080"/>
      </w:pPr>
      <w:r>
        <w:t>No sources of similar information are available.  There is no duplication of requirements</w:t>
      </w:r>
      <w:r w:rsidR="00421ED6">
        <w:t>.</w:t>
      </w:r>
    </w:p>
    <w:p w:rsidR="00E213F5" w:rsidP="00E213F5" w:rsidRDefault="00E213F5" w14:paraId="27EFF183" w14:textId="77777777">
      <w:pPr>
        <w:widowControl w:val="0"/>
        <w:rPr>
          <w:u w:val="single"/>
        </w:rPr>
      </w:pPr>
    </w:p>
    <w:p w:rsidRPr="002A64F1" w:rsidR="00E213F5" w:rsidP="00E213F5" w:rsidRDefault="00E213F5" w14:paraId="3B110236" w14:textId="77777777">
      <w:pPr>
        <w:widowControl w:val="0"/>
        <w:numPr>
          <w:ilvl w:val="0"/>
          <w:numId w:val="2"/>
        </w:numPr>
        <w:spacing w:line="240" w:lineRule="auto"/>
      </w:pPr>
      <w:r>
        <w:rPr>
          <w:u w:val="single"/>
        </w:rPr>
        <w:t>Effort to Reduce Small Business Burden</w:t>
      </w:r>
    </w:p>
    <w:p w:rsidR="00E213F5" w:rsidP="00D95986" w:rsidRDefault="00E213F5" w14:paraId="168EA05F" w14:textId="17B9886A">
      <w:pPr>
        <w:widowControl w:val="0"/>
        <w:ind w:left="1080"/>
        <w:rPr>
          <w:u w:val="single"/>
        </w:rPr>
      </w:pPr>
    </w:p>
    <w:p w:rsidRPr="008C4238" w:rsidR="001265BB" w:rsidP="00C22792" w:rsidRDefault="001265BB" w14:paraId="53BB7A10" w14:textId="43D6C4B1">
      <w:pPr>
        <w:pStyle w:val="BodyText"/>
        <w:spacing w:before="92"/>
        <w:ind w:left="1080" w:right="240"/>
      </w:pPr>
      <w:r w:rsidRPr="008C4238">
        <w:t xml:space="preserve">Currently, no licensees </w:t>
      </w:r>
      <w:r w:rsidR="007930C2">
        <w:t>subject to</w:t>
      </w:r>
      <w:r w:rsidRPr="008C4238">
        <w:t xml:space="preserve"> </w:t>
      </w:r>
      <w:r w:rsidR="00D77A4E">
        <w:t>ITP</w:t>
      </w:r>
      <w:r w:rsidR="007930C2">
        <w:t xml:space="preserve"> requirements</w:t>
      </w:r>
      <w:r w:rsidRPr="008C4238">
        <w:t xml:space="preserve"> qualify as a small business. </w:t>
      </w:r>
      <w:r>
        <w:t xml:space="preserve"> </w:t>
      </w:r>
      <w:r w:rsidRPr="008C4238">
        <w:t xml:space="preserve">The requirements to access classified information under the </w:t>
      </w:r>
      <w:r w:rsidR="004923B4">
        <w:t>ITP</w:t>
      </w:r>
      <w:r w:rsidRPr="008C4238">
        <w:t xml:space="preserve"> are based on statutes or</w:t>
      </w:r>
      <w:r w:rsidR="00317C81">
        <w:t xml:space="preserve"> </w:t>
      </w:r>
      <w:r w:rsidR="00330190">
        <w:t>EO</w:t>
      </w:r>
      <w:r w:rsidRPr="008C4238">
        <w:t xml:space="preserve"> that must be complied with regardless of the size of the business.</w:t>
      </w:r>
    </w:p>
    <w:p w:rsidR="00040C08" w:rsidP="00D95986" w:rsidRDefault="00040C08" w14:paraId="1FD03ECE" w14:textId="77777777">
      <w:pPr>
        <w:widowControl w:val="0"/>
        <w:ind w:left="1080"/>
      </w:pPr>
    </w:p>
    <w:p w:rsidR="00E213F5" w:rsidP="00E213F5" w:rsidRDefault="00E213F5" w14:paraId="550454EB"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rsidRDefault="00E213F5" w14:paraId="223A9EF4" w14:textId="77777777">
      <w:pPr>
        <w:widowControl w:val="0"/>
      </w:pPr>
    </w:p>
    <w:p w:rsidR="00E213F5" w:rsidP="00E213F5" w:rsidRDefault="00040C08" w14:paraId="3DF0B97A" w14:textId="65103F49">
      <w:pPr>
        <w:widowControl w:val="0"/>
        <w:ind w:left="1080"/>
      </w:pPr>
      <w:r>
        <w:t xml:space="preserve">Failure </w:t>
      </w:r>
      <w:r w:rsidR="00DB32E4">
        <w:t xml:space="preserve">to collect the </w:t>
      </w:r>
      <w:r w:rsidR="008D41D4">
        <w:t xml:space="preserve">information or collecting the information </w:t>
      </w:r>
      <w:r w:rsidR="007E4C4B">
        <w:t xml:space="preserve">would prevent the NRC from fulfilling its responsibility as a CSA under the NISPOM.  </w:t>
      </w:r>
      <w:r w:rsidR="00D715A4">
        <w:t xml:space="preserve">The information collected is necessary to verify </w:t>
      </w:r>
      <w:r w:rsidR="00351C9B">
        <w:t xml:space="preserve">ITP program requirements have been properly implemented and are being maintained. </w:t>
      </w:r>
    </w:p>
    <w:p w:rsidR="00E213F5" w:rsidP="00E213F5" w:rsidRDefault="00E213F5" w14:paraId="5708580F" w14:textId="77777777">
      <w:pPr>
        <w:widowControl w:val="0"/>
      </w:pPr>
    </w:p>
    <w:p w:rsidR="00E213F5" w:rsidP="00E213F5" w:rsidRDefault="00E213F5" w14:paraId="76271003" w14:textId="77777777">
      <w:pPr>
        <w:widowControl w:val="0"/>
        <w:numPr>
          <w:ilvl w:val="0"/>
          <w:numId w:val="2"/>
        </w:numPr>
        <w:spacing w:line="240" w:lineRule="auto"/>
        <w:rPr>
          <w:u w:val="single"/>
        </w:rPr>
      </w:pPr>
      <w:r>
        <w:rPr>
          <w:u w:val="single"/>
        </w:rPr>
        <w:t>Circumstances Which Justify Variation from OMB Guidelines</w:t>
      </w:r>
    </w:p>
    <w:p w:rsidR="00E213F5" w:rsidP="00E213F5" w:rsidRDefault="00E213F5" w14:paraId="539E37C1" w14:textId="77777777">
      <w:pPr>
        <w:widowControl w:val="0"/>
        <w:rPr>
          <w:u w:val="single"/>
        </w:rPr>
      </w:pPr>
    </w:p>
    <w:p w:rsidRPr="00D831B2" w:rsidR="00E213F5" w:rsidP="00E213F5" w:rsidRDefault="00D831B2" w14:paraId="77CDB9E8" w14:textId="13564860">
      <w:pPr>
        <w:widowControl w:val="0"/>
        <w:ind w:left="1080"/>
      </w:pPr>
      <w:r>
        <w:t>Information reporting requirements are</w:t>
      </w:r>
      <w:r w:rsidR="00BA13B8">
        <w:t xml:space="preserve"> set forth in the NISPOM and </w:t>
      </w:r>
      <w:r w:rsidR="00687D67">
        <w:t>the NRC has no discretion in their implementation.  The NRC will not collect information more frequently than the N</w:t>
      </w:r>
      <w:r w:rsidR="00EE4656">
        <w:t>I</w:t>
      </w:r>
      <w:r w:rsidR="00687D67">
        <w:t>SPOM requires.</w:t>
      </w:r>
    </w:p>
    <w:p w:rsidR="00E213F5" w:rsidP="00E213F5" w:rsidRDefault="00E213F5" w14:paraId="2A61EE79" w14:textId="77777777">
      <w:pPr>
        <w:widowControl w:val="0"/>
        <w:rPr>
          <w:u w:val="single"/>
        </w:rPr>
      </w:pPr>
    </w:p>
    <w:p w:rsidRPr="002A64F1" w:rsidR="00E213F5" w:rsidP="00E213F5" w:rsidRDefault="00E213F5" w14:paraId="0A064EBC" w14:textId="77777777">
      <w:pPr>
        <w:numPr>
          <w:ilvl w:val="0"/>
          <w:numId w:val="2"/>
        </w:numPr>
        <w:spacing w:line="240" w:lineRule="auto"/>
      </w:pPr>
      <w:r>
        <w:rPr>
          <w:u w:val="single"/>
        </w:rPr>
        <w:t>Consultations Outside the NRC</w:t>
      </w:r>
    </w:p>
    <w:p w:rsidR="00E213F5" w:rsidP="00E213F5" w:rsidRDefault="00E213F5" w14:paraId="2F072D4F" w14:textId="77777777">
      <w:pPr>
        <w:rPr>
          <w:u w:val="single"/>
        </w:rPr>
      </w:pPr>
    </w:p>
    <w:p w:rsidRPr="00FB16F4" w:rsidR="00E213F5" w:rsidP="00E213F5" w:rsidRDefault="00FB16F4" w14:paraId="4161ED37" w14:textId="71678F5F">
      <w:pPr>
        <w:ind w:left="1080"/>
      </w:pPr>
      <w:r w:rsidRPr="00FB16F4">
        <w:t xml:space="preserve">Opportunity for public comment on the information collection requirements for this clearance package was published in the </w:t>
      </w:r>
      <w:r w:rsidRPr="00FB16F4">
        <w:rPr>
          <w:u w:val="single"/>
        </w:rPr>
        <w:t>Federal Register</w:t>
      </w:r>
      <w:r w:rsidRPr="00FB16F4">
        <w:t xml:space="preserve"> on September 22, 2021 (86 FR 52697).  No responses or comments were received </w:t>
      </w:r>
      <w:proofErr w:type="gramStart"/>
      <w:r w:rsidRPr="00FB16F4">
        <w:t>as a result of</w:t>
      </w:r>
      <w:proofErr w:type="gramEnd"/>
      <w:r w:rsidRPr="00FB16F4">
        <w:t xml:space="preserve"> the FRN or the staff’s direct solicitation of comment.</w:t>
      </w:r>
    </w:p>
    <w:p w:rsidR="00E213F5" w:rsidP="00E213F5" w:rsidRDefault="00E213F5" w14:paraId="64D635B0" w14:textId="77777777"/>
    <w:p w:rsidR="00E213F5" w:rsidP="00194F9C" w:rsidRDefault="00E213F5" w14:paraId="08D6918F" w14:textId="77777777">
      <w:pPr>
        <w:numPr>
          <w:ilvl w:val="0"/>
          <w:numId w:val="2"/>
        </w:numPr>
        <w:spacing w:line="240" w:lineRule="auto"/>
      </w:pPr>
      <w:r>
        <w:rPr>
          <w:u w:val="single"/>
        </w:rPr>
        <w:t>Payment or Gift to Respondents</w:t>
      </w:r>
    </w:p>
    <w:p w:rsidR="00E213F5" w:rsidP="00E213F5" w:rsidRDefault="00E213F5" w14:paraId="2A9ACEA7" w14:textId="77777777"/>
    <w:p w:rsidRPr="008C4238" w:rsidR="00072AB1" w:rsidP="00072AB1" w:rsidRDefault="00072AB1" w14:paraId="6CC8B784" w14:textId="77777777">
      <w:pPr>
        <w:pStyle w:val="BodyText"/>
        <w:spacing w:before="93"/>
        <w:ind w:left="1160"/>
      </w:pPr>
      <w:r w:rsidRPr="008C4238">
        <w:t>Not applicable.</w:t>
      </w:r>
    </w:p>
    <w:p w:rsidR="00E213F5" w:rsidP="00E213F5" w:rsidRDefault="00E213F5" w14:paraId="02ED5722" w14:textId="77777777"/>
    <w:p w:rsidRPr="002A64F1" w:rsidR="00E213F5" w:rsidP="00194F9C" w:rsidRDefault="00E213F5" w14:paraId="66345C56" w14:textId="77777777">
      <w:pPr>
        <w:numPr>
          <w:ilvl w:val="0"/>
          <w:numId w:val="2"/>
        </w:numPr>
        <w:tabs>
          <w:tab w:val="clear" w:pos="1080"/>
          <w:tab w:val="num" w:pos="810"/>
        </w:tabs>
        <w:spacing w:line="240" w:lineRule="auto"/>
        <w:ind w:hanging="450"/>
      </w:pPr>
      <w:r>
        <w:rPr>
          <w:u w:val="single"/>
        </w:rPr>
        <w:t>Confidentiality of Information</w:t>
      </w:r>
    </w:p>
    <w:p w:rsidR="00E213F5" w:rsidP="00E213F5" w:rsidRDefault="00E213F5" w14:paraId="01C736CD" w14:textId="77777777">
      <w:pPr>
        <w:rPr>
          <w:u w:val="single"/>
        </w:rPr>
      </w:pPr>
    </w:p>
    <w:p w:rsidR="00E213F5" w:rsidP="00E213F5" w:rsidRDefault="00E213F5" w14:paraId="528DFBA3" w14:textId="0D334653">
      <w:pPr>
        <w:widowControl w:val="0"/>
        <w:ind w:left="1080"/>
      </w:pPr>
      <w:r>
        <w:t>Confidential and proprietary information is protected in accordance with NRC regulations at 10 CFR</w:t>
      </w:r>
      <w:r w:rsidR="00AB2CCE">
        <w:t xml:space="preserve"> 95, Section</w:t>
      </w:r>
      <w:r>
        <w:t xml:space="preserve"> 9.17(a) and 10 CFR 2.390(b).</w:t>
      </w:r>
    </w:p>
    <w:p w:rsidR="00E213F5" w:rsidP="00E213F5" w:rsidRDefault="00E213F5" w14:paraId="0F84E6EB" w14:textId="77777777">
      <w:pPr>
        <w:widowControl w:val="0"/>
        <w:ind w:left="1080"/>
      </w:pPr>
      <w:r>
        <w:t>However, no information normally considered confidential or proprietary is requested.</w:t>
      </w:r>
    </w:p>
    <w:p w:rsidR="00E213F5" w:rsidP="00E213F5" w:rsidRDefault="00E213F5" w14:paraId="008BE218" w14:textId="77777777"/>
    <w:p w:rsidRPr="002A64F1" w:rsidR="00E213F5" w:rsidP="00194F9C" w:rsidRDefault="00E213F5" w14:paraId="116D59E9" w14:textId="77777777">
      <w:pPr>
        <w:numPr>
          <w:ilvl w:val="0"/>
          <w:numId w:val="2"/>
        </w:numPr>
        <w:spacing w:line="240" w:lineRule="auto"/>
        <w:ind w:hanging="450"/>
      </w:pPr>
      <w:r>
        <w:rPr>
          <w:u w:val="single"/>
        </w:rPr>
        <w:t>Justification for Sensitive Questions</w:t>
      </w:r>
    </w:p>
    <w:p w:rsidR="00E213F5" w:rsidP="00E213F5" w:rsidRDefault="00E213F5" w14:paraId="2B1EF30C" w14:textId="77777777">
      <w:pPr>
        <w:rPr>
          <w:u w:val="single"/>
        </w:rPr>
      </w:pPr>
    </w:p>
    <w:p w:rsidR="00E213F5" w:rsidP="00E213F5" w:rsidRDefault="00CE6E95" w14:paraId="5D5EE990" w14:textId="7D6FAFD0">
      <w:pPr>
        <w:ind w:left="1080"/>
      </w:pPr>
      <w:r w:rsidRPr="008C4238">
        <w:t>There is no Privacy Act concern as the information collected is not retrieved using personal identifiable information.</w:t>
      </w:r>
      <w:r w:rsidR="0083443E">
        <w:t xml:space="preserve"> </w:t>
      </w:r>
    </w:p>
    <w:p w:rsidRPr="00594502" w:rsidR="00914E1A" w:rsidP="00E213F5" w:rsidRDefault="00914E1A" w14:paraId="03B5A91F" w14:textId="77777777">
      <w:pPr>
        <w:ind w:left="1080"/>
      </w:pPr>
    </w:p>
    <w:p w:rsidRPr="00180DB3" w:rsidR="00E213F5" w:rsidP="00194F9C" w:rsidRDefault="00E213F5" w14:paraId="4E31612E" w14:textId="0779F760">
      <w:pPr>
        <w:pStyle w:val="ListParagraph"/>
        <w:numPr>
          <w:ilvl w:val="0"/>
          <w:numId w:val="2"/>
        </w:numPr>
        <w:spacing w:line="240" w:lineRule="auto"/>
        <w:ind w:hanging="450"/>
        <w:rPr>
          <w:u w:val="single"/>
        </w:rPr>
      </w:pPr>
      <w:r w:rsidRPr="00180DB3">
        <w:rPr>
          <w:u w:val="single"/>
        </w:rPr>
        <w:t>Estimated Burden and Burden Hour Cost</w:t>
      </w:r>
    </w:p>
    <w:p w:rsidR="00DD4965" w:rsidP="00E213F5" w:rsidRDefault="00DD4965" w14:paraId="1B8777FF" w14:textId="77777777">
      <w:pPr>
        <w:rPr>
          <w:u w:val="single"/>
        </w:rPr>
      </w:pPr>
    </w:p>
    <w:p w:rsidRPr="008C4238" w:rsidR="00B64003" w:rsidP="00B64003" w:rsidRDefault="00B64003" w14:paraId="055A47B3" w14:textId="5FC207D3">
      <w:pPr>
        <w:pStyle w:val="BodyText"/>
        <w:ind w:left="1160" w:right="564"/>
      </w:pPr>
      <w:r w:rsidRPr="008C4238">
        <w:t>The NRC estimates that there are 2</w:t>
      </w:r>
      <w:r>
        <w:t>8</w:t>
      </w:r>
      <w:r w:rsidRPr="008C4238">
        <w:t xml:space="preserve"> respondents</w:t>
      </w:r>
      <w:r w:rsidR="00AA2E21">
        <w:t xml:space="preserve"> </w:t>
      </w:r>
      <w:r w:rsidR="007B0003">
        <w:t xml:space="preserve">and 71 responses </w:t>
      </w:r>
      <w:r w:rsidRPr="008C4238">
        <w:t xml:space="preserve">to the information collection in </w:t>
      </w:r>
      <w:r>
        <w:t>the ITP</w:t>
      </w:r>
      <w:r w:rsidRPr="008C4238">
        <w:t xml:space="preserve">.  The annual reporting burden is </w:t>
      </w:r>
      <w:r>
        <w:t>2</w:t>
      </w:r>
      <w:r w:rsidR="008306CC">
        <w:t>,</w:t>
      </w:r>
      <w:r>
        <w:t>630</w:t>
      </w:r>
      <w:r w:rsidRPr="008C4238">
        <w:t xml:space="preserve"> hours and recordkeeping burden is </w:t>
      </w:r>
      <w:r>
        <w:t>1</w:t>
      </w:r>
      <w:r w:rsidR="008306CC">
        <w:t>,</w:t>
      </w:r>
      <w:r w:rsidR="00C408C6">
        <w:t>198</w:t>
      </w:r>
      <w:r w:rsidRPr="008C4238">
        <w:t xml:space="preserve"> hours, for a total of </w:t>
      </w:r>
      <w:r>
        <w:t>3</w:t>
      </w:r>
      <w:r w:rsidR="008306CC">
        <w:t>,</w:t>
      </w:r>
      <w:r w:rsidR="00722E3D">
        <w:t>828</w:t>
      </w:r>
      <w:r w:rsidRPr="008C4238">
        <w:t xml:space="preserve"> burden hours for the collection.  </w:t>
      </w:r>
      <w:r>
        <w:t xml:space="preserve">It should be noted that </w:t>
      </w:r>
      <w:r w:rsidR="00B24557">
        <w:t>679</w:t>
      </w:r>
      <w:r>
        <w:t xml:space="preserve"> of the reporting hours capture the burden for program implementation.  However, each time a new Insider Threat Program Senior Official </w:t>
      </w:r>
      <w:r w:rsidR="003A0D55">
        <w:t xml:space="preserve">(ITPSO) </w:t>
      </w:r>
      <w:r>
        <w:t xml:space="preserve">is assigned, the burden associated with assigning or training them will be incurred.  </w:t>
      </w:r>
      <w:r w:rsidR="0029122E">
        <w:t xml:space="preserve">In the future, that burden will decrease but since the ITP is a new program, </w:t>
      </w:r>
      <w:r w:rsidR="003A0D55">
        <w:t xml:space="preserve">the NRC has no estimate of what the ITPSO turnover rate will be. </w:t>
      </w:r>
      <w:r w:rsidRPr="008C4238">
        <w:t>The following table summarizes respondent burden, responses, and cost at $</w:t>
      </w:r>
      <w:r w:rsidR="00683FF5">
        <w:t>2</w:t>
      </w:r>
      <w:r w:rsidR="003865F0">
        <w:t>88</w:t>
      </w:r>
      <w:r w:rsidRPr="008C4238">
        <w:t>/hr.  Details of reporting and recordkeeping burden and cost estimates to the respondents, broken down by requirement, are reflected in Tables 1 and 2.</w:t>
      </w:r>
    </w:p>
    <w:p w:rsidRPr="008C4238" w:rsidR="00B64003" w:rsidP="00B64003" w:rsidRDefault="00B64003" w14:paraId="737D5BEA" w14:textId="77777777">
      <w:pPr>
        <w:pStyle w:val="BodyText"/>
        <w:spacing w:before="92"/>
        <w:ind w:left="1160" w:right="152"/>
      </w:pPr>
    </w:p>
    <w:tbl>
      <w:tblPr>
        <w:tblW w:w="5660" w:type="dxa"/>
        <w:jc w:val="center"/>
        <w:tblLook w:val="04A0" w:firstRow="1" w:lastRow="0" w:firstColumn="1" w:lastColumn="0" w:noHBand="0" w:noVBand="1"/>
      </w:tblPr>
      <w:tblGrid>
        <w:gridCol w:w="1696"/>
        <w:gridCol w:w="1317"/>
        <w:gridCol w:w="1200"/>
        <w:gridCol w:w="1680"/>
      </w:tblGrid>
      <w:tr w:rsidRPr="008C4238" w:rsidR="00B64003" w:rsidTr="00D90A90" w14:paraId="49BBC9A1" w14:textId="77777777">
        <w:trPr>
          <w:trHeight w:val="276"/>
          <w:jc w:val="center"/>
        </w:trPr>
        <w:tc>
          <w:tcPr>
            <w:tcW w:w="1580" w:type="dxa"/>
            <w:tcBorders>
              <w:top w:val="nil"/>
              <w:left w:val="nil"/>
              <w:bottom w:val="nil"/>
              <w:right w:val="nil"/>
            </w:tcBorders>
            <w:shd w:val="clear" w:color="auto" w:fill="auto"/>
            <w:noWrap/>
            <w:vAlign w:val="bottom"/>
            <w:hideMark/>
          </w:tcPr>
          <w:p w:rsidRPr="008C4238" w:rsidR="00B64003" w:rsidP="00D90A90" w:rsidRDefault="00B64003" w14:paraId="2B3C218F" w14:textId="77777777">
            <w:pPr>
              <w:rPr>
                <w:rFonts w:eastAsia="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238" w:rsidR="00B64003" w:rsidP="00D90A90" w:rsidRDefault="00B64003" w14:paraId="3CE04709" w14:textId="77777777">
            <w:pPr>
              <w:jc w:val="center"/>
              <w:rPr>
                <w:rFonts w:eastAsia="Times New Roman"/>
                <w:color w:val="000000"/>
              </w:rPr>
            </w:pPr>
            <w:r w:rsidRPr="008C4238">
              <w:rPr>
                <w:rFonts w:eastAsia="Times New Roman"/>
                <w:color w:val="000000"/>
              </w:rPr>
              <w:t>Responses</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8C4238" w:rsidR="00B64003" w:rsidP="00D90A90" w:rsidRDefault="00B64003" w14:paraId="0312072E" w14:textId="77777777">
            <w:pPr>
              <w:jc w:val="center"/>
              <w:rPr>
                <w:rFonts w:eastAsia="Times New Roman"/>
                <w:color w:val="000000"/>
              </w:rPr>
            </w:pPr>
            <w:r w:rsidRPr="008C4238">
              <w:rPr>
                <w:rFonts w:eastAsia="Times New Roman"/>
                <w:color w:val="000000"/>
              </w:rPr>
              <w:t>Hours</w:t>
            </w:r>
          </w:p>
        </w:tc>
        <w:tc>
          <w:tcPr>
            <w:tcW w:w="1680" w:type="dxa"/>
            <w:tcBorders>
              <w:top w:val="single" w:color="auto" w:sz="4" w:space="0"/>
              <w:left w:val="nil"/>
              <w:bottom w:val="single" w:color="auto" w:sz="4" w:space="0"/>
              <w:right w:val="single" w:color="auto" w:sz="4" w:space="0"/>
            </w:tcBorders>
            <w:shd w:val="clear" w:color="auto" w:fill="auto"/>
            <w:noWrap/>
            <w:vAlign w:val="bottom"/>
            <w:hideMark/>
          </w:tcPr>
          <w:p w:rsidRPr="008C4238" w:rsidR="00B64003" w:rsidP="00D90A90" w:rsidRDefault="00B64003" w14:paraId="65AA1A31" w14:textId="6DB94234">
            <w:pPr>
              <w:jc w:val="center"/>
              <w:rPr>
                <w:rFonts w:eastAsia="Times New Roman"/>
                <w:color w:val="000000"/>
              </w:rPr>
            </w:pPr>
            <w:r w:rsidRPr="008C4238">
              <w:rPr>
                <w:rFonts w:eastAsia="Times New Roman"/>
                <w:color w:val="000000"/>
              </w:rPr>
              <w:t>Cost at $</w:t>
            </w:r>
            <w:r w:rsidR="00683FF5">
              <w:rPr>
                <w:rFonts w:eastAsia="Times New Roman"/>
                <w:color w:val="000000"/>
              </w:rPr>
              <w:t>2</w:t>
            </w:r>
            <w:r w:rsidR="00E92DC1">
              <w:rPr>
                <w:rFonts w:eastAsia="Times New Roman"/>
                <w:color w:val="000000"/>
              </w:rPr>
              <w:t>88</w:t>
            </w:r>
            <w:r>
              <w:rPr>
                <w:rFonts w:eastAsia="Times New Roman"/>
                <w:color w:val="000000"/>
              </w:rPr>
              <w:t>/</w:t>
            </w:r>
            <w:r w:rsidRPr="008C4238">
              <w:rPr>
                <w:rFonts w:eastAsia="Times New Roman"/>
                <w:color w:val="000000"/>
              </w:rPr>
              <w:t>hr</w:t>
            </w:r>
            <w:r>
              <w:rPr>
                <w:rFonts w:eastAsia="Times New Roman"/>
                <w:color w:val="000000"/>
              </w:rPr>
              <w:t>.</w:t>
            </w:r>
          </w:p>
        </w:tc>
      </w:tr>
      <w:tr w:rsidRPr="008C4238" w:rsidR="00B64003" w:rsidTr="00D90A90" w14:paraId="1F256B6C" w14:textId="77777777">
        <w:trPr>
          <w:trHeight w:val="276"/>
          <w:jc w:val="center"/>
        </w:trPr>
        <w:tc>
          <w:tcPr>
            <w:tcW w:w="1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238" w:rsidR="00B64003" w:rsidP="00D90A90" w:rsidRDefault="00B64003" w14:paraId="443311AF" w14:textId="77777777">
            <w:pPr>
              <w:rPr>
                <w:rFonts w:eastAsia="Times New Roman"/>
                <w:color w:val="000000"/>
              </w:rPr>
            </w:pPr>
            <w:r w:rsidRPr="008C4238">
              <w:rPr>
                <w:rFonts w:eastAsia="Times New Roman"/>
                <w:color w:val="000000"/>
              </w:rPr>
              <w:t>Reporting</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F56B10" w14:paraId="763A4B80" w14:textId="446BD5E3">
            <w:pPr>
              <w:jc w:val="right"/>
              <w:rPr>
                <w:rFonts w:eastAsia="Times New Roman"/>
                <w:color w:val="000000"/>
              </w:rPr>
            </w:pPr>
            <w:r>
              <w:rPr>
                <w:rFonts w:eastAsia="Times New Roman"/>
                <w:color w:val="000000"/>
              </w:rPr>
              <w:t>71</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B64003" w14:paraId="356F610A" w14:textId="77777777">
            <w:pPr>
              <w:jc w:val="right"/>
              <w:rPr>
                <w:rFonts w:eastAsia="Times New Roman"/>
                <w:color w:val="000000"/>
              </w:rPr>
            </w:pPr>
            <w:r>
              <w:rPr>
                <w:rFonts w:eastAsia="Times New Roman"/>
                <w:color w:val="000000"/>
              </w:rPr>
              <w:t>2630</w:t>
            </w:r>
          </w:p>
        </w:tc>
        <w:tc>
          <w:tcPr>
            <w:tcW w:w="168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B64003" w14:paraId="0CEA9A12" w14:textId="3109C2B5">
            <w:pPr>
              <w:jc w:val="right"/>
              <w:rPr>
                <w:rFonts w:eastAsia="Times New Roman"/>
                <w:color w:val="000000"/>
              </w:rPr>
            </w:pPr>
            <w:r w:rsidRPr="008C4238">
              <w:rPr>
                <w:rFonts w:eastAsia="Times New Roman"/>
                <w:color w:val="000000"/>
              </w:rPr>
              <w:t>$</w:t>
            </w:r>
            <w:r>
              <w:rPr>
                <w:rFonts w:eastAsia="Times New Roman"/>
                <w:color w:val="000000"/>
              </w:rPr>
              <w:t>7</w:t>
            </w:r>
            <w:r w:rsidR="008F6796">
              <w:rPr>
                <w:rFonts w:eastAsia="Times New Roman"/>
                <w:color w:val="000000"/>
              </w:rPr>
              <w:t>57,440</w:t>
            </w:r>
          </w:p>
        </w:tc>
      </w:tr>
      <w:tr w:rsidRPr="008C4238" w:rsidR="00B64003" w:rsidTr="003535AB" w14:paraId="35BF117A" w14:textId="77777777">
        <w:trPr>
          <w:trHeight w:val="276"/>
          <w:jc w:val="center"/>
        </w:trPr>
        <w:tc>
          <w:tcPr>
            <w:tcW w:w="1580" w:type="dxa"/>
            <w:tcBorders>
              <w:top w:val="nil"/>
              <w:left w:val="single" w:color="auto" w:sz="4" w:space="0"/>
              <w:bottom w:val="single" w:color="auto" w:sz="4" w:space="0"/>
              <w:right w:val="single" w:color="auto" w:sz="4" w:space="0"/>
            </w:tcBorders>
            <w:shd w:val="clear" w:color="auto" w:fill="auto"/>
            <w:noWrap/>
            <w:vAlign w:val="center"/>
            <w:hideMark/>
          </w:tcPr>
          <w:p w:rsidRPr="008C4238" w:rsidR="00B64003" w:rsidP="00D90A90" w:rsidRDefault="00B64003" w14:paraId="7996E1A0" w14:textId="77777777">
            <w:pPr>
              <w:rPr>
                <w:rFonts w:eastAsia="Times New Roman"/>
                <w:color w:val="000000"/>
              </w:rPr>
            </w:pPr>
            <w:r w:rsidRPr="008C4238">
              <w:rPr>
                <w:rFonts w:eastAsia="Times New Roman"/>
                <w:color w:val="000000"/>
              </w:rPr>
              <w:t>Recordkeeping</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6A6276" w14:paraId="2C5ABDB3" w14:textId="07DDE558">
            <w:pPr>
              <w:jc w:val="right"/>
              <w:rPr>
                <w:rFonts w:eastAsia="Times New Roman"/>
                <w:color w:val="000000"/>
              </w:rPr>
            </w:pPr>
            <w:r>
              <w:rPr>
                <w:rFonts w:eastAsia="Times New Roman"/>
                <w:color w:val="000000"/>
              </w:rPr>
              <w:t>28</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3C465C" w14:paraId="302C3832" w14:textId="77F63F35">
            <w:pPr>
              <w:jc w:val="right"/>
              <w:rPr>
                <w:rFonts w:eastAsia="Times New Roman"/>
                <w:color w:val="000000"/>
              </w:rPr>
            </w:pPr>
            <w:r>
              <w:rPr>
                <w:rFonts w:eastAsia="Times New Roman"/>
                <w:color w:val="000000"/>
              </w:rPr>
              <w:t>1198</w:t>
            </w:r>
          </w:p>
        </w:tc>
        <w:tc>
          <w:tcPr>
            <w:tcW w:w="168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B64003" w14:paraId="2B74AA89" w14:textId="296EC0D6">
            <w:pPr>
              <w:jc w:val="right"/>
              <w:rPr>
                <w:rFonts w:eastAsia="Times New Roman"/>
                <w:color w:val="000000"/>
              </w:rPr>
            </w:pPr>
            <w:r>
              <w:rPr>
                <w:rFonts w:eastAsia="Times New Roman"/>
                <w:color w:val="000000"/>
              </w:rPr>
              <w:t>$</w:t>
            </w:r>
            <w:r w:rsidR="00683FF5">
              <w:rPr>
                <w:rFonts w:eastAsia="Times New Roman"/>
                <w:color w:val="000000"/>
              </w:rPr>
              <w:t>3</w:t>
            </w:r>
            <w:r w:rsidR="00A46C85">
              <w:rPr>
                <w:rFonts w:eastAsia="Times New Roman"/>
                <w:color w:val="000000"/>
              </w:rPr>
              <w:t>45,024</w:t>
            </w:r>
          </w:p>
        </w:tc>
      </w:tr>
      <w:tr w:rsidRPr="008C4238" w:rsidR="00B64003" w:rsidTr="00D90A90" w14:paraId="4B19A6F5" w14:textId="77777777">
        <w:trPr>
          <w:trHeight w:val="276"/>
          <w:jc w:val="center"/>
        </w:trPr>
        <w:tc>
          <w:tcPr>
            <w:tcW w:w="1580" w:type="dxa"/>
            <w:tcBorders>
              <w:top w:val="nil"/>
              <w:left w:val="single" w:color="auto" w:sz="4" w:space="0"/>
              <w:bottom w:val="single" w:color="auto" w:sz="4" w:space="0"/>
              <w:right w:val="single" w:color="auto" w:sz="4" w:space="0"/>
            </w:tcBorders>
            <w:shd w:val="clear" w:color="auto" w:fill="auto"/>
            <w:noWrap/>
            <w:vAlign w:val="bottom"/>
            <w:hideMark/>
          </w:tcPr>
          <w:p w:rsidRPr="008C4238" w:rsidR="00B64003" w:rsidP="00D90A90" w:rsidRDefault="00B64003" w14:paraId="7E0E48A3" w14:textId="77777777">
            <w:pPr>
              <w:rPr>
                <w:rFonts w:eastAsia="Times New Roman"/>
                <w:color w:val="000000"/>
              </w:rPr>
            </w:pPr>
            <w:r w:rsidRPr="008C4238">
              <w:rPr>
                <w:rFonts w:eastAsia="Times New Roman"/>
                <w:color w:val="000000"/>
              </w:rPr>
              <w:t>Total</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8F1AA6" w14:paraId="050594D2" w14:textId="63047849">
            <w:pPr>
              <w:jc w:val="right"/>
              <w:rPr>
                <w:rFonts w:eastAsia="Times New Roman"/>
                <w:color w:val="000000"/>
              </w:rPr>
            </w:pPr>
            <w:r>
              <w:rPr>
                <w:rFonts w:eastAsia="Times New Roman"/>
                <w:color w:val="000000"/>
              </w:rPr>
              <w:t>9</w:t>
            </w:r>
            <w:r w:rsidR="006A6276">
              <w:rPr>
                <w:rFonts w:eastAsia="Times New Roman"/>
                <w:color w:val="000000"/>
              </w:rPr>
              <w:t>9</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49407D" w14:paraId="422AFCA7" w14:textId="0B72ED85">
            <w:pPr>
              <w:jc w:val="right"/>
              <w:rPr>
                <w:rFonts w:eastAsia="Times New Roman"/>
                <w:color w:val="000000"/>
              </w:rPr>
            </w:pPr>
            <w:r>
              <w:rPr>
                <w:rFonts w:eastAsia="Times New Roman"/>
                <w:color w:val="000000"/>
              </w:rPr>
              <w:t>3828</w:t>
            </w:r>
          </w:p>
        </w:tc>
        <w:tc>
          <w:tcPr>
            <w:tcW w:w="1680" w:type="dxa"/>
            <w:tcBorders>
              <w:top w:val="nil"/>
              <w:left w:val="nil"/>
              <w:bottom w:val="single" w:color="auto" w:sz="4" w:space="0"/>
              <w:right w:val="single" w:color="auto" w:sz="4" w:space="0"/>
            </w:tcBorders>
            <w:shd w:val="clear" w:color="auto" w:fill="auto"/>
            <w:noWrap/>
            <w:vAlign w:val="bottom"/>
            <w:hideMark/>
          </w:tcPr>
          <w:p w:rsidRPr="008C4238" w:rsidR="00B64003" w:rsidP="00D90A90" w:rsidRDefault="00B64003" w14:paraId="062B6DA3" w14:textId="01838525">
            <w:pPr>
              <w:jc w:val="right"/>
              <w:rPr>
                <w:rFonts w:eastAsia="Times New Roman"/>
                <w:color w:val="000000"/>
              </w:rPr>
            </w:pPr>
            <w:r w:rsidRPr="008C4238">
              <w:rPr>
                <w:rFonts w:eastAsia="Times New Roman"/>
                <w:color w:val="000000"/>
              </w:rPr>
              <w:t>$</w:t>
            </w:r>
            <w:r w:rsidR="00C47AC1">
              <w:rPr>
                <w:rFonts w:eastAsia="Times New Roman"/>
                <w:color w:val="000000"/>
              </w:rPr>
              <w:t>1,102</w:t>
            </w:r>
            <w:r w:rsidR="00CE7068">
              <w:rPr>
                <w:rFonts w:eastAsia="Times New Roman"/>
                <w:color w:val="000000"/>
              </w:rPr>
              <w:t>,464</w:t>
            </w:r>
          </w:p>
        </w:tc>
      </w:tr>
    </w:tbl>
    <w:p w:rsidR="00DD4965" w:rsidP="00DD4965" w:rsidRDefault="00DD4965" w14:paraId="75C0FB5D" w14:textId="3E0D3120">
      <w:pPr>
        <w:pStyle w:val="paragraph"/>
        <w:ind w:left="720"/>
        <w:textAlignment w:val="baseline"/>
        <w:rPr>
          <w:rFonts w:ascii="Arial" w:hAnsi="Arial" w:cs="Arial"/>
          <w:sz w:val="22"/>
          <w:szCs w:val="22"/>
        </w:rPr>
      </w:pPr>
    </w:p>
    <w:p w:rsidR="00CC6681" w:rsidP="00615944" w:rsidRDefault="00A8511F" w14:paraId="1B226A26" w14:textId="33A86AB6">
      <w:pPr>
        <w:pStyle w:val="paragraph"/>
        <w:ind w:left="1170"/>
        <w:textAlignment w:val="baseline"/>
        <w:rPr>
          <w:rFonts w:ascii="Arial" w:hAnsi="Arial" w:cs="Arial"/>
          <w:sz w:val="22"/>
          <w:szCs w:val="22"/>
        </w:rPr>
      </w:pPr>
      <w:r>
        <w:rPr>
          <w:rFonts w:ascii="Arial" w:hAnsi="Arial" w:cs="Arial"/>
          <w:sz w:val="22"/>
          <w:szCs w:val="22"/>
        </w:rPr>
        <w:t>Reco</w:t>
      </w:r>
      <w:r w:rsidR="00A85761">
        <w:rPr>
          <w:rFonts w:ascii="Arial" w:hAnsi="Arial" w:cs="Arial"/>
          <w:sz w:val="22"/>
          <w:szCs w:val="22"/>
        </w:rPr>
        <w:t>r</w:t>
      </w:r>
      <w:r>
        <w:rPr>
          <w:rFonts w:ascii="Arial" w:hAnsi="Arial" w:cs="Arial"/>
          <w:sz w:val="22"/>
          <w:szCs w:val="22"/>
        </w:rPr>
        <w:t>ds</w:t>
      </w:r>
      <w:r w:rsidR="00FB2191">
        <w:rPr>
          <w:rFonts w:ascii="Arial" w:hAnsi="Arial" w:cs="Arial"/>
          <w:sz w:val="22"/>
          <w:szCs w:val="22"/>
        </w:rPr>
        <w:t xml:space="preserve"> must be available for </w:t>
      </w:r>
      <w:r w:rsidR="00D04F03">
        <w:rPr>
          <w:rFonts w:ascii="Arial" w:hAnsi="Arial" w:cs="Arial"/>
          <w:sz w:val="22"/>
          <w:szCs w:val="22"/>
        </w:rPr>
        <w:t xml:space="preserve">NRC review upon demand for such purposes as </w:t>
      </w:r>
      <w:r w:rsidR="00EF5B82">
        <w:rPr>
          <w:rFonts w:ascii="Arial" w:hAnsi="Arial" w:cs="Arial"/>
          <w:sz w:val="22"/>
          <w:szCs w:val="22"/>
        </w:rPr>
        <w:t xml:space="preserve">   </w:t>
      </w:r>
      <w:r w:rsidR="00D04F03">
        <w:rPr>
          <w:rFonts w:ascii="Arial" w:hAnsi="Arial" w:cs="Arial"/>
          <w:sz w:val="22"/>
          <w:szCs w:val="22"/>
        </w:rPr>
        <w:t xml:space="preserve">required </w:t>
      </w:r>
      <w:r w:rsidR="00703017">
        <w:rPr>
          <w:rFonts w:ascii="Arial" w:hAnsi="Arial" w:cs="Arial"/>
          <w:sz w:val="22"/>
          <w:szCs w:val="22"/>
        </w:rPr>
        <w:t>inspections.</w:t>
      </w:r>
    </w:p>
    <w:p w:rsidR="00876E2C" w:rsidP="00432DC7" w:rsidRDefault="00876E2C" w14:paraId="03C9AAD7" w14:textId="6AABA291">
      <w:pPr>
        <w:pStyle w:val="paragraph"/>
        <w:ind w:left="1170"/>
        <w:textAlignment w:val="baseline"/>
        <w:rPr>
          <w:rFonts w:ascii="Arial" w:hAnsi="Arial" w:cs="Arial"/>
          <w:sz w:val="22"/>
          <w:szCs w:val="22"/>
        </w:rPr>
      </w:pPr>
    </w:p>
    <w:p w:rsidR="00876E2C" w:rsidP="00432DC7" w:rsidRDefault="00DE72F2" w14:paraId="558871D0" w14:textId="20F48227">
      <w:pPr>
        <w:pStyle w:val="paragraph"/>
        <w:ind w:left="1170"/>
        <w:textAlignment w:val="baseline"/>
        <w:rPr>
          <w:rFonts w:ascii="Arial" w:hAnsi="Arial" w:cs="Arial"/>
          <w:sz w:val="22"/>
          <w:szCs w:val="22"/>
        </w:rPr>
      </w:pPr>
      <w:r>
        <w:rPr>
          <w:rFonts w:ascii="Arial" w:hAnsi="Arial" w:cs="Arial"/>
          <w:sz w:val="22"/>
          <w:szCs w:val="22"/>
        </w:rPr>
        <w:t xml:space="preserve">It should be noted that burden is not uniformly distributed across </w:t>
      </w:r>
      <w:r w:rsidR="001B7B3F">
        <w:rPr>
          <w:rFonts w:ascii="Arial" w:hAnsi="Arial" w:cs="Arial"/>
          <w:sz w:val="22"/>
          <w:szCs w:val="22"/>
        </w:rPr>
        <w:t xml:space="preserve">the </w:t>
      </w:r>
      <w:r w:rsidR="00C45D9B">
        <w:rPr>
          <w:rFonts w:ascii="Arial" w:hAnsi="Arial" w:cs="Arial"/>
          <w:sz w:val="22"/>
          <w:szCs w:val="22"/>
        </w:rPr>
        <w:t>twenty-eight</w:t>
      </w:r>
      <w:r w:rsidR="001B7B3F">
        <w:rPr>
          <w:rFonts w:ascii="Arial" w:hAnsi="Arial" w:cs="Arial"/>
          <w:sz w:val="22"/>
          <w:szCs w:val="22"/>
        </w:rPr>
        <w:t xml:space="preserve"> respondents.  The bulk of the burden </w:t>
      </w:r>
      <w:r w:rsidR="007A4B99">
        <w:rPr>
          <w:rFonts w:ascii="Arial" w:hAnsi="Arial" w:cs="Arial"/>
          <w:sz w:val="22"/>
          <w:szCs w:val="22"/>
        </w:rPr>
        <w:t>is</w:t>
      </w:r>
      <w:r w:rsidR="001B7B3F">
        <w:rPr>
          <w:rFonts w:ascii="Arial" w:hAnsi="Arial" w:cs="Arial"/>
          <w:sz w:val="22"/>
          <w:szCs w:val="22"/>
        </w:rPr>
        <w:t xml:space="preserve"> </w:t>
      </w:r>
      <w:r w:rsidR="007A4B99">
        <w:rPr>
          <w:rFonts w:ascii="Arial" w:hAnsi="Arial" w:cs="Arial"/>
          <w:sz w:val="22"/>
          <w:szCs w:val="22"/>
        </w:rPr>
        <w:t>driven by two factors</w:t>
      </w:r>
      <w:r w:rsidR="00207F2D">
        <w:rPr>
          <w:rFonts w:ascii="Arial" w:hAnsi="Arial" w:cs="Arial"/>
          <w:sz w:val="22"/>
          <w:szCs w:val="22"/>
        </w:rPr>
        <w:t xml:space="preserve">, the number of cleared personnel a respondent has and </w:t>
      </w:r>
      <w:r w:rsidR="007736E3">
        <w:rPr>
          <w:rFonts w:ascii="Arial" w:hAnsi="Arial" w:cs="Arial"/>
          <w:sz w:val="22"/>
          <w:szCs w:val="22"/>
        </w:rPr>
        <w:t xml:space="preserve">whether or not the respondent </w:t>
      </w:r>
      <w:r w:rsidR="002D551E">
        <w:rPr>
          <w:rFonts w:ascii="Arial" w:hAnsi="Arial" w:cs="Arial"/>
          <w:sz w:val="22"/>
          <w:szCs w:val="22"/>
        </w:rPr>
        <w:t>operates</w:t>
      </w:r>
      <w:r w:rsidR="007736E3">
        <w:rPr>
          <w:rFonts w:ascii="Arial" w:hAnsi="Arial" w:cs="Arial"/>
          <w:sz w:val="22"/>
          <w:szCs w:val="22"/>
        </w:rPr>
        <w:t xml:space="preserve"> classified information systems.  </w:t>
      </w:r>
      <w:r w:rsidR="00A95437">
        <w:rPr>
          <w:rFonts w:ascii="Arial" w:hAnsi="Arial" w:cs="Arial"/>
          <w:sz w:val="22"/>
          <w:szCs w:val="22"/>
        </w:rPr>
        <w:t>T</w:t>
      </w:r>
      <w:r w:rsidR="00C45D9B">
        <w:rPr>
          <w:rFonts w:ascii="Arial" w:hAnsi="Arial" w:cs="Arial"/>
          <w:sz w:val="22"/>
          <w:szCs w:val="22"/>
        </w:rPr>
        <w:t>hree</w:t>
      </w:r>
      <w:r w:rsidR="00946A42">
        <w:rPr>
          <w:rFonts w:ascii="Arial" w:hAnsi="Arial" w:cs="Arial"/>
          <w:sz w:val="22"/>
          <w:szCs w:val="22"/>
        </w:rPr>
        <w:t xml:space="preserve"> respondents account for 865 of 1106 NRC-cleared personnel coming under the program.  </w:t>
      </w:r>
      <w:r w:rsidR="002D551E">
        <w:rPr>
          <w:rFonts w:ascii="Arial" w:hAnsi="Arial" w:cs="Arial"/>
          <w:sz w:val="22"/>
          <w:szCs w:val="22"/>
        </w:rPr>
        <w:t xml:space="preserve">Only </w:t>
      </w:r>
      <w:r w:rsidR="00C45D9B">
        <w:rPr>
          <w:rFonts w:ascii="Arial" w:hAnsi="Arial" w:cs="Arial"/>
          <w:sz w:val="22"/>
          <w:szCs w:val="22"/>
        </w:rPr>
        <w:t>three</w:t>
      </w:r>
      <w:r w:rsidR="002D551E">
        <w:rPr>
          <w:rFonts w:ascii="Arial" w:hAnsi="Arial" w:cs="Arial"/>
          <w:sz w:val="22"/>
          <w:szCs w:val="22"/>
        </w:rPr>
        <w:t xml:space="preserve"> of the </w:t>
      </w:r>
      <w:r w:rsidR="00C45D9B">
        <w:rPr>
          <w:rFonts w:ascii="Arial" w:hAnsi="Arial" w:cs="Arial"/>
          <w:sz w:val="22"/>
          <w:szCs w:val="22"/>
        </w:rPr>
        <w:t>twenty-eight</w:t>
      </w:r>
      <w:r w:rsidR="002D551E">
        <w:rPr>
          <w:rFonts w:ascii="Arial" w:hAnsi="Arial" w:cs="Arial"/>
          <w:sz w:val="22"/>
          <w:szCs w:val="22"/>
        </w:rPr>
        <w:t xml:space="preserve"> respondents operate classified information systems.</w:t>
      </w:r>
      <w:r w:rsidR="00EE2C52">
        <w:rPr>
          <w:rFonts w:ascii="Arial" w:hAnsi="Arial" w:cs="Arial"/>
          <w:sz w:val="22"/>
          <w:szCs w:val="22"/>
        </w:rPr>
        <w:t xml:space="preserve"> </w:t>
      </w:r>
      <w:r w:rsidR="0049505D">
        <w:rPr>
          <w:rFonts w:ascii="Arial" w:hAnsi="Arial" w:cs="Arial"/>
          <w:sz w:val="22"/>
          <w:szCs w:val="22"/>
        </w:rPr>
        <w:t xml:space="preserve">  </w:t>
      </w:r>
    </w:p>
    <w:p w:rsidR="00B53573" w:rsidP="00432DC7" w:rsidRDefault="00B53573" w14:paraId="5F31E6E9" w14:textId="18746332">
      <w:pPr>
        <w:pStyle w:val="paragraph"/>
        <w:ind w:left="1170"/>
        <w:textAlignment w:val="baseline"/>
        <w:rPr>
          <w:rFonts w:ascii="Arial" w:hAnsi="Arial" w:cs="Arial"/>
          <w:sz w:val="22"/>
          <w:szCs w:val="22"/>
        </w:rPr>
      </w:pPr>
    </w:p>
    <w:p w:rsidR="007F0559" w:rsidP="00B53573" w:rsidRDefault="007F0559" w14:paraId="7F4DFAD7" w14:textId="71854C22">
      <w:pPr>
        <w:widowControl w:val="0"/>
        <w:tabs>
          <w:tab w:val="left" w:pos="1260"/>
        </w:tabs>
        <w:autoSpaceDE w:val="0"/>
        <w:autoSpaceDN w:val="0"/>
        <w:spacing w:line="240" w:lineRule="auto"/>
        <w:ind w:left="1200"/>
        <w:rPr>
          <w:rFonts w:eastAsia="Arial"/>
        </w:rPr>
      </w:pPr>
      <w:r w:rsidRPr="007F0559">
        <w:rPr>
          <w:rFonts w:eastAsia="Arial"/>
        </w:rPr>
        <w:t>The $288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2021 (86 FR 32146, June 16, 2021).</w:t>
      </w:r>
    </w:p>
    <w:p w:rsidR="007F0559" w:rsidP="00B53573" w:rsidRDefault="007F0559" w14:paraId="3B4E19B5" w14:textId="77777777">
      <w:pPr>
        <w:widowControl w:val="0"/>
        <w:tabs>
          <w:tab w:val="left" w:pos="1260"/>
        </w:tabs>
        <w:autoSpaceDE w:val="0"/>
        <w:autoSpaceDN w:val="0"/>
        <w:spacing w:line="240" w:lineRule="auto"/>
        <w:ind w:left="1200"/>
        <w:rPr>
          <w:rFonts w:eastAsia="Arial"/>
        </w:rPr>
      </w:pPr>
    </w:p>
    <w:p w:rsidR="00E213F5" w:rsidP="00E1614D" w:rsidRDefault="00E213F5" w14:paraId="0778104E" w14:textId="16E75184">
      <w:pPr>
        <w:pStyle w:val="Level1"/>
        <w:widowControl/>
        <w:numPr>
          <w:ilvl w:val="0"/>
          <w:numId w:val="2"/>
        </w:numPr>
        <w:ind w:hanging="450"/>
        <w:rPr>
          <w:rFonts w:ascii="Arial" w:hAnsi="Arial"/>
          <w:sz w:val="22"/>
        </w:rPr>
      </w:pPr>
      <w:r>
        <w:rPr>
          <w:rFonts w:ascii="Arial" w:hAnsi="Arial"/>
          <w:sz w:val="22"/>
          <w:u w:val="single"/>
        </w:rPr>
        <w:t>Estimate of Other Additional Costs</w:t>
      </w:r>
    </w:p>
    <w:p w:rsidR="00E213F5" w:rsidP="004570C4" w:rsidRDefault="00E213F5" w14:paraId="24163B02" w14:textId="77777777">
      <w:pPr>
        <w:pStyle w:val="Level1"/>
        <w:widowControl/>
        <w:ind w:left="1080"/>
        <w:rPr>
          <w:rFonts w:ascii="Arial" w:hAnsi="Arial"/>
          <w:sz w:val="22"/>
        </w:rPr>
      </w:pPr>
    </w:p>
    <w:p w:rsidR="00E213F5" w:rsidP="00E213F5" w:rsidRDefault="00DE5EC0" w14:paraId="03E277D3" w14:textId="2D97819B">
      <w:pPr>
        <w:pStyle w:val="Level1"/>
        <w:widowControl/>
        <w:ind w:left="1080"/>
        <w:rPr>
          <w:rFonts w:ascii="Arial" w:hAnsi="Arial"/>
          <w:sz w:val="22"/>
        </w:rPr>
      </w:pPr>
      <w:r>
        <w:rPr>
          <w:rFonts w:ascii="Arial" w:hAnsi="Arial"/>
          <w:sz w:val="22"/>
        </w:rPr>
        <w:t xml:space="preserve"> </w:t>
      </w:r>
      <w:r w:rsidR="00C87778">
        <w:rPr>
          <w:rFonts w:ascii="Arial" w:hAnsi="Arial"/>
          <w:sz w:val="22"/>
        </w:rPr>
        <w:t xml:space="preserve"> </w:t>
      </w:r>
      <w:r w:rsidR="00A40A62">
        <w:rPr>
          <w:rFonts w:ascii="Arial" w:hAnsi="Arial"/>
          <w:sz w:val="22"/>
        </w:rPr>
        <w:t>None</w:t>
      </w:r>
      <w:r w:rsidR="008C47EB">
        <w:rPr>
          <w:rFonts w:ascii="Arial" w:hAnsi="Arial"/>
          <w:sz w:val="22"/>
        </w:rPr>
        <w:t>.</w:t>
      </w:r>
    </w:p>
    <w:p w:rsidRPr="002A64F1" w:rsidR="00E213F5" w:rsidP="00E1614D" w:rsidRDefault="004C7CB8" w14:paraId="1424D222" w14:textId="6D541EA4">
      <w:pPr>
        <w:pStyle w:val="Level1"/>
        <w:widowControl/>
        <w:numPr>
          <w:ilvl w:val="0"/>
          <w:numId w:val="2"/>
        </w:numPr>
        <w:ind w:hanging="450"/>
        <w:rPr>
          <w:rFonts w:ascii="Arial" w:hAnsi="Arial"/>
          <w:sz w:val="22"/>
        </w:rPr>
      </w:pPr>
      <w:r>
        <w:rPr>
          <w:rFonts w:ascii="Arial" w:hAnsi="Arial"/>
          <w:sz w:val="22"/>
          <w:u w:val="single"/>
        </w:rPr>
        <w:br w:type="column"/>
      </w:r>
      <w:r w:rsidR="00E213F5">
        <w:rPr>
          <w:rFonts w:ascii="Arial" w:hAnsi="Arial"/>
          <w:sz w:val="22"/>
          <w:u w:val="single"/>
        </w:rPr>
        <w:lastRenderedPageBreak/>
        <w:t>Estimated Annualized Cost to the Federal Government</w:t>
      </w:r>
    </w:p>
    <w:p w:rsidR="00A91E33" w:rsidP="004570C4" w:rsidRDefault="00A91E33" w14:paraId="41AFC396" w14:textId="26A58A93">
      <w:pPr>
        <w:pStyle w:val="Level1"/>
        <w:widowControl/>
        <w:ind w:left="1080"/>
        <w:rPr>
          <w:rFonts w:ascii="Arial" w:hAnsi="Arial"/>
          <w:sz w:val="22"/>
          <w:u w:val="single"/>
        </w:rPr>
      </w:pPr>
    </w:p>
    <w:p w:rsidR="00A91E33" w:rsidP="00A91E33" w:rsidRDefault="00A91E33" w14:paraId="0EEF2664" w14:textId="77777777">
      <w:pPr>
        <w:autoSpaceDE w:val="0"/>
        <w:autoSpaceDN w:val="0"/>
        <w:adjustRightInd w:val="0"/>
        <w:spacing w:line="240" w:lineRule="auto"/>
        <w:ind w:left="360" w:firstLine="720"/>
      </w:pPr>
      <w:r>
        <w:t>The staff has developed estimates of annualized costs to the Federal Government</w:t>
      </w:r>
    </w:p>
    <w:p w:rsidR="00A91E33" w:rsidP="00A91E33" w:rsidRDefault="00A91E33" w14:paraId="07A07617" w14:textId="77777777">
      <w:pPr>
        <w:autoSpaceDE w:val="0"/>
        <w:autoSpaceDN w:val="0"/>
        <w:adjustRightInd w:val="0"/>
        <w:spacing w:line="240" w:lineRule="auto"/>
        <w:ind w:left="360" w:firstLine="720"/>
      </w:pPr>
      <w:r>
        <w:t>related to the conduct of this collection of information. These estimates are based on</w:t>
      </w:r>
    </w:p>
    <w:p w:rsidR="00A91E33" w:rsidP="00A91E33" w:rsidRDefault="00A91E33" w14:paraId="31DF06D4" w14:textId="77777777">
      <w:pPr>
        <w:autoSpaceDE w:val="0"/>
        <w:autoSpaceDN w:val="0"/>
        <w:adjustRightInd w:val="0"/>
        <w:spacing w:line="240" w:lineRule="auto"/>
        <w:ind w:left="360" w:firstLine="720"/>
      </w:pPr>
      <w:r>
        <w:t>staff experience and subject matter expertise and include the burden needed to</w:t>
      </w:r>
    </w:p>
    <w:p w:rsidR="00A91E33" w:rsidP="00A91E33" w:rsidRDefault="00A91E33" w14:paraId="5415CEE0" w14:textId="77777777">
      <w:pPr>
        <w:autoSpaceDE w:val="0"/>
        <w:autoSpaceDN w:val="0"/>
        <w:adjustRightInd w:val="0"/>
        <w:spacing w:line="240" w:lineRule="auto"/>
        <w:ind w:left="360" w:firstLine="720"/>
      </w:pPr>
      <w:r>
        <w:t>review, analyze, and process the collected information and any relevant operational</w:t>
      </w:r>
    </w:p>
    <w:p w:rsidRPr="00AC69BA" w:rsidR="00E213F5" w:rsidP="00A91E33" w:rsidRDefault="00A91E33" w14:paraId="63AE5BBD" w14:textId="77777777">
      <w:pPr>
        <w:pStyle w:val="Level1"/>
        <w:widowControl/>
        <w:ind w:left="1080"/>
        <w:rPr>
          <w:rFonts w:ascii="Arial" w:hAnsi="Arial" w:cs="Arial"/>
          <w:sz w:val="22"/>
          <w:szCs w:val="22"/>
        </w:rPr>
      </w:pPr>
      <w:r w:rsidRPr="00AC69BA">
        <w:rPr>
          <w:rFonts w:ascii="Arial" w:hAnsi="Arial" w:cs="Arial"/>
          <w:sz w:val="22"/>
          <w:szCs w:val="22"/>
        </w:rPr>
        <w:t>expenses.</w:t>
      </w:r>
    </w:p>
    <w:p w:rsidR="00A91E33" w:rsidP="00A91E33" w:rsidRDefault="00A91E33" w14:paraId="33023EDF" w14:textId="215F4D17">
      <w:pPr>
        <w:pStyle w:val="Level1"/>
        <w:widowControl/>
        <w:ind w:left="1080"/>
        <w:rPr>
          <w:rFonts w:ascii="Arial" w:hAnsi="Arial"/>
          <w:sz w:val="22"/>
        </w:rPr>
      </w:pPr>
    </w:p>
    <w:p w:rsidRPr="008C4238" w:rsidR="00F17CA1" w:rsidP="00F17CA1" w:rsidRDefault="00F17CA1" w14:paraId="6738624C" w14:textId="77777777">
      <w:pPr>
        <w:pStyle w:val="BodyText"/>
        <w:ind w:left="1160"/>
      </w:pPr>
      <w:r w:rsidRPr="008C4238">
        <w:t>Total Annual cost - professional effort</w:t>
      </w:r>
    </w:p>
    <w:p w:rsidRPr="008C4238" w:rsidR="00F17CA1" w:rsidP="00F17CA1" w:rsidRDefault="00F17CA1" w14:paraId="791FF6EB" w14:textId="418ACC10">
      <w:pPr>
        <w:pStyle w:val="BodyText"/>
        <w:tabs>
          <w:tab w:val="left" w:pos="6919"/>
          <w:tab w:val="left" w:pos="7639"/>
        </w:tabs>
        <w:ind w:left="1160"/>
      </w:pPr>
      <w:r w:rsidRPr="008C4238">
        <w:t>(</w:t>
      </w:r>
      <w:r w:rsidR="0001794D">
        <w:t>100</w:t>
      </w:r>
      <w:r w:rsidRPr="008C4238">
        <w:rPr>
          <w:spacing w:val="-1"/>
        </w:rPr>
        <w:t xml:space="preserve"> </w:t>
      </w:r>
      <w:proofErr w:type="spellStart"/>
      <w:r w:rsidRPr="008C4238">
        <w:t>hrs</w:t>
      </w:r>
      <w:proofErr w:type="spellEnd"/>
      <w:r w:rsidR="00FD0C53">
        <w:t xml:space="preserve"> x</w:t>
      </w:r>
      <w:r w:rsidRPr="008C4238">
        <w:rPr>
          <w:spacing w:val="-2"/>
        </w:rPr>
        <w:t xml:space="preserve"> </w:t>
      </w:r>
      <w:r w:rsidRPr="008C4238">
        <w:t>$</w:t>
      </w:r>
      <w:r w:rsidR="00683FF5">
        <w:t>2</w:t>
      </w:r>
      <w:r w:rsidR="001A3814">
        <w:t>88</w:t>
      </w:r>
      <w:r w:rsidRPr="008C4238">
        <w:t>/hr.)</w:t>
      </w:r>
      <w:r w:rsidRPr="008C4238">
        <w:tab/>
        <w:t>=</w:t>
      </w:r>
      <w:r w:rsidRPr="008C4238">
        <w:tab/>
      </w:r>
      <w:r w:rsidR="0001794D">
        <w:t>$</w:t>
      </w:r>
      <w:r w:rsidR="00683FF5">
        <w:t>2</w:t>
      </w:r>
      <w:r w:rsidR="001A3814">
        <w:t>8</w:t>
      </w:r>
      <w:r w:rsidR="00683FF5">
        <w:t>,</w:t>
      </w:r>
      <w:r w:rsidR="001A3814">
        <w:t>8</w:t>
      </w:r>
      <w:r w:rsidR="00683FF5">
        <w:t>00</w:t>
      </w:r>
    </w:p>
    <w:p w:rsidR="0015638F" w:rsidP="00A91E33" w:rsidRDefault="0015638F" w14:paraId="3988BA0A" w14:textId="77777777">
      <w:pPr>
        <w:pStyle w:val="Level1"/>
        <w:widowControl/>
        <w:ind w:left="1080"/>
        <w:rPr>
          <w:rFonts w:ascii="Arial" w:hAnsi="Arial"/>
          <w:sz w:val="22"/>
        </w:rPr>
      </w:pPr>
    </w:p>
    <w:p w:rsidRPr="00E1614D" w:rsidR="00E213F5" w:rsidP="00E1614D" w:rsidRDefault="00E213F5" w14:paraId="7832C959" w14:textId="220E9F10">
      <w:pPr>
        <w:pStyle w:val="ListParagraph"/>
        <w:widowControl w:val="0"/>
        <w:numPr>
          <w:ilvl w:val="0"/>
          <w:numId w:val="2"/>
        </w:numPr>
        <w:spacing w:line="240" w:lineRule="auto"/>
        <w:ind w:hanging="450"/>
        <w:rPr>
          <w:u w:val="single"/>
        </w:rPr>
      </w:pPr>
      <w:r w:rsidRPr="00E1614D">
        <w:rPr>
          <w:u w:val="single"/>
        </w:rPr>
        <w:t>Reasons for Change in Burden or Cost</w:t>
      </w:r>
    </w:p>
    <w:p w:rsidR="00022026" w:rsidP="008E490A" w:rsidRDefault="00022026" w14:paraId="610DCA67" w14:textId="77777777">
      <w:pPr>
        <w:widowControl w:val="0"/>
      </w:pPr>
    </w:p>
    <w:p w:rsidRPr="00594502" w:rsidR="00E213F5" w:rsidP="00E213F5" w:rsidRDefault="006F0BC0" w14:paraId="329E7E60" w14:textId="09281081">
      <w:pPr>
        <w:widowControl w:val="0"/>
        <w:ind w:left="1080"/>
      </w:pPr>
      <w:r>
        <w:t>This is a new clearance.</w:t>
      </w:r>
    </w:p>
    <w:p w:rsidR="00E213F5" w:rsidP="00E213F5" w:rsidRDefault="00E213F5" w14:paraId="0562FD8C" w14:textId="77777777">
      <w:pPr>
        <w:widowControl w:val="0"/>
        <w:rPr>
          <w:u w:val="single"/>
        </w:rPr>
      </w:pPr>
    </w:p>
    <w:p w:rsidR="00EF0B64" w:rsidP="00E1614D" w:rsidRDefault="00E213F5" w14:paraId="4059D577" w14:textId="5C6CD380">
      <w:pPr>
        <w:pStyle w:val="Level1"/>
        <w:numPr>
          <w:ilvl w:val="0"/>
          <w:numId w:val="2"/>
        </w:numPr>
        <w:ind w:hanging="450"/>
        <w:rPr>
          <w:rFonts w:ascii="Arial" w:hAnsi="Arial"/>
          <w:sz w:val="22"/>
        </w:rPr>
      </w:pPr>
      <w:r>
        <w:rPr>
          <w:rFonts w:ascii="Arial" w:hAnsi="Arial"/>
          <w:sz w:val="22"/>
          <w:u w:val="single"/>
        </w:rPr>
        <w:t>Publication for Statistical Use</w:t>
      </w:r>
    </w:p>
    <w:p w:rsidRPr="008C4238" w:rsidR="004A1CB6" w:rsidP="00E2757D" w:rsidRDefault="004A1CB6" w14:paraId="430BFBD7" w14:textId="77777777">
      <w:pPr>
        <w:pStyle w:val="BodyText"/>
        <w:spacing w:before="93"/>
        <w:ind w:left="1080"/>
      </w:pPr>
      <w:r w:rsidRPr="008C4238">
        <w:t xml:space="preserve">There is no application of statistics in the information collected. </w:t>
      </w:r>
      <w:r>
        <w:t xml:space="preserve"> </w:t>
      </w:r>
      <w:r w:rsidRPr="008C4238">
        <w:t>There is no publication of this information.</w:t>
      </w:r>
    </w:p>
    <w:p w:rsidRPr="00850934" w:rsidR="00E213F5" w:rsidP="00E213F5" w:rsidRDefault="00E213F5" w14:paraId="6D471AA3" w14:textId="77777777">
      <w:pPr>
        <w:pStyle w:val="Level1"/>
        <w:rPr>
          <w:rFonts w:ascii="Arial" w:hAnsi="Arial"/>
          <w:sz w:val="22"/>
        </w:rPr>
      </w:pPr>
    </w:p>
    <w:p w:rsidR="009D1172" w:rsidP="00E1614D" w:rsidRDefault="00E213F5" w14:paraId="3DC5A58B" w14:textId="155E8378">
      <w:pPr>
        <w:pStyle w:val="Level1"/>
        <w:numPr>
          <w:ilvl w:val="0"/>
          <w:numId w:val="2"/>
        </w:numPr>
        <w:ind w:hanging="450"/>
        <w:rPr>
          <w:rFonts w:ascii="Arial" w:hAnsi="Arial"/>
          <w:sz w:val="22"/>
          <w:u w:val="single"/>
        </w:rPr>
      </w:pPr>
      <w:r>
        <w:rPr>
          <w:rFonts w:ascii="Arial" w:hAnsi="Arial"/>
          <w:sz w:val="22"/>
          <w:u w:val="single"/>
        </w:rPr>
        <w:t>Reason for Not Displaying the Expiration Date</w:t>
      </w:r>
    </w:p>
    <w:p w:rsidR="009D1172" w:rsidP="00E213F5" w:rsidRDefault="009D1172" w14:paraId="7DDE7B42" w14:textId="77777777">
      <w:pPr>
        <w:pStyle w:val="Level1"/>
        <w:ind w:left="1080"/>
        <w:rPr>
          <w:rFonts w:ascii="Arial" w:hAnsi="Arial"/>
          <w:sz w:val="22"/>
          <w:u w:val="single"/>
        </w:rPr>
      </w:pPr>
    </w:p>
    <w:p w:rsidRPr="00594502" w:rsidR="00E213F5" w:rsidP="00E213F5" w:rsidRDefault="000D0F57" w14:paraId="482F2398" w14:textId="626CAABA">
      <w:pPr>
        <w:pStyle w:val="Level1"/>
        <w:ind w:left="1080"/>
        <w:rPr>
          <w:rFonts w:ascii="Arial" w:hAnsi="Arial"/>
          <w:sz w:val="22"/>
        </w:rPr>
      </w:pPr>
      <w:r>
        <w:rPr>
          <w:rFonts w:ascii="Arial" w:hAnsi="Arial"/>
          <w:sz w:val="22"/>
        </w:rPr>
        <w:t>There are no forms currently required for the ITP.</w:t>
      </w:r>
    </w:p>
    <w:p w:rsidR="00EA65F3" w:rsidP="006D6C96" w:rsidRDefault="00EA65F3" w14:paraId="4EE9DC34" w14:textId="77777777">
      <w:pPr>
        <w:pStyle w:val="Level1"/>
        <w:ind w:left="1080"/>
        <w:rPr>
          <w:rFonts w:ascii="Arial" w:hAnsi="Arial"/>
          <w:sz w:val="22"/>
          <w:u w:val="single"/>
        </w:rPr>
      </w:pPr>
    </w:p>
    <w:p w:rsidR="00EA65F3" w:rsidP="00E1614D" w:rsidRDefault="00E213F5" w14:paraId="4218B278" w14:textId="70EB0F5D">
      <w:pPr>
        <w:pStyle w:val="Level1"/>
        <w:numPr>
          <w:ilvl w:val="0"/>
          <w:numId w:val="2"/>
        </w:numPr>
        <w:ind w:hanging="450"/>
        <w:rPr>
          <w:rFonts w:ascii="Arial" w:hAnsi="Arial"/>
          <w:sz w:val="22"/>
          <w:u w:val="single"/>
        </w:rPr>
      </w:pPr>
      <w:r>
        <w:rPr>
          <w:rFonts w:ascii="Arial" w:hAnsi="Arial"/>
          <w:sz w:val="22"/>
          <w:u w:val="single"/>
        </w:rPr>
        <w:t>Exceptions to the Certification Statement</w:t>
      </w:r>
    </w:p>
    <w:p w:rsidR="00EA65F3" w:rsidP="006D6C96" w:rsidRDefault="00EA65F3" w14:paraId="77D395F5" w14:textId="77777777">
      <w:pPr>
        <w:pStyle w:val="Level1"/>
        <w:ind w:left="1080"/>
        <w:rPr>
          <w:rFonts w:ascii="Arial" w:hAnsi="Arial"/>
          <w:sz w:val="22"/>
          <w:u w:val="single"/>
        </w:rPr>
      </w:pPr>
    </w:p>
    <w:p w:rsidRPr="006D6C96" w:rsidR="00E213F5" w:rsidP="006D6C96" w:rsidRDefault="00534924" w14:paraId="0E94402F" w14:textId="48838008">
      <w:pPr>
        <w:pStyle w:val="Level1"/>
        <w:ind w:left="1080"/>
        <w:rPr>
          <w:rFonts w:ascii="Arial" w:hAnsi="Arial"/>
          <w:sz w:val="22"/>
        </w:rPr>
      </w:pPr>
      <w:r>
        <w:rPr>
          <w:rFonts w:ascii="Arial" w:hAnsi="Arial"/>
          <w:sz w:val="22"/>
        </w:rPr>
        <w:t>There are no exceptions.</w:t>
      </w:r>
    </w:p>
    <w:p w:rsidR="00351AD5" w:rsidRDefault="00351AD5" w14:paraId="1ED60124" w14:textId="77777777"/>
    <w:p w:rsidR="009B2262" w:rsidP="001750A3" w:rsidRDefault="00F21F25" w14:paraId="4EBC3458" w14:textId="576F8A07">
      <w:r>
        <w:t>B</w:t>
      </w:r>
      <w:r w:rsidR="001750A3">
        <w:rPr>
          <w:b/>
          <w:bCs/>
        </w:rPr>
        <w:t>.</w:t>
      </w:r>
      <w:r w:rsidR="001750A3">
        <w:rPr>
          <w:b/>
          <w:bCs/>
        </w:rPr>
        <w:tab/>
      </w:r>
      <w:r w:rsidR="006516BA">
        <w:t>COLLECTIONS OF INFORMATION EMLOYING STATISTICAL METHODS</w:t>
      </w:r>
    </w:p>
    <w:p w:rsidR="00FA7DAE" w:rsidP="006516BA" w:rsidRDefault="00FA7DAE" w14:paraId="43CE680F" w14:textId="77777777">
      <w:pPr>
        <w:ind w:left="720"/>
      </w:pPr>
    </w:p>
    <w:p w:rsidR="006516BA" w:rsidP="006516BA" w:rsidRDefault="00FA7DAE" w14:paraId="40836378" w14:textId="0677FA6A">
      <w:pPr>
        <w:ind w:left="720"/>
      </w:pPr>
      <w:r>
        <w:t>Statistical methods are not used in this collection of information.</w:t>
      </w:r>
    </w:p>
    <w:p w:rsidR="00FA7DAE" w:rsidP="00FC3CC6" w:rsidRDefault="00FA7DAE" w14:paraId="5AFBBC69" w14:textId="77777777">
      <w:pPr>
        <w:ind w:left="720"/>
      </w:pPr>
    </w:p>
    <w:p w:rsidR="006516BA" w:rsidP="006516BA" w:rsidRDefault="006516BA" w14:paraId="0D14B12A" w14:textId="77777777"/>
    <w:p w:rsidR="006516BA" w:rsidP="00E74891" w:rsidRDefault="006516BA" w14:paraId="74027E04" w14:textId="0B8BCBC3">
      <w:pPr>
        <w:sectPr w:rsidR="006516BA" w:rsidSect="00D23A4A">
          <w:footerReference w:type="default" r:id="rId12"/>
          <w:pgSz w:w="12240" w:h="15840" w:code="1"/>
          <w:pgMar w:top="1440" w:right="1440" w:bottom="1440" w:left="1440" w:header="720" w:footer="720" w:gutter="0"/>
          <w:pgNumType w:start="1"/>
          <w:cols w:space="720"/>
          <w:titlePg/>
          <w:docGrid w:linePitch="360"/>
        </w:sectPr>
      </w:pPr>
    </w:p>
    <w:p w:rsidR="007C0818" w:rsidP="007C0818" w:rsidRDefault="007C0818" w14:paraId="7432E073" w14:textId="541B6ABA">
      <w:pPr>
        <w:pStyle w:val="BodyText"/>
        <w:spacing w:before="71"/>
        <w:ind w:left="3790" w:right="3909"/>
        <w:jc w:val="center"/>
      </w:pPr>
      <w:r>
        <w:lastRenderedPageBreak/>
        <w:t>TABLE 1 INSIDER THREAT PROGRAM ESTIMATE (REPORTING)</w:t>
      </w:r>
    </w:p>
    <w:p w:rsidR="007C0818" w:rsidP="007C0818" w:rsidRDefault="007C0818" w14:paraId="5ED98D84" w14:textId="77777777">
      <w:pPr>
        <w:jc w:val="right"/>
      </w:pPr>
    </w:p>
    <w:tbl>
      <w:tblPr>
        <w:tblW w:w="12060" w:type="dxa"/>
        <w:tblInd w:w="113" w:type="dxa"/>
        <w:tblLook w:val="04A0" w:firstRow="1" w:lastRow="0" w:firstColumn="1" w:lastColumn="0" w:noHBand="0" w:noVBand="1"/>
      </w:tblPr>
      <w:tblGrid>
        <w:gridCol w:w="1412"/>
        <w:gridCol w:w="2062"/>
        <w:gridCol w:w="1513"/>
        <w:gridCol w:w="2111"/>
        <w:gridCol w:w="1814"/>
        <w:gridCol w:w="1457"/>
        <w:gridCol w:w="1691"/>
      </w:tblGrid>
      <w:tr w:rsidRPr="00FB3FAD" w:rsidR="007C0818" w:rsidTr="00191E34" w14:paraId="07DAC026" w14:textId="77777777">
        <w:trPr>
          <w:trHeight w:val="828"/>
          <w:tblHeader/>
        </w:trPr>
        <w:tc>
          <w:tcPr>
            <w:tcW w:w="1412" w:type="dxa"/>
            <w:tcBorders>
              <w:top w:val="single" w:color="auto" w:sz="4" w:space="0"/>
              <w:left w:val="single" w:color="auto" w:sz="4" w:space="0"/>
              <w:bottom w:val="single" w:color="auto" w:sz="4" w:space="0"/>
              <w:right w:val="single" w:color="auto" w:sz="4" w:space="0"/>
            </w:tcBorders>
            <w:shd w:val="clear" w:color="000000" w:fill="E2EFDA"/>
            <w:vAlign w:val="center"/>
            <w:hideMark/>
          </w:tcPr>
          <w:p w:rsidRPr="00FB3FAD" w:rsidR="007C0818" w:rsidP="00191E34" w:rsidRDefault="007C0818" w14:paraId="5B16F6F7" w14:textId="77777777">
            <w:pPr>
              <w:jc w:val="center"/>
              <w:rPr>
                <w:rFonts w:eastAsia="Times New Roman"/>
                <w:color w:val="000000"/>
              </w:rPr>
            </w:pPr>
            <w:r w:rsidRPr="00FB3FAD">
              <w:rPr>
                <w:rFonts w:eastAsia="Times New Roman"/>
                <w:color w:val="000000"/>
              </w:rPr>
              <w:t>Section</w:t>
            </w:r>
          </w:p>
        </w:tc>
        <w:tc>
          <w:tcPr>
            <w:tcW w:w="2062" w:type="dxa"/>
            <w:tcBorders>
              <w:top w:val="single" w:color="auto" w:sz="4" w:space="0"/>
              <w:left w:val="nil"/>
              <w:bottom w:val="single" w:color="auto" w:sz="4" w:space="0"/>
              <w:right w:val="single" w:color="auto" w:sz="4" w:space="0"/>
            </w:tcBorders>
            <w:shd w:val="clear" w:color="000000" w:fill="E2EFDA"/>
            <w:vAlign w:val="center"/>
            <w:hideMark/>
          </w:tcPr>
          <w:p w:rsidRPr="00FB3FAD" w:rsidR="007C0818" w:rsidP="00191E34" w:rsidRDefault="007C0818" w14:paraId="1B0D3ECB" w14:textId="77777777">
            <w:pPr>
              <w:jc w:val="center"/>
              <w:rPr>
                <w:rFonts w:eastAsia="Times New Roman"/>
                <w:color w:val="000000"/>
              </w:rPr>
            </w:pPr>
            <w:r w:rsidRPr="00FB3FAD">
              <w:rPr>
                <w:rFonts w:eastAsia="Times New Roman"/>
                <w:color w:val="000000"/>
              </w:rPr>
              <w:t>Requirement</w:t>
            </w:r>
          </w:p>
        </w:tc>
        <w:tc>
          <w:tcPr>
            <w:tcW w:w="1513" w:type="dxa"/>
            <w:tcBorders>
              <w:top w:val="single" w:color="auto" w:sz="4" w:space="0"/>
              <w:left w:val="nil"/>
              <w:bottom w:val="single" w:color="auto" w:sz="4" w:space="0"/>
              <w:right w:val="single" w:color="auto" w:sz="4" w:space="0"/>
            </w:tcBorders>
            <w:shd w:val="clear" w:color="000000" w:fill="E2EFDA"/>
            <w:vAlign w:val="center"/>
            <w:hideMark/>
          </w:tcPr>
          <w:p w:rsidRPr="00FB3FAD" w:rsidR="007C0818" w:rsidP="00191E34" w:rsidRDefault="007C0818" w14:paraId="662EBC26" w14:textId="77777777">
            <w:pPr>
              <w:jc w:val="center"/>
              <w:rPr>
                <w:rFonts w:eastAsia="Times New Roman"/>
                <w:color w:val="000000"/>
              </w:rPr>
            </w:pPr>
            <w:r w:rsidRPr="00FB3FAD">
              <w:rPr>
                <w:rFonts w:eastAsia="Times New Roman"/>
                <w:color w:val="000000"/>
              </w:rPr>
              <w:t>No. of Respondents 20</w:t>
            </w:r>
            <w:r>
              <w:rPr>
                <w:rFonts w:eastAsia="Times New Roman"/>
                <w:color w:val="000000"/>
              </w:rPr>
              <w:t>21</w:t>
            </w:r>
          </w:p>
        </w:tc>
        <w:tc>
          <w:tcPr>
            <w:tcW w:w="2111" w:type="dxa"/>
            <w:tcBorders>
              <w:top w:val="single" w:color="auto" w:sz="4" w:space="0"/>
              <w:left w:val="nil"/>
              <w:bottom w:val="single" w:color="auto" w:sz="4" w:space="0"/>
              <w:right w:val="single" w:color="auto" w:sz="4" w:space="0"/>
            </w:tcBorders>
            <w:shd w:val="clear" w:color="000000" w:fill="E2EFDA"/>
            <w:vAlign w:val="center"/>
            <w:hideMark/>
          </w:tcPr>
          <w:p w:rsidRPr="00FB3FAD" w:rsidR="007C0818" w:rsidP="00191E34" w:rsidRDefault="007C0818" w14:paraId="29F4E5CF" w14:textId="77777777">
            <w:pPr>
              <w:jc w:val="center"/>
              <w:rPr>
                <w:rFonts w:eastAsia="Times New Roman"/>
                <w:color w:val="000000"/>
              </w:rPr>
            </w:pPr>
            <w:r w:rsidRPr="00FB3FAD">
              <w:rPr>
                <w:rFonts w:eastAsia="Times New Roman"/>
                <w:color w:val="000000"/>
              </w:rPr>
              <w:t xml:space="preserve">Responses Per Respondent </w:t>
            </w:r>
            <w:r>
              <w:rPr>
                <w:rFonts w:eastAsia="Times New Roman"/>
                <w:color w:val="000000"/>
              </w:rPr>
              <w:t>2021</w:t>
            </w:r>
          </w:p>
        </w:tc>
        <w:tc>
          <w:tcPr>
            <w:tcW w:w="1814" w:type="dxa"/>
            <w:tcBorders>
              <w:top w:val="single" w:color="auto" w:sz="4" w:space="0"/>
              <w:left w:val="nil"/>
              <w:bottom w:val="single" w:color="auto" w:sz="4" w:space="0"/>
              <w:right w:val="single" w:color="auto" w:sz="4" w:space="0"/>
            </w:tcBorders>
            <w:shd w:val="clear" w:color="000000" w:fill="E2EFDA"/>
            <w:vAlign w:val="center"/>
            <w:hideMark/>
          </w:tcPr>
          <w:p w:rsidRPr="00FB3FAD" w:rsidR="007C0818" w:rsidP="00191E34" w:rsidRDefault="007C0818" w14:paraId="3320EE2C" w14:textId="77777777">
            <w:pPr>
              <w:jc w:val="center"/>
              <w:rPr>
                <w:rFonts w:eastAsia="Times New Roman"/>
                <w:color w:val="000000"/>
              </w:rPr>
            </w:pPr>
            <w:r w:rsidRPr="00FB3FAD">
              <w:rPr>
                <w:rFonts w:eastAsia="Times New Roman"/>
                <w:color w:val="000000"/>
              </w:rPr>
              <w:t xml:space="preserve">No. of Responses </w:t>
            </w:r>
            <w:r>
              <w:rPr>
                <w:rFonts w:eastAsia="Times New Roman"/>
                <w:color w:val="000000"/>
              </w:rPr>
              <w:t>2021</w:t>
            </w:r>
          </w:p>
        </w:tc>
        <w:tc>
          <w:tcPr>
            <w:tcW w:w="1457" w:type="dxa"/>
            <w:tcBorders>
              <w:top w:val="single" w:color="auto" w:sz="4" w:space="0"/>
              <w:left w:val="nil"/>
              <w:bottom w:val="single" w:color="auto" w:sz="4" w:space="0"/>
              <w:right w:val="single" w:color="auto" w:sz="4" w:space="0"/>
            </w:tcBorders>
            <w:shd w:val="clear" w:color="000000" w:fill="E2EFDA"/>
            <w:vAlign w:val="center"/>
            <w:hideMark/>
          </w:tcPr>
          <w:p w:rsidRPr="00FB3FAD" w:rsidR="007C0818" w:rsidP="00191E34" w:rsidRDefault="007C0818" w14:paraId="115DDBC3" w14:textId="77777777">
            <w:pPr>
              <w:jc w:val="center"/>
              <w:rPr>
                <w:rFonts w:eastAsia="Times New Roman"/>
                <w:color w:val="000000"/>
              </w:rPr>
            </w:pPr>
            <w:r w:rsidRPr="00FB3FAD">
              <w:rPr>
                <w:rFonts w:eastAsia="Times New Roman"/>
                <w:color w:val="000000"/>
              </w:rPr>
              <w:t xml:space="preserve">Burden Per Response </w:t>
            </w:r>
            <w:r>
              <w:rPr>
                <w:rFonts w:eastAsia="Times New Roman"/>
                <w:color w:val="000000"/>
              </w:rPr>
              <w:t>2021(Hours)</w:t>
            </w:r>
          </w:p>
        </w:tc>
        <w:tc>
          <w:tcPr>
            <w:tcW w:w="1691" w:type="dxa"/>
            <w:tcBorders>
              <w:top w:val="single" w:color="auto" w:sz="4" w:space="0"/>
              <w:left w:val="nil"/>
              <w:bottom w:val="single" w:color="auto" w:sz="4" w:space="0"/>
              <w:right w:val="single" w:color="auto" w:sz="4" w:space="0"/>
            </w:tcBorders>
            <w:shd w:val="clear" w:color="000000" w:fill="E2EFDA"/>
            <w:vAlign w:val="center"/>
            <w:hideMark/>
          </w:tcPr>
          <w:p w:rsidRPr="00FB3FAD" w:rsidR="007C0818" w:rsidP="00191E34" w:rsidRDefault="007C0818" w14:paraId="58C49025" w14:textId="77777777">
            <w:pPr>
              <w:jc w:val="center"/>
              <w:rPr>
                <w:rFonts w:eastAsia="Times New Roman"/>
                <w:color w:val="000000"/>
              </w:rPr>
            </w:pPr>
            <w:r w:rsidRPr="00FB3FAD">
              <w:rPr>
                <w:rFonts w:eastAsia="Times New Roman"/>
                <w:color w:val="000000"/>
              </w:rPr>
              <w:t xml:space="preserve">Total Annual Burden </w:t>
            </w:r>
            <w:proofErr w:type="spellStart"/>
            <w:r w:rsidRPr="00FB3FAD">
              <w:rPr>
                <w:rFonts w:eastAsia="Times New Roman"/>
                <w:color w:val="000000"/>
              </w:rPr>
              <w:t>Hrs</w:t>
            </w:r>
            <w:proofErr w:type="spellEnd"/>
            <w:r w:rsidRPr="00FB3FAD">
              <w:rPr>
                <w:rFonts w:eastAsia="Times New Roman"/>
                <w:color w:val="000000"/>
              </w:rPr>
              <w:t xml:space="preserve"> </w:t>
            </w:r>
            <w:r>
              <w:rPr>
                <w:rFonts w:eastAsia="Times New Roman"/>
                <w:color w:val="000000"/>
              </w:rPr>
              <w:t>2021</w:t>
            </w:r>
          </w:p>
        </w:tc>
      </w:tr>
      <w:tr w:rsidRPr="00FB3FAD" w:rsidR="007C0818" w:rsidTr="00191E34" w14:paraId="6D4EC9F2" w14:textId="77777777">
        <w:trPr>
          <w:trHeight w:val="276"/>
        </w:trPr>
        <w:tc>
          <w:tcPr>
            <w:tcW w:w="1412" w:type="dxa"/>
            <w:tcBorders>
              <w:top w:val="nil"/>
              <w:left w:val="single" w:color="auto" w:sz="4" w:space="0"/>
              <w:bottom w:val="single" w:color="auto" w:sz="4" w:space="0"/>
              <w:right w:val="single" w:color="auto" w:sz="4" w:space="0"/>
            </w:tcBorders>
            <w:shd w:val="clear" w:color="auto" w:fill="auto"/>
            <w:vAlign w:val="center"/>
          </w:tcPr>
          <w:p w:rsidRPr="00FB3FAD" w:rsidR="007C0818" w:rsidP="00191E34" w:rsidRDefault="007C0818" w14:paraId="6E0A2A13"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1-202.b</w:t>
            </w:r>
          </w:p>
        </w:tc>
        <w:tc>
          <w:tcPr>
            <w:tcW w:w="2062" w:type="dxa"/>
            <w:tcBorders>
              <w:top w:val="nil"/>
              <w:left w:val="nil"/>
              <w:bottom w:val="single" w:color="auto" w:sz="4" w:space="0"/>
              <w:right w:val="single" w:color="auto" w:sz="4" w:space="0"/>
            </w:tcBorders>
            <w:shd w:val="clear" w:color="auto" w:fill="auto"/>
            <w:vAlign w:val="center"/>
          </w:tcPr>
          <w:p w:rsidR="007C0818" w:rsidP="00191E34" w:rsidRDefault="00C44617" w14:paraId="16FD048E" w14:textId="3857A7B9">
            <w:pPr>
              <w:adjustRightInd w:val="0"/>
              <w:rPr>
                <w:rFonts w:ascii="ArialMT" w:hAnsi="ArialMT" w:cs="ArialMT"/>
              </w:rPr>
            </w:pPr>
            <w:r>
              <w:rPr>
                <w:rFonts w:ascii="ArialMT" w:hAnsi="ArialMT" w:cs="ArialMT"/>
              </w:rPr>
              <w:t xml:space="preserve">Establish program including </w:t>
            </w:r>
            <w:r w:rsidR="00BB54D3">
              <w:rPr>
                <w:rFonts w:ascii="ArialMT" w:hAnsi="ArialMT" w:cs="ArialMT"/>
              </w:rPr>
              <w:t>f</w:t>
            </w:r>
            <w:r w:rsidR="007C0818">
              <w:rPr>
                <w:rFonts w:ascii="ArialMT" w:hAnsi="ArialMT" w:cs="ArialMT"/>
              </w:rPr>
              <w:t>ormal appointment</w:t>
            </w:r>
            <w:r w:rsidR="00762A7E">
              <w:rPr>
                <w:rFonts w:ascii="ArialMT" w:hAnsi="ArialMT" w:cs="ArialMT"/>
              </w:rPr>
              <w:t xml:space="preserve"> and training</w:t>
            </w:r>
            <w:r w:rsidR="007C0818">
              <w:rPr>
                <w:rFonts w:ascii="ArialMT" w:hAnsi="ArialMT" w:cs="ArialMT"/>
              </w:rPr>
              <w:t xml:space="preserve"> by the licensee of an ITP senior official (ITPSO) who is a U.S.</w:t>
            </w:r>
          </w:p>
          <w:p w:rsidRPr="00FB3FAD" w:rsidR="007C0818" w:rsidP="00191E34" w:rsidRDefault="007C0818" w14:paraId="03A47390" w14:textId="77777777">
            <w:pPr>
              <w:rPr>
                <w:rFonts w:eastAsia="Times New Roman"/>
                <w:color w:val="000000"/>
              </w:rPr>
            </w:pPr>
            <w:r>
              <w:rPr>
                <w:rFonts w:ascii="ArialMT" w:hAnsi="ArialMT" w:cs="ArialMT"/>
              </w:rPr>
              <w:t>citizen employee and a senior official of the company.</w:t>
            </w:r>
          </w:p>
        </w:tc>
        <w:tc>
          <w:tcPr>
            <w:tcW w:w="1513"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56F202B9" w14:textId="77777777">
            <w:pPr>
              <w:jc w:val="center"/>
              <w:rPr>
                <w:rFonts w:eastAsia="Times New Roman"/>
                <w:color w:val="000000"/>
              </w:rPr>
            </w:pPr>
            <w:r>
              <w:rPr>
                <w:rFonts w:eastAsia="Times New Roman"/>
                <w:color w:val="000000"/>
              </w:rPr>
              <w:t>28</w:t>
            </w:r>
          </w:p>
        </w:tc>
        <w:tc>
          <w:tcPr>
            <w:tcW w:w="2111"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1D5F61E1" w14:textId="77777777">
            <w:pPr>
              <w:jc w:val="center"/>
              <w:rPr>
                <w:rFonts w:eastAsia="Times New Roman"/>
                <w:color w:val="000000"/>
              </w:rPr>
            </w:pPr>
            <w:r>
              <w:rPr>
                <w:rFonts w:eastAsia="Times New Roman"/>
                <w:color w:val="000000"/>
              </w:rPr>
              <w:t>1</w:t>
            </w:r>
          </w:p>
        </w:tc>
        <w:tc>
          <w:tcPr>
            <w:tcW w:w="1814"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6F3AB313" w14:textId="77777777">
            <w:pPr>
              <w:jc w:val="center"/>
              <w:rPr>
                <w:rFonts w:eastAsia="Times New Roman"/>
                <w:color w:val="000000"/>
              </w:rPr>
            </w:pPr>
            <w:r>
              <w:rPr>
                <w:rFonts w:eastAsia="Times New Roman"/>
                <w:color w:val="000000"/>
              </w:rPr>
              <w:t>28</w:t>
            </w:r>
          </w:p>
        </w:tc>
        <w:tc>
          <w:tcPr>
            <w:tcW w:w="1457" w:type="dxa"/>
            <w:tcBorders>
              <w:top w:val="nil"/>
              <w:left w:val="nil"/>
              <w:bottom w:val="single" w:color="auto" w:sz="4" w:space="0"/>
              <w:right w:val="single" w:color="auto" w:sz="4" w:space="0"/>
            </w:tcBorders>
            <w:shd w:val="clear" w:color="auto" w:fill="auto"/>
            <w:vAlign w:val="center"/>
          </w:tcPr>
          <w:p w:rsidRPr="00FB3FAD" w:rsidR="007C0818" w:rsidP="00191E34" w:rsidRDefault="00A9254C" w14:paraId="39F4E4E7" w14:textId="49FC6173">
            <w:pPr>
              <w:jc w:val="center"/>
              <w:rPr>
                <w:rFonts w:eastAsia="Times New Roman"/>
                <w:color w:val="000000"/>
              </w:rPr>
            </w:pPr>
            <w:r>
              <w:rPr>
                <w:rFonts w:eastAsia="Times New Roman"/>
                <w:color w:val="000000"/>
              </w:rPr>
              <w:t>24.25</w:t>
            </w:r>
          </w:p>
        </w:tc>
        <w:tc>
          <w:tcPr>
            <w:tcW w:w="1691" w:type="dxa"/>
            <w:tcBorders>
              <w:top w:val="nil"/>
              <w:left w:val="nil"/>
              <w:bottom w:val="single" w:color="auto" w:sz="4" w:space="0"/>
              <w:right w:val="single" w:color="auto" w:sz="4" w:space="0"/>
            </w:tcBorders>
            <w:shd w:val="clear" w:color="auto" w:fill="auto"/>
            <w:vAlign w:val="center"/>
          </w:tcPr>
          <w:p w:rsidRPr="00FB3FAD" w:rsidR="007C0818" w:rsidP="00191E34" w:rsidRDefault="0022273C" w14:paraId="02FE3548" w14:textId="30D7534F">
            <w:pPr>
              <w:jc w:val="center"/>
              <w:rPr>
                <w:rFonts w:eastAsia="Times New Roman"/>
                <w:color w:val="000000"/>
              </w:rPr>
            </w:pPr>
            <w:r>
              <w:rPr>
                <w:rFonts w:eastAsia="Times New Roman"/>
                <w:color w:val="000000"/>
              </w:rPr>
              <w:t>679</w:t>
            </w:r>
          </w:p>
        </w:tc>
      </w:tr>
      <w:tr w:rsidRPr="00FB3FAD" w:rsidR="007C0818" w:rsidTr="00191E34" w14:paraId="6D4B997A" w14:textId="77777777">
        <w:trPr>
          <w:trHeight w:val="828"/>
        </w:trPr>
        <w:tc>
          <w:tcPr>
            <w:tcW w:w="1412" w:type="dxa"/>
            <w:tcBorders>
              <w:top w:val="nil"/>
              <w:left w:val="single" w:color="auto" w:sz="4" w:space="0"/>
              <w:bottom w:val="single" w:color="auto" w:sz="4" w:space="0"/>
              <w:right w:val="single" w:color="auto" w:sz="4" w:space="0"/>
            </w:tcBorders>
            <w:shd w:val="clear" w:color="auto" w:fill="auto"/>
            <w:vAlign w:val="center"/>
          </w:tcPr>
          <w:p w:rsidRPr="00FB3FAD" w:rsidR="007C0818" w:rsidP="00191E34" w:rsidRDefault="007C0818" w14:paraId="02A62B00"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1-207.b</w:t>
            </w:r>
          </w:p>
        </w:tc>
        <w:tc>
          <w:tcPr>
            <w:tcW w:w="2062"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3BCC6090" w14:textId="77777777">
            <w:pPr>
              <w:rPr>
                <w:rFonts w:eastAsia="Times New Roman"/>
                <w:color w:val="000000"/>
              </w:rPr>
            </w:pPr>
            <w:r>
              <w:rPr>
                <w:rFonts w:ascii="ArialMT" w:hAnsi="ArialMT" w:cs="ArialMT"/>
              </w:rPr>
              <w:t>Annual licensee self-review including self-inspection of the ITP.</w:t>
            </w:r>
          </w:p>
        </w:tc>
        <w:tc>
          <w:tcPr>
            <w:tcW w:w="1513"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2AA14BAF" w14:textId="77777777">
            <w:pPr>
              <w:jc w:val="center"/>
              <w:rPr>
                <w:rFonts w:eastAsia="Times New Roman"/>
                <w:color w:val="000000"/>
              </w:rPr>
            </w:pPr>
            <w:r>
              <w:rPr>
                <w:rFonts w:eastAsia="Times New Roman"/>
                <w:color w:val="000000"/>
              </w:rPr>
              <w:t>28</w:t>
            </w:r>
          </w:p>
        </w:tc>
        <w:tc>
          <w:tcPr>
            <w:tcW w:w="2111"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08E13B1D" w14:textId="77777777">
            <w:pPr>
              <w:jc w:val="center"/>
              <w:rPr>
                <w:rFonts w:eastAsia="Times New Roman"/>
                <w:color w:val="000000"/>
              </w:rPr>
            </w:pPr>
            <w:r>
              <w:rPr>
                <w:rFonts w:eastAsia="Times New Roman"/>
                <w:color w:val="000000"/>
              </w:rPr>
              <w:t>1</w:t>
            </w:r>
          </w:p>
        </w:tc>
        <w:tc>
          <w:tcPr>
            <w:tcW w:w="1814"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43A58666" w14:textId="77777777">
            <w:pPr>
              <w:jc w:val="center"/>
              <w:rPr>
                <w:rFonts w:eastAsia="Times New Roman"/>
                <w:color w:val="000000"/>
              </w:rPr>
            </w:pPr>
            <w:r>
              <w:rPr>
                <w:rFonts w:eastAsia="Times New Roman"/>
                <w:color w:val="000000"/>
              </w:rPr>
              <w:t>28</w:t>
            </w:r>
          </w:p>
        </w:tc>
        <w:tc>
          <w:tcPr>
            <w:tcW w:w="1457"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4021E01B" w14:textId="095C7644">
            <w:pPr>
              <w:jc w:val="center"/>
              <w:rPr>
                <w:rFonts w:eastAsia="Times New Roman"/>
                <w:color w:val="000000"/>
              </w:rPr>
            </w:pPr>
            <w:r>
              <w:rPr>
                <w:rFonts w:eastAsia="Times New Roman"/>
                <w:color w:val="000000"/>
              </w:rPr>
              <w:t>16</w:t>
            </w:r>
          </w:p>
        </w:tc>
        <w:tc>
          <w:tcPr>
            <w:tcW w:w="1691"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6E9F389C" w14:textId="77777777">
            <w:pPr>
              <w:jc w:val="center"/>
              <w:rPr>
                <w:rFonts w:eastAsia="Times New Roman"/>
                <w:color w:val="000000"/>
              </w:rPr>
            </w:pPr>
            <w:r>
              <w:rPr>
                <w:rFonts w:eastAsia="Times New Roman"/>
                <w:color w:val="000000"/>
              </w:rPr>
              <w:t>448</w:t>
            </w:r>
          </w:p>
        </w:tc>
      </w:tr>
      <w:tr w:rsidRPr="00FB3FAD" w:rsidR="007C0818" w:rsidTr="00191E34" w14:paraId="5FA4CA9D" w14:textId="77777777">
        <w:trPr>
          <w:trHeight w:val="828"/>
        </w:trPr>
        <w:tc>
          <w:tcPr>
            <w:tcW w:w="1412" w:type="dxa"/>
            <w:tcBorders>
              <w:top w:val="nil"/>
              <w:left w:val="single" w:color="auto" w:sz="4" w:space="0"/>
              <w:bottom w:val="single" w:color="auto" w:sz="4" w:space="0"/>
              <w:right w:val="single" w:color="auto" w:sz="4" w:space="0"/>
            </w:tcBorders>
            <w:shd w:val="clear" w:color="auto" w:fill="auto"/>
            <w:vAlign w:val="center"/>
          </w:tcPr>
          <w:p w:rsidRPr="00FB3FAD" w:rsidR="007C0818" w:rsidP="00191E34" w:rsidRDefault="007C0818" w14:paraId="22CF9E9F"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1-300</w:t>
            </w:r>
          </w:p>
        </w:tc>
        <w:tc>
          <w:tcPr>
            <w:tcW w:w="2062"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1204F0D6" w14:textId="77777777">
            <w:pPr>
              <w:rPr>
                <w:rFonts w:eastAsia="Times New Roman"/>
                <w:color w:val="000000"/>
              </w:rPr>
            </w:pPr>
            <w:r>
              <w:rPr>
                <w:rFonts w:ascii="ArialMT" w:hAnsi="ArialMT" w:cs="ArialMT"/>
              </w:rPr>
              <w:t>Requirements to report to the NRC any detection of an insider threat to the licensee</w:t>
            </w:r>
          </w:p>
        </w:tc>
        <w:tc>
          <w:tcPr>
            <w:tcW w:w="1513"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6298089F" w14:textId="77777777">
            <w:pPr>
              <w:jc w:val="center"/>
              <w:rPr>
                <w:rFonts w:eastAsia="Times New Roman"/>
                <w:color w:val="000000"/>
              </w:rPr>
            </w:pPr>
            <w:r>
              <w:rPr>
                <w:rFonts w:eastAsia="Times New Roman"/>
                <w:color w:val="000000"/>
              </w:rPr>
              <w:t>28</w:t>
            </w:r>
          </w:p>
        </w:tc>
        <w:tc>
          <w:tcPr>
            <w:tcW w:w="2111" w:type="dxa"/>
            <w:tcBorders>
              <w:top w:val="nil"/>
              <w:left w:val="nil"/>
              <w:bottom w:val="single" w:color="auto" w:sz="4" w:space="0"/>
              <w:right w:val="single" w:color="auto" w:sz="4" w:space="0"/>
            </w:tcBorders>
            <w:shd w:val="clear" w:color="auto" w:fill="auto"/>
            <w:vAlign w:val="center"/>
          </w:tcPr>
          <w:p w:rsidRPr="00FB3FAD" w:rsidR="007C0818" w:rsidP="00191E34" w:rsidRDefault="00B37C32" w14:paraId="7D8FB584" w14:textId="13A78AAD">
            <w:pPr>
              <w:jc w:val="center"/>
              <w:rPr>
                <w:rFonts w:eastAsia="Times New Roman"/>
                <w:color w:val="000000"/>
              </w:rPr>
            </w:pPr>
            <w:r>
              <w:rPr>
                <w:rFonts w:eastAsia="Times New Roman"/>
                <w:color w:val="000000"/>
              </w:rPr>
              <w:t>.1</w:t>
            </w:r>
          </w:p>
        </w:tc>
        <w:tc>
          <w:tcPr>
            <w:tcW w:w="1814"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0D338F87" w14:textId="77777777">
            <w:pPr>
              <w:jc w:val="center"/>
              <w:rPr>
                <w:rFonts w:eastAsia="Times New Roman"/>
                <w:color w:val="000000"/>
              </w:rPr>
            </w:pPr>
            <w:r>
              <w:rPr>
                <w:rFonts w:eastAsia="Times New Roman"/>
                <w:color w:val="000000"/>
              </w:rPr>
              <w:t>3</w:t>
            </w:r>
          </w:p>
        </w:tc>
        <w:tc>
          <w:tcPr>
            <w:tcW w:w="1457"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0E15EA37" w14:textId="77777777">
            <w:pPr>
              <w:jc w:val="center"/>
              <w:rPr>
                <w:rFonts w:eastAsia="Times New Roman"/>
                <w:color w:val="000000"/>
              </w:rPr>
            </w:pPr>
            <w:r>
              <w:rPr>
                <w:rFonts w:eastAsia="Times New Roman"/>
                <w:color w:val="000000"/>
              </w:rPr>
              <w:t>1</w:t>
            </w:r>
          </w:p>
        </w:tc>
        <w:tc>
          <w:tcPr>
            <w:tcW w:w="1691"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79C6EDFC" w14:textId="77777777">
            <w:pPr>
              <w:jc w:val="center"/>
              <w:rPr>
                <w:rFonts w:eastAsia="Times New Roman"/>
                <w:color w:val="000000"/>
              </w:rPr>
            </w:pPr>
            <w:r>
              <w:rPr>
                <w:rFonts w:eastAsia="Times New Roman"/>
                <w:color w:val="000000"/>
              </w:rPr>
              <w:t>3</w:t>
            </w:r>
          </w:p>
        </w:tc>
      </w:tr>
      <w:tr w:rsidRPr="00FB3FAD" w:rsidR="007C0818" w:rsidTr="00191E34" w14:paraId="70FA0B05" w14:textId="77777777">
        <w:trPr>
          <w:trHeight w:val="552"/>
        </w:trPr>
        <w:tc>
          <w:tcPr>
            <w:tcW w:w="1412" w:type="dxa"/>
            <w:tcBorders>
              <w:top w:val="nil"/>
              <w:left w:val="single" w:color="auto" w:sz="4" w:space="0"/>
              <w:bottom w:val="single" w:color="auto" w:sz="4" w:space="0"/>
              <w:right w:val="single" w:color="auto" w:sz="4" w:space="0"/>
            </w:tcBorders>
            <w:shd w:val="clear" w:color="auto" w:fill="auto"/>
            <w:vAlign w:val="center"/>
          </w:tcPr>
          <w:p w:rsidRPr="00FB3FAD" w:rsidR="007C0818" w:rsidP="00191E34" w:rsidRDefault="007C0818" w14:paraId="4FFDE2CB"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8-100.d</w:t>
            </w:r>
          </w:p>
        </w:tc>
        <w:tc>
          <w:tcPr>
            <w:tcW w:w="2062"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59F265F4" w14:textId="264DCCD5">
            <w:pPr>
              <w:rPr>
                <w:rFonts w:eastAsia="Times New Roman"/>
                <w:color w:val="000000"/>
              </w:rPr>
            </w:pPr>
            <w:r>
              <w:rPr>
                <w:rFonts w:eastAsia="Times New Roman"/>
                <w:color w:val="000000"/>
              </w:rPr>
              <w:t xml:space="preserve">Monitor user activity on classified </w:t>
            </w:r>
            <w:r w:rsidR="00D21F6B">
              <w:rPr>
                <w:rFonts w:eastAsia="Times New Roman"/>
                <w:color w:val="000000"/>
              </w:rPr>
              <w:t>IS</w:t>
            </w:r>
          </w:p>
        </w:tc>
        <w:tc>
          <w:tcPr>
            <w:tcW w:w="1513" w:type="dxa"/>
            <w:tcBorders>
              <w:top w:val="nil"/>
              <w:left w:val="nil"/>
              <w:bottom w:val="single" w:color="auto" w:sz="4" w:space="0"/>
              <w:right w:val="single" w:color="auto" w:sz="4" w:space="0"/>
            </w:tcBorders>
            <w:shd w:val="clear" w:color="auto" w:fill="auto"/>
            <w:vAlign w:val="center"/>
          </w:tcPr>
          <w:p w:rsidRPr="00FB3FAD" w:rsidR="007C0818" w:rsidP="00191E34" w:rsidRDefault="007C0818" w14:paraId="433E242C" w14:textId="77777777">
            <w:pPr>
              <w:jc w:val="center"/>
              <w:rPr>
                <w:rFonts w:eastAsia="Times New Roman"/>
                <w:color w:val="000000"/>
              </w:rPr>
            </w:pPr>
            <w:r>
              <w:rPr>
                <w:rFonts w:eastAsia="Times New Roman"/>
                <w:color w:val="000000"/>
              </w:rPr>
              <w:t>3</w:t>
            </w:r>
          </w:p>
        </w:tc>
        <w:tc>
          <w:tcPr>
            <w:tcW w:w="2111" w:type="dxa"/>
            <w:tcBorders>
              <w:top w:val="nil"/>
              <w:left w:val="nil"/>
              <w:bottom w:val="single" w:color="auto" w:sz="4" w:space="0"/>
              <w:right w:val="single" w:color="auto" w:sz="4" w:space="0"/>
            </w:tcBorders>
            <w:shd w:val="clear" w:color="auto" w:fill="auto"/>
            <w:vAlign w:val="center"/>
          </w:tcPr>
          <w:p w:rsidRPr="00FB3FAD" w:rsidR="007C0818" w:rsidP="00191E34" w:rsidRDefault="007F458B" w14:paraId="41FE805B" w14:textId="65423FAE">
            <w:pPr>
              <w:jc w:val="center"/>
              <w:rPr>
                <w:rFonts w:eastAsia="Times New Roman"/>
                <w:color w:val="000000"/>
              </w:rPr>
            </w:pPr>
            <w:r>
              <w:rPr>
                <w:rFonts w:eastAsia="Times New Roman"/>
                <w:color w:val="000000"/>
              </w:rPr>
              <w:t>4</w:t>
            </w:r>
          </w:p>
        </w:tc>
        <w:tc>
          <w:tcPr>
            <w:tcW w:w="1814" w:type="dxa"/>
            <w:tcBorders>
              <w:top w:val="nil"/>
              <w:left w:val="nil"/>
              <w:bottom w:val="single" w:color="auto" w:sz="4" w:space="0"/>
              <w:right w:val="single" w:color="auto" w:sz="4" w:space="0"/>
            </w:tcBorders>
            <w:shd w:val="clear" w:color="auto" w:fill="auto"/>
            <w:vAlign w:val="center"/>
          </w:tcPr>
          <w:p w:rsidRPr="00FB3FAD" w:rsidR="007C0818" w:rsidP="00191E34" w:rsidRDefault="0070372D" w14:paraId="5B8EEAC3" w14:textId="70F32615">
            <w:pPr>
              <w:jc w:val="center"/>
              <w:rPr>
                <w:rFonts w:eastAsia="Times New Roman"/>
                <w:color w:val="000000"/>
              </w:rPr>
            </w:pPr>
            <w:r>
              <w:rPr>
                <w:rFonts w:eastAsia="Times New Roman"/>
                <w:color w:val="000000"/>
              </w:rPr>
              <w:t>12</w:t>
            </w:r>
          </w:p>
        </w:tc>
        <w:tc>
          <w:tcPr>
            <w:tcW w:w="1457" w:type="dxa"/>
            <w:tcBorders>
              <w:top w:val="nil"/>
              <w:left w:val="nil"/>
              <w:bottom w:val="single" w:color="auto" w:sz="4" w:space="0"/>
              <w:right w:val="single" w:color="auto" w:sz="4" w:space="0"/>
            </w:tcBorders>
            <w:shd w:val="clear" w:color="auto" w:fill="auto"/>
            <w:vAlign w:val="center"/>
          </w:tcPr>
          <w:p w:rsidRPr="00FB3FAD" w:rsidR="007C0818" w:rsidP="00191E34" w:rsidRDefault="00ED5C02" w14:paraId="14D13487" w14:textId="07512425">
            <w:pPr>
              <w:jc w:val="center"/>
              <w:rPr>
                <w:rFonts w:eastAsia="Times New Roman"/>
                <w:color w:val="000000"/>
              </w:rPr>
            </w:pPr>
            <w:r>
              <w:rPr>
                <w:rFonts w:eastAsia="Times New Roman"/>
                <w:color w:val="000000"/>
              </w:rPr>
              <w:t>125</w:t>
            </w:r>
          </w:p>
        </w:tc>
        <w:tc>
          <w:tcPr>
            <w:tcW w:w="1691" w:type="dxa"/>
            <w:tcBorders>
              <w:top w:val="nil"/>
              <w:left w:val="nil"/>
              <w:bottom w:val="single" w:color="auto" w:sz="4" w:space="0"/>
              <w:right w:val="single" w:color="auto" w:sz="4" w:space="0"/>
            </w:tcBorders>
            <w:shd w:val="clear" w:color="auto" w:fill="auto"/>
            <w:vAlign w:val="center"/>
          </w:tcPr>
          <w:p w:rsidRPr="00FB3FAD" w:rsidR="007C0818" w:rsidP="00191E34" w:rsidRDefault="00CC0138" w14:paraId="38D8D1EC" w14:textId="17A7937B">
            <w:pPr>
              <w:jc w:val="center"/>
              <w:rPr>
                <w:rFonts w:eastAsia="Times New Roman"/>
                <w:color w:val="000000"/>
              </w:rPr>
            </w:pPr>
            <w:r>
              <w:rPr>
                <w:rFonts w:eastAsia="Times New Roman"/>
                <w:color w:val="000000"/>
              </w:rPr>
              <w:t>1500</w:t>
            </w:r>
          </w:p>
        </w:tc>
      </w:tr>
      <w:tr w:rsidRPr="00FB3FAD" w:rsidR="007C0818" w:rsidTr="00191E34" w14:paraId="51360AB4" w14:textId="77777777">
        <w:trPr>
          <w:trHeight w:val="300"/>
        </w:trPr>
        <w:tc>
          <w:tcPr>
            <w:tcW w:w="1412" w:type="dxa"/>
            <w:tcBorders>
              <w:top w:val="nil"/>
              <w:left w:val="single" w:color="auto" w:sz="4" w:space="0"/>
              <w:bottom w:val="single" w:color="auto" w:sz="4" w:space="0"/>
              <w:right w:val="single" w:color="auto" w:sz="4" w:space="0"/>
            </w:tcBorders>
            <w:shd w:val="clear" w:color="auto" w:fill="auto"/>
            <w:vAlign w:val="center"/>
            <w:hideMark/>
          </w:tcPr>
          <w:p w:rsidRPr="00FB3FAD" w:rsidR="007C0818" w:rsidP="00191E34" w:rsidRDefault="007C0818" w14:paraId="4385B92D" w14:textId="77777777">
            <w:pPr>
              <w:rPr>
                <w:rFonts w:eastAsia="Times New Roman"/>
                <w:color w:val="000000"/>
              </w:rPr>
            </w:pPr>
            <w:r w:rsidRPr="00FB3FAD">
              <w:rPr>
                <w:rFonts w:eastAsia="Times New Roman"/>
                <w:color w:val="000000"/>
              </w:rPr>
              <w:t>Totals</w:t>
            </w:r>
          </w:p>
        </w:tc>
        <w:tc>
          <w:tcPr>
            <w:tcW w:w="2062" w:type="dxa"/>
            <w:tcBorders>
              <w:top w:val="nil"/>
              <w:left w:val="nil"/>
              <w:bottom w:val="single" w:color="auto" w:sz="4" w:space="0"/>
              <w:right w:val="single" w:color="auto" w:sz="4" w:space="0"/>
            </w:tcBorders>
            <w:shd w:val="clear" w:color="auto" w:fill="auto"/>
            <w:vAlign w:val="center"/>
            <w:hideMark/>
          </w:tcPr>
          <w:p w:rsidRPr="00FB3FAD" w:rsidR="007C0818" w:rsidP="00191E34" w:rsidRDefault="007C0818" w14:paraId="7C1DBEA6" w14:textId="77777777">
            <w:pPr>
              <w:rPr>
                <w:rFonts w:eastAsia="Times New Roman"/>
                <w:color w:val="000000"/>
                <w:sz w:val="24"/>
                <w:szCs w:val="24"/>
              </w:rPr>
            </w:pPr>
            <w:r w:rsidRPr="00FB3FAD">
              <w:rPr>
                <w:rFonts w:eastAsia="Times New Roman"/>
                <w:color w:val="000000"/>
                <w:sz w:val="24"/>
                <w:szCs w:val="24"/>
              </w:rPr>
              <w:t> </w:t>
            </w:r>
          </w:p>
        </w:tc>
        <w:tc>
          <w:tcPr>
            <w:tcW w:w="1513" w:type="dxa"/>
            <w:tcBorders>
              <w:top w:val="nil"/>
              <w:left w:val="nil"/>
              <w:bottom w:val="single" w:color="auto" w:sz="4" w:space="0"/>
              <w:right w:val="single" w:color="auto" w:sz="4" w:space="0"/>
            </w:tcBorders>
            <w:shd w:val="clear" w:color="auto" w:fill="auto"/>
            <w:vAlign w:val="center"/>
            <w:hideMark/>
          </w:tcPr>
          <w:p w:rsidRPr="00FB3FAD" w:rsidR="007C0818" w:rsidP="00191E34" w:rsidRDefault="008205A4" w14:paraId="1C27D533" w14:textId="5E9D9C68">
            <w:pPr>
              <w:jc w:val="center"/>
              <w:rPr>
                <w:rFonts w:eastAsia="Times New Roman"/>
                <w:color w:val="000000"/>
              </w:rPr>
            </w:pPr>
            <w:r>
              <w:rPr>
                <w:rFonts w:eastAsia="Times New Roman"/>
                <w:color w:val="000000"/>
              </w:rPr>
              <w:t>28</w:t>
            </w:r>
          </w:p>
        </w:tc>
        <w:tc>
          <w:tcPr>
            <w:tcW w:w="2111" w:type="dxa"/>
            <w:tcBorders>
              <w:top w:val="nil"/>
              <w:left w:val="nil"/>
              <w:bottom w:val="single" w:color="auto" w:sz="4" w:space="0"/>
              <w:right w:val="single" w:color="auto" w:sz="4" w:space="0"/>
            </w:tcBorders>
            <w:shd w:val="clear" w:color="auto" w:fill="auto"/>
            <w:vAlign w:val="center"/>
            <w:hideMark/>
          </w:tcPr>
          <w:p w:rsidRPr="00FB3FAD" w:rsidR="007C0818" w:rsidP="00191E34" w:rsidRDefault="007C0818" w14:paraId="3F2AD8C6" w14:textId="378A0376">
            <w:pPr>
              <w:jc w:val="center"/>
              <w:rPr>
                <w:rFonts w:eastAsia="Times New Roman"/>
                <w:color w:val="000000"/>
              </w:rPr>
            </w:pPr>
          </w:p>
        </w:tc>
        <w:tc>
          <w:tcPr>
            <w:tcW w:w="1814" w:type="dxa"/>
            <w:tcBorders>
              <w:top w:val="nil"/>
              <w:left w:val="nil"/>
              <w:bottom w:val="single" w:color="auto" w:sz="4" w:space="0"/>
              <w:right w:val="single" w:color="auto" w:sz="4" w:space="0"/>
            </w:tcBorders>
            <w:shd w:val="clear" w:color="auto" w:fill="auto"/>
            <w:vAlign w:val="center"/>
            <w:hideMark/>
          </w:tcPr>
          <w:p w:rsidRPr="00FB3FAD" w:rsidR="007C0818" w:rsidP="0022273C" w:rsidRDefault="00C60899" w14:paraId="2A53ED4D" w14:textId="01BC84C2">
            <w:pPr>
              <w:jc w:val="center"/>
              <w:rPr>
                <w:rFonts w:eastAsia="Times New Roman"/>
                <w:color w:val="000000"/>
                <w:sz w:val="24"/>
                <w:szCs w:val="24"/>
              </w:rPr>
            </w:pPr>
            <w:r>
              <w:rPr>
                <w:rFonts w:eastAsia="Times New Roman"/>
                <w:color w:val="000000"/>
                <w:sz w:val="24"/>
                <w:szCs w:val="24"/>
              </w:rPr>
              <w:t>71</w:t>
            </w:r>
          </w:p>
        </w:tc>
        <w:tc>
          <w:tcPr>
            <w:tcW w:w="1457" w:type="dxa"/>
            <w:tcBorders>
              <w:top w:val="nil"/>
              <w:left w:val="nil"/>
              <w:bottom w:val="single" w:color="auto" w:sz="4" w:space="0"/>
              <w:right w:val="single" w:color="auto" w:sz="4" w:space="0"/>
            </w:tcBorders>
            <w:shd w:val="clear" w:color="auto" w:fill="auto"/>
            <w:vAlign w:val="center"/>
            <w:hideMark/>
          </w:tcPr>
          <w:p w:rsidRPr="00FB3FAD" w:rsidR="007C0818" w:rsidP="00191E34" w:rsidRDefault="007C0818" w14:paraId="70C37697" w14:textId="44B3A241">
            <w:pPr>
              <w:jc w:val="center"/>
              <w:rPr>
                <w:rFonts w:eastAsia="Times New Roman"/>
                <w:color w:val="000000"/>
              </w:rPr>
            </w:pPr>
          </w:p>
        </w:tc>
        <w:tc>
          <w:tcPr>
            <w:tcW w:w="1691" w:type="dxa"/>
            <w:tcBorders>
              <w:top w:val="nil"/>
              <w:left w:val="nil"/>
              <w:bottom w:val="single" w:color="auto" w:sz="4" w:space="0"/>
              <w:right w:val="single" w:color="auto" w:sz="4" w:space="0"/>
            </w:tcBorders>
            <w:shd w:val="clear" w:color="auto" w:fill="auto"/>
            <w:vAlign w:val="center"/>
            <w:hideMark/>
          </w:tcPr>
          <w:p w:rsidRPr="00FB3FAD" w:rsidR="007C0818" w:rsidP="00B37C32" w:rsidRDefault="00B54C07" w14:paraId="20D2C757" w14:textId="71D20E94">
            <w:pPr>
              <w:jc w:val="center"/>
              <w:rPr>
                <w:rFonts w:eastAsia="Times New Roman"/>
                <w:color w:val="000000"/>
              </w:rPr>
            </w:pPr>
            <w:r>
              <w:rPr>
                <w:rFonts w:eastAsia="Times New Roman"/>
                <w:color w:val="000000"/>
              </w:rPr>
              <w:t>2630</w:t>
            </w:r>
          </w:p>
        </w:tc>
      </w:tr>
    </w:tbl>
    <w:p w:rsidR="007C0818" w:rsidP="007C0818" w:rsidRDefault="007C0818" w14:paraId="0183E08A" w14:textId="77777777"/>
    <w:p w:rsidR="007C0818" w:rsidP="008E4D6E" w:rsidRDefault="007C0818" w14:paraId="17CECCC3" w14:textId="21A7A86E">
      <w:pPr>
        <w:pStyle w:val="NoSpacing"/>
        <w:sectPr w:rsidR="007C0818">
          <w:footerReference w:type="default" r:id="rId13"/>
          <w:pgSz w:w="15840" w:h="12240" w:orient="landscape"/>
          <w:pgMar w:top="900" w:right="1300" w:bottom="960" w:left="1420" w:header="0" w:footer="768" w:gutter="0"/>
          <w:pgNumType w:start="7"/>
          <w:cols w:space="720"/>
        </w:sectPr>
      </w:pPr>
    </w:p>
    <w:p w:rsidR="007C0818" w:rsidP="00E2757D" w:rsidRDefault="007C0818" w14:paraId="73920DA2" w14:textId="73313BB7">
      <w:pPr>
        <w:pStyle w:val="BodyText"/>
        <w:spacing w:before="71"/>
        <w:ind w:left="2160" w:right="3897"/>
      </w:pPr>
      <w:r>
        <w:lastRenderedPageBreak/>
        <w:t>TABLE 2 INSIDER THREAT PROGRAM ESTIMATE</w:t>
      </w:r>
    </w:p>
    <w:p w:rsidR="007C0818" w:rsidP="00E2757D" w:rsidRDefault="00D35F43" w14:paraId="42973FC9" w14:textId="003EA261">
      <w:pPr>
        <w:pStyle w:val="BodyText"/>
        <w:ind w:right="3898"/>
      </w:pPr>
      <w:r>
        <w:t xml:space="preserve">                                                            </w:t>
      </w:r>
      <w:r w:rsidR="007C0818">
        <w:t>(RECORDKEEPING)</w:t>
      </w:r>
    </w:p>
    <w:p w:rsidR="007C0818" w:rsidP="007C0818" w:rsidRDefault="007C0818" w14:paraId="3F76CB73" w14:textId="77777777">
      <w:pPr>
        <w:pStyle w:val="BodyText"/>
        <w:spacing w:before="9"/>
        <w:rPr>
          <w:sz w:val="21"/>
        </w:rPr>
      </w:pPr>
    </w:p>
    <w:tbl>
      <w:tblPr>
        <w:tblW w:w="9619" w:type="dxa"/>
        <w:tblInd w:w="113" w:type="dxa"/>
        <w:tblLayout w:type="fixed"/>
        <w:tblLook w:val="04A0" w:firstRow="1" w:lastRow="0" w:firstColumn="1" w:lastColumn="0" w:noHBand="0" w:noVBand="1"/>
      </w:tblPr>
      <w:tblGrid>
        <w:gridCol w:w="1416"/>
        <w:gridCol w:w="2426"/>
        <w:gridCol w:w="1710"/>
        <w:gridCol w:w="2077"/>
        <w:gridCol w:w="1990"/>
      </w:tblGrid>
      <w:tr w:rsidRPr="00FB3FAD" w:rsidR="00D55C76" w:rsidTr="00E2757D" w14:paraId="30202C4B" w14:textId="77777777">
        <w:trPr>
          <w:trHeight w:val="828"/>
          <w:tblHeader/>
        </w:trPr>
        <w:tc>
          <w:tcPr>
            <w:tcW w:w="1416" w:type="dxa"/>
            <w:tcBorders>
              <w:top w:val="single" w:color="auto" w:sz="4" w:space="0"/>
              <w:left w:val="single" w:color="auto" w:sz="4" w:space="0"/>
              <w:bottom w:val="single" w:color="auto" w:sz="4" w:space="0"/>
              <w:right w:val="single" w:color="auto" w:sz="4" w:space="0"/>
            </w:tcBorders>
            <w:shd w:val="clear" w:color="000000" w:fill="E2EFDA"/>
            <w:vAlign w:val="bottom"/>
            <w:hideMark/>
          </w:tcPr>
          <w:p w:rsidRPr="00FB3FAD" w:rsidR="00D55C76" w:rsidP="00191E34" w:rsidRDefault="00D55C76" w14:paraId="4B67D4EA" w14:textId="77777777">
            <w:pPr>
              <w:jc w:val="center"/>
              <w:rPr>
                <w:rFonts w:eastAsia="Times New Roman"/>
                <w:color w:val="000000"/>
              </w:rPr>
            </w:pPr>
            <w:r w:rsidRPr="00FB3FAD">
              <w:rPr>
                <w:rFonts w:eastAsia="Times New Roman"/>
                <w:color w:val="000000"/>
              </w:rPr>
              <w:t>Section</w:t>
            </w:r>
          </w:p>
        </w:tc>
        <w:tc>
          <w:tcPr>
            <w:tcW w:w="2426" w:type="dxa"/>
            <w:tcBorders>
              <w:top w:val="single" w:color="auto" w:sz="4" w:space="0"/>
              <w:left w:val="nil"/>
              <w:bottom w:val="single" w:color="auto" w:sz="4" w:space="0"/>
              <w:right w:val="single" w:color="auto" w:sz="4" w:space="0"/>
            </w:tcBorders>
            <w:shd w:val="clear" w:color="000000" w:fill="E2EFDA"/>
            <w:vAlign w:val="bottom"/>
            <w:hideMark/>
          </w:tcPr>
          <w:p w:rsidRPr="00FB3FAD" w:rsidR="00D55C76" w:rsidP="00191E34" w:rsidRDefault="00D55C76" w14:paraId="6960028D" w14:textId="77777777">
            <w:pPr>
              <w:jc w:val="center"/>
              <w:rPr>
                <w:rFonts w:eastAsia="Times New Roman"/>
                <w:color w:val="000000"/>
              </w:rPr>
            </w:pPr>
            <w:r w:rsidRPr="00FB3FAD">
              <w:rPr>
                <w:rFonts w:eastAsia="Times New Roman"/>
                <w:color w:val="000000"/>
              </w:rPr>
              <w:t>Requirement/Record Retention</w:t>
            </w:r>
          </w:p>
        </w:tc>
        <w:tc>
          <w:tcPr>
            <w:tcW w:w="1710" w:type="dxa"/>
            <w:tcBorders>
              <w:top w:val="single" w:color="auto" w:sz="4" w:space="0"/>
              <w:left w:val="nil"/>
              <w:bottom w:val="single" w:color="auto" w:sz="4" w:space="0"/>
              <w:right w:val="single" w:color="auto" w:sz="4" w:space="0"/>
            </w:tcBorders>
            <w:shd w:val="clear" w:color="000000" w:fill="E2EFDA"/>
            <w:vAlign w:val="bottom"/>
            <w:hideMark/>
          </w:tcPr>
          <w:p w:rsidRPr="00FB3FAD" w:rsidR="00D55C76" w:rsidP="00191E34" w:rsidRDefault="00D55C76" w14:paraId="234ECA7E" w14:textId="77777777">
            <w:pPr>
              <w:jc w:val="center"/>
              <w:rPr>
                <w:rFonts w:eastAsia="Times New Roman"/>
                <w:color w:val="000000"/>
              </w:rPr>
            </w:pPr>
            <w:r w:rsidRPr="00FB3FAD">
              <w:rPr>
                <w:rFonts w:eastAsia="Times New Roman"/>
                <w:color w:val="000000"/>
              </w:rPr>
              <w:t xml:space="preserve">No. of Recordkeepers </w:t>
            </w:r>
            <w:r>
              <w:rPr>
                <w:rFonts w:eastAsia="Times New Roman"/>
                <w:color w:val="000000"/>
              </w:rPr>
              <w:t>2021</w:t>
            </w:r>
          </w:p>
        </w:tc>
        <w:tc>
          <w:tcPr>
            <w:tcW w:w="2077" w:type="dxa"/>
            <w:tcBorders>
              <w:top w:val="single" w:color="auto" w:sz="4" w:space="0"/>
              <w:left w:val="nil"/>
              <w:bottom w:val="single" w:color="auto" w:sz="4" w:space="0"/>
              <w:right w:val="single" w:color="auto" w:sz="4" w:space="0"/>
            </w:tcBorders>
            <w:shd w:val="clear" w:color="000000" w:fill="E2EFDA"/>
            <w:vAlign w:val="bottom"/>
            <w:hideMark/>
          </w:tcPr>
          <w:p w:rsidRPr="00FB3FAD" w:rsidR="00D55C76" w:rsidP="00191E34" w:rsidRDefault="00D55C76" w14:paraId="43E7D32B" w14:textId="77777777">
            <w:pPr>
              <w:jc w:val="center"/>
              <w:rPr>
                <w:rFonts w:eastAsia="Times New Roman"/>
                <w:color w:val="000000"/>
              </w:rPr>
            </w:pPr>
            <w:r w:rsidRPr="00FB3FAD">
              <w:rPr>
                <w:rFonts w:eastAsia="Times New Roman"/>
                <w:color w:val="000000"/>
              </w:rPr>
              <w:t xml:space="preserve">Annual Hours Per Recordkeeper </w:t>
            </w:r>
            <w:r>
              <w:rPr>
                <w:rFonts w:eastAsia="Times New Roman"/>
                <w:color w:val="000000"/>
              </w:rPr>
              <w:t>2021</w:t>
            </w:r>
          </w:p>
        </w:tc>
        <w:tc>
          <w:tcPr>
            <w:tcW w:w="1990" w:type="dxa"/>
            <w:tcBorders>
              <w:top w:val="single" w:color="auto" w:sz="4" w:space="0"/>
              <w:left w:val="nil"/>
              <w:bottom w:val="single" w:color="auto" w:sz="4" w:space="0"/>
              <w:right w:val="single" w:color="auto" w:sz="4" w:space="0"/>
            </w:tcBorders>
            <w:shd w:val="clear" w:color="000000" w:fill="E2EFDA"/>
            <w:vAlign w:val="bottom"/>
            <w:hideMark/>
          </w:tcPr>
          <w:p w:rsidRPr="00FB3FAD" w:rsidR="00D55C76" w:rsidP="00191E34" w:rsidRDefault="00D55C76" w14:paraId="2F9CDEE8" w14:textId="77777777">
            <w:pPr>
              <w:jc w:val="center"/>
              <w:rPr>
                <w:rFonts w:eastAsia="Times New Roman"/>
                <w:color w:val="000000"/>
              </w:rPr>
            </w:pPr>
            <w:r w:rsidRPr="00FB3FAD">
              <w:rPr>
                <w:rFonts w:eastAsia="Times New Roman"/>
                <w:color w:val="000000"/>
              </w:rPr>
              <w:t xml:space="preserve">Total Annual Recordkeeping Hours </w:t>
            </w:r>
            <w:r>
              <w:rPr>
                <w:rFonts w:eastAsia="Times New Roman"/>
                <w:color w:val="000000"/>
              </w:rPr>
              <w:t>2021</w:t>
            </w:r>
          </w:p>
        </w:tc>
      </w:tr>
      <w:tr w:rsidRPr="00FB3FAD" w:rsidR="00D55C76" w:rsidTr="00E2757D" w14:paraId="1B7DA06B" w14:textId="77777777">
        <w:trPr>
          <w:trHeight w:val="1380"/>
        </w:trPr>
        <w:tc>
          <w:tcPr>
            <w:tcW w:w="1416" w:type="dxa"/>
            <w:tcBorders>
              <w:top w:val="nil"/>
              <w:left w:val="single" w:color="auto" w:sz="4" w:space="0"/>
              <w:bottom w:val="single" w:color="auto" w:sz="4" w:space="0"/>
              <w:right w:val="single" w:color="auto" w:sz="4" w:space="0"/>
            </w:tcBorders>
            <w:shd w:val="clear" w:color="auto" w:fill="auto"/>
            <w:vAlign w:val="center"/>
          </w:tcPr>
          <w:p w:rsidRPr="00FB3FAD" w:rsidR="00D55C76" w:rsidP="00191E34" w:rsidRDefault="00D55C76" w14:paraId="5D50140F"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1-202.b</w:t>
            </w:r>
          </w:p>
        </w:tc>
        <w:tc>
          <w:tcPr>
            <w:tcW w:w="2426" w:type="dxa"/>
            <w:tcBorders>
              <w:top w:val="nil"/>
              <w:left w:val="nil"/>
              <w:bottom w:val="single" w:color="auto" w:sz="4" w:space="0"/>
              <w:right w:val="single" w:color="auto" w:sz="4" w:space="0"/>
            </w:tcBorders>
            <w:shd w:val="clear" w:color="auto" w:fill="auto"/>
            <w:vAlign w:val="center"/>
          </w:tcPr>
          <w:p w:rsidR="00D55C76" w:rsidP="00191E34" w:rsidRDefault="00D55C76" w14:paraId="641E62FB" w14:textId="77777777">
            <w:pPr>
              <w:adjustRightInd w:val="0"/>
              <w:rPr>
                <w:rFonts w:ascii="ArialMT" w:hAnsi="ArialMT" w:cs="ArialMT"/>
              </w:rPr>
            </w:pPr>
            <w:r>
              <w:rPr>
                <w:rFonts w:ascii="ArialMT" w:hAnsi="ArialMT" w:cs="ArialMT"/>
              </w:rPr>
              <w:t>Formal appointment by the licensee of an ITP senior official (ITPSO) who is a U.S.</w:t>
            </w:r>
          </w:p>
          <w:p w:rsidRPr="00FB3FAD" w:rsidR="00D55C76" w:rsidP="00191E34" w:rsidRDefault="00D55C76" w14:paraId="7CC827B9" w14:textId="77777777">
            <w:pPr>
              <w:rPr>
                <w:rFonts w:eastAsia="Times New Roman"/>
                <w:color w:val="000000"/>
              </w:rPr>
            </w:pPr>
            <w:r>
              <w:rPr>
                <w:rFonts w:ascii="ArialMT" w:hAnsi="ArialMT" w:cs="ArialMT"/>
              </w:rPr>
              <w:t>citizen employee and a senior official of the company.</w:t>
            </w:r>
          </w:p>
        </w:tc>
        <w:tc>
          <w:tcPr>
            <w:tcW w:w="1710" w:type="dxa"/>
            <w:tcBorders>
              <w:top w:val="nil"/>
              <w:left w:val="nil"/>
              <w:bottom w:val="single" w:color="auto" w:sz="4" w:space="0"/>
              <w:right w:val="single" w:color="auto" w:sz="4" w:space="0"/>
            </w:tcBorders>
            <w:shd w:val="clear" w:color="auto" w:fill="auto"/>
            <w:vAlign w:val="center"/>
          </w:tcPr>
          <w:p w:rsidR="00976996" w:rsidP="00191E34" w:rsidRDefault="00976996" w14:paraId="053B6F1D" w14:textId="77777777">
            <w:pPr>
              <w:jc w:val="center"/>
              <w:rPr>
                <w:rFonts w:eastAsia="Times New Roman"/>
                <w:color w:val="000000"/>
              </w:rPr>
            </w:pPr>
          </w:p>
          <w:p w:rsidR="00976996" w:rsidP="00191E34" w:rsidRDefault="00976996" w14:paraId="42CC887B" w14:textId="77777777">
            <w:pPr>
              <w:jc w:val="center"/>
              <w:rPr>
                <w:rFonts w:eastAsia="Times New Roman"/>
                <w:color w:val="000000"/>
              </w:rPr>
            </w:pPr>
          </w:p>
          <w:p w:rsidR="00976996" w:rsidP="00191E34" w:rsidRDefault="00976996" w14:paraId="06212B5D" w14:textId="77777777">
            <w:pPr>
              <w:jc w:val="center"/>
              <w:rPr>
                <w:rFonts w:eastAsia="Times New Roman"/>
                <w:color w:val="000000"/>
              </w:rPr>
            </w:pPr>
          </w:p>
          <w:p w:rsidR="00976996" w:rsidP="00191E34" w:rsidRDefault="00976996" w14:paraId="48EDFF74" w14:textId="77777777">
            <w:pPr>
              <w:jc w:val="center"/>
              <w:rPr>
                <w:rFonts w:eastAsia="Times New Roman"/>
                <w:color w:val="000000"/>
              </w:rPr>
            </w:pPr>
          </w:p>
          <w:p w:rsidR="00976996" w:rsidP="00191E34" w:rsidRDefault="00976996" w14:paraId="2A16001C" w14:textId="77777777">
            <w:pPr>
              <w:jc w:val="center"/>
              <w:rPr>
                <w:rFonts w:eastAsia="Times New Roman"/>
                <w:color w:val="000000"/>
              </w:rPr>
            </w:pPr>
          </w:p>
          <w:p w:rsidR="00976996" w:rsidP="00191E34" w:rsidRDefault="00976996" w14:paraId="2EF5C218" w14:textId="77777777">
            <w:pPr>
              <w:jc w:val="center"/>
              <w:rPr>
                <w:rFonts w:eastAsia="Times New Roman"/>
                <w:color w:val="000000"/>
              </w:rPr>
            </w:pPr>
          </w:p>
          <w:p w:rsidR="00976996" w:rsidP="00191E34" w:rsidRDefault="00976996" w14:paraId="6BEC9600" w14:textId="77777777">
            <w:pPr>
              <w:jc w:val="center"/>
              <w:rPr>
                <w:rFonts w:eastAsia="Times New Roman"/>
                <w:color w:val="000000"/>
              </w:rPr>
            </w:pPr>
          </w:p>
          <w:p w:rsidR="00976996" w:rsidP="00191E34" w:rsidRDefault="00976996" w14:paraId="2DBDA91B" w14:textId="77777777">
            <w:pPr>
              <w:jc w:val="center"/>
              <w:rPr>
                <w:rFonts w:eastAsia="Times New Roman"/>
                <w:color w:val="000000"/>
              </w:rPr>
            </w:pPr>
          </w:p>
          <w:p w:rsidR="00D55C76" w:rsidP="00191E34" w:rsidRDefault="00D55C76" w14:paraId="1625049E" w14:textId="6E437A74">
            <w:pPr>
              <w:jc w:val="center"/>
              <w:rPr>
                <w:rFonts w:eastAsia="Times New Roman"/>
                <w:color w:val="000000"/>
              </w:rPr>
            </w:pPr>
            <w:r>
              <w:rPr>
                <w:rFonts w:eastAsia="Times New Roman"/>
                <w:color w:val="000000"/>
              </w:rPr>
              <w:t>28</w:t>
            </w:r>
          </w:p>
          <w:p w:rsidR="00976996" w:rsidP="00191E34" w:rsidRDefault="00976996" w14:paraId="082C171A" w14:textId="77777777">
            <w:pPr>
              <w:jc w:val="center"/>
              <w:rPr>
                <w:rFonts w:eastAsia="Times New Roman"/>
                <w:color w:val="000000"/>
              </w:rPr>
            </w:pPr>
          </w:p>
          <w:p w:rsidRPr="00FB3FAD" w:rsidR="00F756A9" w:rsidP="00F756A9" w:rsidRDefault="00F756A9" w14:paraId="25A8DDAB" w14:textId="4A7F7129">
            <w:pPr>
              <w:rPr>
                <w:rFonts w:eastAsia="Times New Roman"/>
                <w:color w:val="000000"/>
              </w:rPr>
            </w:pPr>
          </w:p>
        </w:tc>
        <w:tc>
          <w:tcPr>
            <w:tcW w:w="2077" w:type="dxa"/>
            <w:tcBorders>
              <w:top w:val="nil"/>
              <w:left w:val="nil"/>
              <w:bottom w:val="single" w:color="auto" w:sz="4" w:space="0"/>
              <w:right w:val="single" w:color="auto" w:sz="4" w:space="0"/>
            </w:tcBorders>
            <w:shd w:val="clear" w:color="auto" w:fill="auto"/>
            <w:vAlign w:val="center"/>
          </w:tcPr>
          <w:p w:rsidR="00976996" w:rsidP="00191E34" w:rsidRDefault="00976996" w14:paraId="3D7B4CBC" w14:textId="77777777">
            <w:pPr>
              <w:jc w:val="center"/>
              <w:rPr>
                <w:rFonts w:eastAsia="Times New Roman"/>
                <w:color w:val="000000"/>
              </w:rPr>
            </w:pPr>
          </w:p>
          <w:p w:rsidR="00976996" w:rsidP="00191E34" w:rsidRDefault="00976996" w14:paraId="0DF94AB9" w14:textId="77777777">
            <w:pPr>
              <w:jc w:val="center"/>
              <w:rPr>
                <w:rFonts w:eastAsia="Times New Roman"/>
                <w:color w:val="000000"/>
              </w:rPr>
            </w:pPr>
          </w:p>
          <w:p w:rsidR="00976996" w:rsidP="00191E34" w:rsidRDefault="00976996" w14:paraId="32556B98" w14:textId="77777777">
            <w:pPr>
              <w:jc w:val="center"/>
              <w:rPr>
                <w:rFonts w:eastAsia="Times New Roman"/>
                <w:color w:val="000000"/>
              </w:rPr>
            </w:pPr>
          </w:p>
          <w:p w:rsidR="00976996" w:rsidP="00191E34" w:rsidRDefault="00976996" w14:paraId="288F6CCC" w14:textId="77777777">
            <w:pPr>
              <w:jc w:val="center"/>
              <w:rPr>
                <w:rFonts w:eastAsia="Times New Roman"/>
                <w:color w:val="000000"/>
              </w:rPr>
            </w:pPr>
          </w:p>
          <w:p w:rsidR="00976996" w:rsidP="00191E34" w:rsidRDefault="00976996" w14:paraId="3B0E6880" w14:textId="77777777">
            <w:pPr>
              <w:jc w:val="center"/>
              <w:rPr>
                <w:rFonts w:eastAsia="Times New Roman"/>
                <w:color w:val="000000"/>
              </w:rPr>
            </w:pPr>
          </w:p>
          <w:p w:rsidR="00976996" w:rsidP="00191E34" w:rsidRDefault="00976996" w14:paraId="519C98EA" w14:textId="77777777">
            <w:pPr>
              <w:jc w:val="center"/>
              <w:rPr>
                <w:rFonts w:eastAsia="Times New Roman"/>
                <w:color w:val="000000"/>
              </w:rPr>
            </w:pPr>
          </w:p>
          <w:p w:rsidRPr="00FB3FAD" w:rsidR="00D55C76" w:rsidP="00191E34" w:rsidRDefault="00D55C76" w14:paraId="4AAA0E07" w14:textId="32CBDAFB">
            <w:pPr>
              <w:jc w:val="center"/>
              <w:rPr>
                <w:rFonts w:eastAsia="Times New Roman"/>
                <w:color w:val="000000"/>
              </w:rPr>
            </w:pPr>
            <w:r>
              <w:rPr>
                <w:rFonts w:eastAsia="Times New Roman"/>
                <w:color w:val="000000"/>
              </w:rPr>
              <w:t>10</w:t>
            </w:r>
          </w:p>
        </w:tc>
        <w:tc>
          <w:tcPr>
            <w:tcW w:w="199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78E8F14A" w14:textId="77777777">
            <w:pPr>
              <w:jc w:val="right"/>
              <w:rPr>
                <w:rFonts w:eastAsia="Times New Roman"/>
                <w:color w:val="000000"/>
              </w:rPr>
            </w:pPr>
            <w:r>
              <w:rPr>
                <w:rFonts w:eastAsia="Times New Roman"/>
                <w:color w:val="000000"/>
              </w:rPr>
              <w:t>280</w:t>
            </w:r>
          </w:p>
        </w:tc>
      </w:tr>
      <w:tr w:rsidRPr="00FB3FAD" w:rsidR="00D55C76" w:rsidTr="00E2757D" w14:paraId="0D57247E" w14:textId="77777777">
        <w:trPr>
          <w:trHeight w:val="276"/>
        </w:trPr>
        <w:tc>
          <w:tcPr>
            <w:tcW w:w="1416" w:type="dxa"/>
            <w:tcBorders>
              <w:top w:val="nil"/>
              <w:left w:val="single" w:color="auto" w:sz="4" w:space="0"/>
              <w:bottom w:val="single" w:color="auto" w:sz="4" w:space="0"/>
              <w:right w:val="single" w:color="auto" w:sz="4" w:space="0"/>
            </w:tcBorders>
            <w:shd w:val="clear" w:color="auto" w:fill="auto"/>
            <w:vAlign w:val="center"/>
          </w:tcPr>
          <w:p w:rsidRPr="00FB3FAD" w:rsidR="00D55C76" w:rsidP="00191E34" w:rsidRDefault="00D55C76" w14:paraId="3D7FD827"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1-207.b</w:t>
            </w:r>
          </w:p>
        </w:tc>
        <w:tc>
          <w:tcPr>
            <w:tcW w:w="2426"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6C941B3E" w14:textId="77777777">
            <w:pPr>
              <w:rPr>
                <w:rFonts w:eastAsia="Times New Roman"/>
                <w:color w:val="000000"/>
              </w:rPr>
            </w:pPr>
            <w:r>
              <w:rPr>
                <w:rFonts w:ascii="ArialMT" w:hAnsi="ArialMT" w:cs="ArialMT"/>
              </w:rPr>
              <w:t>Annual licensee self-review including self-inspection of the ITP.</w:t>
            </w:r>
          </w:p>
        </w:tc>
        <w:tc>
          <w:tcPr>
            <w:tcW w:w="1710"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08E619E1" w14:textId="77777777">
            <w:pPr>
              <w:jc w:val="center"/>
              <w:rPr>
                <w:rFonts w:eastAsia="Times New Roman"/>
                <w:color w:val="000000"/>
              </w:rPr>
            </w:pPr>
            <w:r>
              <w:rPr>
                <w:rFonts w:eastAsia="Times New Roman"/>
                <w:color w:val="000000"/>
              </w:rPr>
              <w:t>28</w:t>
            </w:r>
          </w:p>
        </w:tc>
        <w:tc>
          <w:tcPr>
            <w:tcW w:w="2077"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63D2C590" w14:textId="77777777">
            <w:pPr>
              <w:jc w:val="center"/>
              <w:rPr>
                <w:rFonts w:eastAsia="Times New Roman"/>
                <w:color w:val="000000"/>
              </w:rPr>
            </w:pPr>
            <w:r>
              <w:rPr>
                <w:rFonts w:eastAsia="Times New Roman"/>
                <w:color w:val="000000"/>
              </w:rPr>
              <w:t>16</w:t>
            </w:r>
          </w:p>
        </w:tc>
        <w:tc>
          <w:tcPr>
            <w:tcW w:w="199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27F21688" w14:textId="77777777">
            <w:pPr>
              <w:jc w:val="right"/>
              <w:rPr>
                <w:rFonts w:eastAsia="Times New Roman"/>
                <w:color w:val="000000"/>
              </w:rPr>
            </w:pPr>
            <w:r>
              <w:rPr>
                <w:rFonts w:eastAsia="Times New Roman"/>
                <w:color w:val="000000"/>
              </w:rPr>
              <w:t>448</w:t>
            </w:r>
          </w:p>
        </w:tc>
      </w:tr>
      <w:tr w:rsidRPr="00FB3FAD" w:rsidR="00D55C76" w:rsidTr="00E2757D" w14:paraId="2775054D" w14:textId="77777777">
        <w:trPr>
          <w:trHeight w:val="552"/>
        </w:trPr>
        <w:tc>
          <w:tcPr>
            <w:tcW w:w="1416" w:type="dxa"/>
            <w:tcBorders>
              <w:top w:val="nil"/>
              <w:left w:val="single" w:color="auto" w:sz="4" w:space="0"/>
              <w:bottom w:val="single" w:color="auto" w:sz="4" w:space="0"/>
              <w:right w:val="single" w:color="auto" w:sz="4" w:space="0"/>
            </w:tcBorders>
            <w:shd w:val="clear" w:color="auto" w:fill="auto"/>
            <w:vAlign w:val="center"/>
          </w:tcPr>
          <w:p w:rsidRPr="00FB3FAD" w:rsidR="00D55C76" w:rsidP="00191E34" w:rsidRDefault="00D55C76" w14:paraId="1AD370C0"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3-103.c</w:t>
            </w:r>
          </w:p>
        </w:tc>
        <w:tc>
          <w:tcPr>
            <w:tcW w:w="2426"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3C9943FA" w14:textId="77777777">
            <w:pPr>
              <w:rPr>
                <w:rFonts w:eastAsia="Times New Roman"/>
                <w:color w:val="000000"/>
              </w:rPr>
            </w:pPr>
            <w:r>
              <w:rPr>
                <w:rFonts w:eastAsia="Times New Roman"/>
                <w:color w:val="000000"/>
              </w:rPr>
              <w:t>Maintain ITP Training Records</w:t>
            </w:r>
          </w:p>
        </w:tc>
        <w:tc>
          <w:tcPr>
            <w:tcW w:w="1710"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5ED19992" w14:textId="77777777">
            <w:pPr>
              <w:jc w:val="center"/>
              <w:rPr>
                <w:rFonts w:eastAsia="Times New Roman"/>
                <w:color w:val="000000"/>
              </w:rPr>
            </w:pPr>
            <w:r>
              <w:rPr>
                <w:rFonts w:eastAsia="Times New Roman"/>
                <w:color w:val="000000"/>
              </w:rPr>
              <w:t>28</w:t>
            </w:r>
          </w:p>
        </w:tc>
        <w:tc>
          <w:tcPr>
            <w:tcW w:w="2077"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799A321E" w14:textId="1B6082A9">
            <w:pPr>
              <w:jc w:val="center"/>
              <w:rPr>
                <w:rFonts w:eastAsia="Times New Roman"/>
                <w:color w:val="000000"/>
              </w:rPr>
            </w:pPr>
            <w:r>
              <w:rPr>
                <w:rFonts w:eastAsia="Times New Roman"/>
                <w:color w:val="000000"/>
              </w:rPr>
              <w:t>2</w:t>
            </w:r>
          </w:p>
        </w:tc>
        <w:tc>
          <w:tcPr>
            <w:tcW w:w="199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2B81A3C8" w14:textId="77777777">
            <w:pPr>
              <w:jc w:val="right"/>
              <w:rPr>
                <w:rFonts w:eastAsia="Times New Roman"/>
                <w:color w:val="000000"/>
              </w:rPr>
            </w:pPr>
            <w:r>
              <w:rPr>
                <w:rFonts w:eastAsia="Times New Roman"/>
                <w:color w:val="000000"/>
              </w:rPr>
              <w:t>280</w:t>
            </w:r>
          </w:p>
        </w:tc>
      </w:tr>
      <w:tr w:rsidRPr="00FB3FAD" w:rsidR="00D55C76" w:rsidTr="00E2757D" w14:paraId="5F8A5221" w14:textId="77777777">
        <w:trPr>
          <w:trHeight w:val="552"/>
        </w:trPr>
        <w:tc>
          <w:tcPr>
            <w:tcW w:w="1416" w:type="dxa"/>
            <w:tcBorders>
              <w:top w:val="nil"/>
              <w:left w:val="single" w:color="auto" w:sz="4" w:space="0"/>
              <w:bottom w:val="single" w:color="auto" w:sz="4" w:space="0"/>
              <w:right w:val="single" w:color="auto" w:sz="4" w:space="0"/>
            </w:tcBorders>
            <w:shd w:val="clear" w:color="auto" w:fill="auto"/>
            <w:vAlign w:val="center"/>
          </w:tcPr>
          <w:p w:rsidRPr="00FB3FAD" w:rsidR="00D55C76" w:rsidP="00191E34" w:rsidRDefault="00D55C76" w14:paraId="4F59260D" w14:textId="77777777">
            <w:pPr>
              <w:rPr>
                <w:rFonts w:eastAsia="Times New Roman"/>
                <w:color w:val="000000"/>
              </w:rPr>
            </w:pPr>
            <w:r w:rsidRPr="009C530B">
              <w:rPr>
                <w:rFonts w:ascii="ArialMT" w:hAnsi="ArialMT" w:cs="ArialMT"/>
              </w:rPr>
              <w:t>DoD 5220.22-</w:t>
            </w:r>
            <w:r>
              <w:rPr>
                <w:rFonts w:ascii="ArialMT" w:hAnsi="ArialMT" w:cs="ArialMT"/>
              </w:rPr>
              <w:t>M</w:t>
            </w:r>
            <w:r w:rsidRPr="009C530B">
              <w:rPr>
                <w:rFonts w:ascii="ArialMT" w:hAnsi="ArialMT" w:cs="ArialMT"/>
              </w:rPr>
              <w:t>,</w:t>
            </w:r>
            <w:r>
              <w:rPr>
                <w:rFonts w:ascii="ArialMT" w:hAnsi="ArialMT" w:cs="ArialMT"/>
              </w:rPr>
              <w:t xml:space="preserve"> (NISPOM), 1-300</w:t>
            </w:r>
          </w:p>
        </w:tc>
        <w:tc>
          <w:tcPr>
            <w:tcW w:w="2426"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2A159AB7" w14:textId="77777777">
            <w:pPr>
              <w:rPr>
                <w:rFonts w:eastAsia="Times New Roman"/>
                <w:color w:val="000000"/>
              </w:rPr>
            </w:pPr>
            <w:r>
              <w:rPr>
                <w:rFonts w:ascii="ArialMT" w:hAnsi="ArialMT" w:cs="ArialMT"/>
              </w:rPr>
              <w:t>Requirements to report to the NRC any detection of an insider threat to the licensee</w:t>
            </w:r>
          </w:p>
        </w:tc>
        <w:tc>
          <w:tcPr>
            <w:tcW w:w="1710"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19DD17BA" w14:textId="77777777">
            <w:pPr>
              <w:jc w:val="center"/>
              <w:rPr>
                <w:rFonts w:eastAsia="Times New Roman"/>
                <w:color w:val="000000"/>
              </w:rPr>
            </w:pPr>
            <w:r>
              <w:rPr>
                <w:rFonts w:eastAsia="Times New Roman"/>
                <w:color w:val="000000"/>
              </w:rPr>
              <w:t>28</w:t>
            </w:r>
          </w:p>
        </w:tc>
        <w:tc>
          <w:tcPr>
            <w:tcW w:w="2077"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34A260D2" w14:textId="77777777">
            <w:pPr>
              <w:jc w:val="center"/>
              <w:rPr>
                <w:rFonts w:eastAsia="Times New Roman"/>
                <w:color w:val="000000"/>
              </w:rPr>
            </w:pPr>
            <w:r>
              <w:rPr>
                <w:rFonts w:eastAsia="Times New Roman"/>
                <w:color w:val="000000"/>
              </w:rPr>
              <w:t>3</w:t>
            </w:r>
          </w:p>
        </w:tc>
        <w:tc>
          <w:tcPr>
            <w:tcW w:w="199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54691CFF" w14:textId="77777777">
            <w:pPr>
              <w:jc w:val="right"/>
              <w:rPr>
                <w:rFonts w:eastAsia="Times New Roman"/>
                <w:color w:val="000000"/>
              </w:rPr>
            </w:pPr>
            <w:r>
              <w:rPr>
                <w:rFonts w:eastAsia="Times New Roman"/>
                <w:color w:val="000000"/>
              </w:rPr>
              <w:t>84</w:t>
            </w:r>
          </w:p>
        </w:tc>
      </w:tr>
      <w:tr w:rsidRPr="00FB3FAD" w:rsidR="00D55C76" w:rsidTr="00E2757D" w14:paraId="5CA5E00F" w14:textId="77777777">
        <w:trPr>
          <w:trHeight w:val="1932"/>
        </w:trPr>
        <w:tc>
          <w:tcPr>
            <w:tcW w:w="1416" w:type="dxa"/>
            <w:tcBorders>
              <w:top w:val="nil"/>
              <w:left w:val="single" w:color="auto" w:sz="4" w:space="0"/>
              <w:bottom w:val="single" w:color="auto" w:sz="4" w:space="0"/>
              <w:right w:val="single" w:color="auto" w:sz="4" w:space="0"/>
            </w:tcBorders>
            <w:shd w:val="clear" w:color="auto" w:fill="auto"/>
            <w:vAlign w:val="center"/>
          </w:tcPr>
          <w:p w:rsidRPr="00FB3FAD" w:rsidR="00D55C76" w:rsidP="00191E34" w:rsidRDefault="00D55C76" w14:paraId="587DA09E" w14:textId="77777777">
            <w:pPr>
              <w:rPr>
                <w:rFonts w:eastAsia="Times New Roman"/>
                <w:color w:val="000000"/>
              </w:rPr>
            </w:pPr>
            <w:r w:rsidRPr="009C530B">
              <w:rPr>
                <w:rFonts w:ascii="ArialMT" w:hAnsi="ArialMT" w:cs="ArialMT"/>
              </w:rPr>
              <w:lastRenderedPageBreak/>
              <w:t>DoD 5220.22-</w:t>
            </w:r>
            <w:r>
              <w:rPr>
                <w:rFonts w:ascii="ArialMT" w:hAnsi="ArialMT" w:cs="ArialMT"/>
              </w:rPr>
              <w:t>M</w:t>
            </w:r>
            <w:r w:rsidRPr="009C530B">
              <w:rPr>
                <w:rFonts w:ascii="ArialMT" w:hAnsi="ArialMT" w:cs="ArialMT"/>
              </w:rPr>
              <w:t>,</w:t>
            </w:r>
            <w:r>
              <w:rPr>
                <w:rFonts w:ascii="ArialMT" w:hAnsi="ArialMT" w:cs="ArialMT"/>
              </w:rPr>
              <w:t xml:space="preserve"> (NISPOM), 8-100.d</w:t>
            </w:r>
          </w:p>
        </w:tc>
        <w:tc>
          <w:tcPr>
            <w:tcW w:w="2426"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6687A510" w14:textId="553AC518">
            <w:pPr>
              <w:rPr>
                <w:rFonts w:eastAsia="Times New Roman"/>
                <w:color w:val="000000"/>
              </w:rPr>
            </w:pPr>
            <w:r>
              <w:rPr>
                <w:rFonts w:eastAsia="Times New Roman"/>
                <w:color w:val="000000"/>
              </w:rPr>
              <w:t>Monitor user activity on classified information systems</w:t>
            </w:r>
          </w:p>
        </w:tc>
        <w:tc>
          <w:tcPr>
            <w:tcW w:w="1710"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7CD44494" w14:textId="77777777">
            <w:pPr>
              <w:jc w:val="center"/>
              <w:rPr>
                <w:rFonts w:eastAsia="Times New Roman"/>
                <w:color w:val="000000"/>
              </w:rPr>
            </w:pPr>
            <w:r>
              <w:rPr>
                <w:rFonts w:eastAsia="Times New Roman"/>
                <w:color w:val="000000"/>
              </w:rPr>
              <w:t>3</w:t>
            </w:r>
          </w:p>
        </w:tc>
        <w:tc>
          <w:tcPr>
            <w:tcW w:w="2077" w:type="dxa"/>
            <w:tcBorders>
              <w:top w:val="nil"/>
              <w:left w:val="nil"/>
              <w:bottom w:val="single" w:color="auto" w:sz="4" w:space="0"/>
              <w:right w:val="single" w:color="auto" w:sz="4" w:space="0"/>
            </w:tcBorders>
            <w:shd w:val="clear" w:color="auto" w:fill="auto"/>
            <w:vAlign w:val="center"/>
          </w:tcPr>
          <w:p w:rsidRPr="00FB3FAD" w:rsidR="00D55C76" w:rsidP="00191E34" w:rsidRDefault="00D55C76" w14:paraId="251D11EA" w14:textId="6EC66BDB">
            <w:pPr>
              <w:jc w:val="center"/>
              <w:rPr>
                <w:rFonts w:eastAsia="Times New Roman"/>
                <w:color w:val="000000"/>
              </w:rPr>
            </w:pPr>
            <w:r>
              <w:rPr>
                <w:rFonts w:eastAsia="Times New Roman"/>
                <w:color w:val="000000"/>
              </w:rPr>
              <w:t>110</w:t>
            </w:r>
          </w:p>
        </w:tc>
        <w:tc>
          <w:tcPr>
            <w:tcW w:w="199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6744FCDF" w14:textId="2CB509DC">
            <w:pPr>
              <w:jc w:val="right"/>
              <w:rPr>
                <w:rFonts w:eastAsia="Times New Roman"/>
                <w:color w:val="000000"/>
              </w:rPr>
            </w:pPr>
            <w:r>
              <w:rPr>
                <w:rFonts w:eastAsia="Times New Roman"/>
                <w:color w:val="000000"/>
              </w:rPr>
              <w:t>330</w:t>
            </w:r>
          </w:p>
        </w:tc>
      </w:tr>
      <w:tr w:rsidRPr="00FB3FAD" w:rsidR="00D55C76" w:rsidTr="00E2757D" w14:paraId="7B6BB4AD" w14:textId="77777777">
        <w:trPr>
          <w:trHeight w:val="276"/>
        </w:trPr>
        <w:tc>
          <w:tcPr>
            <w:tcW w:w="1416" w:type="dxa"/>
            <w:tcBorders>
              <w:top w:val="nil"/>
              <w:left w:val="single" w:color="auto" w:sz="4" w:space="0"/>
              <w:bottom w:val="single" w:color="auto" w:sz="4" w:space="0"/>
              <w:right w:val="single" w:color="auto" w:sz="4" w:space="0"/>
            </w:tcBorders>
            <w:shd w:val="clear" w:color="auto" w:fill="auto"/>
            <w:vAlign w:val="center"/>
            <w:hideMark/>
          </w:tcPr>
          <w:p w:rsidRPr="00FB3FAD" w:rsidR="00D55C76" w:rsidP="00191E34" w:rsidRDefault="00D55C76" w14:paraId="6291929D" w14:textId="77777777">
            <w:pPr>
              <w:rPr>
                <w:rFonts w:eastAsia="Times New Roman"/>
                <w:color w:val="000000"/>
              </w:rPr>
            </w:pPr>
            <w:r w:rsidRPr="00FB3FAD">
              <w:rPr>
                <w:rFonts w:eastAsia="Times New Roman"/>
                <w:color w:val="000000"/>
              </w:rPr>
              <w:t>Totals</w:t>
            </w:r>
          </w:p>
        </w:tc>
        <w:tc>
          <w:tcPr>
            <w:tcW w:w="2426" w:type="dxa"/>
            <w:tcBorders>
              <w:top w:val="nil"/>
              <w:left w:val="nil"/>
              <w:bottom w:val="single" w:color="auto" w:sz="4" w:space="0"/>
              <w:right w:val="single" w:color="auto" w:sz="4" w:space="0"/>
            </w:tcBorders>
            <w:shd w:val="clear" w:color="auto" w:fill="auto"/>
            <w:vAlign w:val="center"/>
            <w:hideMark/>
          </w:tcPr>
          <w:p w:rsidRPr="00FB3FAD" w:rsidR="00D55C76" w:rsidP="00191E34" w:rsidRDefault="00D55C76" w14:paraId="05B271D9" w14:textId="77777777">
            <w:pPr>
              <w:rPr>
                <w:rFonts w:eastAsia="Times New Roman"/>
                <w:color w:val="000000"/>
              </w:rPr>
            </w:pPr>
            <w:r w:rsidRPr="00FB3FAD">
              <w:rPr>
                <w:rFonts w:eastAsia="Times New Roman"/>
                <w:color w:val="000000"/>
              </w:rPr>
              <w:t> </w:t>
            </w:r>
          </w:p>
        </w:tc>
        <w:tc>
          <w:tcPr>
            <w:tcW w:w="171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29C63905" w14:textId="4B34A847">
            <w:pPr>
              <w:jc w:val="right"/>
              <w:rPr>
                <w:rFonts w:eastAsia="Times New Roman"/>
                <w:color w:val="000000"/>
              </w:rPr>
            </w:pPr>
            <w:r>
              <w:rPr>
                <w:rFonts w:eastAsia="Times New Roman"/>
                <w:color w:val="000000"/>
              </w:rPr>
              <w:t>28</w:t>
            </w:r>
          </w:p>
        </w:tc>
        <w:tc>
          <w:tcPr>
            <w:tcW w:w="2077" w:type="dxa"/>
            <w:tcBorders>
              <w:top w:val="nil"/>
              <w:left w:val="nil"/>
              <w:bottom w:val="single" w:color="auto" w:sz="4" w:space="0"/>
              <w:right w:val="single" w:color="auto" w:sz="4" w:space="0"/>
            </w:tcBorders>
            <w:shd w:val="clear" w:color="auto" w:fill="auto"/>
            <w:noWrap/>
            <w:vAlign w:val="bottom"/>
          </w:tcPr>
          <w:p w:rsidRPr="00FB3FAD" w:rsidR="00D55C76" w:rsidP="00A878CC" w:rsidRDefault="00D55C76" w14:paraId="1F8174D6" w14:textId="3865B18F">
            <w:pPr>
              <w:jc w:val="center"/>
              <w:rPr>
                <w:rFonts w:eastAsia="Times New Roman"/>
                <w:color w:val="000000"/>
              </w:rPr>
            </w:pPr>
            <w:r>
              <w:rPr>
                <w:rFonts w:eastAsia="Times New Roman"/>
                <w:color w:val="000000"/>
              </w:rPr>
              <w:t>141</w:t>
            </w:r>
          </w:p>
        </w:tc>
        <w:tc>
          <w:tcPr>
            <w:tcW w:w="1990" w:type="dxa"/>
            <w:tcBorders>
              <w:top w:val="nil"/>
              <w:left w:val="nil"/>
              <w:bottom w:val="single" w:color="auto" w:sz="4" w:space="0"/>
              <w:right w:val="single" w:color="auto" w:sz="4" w:space="0"/>
            </w:tcBorders>
            <w:shd w:val="clear" w:color="auto" w:fill="auto"/>
            <w:noWrap/>
            <w:vAlign w:val="bottom"/>
          </w:tcPr>
          <w:p w:rsidRPr="00FB3FAD" w:rsidR="00D55C76" w:rsidP="00191E34" w:rsidRDefault="00D55C76" w14:paraId="446BECE4" w14:textId="247518A8">
            <w:pPr>
              <w:jc w:val="right"/>
              <w:rPr>
                <w:rFonts w:eastAsia="Times New Roman"/>
                <w:color w:val="000000"/>
              </w:rPr>
            </w:pPr>
            <w:r>
              <w:rPr>
                <w:rFonts w:eastAsia="Times New Roman"/>
                <w:color w:val="000000"/>
              </w:rPr>
              <w:t>1198</w:t>
            </w:r>
          </w:p>
        </w:tc>
      </w:tr>
    </w:tbl>
    <w:p w:rsidR="007C0818" w:rsidP="007C0818" w:rsidRDefault="007C0818" w14:paraId="6DFF467C" w14:textId="1EDCFC27">
      <w:pPr>
        <w:pStyle w:val="BodyText"/>
        <w:spacing w:before="9"/>
        <w:rPr>
          <w:sz w:val="21"/>
        </w:rPr>
      </w:pPr>
    </w:p>
    <w:p w:rsidR="0003105C" w:rsidP="007C0818" w:rsidRDefault="0003105C" w14:paraId="50350238" w14:textId="77777777">
      <w:pPr>
        <w:pStyle w:val="BodyText"/>
        <w:spacing w:before="9"/>
        <w:rPr>
          <w:sz w:val="21"/>
        </w:rPr>
      </w:pPr>
    </w:p>
    <w:p w:rsidR="007C0818" w:rsidP="007C0818" w:rsidRDefault="007C0818" w14:paraId="753FE3C7" w14:textId="77777777">
      <w:pPr>
        <w:sectPr w:rsidR="007C0818" w:rsidSect="00C71F93">
          <w:pgSz w:w="15840" w:h="12240" w:orient="landscape"/>
          <w:pgMar w:top="1440" w:right="1440" w:bottom="1440" w:left="1440" w:header="720" w:footer="720" w:gutter="0"/>
          <w:cols w:space="720"/>
          <w:docGrid w:linePitch="360"/>
        </w:sectPr>
      </w:pPr>
    </w:p>
    <w:p w:rsidR="00ED500F" w:rsidP="00ED500F" w:rsidRDefault="00ED500F" w14:paraId="51BC549C" w14:textId="77777777">
      <w:pPr>
        <w:pStyle w:val="BodyText"/>
        <w:spacing w:before="77"/>
        <w:ind w:left="1413" w:right="1273"/>
        <w:jc w:val="center"/>
      </w:pPr>
      <w:r>
        <w:lastRenderedPageBreak/>
        <w:t>DESCRIPTION OF INFORMATION COLLECTION REQUIREMENTS CONTAINED IN</w:t>
      </w:r>
    </w:p>
    <w:p w:rsidR="00ED500F" w:rsidP="00ED500F" w:rsidRDefault="001C62D8" w14:paraId="4106D8F6" w14:textId="4ECF3FE0">
      <w:pPr>
        <w:pStyle w:val="BodyText"/>
        <w:ind w:left="1541" w:right="1400" w:hanging="2"/>
        <w:jc w:val="center"/>
      </w:pPr>
      <w:r>
        <w:t xml:space="preserve">NRC INSIDER THREAT PROGRAM </w:t>
      </w:r>
      <w:r w:rsidR="00622CFD">
        <w:t>FOR LICENSEES</w:t>
      </w:r>
    </w:p>
    <w:p w:rsidR="00622CFD" w:rsidP="00ED500F" w:rsidRDefault="00622CFD" w14:paraId="7FD241C6" w14:textId="52AD8745">
      <w:pPr>
        <w:pStyle w:val="BodyText"/>
        <w:ind w:left="1541" w:right="1400" w:hanging="2"/>
        <w:jc w:val="center"/>
      </w:pPr>
      <w:r>
        <w:t>AND OTHER</w:t>
      </w:r>
      <w:r w:rsidR="00FA3D55">
        <w:t>S</w:t>
      </w:r>
      <w:r>
        <w:t xml:space="preserve"> REQUIRING ACCESS TO CLASSIFIED INFORMATION </w:t>
      </w:r>
    </w:p>
    <w:p w:rsidR="00ED500F" w:rsidP="00ED500F" w:rsidRDefault="00ED500F" w14:paraId="3EBE2B9C" w14:textId="77777777">
      <w:pPr>
        <w:pStyle w:val="BodyText"/>
      </w:pPr>
    </w:p>
    <w:p w:rsidR="007C0818" w:rsidP="00ED500F" w:rsidRDefault="00A06B42" w14:paraId="2F123651" w14:textId="6FB21DD5">
      <w:pPr>
        <w:jc w:val="center"/>
      </w:pPr>
      <w:r>
        <w:t>3150</w:t>
      </w:r>
      <w:r w:rsidR="00D57A87">
        <w:t>-XXXX</w:t>
      </w:r>
    </w:p>
    <w:p w:rsidR="00534924" w:rsidRDefault="00534924" w14:paraId="4565731F" w14:textId="6A6EC27D"/>
    <w:p w:rsidR="003418DB" w:rsidP="003418DB" w:rsidRDefault="003418DB" w14:paraId="56EF188F" w14:textId="0631D4D7">
      <w:r>
        <w:t>DoD 5220.22-M, (NISPOM), Section 1-202.b</w:t>
      </w:r>
      <w:r w:rsidR="00E06203">
        <w:t>:</w:t>
      </w:r>
      <w:r>
        <w:t xml:space="preserve"> </w:t>
      </w:r>
      <w:r w:rsidR="0092502D">
        <w:t xml:space="preserve"> </w:t>
      </w:r>
      <w:r>
        <w:t>This section requires an entity under an ITP to appoint, train, and report the assignment of an Insider Threat Senior Program Manager.  This is a new requirement since the last OMB Information Collection.</w:t>
      </w:r>
    </w:p>
    <w:p w:rsidR="003418DB" w:rsidP="003418DB" w:rsidRDefault="003418DB" w14:paraId="2D8E0B67" w14:textId="77777777"/>
    <w:p w:rsidR="003418DB" w:rsidP="003418DB" w:rsidRDefault="003418DB" w14:paraId="3D584602" w14:textId="40BEFDD1">
      <w:r>
        <w:t>DoD 5220.22-M, (NISPOM), Section1-207.b</w:t>
      </w:r>
      <w:r w:rsidR="007E01D5">
        <w:t>:</w:t>
      </w:r>
      <w:r>
        <w:t xml:space="preserve"> </w:t>
      </w:r>
      <w:r w:rsidR="0092502D">
        <w:t xml:space="preserve"> </w:t>
      </w:r>
      <w:r>
        <w:t>This section requires an entity under the ITP to perform and annual self-assessmen</w:t>
      </w:r>
      <w:r w:rsidR="00E06203">
        <w:t>t</w:t>
      </w:r>
      <w:r>
        <w:t>/inspection and report it to the NRC.</w:t>
      </w:r>
    </w:p>
    <w:p w:rsidR="003418DB" w:rsidP="003418DB" w:rsidRDefault="003418DB" w14:paraId="7E82A186" w14:textId="77777777"/>
    <w:p w:rsidR="003418DB" w:rsidP="003418DB" w:rsidRDefault="003418DB" w14:paraId="747B99F9" w14:textId="7A1C203A">
      <w:r>
        <w:t>DoD 5220.22-M, (NISPOM), 3-103.b</w:t>
      </w:r>
      <w:r w:rsidR="007E01D5">
        <w:t>:</w:t>
      </w:r>
      <w:r>
        <w:t xml:space="preserve"> </w:t>
      </w:r>
      <w:r w:rsidR="0092502D">
        <w:t xml:space="preserve"> </w:t>
      </w:r>
      <w:r>
        <w:t>This section requires initial and annual insider threat awareness training for all persons with access to classified information.</w:t>
      </w:r>
    </w:p>
    <w:p w:rsidR="003418DB" w:rsidP="003418DB" w:rsidRDefault="003418DB" w14:paraId="44CECEE2" w14:textId="77777777"/>
    <w:p w:rsidR="003418DB" w:rsidP="003418DB" w:rsidRDefault="003418DB" w14:paraId="4CE37D75" w14:textId="240D4117">
      <w:r>
        <w:t>DoD 5220.22-M, (NISPOM), 3-103.c</w:t>
      </w:r>
      <w:r w:rsidR="007E01D5">
        <w:t>:</w:t>
      </w:r>
      <w:r>
        <w:t xml:space="preserve"> </w:t>
      </w:r>
      <w:r w:rsidR="0092502D">
        <w:t xml:space="preserve"> </w:t>
      </w:r>
      <w:r>
        <w:t>This section specifies the records retention requirements for the ITP.</w:t>
      </w:r>
    </w:p>
    <w:p w:rsidR="003418DB" w:rsidP="003418DB" w:rsidRDefault="003418DB" w14:paraId="4E50C4AC" w14:textId="77777777"/>
    <w:p w:rsidR="003418DB" w:rsidP="003418DB" w:rsidRDefault="003418DB" w14:paraId="36281F49" w14:textId="2AFE94CE">
      <w:r>
        <w:t>DoD 5220.22-M, (NISPOM), 1-300</w:t>
      </w:r>
      <w:r w:rsidR="007E01D5">
        <w:t>:</w:t>
      </w:r>
      <w:r>
        <w:t xml:space="preserve"> </w:t>
      </w:r>
      <w:r w:rsidR="00E91E52">
        <w:t xml:space="preserve"> </w:t>
      </w:r>
      <w:r>
        <w:t xml:space="preserve">This section requires an entity under an ITP to report suspicious activity </w:t>
      </w:r>
      <w:r w:rsidR="00E06203">
        <w:t>indicating a possible insider threat</w:t>
      </w:r>
      <w:r>
        <w:t xml:space="preserve"> to the NRC.</w:t>
      </w:r>
    </w:p>
    <w:p w:rsidR="009B47D5" w:rsidP="003418DB" w:rsidRDefault="009B47D5" w14:paraId="6E3A00A7" w14:textId="4237F064"/>
    <w:p w:rsidR="009B47D5" w:rsidP="003418DB" w:rsidRDefault="00702B4C" w14:paraId="770E118E" w14:textId="0A08AAFA">
      <w:r w:rsidRPr="00702B4C">
        <w:t>DoD 5220.22-M, (NISPOM), 8-100.d</w:t>
      </w:r>
      <w:r w:rsidR="00C26FF0">
        <w:t xml:space="preserve">:  This section requires an entity with classified information systems to continuously monitor </w:t>
      </w:r>
      <w:r w:rsidR="00E10F36">
        <w:t xml:space="preserve">those systems to detect </w:t>
      </w:r>
      <w:r w:rsidR="009C7100">
        <w:t>potential activity indicating an insider threat.</w:t>
      </w:r>
    </w:p>
    <w:sectPr w:rsidR="009B47D5" w:rsidSect="008C2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5446F" w14:textId="77777777" w:rsidR="006B244A" w:rsidRDefault="006B244A" w:rsidP="00B90DC9">
      <w:pPr>
        <w:spacing w:line="240" w:lineRule="auto"/>
      </w:pPr>
      <w:r>
        <w:separator/>
      </w:r>
    </w:p>
  </w:endnote>
  <w:endnote w:type="continuationSeparator" w:id="0">
    <w:p w14:paraId="08A1C344" w14:textId="77777777" w:rsidR="006B244A" w:rsidRDefault="006B244A" w:rsidP="00B90DC9">
      <w:pPr>
        <w:spacing w:line="240" w:lineRule="auto"/>
      </w:pPr>
      <w:r>
        <w:continuationSeparator/>
      </w:r>
    </w:p>
  </w:endnote>
  <w:endnote w:type="continuationNotice" w:id="1">
    <w:p w14:paraId="0C7F14FC" w14:textId="77777777" w:rsidR="00733587" w:rsidRDefault="007335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960478"/>
      <w:docPartObj>
        <w:docPartGallery w:val="Page Numbers (Bottom of Page)"/>
        <w:docPartUnique/>
      </w:docPartObj>
    </w:sdtPr>
    <w:sdtEndPr>
      <w:rPr>
        <w:noProof/>
      </w:rPr>
    </w:sdtEndPr>
    <w:sdtContent>
      <w:p w14:paraId="0D18F351" w14:textId="2483D241" w:rsidR="00D23A4A" w:rsidRDefault="00D23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5EA1B" w14:textId="77777777" w:rsidR="001E7458" w:rsidRDefault="001E7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71910" w14:textId="77777777" w:rsidR="00215650" w:rsidRDefault="00E108F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2F332E6" wp14:editId="36F48104">
              <wp:simplePos x="0" y="0"/>
              <wp:positionH relativeFrom="page">
                <wp:posOffset>4965065</wp:posOffset>
              </wp:positionH>
              <wp:positionV relativeFrom="page">
                <wp:posOffset>7145020</wp:posOffset>
              </wp:positionV>
              <wp:extent cx="128905" cy="181610"/>
              <wp:effectExtent l="254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7FFD" w14:textId="6FFE0C85" w:rsidR="00215650" w:rsidRDefault="00910350">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332E6" id="_x0000_t202" coordsize="21600,21600" o:spt="202" path="m,l,21600r21600,l21600,xe">
              <v:stroke joinstyle="miter"/>
              <v:path gradientshapeok="t" o:connecttype="rect"/>
            </v:shapetype>
            <v:shape id="Text Box 2" o:spid="_x0000_s1026" type="#_x0000_t202" style="position:absolute;margin-left:390.95pt;margin-top:562.6pt;width:10.1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" filled="f" stroked="f">
              <v:textbox inset="0,0,0,0">
                <w:txbxContent>
                  <w:p w14:paraId="68BA7FFD" w14:textId="6FFE0C85" w:rsidR="00215650" w:rsidRDefault="00910350">
                    <w:pPr>
                      <w:pStyle w:val="BodyText"/>
                      <w:spacing w:before="12"/>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1A24" w14:textId="77777777" w:rsidR="006B244A" w:rsidRDefault="006B244A" w:rsidP="00B90DC9">
      <w:pPr>
        <w:spacing w:line="240" w:lineRule="auto"/>
      </w:pPr>
      <w:r>
        <w:separator/>
      </w:r>
    </w:p>
  </w:footnote>
  <w:footnote w:type="continuationSeparator" w:id="0">
    <w:p w14:paraId="00495129" w14:textId="77777777" w:rsidR="006B244A" w:rsidRDefault="006B244A" w:rsidP="00B90DC9">
      <w:pPr>
        <w:spacing w:line="240" w:lineRule="auto"/>
      </w:pPr>
      <w:r>
        <w:continuationSeparator/>
      </w:r>
    </w:p>
  </w:footnote>
  <w:footnote w:type="continuationNotice" w:id="1">
    <w:p w14:paraId="4C3A405E" w14:textId="77777777" w:rsidR="00733587" w:rsidRDefault="007335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22177"/>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F5"/>
    <w:rsid w:val="00003C7E"/>
    <w:rsid w:val="00007B6A"/>
    <w:rsid w:val="00010C09"/>
    <w:rsid w:val="0001101F"/>
    <w:rsid w:val="0001794D"/>
    <w:rsid w:val="00022026"/>
    <w:rsid w:val="0003105C"/>
    <w:rsid w:val="00033A68"/>
    <w:rsid w:val="00035D94"/>
    <w:rsid w:val="00040C08"/>
    <w:rsid w:val="0004504B"/>
    <w:rsid w:val="00072AB1"/>
    <w:rsid w:val="00072AE0"/>
    <w:rsid w:val="0009313F"/>
    <w:rsid w:val="0009410B"/>
    <w:rsid w:val="000A257F"/>
    <w:rsid w:val="000A3D0E"/>
    <w:rsid w:val="000B23E0"/>
    <w:rsid w:val="000B5E04"/>
    <w:rsid w:val="000C1719"/>
    <w:rsid w:val="000C2458"/>
    <w:rsid w:val="000C7E09"/>
    <w:rsid w:val="000D0F57"/>
    <w:rsid w:val="000D3CA3"/>
    <w:rsid w:val="000D3DD4"/>
    <w:rsid w:val="000D7875"/>
    <w:rsid w:val="000E3B03"/>
    <w:rsid w:val="00103303"/>
    <w:rsid w:val="00106A02"/>
    <w:rsid w:val="00112AE6"/>
    <w:rsid w:val="00117E26"/>
    <w:rsid w:val="00120E35"/>
    <w:rsid w:val="00122985"/>
    <w:rsid w:val="001253B1"/>
    <w:rsid w:val="001265BB"/>
    <w:rsid w:val="00134589"/>
    <w:rsid w:val="001348E4"/>
    <w:rsid w:val="00142747"/>
    <w:rsid w:val="00144BFD"/>
    <w:rsid w:val="0015145E"/>
    <w:rsid w:val="0015638F"/>
    <w:rsid w:val="001569D2"/>
    <w:rsid w:val="00160E28"/>
    <w:rsid w:val="0016328B"/>
    <w:rsid w:val="00164F5F"/>
    <w:rsid w:val="001750A3"/>
    <w:rsid w:val="00176B9F"/>
    <w:rsid w:val="00180DB3"/>
    <w:rsid w:val="00194F9C"/>
    <w:rsid w:val="001A3544"/>
    <w:rsid w:val="001A3814"/>
    <w:rsid w:val="001B359C"/>
    <w:rsid w:val="001B6396"/>
    <w:rsid w:val="001B7B3F"/>
    <w:rsid w:val="001C19A8"/>
    <w:rsid w:val="001C1CD8"/>
    <w:rsid w:val="001C62D8"/>
    <w:rsid w:val="001C76F8"/>
    <w:rsid w:val="001D26AC"/>
    <w:rsid w:val="001D55F2"/>
    <w:rsid w:val="001E5395"/>
    <w:rsid w:val="001E7458"/>
    <w:rsid w:val="001F29AC"/>
    <w:rsid w:val="001F6540"/>
    <w:rsid w:val="001F6EF0"/>
    <w:rsid w:val="001F7E59"/>
    <w:rsid w:val="00207F2D"/>
    <w:rsid w:val="00217EF1"/>
    <w:rsid w:val="0022273C"/>
    <w:rsid w:val="00223319"/>
    <w:rsid w:val="002308B6"/>
    <w:rsid w:val="00235597"/>
    <w:rsid w:val="00245587"/>
    <w:rsid w:val="00251D49"/>
    <w:rsid w:val="00254C14"/>
    <w:rsid w:val="0027200E"/>
    <w:rsid w:val="00272E56"/>
    <w:rsid w:val="00281A0B"/>
    <w:rsid w:val="00287C63"/>
    <w:rsid w:val="00287E1E"/>
    <w:rsid w:val="0029122E"/>
    <w:rsid w:val="00293192"/>
    <w:rsid w:val="002A6C50"/>
    <w:rsid w:val="002C4C05"/>
    <w:rsid w:val="002C4FEE"/>
    <w:rsid w:val="002D551E"/>
    <w:rsid w:val="002D6573"/>
    <w:rsid w:val="002D76B2"/>
    <w:rsid w:val="002E189C"/>
    <w:rsid w:val="002F551A"/>
    <w:rsid w:val="002F5B92"/>
    <w:rsid w:val="00303AF7"/>
    <w:rsid w:val="00303D63"/>
    <w:rsid w:val="003048FA"/>
    <w:rsid w:val="00305C73"/>
    <w:rsid w:val="00317C81"/>
    <w:rsid w:val="00330190"/>
    <w:rsid w:val="003418DB"/>
    <w:rsid w:val="003437D0"/>
    <w:rsid w:val="00351AD5"/>
    <w:rsid w:val="00351C9B"/>
    <w:rsid w:val="003535AB"/>
    <w:rsid w:val="00360D61"/>
    <w:rsid w:val="00371C94"/>
    <w:rsid w:val="00374FBF"/>
    <w:rsid w:val="00382742"/>
    <w:rsid w:val="00383FEE"/>
    <w:rsid w:val="003865F0"/>
    <w:rsid w:val="00396A89"/>
    <w:rsid w:val="00396D8E"/>
    <w:rsid w:val="003A00F4"/>
    <w:rsid w:val="003A075E"/>
    <w:rsid w:val="003A0D55"/>
    <w:rsid w:val="003A26CC"/>
    <w:rsid w:val="003A4095"/>
    <w:rsid w:val="003C23DB"/>
    <w:rsid w:val="003C465C"/>
    <w:rsid w:val="003D4347"/>
    <w:rsid w:val="003D4D96"/>
    <w:rsid w:val="003D7076"/>
    <w:rsid w:val="003D7852"/>
    <w:rsid w:val="003E0E8F"/>
    <w:rsid w:val="003F2BFE"/>
    <w:rsid w:val="003F43C2"/>
    <w:rsid w:val="00403278"/>
    <w:rsid w:val="004032D6"/>
    <w:rsid w:val="004139F1"/>
    <w:rsid w:val="004167E2"/>
    <w:rsid w:val="00421ED6"/>
    <w:rsid w:val="0042329B"/>
    <w:rsid w:val="00430F56"/>
    <w:rsid w:val="0043160C"/>
    <w:rsid w:val="00432DC7"/>
    <w:rsid w:val="00436E15"/>
    <w:rsid w:val="00440AF5"/>
    <w:rsid w:val="00441240"/>
    <w:rsid w:val="004521A4"/>
    <w:rsid w:val="00453A2C"/>
    <w:rsid w:val="004570C4"/>
    <w:rsid w:val="004574AE"/>
    <w:rsid w:val="00461180"/>
    <w:rsid w:val="004656D2"/>
    <w:rsid w:val="0047080E"/>
    <w:rsid w:val="00470A12"/>
    <w:rsid w:val="00475033"/>
    <w:rsid w:val="00477127"/>
    <w:rsid w:val="00490CAA"/>
    <w:rsid w:val="004923B4"/>
    <w:rsid w:val="0049407D"/>
    <w:rsid w:val="0049505D"/>
    <w:rsid w:val="00496297"/>
    <w:rsid w:val="004A1CB6"/>
    <w:rsid w:val="004A3751"/>
    <w:rsid w:val="004A4C07"/>
    <w:rsid w:val="004B2B4C"/>
    <w:rsid w:val="004C7CB8"/>
    <w:rsid w:val="004E0425"/>
    <w:rsid w:val="004E302E"/>
    <w:rsid w:val="0050078E"/>
    <w:rsid w:val="00501056"/>
    <w:rsid w:val="0050185F"/>
    <w:rsid w:val="005046EA"/>
    <w:rsid w:val="005102B9"/>
    <w:rsid w:val="005176E0"/>
    <w:rsid w:val="00520F30"/>
    <w:rsid w:val="00534924"/>
    <w:rsid w:val="005462C8"/>
    <w:rsid w:val="005510ED"/>
    <w:rsid w:val="005627CB"/>
    <w:rsid w:val="00563126"/>
    <w:rsid w:val="0056370C"/>
    <w:rsid w:val="00566EFE"/>
    <w:rsid w:val="00574E98"/>
    <w:rsid w:val="00595D8D"/>
    <w:rsid w:val="0059649A"/>
    <w:rsid w:val="005A1D89"/>
    <w:rsid w:val="005B3DA4"/>
    <w:rsid w:val="005C35EB"/>
    <w:rsid w:val="005C6C56"/>
    <w:rsid w:val="005E25B3"/>
    <w:rsid w:val="005E2FB9"/>
    <w:rsid w:val="00607A85"/>
    <w:rsid w:val="0061070C"/>
    <w:rsid w:val="00615944"/>
    <w:rsid w:val="00622CFD"/>
    <w:rsid w:val="00627D71"/>
    <w:rsid w:val="00642EC8"/>
    <w:rsid w:val="006516BA"/>
    <w:rsid w:val="00653ECC"/>
    <w:rsid w:val="00655C3C"/>
    <w:rsid w:val="006646D1"/>
    <w:rsid w:val="0066731C"/>
    <w:rsid w:val="00675C1B"/>
    <w:rsid w:val="006767BF"/>
    <w:rsid w:val="0068096F"/>
    <w:rsid w:val="00683FF5"/>
    <w:rsid w:val="00687D67"/>
    <w:rsid w:val="00691DBA"/>
    <w:rsid w:val="0069283E"/>
    <w:rsid w:val="00694EE1"/>
    <w:rsid w:val="00694FBE"/>
    <w:rsid w:val="00696908"/>
    <w:rsid w:val="006A6276"/>
    <w:rsid w:val="006B244A"/>
    <w:rsid w:val="006D6996"/>
    <w:rsid w:val="006D6C96"/>
    <w:rsid w:val="006F0BC0"/>
    <w:rsid w:val="00702B4C"/>
    <w:rsid w:val="00702DDE"/>
    <w:rsid w:val="00703017"/>
    <w:rsid w:val="0070372D"/>
    <w:rsid w:val="00714C63"/>
    <w:rsid w:val="0071537E"/>
    <w:rsid w:val="00722254"/>
    <w:rsid w:val="00722E3D"/>
    <w:rsid w:val="00724133"/>
    <w:rsid w:val="007279E3"/>
    <w:rsid w:val="007312DC"/>
    <w:rsid w:val="00733587"/>
    <w:rsid w:val="00741155"/>
    <w:rsid w:val="0074592B"/>
    <w:rsid w:val="0075389D"/>
    <w:rsid w:val="0076191B"/>
    <w:rsid w:val="00762A7E"/>
    <w:rsid w:val="00764F0C"/>
    <w:rsid w:val="00772E62"/>
    <w:rsid w:val="007736E3"/>
    <w:rsid w:val="00784EEE"/>
    <w:rsid w:val="00785496"/>
    <w:rsid w:val="00791BB2"/>
    <w:rsid w:val="00792C48"/>
    <w:rsid w:val="007930C2"/>
    <w:rsid w:val="0079449D"/>
    <w:rsid w:val="007A3E20"/>
    <w:rsid w:val="007A4B99"/>
    <w:rsid w:val="007B0003"/>
    <w:rsid w:val="007B0AA5"/>
    <w:rsid w:val="007B1D65"/>
    <w:rsid w:val="007B444B"/>
    <w:rsid w:val="007C0818"/>
    <w:rsid w:val="007C4698"/>
    <w:rsid w:val="007D6BF8"/>
    <w:rsid w:val="007E01D5"/>
    <w:rsid w:val="007E4C4B"/>
    <w:rsid w:val="007F0559"/>
    <w:rsid w:val="007F458B"/>
    <w:rsid w:val="00800162"/>
    <w:rsid w:val="008011EA"/>
    <w:rsid w:val="00804FC9"/>
    <w:rsid w:val="008136FA"/>
    <w:rsid w:val="008205A4"/>
    <w:rsid w:val="00823A7D"/>
    <w:rsid w:val="008306CC"/>
    <w:rsid w:val="00832AC5"/>
    <w:rsid w:val="00833DB0"/>
    <w:rsid w:val="0083443E"/>
    <w:rsid w:val="008425A1"/>
    <w:rsid w:val="00850934"/>
    <w:rsid w:val="008515B7"/>
    <w:rsid w:val="0085234B"/>
    <w:rsid w:val="0086109A"/>
    <w:rsid w:val="00871087"/>
    <w:rsid w:val="00876626"/>
    <w:rsid w:val="00876E2C"/>
    <w:rsid w:val="00877FD9"/>
    <w:rsid w:val="00891C6F"/>
    <w:rsid w:val="00892CB6"/>
    <w:rsid w:val="00895C0F"/>
    <w:rsid w:val="008A154D"/>
    <w:rsid w:val="008A44FE"/>
    <w:rsid w:val="008A479A"/>
    <w:rsid w:val="008B3D1A"/>
    <w:rsid w:val="008C47EB"/>
    <w:rsid w:val="008D070E"/>
    <w:rsid w:val="008D4151"/>
    <w:rsid w:val="008D41D4"/>
    <w:rsid w:val="008E3926"/>
    <w:rsid w:val="008E490A"/>
    <w:rsid w:val="008E4D6E"/>
    <w:rsid w:val="008E6E1D"/>
    <w:rsid w:val="008F1455"/>
    <w:rsid w:val="008F1AA6"/>
    <w:rsid w:val="008F6796"/>
    <w:rsid w:val="008F790A"/>
    <w:rsid w:val="009072C9"/>
    <w:rsid w:val="00913233"/>
    <w:rsid w:val="00914E1A"/>
    <w:rsid w:val="0091689B"/>
    <w:rsid w:val="0092502D"/>
    <w:rsid w:val="0093599D"/>
    <w:rsid w:val="00946A42"/>
    <w:rsid w:val="00947F14"/>
    <w:rsid w:val="009717B0"/>
    <w:rsid w:val="00973E66"/>
    <w:rsid w:val="00976996"/>
    <w:rsid w:val="00980B4A"/>
    <w:rsid w:val="0099252E"/>
    <w:rsid w:val="009A2F10"/>
    <w:rsid w:val="009A7458"/>
    <w:rsid w:val="009B2262"/>
    <w:rsid w:val="009B47D5"/>
    <w:rsid w:val="009B4DD7"/>
    <w:rsid w:val="009C112A"/>
    <w:rsid w:val="009C7100"/>
    <w:rsid w:val="009D1172"/>
    <w:rsid w:val="009E5072"/>
    <w:rsid w:val="009F00AD"/>
    <w:rsid w:val="009F2198"/>
    <w:rsid w:val="009F5B36"/>
    <w:rsid w:val="00A01E0D"/>
    <w:rsid w:val="00A03062"/>
    <w:rsid w:val="00A06B42"/>
    <w:rsid w:val="00A1750F"/>
    <w:rsid w:val="00A223E6"/>
    <w:rsid w:val="00A40A62"/>
    <w:rsid w:val="00A41776"/>
    <w:rsid w:val="00A46C85"/>
    <w:rsid w:val="00A474FB"/>
    <w:rsid w:val="00A51CB3"/>
    <w:rsid w:val="00A8511F"/>
    <w:rsid w:val="00A85761"/>
    <w:rsid w:val="00A878CC"/>
    <w:rsid w:val="00A917B2"/>
    <w:rsid w:val="00A91E33"/>
    <w:rsid w:val="00A92192"/>
    <w:rsid w:val="00A9254C"/>
    <w:rsid w:val="00A95437"/>
    <w:rsid w:val="00A971F2"/>
    <w:rsid w:val="00AA2E21"/>
    <w:rsid w:val="00AA59AA"/>
    <w:rsid w:val="00AB2CCE"/>
    <w:rsid w:val="00AB72C8"/>
    <w:rsid w:val="00AB77FB"/>
    <w:rsid w:val="00AC69BA"/>
    <w:rsid w:val="00AD0BBC"/>
    <w:rsid w:val="00AE1D22"/>
    <w:rsid w:val="00AE3CB0"/>
    <w:rsid w:val="00AF2B08"/>
    <w:rsid w:val="00AF365A"/>
    <w:rsid w:val="00AF59C2"/>
    <w:rsid w:val="00B24557"/>
    <w:rsid w:val="00B31D4A"/>
    <w:rsid w:val="00B32E4D"/>
    <w:rsid w:val="00B33C93"/>
    <w:rsid w:val="00B37C32"/>
    <w:rsid w:val="00B53573"/>
    <w:rsid w:val="00B54C07"/>
    <w:rsid w:val="00B55BDD"/>
    <w:rsid w:val="00B569FA"/>
    <w:rsid w:val="00B57DD0"/>
    <w:rsid w:val="00B64003"/>
    <w:rsid w:val="00B807D4"/>
    <w:rsid w:val="00B90DC9"/>
    <w:rsid w:val="00B9237D"/>
    <w:rsid w:val="00BA13B8"/>
    <w:rsid w:val="00BA1548"/>
    <w:rsid w:val="00BA2C20"/>
    <w:rsid w:val="00BB365B"/>
    <w:rsid w:val="00BB54D3"/>
    <w:rsid w:val="00BC511E"/>
    <w:rsid w:val="00BD4BB5"/>
    <w:rsid w:val="00BD712C"/>
    <w:rsid w:val="00BE11E3"/>
    <w:rsid w:val="00BE5E9D"/>
    <w:rsid w:val="00BE719A"/>
    <w:rsid w:val="00BF4342"/>
    <w:rsid w:val="00C02803"/>
    <w:rsid w:val="00C04DB2"/>
    <w:rsid w:val="00C1262B"/>
    <w:rsid w:val="00C174CA"/>
    <w:rsid w:val="00C22792"/>
    <w:rsid w:val="00C23F3D"/>
    <w:rsid w:val="00C26FF0"/>
    <w:rsid w:val="00C35D19"/>
    <w:rsid w:val="00C366E9"/>
    <w:rsid w:val="00C408C6"/>
    <w:rsid w:val="00C42352"/>
    <w:rsid w:val="00C44617"/>
    <w:rsid w:val="00C45D9B"/>
    <w:rsid w:val="00C47068"/>
    <w:rsid w:val="00C47AC1"/>
    <w:rsid w:val="00C506CA"/>
    <w:rsid w:val="00C51A29"/>
    <w:rsid w:val="00C55036"/>
    <w:rsid w:val="00C60899"/>
    <w:rsid w:val="00C67787"/>
    <w:rsid w:val="00C82AB9"/>
    <w:rsid w:val="00C87778"/>
    <w:rsid w:val="00CA25C1"/>
    <w:rsid w:val="00CA469A"/>
    <w:rsid w:val="00CB39F8"/>
    <w:rsid w:val="00CB52EF"/>
    <w:rsid w:val="00CB5CF2"/>
    <w:rsid w:val="00CB7363"/>
    <w:rsid w:val="00CC0138"/>
    <w:rsid w:val="00CC08CE"/>
    <w:rsid w:val="00CC6681"/>
    <w:rsid w:val="00CE6E95"/>
    <w:rsid w:val="00CE7068"/>
    <w:rsid w:val="00CF27CC"/>
    <w:rsid w:val="00CF6FE2"/>
    <w:rsid w:val="00D04F03"/>
    <w:rsid w:val="00D12B6E"/>
    <w:rsid w:val="00D21F6B"/>
    <w:rsid w:val="00D23A4A"/>
    <w:rsid w:val="00D2453B"/>
    <w:rsid w:val="00D2794D"/>
    <w:rsid w:val="00D3113F"/>
    <w:rsid w:val="00D31DE3"/>
    <w:rsid w:val="00D32F11"/>
    <w:rsid w:val="00D35F43"/>
    <w:rsid w:val="00D514F3"/>
    <w:rsid w:val="00D55636"/>
    <w:rsid w:val="00D55C76"/>
    <w:rsid w:val="00D57A87"/>
    <w:rsid w:val="00D60B18"/>
    <w:rsid w:val="00D715A4"/>
    <w:rsid w:val="00D74A81"/>
    <w:rsid w:val="00D7575C"/>
    <w:rsid w:val="00D757D4"/>
    <w:rsid w:val="00D77A4E"/>
    <w:rsid w:val="00D831B2"/>
    <w:rsid w:val="00D86218"/>
    <w:rsid w:val="00D87181"/>
    <w:rsid w:val="00D95986"/>
    <w:rsid w:val="00DA11CE"/>
    <w:rsid w:val="00DA3B86"/>
    <w:rsid w:val="00DA73F7"/>
    <w:rsid w:val="00DB32E4"/>
    <w:rsid w:val="00DB38AF"/>
    <w:rsid w:val="00DB53CF"/>
    <w:rsid w:val="00DB7A18"/>
    <w:rsid w:val="00DB7CA4"/>
    <w:rsid w:val="00DC079B"/>
    <w:rsid w:val="00DC345F"/>
    <w:rsid w:val="00DC66B8"/>
    <w:rsid w:val="00DD0965"/>
    <w:rsid w:val="00DD4965"/>
    <w:rsid w:val="00DE3167"/>
    <w:rsid w:val="00DE560A"/>
    <w:rsid w:val="00DE5EC0"/>
    <w:rsid w:val="00DE72F2"/>
    <w:rsid w:val="00DF7864"/>
    <w:rsid w:val="00E01466"/>
    <w:rsid w:val="00E06203"/>
    <w:rsid w:val="00E108FF"/>
    <w:rsid w:val="00E10F36"/>
    <w:rsid w:val="00E13E11"/>
    <w:rsid w:val="00E1614D"/>
    <w:rsid w:val="00E171B2"/>
    <w:rsid w:val="00E213F5"/>
    <w:rsid w:val="00E22BBA"/>
    <w:rsid w:val="00E2757D"/>
    <w:rsid w:val="00E433DE"/>
    <w:rsid w:val="00E44140"/>
    <w:rsid w:val="00E44244"/>
    <w:rsid w:val="00E47741"/>
    <w:rsid w:val="00E623B7"/>
    <w:rsid w:val="00E65172"/>
    <w:rsid w:val="00E65FF5"/>
    <w:rsid w:val="00E70481"/>
    <w:rsid w:val="00E74891"/>
    <w:rsid w:val="00E82F21"/>
    <w:rsid w:val="00E91E52"/>
    <w:rsid w:val="00E92DC1"/>
    <w:rsid w:val="00EA65F3"/>
    <w:rsid w:val="00EC16A5"/>
    <w:rsid w:val="00EC71F4"/>
    <w:rsid w:val="00ED500F"/>
    <w:rsid w:val="00ED5C02"/>
    <w:rsid w:val="00ED7438"/>
    <w:rsid w:val="00EE2C52"/>
    <w:rsid w:val="00EE4656"/>
    <w:rsid w:val="00EF0B64"/>
    <w:rsid w:val="00EF5B82"/>
    <w:rsid w:val="00F01D56"/>
    <w:rsid w:val="00F17CA1"/>
    <w:rsid w:val="00F20154"/>
    <w:rsid w:val="00F21BB9"/>
    <w:rsid w:val="00F21F25"/>
    <w:rsid w:val="00F47A9A"/>
    <w:rsid w:val="00F56B10"/>
    <w:rsid w:val="00F71ECD"/>
    <w:rsid w:val="00F756A9"/>
    <w:rsid w:val="00F81A22"/>
    <w:rsid w:val="00F84C2B"/>
    <w:rsid w:val="00FA3D55"/>
    <w:rsid w:val="00FA7DAE"/>
    <w:rsid w:val="00FB16F4"/>
    <w:rsid w:val="00FB18EE"/>
    <w:rsid w:val="00FB2191"/>
    <w:rsid w:val="00FB493D"/>
    <w:rsid w:val="00FB7351"/>
    <w:rsid w:val="00FC028B"/>
    <w:rsid w:val="00FC3CC6"/>
    <w:rsid w:val="00FD0C53"/>
    <w:rsid w:val="00FE241A"/>
    <w:rsid w:val="00FE3EE2"/>
    <w:rsid w:val="00FE648D"/>
    <w:rsid w:val="00FF0CAE"/>
    <w:rsid w:val="00FF1239"/>
    <w:rsid w:val="00FF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3B862"/>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paragraph" w:customStyle="1" w:styleId="paragraph">
    <w:name w:val="paragraph"/>
    <w:basedOn w:val="Normal"/>
    <w:rsid w:val="00DD4965"/>
    <w:pPr>
      <w:spacing w:line="240" w:lineRule="auto"/>
    </w:pPr>
    <w:rPr>
      <w:rFonts w:ascii="Times New Roman" w:hAnsi="Times New Roman" w:cs="Times New Roman"/>
      <w:sz w:val="24"/>
      <w:szCs w:val="24"/>
    </w:rPr>
  </w:style>
  <w:style w:type="character" w:customStyle="1" w:styleId="normaltextrun1">
    <w:name w:val="normaltextrun1"/>
    <w:basedOn w:val="DefaultParagraphFont"/>
    <w:rsid w:val="00DD4965"/>
  </w:style>
  <w:style w:type="character" w:customStyle="1" w:styleId="eop">
    <w:name w:val="eop"/>
    <w:basedOn w:val="DefaultParagraphFont"/>
    <w:rsid w:val="00DD4965"/>
  </w:style>
  <w:style w:type="paragraph" w:styleId="BodyText">
    <w:name w:val="Body Text"/>
    <w:basedOn w:val="Normal"/>
    <w:link w:val="BodyTextChar"/>
    <w:uiPriority w:val="1"/>
    <w:qFormat/>
    <w:rsid w:val="00EC16A5"/>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EC16A5"/>
    <w:rPr>
      <w:rFonts w:ascii="Arial" w:eastAsia="Arial" w:hAnsi="Arial" w:cs="Arial"/>
    </w:rPr>
  </w:style>
  <w:style w:type="paragraph" w:styleId="Header">
    <w:name w:val="header"/>
    <w:basedOn w:val="Normal"/>
    <w:link w:val="HeaderChar"/>
    <w:uiPriority w:val="99"/>
    <w:unhideWhenUsed/>
    <w:rsid w:val="00B90DC9"/>
    <w:pPr>
      <w:tabs>
        <w:tab w:val="center" w:pos="4680"/>
        <w:tab w:val="right" w:pos="9360"/>
      </w:tabs>
      <w:spacing w:line="240" w:lineRule="auto"/>
    </w:pPr>
  </w:style>
  <w:style w:type="character" w:customStyle="1" w:styleId="HeaderChar">
    <w:name w:val="Header Char"/>
    <w:basedOn w:val="DefaultParagraphFont"/>
    <w:link w:val="Header"/>
    <w:uiPriority w:val="99"/>
    <w:rsid w:val="00B90DC9"/>
    <w:rPr>
      <w:rFonts w:ascii="Arial" w:hAnsi="Arial" w:cs="Arial"/>
    </w:rPr>
  </w:style>
  <w:style w:type="paragraph" w:styleId="Footer">
    <w:name w:val="footer"/>
    <w:basedOn w:val="Normal"/>
    <w:link w:val="FooterChar"/>
    <w:uiPriority w:val="99"/>
    <w:unhideWhenUsed/>
    <w:rsid w:val="00B90DC9"/>
    <w:pPr>
      <w:tabs>
        <w:tab w:val="center" w:pos="4680"/>
        <w:tab w:val="right" w:pos="9360"/>
      </w:tabs>
      <w:spacing w:line="240" w:lineRule="auto"/>
    </w:pPr>
  </w:style>
  <w:style w:type="character" w:customStyle="1" w:styleId="FooterChar">
    <w:name w:val="Footer Char"/>
    <w:basedOn w:val="DefaultParagraphFont"/>
    <w:link w:val="Footer"/>
    <w:uiPriority w:val="99"/>
    <w:rsid w:val="00B90DC9"/>
    <w:rPr>
      <w:rFonts w:ascii="Arial" w:hAnsi="Arial" w:cs="Arial"/>
    </w:rPr>
  </w:style>
  <w:style w:type="paragraph" w:styleId="BalloonText">
    <w:name w:val="Balloon Text"/>
    <w:basedOn w:val="Normal"/>
    <w:link w:val="BalloonTextChar"/>
    <w:uiPriority w:val="99"/>
    <w:semiHidden/>
    <w:unhideWhenUsed/>
    <w:rsid w:val="009168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B"/>
    <w:rPr>
      <w:rFonts w:ascii="Segoe UI" w:hAnsi="Segoe UI" w:cs="Segoe UI"/>
      <w:sz w:val="18"/>
      <w:szCs w:val="18"/>
    </w:rPr>
  </w:style>
  <w:style w:type="paragraph" w:styleId="NoSpacing">
    <w:name w:val="No Spacing"/>
    <w:uiPriority w:val="1"/>
    <w:qFormat/>
    <w:rsid w:val="008E4D6E"/>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8F1455"/>
    <w:rPr>
      <w:sz w:val="16"/>
      <w:szCs w:val="16"/>
    </w:rPr>
  </w:style>
  <w:style w:type="paragraph" w:styleId="CommentText">
    <w:name w:val="annotation text"/>
    <w:basedOn w:val="Normal"/>
    <w:link w:val="CommentTextChar"/>
    <w:uiPriority w:val="99"/>
    <w:unhideWhenUsed/>
    <w:rsid w:val="008F1455"/>
    <w:pPr>
      <w:spacing w:line="240" w:lineRule="auto"/>
    </w:pPr>
    <w:rPr>
      <w:sz w:val="20"/>
      <w:szCs w:val="20"/>
    </w:rPr>
  </w:style>
  <w:style w:type="character" w:customStyle="1" w:styleId="CommentTextChar">
    <w:name w:val="Comment Text Char"/>
    <w:basedOn w:val="DefaultParagraphFont"/>
    <w:link w:val="CommentText"/>
    <w:uiPriority w:val="99"/>
    <w:rsid w:val="008F14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F1455"/>
    <w:rPr>
      <w:b/>
      <w:bCs/>
    </w:rPr>
  </w:style>
  <w:style w:type="character" w:customStyle="1" w:styleId="CommentSubjectChar">
    <w:name w:val="Comment Subject Char"/>
    <w:basedOn w:val="CommentTextChar"/>
    <w:link w:val="CommentSubject"/>
    <w:uiPriority w:val="99"/>
    <w:semiHidden/>
    <w:rsid w:val="008F1455"/>
    <w:rPr>
      <w:rFonts w:ascii="Arial" w:hAnsi="Arial" w:cs="Arial"/>
      <w:b/>
      <w:bCs/>
      <w:sz w:val="20"/>
      <w:szCs w:val="20"/>
    </w:rPr>
  </w:style>
  <w:style w:type="paragraph" w:styleId="Revision">
    <w:name w:val="Revision"/>
    <w:hidden/>
    <w:uiPriority w:val="99"/>
    <w:semiHidden/>
    <w:rsid w:val="00F84C2B"/>
    <w:pPr>
      <w:spacing w:after="0" w:line="240" w:lineRule="auto"/>
    </w:pPr>
    <w:rPr>
      <w:rFonts w:ascii="Arial" w:hAnsi="Arial" w:cs="Arial"/>
    </w:rPr>
  </w:style>
  <w:style w:type="paragraph" w:styleId="ListParagraph">
    <w:name w:val="List Paragraph"/>
    <w:basedOn w:val="Normal"/>
    <w:uiPriority w:val="34"/>
    <w:qFormat/>
    <w:rsid w:val="00374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966494">
      <w:bodyDiv w:val="1"/>
      <w:marLeft w:val="0"/>
      <w:marRight w:val="0"/>
      <w:marTop w:val="0"/>
      <w:marBottom w:val="0"/>
      <w:divBdr>
        <w:top w:val="none" w:sz="0" w:space="0" w:color="auto"/>
        <w:left w:val="none" w:sz="0" w:space="0" w:color="auto"/>
        <w:bottom w:val="none" w:sz="0" w:space="0" w:color="auto"/>
        <w:right w:val="none" w:sz="0" w:space="0" w:color="auto"/>
      </w:divBdr>
    </w:div>
    <w:div w:id="7689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734C-659E-4059-A2A8-4F9A69A7D01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E951CA3-8F5D-4B75-AEF9-212C3572E504}">
  <ds:schemaRefs>
    <ds:schemaRef ds:uri="http://schemas.openxmlformats.org/officeDocument/2006/bibliography"/>
  </ds:schemaRefs>
</ds:datastoreItem>
</file>

<file path=customXml/itemProps3.xml><?xml version="1.0" encoding="utf-8"?>
<ds:datastoreItem xmlns:ds="http://schemas.openxmlformats.org/officeDocument/2006/customXml" ds:itemID="{D3E2B8C6-8A8D-478A-80E7-18E856963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8DF480-45F2-4E2E-A467-319708200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Wheeler-Benjamin, Tamara</cp:lastModifiedBy>
  <cp:revision>2</cp:revision>
  <dcterms:created xsi:type="dcterms:W3CDTF">2021-11-26T13:40:00Z</dcterms:created>
  <dcterms:modified xsi:type="dcterms:W3CDTF">2021-11-26T13:40:00Z</dcterms:modified>
</cp:coreProperties>
</file>