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8A9" w:rsidP="00F00DAE" w:rsidRDefault="003D28E3" w14:paraId="4554ED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D28E3">
        <w:rPr>
          <w:b/>
        </w:rPr>
        <w:t xml:space="preserve">BUREAU </w:t>
      </w:r>
      <w:r>
        <w:rPr>
          <w:b/>
        </w:rPr>
        <w:t xml:space="preserve">OF </w:t>
      </w:r>
      <w:r w:rsidRPr="00031B05" w:rsidR="006408A9">
        <w:rPr>
          <w:b/>
        </w:rPr>
        <w:t xml:space="preserve">CONSUMER FINANCIAL PROTECTION </w:t>
      </w:r>
    </w:p>
    <w:p w:rsidRPr="00031B05" w:rsidR="005D6F7D" w:rsidP="00F00DAE" w:rsidRDefault="005D6F7D" w14:paraId="4554E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061BDF" w:rsidP="00F00DAE" w:rsidRDefault="00F06866" w14:paraId="4554ED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rsidRDefault="00FA7432" w14:paraId="4554ED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Pr="00031B05" w:rsidR="005D6F7D" w:rsidP="00F00DAE" w:rsidRDefault="005D6F7D" w14:paraId="4554ED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FA7432" w:rsidP="008222BD" w:rsidRDefault="00F06866" w14:paraId="4554EDD5"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w:t>
      </w:r>
      <w:r w:rsidRPr="00031B05" w:rsidR="00FA7432">
        <w:rPr>
          <w:b/>
        </w:rPr>
        <w:t>umber: 3170-</w:t>
      </w:r>
      <w:r w:rsidRPr="00031B05" w:rsidR="001E713F">
        <w:rPr>
          <w:b/>
        </w:rPr>
        <w:t>00</w:t>
      </w:r>
      <w:r w:rsidRPr="00031B05" w:rsidR="006A50C3">
        <w:rPr>
          <w:b/>
        </w:rPr>
        <w:t>2</w:t>
      </w:r>
      <w:r w:rsidRPr="00031B05" w:rsidR="007F5775">
        <w:rPr>
          <w:b/>
        </w:rPr>
        <w:t>4</w:t>
      </w:r>
      <w:r w:rsidRPr="00031B05">
        <w:rPr>
          <w:b/>
        </w:rPr>
        <w:t>)</w:t>
      </w:r>
    </w:p>
    <w:p w:rsidRPr="008222BD" w:rsidR="00D825DB" w:rsidP="00F00DAE" w:rsidRDefault="00D825DB" w14:paraId="4554E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4554EDD7" w14:textId="77777777">
      <w:pPr>
        <w:pStyle w:val="Heading2"/>
        <w:shd w:val="clear" w:color="auto" w:fill="FFFFFF" w:themeFill="background1"/>
        <w:tabs>
          <w:tab w:val="left" w:pos="900"/>
        </w:tabs>
        <w:ind w:right="-180"/>
        <w:jc w:val="left"/>
        <w:rPr>
          <w:b w:val="0"/>
        </w:rPr>
      </w:pPr>
    </w:p>
    <w:p w:rsidRPr="008222BD" w:rsidR="00E50293" w:rsidP="00C6412C" w:rsidRDefault="00D825DB" w14:paraId="4554EDD8" w14:textId="4D931D34">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00B842A1">
        <w:rPr>
          <w:b w:val="0"/>
        </w:rPr>
        <w:t>Alternative Dispute Resolution (ADR) Program Survey.</w:t>
      </w:r>
    </w:p>
    <w:p w:rsidRPr="008222BD" w:rsidR="00D825DB" w:rsidRDefault="00D825DB" w14:paraId="4554EDDA" w14:textId="77777777"/>
    <w:p w:rsidR="001B0AAA" w:rsidP="005D322C" w:rsidRDefault="00D825DB" w14:paraId="4554EDDB" w14:textId="7DF4B229">
      <w:r w:rsidRPr="008222BD">
        <w:t xml:space="preserve">2. </w:t>
      </w:r>
      <w:r w:rsidRPr="00410F81" w:rsidR="00F15956">
        <w:rPr>
          <w:b/>
        </w:rPr>
        <w:t>PURPOSE</w:t>
      </w:r>
      <w:r w:rsidRPr="008222BD" w:rsidR="00F15956">
        <w:t>:</w:t>
      </w:r>
      <w:r w:rsidR="00BF4943">
        <w:t xml:space="preserve"> </w:t>
      </w:r>
    </w:p>
    <w:p w:rsidR="005D322C" w:rsidP="005D322C" w:rsidRDefault="005D322C" w14:paraId="2F63DA7D" w14:textId="24C1B02C"/>
    <w:p w:rsidR="005D322C" w:rsidP="005D322C" w:rsidRDefault="005D322C" w14:paraId="1D6AB278" w14:textId="76FD626A">
      <w:r>
        <w:t>The OCR within the CFPB (or Bureau) carries out the agency’s equal employment opportunity program. As part of this program, per Equal Employment Opportunity Commission regulations at 29 C.F.R. Part 1614, OCR oversees the EEO Complaint Process. This EEO process allows both current Bureau employees and applicants for Bureau employment to raise and pursue complaints alleging violations of the federal employment anti-discrimination laws (such as Title VII of the Civil Rights Act of 1964, the Age Discrimination in Employment Act of 1967, and the Rehabilitation Act of 1973). The EEO process consists of two phases – the informal (or “EEO counseling”) phase and the formal complaint phase.</w:t>
      </w:r>
    </w:p>
    <w:p w:rsidR="005D322C" w:rsidP="005D322C" w:rsidRDefault="005D322C" w14:paraId="71B57630" w14:textId="77777777"/>
    <w:p w:rsidR="005D322C" w:rsidP="005D322C" w:rsidRDefault="005D322C" w14:paraId="214D5CAB" w14:textId="59840F0A">
      <w:r>
        <w:t>In addition, OCR maintains a workplace ADR program. Under this program, the Bureau uses licensed contract mediators to help Bureau employees and (in appropriate cases) applicants for Bureau employment resolve workplace-related conflicts. ADR gives parties a chance for an early, more informal resolution of workplaces disputes in a mutually satisfactory way. ADR may be used to attempt to resolve EEO complaints and non-EEO workplace matters.</w:t>
      </w:r>
    </w:p>
    <w:p w:rsidR="005D322C" w:rsidP="005D322C" w:rsidRDefault="005D322C" w14:paraId="3A41D95C" w14:textId="77777777"/>
    <w:p w:rsidRPr="00410F81" w:rsidR="005D322C" w:rsidP="005D322C" w:rsidRDefault="005D322C" w14:paraId="35905BC1" w14:textId="2FE8D301">
      <w:r>
        <w:t>OCR’s EEO Complaints Program sends out voluntary web-based surveys to individuals who have completed EEO counseling and to individuals who have filed a formal EEO complaint. OCR’s ADR Program also sends out voluntary web-based surveys to individuals who have participated in mediations. These survey responses help OCR better understand participant perspectives and experiences. The survey feedback is used to evaluate the efficiency and effectiveness of OCR operations, and to drive improvements or enhancements.</w:t>
      </w:r>
    </w:p>
    <w:p w:rsidRPr="00713D29" w:rsidR="00C8488C" w:rsidRDefault="00C8488C" w14:paraId="4554EDDD" w14:textId="77777777"/>
    <w:p w:rsidR="00282A93" w:rsidP="00282A93" w:rsidRDefault="00D825DB" w14:paraId="4EC4CB5E" w14:textId="77777777">
      <w:pPr>
        <w:pStyle w:val="Header"/>
      </w:pPr>
      <w:r w:rsidRPr="00713D29">
        <w:rPr>
          <w:snapToGrid/>
        </w:rPr>
        <w:t xml:space="preserve">3. </w:t>
      </w:r>
      <w:r w:rsidRPr="00AB78E0" w:rsidR="00434E33">
        <w:rPr>
          <w:b/>
        </w:rPr>
        <w:t>DESCRIPTION OF RESPONDENTS</w:t>
      </w:r>
      <w:r w:rsidRPr="00713D29" w:rsidR="00434E33">
        <w:t xml:space="preserve">: </w:t>
      </w:r>
      <w:r w:rsidR="00282A93">
        <w:t>Survey respondents typically consist of current Bureau employees who have sought EEO counseling, filed a formal EEO complaint, or used ADR to resolve a workplace dispute. On occasion, individuals who are not current Bureau employees may also be asked to complete these voluntary surveys. For instance, non-employees who apply for Bureau employment and are not hired may sometimes allege that the Bureau refused to select them for discriminatory reasons in violation of federal law. These non-Bureau employees may seek EEO Counseling and file a formal EEO complaint with OCR. In appropriate occasions, these individuals may also be invited to participate in ADR to resolve the matter through mediation. Thus, non-Bureau employees who have completed EEO counseling, filed a formal EEO complaint, and/or</w:t>
      </w:r>
    </w:p>
    <w:p w:rsidR="00282A93" w:rsidP="00282A93" w:rsidRDefault="00282A93" w14:paraId="6EBAA8D7" w14:textId="77777777">
      <w:pPr>
        <w:pStyle w:val="Header"/>
      </w:pPr>
      <w:r>
        <w:t>2</w:t>
      </w:r>
    </w:p>
    <w:p w:rsidR="001A09E0" w:rsidP="00282A93" w:rsidRDefault="00282A93" w14:paraId="4554EDE0" w14:textId="4307224A">
      <w:pPr>
        <w:pStyle w:val="Header"/>
        <w:tabs>
          <w:tab w:val="clear" w:pos="4320"/>
          <w:tab w:val="clear" w:pos="8640"/>
        </w:tabs>
      </w:pPr>
      <w:r>
        <w:t xml:space="preserve">participated in ADR at the Bureau may be asked to complete a voluntary web-based survey </w:t>
      </w:r>
      <w:r>
        <w:lastRenderedPageBreak/>
        <w:t>describing their experiences with these activities and providing suggestions for program improvements.</w:t>
      </w:r>
    </w:p>
    <w:p w:rsidRPr="00713D29" w:rsidR="00282A93" w:rsidP="00282A93" w:rsidRDefault="00282A93" w14:paraId="03BB378B" w14:textId="77777777">
      <w:pPr>
        <w:pStyle w:val="Header"/>
        <w:tabs>
          <w:tab w:val="clear" w:pos="4320"/>
          <w:tab w:val="clear" w:pos="8640"/>
        </w:tabs>
      </w:pPr>
    </w:p>
    <w:p w:rsidRPr="008222BD" w:rsidR="007353C3" w:rsidP="007353C3" w:rsidRDefault="007353C3" w14:paraId="4554EDE1"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4554EDE2" w14:textId="77777777">
      <w:pPr>
        <w:pStyle w:val="ListParagraph"/>
        <w:ind w:left="460" w:right="721"/>
      </w:pPr>
    </w:p>
    <w:p w:rsidRPr="00713D29" w:rsidR="007353C3" w:rsidP="007353C3" w:rsidRDefault="007353C3" w14:paraId="4554EDE3"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4554EDE4" w14:textId="77777777">
      <w:pPr>
        <w:pStyle w:val="ListParagraph"/>
        <w:ind w:left="1135" w:right="721"/>
      </w:pPr>
    </w:p>
    <w:p w:rsidRPr="00713D29" w:rsidR="007353C3" w:rsidP="007353C3" w:rsidRDefault="007353C3" w14:paraId="4554EDE5" w14:textId="02AE126D">
      <w:pPr>
        <w:pStyle w:val="ListParagraph"/>
        <w:ind w:left="460" w:right="721"/>
      </w:pPr>
      <w:r w:rsidRPr="00410F81">
        <w:tab/>
      </w:r>
      <w:r w:rsidRPr="00410F81">
        <w:tab/>
      </w:r>
      <w:r w:rsidRPr="00713D29">
        <w:t>[</w:t>
      </w:r>
      <w:r w:rsidR="002E6F60">
        <w:t>X</w:t>
      </w:r>
      <w:r w:rsidRPr="00713D29">
        <w:t>] Web-based or other forms of Social Media</w:t>
      </w:r>
      <w:r w:rsidRPr="00713D29">
        <w:tab/>
      </w:r>
      <w:proofErr w:type="gramStart"/>
      <w:r w:rsidRPr="00713D29">
        <w:t>[  ]</w:t>
      </w:r>
      <w:proofErr w:type="gramEnd"/>
      <w:r w:rsidRPr="00713D29">
        <w:t xml:space="preserve"> Telephone    </w:t>
      </w:r>
    </w:p>
    <w:p w:rsidRPr="00713D29" w:rsidR="007353C3" w:rsidP="007353C3" w:rsidRDefault="007353C3" w14:paraId="4554EDE6" w14:textId="77777777">
      <w:pPr>
        <w:pStyle w:val="ListParagraph"/>
        <w:ind w:left="1180" w:right="721" w:firstLine="260"/>
      </w:pPr>
      <w:proofErr w:type="gramStart"/>
      <w:r w:rsidRPr="00713D29">
        <w:t>[  ]</w:t>
      </w:r>
      <w:proofErr w:type="gramEnd"/>
      <w:r w:rsidRPr="00713D29">
        <w:t xml:space="preserve"> In-person </w:t>
      </w:r>
      <w:r w:rsidRPr="00713D29">
        <w:tab/>
      </w:r>
      <w:r w:rsidRPr="00713D29">
        <w:tab/>
      </w:r>
      <w:r w:rsidRPr="00713D29">
        <w:tab/>
      </w:r>
      <w:r w:rsidRPr="00713D29">
        <w:tab/>
      </w:r>
      <w:r w:rsidRPr="00713D29">
        <w:tab/>
      </w:r>
      <w:r w:rsidRPr="00713D29">
        <w:tab/>
        <w:t>[  ] Mail</w:t>
      </w:r>
    </w:p>
    <w:p w:rsidRPr="00713D29" w:rsidR="007353C3" w:rsidP="008222BD" w:rsidRDefault="007353C3" w14:paraId="4554EDE7" w14:textId="0689F272">
      <w:pPr>
        <w:pStyle w:val="ListParagraph"/>
        <w:ind w:right="721" w:firstLine="720"/>
      </w:pP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002E6F60">
        <w:t xml:space="preserve">[  </w:t>
      </w:r>
      <w:r w:rsidRPr="00713D29">
        <w:t>] Other</w:t>
      </w:r>
      <w:r w:rsidRPr="00713D29" w:rsidR="00635087">
        <w:t xml:space="preserve"> (please e</w:t>
      </w:r>
      <w:r w:rsidRPr="00713D29">
        <w:t>xplain</w:t>
      </w:r>
      <w:r w:rsidRPr="00713D29" w:rsidR="00635087">
        <w:t>)</w:t>
      </w:r>
      <w:r w:rsidR="00320C48">
        <w:t xml:space="preserve">:  </w:t>
      </w:r>
      <w:r w:rsidR="00E14CB4">
        <w:t xml:space="preserve">Using </w:t>
      </w:r>
      <w:r w:rsidR="00320C48">
        <w:t>WebEx</w:t>
      </w:r>
      <w:r w:rsidR="000F49D7">
        <w:t xml:space="preserve"> for individual interviews </w:t>
      </w:r>
    </w:p>
    <w:p w:rsidRPr="00713D29" w:rsidR="007353C3" w:rsidP="007353C3" w:rsidRDefault="007353C3" w14:paraId="4554EDE8" w14:textId="77777777">
      <w:pPr>
        <w:tabs>
          <w:tab w:val="left" w:pos="5140"/>
        </w:tabs>
        <w:ind w:left="100" w:right="-20"/>
      </w:pPr>
      <w:r w:rsidRPr="00713D29">
        <w:tab/>
      </w:r>
    </w:p>
    <w:p w:rsidRPr="00713D29" w:rsidR="007353C3" w:rsidP="007353C3" w:rsidRDefault="007353C3" w14:paraId="4554EDE9"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4554EDEA" w14:textId="77777777">
      <w:pPr>
        <w:pStyle w:val="ListParagraph"/>
        <w:ind w:left="1135" w:right="721"/>
      </w:pPr>
    </w:p>
    <w:p w:rsidR="007353C3" w:rsidP="007353C3" w:rsidRDefault="007353C3" w14:paraId="4554EDEB" w14:textId="48BE2C04">
      <w:pPr>
        <w:pStyle w:val="ListParagraph"/>
        <w:ind w:left="460" w:right="721"/>
      </w:pPr>
      <w:r w:rsidRPr="00713D29">
        <w:tab/>
      </w:r>
      <w:r w:rsidRPr="00713D29">
        <w:tab/>
      </w:r>
      <w:proofErr w:type="gramStart"/>
      <w:r w:rsidRPr="00713D29">
        <w:t>[</w:t>
      </w:r>
      <w:r w:rsidR="00386742">
        <w:t xml:space="preserve">  </w:t>
      </w:r>
      <w:r w:rsidRPr="00713D29">
        <w:t>]</w:t>
      </w:r>
      <w:proofErr w:type="gramEnd"/>
      <w:r w:rsidRPr="00713D29">
        <w:t xml:space="preserve"> Yes </w:t>
      </w:r>
      <w:r w:rsidRPr="00713D29" w:rsidR="00635087">
        <w:t xml:space="preserve"> </w:t>
      </w:r>
      <w:r w:rsidRPr="00713D29">
        <w:t>[</w:t>
      </w:r>
      <w:r w:rsidR="00386742">
        <w:t>X</w:t>
      </w:r>
      <w:r w:rsidRPr="00713D29">
        <w:t xml:space="preserve">] No </w:t>
      </w:r>
      <w:r w:rsidRPr="00713D29" w:rsidR="00635087">
        <w:t xml:space="preserve"> </w:t>
      </w:r>
      <w:r w:rsidRPr="00713D29">
        <w:t>[  ] Not Applicable</w:t>
      </w:r>
    </w:p>
    <w:p w:rsidRPr="00713D29" w:rsidR="006A50C3" w:rsidP="00320C48" w:rsidRDefault="006A50C3" w14:paraId="4554EDEE" w14:textId="77777777">
      <w:pPr>
        <w:ind w:right="721"/>
      </w:pPr>
    </w:p>
    <w:p w:rsidRPr="008222BD" w:rsidR="007353C3" w:rsidP="007353C3" w:rsidRDefault="007353C3" w14:paraId="4554EDEF"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554EDF0" w14:textId="77777777">
      <w:pPr>
        <w:pStyle w:val="ListParagraph"/>
        <w:spacing w:before="72"/>
        <w:ind w:left="460" w:right="-20"/>
        <w:rPr>
          <w:bCs/>
          <w:spacing w:val="-3"/>
        </w:rPr>
      </w:pPr>
    </w:p>
    <w:p w:rsidRPr="008222BD" w:rsidR="007353C3" w:rsidP="007353C3" w:rsidRDefault="007353C3" w14:paraId="4554EDF1"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4554EDF2" w14:textId="77777777">
      <w:pPr>
        <w:pStyle w:val="ListParagraph"/>
        <w:spacing w:before="72"/>
        <w:ind w:left="460" w:right="-20"/>
        <w:rPr>
          <w:bCs/>
          <w:spacing w:val="-3"/>
        </w:rPr>
      </w:pPr>
    </w:p>
    <w:p w:rsidRPr="008222BD" w:rsidR="007353C3" w:rsidP="007353C3" w:rsidRDefault="007353C3" w14:paraId="4554EDF3"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4554EDF4" w14:textId="77777777">
      <w:pPr>
        <w:pStyle w:val="ListParagraph"/>
        <w:spacing w:before="72"/>
        <w:ind w:left="460" w:right="-20"/>
        <w:rPr>
          <w:bCs/>
          <w:spacing w:val="-3"/>
        </w:rPr>
      </w:pPr>
    </w:p>
    <w:p w:rsidRPr="00713D29" w:rsidR="007353C3" w:rsidP="007353C3" w:rsidRDefault="007353C3" w14:paraId="4554EDF5" w14:textId="2CB511B5">
      <w:pPr>
        <w:pStyle w:val="ListParagraph"/>
        <w:spacing w:before="72"/>
        <w:ind w:left="460" w:right="-20"/>
        <w:rPr>
          <w:bCs/>
          <w:spacing w:val="-3"/>
        </w:rPr>
      </w:pPr>
      <w:r w:rsidRPr="008F29E6">
        <w:rPr>
          <w:bCs/>
          <w:spacing w:val="-3"/>
        </w:rPr>
        <w:t>[</w:t>
      </w:r>
      <w:r w:rsidR="00386742">
        <w:rPr>
          <w:bCs/>
          <w:spacing w:val="-3"/>
        </w:rPr>
        <w:t>X</w:t>
      </w:r>
      <w:r w:rsidRPr="008F29E6">
        <w:rPr>
          <w:bCs/>
          <w:spacing w:val="-3"/>
        </w:rPr>
        <w:t xml:space="preserve">] </w:t>
      </w:r>
      <w:proofErr w:type="gramStart"/>
      <w:r w:rsidRPr="008F29E6">
        <w:rPr>
          <w:bCs/>
          <w:spacing w:val="-3"/>
        </w:rPr>
        <w:t xml:space="preserve">Yes </w:t>
      </w:r>
      <w:r w:rsidRPr="008F29E6" w:rsidR="00635087">
        <w:rPr>
          <w:bCs/>
          <w:spacing w:val="-3"/>
        </w:rPr>
        <w:t xml:space="preserve"> </w:t>
      </w:r>
      <w:r w:rsidRPr="008F29E6">
        <w:rPr>
          <w:bCs/>
          <w:spacing w:val="-3"/>
        </w:rPr>
        <w:t>[</w:t>
      </w:r>
      <w:proofErr w:type="gramEnd"/>
      <w:r w:rsidR="00386742">
        <w:rPr>
          <w:bCs/>
          <w:spacing w:val="-3"/>
        </w:rPr>
        <w:t xml:space="preserve">  </w:t>
      </w:r>
      <w:r w:rsidRPr="008F29E6">
        <w:rPr>
          <w:bCs/>
          <w:spacing w:val="-3"/>
        </w:rPr>
        <w:t xml:space="preserve">] No  [  ] </w:t>
      </w:r>
      <w:r w:rsidRPr="008F29E6">
        <w:t>Not Applicable</w:t>
      </w:r>
    </w:p>
    <w:p w:rsidRPr="008222BD" w:rsidR="007353C3" w:rsidP="007353C3" w:rsidRDefault="007353C3" w14:paraId="4554EDF6" w14:textId="77777777">
      <w:pPr>
        <w:pStyle w:val="ListParagraph"/>
        <w:spacing w:before="72"/>
        <w:ind w:left="460" w:right="-20"/>
        <w:rPr>
          <w:bCs/>
          <w:spacing w:val="-3"/>
        </w:rPr>
      </w:pPr>
    </w:p>
    <w:p w:rsidR="007353C3" w:rsidP="007353C3" w:rsidRDefault="007353C3" w14:paraId="4554EDF7" w14:textId="6FE1C688">
      <w:pPr>
        <w:pStyle w:val="ListParagraph"/>
        <w:spacing w:before="72"/>
        <w:ind w:left="460" w:right="-20"/>
        <w:rPr>
          <w:bCs/>
          <w:spacing w:val="-3"/>
        </w:rPr>
      </w:pPr>
      <w:r w:rsidRPr="008222BD">
        <w:rPr>
          <w:bCs/>
          <w:spacing w:val="-3"/>
        </w:rPr>
        <w:t xml:space="preserve">b. If </w:t>
      </w:r>
      <w:r w:rsidRPr="00B05F21">
        <w:rPr>
          <w:b/>
          <w:bCs/>
          <w:spacing w:val="-3"/>
        </w:rPr>
        <w:t>yes</w:t>
      </w:r>
      <w:r w:rsidRPr="008222BD">
        <w:rPr>
          <w:bCs/>
          <w:spacing w:val="-3"/>
        </w:rPr>
        <w:t xml:space="preserve">, please provide a description below.  If </w:t>
      </w:r>
      <w:r w:rsidRPr="00B05F21">
        <w:rPr>
          <w:b/>
          <w:bCs/>
          <w:spacing w:val="-3"/>
        </w:rPr>
        <w:t>no</w:t>
      </w:r>
      <w:r w:rsidRPr="008222BD">
        <w:rPr>
          <w:bCs/>
          <w:spacing w:val="-3"/>
        </w:rPr>
        <w:t>, please provide a description of how you plan to identify your potential group of respondents and how you will select them</w:t>
      </w:r>
      <w:r w:rsidRPr="008222BD" w:rsidR="000702CE">
        <w:rPr>
          <w:bCs/>
          <w:spacing w:val="-3"/>
        </w:rPr>
        <w:t>.</w:t>
      </w:r>
    </w:p>
    <w:p w:rsidR="00D0676E" w:rsidP="007353C3" w:rsidRDefault="00D0676E" w14:paraId="438A5587" w14:textId="77777777">
      <w:pPr>
        <w:pStyle w:val="ListParagraph"/>
        <w:spacing w:before="72"/>
        <w:ind w:left="460" w:right="-20"/>
        <w:rPr>
          <w:bCs/>
          <w:spacing w:val="-3"/>
        </w:rPr>
      </w:pPr>
    </w:p>
    <w:p w:rsidRPr="00D0676E" w:rsidR="008F29E6" w:rsidP="00D0676E" w:rsidRDefault="00D0676E" w14:paraId="57045219" w14:textId="764B9497">
      <w:pPr>
        <w:spacing w:before="72"/>
        <w:ind w:left="360" w:right="-20"/>
        <w:rPr>
          <w:bCs/>
          <w:spacing w:val="-3"/>
        </w:rPr>
      </w:pPr>
      <w:r w:rsidRPr="00D0676E">
        <w:t>The surveys are sent to participants in the ADR process (e.g., the aggrieved individual, the relevant management official(s), and to relevant representatives of these parties). Surveys are to be sent in all cases in which ADR has been used</w:t>
      </w:r>
      <w:r w:rsidR="009E43FB">
        <w:t>.</w:t>
      </w:r>
    </w:p>
    <w:p w:rsidRPr="008222BD" w:rsidR="007353C3" w:rsidP="00F031F9" w:rsidRDefault="007353C3" w14:paraId="4554EDF8" w14:textId="77777777">
      <w:pPr>
        <w:pStyle w:val="ListParagraph"/>
        <w:spacing w:before="72"/>
        <w:ind w:left="460" w:right="-20"/>
        <w:rPr>
          <w:bCs/>
          <w:spacing w:val="-3"/>
        </w:rPr>
      </w:pPr>
    </w:p>
    <w:p w:rsidRPr="00410F81" w:rsidR="008C4E6C" w:rsidP="008C4E6C" w:rsidRDefault="008C4E6C" w14:paraId="4554EDF9" w14:textId="77777777">
      <w:pPr>
        <w:pStyle w:val="ListParagraph"/>
        <w:numPr>
          <w:ilvl w:val="0"/>
          <w:numId w:val="25"/>
        </w:numPr>
        <w:rPr>
          <w:caps/>
        </w:rPr>
      </w:pPr>
      <w:r w:rsidRPr="00AB78E0">
        <w:rPr>
          <w:b/>
          <w:caps/>
        </w:rPr>
        <w:t>Information Collection Procedures</w:t>
      </w:r>
      <w:r w:rsidR="00815E90">
        <w:rPr>
          <w:caps/>
        </w:rPr>
        <w:t>:</w:t>
      </w:r>
    </w:p>
    <w:p w:rsidR="008C4E6C" w:rsidP="00943E56" w:rsidRDefault="008C4E6C" w14:paraId="4554EDFB" w14:textId="78E72278">
      <w:pPr>
        <w:pStyle w:val="ListParagraph"/>
        <w:ind w:left="1440"/>
      </w:pPr>
    </w:p>
    <w:p w:rsidR="00C04642" w:rsidP="00C04642" w:rsidRDefault="00C04642" w14:paraId="1BF727F3" w14:textId="686C5FA9">
      <w:pPr>
        <w:pStyle w:val="Default"/>
        <w:ind w:left="360"/>
        <w:rPr>
          <w:sz w:val="23"/>
          <w:szCs w:val="23"/>
        </w:rPr>
      </w:pPr>
      <w:r>
        <w:rPr>
          <w:sz w:val="23"/>
          <w:szCs w:val="23"/>
        </w:rPr>
        <w:t xml:space="preserve">A survey invitation will be sent to an individual who engaged in the informal EEO process, formal EEO process, or ADR process at the end of these processes. If this individual is represented by an attorney, the survey invitation will be sent to the attorney first requesting permission to send the survey directly to the individual. If the individual is not represented by an attorney, the survey invitation will be sent directly to the individual. </w:t>
      </w:r>
    </w:p>
    <w:p w:rsidR="00C04642" w:rsidP="00C04642" w:rsidRDefault="00C04642" w14:paraId="209EBC13" w14:textId="77777777">
      <w:pPr>
        <w:pStyle w:val="Default"/>
        <w:ind w:left="360"/>
        <w:rPr>
          <w:sz w:val="23"/>
          <w:szCs w:val="23"/>
        </w:rPr>
      </w:pPr>
    </w:p>
    <w:p w:rsidR="00C04642" w:rsidP="00C04642" w:rsidRDefault="00C04642" w14:paraId="73C45437" w14:textId="1A4B55F2">
      <w:pPr>
        <w:pStyle w:val="Default"/>
        <w:ind w:left="360"/>
        <w:rPr>
          <w:sz w:val="23"/>
          <w:szCs w:val="23"/>
        </w:rPr>
      </w:pPr>
      <w:r>
        <w:rPr>
          <w:sz w:val="23"/>
          <w:szCs w:val="23"/>
        </w:rPr>
        <w:t>Staff will check back in a week and</w:t>
      </w:r>
      <w:r w:rsidR="001D0F97">
        <w:rPr>
          <w:sz w:val="23"/>
          <w:szCs w:val="23"/>
        </w:rPr>
        <w:t>,</w:t>
      </w:r>
      <w:r>
        <w:rPr>
          <w:sz w:val="23"/>
          <w:szCs w:val="23"/>
        </w:rPr>
        <w:t xml:space="preserve"> if no response was </w:t>
      </w:r>
      <w:r w:rsidR="001D0F97">
        <w:rPr>
          <w:sz w:val="23"/>
          <w:szCs w:val="23"/>
        </w:rPr>
        <w:t>received,</w:t>
      </w:r>
      <w:r>
        <w:rPr>
          <w:sz w:val="23"/>
          <w:szCs w:val="23"/>
        </w:rPr>
        <w:t xml:space="preserve"> they will send a reminder email. No more than one reminder will be sent. </w:t>
      </w:r>
    </w:p>
    <w:p w:rsidR="00C04642" w:rsidP="00C04642" w:rsidRDefault="00C04642" w14:paraId="4DDFB1FF" w14:textId="6D8B3E43">
      <w:pPr>
        <w:pStyle w:val="Default"/>
        <w:pageBreakBefore/>
        <w:numPr>
          <w:ilvl w:val="1"/>
          <w:numId w:val="23"/>
        </w:numPr>
        <w:rPr>
          <w:sz w:val="20"/>
          <w:szCs w:val="20"/>
        </w:rPr>
      </w:pPr>
    </w:p>
    <w:p w:rsidR="00B77107" w:rsidP="00C04642" w:rsidRDefault="00C04642" w14:paraId="23D4423E" w14:textId="3616DA8B">
      <w:pPr>
        <w:ind w:left="360"/>
      </w:pPr>
      <w:r>
        <w:rPr>
          <w:sz w:val="23"/>
          <w:szCs w:val="23"/>
        </w:rPr>
        <w:t>All surveys are web-based. CFPB’s Office of Civil Rights will email a link to the appropriate web-based survey to identified respondents (as described in responses to Questions/Sections (2) and (3) above)</w:t>
      </w:r>
      <w:r w:rsidR="000F414F">
        <w:t>.</w:t>
      </w:r>
    </w:p>
    <w:p w:rsidRPr="008222BD" w:rsidR="000F414F" w:rsidP="000F414F" w:rsidRDefault="000F414F" w14:paraId="0950B1B8" w14:textId="77777777"/>
    <w:p w:rsidRPr="00410F81" w:rsidR="007353C3" w:rsidP="007353C3" w:rsidRDefault="007353C3" w14:paraId="4554EDFC" w14:textId="77777777">
      <w:pPr>
        <w:pStyle w:val="ListParagraph"/>
        <w:widowControl w:val="0"/>
        <w:numPr>
          <w:ilvl w:val="0"/>
          <w:numId w:val="25"/>
        </w:numPr>
        <w:spacing w:before="72"/>
        <w:ind w:right="-20"/>
      </w:pPr>
      <w:proofErr w:type="gramStart"/>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w:t>
      </w:r>
      <w:proofErr w:type="gramEnd"/>
      <w:r w:rsidRPr="00AB78E0">
        <w:rPr>
          <w:b/>
          <w:bCs/>
          <w:caps/>
        </w:rPr>
        <w:t xml:space="preserve">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4554EDFD" w14:textId="77777777">
      <w:pPr>
        <w:spacing w:before="12" w:line="260" w:lineRule="exact"/>
      </w:pPr>
    </w:p>
    <w:p w:rsidRPr="00713D29" w:rsidR="007353C3" w:rsidP="007353C3" w:rsidRDefault="007353C3" w14:paraId="4554EDFE" w14:textId="004213B1">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proofErr w:type="gramStart"/>
      <w:r w:rsidRPr="00713D29">
        <w:t>[</w:t>
      </w:r>
      <w:r w:rsidR="001D0F97">
        <w:t xml:space="preserve">  </w:t>
      </w:r>
      <w:r w:rsidRPr="00713D29">
        <w:t>]</w:t>
      </w:r>
      <w:proofErr w:type="gramEnd"/>
      <w:r w:rsidRPr="00713D29">
        <w:rPr>
          <w:spacing w:val="1"/>
        </w:rPr>
        <w:t xml:space="preserve"> </w:t>
      </w:r>
      <w:r w:rsidRPr="00713D29">
        <w:t>Y</w:t>
      </w:r>
      <w:r w:rsidRPr="00713D29">
        <w:rPr>
          <w:spacing w:val="-1"/>
        </w:rPr>
        <w:t>e</w:t>
      </w:r>
      <w:r w:rsidRPr="00713D29">
        <w:t>s [</w:t>
      </w:r>
      <w:r w:rsidR="001D0F97">
        <w:t>X</w:t>
      </w:r>
      <w:r w:rsidRPr="00713D29">
        <w:t>]</w:t>
      </w:r>
      <w:r w:rsidRPr="00713D29">
        <w:rPr>
          <w:spacing w:val="1"/>
        </w:rPr>
        <w:t xml:space="preserve"> </w:t>
      </w:r>
      <w:r w:rsidRPr="00713D29">
        <w:t>No</w:t>
      </w:r>
    </w:p>
    <w:p w:rsidRPr="008222BD" w:rsidR="007353C3" w:rsidP="007353C3" w:rsidRDefault="007353C3" w14:paraId="4554EDFF" w14:textId="77777777">
      <w:pPr>
        <w:spacing w:before="16" w:line="260" w:lineRule="exact"/>
      </w:pPr>
    </w:p>
    <w:p w:rsidR="00815E90" w:rsidP="00D6490E" w:rsidRDefault="007353C3" w14:paraId="4554EE00"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Pr="008222BD" w:rsidR="00815E90" w:rsidP="008222BD" w:rsidRDefault="00815E90" w14:paraId="4554EE01" w14:textId="77777777">
      <w:pPr>
        <w:pStyle w:val="ListParagraph"/>
        <w:rPr>
          <w:spacing w:val="3"/>
        </w:rPr>
      </w:pPr>
    </w:p>
    <w:p w:rsidRPr="008222BD" w:rsidR="006A50C3" w:rsidP="008222BD" w:rsidRDefault="007353C3" w14:paraId="4554EE02" w14:textId="2F9FA12E">
      <w:pPr>
        <w:widowControl w:val="0"/>
        <w:ind w:right="-20" w:firstLine="720"/>
      </w:pPr>
      <w:proofErr w:type="gramStart"/>
      <w:r w:rsidRPr="00713D29">
        <w:t>[</w:t>
      </w:r>
      <w:r w:rsidR="001D0F97">
        <w:t xml:space="preserve">  </w:t>
      </w:r>
      <w:r w:rsidRPr="00713D29">
        <w:t>]</w:t>
      </w:r>
      <w:proofErr w:type="gramEnd"/>
      <w:r w:rsidRPr="00815E90">
        <w:rPr>
          <w:spacing w:val="1"/>
        </w:rPr>
        <w:t xml:space="preserve"> </w:t>
      </w:r>
      <w:r w:rsidRPr="00713D29">
        <w:t>Y</w:t>
      </w:r>
      <w:r w:rsidRPr="00815E90">
        <w:rPr>
          <w:spacing w:val="-1"/>
        </w:rPr>
        <w:t>e</w:t>
      </w:r>
      <w:r w:rsidRPr="00713D29">
        <w:t>s [</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w:t>
      </w:r>
      <w:r w:rsidR="001D0F97">
        <w:t>X</w:t>
      </w:r>
      <w:r w:rsidRPr="00713D29" w:rsidR="00D6490E">
        <w:t>] Not Applicable</w:t>
      </w:r>
    </w:p>
    <w:p w:rsidRPr="008222BD" w:rsidR="007353C3" w:rsidP="007353C3" w:rsidRDefault="007353C3" w14:paraId="4554EE03" w14:textId="77777777">
      <w:pPr>
        <w:spacing w:before="16" w:line="260" w:lineRule="exact"/>
      </w:pPr>
    </w:p>
    <w:p w:rsidRPr="008222BD" w:rsidR="007353C3" w:rsidP="007353C3" w:rsidRDefault="000702CE" w14:paraId="4554EE04" w14:textId="77777777">
      <w:pPr>
        <w:pStyle w:val="ListParagraph"/>
        <w:widowControl w:val="0"/>
        <w:numPr>
          <w:ilvl w:val="0"/>
          <w:numId w:val="22"/>
        </w:numPr>
        <w:ind w:right="-20"/>
      </w:pPr>
      <w:r w:rsidRPr="008222BD">
        <w:t>H</w:t>
      </w:r>
      <w:r w:rsidRPr="008222BD" w:rsidR="007353C3">
        <w:rPr>
          <w:spacing w:val="-1"/>
        </w:rPr>
        <w:t>a</w:t>
      </w:r>
      <w:r w:rsidRPr="008222BD" w:rsidR="007353C3">
        <w:t xml:space="preserve">s a </w:t>
      </w:r>
      <w:r w:rsidRPr="008222BD" w:rsidR="007353C3">
        <w:rPr>
          <w:spacing w:val="5"/>
        </w:rPr>
        <w:t>S</w:t>
      </w:r>
      <w:r w:rsidRPr="008222BD" w:rsidR="007353C3">
        <w:rPr>
          <w:spacing w:val="-5"/>
        </w:rPr>
        <w:t>y</w:t>
      </w:r>
      <w:r w:rsidRPr="008222BD" w:rsidR="007353C3">
        <w:t>stem or R</w:t>
      </w:r>
      <w:r w:rsidRPr="008222BD" w:rsidR="007353C3">
        <w:rPr>
          <w:spacing w:val="-1"/>
        </w:rPr>
        <w:t>ec</w:t>
      </w:r>
      <w:r w:rsidRPr="008222BD" w:rsidR="007353C3">
        <w:t>o</w:t>
      </w:r>
      <w:r w:rsidRPr="008222BD" w:rsidR="007353C3">
        <w:rPr>
          <w:spacing w:val="-1"/>
        </w:rPr>
        <w:t>r</w:t>
      </w:r>
      <w:r w:rsidRPr="008222BD" w:rsidR="007353C3">
        <w:t>ds Noti</w:t>
      </w:r>
      <w:r w:rsidRPr="008222BD" w:rsidR="007353C3">
        <w:rPr>
          <w:spacing w:val="1"/>
        </w:rPr>
        <w:t>c</w:t>
      </w:r>
      <w:r w:rsidRPr="008222BD" w:rsidR="007353C3">
        <w:t>e</w:t>
      </w:r>
      <w:r w:rsidRPr="008222BD" w:rsidR="007353C3">
        <w:rPr>
          <w:spacing w:val="-1"/>
        </w:rPr>
        <w:t xml:space="preserve"> </w:t>
      </w:r>
      <w:r w:rsidRPr="008222BD" w:rsidR="003C4E67">
        <w:rPr>
          <w:spacing w:val="-1"/>
        </w:rPr>
        <w:t xml:space="preserve">(SORN) </w:t>
      </w:r>
      <w:r w:rsidRPr="008222BD" w:rsidR="007353C3">
        <w:t>b</w:t>
      </w:r>
      <w:r w:rsidRPr="008222BD" w:rsidR="007353C3">
        <w:rPr>
          <w:spacing w:val="1"/>
        </w:rPr>
        <w:t>e</w:t>
      </w:r>
      <w:r w:rsidRPr="008222BD" w:rsidR="007353C3">
        <w:rPr>
          <w:spacing w:val="-1"/>
        </w:rPr>
        <w:t>e</w:t>
      </w:r>
      <w:r w:rsidRPr="008222BD" w:rsidR="007353C3">
        <w:t>n publ</w:t>
      </w:r>
      <w:r w:rsidRPr="008222BD" w:rsidR="007353C3">
        <w:rPr>
          <w:spacing w:val="1"/>
        </w:rPr>
        <w:t>i</w:t>
      </w:r>
      <w:r w:rsidRPr="008222BD" w:rsidR="007353C3">
        <w:t xml:space="preserve">shed?  </w:t>
      </w:r>
    </w:p>
    <w:p w:rsidRPr="00713D29" w:rsidR="007353C3" w:rsidP="007353C3" w:rsidRDefault="007353C3" w14:paraId="4554EE05" w14:textId="51288BFD">
      <w:pPr>
        <w:ind w:left="220" w:right="-20" w:firstLine="500"/>
      </w:pPr>
      <w:proofErr w:type="gramStart"/>
      <w:r w:rsidRPr="00410F81">
        <w:t>[</w:t>
      </w:r>
      <w:r w:rsidR="001D0F97">
        <w:t xml:space="preserve">  </w:t>
      </w:r>
      <w:r w:rsidRPr="00713D29">
        <w:t>]</w:t>
      </w:r>
      <w:proofErr w:type="gramEnd"/>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w:t>
      </w:r>
      <w:r w:rsidR="001D0F97">
        <w:t>X</w:t>
      </w:r>
      <w:r w:rsidRPr="00713D29">
        <w:t>] Not Applicable</w:t>
      </w:r>
    </w:p>
    <w:p w:rsidR="00807EE2" w:rsidP="00671686" w:rsidRDefault="00671686" w14:paraId="4554EE06"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00807EE2" w:rsidP="000B47B0" w:rsidRDefault="00807EE2" w14:paraId="4554EE07" w14:textId="715E7870">
      <w:pPr>
        <w:ind w:left="720" w:right="-20"/>
      </w:pPr>
      <w:r>
        <w:t xml:space="preserve">Title:  </w:t>
      </w:r>
    </w:p>
    <w:p w:rsidRPr="00713D29" w:rsidR="00D6490E" w:rsidP="007353C3" w:rsidRDefault="00D6490E" w14:paraId="4554EE09" w14:textId="77777777">
      <w:pPr>
        <w:ind w:left="220" w:right="-20" w:firstLine="500"/>
      </w:pPr>
    </w:p>
    <w:p w:rsidRPr="004A4C53" w:rsidR="007353C3" w:rsidP="00D6490E" w:rsidRDefault="00D6490E" w14:paraId="4554EE0A" w14:textId="66BA8FBA">
      <w:pPr>
        <w:pStyle w:val="ListParagraph"/>
        <w:numPr>
          <w:ilvl w:val="0"/>
          <w:numId w:val="22"/>
        </w:numPr>
        <w:spacing w:before="1" w:line="280" w:lineRule="exact"/>
      </w:pPr>
      <w:r w:rsidRPr="004A4C53">
        <w:t xml:space="preserve">If applicable, </w:t>
      </w:r>
      <w:r w:rsidRPr="004A4C53" w:rsidR="00021835">
        <w:t xml:space="preserve">please provide a </w:t>
      </w:r>
      <w:r w:rsidRPr="004A4C53" w:rsidR="005B5783">
        <w:t>link to</w:t>
      </w:r>
      <w:r w:rsidRPr="004A4C53" w:rsidR="00815E90">
        <w:t xml:space="preserve"> </w:t>
      </w:r>
      <w:r w:rsidRPr="004A4C53">
        <w:t>the</w:t>
      </w:r>
      <w:r w:rsidRPr="004A4C53" w:rsidR="005B5783">
        <w:t xml:space="preserve"> Privacy Impact Assessment</w:t>
      </w:r>
      <w:r w:rsidRPr="004A4C53" w:rsidR="00021835">
        <w:t>.</w:t>
      </w:r>
      <w:r w:rsidR="0076320B">
        <w:t xml:space="preserve">  N/A</w:t>
      </w:r>
    </w:p>
    <w:p w:rsidRPr="008222BD" w:rsidR="007353C3" w:rsidP="007353C3" w:rsidRDefault="007353C3" w14:paraId="4554EE0B" w14:textId="77777777">
      <w:pPr>
        <w:spacing w:before="1" w:line="280" w:lineRule="exact"/>
      </w:pPr>
    </w:p>
    <w:p w:rsidRPr="00410F81" w:rsidR="007353C3" w:rsidP="007353C3" w:rsidRDefault="007353C3" w14:paraId="4554EE0C"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4554EE0D" w14:textId="77777777">
      <w:pPr>
        <w:spacing w:before="11" w:line="260" w:lineRule="exact"/>
      </w:pPr>
    </w:p>
    <w:p w:rsidRPr="00F031F9" w:rsidR="007353C3" w:rsidP="00031FB6" w:rsidRDefault="007353C3" w14:paraId="4554EE0E" w14:textId="55C3381C">
      <w:pPr>
        <w:pStyle w:val="ListParagraph"/>
        <w:widowControl w:val="0"/>
        <w:numPr>
          <w:ilvl w:val="0"/>
          <w:numId w:val="42"/>
        </w:numPr>
        <w:ind w:right="596"/>
      </w:pPr>
      <w:r w:rsidRPr="00F031F9">
        <w:rPr>
          <w:spacing w:val="-3"/>
        </w:rPr>
        <w:t>I</w:t>
      </w:r>
      <w:r w:rsidRPr="00F031F9">
        <w:t>s</w:t>
      </w:r>
      <w:r w:rsidRPr="00F031F9">
        <w:rPr>
          <w:spacing w:val="2"/>
        </w:rPr>
        <w:t xml:space="preserve"> </w:t>
      </w:r>
      <w:r w:rsidRPr="00F031F9">
        <w:rPr>
          <w:spacing w:val="-1"/>
        </w:rPr>
        <w:t>a</w:t>
      </w:r>
      <w:r w:rsidRPr="00F031F9">
        <w:t>n inc</w:t>
      </w:r>
      <w:r w:rsidRPr="00F031F9">
        <w:rPr>
          <w:spacing w:val="-1"/>
        </w:rPr>
        <w:t>e</w:t>
      </w:r>
      <w:r w:rsidRPr="00F031F9">
        <w:t>nt</w:t>
      </w:r>
      <w:r w:rsidRPr="00F031F9">
        <w:rPr>
          <w:spacing w:val="1"/>
        </w:rPr>
        <w:t>i</w:t>
      </w:r>
      <w:r w:rsidRPr="00F031F9">
        <w:t>ve</w:t>
      </w:r>
      <w:r w:rsidRPr="00F031F9">
        <w:rPr>
          <w:spacing w:val="-1"/>
        </w:rPr>
        <w:t xml:space="preserve"> </w:t>
      </w:r>
      <w:r w:rsidRPr="00F031F9">
        <w:t>p</w:t>
      </w:r>
      <w:r w:rsidRPr="00F031F9">
        <w:rPr>
          <w:spacing w:val="-1"/>
        </w:rPr>
        <w:t>r</w:t>
      </w:r>
      <w:r w:rsidRPr="00F031F9">
        <w:t>ovided to p</w:t>
      </w:r>
      <w:r w:rsidRPr="00F031F9">
        <w:rPr>
          <w:spacing w:val="-1"/>
        </w:rPr>
        <w:t>a</w:t>
      </w:r>
      <w:r w:rsidRPr="00F031F9">
        <w:t>rticip</w:t>
      </w:r>
      <w:r w:rsidRPr="00F031F9">
        <w:rPr>
          <w:spacing w:val="-1"/>
        </w:rPr>
        <w:t>a</w:t>
      </w:r>
      <w:r w:rsidRPr="00F031F9">
        <w:t xml:space="preserve">nts? </w:t>
      </w:r>
      <w:r w:rsidRPr="00F031F9">
        <w:rPr>
          <w:spacing w:val="2"/>
        </w:rPr>
        <w:t xml:space="preserve"> </w:t>
      </w:r>
      <w:proofErr w:type="gramStart"/>
      <w:r w:rsidRPr="00F031F9">
        <w:t>[</w:t>
      </w:r>
      <w:r w:rsidR="00C65B6F">
        <w:t xml:space="preserve">  </w:t>
      </w:r>
      <w:r w:rsidRPr="00F031F9">
        <w:t>]</w:t>
      </w:r>
      <w:proofErr w:type="gramEnd"/>
      <w:r w:rsidRPr="00F031F9">
        <w:rPr>
          <w:spacing w:val="1"/>
        </w:rPr>
        <w:t xml:space="preserve"> </w:t>
      </w:r>
      <w:r w:rsidRPr="00F031F9">
        <w:t>Y</w:t>
      </w:r>
      <w:r w:rsidRPr="00F031F9">
        <w:rPr>
          <w:spacing w:val="-1"/>
        </w:rPr>
        <w:t>e</w:t>
      </w:r>
      <w:r w:rsidRPr="00F031F9">
        <w:t>s</w:t>
      </w:r>
      <w:r w:rsidRPr="00F031F9">
        <w:rPr>
          <w:spacing w:val="-2"/>
        </w:rPr>
        <w:t xml:space="preserve"> </w:t>
      </w:r>
      <w:r w:rsidRPr="00F031F9">
        <w:t>[</w:t>
      </w:r>
      <w:r w:rsidR="00C65B6F">
        <w:t>X</w:t>
      </w:r>
      <w:r w:rsidRPr="00F031F9">
        <w:t>]</w:t>
      </w:r>
      <w:r w:rsidRPr="00F031F9">
        <w:rPr>
          <w:spacing w:val="-1"/>
        </w:rPr>
        <w:t xml:space="preserve"> </w:t>
      </w:r>
      <w:r w:rsidRPr="00F031F9">
        <w:t>No</w:t>
      </w:r>
    </w:p>
    <w:p w:rsidRPr="00F031F9" w:rsidR="007353C3" w:rsidP="00031FB6" w:rsidRDefault="007353C3" w14:paraId="4554EE0F" w14:textId="77777777">
      <w:pPr>
        <w:pStyle w:val="ListParagraph"/>
        <w:ind w:left="820" w:right="596"/>
      </w:pPr>
    </w:p>
    <w:p w:rsidRPr="00F031F9" w:rsidR="006601B4" w:rsidP="00031FB6" w:rsidRDefault="007353C3" w14:paraId="5164E36A" w14:textId="035B43D1">
      <w:pPr>
        <w:pStyle w:val="ListParagraph"/>
        <w:widowControl w:val="0"/>
        <w:numPr>
          <w:ilvl w:val="0"/>
          <w:numId w:val="42"/>
        </w:numPr>
        <w:ind w:right="596"/>
      </w:pPr>
      <w:r w:rsidRPr="00F031F9">
        <w:t xml:space="preserve">If </w:t>
      </w:r>
      <w:r w:rsidRPr="00F031F9" w:rsidR="00D763EB">
        <w:t>y</w:t>
      </w:r>
      <w:r w:rsidRPr="00F031F9">
        <w:t xml:space="preserve">es, </w:t>
      </w:r>
      <w:r w:rsidRPr="00F031F9" w:rsidR="00815E90">
        <w:t xml:space="preserve">provide a statement justifying the use and amount of the incentive </w:t>
      </w:r>
      <w:r w:rsidRPr="00F031F9" w:rsidR="00815E90">
        <w:rPr>
          <w:i/>
        </w:rPr>
        <w:t>and</w:t>
      </w:r>
      <w:r w:rsidRPr="00F031F9" w:rsidR="00815E90">
        <w:t xml:space="preserve"> the amount or value of the incentive: </w:t>
      </w:r>
    </w:p>
    <w:p w:rsidRPr="00713D29" w:rsidR="007353C3" w:rsidP="007353C3" w:rsidRDefault="007353C3" w14:paraId="4554EE11" w14:textId="77777777">
      <w:pPr>
        <w:pStyle w:val="ListParagraph"/>
      </w:pPr>
    </w:p>
    <w:p w:rsidRPr="00410F81" w:rsidR="00F8707B" w:rsidP="008C4E6C" w:rsidRDefault="00F8707B" w14:paraId="4554EE12" w14:textId="77777777">
      <w:pPr>
        <w:pStyle w:val="ListParagraph"/>
        <w:numPr>
          <w:ilvl w:val="0"/>
          <w:numId w:val="25"/>
        </w:numPr>
      </w:pPr>
      <w:r w:rsidRPr="00410F81">
        <w:rPr>
          <w:b/>
          <w:caps/>
        </w:rPr>
        <w:t>Assurances of Confidentiality</w:t>
      </w:r>
      <w:r w:rsidRPr="008222BD">
        <w:t>:</w:t>
      </w:r>
    </w:p>
    <w:p w:rsidRPr="00713D29" w:rsidR="008C4E6C" w:rsidP="008C4E6C" w:rsidRDefault="008C4E6C" w14:paraId="4554EE13" w14:textId="77777777"/>
    <w:p w:rsidRPr="00713D29" w:rsidR="00F8707B" w:rsidP="008C4E6C" w:rsidRDefault="00F8707B" w14:paraId="4554EE14" w14:textId="41F2ABF5">
      <w:pPr>
        <w:pStyle w:val="ListParagraph"/>
        <w:numPr>
          <w:ilvl w:val="0"/>
          <w:numId w:val="28"/>
        </w:numPr>
      </w:pPr>
      <w:r w:rsidRPr="00713D29">
        <w:t>Will a pledge of confidentiality be made to respondents? [</w:t>
      </w:r>
      <w:r w:rsidR="00AD7440">
        <w:t>X</w:t>
      </w:r>
      <w:r w:rsidRPr="00713D29">
        <w:t xml:space="preserve">] </w:t>
      </w:r>
      <w:proofErr w:type="gramStart"/>
      <w:r w:rsidRPr="00713D29">
        <w:t>Yes  [</w:t>
      </w:r>
      <w:proofErr w:type="gramEnd"/>
      <w:r w:rsidRPr="00713D29">
        <w:t xml:space="preserve">  ] No</w:t>
      </w:r>
    </w:p>
    <w:p w:rsidRPr="00713D29" w:rsidR="00F8707B" w:rsidP="00F8707B" w:rsidRDefault="00F8707B" w14:paraId="4554EE15" w14:textId="77777777">
      <w:pPr>
        <w:pStyle w:val="ListParagraph"/>
        <w:ind w:left="360"/>
      </w:pPr>
    </w:p>
    <w:p w:rsidR="00F8707B" w:rsidP="008C4E6C" w:rsidRDefault="00F8707B" w14:paraId="4554EE16" w14:textId="2966CB7C">
      <w:pPr>
        <w:pStyle w:val="ListParagraph"/>
        <w:numPr>
          <w:ilvl w:val="0"/>
          <w:numId w:val="28"/>
        </w:numPr>
      </w:pPr>
      <w:r w:rsidRPr="00713D29">
        <w:t xml:space="preserve">If </w:t>
      </w:r>
      <w:r w:rsidRPr="00713D29" w:rsidR="00D763EB">
        <w:t>y</w:t>
      </w:r>
      <w:r w:rsidRPr="00713D29">
        <w:t>es, please cite the statu</w:t>
      </w:r>
      <w:r w:rsidR="00360891">
        <w:t>t</w:t>
      </w:r>
      <w:r w:rsidRPr="00713D29">
        <w:t>e, regulation, or contractual terms supporting the pledge.</w:t>
      </w:r>
    </w:p>
    <w:p w:rsidR="00BD79C1" w:rsidP="00BD79C1" w:rsidRDefault="00BD79C1" w14:paraId="77185673" w14:textId="77777777">
      <w:pPr>
        <w:pStyle w:val="ListParagraph"/>
      </w:pPr>
    </w:p>
    <w:p w:rsidR="00BD79C1" w:rsidP="00BD79C1" w:rsidRDefault="00BD79C1" w14:paraId="691C6BC2" w14:textId="5F82E0E8">
      <w:r>
        <w:rPr>
          <w:sz w:val="23"/>
          <w:szCs w:val="23"/>
        </w:rPr>
        <w:t xml:space="preserve">Two of the surveys relate to participation in ADR. The Alternative Dispute Resolution </w:t>
      </w:r>
      <w:r>
        <w:t>Act, at 5 U.S.C. § 574, requires neutrals and parties to ADR proceedings to keep dispute resolution communications confidential (with limited exceptions). Consistent with this core component of ADR, CFPB assures ADR survey respondents that their survey responses will be kept confidential to the extent feasible, and cautions survey respondents not to provide information in response to surveys that would reveal specifics about matters discussed during relevant ADR proceedings.</w:t>
      </w:r>
    </w:p>
    <w:p w:rsidR="001F58F4" w:rsidP="00BD79C1" w:rsidRDefault="001F58F4" w14:paraId="3AFB052A" w14:textId="77777777"/>
    <w:p w:rsidR="00BD79C1" w:rsidP="00BD79C1" w:rsidRDefault="00BD79C1" w14:paraId="27B4836B" w14:textId="405BF155">
      <w:r>
        <w:t>Two of the surveys deal with the federal-sector EEO process, at 29 C.F.R. Part 1614. Under rules governing this Part 1614 process, information regarding an individual’s EEO complaint and related proceedings also must be kept confidential and cannot be shared with anyone who does not have a need to know the information. Accordingly, survey respondents are informed that their responses and/or comments will remain</w:t>
      </w:r>
      <w:r w:rsidR="001F58F4">
        <w:t xml:space="preserve"> </w:t>
      </w:r>
      <w:r>
        <w:t>anonymous, that OCR will not try and identify the respondent or distribute individual responses or comments to anyone else (unless required to do so by law).</w:t>
      </w:r>
    </w:p>
    <w:p w:rsidR="00BD79C1" w:rsidP="00BD79C1" w:rsidRDefault="00BD79C1" w14:paraId="6799171B" w14:textId="532272CE">
      <w:r>
        <w:lastRenderedPageBreak/>
        <w:t>The survey reminds respondents that confidentiality is critical to the integrity and success of the EEO Complaints Program and the ADR Program. However, while the feedback surveys do not provide an explicate pledge of confidentiality, they do let the respondents know that responses are anonymous.</w:t>
      </w:r>
    </w:p>
    <w:p w:rsidR="00716FE1" w:rsidP="00716FE1" w:rsidRDefault="00716FE1" w14:paraId="38D96966" w14:textId="77777777">
      <w:pPr>
        <w:autoSpaceDE w:val="0"/>
        <w:autoSpaceDN w:val="0"/>
        <w:adjustRightInd w:val="0"/>
        <w:spacing w:line="264" w:lineRule="auto"/>
        <w:rPr>
          <w:b/>
          <w:bCs/>
          <w:color w:val="000000"/>
          <w:sz w:val="22"/>
          <w:szCs w:val="22"/>
        </w:rPr>
      </w:pPr>
      <w:bookmarkStart w:name="_Hlk70692215" w:id="0"/>
    </w:p>
    <w:bookmarkEnd w:id="0"/>
    <w:p w:rsidRPr="008222BD" w:rsidR="00F8707B" w:rsidP="008C4E6C" w:rsidRDefault="00F8707B" w14:paraId="4554EE18" w14:textId="6373DEDB">
      <w:pPr>
        <w:pStyle w:val="ListParagraph"/>
        <w:numPr>
          <w:ilvl w:val="0"/>
          <w:numId w:val="25"/>
        </w:numPr>
      </w:pPr>
      <w:r w:rsidRPr="00AB78E0">
        <w:rPr>
          <w:b/>
        </w:rPr>
        <w:t>JUSTIFICATION OF SENSITIVE QUESTIONS (if applicable)</w:t>
      </w:r>
      <w:r w:rsidRPr="008222BD">
        <w:t>:</w:t>
      </w:r>
      <w:r w:rsidR="00BD6425">
        <w:t xml:space="preserve">  </w:t>
      </w:r>
      <w:r w:rsidR="001F58F4">
        <w:t>N/A</w:t>
      </w:r>
    </w:p>
    <w:p w:rsidRPr="008222BD" w:rsidR="00F8707B" w:rsidP="00F8707B" w:rsidRDefault="00F8707B" w14:paraId="4554EE19" w14:textId="77777777"/>
    <w:p w:rsidR="005E714A" w:rsidP="008C4E6C" w:rsidRDefault="005E714A" w14:paraId="4554EE1A" w14:textId="45ED32A2">
      <w:pPr>
        <w:pStyle w:val="ListParagraph"/>
        <w:numPr>
          <w:ilvl w:val="0"/>
          <w:numId w:val="25"/>
        </w:numPr>
      </w:pPr>
      <w:r w:rsidRPr="004A4C53">
        <w:rPr>
          <w:b/>
        </w:rPr>
        <w:t>BURDEN HOUR</w:t>
      </w:r>
      <w:r w:rsidRPr="004A4C53" w:rsidR="00441434">
        <w:rPr>
          <w:b/>
        </w:rPr>
        <w:t>S</w:t>
      </w:r>
      <w:r w:rsidRPr="004A4C53" w:rsidR="008C4E6C">
        <w:t>:</w:t>
      </w:r>
    </w:p>
    <w:p w:rsidR="004C6F7D" w:rsidP="004C6F7D" w:rsidRDefault="004C6F7D" w14:paraId="4F8FA2B1" w14:textId="77777777">
      <w:pPr>
        <w:pStyle w:val="ListParagraph"/>
      </w:pPr>
    </w:p>
    <w:p w:rsidR="004C6F7D" w:rsidP="004C6F7D" w:rsidRDefault="004C6F7D" w14:paraId="37BC582E" w14:textId="2C5EBFDC"/>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974D15" w:rsidTr="00CA2442" w14:paraId="18A35E65" w14:textId="77777777">
        <w:trPr>
          <w:trHeight w:val="274"/>
        </w:trPr>
        <w:tc>
          <w:tcPr>
            <w:tcW w:w="2898" w:type="dxa"/>
            <w:shd w:val="clear" w:color="auto" w:fill="D9D9D9" w:themeFill="background1" w:themeFillShade="D9"/>
          </w:tcPr>
          <w:p w:rsidRPr="0020673E" w:rsidR="00974D15" w:rsidP="00CA2442" w:rsidRDefault="00974D15" w14:paraId="2A01F4A8" w14:textId="77777777">
            <w:pPr>
              <w:rPr>
                <w:b/>
              </w:rPr>
            </w:pPr>
            <w:r w:rsidRPr="0020673E">
              <w:rPr>
                <w:b/>
              </w:rPr>
              <w:t xml:space="preserve">Collection of Information </w:t>
            </w:r>
          </w:p>
        </w:tc>
        <w:tc>
          <w:tcPr>
            <w:tcW w:w="1800" w:type="dxa"/>
            <w:shd w:val="clear" w:color="auto" w:fill="D9D9D9" w:themeFill="background1" w:themeFillShade="D9"/>
          </w:tcPr>
          <w:p w:rsidRPr="0020673E" w:rsidR="00974D15" w:rsidP="00CA2442" w:rsidRDefault="00974D15" w14:paraId="2813A840" w14:textId="77777777">
            <w:pPr>
              <w:jc w:val="center"/>
              <w:rPr>
                <w:b/>
              </w:rPr>
            </w:pPr>
            <w:r w:rsidRPr="0020673E">
              <w:rPr>
                <w:b/>
              </w:rPr>
              <w:t xml:space="preserve">Number of </w:t>
            </w:r>
            <w:r>
              <w:rPr>
                <w:b/>
              </w:rPr>
              <w:t xml:space="preserve">Annual </w:t>
            </w:r>
            <w:r w:rsidRPr="0020673E">
              <w:rPr>
                <w:b/>
              </w:rPr>
              <w:t>Respondents</w:t>
            </w:r>
          </w:p>
        </w:tc>
        <w:tc>
          <w:tcPr>
            <w:tcW w:w="1350" w:type="dxa"/>
            <w:shd w:val="clear" w:color="auto" w:fill="D9D9D9" w:themeFill="background1" w:themeFillShade="D9"/>
          </w:tcPr>
          <w:p w:rsidRPr="0020673E" w:rsidR="00974D15" w:rsidP="00CA2442" w:rsidRDefault="00974D15" w14:paraId="152A6337" w14:textId="77777777">
            <w:pPr>
              <w:jc w:val="center"/>
              <w:rPr>
                <w:b/>
              </w:rPr>
            </w:pPr>
            <w:r w:rsidRPr="0020673E">
              <w:rPr>
                <w:b/>
              </w:rPr>
              <w:t>Frequency</w:t>
            </w:r>
          </w:p>
        </w:tc>
        <w:tc>
          <w:tcPr>
            <w:tcW w:w="1350" w:type="dxa"/>
            <w:shd w:val="clear" w:color="auto" w:fill="D9D9D9" w:themeFill="background1" w:themeFillShade="D9"/>
          </w:tcPr>
          <w:p w:rsidRPr="0020673E" w:rsidR="00974D15" w:rsidP="00CA2442" w:rsidRDefault="00974D15" w14:paraId="162CDECB" w14:textId="77777777">
            <w:pPr>
              <w:jc w:val="center"/>
              <w:rPr>
                <w:b/>
              </w:rPr>
            </w:pPr>
            <w:r w:rsidRPr="0020673E">
              <w:rPr>
                <w:b/>
              </w:rPr>
              <w:t>Number of Annual Responses</w:t>
            </w:r>
          </w:p>
        </w:tc>
        <w:tc>
          <w:tcPr>
            <w:tcW w:w="1440" w:type="dxa"/>
            <w:shd w:val="clear" w:color="auto" w:fill="D9D9D9" w:themeFill="background1" w:themeFillShade="D9"/>
          </w:tcPr>
          <w:p w:rsidRPr="0020673E" w:rsidR="00974D15" w:rsidP="00CA2442" w:rsidRDefault="00974D15" w14:paraId="526BD2DC" w14:textId="77777777">
            <w:pPr>
              <w:jc w:val="center"/>
              <w:rPr>
                <w:b/>
              </w:rPr>
            </w:pPr>
            <w:r w:rsidRPr="0020673E">
              <w:rPr>
                <w:b/>
              </w:rPr>
              <w:t>Average Response Time</w:t>
            </w:r>
          </w:p>
          <w:p w:rsidRPr="0020673E" w:rsidR="00974D15" w:rsidP="00CA2442" w:rsidRDefault="00974D15" w14:paraId="0D8515D8" w14:textId="77777777">
            <w:pPr>
              <w:jc w:val="center"/>
              <w:rPr>
                <w:b/>
              </w:rPr>
            </w:pPr>
            <w:r w:rsidRPr="0020673E">
              <w:rPr>
                <w:b/>
              </w:rPr>
              <w:t>(hours)</w:t>
            </w:r>
          </w:p>
        </w:tc>
        <w:tc>
          <w:tcPr>
            <w:tcW w:w="1530" w:type="dxa"/>
            <w:shd w:val="clear" w:color="auto" w:fill="D9D9D9" w:themeFill="background1" w:themeFillShade="D9"/>
          </w:tcPr>
          <w:p w:rsidRPr="0020673E" w:rsidR="00974D15" w:rsidP="00CA2442" w:rsidRDefault="00974D15" w14:paraId="45A3C3BA" w14:textId="77777777">
            <w:pPr>
              <w:jc w:val="center"/>
              <w:rPr>
                <w:b/>
              </w:rPr>
            </w:pPr>
            <w:r>
              <w:rPr>
                <w:b/>
              </w:rPr>
              <w:t xml:space="preserve">Annual </w:t>
            </w:r>
            <w:r w:rsidRPr="0020673E">
              <w:rPr>
                <w:b/>
              </w:rPr>
              <w:t>Burden</w:t>
            </w:r>
          </w:p>
          <w:p w:rsidRPr="0020673E" w:rsidR="00974D15" w:rsidP="00CA2442" w:rsidRDefault="00974D15" w14:paraId="3698A29E" w14:textId="77777777">
            <w:pPr>
              <w:jc w:val="center"/>
              <w:rPr>
                <w:b/>
              </w:rPr>
            </w:pPr>
            <w:r w:rsidRPr="0020673E">
              <w:rPr>
                <w:b/>
              </w:rPr>
              <w:t>(hours)</w:t>
            </w:r>
          </w:p>
        </w:tc>
      </w:tr>
      <w:tr w:rsidRPr="00713D29" w:rsidR="00974D15" w:rsidTr="00EB27C7" w14:paraId="77CE992A" w14:textId="77777777">
        <w:trPr>
          <w:trHeight w:val="197"/>
        </w:trPr>
        <w:tc>
          <w:tcPr>
            <w:tcW w:w="2898" w:type="dxa"/>
          </w:tcPr>
          <w:p w:rsidRPr="00713D29" w:rsidR="00974D15" w:rsidP="00CA2442" w:rsidRDefault="001F58F4" w14:paraId="4E68F7BF" w14:textId="7B7E269B">
            <w:r>
              <w:t>EEO Counseling Survey</w:t>
            </w:r>
          </w:p>
        </w:tc>
        <w:tc>
          <w:tcPr>
            <w:tcW w:w="1800" w:type="dxa"/>
          </w:tcPr>
          <w:p w:rsidRPr="00713D29" w:rsidR="00974D15" w:rsidP="00CA2442" w:rsidRDefault="001F58F4" w14:paraId="2BF536ED" w14:textId="099A5744">
            <w:pPr>
              <w:jc w:val="center"/>
            </w:pPr>
            <w:r>
              <w:t>3</w:t>
            </w:r>
          </w:p>
        </w:tc>
        <w:tc>
          <w:tcPr>
            <w:tcW w:w="1350" w:type="dxa"/>
          </w:tcPr>
          <w:p w:rsidRPr="00713D29" w:rsidR="00974D15" w:rsidP="00CA2442" w:rsidRDefault="00974D15" w14:paraId="7948E215" w14:textId="00451BD9">
            <w:pPr>
              <w:jc w:val="center"/>
            </w:pPr>
            <w:r>
              <w:t>1</w:t>
            </w:r>
            <w:bookmarkStart w:name="_Ref83977435" w:id="1"/>
            <w:r w:rsidR="00FA215A">
              <w:rPr>
                <w:rStyle w:val="FootnoteReference"/>
              </w:rPr>
              <w:footnoteReference w:id="2"/>
            </w:r>
            <w:bookmarkEnd w:id="1"/>
          </w:p>
        </w:tc>
        <w:tc>
          <w:tcPr>
            <w:tcW w:w="1350" w:type="dxa"/>
          </w:tcPr>
          <w:p w:rsidRPr="00713D29" w:rsidR="00974D15" w:rsidP="00CA2442" w:rsidRDefault="001F58F4" w14:paraId="7C164479" w14:textId="3FA5825D">
            <w:pPr>
              <w:jc w:val="center"/>
            </w:pPr>
            <w:r>
              <w:t>3</w:t>
            </w:r>
          </w:p>
        </w:tc>
        <w:tc>
          <w:tcPr>
            <w:tcW w:w="1440" w:type="dxa"/>
          </w:tcPr>
          <w:p w:rsidRPr="00713D29" w:rsidR="00974D15" w:rsidP="00CA2442" w:rsidRDefault="001F58F4" w14:paraId="7D4DD81B" w14:textId="15E65E42">
            <w:pPr>
              <w:jc w:val="center"/>
            </w:pPr>
            <w:r>
              <w:t>0.16</w:t>
            </w:r>
          </w:p>
        </w:tc>
        <w:tc>
          <w:tcPr>
            <w:tcW w:w="1530" w:type="dxa"/>
          </w:tcPr>
          <w:p w:rsidRPr="00713D29" w:rsidR="00974D15" w:rsidP="00CA2442" w:rsidRDefault="001F58F4" w14:paraId="2E687148" w14:textId="34AF550E">
            <w:pPr>
              <w:jc w:val="center"/>
            </w:pPr>
            <w:r>
              <w:t>1</w:t>
            </w:r>
          </w:p>
        </w:tc>
      </w:tr>
      <w:tr w:rsidRPr="00713D29" w:rsidR="00D56BE5" w:rsidTr="00EB27C7" w14:paraId="78739136" w14:textId="77777777">
        <w:trPr>
          <w:trHeight w:val="197"/>
        </w:trPr>
        <w:tc>
          <w:tcPr>
            <w:tcW w:w="2898" w:type="dxa"/>
          </w:tcPr>
          <w:p w:rsidR="00D56BE5" w:rsidP="00CA2442" w:rsidRDefault="001F58F4" w14:paraId="6AA44333" w14:textId="36BEC959">
            <w:r>
              <w:t>EEO Formal Complaint Survey</w:t>
            </w:r>
          </w:p>
        </w:tc>
        <w:tc>
          <w:tcPr>
            <w:tcW w:w="1800" w:type="dxa"/>
          </w:tcPr>
          <w:p w:rsidR="00D56BE5" w:rsidP="00CA2442" w:rsidRDefault="001F58F4" w14:paraId="3AB2E6C0" w14:textId="21D3E295">
            <w:pPr>
              <w:jc w:val="center"/>
            </w:pPr>
            <w:r>
              <w:t>3</w:t>
            </w:r>
          </w:p>
        </w:tc>
        <w:tc>
          <w:tcPr>
            <w:tcW w:w="1350" w:type="dxa"/>
          </w:tcPr>
          <w:p w:rsidR="00D56BE5" w:rsidP="00CA2442" w:rsidRDefault="004322AD" w14:paraId="7C4B2AD0" w14:textId="06ACBF17">
            <w:pPr>
              <w:jc w:val="center"/>
            </w:pPr>
            <w:r>
              <w:t>1</w:t>
            </w:r>
            <w:r w:rsidRPr="005301EB" w:rsidR="005301EB">
              <w:rPr>
                <w:vertAlign w:val="superscript"/>
              </w:rPr>
              <w:fldChar w:fldCharType="begin"/>
            </w:r>
            <w:r w:rsidRPr="005301EB" w:rsidR="005301EB">
              <w:rPr>
                <w:vertAlign w:val="superscript"/>
              </w:rPr>
              <w:instrText xml:space="preserve"> NOTEREF _Ref83977435 \h </w:instrText>
            </w:r>
            <w:r w:rsidR="005301EB">
              <w:rPr>
                <w:vertAlign w:val="superscript"/>
              </w:rPr>
              <w:instrText xml:space="preserve"> \* MERGEFORMAT </w:instrText>
            </w:r>
            <w:r w:rsidRPr="005301EB" w:rsidR="005301EB">
              <w:rPr>
                <w:vertAlign w:val="superscript"/>
              </w:rPr>
            </w:r>
            <w:r w:rsidRPr="005301EB" w:rsidR="005301EB">
              <w:rPr>
                <w:vertAlign w:val="superscript"/>
              </w:rPr>
              <w:fldChar w:fldCharType="separate"/>
            </w:r>
            <w:r w:rsidRPr="005301EB" w:rsidR="005301EB">
              <w:rPr>
                <w:vertAlign w:val="superscript"/>
              </w:rPr>
              <w:t>1</w:t>
            </w:r>
            <w:r w:rsidRPr="005301EB" w:rsidR="005301EB">
              <w:rPr>
                <w:vertAlign w:val="superscript"/>
              </w:rPr>
              <w:fldChar w:fldCharType="end"/>
            </w:r>
          </w:p>
        </w:tc>
        <w:tc>
          <w:tcPr>
            <w:tcW w:w="1350" w:type="dxa"/>
          </w:tcPr>
          <w:p w:rsidR="00D56BE5" w:rsidP="00CA2442" w:rsidRDefault="001F58F4" w14:paraId="6AB6704F" w14:textId="4A11AFF3">
            <w:pPr>
              <w:jc w:val="center"/>
            </w:pPr>
            <w:r>
              <w:t>3</w:t>
            </w:r>
          </w:p>
        </w:tc>
        <w:tc>
          <w:tcPr>
            <w:tcW w:w="1440" w:type="dxa"/>
          </w:tcPr>
          <w:p w:rsidR="00D56BE5" w:rsidP="00CA2442" w:rsidRDefault="001F58F4" w14:paraId="73FF858D" w14:textId="6FD2447F">
            <w:pPr>
              <w:jc w:val="center"/>
            </w:pPr>
            <w:r>
              <w:t>0.16</w:t>
            </w:r>
          </w:p>
        </w:tc>
        <w:tc>
          <w:tcPr>
            <w:tcW w:w="1530" w:type="dxa"/>
          </w:tcPr>
          <w:p w:rsidR="00D56BE5" w:rsidP="00CA2442" w:rsidRDefault="001F58F4" w14:paraId="2CB35FEB" w14:textId="780D8BD2">
            <w:pPr>
              <w:jc w:val="center"/>
            </w:pPr>
            <w:r>
              <w:t>1</w:t>
            </w:r>
          </w:p>
        </w:tc>
      </w:tr>
      <w:tr w:rsidRPr="00713D29" w:rsidR="001F58F4" w:rsidTr="00EB27C7" w14:paraId="35625C2F" w14:textId="77777777">
        <w:trPr>
          <w:trHeight w:val="197"/>
        </w:trPr>
        <w:tc>
          <w:tcPr>
            <w:tcW w:w="2898" w:type="dxa"/>
          </w:tcPr>
          <w:p w:rsidR="001F58F4" w:rsidP="00CA2442" w:rsidRDefault="001F58F4" w14:paraId="09B92C24" w14:textId="4036FD56">
            <w:r>
              <w:t>EEO ADR Survey</w:t>
            </w:r>
          </w:p>
        </w:tc>
        <w:tc>
          <w:tcPr>
            <w:tcW w:w="1800" w:type="dxa"/>
          </w:tcPr>
          <w:p w:rsidR="001F58F4" w:rsidP="00CA2442" w:rsidRDefault="001F58F4" w14:paraId="1FDF07F8" w14:textId="18A1AC9A">
            <w:pPr>
              <w:jc w:val="center"/>
            </w:pPr>
            <w:r>
              <w:t>1</w:t>
            </w:r>
          </w:p>
        </w:tc>
        <w:tc>
          <w:tcPr>
            <w:tcW w:w="1350" w:type="dxa"/>
          </w:tcPr>
          <w:p w:rsidR="001F58F4" w:rsidP="00CA2442" w:rsidRDefault="001F58F4" w14:paraId="4A4172FC" w14:textId="0D675A0E">
            <w:pPr>
              <w:jc w:val="center"/>
            </w:pPr>
            <w:r>
              <w:t>1</w:t>
            </w:r>
          </w:p>
        </w:tc>
        <w:tc>
          <w:tcPr>
            <w:tcW w:w="1350" w:type="dxa"/>
          </w:tcPr>
          <w:p w:rsidR="001F58F4" w:rsidP="00CA2442" w:rsidRDefault="001F58F4" w14:paraId="4BE508BC" w14:textId="50F670D9">
            <w:pPr>
              <w:jc w:val="center"/>
            </w:pPr>
            <w:r>
              <w:t>1</w:t>
            </w:r>
          </w:p>
        </w:tc>
        <w:tc>
          <w:tcPr>
            <w:tcW w:w="1440" w:type="dxa"/>
          </w:tcPr>
          <w:p w:rsidR="001F58F4" w:rsidP="00CA2442" w:rsidRDefault="001F58F4" w14:paraId="2C8CF04F" w14:textId="43839DBC">
            <w:pPr>
              <w:jc w:val="center"/>
            </w:pPr>
            <w:r>
              <w:t>0.16</w:t>
            </w:r>
          </w:p>
        </w:tc>
        <w:tc>
          <w:tcPr>
            <w:tcW w:w="1530" w:type="dxa"/>
          </w:tcPr>
          <w:p w:rsidR="001F58F4" w:rsidP="00CA2442" w:rsidRDefault="001F58F4" w14:paraId="35EBE2A3" w14:textId="2B470C71">
            <w:pPr>
              <w:jc w:val="center"/>
            </w:pPr>
            <w:r>
              <w:t>1</w:t>
            </w:r>
          </w:p>
        </w:tc>
      </w:tr>
      <w:tr w:rsidRPr="00713D29" w:rsidR="001F58F4" w:rsidTr="00EB27C7" w14:paraId="476C2D2C" w14:textId="77777777">
        <w:trPr>
          <w:trHeight w:val="197"/>
        </w:trPr>
        <w:tc>
          <w:tcPr>
            <w:tcW w:w="2898" w:type="dxa"/>
          </w:tcPr>
          <w:p w:rsidR="001F58F4" w:rsidP="00CA2442" w:rsidRDefault="001F58F4" w14:paraId="72BBE70B" w14:textId="0AD7D0C1">
            <w:r>
              <w:t>Non-EEO ADR Survey</w:t>
            </w:r>
          </w:p>
        </w:tc>
        <w:tc>
          <w:tcPr>
            <w:tcW w:w="1800" w:type="dxa"/>
          </w:tcPr>
          <w:p w:rsidR="001F58F4" w:rsidP="00CA2442" w:rsidRDefault="001F58F4" w14:paraId="2D9B80B7" w14:textId="147034FD">
            <w:pPr>
              <w:jc w:val="center"/>
            </w:pPr>
            <w:r>
              <w:t>1</w:t>
            </w:r>
          </w:p>
        </w:tc>
        <w:tc>
          <w:tcPr>
            <w:tcW w:w="1350" w:type="dxa"/>
          </w:tcPr>
          <w:p w:rsidR="001F58F4" w:rsidP="00CA2442" w:rsidRDefault="001F58F4" w14:paraId="41A5BFBA" w14:textId="2FAD7C38">
            <w:pPr>
              <w:jc w:val="center"/>
            </w:pPr>
            <w:r>
              <w:t>1</w:t>
            </w:r>
          </w:p>
        </w:tc>
        <w:tc>
          <w:tcPr>
            <w:tcW w:w="1350" w:type="dxa"/>
          </w:tcPr>
          <w:p w:rsidR="001F58F4" w:rsidP="00CA2442" w:rsidRDefault="001F58F4" w14:paraId="0EB914D8" w14:textId="2D832D90">
            <w:pPr>
              <w:jc w:val="center"/>
            </w:pPr>
            <w:r>
              <w:t>1</w:t>
            </w:r>
          </w:p>
        </w:tc>
        <w:tc>
          <w:tcPr>
            <w:tcW w:w="1440" w:type="dxa"/>
          </w:tcPr>
          <w:p w:rsidR="001F58F4" w:rsidP="00CA2442" w:rsidRDefault="001F58F4" w14:paraId="6D6166E0" w14:textId="7CBB691C">
            <w:pPr>
              <w:jc w:val="center"/>
            </w:pPr>
            <w:r>
              <w:t>0.16</w:t>
            </w:r>
          </w:p>
        </w:tc>
        <w:tc>
          <w:tcPr>
            <w:tcW w:w="1530" w:type="dxa"/>
          </w:tcPr>
          <w:p w:rsidR="001F58F4" w:rsidP="00CA2442" w:rsidRDefault="001F58F4" w14:paraId="4CB4995C" w14:textId="3CBC5042">
            <w:pPr>
              <w:jc w:val="center"/>
            </w:pPr>
            <w:r>
              <w:t>1</w:t>
            </w:r>
          </w:p>
        </w:tc>
      </w:tr>
      <w:tr w:rsidRPr="00713D29" w:rsidR="00974D15" w:rsidTr="00CA2442" w14:paraId="0F8A95C8" w14:textId="77777777">
        <w:trPr>
          <w:trHeight w:val="289"/>
        </w:trPr>
        <w:tc>
          <w:tcPr>
            <w:tcW w:w="2898" w:type="dxa"/>
          </w:tcPr>
          <w:p w:rsidRPr="0020673E" w:rsidR="00974D15" w:rsidP="00CA2442" w:rsidRDefault="00974D15" w14:paraId="4BD6E16F" w14:textId="77777777">
            <w:pPr>
              <w:jc w:val="right"/>
              <w:rPr>
                <w:b/>
              </w:rPr>
            </w:pPr>
            <w:r w:rsidRPr="0020673E">
              <w:rPr>
                <w:b/>
              </w:rPr>
              <w:t>Totals:</w:t>
            </w:r>
          </w:p>
        </w:tc>
        <w:tc>
          <w:tcPr>
            <w:tcW w:w="1800" w:type="dxa"/>
          </w:tcPr>
          <w:p w:rsidRPr="0020673E" w:rsidR="00974D15" w:rsidP="00CA2442" w:rsidRDefault="001F58F4" w14:paraId="0D933EDC" w14:textId="2988CC96">
            <w:pPr>
              <w:jc w:val="center"/>
              <w:rPr>
                <w:b/>
              </w:rPr>
            </w:pPr>
            <w:r>
              <w:rPr>
                <w:b/>
              </w:rPr>
              <w:t>8</w:t>
            </w:r>
          </w:p>
        </w:tc>
        <w:tc>
          <w:tcPr>
            <w:tcW w:w="1350" w:type="dxa"/>
            <w:shd w:val="clear" w:color="auto" w:fill="D9D9D9" w:themeFill="background1" w:themeFillShade="D9"/>
          </w:tcPr>
          <w:p w:rsidRPr="0020673E" w:rsidR="00974D15" w:rsidP="00CA2442" w:rsidRDefault="00974D15" w14:paraId="64DF4819" w14:textId="77777777">
            <w:pPr>
              <w:rPr>
                <w:b/>
              </w:rPr>
            </w:pPr>
          </w:p>
        </w:tc>
        <w:tc>
          <w:tcPr>
            <w:tcW w:w="1350" w:type="dxa"/>
          </w:tcPr>
          <w:p w:rsidRPr="0020673E" w:rsidR="00974D15" w:rsidP="00CA2442" w:rsidRDefault="001F58F4" w14:paraId="64DDE08A" w14:textId="04851D64">
            <w:pPr>
              <w:jc w:val="center"/>
              <w:rPr>
                <w:b/>
              </w:rPr>
            </w:pPr>
            <w:r>
              <w:rPr>
                <w:b/>
              </w:rPr>
              <w:t>8</w:t>
            </w:r>
          </w:p>
        </w:tc>
        <w:tc>
          <w:tcPr>
            <w:tcW w:w="1440" w:type="dxa"/>
            <w:shd w:val="clear" w:color="auto" w:fill="D9D9D9" w:themeFill="background1" w:themeFillShade="D9"/>
          </w:tcPr>
          <w:p w:rsidRPr="0020673E" w:rsidR="00974D15" w:rsidP="00CA2442" w:rsidRDefault="00974D15" w14:paraId="2EFBF8D5" w14:textId="77777777">
            <w:pPr>
              <w:rPr>
                <w:b/>
              </w:rPr>
            </w:pPr>
          </w:p>
        </w:tc>
        <w:tc>
          <w:tcPr>
            <w:tcW w:w="1530" w:type="dxa"/>
          </w:tcPr>
          <w:p w:rsidRPr="0020673E" w:rsidR="00974D15" w:rsidP="00CA2442" w:rsidRDefault="001F58F4" w14:paraId="1385D009" w14:textId="0640B576">
            <w:pPr>
              <w:jc w:val="center"/>
              <w:rPr>
                <w:b/>
              </w:rPr>
            </w:pPr>
            <w:r>
              <w:rPr>
                <w:b/>
              </w:rPr>
              <w:t>4</w:t>
            </w:r>
          </w:p>
        </w:tc>
      </w:tr>
    </w:tbl>
    <w:p w:rsidRPr="00713D29" w:rsidR="00F3170F" w:rsidP="00F3170F" w:rsidRDefault="00F3170F" w14:paraId="4554EE3A" w14:textId="77777777"/>
    <w:p w:rsidRPr="00713D29" w:rsidR="00441434" w:rsidP="00F3170F" w:rsidRDefault="00441434" w14:paraId="4554EE3B" w14:textId="77777777"/>
    <w:p w:rsidRPr="008222BD" w:rsidR="005E714A" w:rsidRDefault="008C4E6C" w14:paraId="4554EE3C" w14:textId="3D511471">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00567C0E">
        <w:rPr>
          <w:sz w:val="23"/>
          <w:szCs w:val="23"/>
        </w:rPr>
        <w:t>The estimated annual cost to the Federal government is $</w:t>
      </w:r>
      <w:r w:rsidR="00567C0E">
        <w:rPr>
          <w:sz w:val="23"/>
          <w:szCs w:val="23"/>
        </w:rPr>
        <w:t>0</w:t>
      </w:r>
      <w:r w:rsidR="00567C0E">
        <w:rPr>
          <w:sz w:val="23"/>
          <w:szCs w:val="23"/>
        </w:rPr>
        <w:t>.</w:t>
      </w:r>
    </w:p>
    <w:p w:rsidRPr="00410F81" w:rsidR="00A403BB" w:rsidP="00A403BB" w:rsidRDefault="00A403BB" w14:paraId="4554EE3E" w14:textId="77777777"/>
    <w:p w:rsidRPr="008222BD" w:rsidR="007508E3" w:rsidP="007508E3" w:rsidRDefault="008C4E6C" w14:paraId="4554EE3F" w14:textId="77777777">
      <w:r w:rsidRPr="00713D29">
        <w:t xml:space="preserve">13. </w:t>
      </w:r>
      <w:r w:rsidRPr="00AB78E0" w:rsidR="007508E3">
        <w:rPr>
          <w:b/>
        </w:rPr>
        <w:t>CERTIFICATION</w:t>
      </w:r>
      <w:r w:rsidRPr="008222BD" w:rsidR="007508E3">
        <w:t>:</w:t>
      </w:r>
    </w:p>
    <w:p w:rsidRPr="008222BD" w:rsidR="00A95606" w:rsidP="00A95606" w:rsidRDefault="00A95606" w14:paraId="4554EE40" w14:textId="77777777">
      <w:pPr>
        <w:spacing w:before="29"/>
        <w:ind w:right="-20"/>
      </w:pPr>
    </w:p>
    <w:p w:rsidR="00AB78E0" w:rsidP="00A95606" w:rsidRDefault="00A95606" w14:paraId="4554EE41"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4554EE42" w14:textId="77777777">
      <w:pPr>
        <w:spacing w:before="29"/>
        <w:ind w:right="-20"/>
        <w:rPr>
          <w:i/>
        </w:rPr>
      </w:pPr>
      <w:r w:rsidRPr="008222BD">
        <w:rPr>
          <w:i/>
        </w:rPr>
        <w:t>5 CFR 1320.8(b)(3):</w:t>
      </w:r>
    </w:p>
    <w:p w:rsidRPr="00410F81" w:rsidR="00A95606" w:rsidP="00A95606" w:rsidRDefault="00A95606" w14:paraId="4554EE43" w14:textId="77777777">
      <w:pPr>
        <w:pStyle w:val="ListParagraph"/>
        <w:spacing w:before="29"/>
        <w:ind w:left="460" w:right="-20"/>
      </w:pPr>
    </w:p>
    <w:p w:rsidRPr="00713D29" w:rsidR="00A95606" w:rsidP="00A95606" w:rsidRDefault="00A95606" w14:paraId="4554EE44"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4554EE45" w14:textId="77777777">
      <w:pPr>
        <w:pStyle w:val="ListParagraph"/>
        <w:spacing w:before="29"/>
        <w:ind w:left="460" w:right="-20"/>
      </w:pPr>
    </w:p>
    <w:p w:rsidRPr="00713D29" w:rsidR="00A95606" w:rsidP="00A95606" w:rsidRDefault="00A95606" w14:paraId="4554EE46" w14:textId="77777777">
      <w:pPr>
        <w:pStyle w:val="ListParagraph"/>
        <w:spacing w:before="29"/>
        <w:ind w:left="460" w:right="-20"/>
      </w:pPr>
      <w:r w:rsidRPr="00713D29">
        <w:t xml:space="preserve">(a) It is necessary for the proper performance of agency </w:t>
      </w:r>
      <w:proofErr w:type="gramStart"/>
      <w:r w:rsidRPr="00713D29">
        <w:t>functions;</w:t>
      </w:r>
      <w:proofErr w:type="gramEnd"/>
      <w:r w:rsidRPr="00713D29">
        <w:t xml:space="preserve"> </w:t>
      </w:r>
    </w:p>
    <w:p w:rsidRPr="00713D29" w:rsidR="00A95606" w:rsidP="00A95606" w:rsidRDefault="00A95606" w14:paraId="4554EE47" w14:textId="77777777">
      <w:pPr>
        <w:pStyle w:val="ListParagraph"/>
        <w:spacing w:before="29"/>
        <w:ind w:left="460" w:right="-20"/>
      </w:pPr>
      <w:r w:rsidRPr="00713D29">
        <w:t xml:space="preserve">(b) It avoids unnecessary </w:t>
      </w:r>
      <w:proofErr w:type="gramStart"/>
      <w:r w:rsidRPr="00713D29">
        <w:t>duplication;</w:t>
      </w:r>
      <w:proofErr w:type="gramEnd"/>
      <w:r w:rsidRPr="00713D29">
        <w:t xml:space="preserve"> </w:t>
      </w:r>
    </w:p>
    <w:p w:rsidRPr="00713D29" w:rsidR="00A95606" w:rsidP="00A95606" w:rsidRDefault="00A95606" w14:paraId="4554EE48" w14:textId="77777777">
      <w:pPr>
        <w:pStyle w:val="ListParagraph"/>
        <w:spacing w:before="29"/>
        <w:ind w:left="460" w:right="-20"/>
      </w:pPr>
      <w:r w:rsidRPr="00713D29">
        <w:t xml:space="preserve">(c) It uses plain, coherent, and unambiguous terminology that is understandable to </w:t>
      </w:r>
      <w:proofErr w:type="gramStart"/>
      <w:r w:rsidRPr="00713D29">
        <w:t>respondents;</w:t>
      </w:r>
      <w:proofErr w:type="gramEnd"/>
    </w:p>
    <w:p w:rsidRPr="00713D29" w:rsidR="00A95606" w:rsidP="00A95606" w:rsidRDefault="00A95606" w14:paraId="4554EE49" w14:textId="77777777">
      <w:pPr>
        <w:pStyle w:val="ListParagraph"/>
        <w:spacing w:before="29"/>
        <w:ind w:left="460" w:right="-20"/>
      </w:pPr>
      <w:r w:rsidRPr="00713D29">
        <w:t xml:space="preserve">(d) Its implementation will be consistent and compatible with current reporting and recordkeeping </w:t>
      </w:r>
      <w:proofErr w:type="gramStart"/>
      <w:r w:rsidRPr="00713D29">
        <w:t>practices;</w:t>
      </w:r>
      <w:proofErr w:type="gramEnd"/>
    </w:p>
    <w:p w:rsidRPr="00713D29" w:rsidR="00A95606" w:rsidP="00A95606" w:rsidRDefault="00A95606" w14:paraId="4554EE4A" w14:textId="77777777">
      <w:pPr>
        <w:pStyle w:val="ListParagraph"/>
        <w:spacing w:before="29"/>
        <w:ind w:left="460" w:right="-20"/>
      </w:pPr>
      <w:r w:rsidRPr="00713D29">
        <w:t xml:space="preserve">(e) It indicates the retention period for recordkeeping </w:t>
      </w:r>
      <w:proofErr w:type="gramStart"/>
      <w:r w:rsidRPr="00713D29">
        <w:t>requirements;</w:t>
      </w:r>
      <w:proofErr w:type="gramEnd"/>
    </w:p>
    <w:p w:rsidRPr="00713D29" w:rsidR="00A95606" w:rsidP="00A95606" w:rsidRDefault="00A95606" w14:paraId="4554EE4B"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4554EE4C" w14:textId="77777777">
      <w:pPr>
        <w:pStyle w:val="ListParagraph"/>
        <w:spacing w:before="29"/>
        <w:ind w:left="460" w:right="-20" w:firstLine="260"/>
      </w:pPr>
      <w:r w:rsidRPr="00713D29">
        <w:t>(</w:t>
      </w:r>
      <w:proofErr w:type="spellStart"/>
      <w:r w:rsidRPr="00713D29">
        <w:t>i</w:t>
      </w:r>
      <w:proofErr w:type="spellEnd"/>
      <w:r w:rsidRPr="00713D29">
        <w:t xml:space="preserve">) Why the information is being </w:t>
      </w:r>
      <w:proofErr w:type="gramStart"/>
      <w:r w:rsidRPr="00713D29">
        <w:t>collected;</w:t>
      </w:r>
      <w:proofErr w:type="gramEnd"/>
    </w:p>
    <w:p w:rsidRPr="00713D29" w:rsidR="00A95606" w:rsidP="00A95606" w:rsidRDefault="00A95606" w14:paraId="4554EE4D" w14:textId="77777777">
      <w:pPr>
        <w:pStyle w:val="ListParagraph"/>
        <w:spacing w:before="29"/>
        <w:ind w:left="460" w:right="-20" w:firstLine="260"/>
      </w:pPr>
      <w:r w:rsidRPr="00713D29">
        <w:t xml:space="preserve">(ii) Use of </w:t>
      </w:r>
      <w:proofErr w:type="gramStart"/>
      <w:r w:rsidRPr="00713D29">
        <w:t>information;</w:t>
      </w:r>
      <w:proofErr w:type="gramEnd"/>
    </w:p>
    <w:p w:rsidRPr="00713D29" w:rsidR="00A95606" w:rsidP="00A95606" w:rsidRDefault="00A95606" w14:paraId="4554EE4E" w14:textId="77777777">
      <w:pPr>
        <w:pStyle w:val="ListParagraph"/>
        <w:spacing w:before="29"/>
        <w:ind w:left="460" w:right="-20" w:firstLine="260"/>
      </w:pPr>
      <w:r w:rsidRPr="00713D29">
        <w:t xml:space="preserve">(iii) Burden </w:t>
      </w:r>
      <w:proofErr w:type="gramStart"/>
      <w:r w:rsidRPr="00713D29">
        <w:t>estimate;</w:t>
      </w:r>
      <w:proofErr w:type="gramEnd"/>
    </w:p>
    <w:p w:rsidRPr="00713D29" w:rsidR="00A95606" w:rsidP="00A95606" w:rsidRDefault="00A95606" w14:paraId="4554EE4F" w14:textId="77777777">
      <w:pPr>
        <w:pStyle w:val="ListParagraph"/>
        <w:spacing w:before="29"/>
        <w:ind w:left="460" w:right="-20" w:firstLine="260"/>
      </w:pPr>
      <w:r w:rsidRPr="00713D29">
        <w:t>(iv) Nature of response (voluntary</w:t>
      </w:r>
      <w:proofErr w:type="gramStart"/>
      <w:r w:rsidRPr="00713D29">
        <w:t>);</w:t>
      </w:r>
      <w:proofErr w:type="gramEnd"/>
    </w:p>
    <w:p w:rsidRPr="00713D29" w:rsidR="00A95606" w:rsidP="00A95606" w:rsidRDefault="00A95606" w14:paraId="4554EE50" w14:textId="77777777">
      <w:pPr>
        <w:pStyle w:val="ListParagraph"/>
        <w:spacing w:before="29"/>
        <w:ind w:left="460" w:right="-20" w:firstLine="260"/>
      </w:pPr>
      <w:r w:rsidRPr="00713D29">
        <w:t>(v) Nature and extent of confidentiality; and</w:t>
      </w:r>
    </w:p>
    <w:p w:rsidRPr="00713D29" w:rsidR="00A95606" w:rsidP="00A95606" w:rsidRDefault="00A95606" w14:paraId="4554EE51" w14:textId="77777777">
      <w:pPr>
        <w:pStyle w:val="ListParagraph"/>
        <w:spacing w:before="29"/>
        <w:ind w:left="460" w:right="-20" w:firstLine="260"/>
      </w:pPr>
      <w:r w:rsidRPr="00713D29">
        <w:t xml:space="preserve">(vi) Need to display currently valid OMB control </w:t>
      </w:r>
      <w:proofErr w:type="gramStart"/>
      <w:r w:rsidRPr="00713D29">
        <w:t>number;</w:t>
      </w:r>
      <w:proofErr w:type="gramEnd"/>
    </w:p>
    <w:p w:rsidRPr="00713D29" w:rsidR="00A95606" w:rsidP="00A95606" w:rsidRDefault="00A95606" w14:paraId="4554EE52" w14:textId="77777777">
      <w:pPr>
        <w:spacing w:before="29"/>
        <w:ind w:left="460" w:right="-20"/>
      </w:pPr>
      <w:r w:rsidRPr="00713D29">
        <w:lastRenderedPageBreak/>
        <w:t xml:space="preserve">(g) It was developed by an office that has planned and allocated resources for the efficient and effective management and use of the information to be </w:t>
      </w:r>
      <w:proofErr w:type="gramStart"/>
      <w:r w:rsidRPr="00713D29">
        <w:t>collected;</w:t>
      </w:r>
      <w:proofErr w:type="gramEnd"/>
    </w:p>
    <w:p w:rsidRPr="00713D29" w:rsidR="00A95606" w:rsidP="00A95606" w:rsidRDefault="00A95606" w14:paraId="4554EE53" w14:textId="77777777">
      <w:pPr>
        <w:pStyle w:val="ListParagraph"/>
        <w:spacing w:before="29"/>
        <w:ind w:left="460" w:right="-20"/>
      </w:pPr>
      <w:r w:rsidRPr="00713D29">
        <w:t>(h) It uses effective and efficient statistical survey methodology; and</w:t>
      </w:r>
    </w:p>
    <w:p w:rsidRPr="00713D29" w:rsidR="00A95606" w:rsidP="00A95606" w:rsidRDefault="00A95606" w14:paraId="4554EE54" w14:textId="77777777">
      <w:pPr>
        <w:pStyle w:val="ListParagraph"/>
        <w:spacing w:before="29"/>
        <w:ind w:left="460" w:right="-20"/>
      </w:pPr>
      <w:r w:rsidRPr="00713D29">
        <w:t>(</w:t>
      </w:r>
      <w:proofErr w:type="spellStart"/>
      <w:r w:rsidRPr="00713D29">
        <w:t>i</w:t>
      </w:r>
      <w:proofErr w:type="spellEnd"/>
      <w:r w:rsidRPr="00713D29">
        <w:t>) It makes appropriate use of information technology.</w:t>
      </w:r>
    </w:p>
    <w:p w:rsidRPr="00713D29" w:rsidR="00A95606" w:rsidP="00A95606" w:rsidRDefault="00A95606" w14:paraId="4554EE55" w14:textId="77777777">
      <w:pPr>
        <w:pStyle w:val="ListParagraph"/>
        <w:spacing w:before="29"/>
        <w:ind w:left="460" w:right="-20"/>
      </w:pPr>
    </w:p>
    <w:p w:rsidRPr="00713D29" w:rsidR="00A95606" w:rsidP="00A95606" w:rsidRDefault="00A95606" w14:paraId="4554EE56" w14:textId="77777777">
      <w:pPr>
        <w:pStyle w:val="ListParagraph"/>
        <w:spacing w:before="29"/>
        <w:ind w:left="460" w:right="-20"/>
      </w:pPr>
    </w:p>
    <w:p w:rsidRPr="008222BD" w:rsidR="00A95606" w:rsidP="00A95606" w:rsidRDefault="00A95606" w14:paraId="4554EE57"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4554EE58" w14:textId="77777777"/>
    <w:p w:rsidRPr="00713D29" w:rsidR="007508E3" w:rsidP="007508E3" w:rsidRDefault="007508E3" w14:paraId="4554EE59" w14:textId="77777777">
      <w:r w:rsidRPr="00410F81">
        <w:t>By submitting this document, the Bureau certifies</w:t>
      </w:r>
      <w:r w:rsidRPr="00713D29">
        <w:t xml:space="preserve"> the following to be true: </w:t>
      </w:r>
    </w:p>
    <w:p w:rsidRPr="00713D29" w:rsidR="007508E3" w:rsidP="00410F81" w:rsidRDefault="007508E3" w14:paraId="4554EE5A" w14:textId="77777777">
      <w:pPr>
        <w:pStyle w:val="ListParagraph"/>
        <w:numPr>
          <w:ilvl w:val="0"/>
          <w:numId w:val="26"/>
        </w:numPr>
      </w:pPr>
      <w:r w:rsidRPr="00713D29">
        <w:t xml:space="preserve">The collection is voluntary. </w:t>
      </w:r>
    </w:p>
    <w:p w:rsidRPr="00713D29" w:rsidR="007508E3" w:rsidP="007508E3" w:rsidRDefault="007508E3" w14:paraId="4554EE5B" w14:textId="77777777">
      <w:pPr>
        <w:pStyle w:val="ListParagraph"/>
        <w:numPr>
          <w:ilvl w:val="0"/>
          <w:numId w:val="26"/>
        </w:numPr>
      </w:pPr>
      <w:r w:rsidRPr="00713D29">
        <w:t xml:space="preserve">The collection is </w:t>
      </w:r>
      <w:proofErr w:type="gramStart"/>
      <w:r w:rsidRPr="00713D29">
        <w:t>low-burden</w:t>
      </w:r>
      <w:proofErr w:type="gramEnd"/>
      <w:r w:rsidRPr="00713D29">
        <w:t xml:space="preserve"> for respondents.</w:t>
      </w:r>
    </w:p>
    <w:p w:rsidRPr="00713D29" w:rsidR="007508E3" w:rsidP="007508E3" w:rsidRDefault="007508E3" w14:paraId="4554EE5C"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4554EE5D"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554EE5E"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4554EE5F"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4554EE60" w14:textId="77777777"/>
    <w:sectPr w:rsidRPr="00761764" w:rsidR="00FA7432"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27523" w14:textId="77777777" w:rsidR="00AF294C" w:rsidRDefault="00AF294C">
      <w:r>
        <w:separator/>
      </w:r>
    </w:p>
  </w:endnote>
  <w:endnote w:type="continuationSeparator" w:id="0">
    <w:p w14:paraId="6536F5B3" w14:textId="77777777" w:rsidR="00AF294C" w:rsidRDefault="00AF294C">
      <w:r>
        <w:continuationSeparator/>
      </w:r>
    </w:p>
  </w:endnote>
  <w:endnote w:type="continuationNotice" w:id="1">
    <w:p w14:paraId="367C7D67" w14:textId="77777777" w:rsidR="00AF294C" w:rsidRDefault="00AF2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4EE66" w14:textId="77777777"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07EE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08D2D" w14:textId="77777777" w:rsidR="00AF294C" w:rsidRDefault="00AF294C">
      <w:r>
        <w:separator/>
      </w:r>
    </w:p>
  </w:footnote>
  <w:footnote w:type="continuationSeparator" w:id="0">
    <w:p w14:paraId="73F81379" w14:textId="77777777" w:rsidR="00AF294C" w:rsidRDefault="00AF294C">
      <w:r>
        <w:continuationSeparator/>
      </w:r>
    </w:p>
  </w:footnote>
  <w:footnote w:type="continuationNotice" w:id="1">
    <w:p w14:paraId="7159A863" w14:textId="77777777" w:rsidR="00AF294C" w:rsidRDefault="00AF294C"/>
  </w:footnote>
  <w:footnote w:id="2">
    <w:p w14:paraId="764A06B5" w14:textId="4BB49518" w:rsidR="00FA215A" w:rsidRDefault="00FA215A">
      <w:pPr>
        <w:pStyle w:val="FootnoteText"/>
      </w:pPr>
      <w:r>
        <w:rPr>
          <w:rStyle w:val="FootnoteReference"/>
        </w:rPr>
        <w:footnoteRef/>
      </w:r>
      <w:r>
        <w:t xml:space="preserve"> </w:t>
      </w:r>
      <w:r w:rsidR="002549AC">
        <w:t xml:space="preserve">Both categories of </w:t>
      </w:r>
      <w:r w:rsidR="00C9450C">
        <w:t>interviews are one-time information collections (not recurring).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53589"/>
    <w:multiLevelType w:val="hybridMultilevel"/>
    <w:tmpl w:val="1DA8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0C292072"/>
    <w:multiLevelType w:val="hybridMultilevel"/>
    <w:tmpl w:val="23C0D830"/>
    <w:lvl w:ilvl="0" w:tplc="EAC4070E">
      <w:start w:val="1"/>
      <w:numFmt w:val="lowerLetter"/>
      <w:lvlText w:val="%1."/>
      <w:lvlJc w:val="left"/>
      <w:pPr>
        <w:ind w:left="1135" w:hanging="420"/>
      </w:pPr>
      <w:rPr>
        <w:rFonts w:hint="default"/>
        <w:b w:val="0"/>
      </w:rPr>
    </w:lvl>
    <w:lvl w:ilvl="1" w:tplc="46D49010">
      <w:start w:val="3"/>
      <w:numFmt w:val="decimal"/>
      <w:lvlText w:val="%2"/>
      <w:lvlJc w:val="left"/>
      <w:pPr>
        <w:ind w:left="1795" w:hanging="360"/>
      </w:pPr>
      <w:rPr>
        <w:rFonts w:hint="default"/>
      </w:r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15:restartNumberingAfterBreak="0">
    <w:nsid w:val="0D0815CB"/>
    <w:multiLevelType w:val="hybridMultilevel"/>
    <w:tmpl w:val="73BC5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FB759F"/>
    <w:multiLevelType w:val="hybridMultilevel"/>
    <w:tmpl w:val="2A72B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CF20FE"/>
    <w:multiLevelType w:val="hybridMultilevel"/>
    <w:tmpl w:val="E4C28B2E"/>
    <w:lvl w:ilvl="0" w:tplc="04090017">
      <w:start w:val="1"/>
      <w:numFmt w:val="lowerLetter"/>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0574A"/>
    <w:multiLevelType w:val="hybridMultilevel"/>
    <w:tmpl w:val="5FEC3F0A"/>
    <w:lvl w:ilvl="0" w:tplc="1FF66AA2">
      <w:start w:val="1"/>
      <w:numFmt w:val="lowerLetter"/>
      <w:lvlText w:val="%1."/>
      <w:lvlJc w:val="left"/>
      <w:pPr>
        <w:ind w:left="820" w:hanging="360"/>
      </w:pPr>
      <w:rPr>
        <w:rFonts w:hint="default"/>
        <w:b/>
      </w:rPr>
    </w:lvl>
    <w:lvl w:ilvl="1" w:tplc="04090001">
      <w:start w:val="1"/>
      <w:numFmt w:val="bullet"/>
      <w:lvlText w:val=""/>
      <w:lvlJc w:val="left"/>
      <w:pPr>
        <w:ind w:left="1540" w:hanging="360"/>
      </w:pPr>
      <w:rPr>
        <w:rFonts w:ascii="Symbol" w:hAnsi="Symbol"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505629E4"/>
    <w:multiLevelType w:val="hybridMultilevel"/>
    <w:tmpl w:val="7E840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A16B5"/>
    <w:multiLevelType w:val="hybridMultilevel"/>
    <w:tmpl w:val="A18E59B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57E6649A"/>
    <w:multiLevelType w:val="hybridMultilevel"/>
    <w:tmpl w:val="84DA296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850FAE"/>
    <w:multiLevelType w:val="hybridMultilevel"/>
    <w:tmpl w:val="BFBAFD8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5" w15:restartNumberingAfterBreak="0">
    <w:nsid w:val="705C4CA2"/>
    <w:multiLevelType w:val="hybridMultilevel"/>
    <w:tmpl w:val="40F44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F35AF"/>
    <w:multiLevelType w:val="hybridMultilevel"/>
    <w:tmpl w:val="82CADD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38"/>
  </w:num>
  <w:num w:numId="4">
    <w:abstractNumId w:val="40"/>
  </w:num>
  <w:num w:numId="5">
    <w:abstractNumId w:val="8"/>
  </w:num>
  <w:num w:numId="6">
    <w:abstractNumId w:val="1"/>
  </w:num>
  <w:num w:numId="7">
    <w:abstractNumId w:val="19"/>
  </w:num>
  <w:num w:numId="8">
    <w:abstractNumId w:val="31"/>
  </w:num>
  <w:num w:numId="9">
    <w:abstractNumId w:val="20"/>
  </w:num>
  <w:num w:numId="10">
    <w:abstractNumId w:val="3"/>
  </w:num>
  <w:num w:numId="11">
    <w:abstractNumId w:val="12"/>
  </w:num>
  <w:num w:numId="12">
    <w:abstractNumId w:val="15"/>
  </w:num>
  <w:num w:numId="13">
    <w:abstractNumId w:val="0"/>
  </w:num>
  <w:num w:numId="14">
    <w:abstractNumId w:val="36"/>
  </w:num>
  <w:num w:numId="15">
    <w:abstractNumId w:val="30"/>
  </w:num>
  <w:num w:numId="16">
    <w:abstractNumId w:val="23"/>
  </w:num>
  <w:num w:numId="17">
    <w:abstractNumId w:val="9"/>
  </w:num>
  <w:num w:numId="18">
    <w:abstractNumId w:val="11"/>
  </w:num>
  <w:num w:numId="19">
    <w:abstractNumId w:val="41"/>
  </w:num>
  <w:num w:numId="20">
    <w:abstractNumId w:val="16"/>
  </w:num>
  <w:num w:numId="21">
    <w:abstractNumId w:val="18"/>
  </w:num>
  <w:num w:numId="22">
    <w:abstractNumId w:val="5"/>
  </w:num>
  <w:num w:numId="23">
    <w:abstractNumId w:val="6"/>
  </w:num>
  <w:num w:numId="24">
    <w:abstractNumId w:val="24"/>
  </w:num>
  <w:num w:numId="25">
    <w:abstractNumId w:val="17"/>
  </w:num>
  <w:num w:numId="26">
    <w:abstractNumId w:val="22"/>
  </w:num>
  <w:num w:numId="27">
    <w:abstractNumId w:val="14"/>
  </w:num>
  <w:num w:numId="28">
    <w:abstractNumId w:val="33"/>
  </w:num>
  <w:num w:numId="29">
    <w:abstractNumId w:val="29"/>
  </w:num>
  <w:num w:numId="30">
    <w:abstractNumId w:val="27"/>
  </w:num>
  <w:num w:numId="31">
    <w:abstractNumId w:val="32"/>
  </w:num>
  <w:num w:numId="32">
    <w:abstractNumId w:val="4"/>
  </w:num>
  <w:num w:numId="33">
    <w:abstractNumId w:val="34"/>
  </w:num>
  <w:num w:numId="34">
    <w:abstractNumId w:val="7"/>
  </w:num>
  <w:num w:numId="35">
    <w:abstractNumId w:val="25"/>
  </w:num>
  <w:num w:numId="36">
    <w:abstractNumId w:val="10"/>
  </w:num>
  <w:num w:numId="37">
    <w:abstractNumId w:val="2"/>
  </w:num>
  <w:num w:numId="38">
    <w:abstractNumId w:val="13"/>
  </w:num>
  <w:num w:numId="39">
    <w:abstractNumId w:val="26"/>
  </w:num>
  <w:num w:numId="40">
    <w:abstractNumId w:val="28"/>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6F1"/>
    <w:rsid w:val="00013E02"/>
    <w:rsid w:val="00020C82"/>
    <w:rsid w:val="00021835"/>
    <w:rsid w:val="00023A57"/>
    <w:rsid w:val="00027825"/>
    <w:rsid w:val="00031B05"/>
    <w:rsid w:val="00031FB6"/>
    <w:rsid w:val="000323A2"/>
    <w:rsid w:val="00047A64"/>
    <w:rsid w:val="00061BDF"/>
    <w:rsid w:val="00067329"/>
    <w:rsid w:val="0006753A"/>
    <w:rsid w:val="000702CE"/>
    <w:rsid w:val="00072B25"/>
    <w:rsid w:val="00075A04"/>
    <w:rsid w:val="0008412F"/>
    <w:rsid w:val="00091EC0"/>
    <w:rsid w:val="0009604F"/>
    <w:rsid w:val="000A1C35"/>
    <w:rsid w:val="000B2838"/>
    <w:rsid w:val="000B47B0"/>
    <w:rsid w:val="000C3C86"/>
    <w:rsid w:val="000D060A"/>
    <w:rsid w:val="000D084E"/>
    <w:rsid w:val="000D44CA"/>
    <w:rsid w:val="000E200B"/>
    <w:rsid w:val="000F414F"/>
    <w:rsid w:val="000F49D7"/>
    <w:rsid w:val="000F68BE"/>
    <w:rsid w:val="00115AF9"/>
    <w:rsid w:val="00164139"/>
    <w:rsid w:val="00167CF7"/>
    <w:rsid w:val="00172B2B"/>
    <w:rsid w:val="001927A4"/>
    <w:rsid w:val="00194AC6"/>
    <w:rsid w:val="001A09E0"/>
    <w:rsid w:val="001A23B0"/>
    <w:rsid w:val="001A25CC"/>
    <w:rsid w:val="001B0AAA"/>
    <w:rsid w:val="001C39F7"/>
    <w:rsid w:val="001D0B48"/>
    <w:rsid w:val="001D0F97"/>
    <w:rsid w:val="001E713F"/>
    <w:rsid w:val="001F2CCE"/>
    <w:rsid w:val="001F58F4"/>
    <w:rsid w:val="0020222E"/>
    <w:rsid w:val="0020537A"/>
    <w:rsid w:val="0021584A"/>
    <w:rsid w:val="00221809"/>
    <w:rsid w:val="00227A1F"/>
    <w:rsid w:val="00237B48"/>
    <w:rsid w:val="0024521E"/>
    <w:rsid w:val="002549AC"/>
    <w:rsid w:val="002559FF"/>
    <w:rsid w:val="00256097"/>
    <w:rsid w:val="00263C3D"/>
    <w:rsid w:val="00272962"/>
    <w:rsid w:val="00274D0B"/>
    <w:rsid w:val="00281916"/>
    <w:rsid w:val="00282A93"/>
    <w:rsid w:val="002A2428"/>
    <w:rsid w:val="002B3C95"/>
    <w:rsid w:val="002D0B92"/>
    <w:rsid w:val="002E3D1E"/>
    <w:rsid w:val="002E5F0D"/>
    <w:rsid w:val="002E6F60"/>
    <w:rsid w:val="00306F1B"/>
    <w:rsid w:val="00320C48"/>
    <w:rsid w:val="00360891"/>
    <w:rsid w:val="00363D08"/>
    <w:rsid w:val="00373821"/>
    <w:rsid w:val="00386742"/>
    <w:rsid w:val="003B3255"/>
    <w:rsid w:val="003C4E67"/>
    <w:rsid w:val="003D28E3"/>
    <w:rsid w:val="003D5BBE"/>
    <w:rsid w:val="003E3C61"/>
    <w:rsid w:val="003F1C5B"/>
    <w:rsid w:val="003F26CE"/>
    <w:rsid w:val="00410F81"/>
    <w:rsid w:val="004322AD"/>
    <w:rsid w:val="00434E33"/>
    <w:rsid w:val="00441434"/>
    <w:rsid w:val="0045264C"/>
    <w:rsid w:val="0045625A"/>
    <w:rsid w:val="004564BF"/>
    <w:rsid w:val="004876EC"/>
    <w:rsid w:val="004952D6"/>
    <w:rsid w:val="004A4C53"/>
    <w:rsid w:val="004C6F7D"/>
    <w:rsid w:val="004D475D"/>
    <w:rsid w:val="004D5BB9"/>
    <w:rsid w:val="004D6E14"/>
    <w:rsid w:val="004F0E18"/>
    <w:rsid w:val="004F2BEF"/>
    <w:rsid w:val="004F2DE0"/>
    <w:rsid w:val="005002FB"/>
    <w:rsid w:val="005009B0"/>
    <w:rsid w:val="00504A31"/>
    <w:rsid w:val="00505892"/>
    <w:rsid w:val="00514298"/>
    <w:rsid w:val="005301EB"/>
    <w:rsid w:val="00567C0E"/>
    <w:rsid w:val="00586C15"/>
    <w:rsid w:val="005937EB"/>
    <w:rsid w:val="005963BE"/>
    <w:rsid w:val="005A1006"/>
    <w:rsid w:val="005B5783"/>
    <w:rsid w:val="005D322C"/>
    <w:rsid w:val="005D6F7D"/>
    <w:rsid w:val="005E714A"/>
    <w:rsid w:val="0060532C"/>
    <w:rsid w:val="006140A0"/>
    <w:rsid w:val="00631060"/>
    <w:rsid w:val="00632758"/>
    <w:rsid w:val="00635087"/>
    <w:rsid w:val="00636621"/>
    <w:rsid w:val="006408A9"/>
    <w:rsid w:val="00642B49"/>
    <w:rsid w:val="0065613E"/>
    <w:rsid w:val="006601B4"/>
    <w:rsid w:val="00664E79"/>
    <w:rsid w:val="00671686"/>
    <w:rsid w:val="006832D9"/>
    <w:rsid w:val="0069403B"/>
    <w:rsid w:val="006A148B"/>
    <w:rsid w:val="006A48D0"/>
    <w:rsid w:val="006A50C3"/>
    <w:rsid w:val="006C48FE"/>
    <w:rsid w:val="006E0A4C"/>
    <w:rsid w:val="006F3DDE"/>
    <w:rsid w:val="00704678"/>
    <w:rsid w:val="007058EE"/>
    <w:rsid w:val="00713D29"/>
    <w:rsid w:val="00716FE1"/>
    <w:rsid w:val="007236FD"/>
    <w:rsid w:val="007353C3"/>
    <w:rsid w:val="007425E7"/>
    <w:rsid w:val="007508E3"/>
    <w:rsid w:val="00761764"/>
    <w:rsid w:val="0076320B"/>
    <w:rsid w:val="007A0098"/>
    <w:rsid w:val="007A3000"/>
    <w:rsid w:val="007B0AFF"/>
    <w:rsid w:val="007C4173"/>
    <w:rsid w:val="007F5775"/>
    <w:rsid w:val="00802607"/>
    <w:rsid w:val="008050DC"/>
    <w:rsid w:val="00806C5B"/>
    <w:rsid w:val="00807EE2"/>
    <w:rsid w:val="008101A5"/>
    <w:rsid w:val="00812F77"/>
    <w:rsid w:val="00815E90"/>
    <w:rsid w:val="008222BD"/>
    <w:rsid w:val="00822664"/>
    <w:rsid w:val="008248DA"/>
    <w:rsid w:val="00832097"/>
    <w:rsid w:val="00835D29"/>
    <w:rsid w:val="00843796"/>
    <w:rsid w:val="00861302"/>
    <w:rsid w:val="00886286"/>
    <w:rsid w:val="008941CE"/>
    <w:rsid w:val="00894FDB"/>
    <w:rsid w:val="00895229"/>
    <w:rsid w:val="008B16AE"/>
    <w:rsid w:val="008C4E6C"/>
    <w:rsid w:val="008C7153"/>
    <w:rsid w:val="008E2734"/>
    <w:rsid w:val="008E4390"/>
    <w:rsid w:val="008E68BC"/>
    <w:rsid w:val="008F0203"/>
    <w:rsid w:val="008F29E6"/>
    <w:rsid w:val="008F50D4"/>
    <w:rsid w:val="009239AA"/>
    <w:rsid w:val="009354D7"/>
    <w:rsid w:val="00935ADA"/>
    <w:rsid w:val="00943340"/>
    <w:rsid w:val="00943E56"/>
    <w:rsid w:val="00946B6C"/>
    <w:rsid w:val="00955A71"/>
    <w:rsid w:val="009607A9"/>
    <w:rsid w:val="0096108F"/>
    <w:rsid w:val="00974D15"/>
    <w:rsid w:val="0098752C"/>
    <w:rsid w:val="009A1128"/>
    <w:rsid w:val="009C13B9"/>
    <w:rsid w:val="009C33B0"/>
    <w:rsid w:val="009D01A2"/>
    <w:rsid w:val="009D2827"/>
    <w:rsid w:val="009E43FB"/>
    <w:rsid w:val="009F2B79"/>
    <w:rsid w:val="009F5923"/>
    <w:rsid w:val="009F598D"/>
    <w:rsid w:val="00A10274"/>
    <w:rsid w:val="00A272E7"/>
    <w:rsid w:val="00A335C5"/>
    <w:rsid w:val="00A3522D"/>
    <w:rsid w:val="00A403BB"/>
    <w:rsid w:val="00A674DF"/>
    <w:rsid w:val="00A72FE3"/>
    <w:rsid w:val="00A765DE"/>
    <w:rsid w:val="00A807C8"/>
    <w:rsid w:val="00A83AA6"/>
    <w:rsid w:val="00A94E2D"/>
    <w:rsid w:val="00A95606"/>
    <w:rsid w:val="00A96ADA"/>
    <w:rsid w:val="00AA5BF2"/>
    <w:rsid w:val="00AB78E0"/>
    <w:rsid w:val="00AC7763"/>
    <w:rsid w:val="00AC7F7A"/>
    <w:rsid w:val="00AD17AF"/>
    <w:rsid w:val="00AD7440"/>
    <w:rsid w:val="00AE0C95"/>
    <w:rsid w:val="00AE1809"/>
    <w:rsid w:val="00AE652E"/>
    <w:rsid w:val="00AE7EC7"/>
    <w:rsid w:val="00AF294C"/>
    <w:rsid w:val="00B040A0"/>
    <w:rsid w:val="00B05F21"/>
    <w:rsid w:val="00B2531E"/>
    <w:rsid w:val="00B346EE"/>
    <w:rsid w:val="00B43138"/>
    <w:rsid w:val="00B77107"/>
    <w:rsid w:val="00B80D76"/>
    <w:rsid w:val="00B842A1"/>
    <w:rsid w:val="00B848A8"/>
    <w:rsid w:val="00B84C0C"/>
    <w:rsid w:val="00BA2105"/>
    <w:rsid w:val="00BA7E06"/>
    <w:rsid w:val="00BB43B5"/>
    <w:rsid w:val="00BB6219"/>
    <w:rsid w:val="00BC28C5"/>
    <w:rsid w:val="00BD290F"/>
    <w:rsid w:val="00BD6425"/>
    <w:rsid w:val="00BD79C1"/>
    <w:rsid w:val="00BE11E2"/>
    <w:rsid w:val="00BF4943"/>
    <w:rsid w:val="00C01AEF"/>
    <w:rsid w:val="00C04642"/>
    <w:rsid w:val="00C104E3"/>
    <w:rsid w:val="00C13690"/>
    <w:rsid w:val="00C14CC4"/>
    <w:rsid w:val="00C33C52"/>
    <w:rsid w:val="00C36CC5"/>
    <w:rsid w:val="00C40D8B"/>
    <w:rsid w:val="00C51786"/>
    <w:rsid w:val="00C61CC9"/>
    <w:rsid w:val="00C6412C"/>
    <w:rsid w:val="00C65B6F"/>
    <w:rsid w:val="00C7503B"/>
    <w:rsid w:val="00C8407A"/>
    <w:rsid w:val="00C8488C"/>
    <w:rsid w:val="00C86E91"/>
    <w:rsid w:val="00C9450C"/>
    <w:rsid w:val="00CA0599"/>
    <w:rsid w:val="00CA2650"/>
    <w:rsid w:val="00CB1078"/>
    <w:rsid w:val="00CC6FAF"/>
    <w:rsid w:val="00CF4C3D"/>
    <w:rsid w:val="00D0676E"/>
    <w:rsid w:val="00D24698"/>
    <w:rsid w:val="00D5251A"/>
    <w:rsid w:val="00D5453B"/>
    <w:rsid w:val="00D56BE5"/>
    <w:rsid w:val="00D6383F"/>
    <w:rsid w:val="00D6490E"/>
    <w:rsid w:val="00D763EB"/>
    <w:rsid w:val="00D825DB"/>
    <w:rsid w:val="00D82ED1"/>
    <w:rsid w:val="00D90D41"/>
    <w:rsid w:val="00D913A3"/>
    <w:rsid w:val="00DB0267"/>
    <w:rsid w:val="00DB59D0"/>
    <w:rsid w:val="00DC33D3"/>
    <w:rsid w:val="00DD0E84"/>
    <w:rsid w:val="00DE439E"/>
    <w:rsid w:val="00DF5AF7"/>
    <w:rsid w:val="00E05F8A"/>
    <w:rsid w:val="00E14CB4"/>
    <w:rsid w:val="00E26329"/>
    <w:rsid w:val="00E404BE"/>
    <w:rsid w:val="00E40B50"/>
    <w:rsid w:val="00E50293"/>
    <w:rsid w:val="00E52808"/>
    <w:rsid w:val="00E65FFC"/>
    <w:rsid w:val="00E80951"/>
    <w:rsid w:val="00E86CC6"/>
    <w:rsid w:val="00EB27C7"/>
    <w:rsid w:val="00EB56B3"/>
    <w:rsid w:val="00ED6492"/>
    <w:rsid w:val="00EE6B96"/>
    <w:rsid w:val="00EF2095"/>
    <w:rsid w:val="00F00DAE"/>
    <w:rsid w:val="00F0258C"/>
    <w:rsid w:val="00F031F9"/>
    <w:rsid w:val="00F06866"/>
    <w:rsid w:val="00F1432A"/>
    <w:rsid w:val="00F15956"/>
    <w:rsid w:val="00F24CFC"/>
    <w:rsid w:val="00F26BC0"/>
    <w:rsid w:val="00F3170F"/>
    <w:rsid w:val="00F5230C"/>
    <w:rsid w:val="00F54D86"/>
    <w:rsid w:val="00F55F28"/>
    <w:rsid w:val="00F85219"/>
    <w:rsid w:val="00F8707B"/>
    <w:rsid w:val="00F976B0"/>
    <w:rsid w:val="00FA215A"/>
    <w:rsid w:val="00FA6DE7"/>
    <w:rsid w:val="00FA7432"/>
    <w:rsid w:val="00FC0A70"/>
    <w:rsid w:val="00FC0A8E"/>
    <w:rsid w:val="00FC16D1"/>
    <w:rsid w:val="00FD5086"/>
    <w:rsid w:val="00FE2FA6"/>
    <w:rsid w:val="00FE3DF2"/>
    <w:rsid w:val="00FE3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54EDD0"/>
  <w15:docId w15:val="{64C21C9E-6534-4FAF-8BC1-E68405BF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styleId="FootnoteReference">
    <w:name w:val="footnote reference"/>
    <w:aliases w:val="Diss. Footnote Reference"/>
    <w:basedOn w:val="DefaultParagraphFont"/>
    <w:uiPriority w:val="99"/>
    <w:qFormat/>
    <w:rsid w:val="009E43FB"/>
    <w:rPr>
      <w:vertAlign w:val="superscript"/>
    </w:rPr>
  </w:style>
  <w:style w:type="paragraph" w:styleId="FootnoteText">
    <w:name w:val="footnote text"/>
    <w:aliases w:val="F1"/>
    <w:basedOn w:val="Normal"/>
    <w:link w:val="FootnoteTextChar"/>
    <w:uiPriority w:val="99"/>
    <w:qFormat/>
    <w:rsid w:val="009E43FB"/>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9E43FB"/>
  </w:style>
  <w:style w:type="paragraph" w:customStyle="1" w:styleId="Default">
    <w:name w:val="Default"/>
    <w:rsid w:val="00C046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EDCF45950C8846A0732ED7B2C5BDB1" ma:contentTypeVersion="10" ma:contentTypeDescription="Create a new document." ma:contentTypeScope="" ma:versionID="a97ed25cbde03d746544a3e63b2f48d5">
  <xsd:schema xmlns:xsd="http://www.w3.org/2001/XMLSchema" xmlns:xs="http://www.w3.org/2001/XMLSchema" xmlns:p="http://schemas.microsoft.com/office/2006/metadata/properties" xmlns:ns3="69bf2cd7-be0a-4242-9980-83bc49f9c40c" xmlns:ns4="4916f2c7-5f35-410b-94dc-1aa83960061b" targetNamespace="http://schemas.microsoft.com/office/2006/metadata/properties" ma:root="true" ma:fieldsID="36f22dc75b8e2c1365da55d15c072f05" ns3:_="" ns4:_="">
    <xsd:import namespace="69bf2cd7-be0a-4242-9980-83bc49f9c40c"/>
    <xsd:import namespace="4916f2c7-5f35-410b-94dc-1aa8396006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cd7-be0a-4242-9980-83bc49f9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f2c7-5f35-410b-94dc-1aa839600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AD16F-1D50-4CD0-9B63-9DA9D1C48F2E}">
  <ds:schemaRefs>
    <ds:schemaRef ds:uri="http://schemas.microsoft.com/sharepoint/v3/contenttype/forms"/>
  </ds:schemaRefs>
</ds:datastoreItem>
</file>

<file path=customXml/itemProps2.xml><?xml version="1.0" encoding="utf-8"?>
<ds:datastoreItem xmlns:ds="http://schemas.openxmlformats.org/officeDocument/2006/customXml" ds:itemID="{94BE587F-F7DF-4C10-B62E-66AE9ED949D7}">
  <ds:schemaRefs>
    <ds:schemaRef ds:uri="69bf2cd7-be0a-4242-9980-83bc49f9c40c"/>
    <ds:schemaRef ds:uri="http://schemas.microsoft.com/office/2006/metadata/properties"/>
    <ds:schemaRef ds:uri="4916f2c7-5f35-410b-94dc-1aa83960061b"/>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A1D1AB-3DEF-4894-9901-5BAD4188DA83}">
  <ds:schemaRefs>
    <ds:schemaRef ds:uri="http://schemas.openxmlformats.org/officeDocument/2006/bibliography"/>
  </ds:schemaRefs>
</ds:datastoreItem>
</file>

<file path=customXml/itemProps4.xml><?xml version="1.0" encoding="utf-8"?>
<ds:datastoreItem xmlns:ds="http://schemas.openxmlformats.org/officeDocument/2006/customXml" ds:itemID="{9412738E-73CF-4DB4-A7CD-7E31E785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cd7-be0a-4242-9980-83bc49f9c40c"/>
    <ds:schemaRef ds:uri="4916f2c7-5f35-410b-94dc-1aa83960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1511</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15</cp:revision>
  <cp:lastPrinted>2010-10-04T13:59:00Z</cp:lastPrinted>
  <dcterms:created xsi:type="dcterms:W3CDTF">2022-04-07T21:02:00Z</dcterms:created>
  <dcterms:modified xsi:type="dcterms:W3CDTF">2022-04-07T21:29:00Z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0x010100C2EDCF45950C8846A0732ED7B2C5BDB1</vt:lpwstr>
  </property>
  <property fmtid="{D5CDD505-2E9C-101B-9397-08002B2CF9AE}" pid="4" name="Order">
    <vt:r8>29563400</vt:r8>
  </property>
  <property fmtid="{D5CDD505-2E9C-101B-9397-08002B2CF9AE}" pid="5" name="TaxKeyword">
    <vt:lpwstr/>
  </property>
  <property fmtid="{D5CDD505-2E9C-101B-9397-08002B2CF9AE}" pid="6" name="_dlc_DocIdItemGuid">
    <vt:lpwstr>b946761a-108b-4a3a-98c8-571054122c8c</vt:lpwstr>
  </property>
</Properties>
</file>