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727A9" w:rsidR="005F1FFC" w:rsidP="005F1FFC" w:rsidRDefault="005F1FFC" w14:paraId="7E088B25" w14:textId="77777777">
      <w:pPr>
        <w:rPr>
          <w:sz w:val="24"/>
          <w:szCs w:val="24"/>
        </w:rPr>
      </w:pPr>
    </w:p>
    <w:p w:rsidRPr="001727A9" w:rsidR="003225D2" w:rsidP="001650D5" w:rsidRDefault="005F1FFC" w14:paraId="00B8C0D6" w14:textId="52DE246B">
      <w:pPr>
        <w:jc w:val="center"/>
        <w:rPr>
          <w:b/>
          <w:caps/>
          <w:sz w:val="24"/>
          <w:szCs w:val="24"/>
        </w:rPr>
      </w:pPr>
      <w:r w:rsidRPr="001727A9">
        <w:rPr>
          <w:b/>
          <w:caps/>
          <w:sz w:val="24"/>
          <w:szCs w:val="24"/>
        </w:rPr>
        <w:t>Supporting</w:t>
      </w:r>
      <w:r w:rsidRPr="001727A9">
        <w:rPr>
          <w:b/>
          <w:sz w:val="24"/>
          <w:szCs w:val="24"/>
        </w:rPr>
        <w:t xml:space="preserve"> </w:t>
      </w:r>
      <w:r w:rsidRPr="001727A9">
        <w:rPr>
          <w:b/>
          <w:caps/>
          <w:sz w:val="24"/>
          <w:szCs w:val="24"/>
        </w:rPr>
        <w:t>Statement</w:t>
      </w:r>
      <w:r w:rsidRPr="001727A9" w:rsidR="00A4452C">
        <w:rPr>
          <w:b/>
          <w:caps/>
          <w:sz w:val="24"/>
          <w:szCs w:val="24"/>
        </w:rPr>
        <w:t xml:space="preserve"> For</w:t>
      </w:r>
    </w:p>
    <w:p w:rsidRPr="00B325E4" w:rsidR="001650D5" w:rsidP="001650D5" w:rsidRDefault="003F5311" w14:paraId="2F27FDD4" w14:textId="56BAD463">
      <w:pPr>
        <w:jc w:val="center"/>
        <w:rPr>
          <w:b/>
          <w:caps/>
          <w:sz w:val="24"/>
          <w:szCs w:val="24"/>
        </w:rPr>
      </w:pPr>
      <w:r w:rsidRPr="001727A9">
        <w:rPr>
          <w:b/>
          <w:caps/>
          <w:sz w:val="24"/>
          <w:szCs w:val="24"/>
        </w:rPr>
        <w:t xml:space="preserve">generic </w:t>
      </w:r>
      <w:r w:rsidRPr="00B325E4">
        <w:rPr>
          <w:b/>
          <w:caps/>
          <w:sz w:val="24"/>
          <w:szCs w:val="24"/>
        </w:rPr>
        <w:t>information collection plan for</w:t>
      </w:r>
      <w:r w:rsidRPr="00B325E4">
        <w:rPr>
          <w:b/>
          <w:caps/>
          <w:sz w:val="24"/>
          <w:szCs w:val="24"/>
        </w:rPr>
        <w:br/>
        <w:t>consumer complaint and information collection system (testing and feedback)</w:t>
      </w:r>
    </w:p>
    <w:p w:rsidRPr="00B325E4" w:rsidR="003225D2" w:rsidP="003225D2" w:rsidRDefault="003225D2" w14:paraId="4ACA79D4" w14:textId="3EB770A8">
      <w:pPr>
        <w:jc w:val="center"/>
        <w:rPr>
          <w:b/>
          <w:bCs/>
          <w:sz w:val="24"/>
          <w:szCs w:val="24"/>
        </w:rPr>
      </w:pPr>
      <w:r w:rsidRPr="00B325E4">
        <w:rPr>
          <w:b/>
          <w:bCs/>
          <w:sz w:val="24"/>
          <w:szCs w:val="24"/>
        </w:rPr>
        <w:t>OMB CONTROL NO.</w:t>
      </w:r>
      <w:r w:rsidRPr="00B325E4" w:rsidR="00DE7D7F">
        <w:rPr>
          <w:b/>
          <w:bCs/>
          <w:sz w:val="24"/>
          <w:szCs w:val="24"/>
        </w:rPr>
        <w:t>:</w:t>
      </w:r>
      <w:r w:rsidRPr="00B325E4">
        <w:rPr>
          <w:b/>
          <w:bCs/>
          <w:sz w:val="24"/>
          <w:szCs w:val="24"/>
        </w:rPr>
        <w:t xml:space="preserve"> </w:t>
      </w:r>
      <w:r w:rsidRPr="00B325E4" w:rsidR="00E81562">
        <w:rPr>
          <w:b/>
          <w:bCs/>
          <w:sz w:val="24"/>
          <w:szCs w:val="24"/>
        </w:rPr>
        <w:t>3170-0</w:t>
      </w:r>
      <w:r w:rsidRPr="00B325E4" w:rsidR="001650D5">
        <w:rPr>
          <w:b/>
          <w:bCs/>
          <w:sz w:val="24"/>
          <w:szCs w:val="24"/>
        </w:rPr>
        <w:t>0</w:t>
      </w:r>
      <w:r w:rsidRPr="00B325E4" w:rsidR="00DE7D7F">
        <w:rPr>
          <w:b/>
          <w:bCs/>
          <w:sz w:val="24"/>
          <w:szCs w:val="24"/>
        </w:rPr>
        <w:t>42</w:t>
      </w:r>
    </w:p>
    <w:p w:rsidRPr="00B325E4" w:rsidR="00A4452C" w:rsidP="000F0DD6" w:rsidRDefault="00CF1807" w14:paraId="7DC5C315" w14:textId="0B2A5A15">
      <w:pPr>
        <w:tabs>
          <w:tab w:val="left" w:pos="880"/>
        </w:tabs>
        <w:rPr>
          <w:b/>
          <w:caps/>
          <w:sz w:val="24"/>
          <w:szCs w:val="24"/>
        </w:rPr>
      </w:pPr>
      <w:r w:rsidRPr="00B325E4">
        <w:rPr>
          <w:b/>
          <w:caps/>
          <w:sz w:val="24"/>
          <w:szCs w:val="24"/>
        </w:rPr>
        <w:tab/>
      </w:r>
    </w:p>
    <w:p w:rsidRPr="00B325E4" w:rsidR="005F1FFC" w:rsidP="005F1FFC" w:rsidRDefault="005F1FFC" w14:paraId="14A29F18" w14:textId="77777777">
      <w:pPr>
        <w:jc w:val="center"/>
        <w:rPr>
          <w:b/>
          <w:sz w:val="24"/>
          <w:szCs w:val="24"/>
        </w:rPr>
      </w:pPr>
    </w:p>
    <w:p w:rsidRPr="00B325E4" w:rsidR="005F1FFC" w:rsidP="005F1FFC" w:rsidRDefault="005F1FFC" w14:paraId="3DBE2AB2" w14:textId="77777777">
      <w:pPr>
        <w:rPr>
          <w:b/>
          <w:sz w:val="24"/>
          <w:szCs w:val="24"/>
        </w:rPr>
      </w:pPr>
      <w:r w:rsidRPr="00B325E4">
        <w:rPr>
          <w:b/>
          <w:sz w:val="24"/>
          <w:szCs w:val="24"/>
        </w:rPr>
        <w:t xml:space="preserve">A.  </w:t>
      </w:r>
      <w:r w:rsidRPr="00B325E4">
        <w:rPr>
          <w:b/>
          <w:caps/>
          <w:sz w:val="24"/>
          <w:szCs w:val="24"/>
        </w:rPr>
        <w:t>Justification</w:t>
      </w:r>
    </w:p>
    <w:p w:rsidRPr="00B325E4" w:rsidR="005F1FFC" w:rsidP="005F1FFC" w:rsidRDefault="005F1FFC" w14:paraId="4378B360" w14:textId="77777777">
      <w:pPr>
        <w:rPr>
          <w:b/>
          <w:sz w:val="24"/>
          <w:szCs w:val="24"/>
        </w:rPr>
      </w:pPr>
    </w:p>
    <w:p w:rsidRPr="00B325E4" w:rsidR="00092D91" w:rsidP="00092D91" w:rsidRDefault="00092D91" w14:paraId="08863302" w14:textId="77777777">
      <w:pPr>
        <w:rPr>
          <w:sz w:val="24"/>
          <w:szCs w:val="24"/>
        </w:rPr>
      </w:pPr>
      <w:r w:rsidRPr="00B325E4">
        <w:rPr>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325E4" w:rsidR="005F1FFC" w:rsidP="005F1FFC" w:rsidRDefault="005F1FFC" w14:paraId="1F5F91FF" w14:textId="5872D0A6">
      <w:pPr>
        <w:rPr>
          <w:sz w:val="24"/>
          <w:szCs w:val="24"/>
        </w:rPr>
      </w:pPr>
    </w:p>
    <w:p w:rsidRPr="00B325E4" w:rsidR="003F5311" w:rsidP="005F1FFC" w:rsidRDefault="00283A77" w14:paraId="47BB65B8" w14:textId="7C47FD01">
      <w:pPr>
        <w:rPr>
          <w:sz w:val="24"/>
          <w:szCs w:val="24"/>
        </w:rPr>
      </w:pPr>
      <w:r w:rsidRPr="00B325E4">
        <w:rPr>
          <w:color w:val="000000"/>
          <w:sz w:val="24"/>
          <w:szCs w:val="24"/>
        </w:rPr>
        <w:t xml:space="preserve">As provided in the Dodd-Frank Wall Street Reform and Consumer Protection Act (“Dodd-Frank Act”), </w:t>
      </w:r>
      <w:r w:rsidRPr="00B325E4" w:rsidR="00176D40">
        <w:rPr>
          <w:sz w:val="24"/>
        </w:rPr>
        <w:t>the Consumer Financial Protection</w:t>
      </w:r>
      <w:r w:rsidR="00080590">
        <w:rPr>
          <w:sz w:val="24"/>
        </w:rPr>
        <w:t xml:space="preserve"> Bureau</w:t>
      </w:r>
      <w:r w:rsidRPr="00B325E4" w:rsidR="00176D40">
        <w:rPr>
          <w:sz w:val="24"/>
        </w:rPr>
        <w:t xml:space="preserve"> (</w:t>
      </w:r>
      <w:r w:rsidR="00080590">
        <w:rPr>
          <w:sz w:val="24"/>
        </w:rPr>
        <w:t>CFPB or Bureau</w:t>
      </w:r>
      <w:r w:rsidRPr="00B325E4" w:rsidR="00176D40">
        <w:rPr>
          <w:sz w:val="24"/>
        </w:rPr>
        <w:t xml:space="preserve">) </w:t>
      </w:r>
      <w:r w:rsidRPr="00B325E4" w:rsidR="003E6400">
        <w:rPr>
          <w:color w:val="000000"/>
          <w:sz w:val="24"/>
          <w:szCs w:val="24"/>
        </w:rPr>
        <w:t>is tasked with collecting, monitoring</w:t>
      </w:r>
      <w:r w:rsidRPr="00B325E4" w:rsidR="005A6E3E">
        <w:rPr>
          <w:color w:val="000000"/>
          <w:sz w:val="24"/>
          <w:szCs w:val="24"/>
        </w:rPr>
        <w:t>,</w:t>
      </w:r>
      <w:r w:rsidRPr="00B325E4" w:rsidR="001C716F">
        <w:rPr>
          <w:color w:val="000000"/>
          <w:sz w:val="24"/>
          <w:szCs w:val="24"/>
        </w:rPr>
        <w:t xml:space="preserve"> </w:t>
      </w:r>
      <w:r w:rsidRPr="00B325E4" w:rsidR="005A6E3E">
        <w:rPr>
          <w:color w:val="000000"/>
          <w:sz w:val="24"/>
          <w:szCs w:val="24"/>
        </w:rPr>
        <w:t xml:space="preserve">investigating, </w:t>
      </w:r>
      <w:r w:rsidRPr="00B325E4" w:rsidR="003E6400">
        <w:rPr>
          <w:color w:val="000000"/>
          <w:sz w:val="24"/>
          <w:szCs w:val="24"/>
        </w:rPr>
        <w:t xml:space="preserve">and responding to </w:t>
      </w:r>
      <w:r w:rsidRPr="00B325E4">
        <w:rPr>
          <w:color w:val="000000"/>
          <w:sz w:val="24"/>
          <w:szCs w:val="24"/>
        </w:rPr>
        <w:t>complaints and inquiries about consumer financial products or services.</w:t>
      </w:r>
      <w:r w:rsidRPr="00B325E4">
        <w:rPr>
          <w:color w:val="000000"/>
          <w:sz w:val="24"/>
          <w:szCs w:val="24"/>
          <w:vertAlign w:val="superscript"/>
        </w:rPr>
        <w:footnoteReference w:id="1"/>
      </w:r>
      <w:r w:rsidRPr="00B325E4">
        <w:rPr>
          <w:color w:val="000000"/>
          <w:sz w:val="24"/>
          <w:szCs w:val="24"/>
        </w:rPr>
        <w:t xml:space="preserve"> </w:t>
      </w:r>
      <w:r w:rsidR="009B1D6C">
        <w:rPr>
          <w:color w:val="000000"/>
          <w:sz w:val="24"/>
          <w:szCs w:val="24"/>
        </w:rPr>
        <w:t xml:space="preserve"> </w:t>
      </w:r>
      <w:r w:rsidRPr="00B325E4">
        <w:rPr>
          <w:color w:val="000000"/>
          <w:sz w:val="24"/>
          <w:szCs w:val="24"/>
        </w:rPr>
        <w:t>The tasks of developing new and improving upon existing complaint questions</w:t>
      </w:r>
      <w:r w:rsidRPr="00B325E4" w:rsidR="003E6400">
        <w:rPr>
          <w:color w:val="000000"/>
          <w:sz w:val="24"/>
          <w:szCs w:val="24"/>
        </w:rPr>
        <w:t>,</w:t>
      </w:r>
      <w:r w:rsidRPr="00B325E4">
        <w:rPr>
          <w:color w:val="000000"/>
          <w:sz w:val="24"/>
          <w:szCs w:val="24"/>
        </w:rPr>
        <w:t xml:space="preserve"> along </w:t>
      </w:r>
      <w:r w:rsidRPr="00B325E4" w:rsidR="00E46932">
        <w:rPr>
          <w:color w:val="000000"/>
          <w:sz w:val="24"/>
          <w:szCs w:val="24"/>
        </w:rPr>
        <w:t>with obtaining</w:t>
      </w:r>
      <w:r w:rsidRPr="00B325E4">
        <w:rPr>
          <w:color w:val="000000"/>
          <w:sz w:val="24"/>
          <w:szCs w:val="24"/>
        </w:rPr>
        <w:t xml:space="preserve"> feedback </w:t>
      </w:r>
      <w:r w:rsidRPr="00B325E4" w:rsidR="00E46932">
        <w:rPr>
          <w:color w:val="000000"/>
          <w:sz w:val="24"/>
          <w:szCs w:val="24"/>
        </w:rPr>
        <w:t xml:space="preserve">to improve </w:t>
      </w:r>
      <w:r w:rsidRPr="00B325E4">
        <w:rPr>
          <w:color w:val="000000"/>
          <w:sz w:val="24"/>
          <w:szCs w:val="24"/>
        </w:rPr>
        <w:t>the complaint processing system benefit from the streamlined flexibility of the generic clearance process.</w:t>
      </w:r>
    </w:p>
    <w:p w:rsidRPr="00B325E4" w:rsidR="00E939D3" w:rsidP="005F1FFC" w:rsidRDefault="00E939D3" w14:paraId="2A8A43BC" w14:textId="77777777">
      <w:pPr>
        <w:rPr>
          <w:sz w:val="24"/>
          <w:szCs w:val="24"/>
        </w:rPr>
      </w:pPr>
    </w:p>
    <w:p w:rsidRPr="00B325E4" w:rsidR="00092D91" w:rsidP="00092D91" w:rsidRDefault="00092D91" w14:paraId="15554E87" w14:textId="77777777">
      <w:pPr>
        <w:rPr>
          <w:sz w:val="24"/>
          <w:szCs w:val="24"/>
        </w:rPr>
      </w:pPr>
      <w:r w:rsidRPr="00B325E4">
        <w:rPr>
          <w:b/>
          <w:bCs/>
          <w:sz w:val="24"/>
          <w:szCs w:val="24"/>
        </w:rPr>
        <w:t>2.  Indicate how, by whom, and for what purpose the information is to be used.  Except for a new collection, indicate the actual use the agency has made of the information received from the current collection.</w:t>
      </w:r>
    </w:p>
    <w:p w:rsidRPr="00B325E4" w:rsidR="005F1FFC" w:rsidP="005F1FFC" w:rsidRDefault="005F1FFC" w14:paraId="04B2529C" w14:textId="2342231F">
      <w:pPr>
        <w:rPr>
          <w:sz w:val="24"/>
          <w:szCs w:val="24"/>
        </w:rPr>
      </w:pPr>
    </w:p>
    <w:p w:rsidRPr="00B325E4" w:rsidR="00283A77" w:rsidP="00283A77" w:rsidRDefault="00283A77" w14:paraId="43AF6B60" w14:textId="1BC35CB3">
      <w:pPr>
        <w:rPr>
          <w:color w:val="000000"/>
          <w:sz w:val="24"/>
          <w:szCs w:val="24"/>
        </w:rPr>
      </w:pPr>
      <w:r w:rsidRPr="00B325E4">
        <w:rPr>
          <w:color w:val="000000"/>
          <w:sz w:val="24"/>
          <w:szCs w:val="24"/>
        </w:rPr>
        <w:t xml:space="preserve">Section 1021(c)(2) of the Dodd-Frank Act provides that some of the primary functions of the </w:t>
      </w:r>
      <w:r w:rsidRPr="00B325E4" w:rsidR="00866898">
        <w:rPr>
          <w:color w:val="000000"/>
          <w:sz w:val="24"/>
          <w:szCs w:val="24"/>
        </w:rPr>
        <w:t>Bureau</w:t>
      </w:r>
      <w:r w:rsidRPr="00B325E4">
        <w:rPr>
          <w:color w:val="000000"/>
          <w:sz w:val="24"/>
          <w:szCs w:val="24"/>
        </w:rPr>
        <w:t xml:space="preserve"> are the collection, investigation, and response to consumer complaints.</w:t>
      </w:r>
      <w:r w:rsidRPr="00B325E4">
        <w:rPr>
          <w:rStyle w:val="FootnoteReference"/>
          <w:color w:val="000000"/>
          <w:sz w:val="24"/>
          <w:szCs w:val="24"/>
        </w:rPr>
        <w:footnoteReference w:id="2"/>
      </w:r>
      <w:r w:rsidRPr="00B325E4">
        <w:rPr>
          <w:color w:val="000000"/>
          <w:sz w:val="24"/>
          <w:szCs w:val="24"/>
        </w:rPr>
        <w:t xml:space="preserve">  </w:t>
      </w:r>
      <w:r w:rsidR="007374D6">
        <w:rPr>
          <w:color w:val="000000"/>
          <w:sz w:val="24"/>
          <w:szCs w:val="24"/>
        </w:rPr>
        <w:t xml:space="preserve"> </w:t>
      </w:r>
      <w:r w:rsidRPr="00B325E4">
        <w:rPr>
          <w:color w:val="000000"/>
          <w:sz w:val="24"/>
          <w:szCs w:val="24"/>
        </w:rPr>
        <w:t xml:space="preserve">These functions underlie the core information collection, currently represented by the </w:t>
      </w:r>
      <w:r w:rsidRPr="00B325E4" w:rsidR="00DC46F9">
        <w:rPr>
          <w:color w:val="000000"/>
          <w:sz w:val="24"/>
          <w:szCs w:val="24"/>
        </w:rPr>
        <w:t>Bureau</w:t>
      </w:r>
      <w:r w:rsidRPr="00B325E4">
        <w:rPr>
          <w:color w:val="000000"/>
          <w:sz w:val="24"/>
          <w:szCs w:val="24"/>
        </w:rPr>
        <w:t>’s Consumer Response Intake Form.</w:t>
      </w:r>
      <w:r w:rsidRPr="00B325E4">
        <w:rPr>
          <w:color w:val="000000"/>
          <w:sz w:val="24"/>
          <w:szCs w:val="24"/>
          <w:vertAlign w:val="superscript"/>
        </w:rPr>
        <w:footnoteReference w:id="3"/>
      </w:r>
      <w:r w:rsidRPr="00B325E4">
        <w:rPr>
          <w:color w:val="000000"/>
          <w:sz w:val="24"/>
          <w:szCs w:val="24"/>
        </w:rPr>
        <w:t xml:space="preserve"> </w:t>
      </w:r>
      <w:r w:rsidR="007374D6">
        <w:rPr>
          <w:color w:val="000000"/>
          <w:sz w:val="24"/>
          <w:szCs w:val="24"/>
        </w:rPr>
        <w:t xml:space="preserve"> </w:t>
      </w:r>
      <w:r w:rsidRPr="00B325E4">
        <w:rPr>
          <w:color w:val="000000"/>
          <w:sz w:val="24"/>
          <w:szCs w:val="24"/>
        </w:rPr>
        <w:t xml:space="preserve">This generic clearance will allow the </w:t>
      </w:r>
      <w:r w:rsidRPr="00B325E4" w:rsidR="00866898">
        <w:rPr>
          <w:color w:val="000000"/>
          <w:sz w:val="24"/>
          <w:szCs w:val="24"/>
        </w:rPr>
        <w:t>Bureau</w:t>
      </w:r>
      <w:r w:rsidRPr="00B325E4">
        <w:rPr>
          <w:color w:val="000000"/>
          <w:sz w:val="24"/>
          <w:szCs w:val="24"/>
        </w:rPr>
        <w:t xml:space="preserve"> to test and pilot questions for possible inclusion </w:t>
      </w:r>
      <w:r w:rsidRPr="00B325E4" w:rsidR="00AE210E">
        <w:rPr>
          <w:color w:val="000000"/>
          <w:sz w:val="24"/>
          <w:szCs w:val="24"/>
        </w:rPr>
        <w:t xml:space="preserve">in </w:t>
      </w:r>
      <w:r w:rsidRPr="00B325E4">
        <w:rPr>
          <w:color w:val="000000"/>
          <w:sz w:val="24"/>
          <w:szCs w:val="24"/>
        </w:rPr>
        <w:t xml:space="preserve">the </w:t>
      </w:r>
      <w:r w:rsidRPr="00B325E4" w:rsidR="00D0701E">
        <w:rPr>
          <w:color w:val="000000"/>
          <w:sz w:val="24"/>
          <w:szCs w:val="24"/>
        </w:rPr>
        <w:t>complaint and inquiry processes</w:t>
      </w:r>
      <w:r w:rsidRPr="00B325E4">
        <w:rPr>
          <w:color w:val="000000"/>
          <w:sz w:val="24"/>
          <w:szCs w:val="24"/>
        </w:rPr>
        <w:t xml:space="preserve">. </w:t>
      </w:r>
    </w:p>
    <w:p w:rsidRPr="00B325E4" w:rsidR="00EC31EA" w:rsidP="00283A77" w:rsidRDefault="00EC31EA" w14:paraId="6A07D284" w14:textId="77777777">
      <w:pPr>
        <w:rPr>
          <w:color w:val="000000"/>
          <w:sz w:val="24"/>
          <w:szCs w:val="24"/>
        </w:rPr>
      </w:pPr>
    </w:p>
    <w:p w:rsidR="00283A77" w:rsidP="00283A77" w:rsidRDefault="007374D6" w14:paraId="3BB72CF3" w14:textId="7DCE0B2F">
      <w:pPr>
        <w:rPr>
          <w:color w:val="000000"/>
          <w:sz w:val="24"/>
          <w:szCs w:val="24"/>
        </w:rPr>
      </w:pPr>
      <w:r>
        <w:rPr>
          <w:color w:val="000000"/>
          <w:sz w:val="24"/>
          <w:szCs w:val="24"/>
        </w:rPr>
        <w:t xml:space="preserve">This </w:t>
      </w:r>
      <w:r w:rsidRPr="00B325E4" w:rsidR="00283A77">
        <w:rPr>
          <w:color w:val="000000"/>
          <w:sz w:val="24"/>
          <w:szCs w:val="24"/>
        </w:rPr>
        <w:t xml:space="preserve">generic clearance has facilitated the testing of new </w:t>
      </w:r>
      <w:r w:rsidRPr="00B325E4" w:rsidR="001020AA">
        <w:rPr>
          <w:color w:val="000000"/>
          <w:sz w:val="24"/>
          <w:szCs w:val="24"/>
        </w:rPr>
        <w:t xml:space="preserve">and updated </w:t>
      </w:r>
      <w:r w:rsidRPr="00B325E4" w:rsidR="00283A77">
        <w:rPr>
          <w:color w:val="000000"/>
          <w:sz w:val="24"/>
          <w:szCs w:val="24"/>
        </w:rPr>
        <w:t xml:space="preserve">questions for the </w:t>
      </w:r>
      <w:r w:rsidRPr="00B325E4" w:rsidR="00D0701E">
        <w:rPr>
          <w:color w:val="000000"/>
          <w:sz w:val="24"/>
          <w:szCs w:val="24"/>
        </w:rPr>
        <w:t>complaint and inquiry processes</w:t>
      </w:r>
      <w:r w:rsidRPr="00B325E4" w:rsidR="00283A77">
        <w:rPr>
          <w:color w:val="000000"/>
          <w:sz w:val="24"/>
          <w:szCs w:val="24"/>
        </w:rPr>
        <w:t xml:space="preserve"> and the gathering of feedback for process improvement</w:t>
      </w:r>
      <w:r w:rsidRPr="00B325E4" w:rsidR="001020AA">
        <w:rPr>
          <w:color w:val="000000"/>
          <w:sz w:val="24"/>
          <w:szCs w:val="24"/>
        </w:rPr>
        <w:t>.</w:t>
      </w:r>
      <w:r w:rsidRPr="00B325E4" w:rsidR="00283A77">
        <w:rPr>
          <w:color w:val="000000"/>
          <w:sz w:val="24"/>
          <w:szCs w:val="24"/>
        </w:rPr>
        <w:t xml:space="preserve"> </w:t>
      </w:r>
      <w:r w:rsidR="001A1710">
        <w:rPr>
          <w:color w:val="000000"/>
          <w:sz w:val="24"/>
          <w:szCs w:val="24"/>
        </w:rPr>
        <w:t xml:space="preserve"> </w:t>
      </w:r>
      <w:r w:rsidRPr="00B325E4" w:rsidR="00283A77">
        <w:rPr>
          <w:color w:val="000000"/>
          <w:sz w:val="24"/>
          <w:szCs w:val="24"/>
        </w:rPr>
        <w:t>This includes</w:t>
      </w:r>
      <w:r w:rsidRPr="00B325E4" w:rsidR="001020AA">
        <w:rPr>
          <w:color w:val="000000"/>
          <w:sz w:val="24"/>
          <w:szCs w:val="24"/>
        </w:rPr>
        <w:t xml:space="preserve"> utilizing enhanced</w:t>
      </w:r>
      <w:r w:rsidRPr="00B325E4" w:rsidR="00283A77">
        <w:rPr>
          <w:color w:val="000000"/>
          <w:sz w:val="24"/>
          <w:szCs w:val="24"/>
        </w:rPr>
        <w:t xml:space="preserve"> fields and values that more clearly identify the root cause of a consumer’s problem by offering new sub-products, sub-issues, and data-driven questions.</w:t>
      </w:r>
      <w:r w:rsidRPr="001727A9" w:rsidR="00283A77">
        <w:rPr>
          <w:color w:val="000000"/>
          <w:sz w:val="24"/>
          <w:szCs w:val="24"/>
        </w:rPr>
        <w:t xml:space="preserve"> </w:t>
      </w:r>
    </w:p>
    <w:p w:rsidR="00EC31EA" w:rsidP="00283A77" w:rsidRDefault="00EC31EA" w14:paraId="665C9E88" w14:textId="77777777">
      <w:pPr>
        <w:rPr>
          <w:color w:val="000000"/>
          <w:sz w:val="24"/>
          <w:szCs w:val="24"/>
        </w:rPr>
      </w:pPr>
    </w:p>
    <w:p w:rsidRPr="007E1C1C" w:rsidR="00082C58" w:rsidP="00283A77" w:rsidRDefault="00226FC4" w14:paraId="13062AF0" w14:textId="77777777">
      <w:pPr>
        <w:rPr>
          <w:color w:val="000000"/>
          <w:sz w:val="24"/>
          <w:szCs w:val="24"/>
        </w:rPr>
      </w:pPr>
      <w:r w:rsidRPr="00B325E4">
        <w:rPr>
          <w:color w:val="000000"/>
          <w:sz w:val="24"/>
          <w:szCs w:val="24"/>
        </w:rPr>
        <w:lastRenderedPageBreak/>
        <w:t xml:space="preserve">Consumer (and authorized third party representative) </w:t>
      </w:r>
      <w:r w:rsidRPr="00B325E4" w:rsidR="00CF329A">
        <w:rPr>
          <w:color w:val="000000"/>
          <w:sz w:val="24"/>
          <w:szCs w:val="24"/>
        </w:rPr>
        <w:t xml:space="preserve">demographic and </w:t>
      </w:r>
      <w:r w:rsidRPr="00B325E4">
        <w:rPr>
          <w:color w:val="000000"/>
          <w:sz w:val="24"/>
          <w:szCs w:val="24"/>
        </w:rPr>
        <w:t xml:space="preserve">identifying </w:t>
      </w:r>
      <w:r w:rsidR="008A53D2">
        <w:rPr>
          <w:color w:val="000000"/>
          <w:sz w:val="24"/>
          <w:szCs w:val="24"/>
        </w:rPr>
        <w:t>data</w:t>
      </w:r>
      <w:r w:rsidRPr="00B325E4">
        <w:rPr>
          <w:color w:val="000000"/>
          <w:sz w:val="24"/>
          <w:szCs w:val="24"/>
        </w:rPr>
        <w:t xml:space="preserve"> </w:t>
      </w:r>
      <w:r w:rsidR="008A53D2">
        <w:rPr>
          <w:color w:val="000000"/>
          <w:sz w:val="24"/>
          <w:szCs w:val="24"/>
        </w:rPr>
        <w:t>are</w:t>
      </w:r>
      <w:r w:rsidRPr="00B325E4">
        <w:rPr>
          <w:color w:val="000000"/>
          <w:sz w:val="24"/>
          <w:szCs w:val="24"/>
        </w:rPr>
        <w:t xml:space="preserve"> used to identify the consumer within the Consumer Response System and to aid identification by respondents and agencies in receipt of referrals.  In addition to identifying questions, additional questions are asked to help the Bureau determine the appropriate way to process consumer</w:t>
      </w:r>
      <w:r w:rsidR="00647E30">
        <w:rPr>
          <w:color w:val="000000"/>
          <w:sz w:val="24"/>
          <w:szCs w:val="24"/>
        </w:rPr>
        <w:t>s’</w:t>
      </w:r>
      <w:r w:rsidRPr="00B325E4">
        <w:rPr>
          <w:color w:val="000000"/>
          <w:sz w:val="24"/>
          <w:szCs w:val="24"/>
        </w:rPr>
        <w:t xml:space="preserve"> complain</w:t>
      </w:r>
      <w:r w:rsidR="00647E30">
        <w:rPr>
          <w:color w:val="000000"/>
          <w:sz w:val="24"/>
          <w:szCs w:val="24"/>
        </w:rPr>
        <w:t>ts</w:t>
      </w:r>
      <w:r w:rsidR="00486E14">
        <w:rPr>
          <w:color w:val="000000"/>
          <w:sz w:val="24"/>
          <w:szCs w:val="24"/>
        </w:rPr>
        <w:t>.</w:t>
      </w:r>
      <w:r w:rsidR="00647E30">
        <w:rPr>
          <w:color w:val="000000"/>
          <w:sz w:val="24"/>
          <w:szCs w:val="24"/>
        </w:rPr>
        <w:t xml:space="preserve">  </w:t>
      </w:r>
      <w:r w:rsidRPr="001727A9" w:rsidR="00283A77">
        <w:rPr>
          <w:color w:val="000000"/>
          <w:sz w:val="24"/>
          <w:szCs w:val="24"/>
        </w:rPr>
        <w:t xml:space="preserve">The form of questions will include open-ended, closed-ended (e.g. multiple choice, yes/no), ranked or ordinal, and rating (e.g. Likert) types.  Examples of collections that will be undertaken under this clearance may </w:t>
      </w:r>
      <w:r w:rsidRPr="007E1C1C" w:rsidR="00283A77">
        <w:rPr>
          <w:color w:val="000000"/>
          <w:sz w:val="24"/>
          <w:szCs w:val="24"/>
        </w:rPr>
        <w:t xml:space="preserve">include: </w:t>
      </w:r>
    </w:p>
    <w:p w:rsidRPr="007E1C1C" w:rsidR="00082C58" w:rsidP="00082C58" w:rsidRDefault="00283A77" w14:paraId="7BF1A44A" w14:textId="48D17C35">
      <w:pPr>
        <w:pStyle w:val="ListParagraph"/>
        <w:numPr>
          <w:ilvl w:val="0"/>
          <w:numId w:val="28"/>
        </w:numPr>
        <w:rPr>
          <w:rFonts w:ascii="Times New Roman" w:hAnsi="Times New Roman"/>
          <w:sz w:val="24"/>
          <w:szCs w:val="24"/>
        </w:rPr>
      </w:pPr>
      <w:r w:rsidRPr="007E1C1C">
        <w:rPr>
          <w:rFonts w:ascii="Times New Roman" w:hAnsi="Times New Roman"/>
          <w:color w:val="000000"/>
          <w:sz w:val="24"/>
          <w:szCs w:val="24"/>
        </w:rPr>
        <w:t>web</w:t>
      </w:r>
      <w:r w:rsidRPr="007E1C1C" w:rsidR="00E768C1">
        <w:rPr>
          <w:rFonts w:ascii="Times New Roman" w:hAnsi="Times New Roman"/>
          <w:color w:val="000000"/>
          <w:sz w:val="24"/>
          <w:szCs w:val="24"/>
        </w:rPr>
        <w:t>, telep</w:t>
      </w:r>
      <w:r w:rsidRPr="007E1C1C" w:rsidR="00607373">
        <w:rPr>
          <w:rFonts w:ascii="Times New Roman" w:hAnsi="Times New Roman"/>
          <w:color w:val="000000"/>
          <w:sz w:val="24"/>
          <w:szCs w:val="24"/>
        </w:rPr>
        <w:t>hone, and in-person</w:t>
      </w:r>
      <w:r w:rsidRPr="007E1C1C">
        <w:rPr>
          <w:rFonts w:ascii="Times New Roman" w:hAnsi="Times New Roman"/>
          <w:color w:val="000000"/>
          <w:sz w:val="24"/>
          <w:szCs w:val="24"/>
        </w:rPr>
        <w:t xml:space="preserve"> based </w:t>
      </w:r>
      <w:proofErr w:type="gramStart"/>
      <w:r w:rsidRPr="007E1C1C">
        <w:rPr>
          <w:rFonts w:ascii="Times New Roman" w:hAnsi="Times New Roman"/>
          <w:color w:val="000000"/>
          <w:sz w:val="24"/>
          <w:szCs w:val="24"/>
        </w:rPr>
        <w:t>collections;</w:t>
      </w:r>
      <w:proofErr w:type="gramEnd"/>
    </w:p>
    <w:p w:rsidRPr="007E1C1C" w:rsidR="00082C58" w:rsidP="00082C58" w:rsidRDefault="006B204E" w14:paraId="192D9AFC" w14:textId="2796E063">
      <w:pPr>
        <w:pStyle w:val="ListParagraph"/>
        <w:numPr>
          <w:ilvl w:val="0"/>
          <w:numId w:val="28"/>
        </w:numPr>
        <w:rPr>
          <w:rFonts w:ascii="Times New Roman" w:hAnsi="Times New Roman"/>
          <w:sz w:val="24"/>
          <w:szCs w:val="24"/>
        </w:rPr>
      </w:pPr>
      <w:r w:rsidRPr="007E1C1C">
        <w:rPr>
          <w:rFonts w:ascii="Times New Roman" w:hAnsi="Times New Roman"/>
          <w:color w:val="000000"/>
          <w:sz w:val="24"/>
          <w:szCs w:val="24"/>
        </w:rPr>
        <w:t>feedback</w:t>
      </w:r>
      <w:r w:rsidRPr="007E1C1C" w:rsidR="00283A77">
        <w:rPr>
          <w:rFonts w:ascii="Times New Roman" w:hAnsi="Times New Roman"/>
          <w:color w:val="000000"/>
          <w:sz w:val="24"/>
          <w:szCs w:val="24"/>
        </w:rPr>
        <w:t xml:space="preserve">/complaint forms; small discussion </w:t>
      </w:r>
      <w:proofErr w:type="gramStart"/>
      <w:r w:rsidRPr="007E1C1C" w:rsidR="00283A77">
        <w:rPr>
          <w:rFonts w:ascii="Times New Roman" w:hAnsi="Times New Roman"/>
          <w:color w:val="000000"/>
          <w:sz w:val="24"/>
          <w:szCs w:val="24"/>
        </w:rPr>
        <w:t>groups;</w:t>
      </w:r>
      <w:proofErr w:type="gramEnd"/>
    </w:p>
    <w:p w:rsidRPr="007E1C1C" w:rsidR="007E1C1C" w:rsidP="00082C58" w:rsidRDefault="00283A77" w14:paraId="1C79FDD4" w14:textId="4B898C1C">
      <w:pPr>
        <w:pStyle w:val="ListParagraph"/>
        <w:numPr>
          <w:ilvl w:val="0"/>
          <w:numId w:val="28"/>
        </w:numPr>
        <w:rPr>
          <w:rFonts w:ascii="Times New Roman" w:hAnsi="Times New Roman"/>
          <w:sz w:val="24"/>
          <w:szCs w:val="24"/>
        </w:rPr>
      </w:pPr>
      <w:r w:rsidRPr="007E1C1C">
        <w:rPr>
          <w:rFonts w:ascii="Times New Roman" w:hAnsi="Times New Roman"/>
          <w:color w:val="000000"/>
          <w:sz w:val="24"/>
          <w:szCs w:val="24"/>
        </w:rPr>
        <w:t>focus groups; customer satisfaction surveys (e.g.</w:t>
      </w:r>
      <w:r w:rsidR="00F74382">
        <w:rPr>
          <w:rFonts w:ascii="Times New Roman" w:hAnsi="Times New Roman"/>
          <w:color w:val="000000"/>
          <w:sz w:val="24"/>
          <w:szCs w:val="24"/>
        </w:rPr>
        <w:t xml:space="preserve"> </w:t>
      </w:r>
      <w:r w:rsidRPr="007E1C1C">
        <w:rPr>
          <w:rFonts w:ascii="Times New Roman" w:hAnsi="Times New Roman"/>
          <w:color w:val="000000"/>
          <w:sz w:val="24"/>
          <w:szCs w:val="24"/>
        </w:rPr>
        <w:t xml:space="preserve">post-transaction surveys; opt-out web surveys); and </w:t>
      </w:r>
    </w:p>
    <w:p w:rsidRPr="007E1C1C" w:rsidR="003F5311" w:rsidP="00082C58" w:rsidRDefault="00283A77" w14:paraId="3B4A22EB" w14:textId="76D0F199">
      <w:pPr>
        <w:pStyle w:val="ListParagraph"/>
        <w:numPr>
          <w:ilvl w:val="0"/>
          <w:numId w:val="28"/>
        </w:numPr>
        <w:rPr>
          <w:rFonts w:ascii="Times New Roman" w:hAnsi="Times New Roman"/>
          <w:sz w:val="24"/>
          <w:szCs w:val="24"/>
        </w:rPr>
      </w:pPr>
      <w:r w:rsidRPr="007E1C1C">
        <w:rPr>
          <w:rFonts w:ascii="Times New Roman" w:hAnsi="Times New Roman"/>
          <w:color w:val="000000"/>
          <w:sz w:val="24"/>
          <w:szCs w:val="24"/>
        </w:rPr>
        <w:t>in-person</w:t>
      </w:r>
      <w:r w:rsidRPr="007E1C1C" w:rsidR="00875587">
        <w:rPr>
          <w:rFonts w:ascii="Times New Roman" w:hAnsi="Times New Roman"/>
          <w:color w:val="000000"/>
          <w:sz w:val="24"/>
          <w:szCs w:val="24"/>
        </w:rPr>
        <w:t xml:space="preserve"> and online</w:t>
      </w:r>
      <w:r w:rsidRPr="007E1C1C">
        <w:rPr>
          <w:rFonts w:ascii="Times New Roman" w:hAnsi="Times New Roman"/>
          <w:color w:val="000000"/>
          <w:sz w:val="24"/>
          <w:szCs w:val="24"/>
        </w:rPr>
        <w:t xml:space="preserve"> observation testing (e.g. website or software usability tests).</w:t>
      </w:r>
    </w:p>
    <w:p w:rsidRPr="001727A9" w:rsidR="00E939D3" w:rsidP="005F1FFC" w:rsidRDefault="00E939D3" w14:paraId="19B9EB12" w14:textId="77777777">
      <w:pPr>
        <w:rPr>
          <w:sz w:val="24"/>
          <w:szCs w:val="24"/>
        </w:rPr>
      </w:pPr>
    </w:p>
    <w:p w:rsidRPr="001727A9" w:rsidR="00092D91" w:rsidP="00092D91" w:rsidRDefault="00092D91" w14:paraId="0C7BE16B" w14:textId="77777777">
      <w:pPr>
        <w:rPr>
          <w:b/>
          <w:bCs/>
          <w:sz w:val="24"/>
          <w:szCs w:val="24"/>
        </w:rPr>
      </w:pPr>
      <w:r w:rsidRPr="001727A9">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727A9" w:rsidR="005F1FFC" w:rsidP="005F1FFC" w:rsidRDefault="005F1FFC" w14:paraId="07836B1D" w14:textId="77777777">
      <w:pPr>
        <w:rPr>
          <w:sz w:val="24"/>
          <w:szCs w:val="24"/>
        </w:rPr>
      </w:pPr>
    </w:p>
    <w:p w:rsidRPr="001727A9" w:rsidR="003F5311" w:rsidP="00E81562" w:rsidRDefault="00283A77" w14:paraId="46065547" w14:textId="77260F17">
      <w:pPr>
        <w:rPr>
          <w:color w:val="000000"/>
          <w:sz w:val="24"/>
          <w:szCs w:val="24"/>
        </w:rPr>
      </w:pPr>
      <w:r w:rsidRPr="001727A9">
        <w:rPr>
          <w:bCs/>
          <w:iCs/>
          <w:color w:val="000000"/>
          <w:sz w:val="24"/>
          <w:szCs w:val="24"/>
        </w:rPr>
        <w:t xml:space="preserve">The </w:t>
      </w:r>
      <w:r w:rsidR="004B4182">
        <w:rPr>
          <w:bCs/>
          <w:iCs/>
          <w:color w:val="000000"/>
          <w:sz w:val="24"/>
          <w:szCs w:val="24"/>
        </w:rPr>
        <w:t>Bureau</w:t>
      </w:r>
      <w:r w:rsidRPr="001727A9">
        <w:rPr>
          <w:bCs/>
          <w:iCs/>
          <w:color w:val="000000"/>
          <w:sz w:val="24"/>
          <w:szCs w:val="24"/>
        </w:rPr>
        <w:t xml:space="preserve"> </w:t>
      </w:r>
      <w:r w:rsidR="003315E6">
        <w:rPr>
          <w:bCs/>
          <w:iCs/>
          <w:color w:val="000000"/>
          <w:sz w:val="24"/>
          <w:szCs w:val="24"/>
        </w:rPr>
        <w:t xml:space="preserve">operates </w:t>
      </w:r>
      <w:r w:rsidRPr="001727A9">
        <w:rPr>
          <w:bCs/>
          <w:iCs/>
          <w:color w:val="000000"/>
          <w:sz w:val="24"/>
          <w:szCs w:val="24"/>
        </w:rPr>
        <w:t>a system that provides consumers and their authorized representatives with the ability to submit their complaints through its website</w:t>
      </w:r>
      <w:r w:rsidR="00FA1C52">
        <w:rPr>
          <w:bCs/>
          <w:iCs/>
          <w:color w:val="000000"/>
          <w:sz w:val="24"/>
          <w:szCs w:val="24"/>
        </w:rPr>
        <w:t>,</w:t>
      </w:r>
      <w:r w:rsidRPr="001727A9">
        <w:rPr>
          <w:bCs/>
          <w:iCs/>
          <w:color w:val="000000"/>
          <w:sz w:val="24"/>
          <w:szCs w:val="24"/>
        </w:rPr>
        <w:t xml:space="preserve"> by telephone, </w:t>
      </w:r>
      <w:r w:rsidR="00FA1C52">
        <w:rPr>
          <w:bCs/>
          <w:iCs/>
          <w:color w:val="000000"/>
          <w:sz w:val="24"/>
          <w:szCs w:val="24"/>
        </w:rPr>
        <w:t xml:space="preserve">and by </w:t>
      </w:r>
      <w:r w:rsidRPr="001727A9">
        <w:rPr>
          <w:bCs/>
          <w:iCs/>
          <w:color w:val="000000"/>
          <w:sz w:val="24"/>
          <w:szCs w:val="24"/>
        </w:rPr>
        <w:t>mail</w:t>
      </w:r>
      <w:r w:rsidR="003315E6">
        <w:rPr>
          <w:bCs/>
          <w:iCs/>
          <w:color w:val="000000"/>
          <w:sz w:val="24"/>
          <w:szCs w:val="24"/>
        </w:rPr>
        <w:t xml:space="preserve">. </w:t>
      </w:r>
      <w:r w:rsidR="002001A1">
        <w:rPr>
          <w:bCs/>
          <w:iCs/>
          <w:color w:val="000000"/>
          <w:sz w:val="24"/>
          <w:szCs w:val="24"/>
        </w:rPr>
        <w:t xml:space="preserve"> </w:t>
      </w:r>
      <w:r w:rsidR="003315E6">
        <w:rPr>
          <w:bCs/>
          <w:iCs/>
          <w:color w:val="000000"/>
          <w:sz w:val="24"/>
          <w:szCs w:val="24"/>
        </w:rPr>
        <w:t>It</w:t>
      </w:r>
      <w:r w:rsidRPr="001727A9">
        <w:rPr>
          <w:bCs/>
          <w:iCs/>
          <w:color w:val="000000"/>
          <w:sz w:val="24"/>
          <w:szCs w:val="24"/>
        </w:rPr>
        <w:t xml:space="preserve"> accurately, efficiently, and securely sends complaints to companies for response. </w:t>
      </w:r>
      <w:r w:rsidR="00E44B27">
        <w:rPr>
          <w:bCs/>
          <w:iCs/>
          <w:color w:val="000000"/>
          <w:sz w:val="24"/>
          <w:szCs w:val="24"/>
        </w:rPr>
        <w:t xml:space="preserve"> </w:t>
      </w:r>
      <w:r w:rsidR="003315E6">
        <w:rPr>
          <w:sz w:val="24"/>
          <w:szCs w:val="24"/>
        </w:rPr>
        <w:t xml:space="preserve">The </w:t>
      </w:r>
      <w:r w:rsidR="00EB0B73">
        <w:rPr>
          <w:sz w:val="24"/>
          <w:szCs w:val="24"/>
        </w:rPr>
        <w:t>toll-free</w:t>
      </w:r>
      <w:r w:rsidR="003315E6">
        <w:rPr>
          <w:sz w:val="24"/>
          <w:szCs w:val="24"/>
        </w:rPr>
        <w:t xml:space="preserve"> number to U.S based contact centers also provides</w:t>
      </w:r>
      <w:r w:rsidRPr="001727A9">
        <w:rPr>
          <w:sz w:val="24"/>
          <w:szCs w:val="24"/>
        </w:rPr>
        <w:t xml:space="preserve"> </w:t>
      </w:r>
      <w:r w:rsidR="003315E6">
        <w:rPr>
          <w:sz w:val="24"/>
          <w:szCs w:val="24"/>
        </w:rPr>
        <w:t xml:space="preserve">Bureau </w:t>
      </w:r>
      <w:r w:rsidRPr="001727A9">
        <w:rPr>
          <w:sz w:val="24"/>
          <w:szCs w:val="24"/>
        </w:rPr>
        <w:t>services</w:t>
      </w:r>
      <w:r w:rsidR="00F77212">
        <w:rPr>
          <w:sz w:val="24"/>
          <w:szCs w:val="24"/>
        </w:rPr>
        <w:t xml:space="preserve"> (including inquiry handling)</w:t>
      </w:r>
      <w:r w:rsidRPr="001727A9">
        <w:rPr>
          <w:sz w:val="24"/>
          <w:szCs w:val="24"/>
        </w:rPr>
        <w:t xml:space="preserve"> to consumers in more than 180 languages and to </w:t>
      </w:r>
      <w:r w:rsidR="003315E6">
        <w:rPr>
          <w:sz w:val="24"/>
          <w:szCs w:val="24"/>
        </w:rPr>
        <w:t>those who have hearing or</w:t>
      </w:r>
      <w:r w:rsidRPr="001727A9">
        <w:rPr>
          <w:sz w:val="24"/>
          <w:szCs w:val="24"/>
        </w:rPr>
        <w:t xml:space="preserve"> speech disabilities. </w:t>
      </w:r>
      <w:r w:rsidR="00A4687E">
        <w:rPr>
          <w:sz w:val="24"/>
          <w:szCs w:val="24"/>
        </w:rPr>
        <w:t xml:space="preserve"> </w:t>
      </w:r>
      <w:r w:rsidRPr="001727A9">
        <w:rPr>
          <w:color w:val="000000"/>
          <w:sz w:val="24"/>
          <w:szCs w:val="24"/>
        </w:rPr>
        <w:t xml:space="preserve">The </w:t>
      </w:r>
      <w:r w:rsidR="004B4182">
        <w:rPr>
          <w:color w:val="000000"/>
          <w:sz w:val="24"/>
          <w:szCs w:val="24"/>
        </w:rPr>
        <w:t>Bureau</w:t>
      </w:r>
      <w:r w:rsidRPr="001727A9">
        <w:rPr>
          <w:color w:val="000000"/>
          <w:sz w:val="24"/>
          <w:szCs w:val="24"/>
        </w:rPr>
        <w:t xml:space="preserve"> will continue to use enhancements such as helper text, drop down menus, error checks, and auto-completion when possible to minimize burden.</w:t>
      </w:r>
    </w:p>
    <w:p w:rsidRPr="001727A9" w:rsidR="00283A77" w:rsidP="00E81562" w:rsidRDefault="00283A77" w14:paraId="18CCA856" w14:textId="77777777">
      <w:pPr>
        <w:rPr>
          <w:b/>
          <w:sz w:val="24"/>
          <w:szCs w:val="24"/>
        </w:rPr>
      </w:pPr>
    </w:p>
    <w:p w:rsidRPr="001727A9" w:rsidR="00092D91" w:rsidP="00092D91" w:rsidRDefault="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1727A9">
        <w:rPr>
          <w:b/>
          <w:sz w:val="24"/>
          <w:szCs w:val="24"/>
        </w:rPr>
        <w:t xml:space="preserve">4.  </w:t>
      </w:r>
      <w:r w:rsidRPr="001727A9">
        <w:rPr>
          <w:b/>
          <w:bCs/>
          <w:sz w:val="24"/>
          <w:szCs w:val="24"/>
        </w:rPr>
        <w:t>Describe efforts to identify duplication.  Show specifically why any similar information already available cannot be used or modified for use for the purposes described in Item A.2 above.</w:t>
      </w:r>
    </w:p>
    <w:p w:rsidRPr="001727A9" w:rsidR="005F1FFC" w:rsidP="005F1FFC" w:rsidRDefault="005F1FFC" w14:paraId="7339726A" w14:textId="22683A11">
      <w:pPr>
        <w:rPr>
          <w:sz w:val="24"/>
          <w:szCs w:val="24"/>
        </w:rPr>
      </w:pPr>
    </w:p>
    <w:p w:rsidRPr="001727A9" w:rsidR="00283A77" w:rsidP="005F1FFC" w:rsidRDefault="00283A77" w14:paraId="138868F5" w14:textId="42FEB0FB">
      <w:pPr>
        <w:rPr>
          <w:sz w:val="24"/>
          <w:szCs w:val="24"/>
        </w:rPr>
      </w:pPr>
      <w:r w:rsidRPr="001727A9">
        <w:rPr>
          <w:color w:val="000000"/>
          <w:sz w:val="24"/>
          <w:szCs w:val="24"/>
        </w:rPr>
        <w:t xml:space="preserve">This generic clearance information collection request does not seek to duplicate any other complaint system being developed by other federal or State agencies.  The information collections proposed will improve the processing of individual consumer complaints and inquiries by the </w:t>
      </w:r>
      <w:r w:rsidR="004B4182">
        <w:rPr>
          <w:color w:val="000000"/>
          <w:sz w:val="24"/>
          <w:szCs w:val="24"/>
        </w:rPr>
        <w:t>Bureau</w:t>
      </w:r>
      <w:r w:rsidRPr="001727A9">
        <w:rPr>
          <w:color w:val="000000"/>
          <w:sz w:val="24"/>
          <w:szCs w:val="24"/>
        </w:rPr>
        <w:t xml:space="preserve">.  Duplication is further minimized as all </w:t>
      </w:r>
      <w:r w:rsidR="00261FE0">
        <w:rPr>
          <w:color w:val="000000"/>
          <w:sz w:val="24"/>
          <w:szCs w:val="24"/>
        </w:rPr>
        <w:t>Bureau</w:t>
      </w:r>
      <w:r w:rsidRPr="001727A9">
        <w:rPr>
          <w:color w:val="000000"/>
          <w:sz w:val="24"/>
          <w:szCs w:val="24"/>
        </w:rPr>
        <w:t xml:space="preserve"> information collections are considered and reviewed through an internal clearance process which includes several offices within the agency, </w:t>
      </w:r>
      <w:r w:rsidRPr="001727A9">
        <w:rPr>
          <w:sz w:val="24"/>
          <w:szCs w:val="24"/>
        </w:rPr>
        <w:t xml:space="preserve">including the </w:t>
      </w:r>
      <w:r w:rsidR="00A81DBC">
        <w:rPr>
          <w:sz w:val="24"/>
          <w:szCs w:val="24"/>
        </w:rPr>
        <w:t>Bureau’s</w:t>
      </w:r>
      <w:r w:rsidRPr="001727A9">
        <w:rPr>
          <w:sz w:val="24"/>
          <w:szCs w:val="24"/>
        </w:rPr>
        <w:t xml:space="preserve"> Office of the Chief </w:t>
      </w:r>
      <w:r w:rsidR="006532E3">
        <w:rPr>
          <w:sz w:val="24"/>
          <w:szCs w:val="24"/>
        </w:rPr>
        <w:t>Data</w:t>
      </w:r>
      <w:r w:rsidRPr="001727A9">
        <w:rPr>
          <w:sz w:val="24"/>
          <w:szCs w:val="24"/>
        </w:rPr>
        <w:t xml:space="preserve"> Officer</w:t>
      </w:r>
      <w:r w:rsidRPr="001727A9">
        <w:rPr>
          <w:color w:val="000000"/>
          <w:sz w:val="24"/>
          <w:szCs w:val="24"/>
        </w:rPr>
        <w:t>.</w:t>
      </w:r>
    </w:p>
    <w:p w:rsidRPr="001727A9" w:rsidR="00BE61FE" w:rsidP="005F1FFC" w:rsidRDefault="00BE61FE" w14:paraId="1111F676" w14:textId="77777777">
      <w:pPr>
        <w:rPr>
          <w:sz w:val="24"/>
          <w:szCs w:val="24"/>
        </w:rPr>
      </w:pPr>
    </w:p>
    <w:p w:rsidRPr="001727A9" w:rsidR="00092D91" w:rsidP="00092D91" w:rsidRDefault="00092D91" w14:paraId="78977288" w14:textId="77777777">
      <w:pPr>
        <w:pStyle w:val="BodyText"/>
        <w:rPr>
          <w:b/>
          <w:szCs w:val="24"/>
        </w:rPr>
      </w:pPr>
      <w:r w:rsidRPr="001727A9">
        <w:rPr>
          <w:b/>
          <w:szCs w:val="24"/>
        </w:rPr>
        <w:t xml:space="preserve">5.  </w:t>
      </w:r>
      <w:r w:rsidRPr="001727A9">
        <w:rPr>
          <w:b/>
          <w:bCs/>
          <w:szCs w:val="24"/>
        </w:rPr>
        <w:t>If the collection of information impacts small businesses or other small entities, describe any methods used to minimize burden.</w:t>
      </w:r>
    </w:p>
    <w:p w:rsidRPr="001727A9" w:rsidR="005F1FFC" w:rsidP="00092D91" w:rsidRDefault="005F1FFC" w14:paraId="6511B9A0" w14:textId="77777777">
      <w:pPr>
        <w:pStyle w:val="BodyText"/>
        <w:rPr>
          <w:szCs w:val="24"/>
        </w:rPr>
      </w:pPr>
    </w:p>
    <w:p w:rsidRPr="001727A9" w:rsidR="00E939D3" w:rsidP="005F1FFC" w:rsidRDefault="00283A77" w14:paraId="2EE74F06" w14:textId="54042FA9">
      <w:pPr>
        <w:pStyle w:val="BodyText"/>
        <w:rPr>
          <w:szCs w:val="24"/>
        </w:rPr>
      </w:pPr>
      <w:r w:rsidRPr="001727A9">
        <w:rPr>
          <w:szCs w:val="24"/>
        </w:rPr>
        <w:lastRenderedPageBreak/>
        <w:t xml:space="preserve">The information collection is voluntary and is not anticipated to burden small businesses significantly.  The </w:t>
      </w:r>
      <w:r w:rsidR="00D8553D">
        <w:rPr>
          <w:szCs w:val="24"/>
        </w:rPr>
        <w:t>complaint and inquiry processes</w:t>
      </w:r>
      <w:r w:rsidRPr="001727A9">
        <w:rPr>
          <w:szCs w:val="24"/>
        </w:rPr>
        <w:t xml:space="preserve"> do not require information collection from small businesses or other small entities.  A potential impact on small entities is that the </w:t>
      </w:r>
      <w:r w:rsidR="004B4182">
        <w:rPr>
          <w:szCs w:val="24"/>
        </w:rPr>
        <w:t>Bureau</w:t>
      </w:r>
      <w:r w:rsidRPr="001727A9">
        <w:rPr>
          <w:szCs w:val="24"/>
        </w:rPr>
        <w:t xml:space="preserve"> </w:t>
      </w:r>
      <w:r w:rsidR="009F67B7">
        <w:rPr>
          <w:szCs w:val="24"/>
        </w:rPr>
        <w:t>(</w:t>
      </w:r>
      <w:r w:rsidRPr="001727A9">
        <w:rPr>
          <w:szCs w:val="24"/>
        </w:rPr>
        <w:t>as required by law</w:t>
      </w:r>
      <w:r w:rsidR="009F67B7">
        <w:rPr>
          <w:szCs w:val="24"/>
        </w:rPr>
        <w:t>)</w:t>
      </w:r>
      <w:r w:rsidRPr="001727A9">
        <w:rPr>
          <w:i/>
          <w:szCs w:val="24"/>
        </w:rPr>
        <w:t xml:space="preserve"> </w:t>
      </w:r>
      <w:r w:rsidRPr="001727A9">
        <w:rPr>
          <w:szCs w:val="24"/>
        </w:rPr>
        <w:t>will utilize the information obtained from consumers to request responses from, and potentially initiate investigations of, entities named in the complaints, some of which may be small entities.</w:t>
      </w:r>
      <w:r w:rsidR="00734357">
        <w:rPr>
          <w:szCs w:val="24"/>
        </w:rPr>
        <w:t xml:space="preserve">  A potential impact on small entities </w:t>
      </w:r>
      <w:r w:rsidR="00AD4B12">
        <w:rPr>
          <w:szCs w:val="24"/>
        </w:rPr>
        <w:t>is that small business owners may submit complaints to the Bureau and experience the same level of burden as consumers.</w:t>
      </w:r>
      <w:r w:rsidRPr="001727A9">
        <w:rPr>
          <w:szCs w:val="24"/>
        </w:rPr>
        <w:t xml:space="preserve">  The </w:t>
      </w:r>
      <w:r w:rsidR="004B4182">
        <w:rPr>
          <w:szCs w:val="24"/>
        </w:rPr>
        <w:t>Bureau</w:t>
      </w:r>
      <w:r w:rsidRPr="001727A9">
        <w:rPr>
          <w:szCs w:val="24"/>
        </w:rPr>
        <w:t xml:space="preserve"> will minimize any burden by striving to request </w:t>
      </w:r>
      <w:r w:rsidRPr="001727A9" w:rsidR="0041069F">
        <w:rPr>
          <w:szCs w:val="24"/>
        </w:rPr>
        <w:t>readily available</w:t>
      </w:r>
      <w:r w:rsidRPr="001727A9">
        <w:rPr>
          <w:szCs w:val="24"/>
        </w:rPr>
        <w:t xml:space="preserve"> information and using plain, short, easy-to-complete information collection instruments.</w:t>
      </w:r>
    </w:p>
    <w:p w:rsidRPr="001727A9" w:rsidR="00283A77" w:rsidP="005F1FFC" w:rsidRDefault="00283A77" w14:paraId="69465862" w14:textId="77777777">
      <w:pPr>
        <w:pStyle w:val="BodyText"/>
        <w:rPr>
          <w:szCs w:val="24"/>
        </w:rPr>
      </w:pPr>
    </w:p>
    <w:p w:rsidRPr="001727A9" w:rsidR="00F660E8" w:rsidP="00F660E8" w:rsidRDefault="00F660E8" w14:paraId="7ACF7470" w14:textId="77777777">
      <w:pPr>
        <w:rPr>
          <w:b/>
          <w:sz w:val="24"/>
          <w:szCs w:val="24"/>
        </w:rPr>
      </w:pPr>
      <w:r w:rsidRPr="001727A9">
        <w:rPr>
          <w:b/>
          <w:sz w:val="24"/>
          <w:szCs w:val="24"/>
        </w:rPr>
        <w:t xml:space="preserve">6.  </w:t>
      </w:r>
      <w:r w:rsidRPr="001727A9">
        <w:rPr>
          <w:b/>
          <w:bCs/>
          <w:sz w:val="24"/>
          <w:szCs w:val="24"/>
        </w:rPr>
        <w:t xml:space="preserve">Describe the consequence to federal program or policy activities if the collection is not conducted or is conducted less frequently, as well as any technical or legal obstacles to reducing burden. </w:t>
      </w:r>
    </w:p>
    <w:p w:rsidRPr="001727A9" w:rsidR="005F1FFC" w:rsidP="005F1FFC" w:rsidRDefault="005F1FFC" w14:paraId="039568CD" w14:textId="57828BE5">
      <w:pPr>
        <w:rPr>
          <w:sz w:val="24"/>
          <w:szCs w:val="24"/>
        </w:rPr>
      </w:pPr>
    </w:p>
    <w:p w:rsidRPr="001727A9" w:rsidR="00283A77" w:rsidP="005F1FFC" w:rsidRDefault="00283A77" w14:paraId="463DC4A1" w14:textId="70D03F0A">
      <w:pPr>
        <w:rPr>
          <w:sz w:val="24"/>
          <w:szCs w:val="24"/>
        </w:rPr>
      </w:pPr>
      <w:r w:rsidRPr="001727A9">
        <w:rPr>
          <w:color w:val="000000"/>
          <w:sz w:val="24"/>
          <w:szCs w:val="24"/>
        </w:rPr>
        <w:t xml:space="preserve">The </w:t>
      </w:r>
      <w:r w:rsidR="004B4182">
        <w:rPr>
          <w:color w:val="000000"/>
          <w:sz w:val="24"/>
          <w:szCs w:val="24"/>
        </w:rPr>
        <w:t>Bureau</w:t>
      </w:r>
      <w:r w:rsidRPr="001727A9">
        <w:rPr>
          <w:color w:val="000000"/>
          <w:sz w:val="24"/>
          <w:szCs w:val="24"/>
        </w:rPr>
        <w:t xml:space="preserve">’s collection of </w:t>
      </w:r>
      <w:r w:rsidRPr="001727A9" w:rsidR="00F23BD4">
        <w:rPr>
          <w:color w:val="000000"/>
          <w:sz w:val="24"/>
          <w:szCs w:val="24"/>
        </w:rPr>
        <w:t>voluntarily submitted</w:t>
      </w:r>
      <w:r w:rsidRPr="001727A9">
        <w:rPr>
          <w:color w:val="000000"/>
          <w:sz w:val="24"/>
          <w:szCs w:val="24"/>
        </w:rPr>
        <w:t xml:space="preserve"> consumer complaints is a primary function of the </w:t>
      </w:r>
      <w:r w:rsidR="004B4182">
        <w:rPr>
          <w:color w:val="000000"/>
          <w:sz w:val="24"/>
          <w:szCs w:val="24"/>
        </w:rPr>
        <w:t>Bureau</w:t>
      </w:r>
      <w:r w:rsidRPr="001727A9">
        <w:rPr>
          <w:color w:val="000000"/>
          <w:sz w:val="24"/>
          <w:szCs w:val="24"/>
        </w:rPr>
        <w:t xml:space="preserve"> under section 1021(c)(2) of the Dodd-Frank Act.</w:t>
      </w:r>
      <w:r w:rsidRPr="001727A9">
        <w:rPr>
          <w:rStyle w:val="FootnoteReference"/>
          <w:color w:val="000000"/>
          <w:sz w:val="24"/>
          <w:szCs w:val="24"/>
        </w:rPr>
        <w:footnoteReference w:id="4"/>
      </w:r>
      <w:r w:rsidRPr="001727A9">
        <w:rPr>
          <w:color w:val="000000"/>
          <w:sz w:val="24"/>
          <w:szCs w:val="24"/>
        </w:rPr>
        <w:t xml:space="preserve">  Information collected from consumers using the piloted complaint, inquiry or feedback forms will be voluntary.</w:t>
      </w:r>
      <w:r w:rsidRPr="001727A9" w:rsidDel="008079C2">
        <w:rPr>
          <w:color w:val="000000"/>
          <w:sz w:val="24"/>
          <w:szCs w:val="24"/>
        </w:rPr>
        <w:t xml:space="preserve"> </w:t>
      </w:r>
      <w:r w:rsidR="009454AE">
        <w:rPr>
          <w:color w:val="000000"/>
          <w:sz w:val="24"/>
          <w:szCs w:val="24"/>
        </w:rPr>
        <w:t xml:space="preserve"> </w:t>
      </w:r>
      <w:r w:rsidRPr="001727A9">
        <w:rPr>
          <w:color w:val="000000"/>
          <w:sz w:val="24"/>
          <w:szCs w:val="24"/>
        </w:rPr>
        <w:t xml:space="preserve">Any participation in feedback surveys will be voluntary.  If the proposed pilot or survey collections are not conducted, the </w:t>
      </w:r>
      <w:r w:rsidR="004B4182">
        <w:rPr>
          <w:color w:val="000000"/>
          <w:sz w:val="24"/>
          <w:szCs w:val="24"/>
        </w:rPr>
        <w:t>Bureau</w:t>
      </w:r>
      <w:r w:rsidRPr="001727A9">
        <w:rPr>
          <w:color w:val="000000"/>
          <w:sz w:val="24"/>
          <w:szCs w:val="24"/>
        </w:rPr>
        <w:t xml:space="preserve"> could not properly evaluate and improve the complaint response function.</w:t>
      </w:r>
    </w:p>
    <w:p w:rsidRPr="001727A9" w:rsidR="00E939D3" w:rsidP="00BE61FE" w:rsidRDefault="00E939D3" w14:paraId="224E9EAF" w14:textId="77777777">
      <w:pPr>
        <w:rPr>
          <w:sz w:val="24"/>
          <w:szCs w:val="24"/>
        </w:rPr>
      </w:pPr>
    </w:p>
    <w:p w:rsidRPr="00556CE2" w:rsidR="00F660E8" w:rsidP="00DD151B" w:rsidRDefault="00556CE2" w14:paraId="3D2A640F" w14:textId="12CAA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bCs/>
          <w:sz w:val="24"/>
          <w:szCs w:val="24"/>
        </w:rPr>
        <w:t xml:space="preserve">7.  </w:t>
      </w:r>
      <w:r w:rsidRPr="001727A9" w:rsidR="00F660E8">
        <w:rPr>
          <w:b/>
          <w:bCs/>
          <w:sz w:val="24"/>
          <w:szCs w:val="24"/>
        </w:rPr>
        <w:t>Explain any special circumstances that would cause an information collection to be conducted in a manner:</w:t>
      </w:r>
    </w:p>
    <w:p w:rsidRPr="00556CE2" w:rsidR="00F660E8" w:rsidP="00556CE2" w:rsidRDefault="00F660E8" w14:paraId="1E4D6E0A" w14:textId="0FB43482">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r w:rsidRPr="00556CE2">
        <w:rPr>
          <w:rFonts w:ascii="Times New Roman" w:hAnsi="Times New Roman"/>
          <w:b/>
          <w:bCs/>
          <w:sz w:val="24"/>
          <w:szCs w:val="24"/>
        </w:rPr>
        <w:t xml:space="preserve">requiring respondents to report information to the agency more often than </w:t>
      </w:r>
      <w:proofErr w:type="gramStart"/>
      <w:r w:rsidRPr="00556CE2">
        <w:rPr>
          <w:rFonts w:ascii="Times New Roman" w:hAnsi="Times New Roman"/>
          <w:b/>
          <w:bCs/>
          <w:sz w:val="24"/>
          <w:szCs w:val="24"/>
        </w:rPr>
        <w:t>quarterly;</w:t>
      </w:r>
      <w:proofErr w:type="gramEnd"/>
    </w:p>
    <w:p w:rsidRPr="00556CE2" w:rsidR="00F660E8" w:rsidP="00556CE2" w:rsidRDefault="00F660E8" w14:paraId="1B834044" w14:textId="65C5B98F">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r w:rsidRPr="00556CE2">
        <w:rPr>
          <w:rFonts w:ascii="Times New Roman" w:hAnsi="Times New Roman"/>
          <w:b/>
          <w:bCs/>
          <w:sz w:val="24"/>
          <w:szCs w:val="24"/>
        </w:rPr>
        <w:t xml:space="preserve">requiring respondents to prepare a written response to a collection of information in fewer than 30 days after receipt of </w:t>
      </w:r>
      <w:proofErr w:type="gramStart"/>
      <w:r w:rsidRPr="00556CE2">
        <w:rPr>
          <w:rFonts w:ascii="Times New Roman" w:hAnsi="Times New Roman"/>
          <w:b/>
          <w:bCs/>
          <w:sz w:val="24"/>
          <w:szCs w:val="24"/>
        </w:rPr>
        <w:t>it;</w:t>
      </w:r>
      <w:proofErr w:type="gramEnd"/>
    </w:p>
    <w:p w:rsidRPr="00556CE2" w:rsidR="00F660E8" w:rsidP="00556CE2" w:rsidRDefault="00F660E8" w14:paraId="154520E3" w14:textId="78F19103">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r w:rsidRPr="00556CE2">
        <w:rPr>
          <w:rFonts w:ascii="Times New Roman" w:hAnsi="Times New Roman"/>
          <w:b/>
          <w:bCs/>
          <w:sz w:val="24"/>
          <w:szCs w:val="24"/>
        </w:rPr>
        <w:t xml:space="preserve">requiring respondents to submit more than an original and two copies of any </w:t>
      </w:r>
      <w:proofErr w:type="gramStart"/>
      <w:r w:rsidRPr="00556CE2">
        <w:rPr>
          <w:rFonts w:ascii="Times New Roman" w:hAnsi="Times New Roman"/>
          <w:b/>
          <w:bCs/>
          <w:sz w:val="24"/>
          <w:szCs w:val="24"/>
        </w:rPr>
        <w:t>document;</w:t>
      </w:r>
      <w:proofErr w:type="gramEnd"/>
    </w:p>
    <w:p w:rsidRPr="00556CE2" w:rsidR="00F660E8" w:rsidP="00556CE2" w:rsidRDefault="00F660E8" w14:paraId="180B5013" w14:textId="1E922B51">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r w:rsidRPr="00556CE2">
        <w:rPr>
          <w:rFonts w:ascii="Times New Roman" w:hAnsi="Times New Roman"/>
          <w:b/>
          <w:bCs/>
          <w:sz w:val="24"/>
          <w:szCs w:val="24"/>
        </w:rPr>
        <w:t xml:space="preserve">requiring respondents to retain records, other than health, medical, government contract, grant-in-aid, or tax records for more than three </w:t>
      </w:r>
      <w:proofErr w:type="gramStart"/>
      <w:r w:rsidRPr="00556CE2">
        <w:rPr>
          <w:rFonts w:ascii="Times New Roman" w:hAnsi="Times New Roman"/>
          <w:b/>
          <w:bCs/>
          <w:sz w:val="24"/>
          <w:szCs w:val="24"/>
        </w:rPr>
        <w:t>years;</w:t>
      </w:r>
      <w:proofErr w:type="gramEnd"/>
    </w:p>
    <w:p w:rsidRPr="00556CE2" w:rsidR="00F660E8" w:rsidP="00556CE2" w:rsidRDefault="00F660E8" w14:paraId="050BB7CE" w14:textId="251C9254">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r w:rsidRPr="00556CE2">
        <w:rPr>
          <w:rFonts w:ascii="Times New Roman" w:hAnsi="Times New Roman"/>
          <w:b/>
          <w:bCs/>
          <w:sz w:val="24"/>
          <w:szCs w:val="24"/>
        </w:rPr>
        <w:t xml:space="preserve">in connection with a statistical survey, that is not designed to produce valid and reliable results that can be generalized to the universe of </w:t>
      </w:r>
      <w:proofErr w:type="gramStart"/>
      <w:r w:rsidRPr="00556CE2">
        <w:rPr>
          <w:rFonts w:ascii="Times New Roman" w:hAnsi="Times New Roman"/>
          <w:b/>
          <w:bCs/>
          <w:sz w:val="24"/>
          <w:szCs w:val="24"/>
        </w:rPr>
        <w:t>study;</w:t>
      </w:r>
      <w:proofErr w:type="gramEnd"/>
    </w:p>
    <w:p w:rsidRPr="00556CE2" w:rsidR="00F660E8" w:rsidP="00556CE2" w:rsidRDefault="00F660E8" w14:paraId="2D971794" w14:textId="245D5DA2">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r w:rsidRPr="00556CE2">
        <w:rPr>
          <w:rFonts w:ascii="Times New Roman" w:hAnsi="Times New Roman"/>
          <w:b/>
          <w:bCs/>
          <w:sz w:val="24"/>
          <w:szCs w:val="24"/>
        </w:rPr>
        <w:t xml:space="preserve">requiring the use of statistical data classification that has not been reviewed and approved by </w:t>
      </w:r>
      <w:proofErr w:type="gramStart"/>
      <w:r w:rsidRPr="00556CE2">
        <w:rPr>
          <w:rFonts w:ascii="Times New Roman" w:hAnsi="Times New Roman"/>
          <w:b/>
          <w:bCs/>
          <w:sz w:val="24"/>
          <w:szCs w:val="24"/>
        </w:rPr>
        <w:t>OMB;</w:t>
      </w:r>
      <w:proofErr w:type="gramEnd"/>
    </w:p>
    <w:p w:rsidRPr="00556CE2" w:rsidR="00F660E8" w:rsidP="00556CE2" w:rsidRDefault="00F660E8" w14:paraId="18705605" w14:textId="4D54325C">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r w:rsidRPr="00556CE2">
        <w:rPr>
          <w:rFonts w:ascii="Times New Roman" w:hAnsi="Times New Roman"/>
          <w:b/>
          <w:bCs/>
          <w:sz w:val="24"/>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56CE2" w:rsidR="00F660E8" w:rsidP="00556CE2" w:rsidRDefault="00F660E8" w14:paraId="28A0BBB5" w14:textId="24894706">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56CE2">
        <w:rPr>
          <w:rFonts w:ascii="Times New Roman" w:hAnsi="Times New Roman"/>
          <w:b/>
          <w:bCs/>
          <w:sz w:val="24"/>
          <w:szCs w:val="24"/>
        </w:rPr>
        <w:t xml:space="preserve">requiring respondents to submit proprietary trade secret, or other confidential information unless the agency can demonstrate that it has </w:t>
      </w:r>
      <w:r w:rsidRPr="00556CE2">
        <w:rPr>
          <w:rFonts w:ascii="Times New Roman" w:hAnsi="Times New Roman"/>
          <w:b/>
          <w:bCs/>
          <w:sz w:val="24"/>
          <w:szCs w:val="24"/>
        </w:rPr>
        <w:lastRenderedPageBreak/>
        <w:t>instituted procedures to protect the information's confidentially to the extent permitted by law.</w:t>
      </w:r>
    </w:p>
    <w:p w:rsidRPr="00556CE2" w:rsidR="005F1FFC" w:rsidP="00DD151B" w:rsidRDefault="005F1FFC" w14:paraId="394DE9F1" w14:textId="41766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727A9" w:rsidR="00E939D3" w:rsidP="00DD151B" w:rsidRDefault="00283A77" w14:paraId="630F2A4B" w14:textId="0E83C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727A9">
        <w:rPr>
          <w:color w:val="000000"/>
          <w:sz w:val="24"/>
          <w:szCs w:val="24"/>
        </w:rPr>
        <w:t>There are no special circumstances. The collection of information is conducted in a manner consistent with the guidelines in 5 C</w:t>
      </w:r>
      <w:r w:rsidR="000A694A">
        <w:rPr>
          <w:color w:val="000000"/>
          <w:sz w:val="24"/>
          <w:szCs w:val="24"/>
        </w:rPr>
        <w:t xml:space="preserve">FR </w:t>
      </w:r>
      <w:r w:rsidRPr="001727A9">
        <w:rPr>
          <w:color w:val="000000"/>
          <w:sz w:val="24"/>
          <w:szCs w:val="24"/>
        </w:rPr>
        <w:t>1320.5(d)(2).</w:t>
      </w:r>
    </w:p>
    <w:p w:rsidRPr="001727A9" w:rsidR="00283A77" w:rsidP="00283A77" w:rsidRDefault="00283A77" w14:paraId="3244471B" w14:textId="77777777">
      <w:pPr>
        <w:rPr>
          <w:sz w:val="24"/>
          <w:szCs w:val="24"/>
        </w:rPr>
      </w:pPr>
    </w:p>
    <w:p w:rsidRPr="001727A9" w:rsidR="00F660E8" w:rsidP="00DD151B" w:rsidRDefault="00F660E8" w14:paraId="57D65F4E" w14:textId="09C0605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1727A9">
        <w:rPr>
          <w:b/>
          <w:sz w:val="24"/>
          <w:szCs w:val="24"/>
        </w:rPr>
        <w:t xml:space="preserve">8.  </w:t>
      </w:r>
      <w:r w:rsidRPr="001727A9">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727A9" w:rsidR="00F660E8" w:rsidP="00DD151B" w:rsidRDefault="00F660E8" w14:paraId="561307EE" w14:textId="1823E42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1727A9" w:rsidR="00F660E8" w:rsidP="00DD151B" w:rsidRDefault="00F660E8" w14:paraId="33241213" w14:textId="33378C9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1727A9">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727A9" w:rsidR="00F660E8" w:rsidP="00DD151B" w:rsidRDefault="00F660E8" w14:paraId="09D629DD" w14:textId="75189A3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1727A9" w:rsidR="00F660E8" w:rsidP="00DD151B" w:rsidRDefault="00F660E8" w14:paraId="7810B748" w14:textId="5167EEF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1727A9">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1727A9" w:rsidR="005F1FFC" w:rsidP="005F1FFC" w:rsidRDefault="005F1FFC" w14:paraId="3454479C" w14:textId="77777777">
      <w:pPr>
        <w:rPr>
          <w:sz w:val="24"/>
          <w:szCs w:val="24"/>
        </w:rPr>
      </w:pPr>
    </w:p>
    <w:p w:rsidR="00424615" w:rsidP="00424615" w:rsidRDefault="00424615" w14:paraId="23C1BDFD" w14:textId="1D9FCFDA">
      <w:pPr>
        <w:rPr>
          <w:bCs/>
          <w:sz w:val="24"/>
        </w:rPr>
      </w:pPr>
      <w:r>
        <w:rPr>
          <w:bCs/>
          <w:sz w:val="24"/>
        </w:rPr>
        <w:t xml:space="preserve">In accordance with 5 CFR </w:t>
      </w:r>
      <w:r w:rsidR="002441CD">
        <w:rPr>
          <w:bCs/>
          <w:sz w:val="24"/>
        </w:rPr>
        <w:t xml:space="preserve">Part </w:t>
      </w:r>
      <w:r>
        <w:rPr>
          <w:bCs/>
          <w:sz w:val="24"/>
        </w:rPr>
        <w:t xml:space="preserve">1320.8(d)(1), the Bureau published a notice in </w:t>
      </w:r>
      <w:r w:rsidR="002B37CB">
        <w:rPr>
          <w:bCs/>
          <w:sz w:val="24"/>
        </w:rPr>
        <w:t xml:space="preserve">the </w:t>
      </w:r>
      <w:r>
        <w:rPr>
          <w:bCs/>
          <w:iCs/>
          <w:sz w:val="24"/>
        </w:rPr>
        <w:t>Federal Register</w:t>
      </w:r>
      <w:r>
        <w:rPr>
          <w:bCs/>
          <w:sz w:val="24"/>
        </w:rPr>
        <w:t xml:space="preserve"> that provides the public 60 calendar days to comment on the extension of reporting requirements contained within OMB Control No. 3170-0042.</w:t>
      </w:r>
      <w:r>
        <w:rPr>
          <w:rStyle w:val="FootnoteReference"/>
          <w:bCs/>
          <w:sz w:val="24"/>
        </w:rPr>
        <w:footnoteReference w:id="5"/>
      </w:r>
      <w:r w:rsidR="006F0AC3">
        <w:rPr>
          <w:bCs/>
          <w:sz w:val="24"/>
        </w:rPr>
        <w:t xml:space="preserve">  </w:t>
      </w:r>
      <w:r w:rsidR="002B37CB">
        <w:rPr>
          <w:bCs/>
          <w:sz w:val="24"/>
        </w:rPr>
        <w:t xml:space="preserve">One comment </w:t>
      </w:r>
      <w:r w:rsidR="00F940B1">
        <w:rPr>
          <w:bCs/>
          <w:sz w:val="24"/>
        </w:rPr>
        <w:t xml:space="preserve">was </w:t>
      </w:r>
      <w:r w:rsidR="002B37CB">
        <w:rPr>
          <w:bCs/>
          <w:sz w:val="24"/>
        </w:rPr>
        <w:t>received expressing general approval of the Bureau’s activities.</w:t>
      </w:r>
      <w:r w:rsidR="001A37AA">
        <w:rPr>
          <w:bCs/>
          <w:sz w:val="24"/>
        </w:rPr>
        <w:t xml:space="preserve">  The comment did </w:t>
      </w:r>
      <w:r w:rsidRPr="001A37AA" w:rsidR="001A37AA">
        <w:rPr>
          <w:bCs/>
          <w:sz w:val="24"/>
          <w:u w:val="single"/>
        </w:rPr>
        <w:t>not</w:t>
      </w:r>
      <w:r w:rsidR="001A37AA">
        <w:rPr>
          <w:bCs/>
          <w:sz w:val="24"/>
        </w:rPr>
        <w:t xml:space="preserve"> pertain to information collection activities.</w:t>
      </w:r>
    </w:p>
    <w:p w:rsidR="00424615" w:rsidP="00424615" w:rsidRDefault="00424615" w14:paraId="5AA2651B" w14:textId="77777777">
      <w:pPr>
        <w:rPr>
          <w:bCs/>
          <w:sz w:val="24"/>
        </w:rPr>
      </w:pPr>
    </w:p>
    <w:p w:rsidR="00424615" w:rsidP="00424615" w:rsidRDefault="00424615" w14:paraId="230DA09D" w14:textId="42E18416">
      <w:pPr>
        <w:rPr>
          <w:bCs/>
          <w:sz w:val="24"/>
        </w:rPr>
      </w:pPr>
      <w:r>
        <w:rPr>
          <w:bCs/>
          <w:sz w:val="24"/>
        </w:rPr>
        <w:t xml:space="preserve">Also, in accordance with 5 CFR </w:t>
      </w:r>
      <w:r w:rsidR="002441CD">
        <w:rPr>
          <w:bCs/>
          <w:sz w:val="24"/>
        </w:rPr>
        <w:t xml:space="preserve">Part </w:t>
      </w:r>
      <w:r>
        <w:rPr>
          <w:bCs/>
          <w:sz w:val="24"/>
        </w:rPr>
        <w:t xml:space="preserve">1320.5(a)(1)(iv), the Bureau has also published a notice in the </w:t>
      </w:r>
      <w:r>
        <w:rPr>
          <w:bCs/>
          <w:iCs/>
          <w:sz w:val="24"/>
        </w:rPr>
        <w:t>Federal Register</w:t>
      </w:r>
      <w:r>
        <w:rPr>
          <w:bCs/>
          <w:sz w:val="24"/>
        </w:rPr>
        <w:t xml:space="preserve"> providing the public 30 days to comment on reporting requirements contained within this information collection request.</w:t>
      </w:r>
      <w:r>
        <w:rPr>
          <w:rStyle w:val="FootnoteReference"/>
          <w:bCs/>
          <w:sz w:val="24"/>
        </w:rPr>
        <w:footnoteReference w:id="6"/>
      </w:r>
    </w:p>
    <w:p w:rsidRPr="001727A9" w:rsidR="00E939D3" w:rsidP="005F1FFC" w:rsidRDefault="00E939D3" w14:paraId="6891C959" w14:textId="77777777">
      <w:pPr>
        <w:rPr>
          <w:sz w:val="24"/>
          <w:szCs w:val="24"/>
        </w:rPr>
      </w:pPr>
    </w:p>
    <w:p w:rsidRPr="001727A9" w:rsidR="00F660E8" w:rsidP="00F660E8" w:rsidRDefault="00F660E8" w14:paraId="3BE65949" w14:textId="77777777">
      <w:pPr>
        <w:autoSpaceDE w:val="0"/>
        <w:autoSpaceDN w:val="0"/>
        <w:adjustRightInd w:val="0"/>
        <w:rPr>
          <w:b/>
          <w:sz w:val="24"/>
          <w:szCs w:val="24"/>
        </w:rPr>
      </w:pPr>
      <w:r w:rsidRPr="001727A9">
        <w:rPr>
          <w:b/>
          <w:sz w:val="24"/>
          <w:szCs w:val="24"/>
        </w:rPr>
        <w:t xml:space="preserve">9.  </w:t>
      </w:r>
      <w:r w:rsidRPr="001727A9">
        <w:rPr>
          <w:b/>
          <w:bCs/>
          <w:sz w:val="24"/>
          <w:szCs w:val="24"/>
        </w:rPr>
        <w:t>Explain any decision to provide any payments or gifts to respondents, other than remuneration of contractors or grantees.</w:t>
      </w:r>
    </w:p>
    <w:p w:rsidRPr="001727A9" w:rsidR="005F1FFC" w:rsidP="005F1FFC" w:rsidRDefault="005F1FFC" w14:paraId="0EFC2C53" w14:textId="77777777">
      <w:pPr>
        <w:rPr>
          <w:sz w:val="24"/>
          <w:szCs w:val="24"/>
        </w:rPr>
      </w:pPr>
    </w:p>
    <w:p w:rsidRPr="001727A9" w:rsidR="00283A77" w:rsidP="00283A77" w:rsidRDefault="00283A77" w14:paraId="3924D9AA" w14:textId="2EE1880C">
      <w:pPr>
        <w:rPr>
          <w:color w:val="000000"/>
          <w:sz w:val="24"/>
          <w:szCs w:val="24"/>
        </w:rPr>
      </w:pPr>
      <w:r w:rsidRPr="001727A9">
        <w:rPr>
          <w:color w:val="000000"/>
          <w:sz w:val="24"/>
          <w:szCs w:val="24"/>
        </w:rPr>
        <w:t xml:space="preserve">The Bureau may provide payment or other forms of remuneration to respondents of its various forms of collecting input on complaint, feedback, and inquiry processes. The Bureau has as its goal the protection and empowerment of all consumers.  This includes pursuing programs and policy initiatives that serve lower-income and traditionally underserved consumers.  </w:t>
      </w:r>
    </w:p>
    <w:p w:rsidRPr="001727A9" w:rsidR="00283A77" w:rsidP="00283A77" w:rsidRDefault="00283A77" w14:paraId="42360DAA" w14:textId="77777777">
      <w:pPr>
        <w:rPr>
          <w:color w:val="000000"/>
          <w:sz w:val="24"/>
          <w:szCs w:val="24"/>
        </w:rPr>
      </w:pPr>
    </w:p>
    <w:p w:rsidRPr="001727A9" w:rsidR="00A93967" w:rsidP="00283A77" w:rsidRDefault="00283A77" w14:paraId="7CFFEB9F" w14:textId="55BF1171">
      <w:pPr>
        <w:rPr>
          <w:sz w:val="24"/>
          <w:szCs w:val="24"/>
        </w:rPr>
      </w:pPr>
      <w:r w:rsidRPr="001727A9">
        <w:rPr>
          <w:sz w:val="24"/>
          <w:szCs w:val="24"/>
        </w:rPr>
        <w:t>Incentives will be used if information collections include hard-to-reach groups and are linked to response rates. Justifications for the type and level of incentive will be provided in the request for clearance of these specific activities.</w:t>
      </w:r>
    </w:p>
    <w:p w:rsidRPr="001727A9" w:rsidR="00283A77" w:rsidP="009E1042" w:rsidRDefault="00283A77" w14:paraId="4D7FC13B" w14:textId="77777777">
      <w:pPr>
        <w:rPr>
          <w:sz w:val="24"/>
          <w:szCs w:val="24"/>
        </w:rPr>
      </w:pPr>
    </w:p>
    <w:p w:rsidRPr="001727A9" w:rsidR="00F660E8" w:rsidP="00F660E8" w:rsidRDefault="00F660E8" w14:paraId="00FF3777" w14:textId="77777777">
      <w:pPr>
        <w:rPr>
          <w:b/>
          <w:sz w:val="24"/>
          <w:szCs w:val="24"/>
        </w:rPr>
      </w:pPr>
      <w:r w:rsidRPr="001727A9">
        <w:rPr>
          <w:b/>
          <w:sz w:val="24"/>
          <w:szCs w:val="24"/>
        </w:rPr>
        <w:t xml:space="preserve">10.  </w:t>
      </w:r>
      <w:r w:rsidRPr="001727A9">
        <w:rPr>
          <w:b/>
          <w:bCs/>
          <w:sz w:val="24"/>
          <w:szCs w:val="24"/>
        </w:rPr>
        <w:t>Describe any assurance of confidentiality provided to respondents and the basis for the assurance in statute, regulation, or agency policy.</w:t>
      </w:r>
    </w:p>
    <w:p w:rsidRPr="001727A9" w:rsidR="00283A77" w:rsidP="00283A77" w:rsidRDefault="00283A77" w14:paraId="3E31D4D1" w14:textId="18BE1C23">
      <w:pPr>
        <w:rPr>
          <w:sz w:val="24"/>
          <w:szCs w:val="24"/>
        </w:rPr>
      </w:pPr>
    </w:p>
    <w:p w:rsidRPr="00B325E4" w:rsidR="00283A77" w:rsidP="00283A77" w:rsidRDefault="00283A77" w14:paraId="76008447" w14:textId="50C16D1F">
      <w:pPr>
        <w:rPr>
          <w:color w:val="000000"/>
          <w:sz w:val="24"/>
          <w:szCs w:val="24"/>
        </w:rPr>
      </w:pPr>
      <w:r w:rsidRPr="001727A9">
        <w:rPr>
          <w:color w:val="000000"/>
          <w:sz w:val="24"/>
          <w:szCs w:val="24"/>
        </w:rPr>
        <w:t xml:space="preserve">All information collection activities will conform to the requirements for the protection of the confidentiality of </w:t>
      </w:r>
      <w:r w:rsidRPr="00B325E4">
        <w:rPr>
          <w:color w:val="000000"/>
          <w:sz w:val="24"/>
          <w:szCs w:val="24"/>
        </w:rPr>
        <w:t xml:space="preserve">nonpublic information and personally identifiable information and for data security and integrity set forth in federal privacy laws, including the </w:t>
      </w:r>
      <w:r w:rsidRPr="00B325E4" w:rsidR="004B4182">
        <w:rPr>
          <w:color w:val="000000"/>
          <w:sz w:val="24"/>
          <w:szCs w:val="24"/>
        </w:rPr>
        <w:t>Bureau</w:t>
      </w:r>
      <w:r w:rsidRPr="00B325E4">
        <w:rPr>
          <w:color w:val="000000"/>
          <w:sz w:val="24"/>
          <w:szCs w:val="24"/>
        </w:rPr>
        <w:t xml:space="preserve">’s rules (12 C.F.R. § 1070 et seq.) and the Privacy Act (5 U.S.C. § 552a).  At the point of information collection, individuals will be provided with the </w:t>
      </w:r>
      <w:r w:rsidRPr="00B325E4" w:rsidR="004B4182">
        <w:rPr>
          <w:color w:val="000000"/>
          <w:sz w:val="24"/>
          <w:szCs w:val="24"/>
        </w:rPr>
        <w:t>Bureau</w:t>
      </w:r>
      <w:r w:rsidRPr="00B325E4">
        <w:rPr>
          <w:color w:val="000000"/>
          <w:sz w:val="24"/>
          <w:szCs w:val="24"/>
        </w:rPr>
        <w:t>’s Privacy Act Statement</w:t>
      </w:r>
      <w:r w:rsidRPr="00B325E4" w:rsidR="00704A3C">
        <w:rPr>
          <w:color w:val="000000"/>
          <w:sz w:val="24"/>
          <w:szCs w:val="24"/>
        </w:rPr>
        <w:t xml:space="preserve"> or Privacy Notice, as applicable</w:t>
      </w:r>
      <w:r w:rsidRPr="00B325E4">
        <w:rPr>
          <w:color w:val="000000"/>
          <w:sz w:val="24"/>
          <w:szCs w:val="24"/>
        </w:rPr>
        <w:t xml:space="preserve">. The </w:t>
      </w:r>
      <w:r w:rsidRPr="00B325E4" w:rsidR="004B4182">
        <w:rPr>
          <w:color w:val="000000"/>
          <w:sz w:val="24"/>
          <w:szCs w:val="24"/>
        </w:rPr>
        <w:t>Bureau</w:t>
      </w:r>
      <w:r w:rsidRPr="00B325E4">
        <w:rPr>
          <w:color w:val="000000"/>
          <w:sz w:val="24"/>
          <w:szCs w:val="24"/>
        </w:rPr>
        <w:t xml:space="preserve"> will implement the appropriate security measures to ensure data is safeguarded including the use of locked file storage, confidentiality stamping, restricted system access, data encryption, restricted print options and disposal by cross-cut shredding.  </w:t>
      </w:r>
    </w:p>
    <w:p w:rsidRPr="00B325E4" w:rsidR="00F141E8" w:rsidP="00283A77" w:rsidRDefault="00F141E8" w14:paraId="3E2E5F26" w14:textId="77777777">
      <w:pPr>
        <w:rPr>
          <w:color w:val="000000"/>
          <w:sz w:val="24"/>
          <w:szCs w:val="24"/>
        </w:rPr>
      </w:pPr>
    </w:p>
    <w:p w:rsidRPr="00B325E4" w:rsidR="00283A77" w:rsidP="00283A77" w:rsidRDefault="00283A77" w14:paraId="0CDF820B" w14:textId="10641D38">
      <w:pPr>
        <w:rPr>
          <w:color w:val="000000"/>
          <w:sz w:val="24"/>
          <w:szCs w:val="24"/>
        </w:rPr>
      </w:pPr>
      <w:r w:rsidRPr="00B325E4">
        <w:rPr>
          <w:sz w:val="24"/>
          <w:szCs w:val="24"/>
        </w:rPr>
        <w:t xml:space="preserve">Section 1057 of the Dodd-Frank Act provides additional protections for “whistleblowers” who work for covered persons or service providers and who experience employer retaliation after providing certain information about their employers to the </w:t>
      </w:r>
      <w:r w:rsidRPr="00B325E4" w:rsidR="004B4182">
        <w:rPr>
          <w:sz w:val="24"/>
          <w:szCs w:val="24"/>
        </w:rPr>
        <w:t>Bureau</w:t>
      </w:r>
      <w:r w:rsidRPr="00B325E4">
        <w:rPr>
          <w:sz w:val="24"/>
          <w:szCs w:val="24"/>
        </w:rPr>
        <w:t xml:space="preserve">.  </w:t>
      </w:r>
      <w:r w:rsidRPr="00B325E4">
        <w:rPr>
          <w:color w:val="000000"/>
          <w:sz w:val="24"/>
          <w:szCs w:val="24"/>
        </w:rPr>
        <w:t xml:space="preserve">The </w:t>
      </w:r>
      <w:r w:rsidRPr="00B325E4" w:rsidR="004B4182">
        <w:rPr>
          <w:color w:val="000000"/>
          <w:sz w:val="24"/>
          <w:szCs w:val="24"/>
        </w:rPr>
        <w:t>Bureau</w:t>
      </w:r>
      <w:r w:rsidRPr="00B325E4">
        <w:rPr>
          <w:color w:val="000000"/>
          <w:sz w:val="24"/>
          <w:szCs w:val="24"/>
        </w:rPr>
        <w:t xml:space="preserve"> will take all appropriate steps as permitted by law to maintain the confidentiality of such persons when piloting new, or testing to improve existing, complaint intake questions about whistleblower status.</w:t>
      </w:r>
    </w:p>
    <w:p w:rsidRPr="00B325E4" w:rsidR="00C0290B" w:rsidP="00283A77" w:rsidRDefault="00C0290B" w14:paraId="78549FC4" w14:textId="77777777">
      <w:pPr>
        <w:rPr>
          <w:color w:val="000000"/>
          <w:sz w:val="24"/>
          <w:szCs w:val="24"/>
        </w:rPr>
      </w:pPr>
    </w:p>
    <w:p w:rsidRPr="00B325E4" w:rsidR="00283A77" w:rsidP="00283A77" w:rsidRDefault="00283A77" w14:paraId="758CA959" w14:textId="58FC93D3">
      <w:pPr>
        <w:pStyle w:val="CommentText"/>
        <w:rPr>
          <w:sz w:val="24"/>
          <w:szCs w:val="24"/>
        </w:rPr>
      </w:pPr>
      <w:r w:rsidRPr="00B325E4">
        <w:rPr>
          <w:color w:val="000000"/>
          <w:sz w:val="24"/>
          <w:szCs w:val="24"/>
        </w:rPr>
        <w:t xml:space="preserve">On March 20, 2013, </w:t>
      </w:r>
      <w:r w:rsidRPr="00B325E4" w:rsidR="004B4182">
        <w:rPr>
          <w:color w:val="000000"/>
          <w:sz w:val="24"/>
          <w:szCs w:val="24"/>
        </w:rPr>
        <w:t>the Bureau</w:t>
      </w:r>
      <w:r w:rsidRPr="00B325E4">
        <w:rPr>
          <w:color w:val="000000"/>
          <w:sz w:val="24"/>
          <w:szCs w:val="24"/>
        </w:rPr>
        <w:t xml:space="preserve"> published a Privacy Impact Assessment (PIA) for the Consumer Response System. Pursuant to </w:t>
      </w:r>
      <w:r w:rsidRPr="00B325E4" w:rsidR="00DA4EC3">
        <w:rPr>
          <w:color w:val="000000"/>
          <w:sz w:val="24"/>
          <w:szCs w:val="24"/>
        </w:rPr>
        <w:t>the E-Government Act of 2002</w:t>
      </w:r>
      <w:r w:rsidRPr="00B325E4">
        <w:rPr>
          <w:color w:val="000000"/>
          <w:sz w:val="24"/>
          <w:szCs w:val="24"/>
        </w:rPr>
        <w:t xml:space="preserve">, </w:t>
      </w:r>
      <w:r w:rsidRPr="00B325E4" w:rsidR="004B4182">
        <w:rPr>
          <w:color w:val="000000"/>
          <w:sz w:val="24"/>
          <w:szCs w:val="24"/>
        </w:rPr>
        <w:t>the Bureau</w:t>
      </w:r>
      <w:r w:rsidRPr="00B325E4">
        <w:rPr>
          <w:color w:val="000000"/>
          <w:sz w:val="24"/>
          <w:szCs w:val="24"/>
        </w:rPr>
        <w:t xml:space="preserve"> uses PIAs to document how the personally identifiable information (PII) it collects is used, secured, and destroyed in a way that protects each individual’s privacy. </w:t>
      </w:r>
      <w:r w:rsidRPr="00B325E4" w:rsidR="006209D2">
        <w:rPr>
          <w:color w:val="000000"/>
          <w:sz w:val="24"/>
          <w:szCs w:val="24"/>
        </w:rPr>
        <w:t>Additionally</w:t>
      </w:r>
      <w:r w:rsidRPr="00B325E4" w:rsidR="00ED5DA4">
        <w:rPr>
          <w:color w:val="000000"/>
          <w:sz w:val="24"/>
          <w:szCs w:val="24"/>
        </w:rPr>
        <w:t>,</w:t>
      </w:r>
      <w:r w:rsidRPr="00B325E4" w:rsidR="006209D2">
        <w:rPr>
          <w:color w:val="000000"/>
          <w:sz w:val="24"/>
          <w:szCs w:val="24"/>
        </w:rPr>
        <w:t xml:space="preserve"> the PIA identifies privacy risks associated with the system and information collection</w:t>
      </w:r>
      <w:r w:rsidRPr="00B325E4" w:rsidR="00031AF3">
        <w:rPr>
          <w:color w:val="000000"/>
          <w:sz w:val="24"/>
          <w:szCs w:val="24"/>
        </w:rPr>
        <w:t xml:space="preserve"> and mitigations </w:t>
      </w:r>
      <w:r w:rsidRPr="00B325E4" w:rsidR="004B4182">
        <w:rPr>
          <w:color w:val="000000"/>
          <w:sz w:val="24"/>
          <w:szCs w:val="24"/>
        </w:rPr>
        <w:t xml:space="preserve">the Bureau </w:t>
      </w:r>
      <w:r w:rsidRPr="00B325E4" w:rsidR="00031AF3">
        <w:rPr>
          <w:color w:val="000000"/>
          <w:sz w:val="24"/>
          <w:szCs w:val="24"/>
        </w:rPr>
        <w:t>takes to address these risks</w:t>
      </w:r>
      <w:r w:rsidRPr="00B325E4">
        <w:rPr>
          <w:color w:val="000000"/>
          <w:sz w:val="24"/>
          <w:szCs w:val="24"/>
        </w:rPr>
        <w:t xml:space="preserve">. The PIA is </w:t>
      </w:r>
      <w:r w:rsidRPr="00B325E4" w:rsidR="004614F7">
        <w:rPr>
          <w:color w:val="000000"/>
          <w:sz w:val="24"/>
          <w:szCs w:val="24"/>
        </w:rPr>
        <w:t xml:space="preserve">published </w:t>
      </w:r>
      <w:r w:rsidRPr="00B325E4">
        <w:rPr>
          <w:color w:val="000000"/>
          <w:sz w:val="24"/>
          <w:szCs w:val="24"/>
        </w:rPr>
        <w:t xml:space="preserve">on </w:t>
      </w:r>
      <w:r w:rsidRPr="00B325E4" w:rsidR="004B4182">
        <w:rPr>
          <w:color w:val="000000"/>
          <w:sz w:val="24"/>
          <w:szCs w:val="24"/>
        </w:rPr>
        <w:t>the Bureau</w:t>
      </w:r>
      <w:r w:rsidRPr="00B325E4">
        <w:rPr>
          <w:color w:val="000000"/>
          <w:sz w:val="24"/>
          <w:szCs w:val="24"/>
        </w:rPr>
        <w:t xml:space="preserve">’s website at </w:t>
      </w:r>
      <w:hyperlink w:history="1" r:id="rId13">
        <w:r w:rsidRPr="00B325E4">
          <w:rPr>
            <w:rStyle w:val="Hyperlink"/>
            <w:sz w:val="24"/>
            <w:szCs w:val="24"/>
          </w:rPr>
          <w:t>http://files.consumerfinance.gov/f/201303_CFPB_PIA-Consumer-Response-System.pdf</w:t>
        </w:r>
      </w:hyperlink>
      <w:r w:rsidRPr="00B325E4">
        <w:rPr>
          <w:sz w:val="24"/>
          <w:szCs w:val="24"/>
        </w:rPr>
        <w:t xml:space="preserve">. </w:t>
      </w:r>
    </w:p>
    <w:p w:rsidRPr="00B325E4" w:rsidR="00C0290B" w:rsidP="00283A77" w:rsidRDefault="00C0290B" w14:paraId="55D99F46" w14:textId="77777777">
      <w:pPr>
        <w:pStyle w:val="CommentText"/>
        <w:rPr>
          <w:sz w:val="24"/>
          <w:szCs w:val="24"/>
        </w:rPr>
      </w:pPr>
    </w:p>
    <w:p w:rsidRPr="00B325E4" w:rsidR="00283A77" w:rsidP="00283A77" w:rsidRDefault="00283A77" w14:paraId="3049B4DE" w14:textId="2EAD4D0E">
      <w:pPr>
        <w:pStyle w:val="CommentText"/>
        <w:rPr>
          <w:sz w:val="24"/>
          <w:szCs w:val="24"/>
        </w:rPr>
      </w:pPr>
      <w:r w:rsidRPr="00B325E4">
        <w:rPr>
          <w:sz w:val="24"/>
          <w:szCs w:val="24"/>
        </w:rPr>
        <w:t xml:space="preserve">Additionally, in accordance with the Privacy Act of 1974, as amended, the </w:t>
      </w:r>
      <w:r w:rsidRPr="00B325E4" w:rsidR="004B4182">
        <w:rPr>
          <w:sz w:val="24"/>
          <w:szCs w:val="24"/>
        </w:rPr>
        <w:t>Bureau</w:t>
      </w:r>
      <w:r w:rsidRPr="00B325E4">
        <w:rPr>
          <w:sz w:val="24"/>
          <w:szCs w:val="24"/>
        </w:rPr>
        <w:t xml:space="preserve"> published a Systems of Records Notice (SORN) in the Federal Register (</w:t>
      </w:r>
      <w:r w:rsidRPr="009B366A" w:rsidR="003E4B02">
        <w:rPr>
          <w:sz w:val="24"/>
        </w:rPr>
        <w:t>83 FR 32640</w:t>
      </w:r>
      <w:r w:rsidRPr="00B325E4">
        <w:rPr>
          <w:sz w:val="24"/>
          <w:szCs w:val="24"/>
        </w:rPr>
        <w:t>,</w:t>
      </w:r>
      <w:r w:rsidRPr="003E4B02" w:rsidR="003E4B02">
        <w:rPr>
          <w:sz w:val="24"/>
        </w:rPr>
        <w:t xml:space="preserve"> </w:t>
      </w:r>
      <w:r w:rsidRPr="009B366A" w:rsidR="003E4B02">
        <w:rPr>
          <w:sz w:val="24"/>
        </w:rPr>
        <w:t>July 13, 2018</w:t>
      </w:r>
      <w:r w:rsidRPr="00B325E4">
        <w:rPr>
          <w:sz w:val="24"/>
          <w:szCs w:val="24"/>
        </w:rPr>
        <w:t>).  The title for the SORN is CFPB.005—Consumer Response System. The SORN is available on the Internet at</w:t>
      </w:r>
      <w:hyperlink w:history="1" r:id="rId14">
        <w:r w:rsidRPr="009A13AB" w:rsidR="00B46FF0">
          <w:rPr>
            <w:rStyle w:val="Hyperlink"/>
            <w:sz w:val="24"/>
            <w:szCs w:val="24"/>
          </w:rPr>
          <w:t>https://www.federalregister.gov/documents/2018/07/13/2018-14990/privacy-act-of-1974-system-of-records</w:t>
        </w:r>
      </w:hyperlink>
      <w:r w:rsidR="00B46FF0">
        <w:rPr>
          <w:sz w:val="24"/>
          <w:szCs w:val="24"/>
        </w:rPr>
        <w:t xml:space="preserve"> </w:t>
      </w:r>
      <w:hyperlink w:history="1"/>
      <w:r w:rsidRPr="00B325E4">
        <w:rPr>
          <w:sz w:val="24"/>
          <w:szCs w:val="24"/>
        </w:rPr>
        <w:t xml:space="preserve">. </w:t>
      </w:r>
    </w:p>
    <w:p w:rsidRPr="00B325E4" w:rsidR="00713F31" w:rsidP="00283A77" w:rsidRDefault="00713F31" w14:paraId="3EDC7DA9" w14:textId="77777777">
      <w:pPr>
        <w:pStyle w:val="CommentText"/>
        <w:rPr>
          <w:sz w:val="24"/>
          <w:szCs w:val="24"/>
        </w:rPr>
      </w:pPr>
    </w:p>
    <w:p w:rsidRPr="00B325E4" w:rsidR="00283A77" w:rsidP="00283A77" w:rsidRDefault="00283A77" w14:paraId="16AC741B" w14:textId="1BBF0A7A">
      <w:pPr>
        <w:rPr>
          <w:color w:val="000000"/>
          <w:sz w:val="24"/>
          <w:szCs w:val="24"/>
        </w:rPr>
      </w:pPr>
      <w:r w:rsidRPr="00B325E4">
        <w:rPr>
          <w:color w:val="000000"/>
          <w:sz w:val="24"/>
          <w:szCs w:val="24"/>
        </w:rPr>
        <w:t xml:space="preserve">The Consumer Response System provides a Privacy Act Statement and each separate collection submitted under this generic information collection plan will provide respondents with the appropriate privacy </w:t>
      </w:r>
      <w:r w:rsidRPr="00B325E4" w:rsidR="004A0CDA">
        <w:rPr>
          <w:color w:val="000000"/>
          <w:sz w:val="24"/>
          <w:szCs w:val="24"/>
        </w:rPr>
        <w:t>notice</w:t>
      </w:r>
      <w:r w:rsidRPr="00B325E4">
        <w:rPr>
          <w:color w:val="000000"/>
          <w:sz w:val="24"/>
          <w:szCs w:val="24"/>
        </w:rPr>
        <w:t>.</w:t>
      </w:r>
    </w:p>
    <w:p w:rsidRPr="00B325E4" w:rsidR="00283A77" w:rsidP="00283A77" w:rsidRDefault="00283A77" w14:paraId="504A25C2" w14:textId="77777777">
      <w:pPr>
        <w:rPr>
          <w:sz w:val="24"/>
          <w:szCs w:val="24"/>
        </w:rPr>
      </w:pPr>
    </w:p>
    <w:p w:rsidRPr="00B325E4" w:rsidR="00F660E8" w:rsidP="00F660E8" w:rsidRDefault="00F660E8" w14:paraId="466038D0" w14:textId="77777777">
      <w:pPr>
        <w:rPr>
          <w:sz w:val="24"/>
          <w:szCs w:val="24"/>
        </w:rPr>
      </w:pPr>
      <w:r w:rsidRPr="00B325E4">
        <w:rPr>
          <w:b/>
          <w:sz w:val="24"/>
          <w:szCs w:val="24"/>
        </w:rPr>
        <w:lastRenderedPageBreak/>
        <w:t xml:space="preserve">11.  </w:t>
      </w:r>
      <w:r w:rsidRPr="00B325E4">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325E4" w:rsidR="005F1FFC" w:rsidP="005F1FFC" w:rsidRDefault="005F1FFC" w14:paraId="74706F28" w14:textId="77777777">
      <w:pPr>
        <w:ind w:left="720"/>
        <w:rPr>
          <w:sz w:val="24"/>
          <w:szCs w:val="24"/>
        </w:rPr>
      </w:pPr>
    </w:p>
    <w:p w:rsidRPr="00B325E4" w:rsidR="00283A77" w:rsidP="00283A77" w:rsidRDefault="00283A77" w14:paraId="312AB83C" w14:textId="7DC7B0D1">
      <w:pPr>
        <w:pStyle w:val="BodyText"/>
        <w:rPr>
          <w:szCs w:val="24"/>
        </w:rPr>
      </w:pPr>
      <w:r w:rsidRPr="00B325E4">
        <w:rPr>
          <w:szCs w:val="24"/>
        </w:rPr>
        <w:t xml:space="preserve">Information collections related to piloting new, or testing to improve existing, complaint intake questions may prompt the respondents for sensitive information such as credit card account or other financial account numbers only to facilitate complaint resolution and to minimize the burden of follow-up contact with the respondents.  For instance, for credit card inquiries or complaints, certain account information such as a credit card number may be the most effective way to accurately identify the company </w:t>
      </w:r>
      <w:r w:rsidRPr="00B325E4">
        <w:rPr>
          <w:bCs/>
          <w:iCs/>
          <w:szCs w:val="24"/>
        </w:rPr>
        <w:t>and for the company to identify the consumer’s account to support efficient investigation by companies</w:t>
      </w:r>
      <w:r w:rsidRPr="00B325E4">
        <w:rPr>
          <w:szCs w:val="24"/>
        </w:rPr>
        <w:t>.  For complaints sent to the national credit reporting bureaus and other financial services providers that use social security numbers (SSNs) as primary identifiers, consumers will be asked to provide the last four digits of their SSNs to process their complaint or, where necessary for companies to respond, their full SSNs.  Oftentimes, the full or partial SSN is the only effective way for certain companies to accurately locate the consumer’s relevant financial information.  Consumers’ SSNs, along with other sensitive financial account identifiers, will be held in an encrypted system for their protection.</w:t>
      </w:r>
    </w:p>
    <w:p w:rsidRPr="00B325E4" w:rsidR="0006260A" w:rsidP="00283A77" w:rsidRDefault="0006260A" w14:paraId="70D72BCC" w14:textId="77777777">
      <w:pPr>
        <w:pStyle w:val="BodyText"/>
        <w:rPr>
          <w:szCs w:val="24"/>
        </w:rPr>
      </w:pPr>
    </w:p>
    <w:p w:rsidRPr="00B325E4" w:rsidR="00283A77" w:rsidP="00283A77" w:rsidRDefault="00283A77" w14:paraId="4EEA9C14" w14:textId="0B01AFC8">
      <w:pPr>
        <w:pStyle w:val="BodyText"/>
        <w:rPr>
          <w:szCs w:val="24"/>
        </w:rPr>
      </w:pPr>
      <w:r w:rsidRPr="00B325E4">
        <w:rPr>
          <w:bCs/>
          <w:iCs/>
          <w:szCs w:val="24"/>
        </w:rPr>
        <w:t xml:space="preserve">The </w:t>
      </w:r>
      <w:r w:rsidRPr="00B325E4" w:rsidR="004B4182">
        <w:rPr>
          <w:bCs/>
          <w:iCs/>
          <w:szCs w:val="24"/>
        </w:rPr>
        <w:t>Bureau</w:t>
      </w:r>
      <w:r w:rsidRPr="00B325E4">
        <w:rPr>
          <w:bCs/>
          <w:iCs/>
          <w:szCs w:val="24"/>
        </w:rPr>
        <w:t xml:space="preserve"> is tasked with enforcing fair lending laws such as the Equal Credit Opportunity Act (“ECOA”)</w:t>
      </w:r>
      <w:r w:rsidRPr="00B325E4">
        <w:rPr>
          <w:szCs w:val="24"/>
        </w:rPr>
        <w:t>.  ECOA prohibits unlawful discrimination by any creditor against an applicant in a credit transaction based on race, color, religion, national origin, sex, marital status, or age.  ECOA also prohibits such unlawful discrimination by a creditor based on the fact that all or part of the applicant’s income derives from any public assistance program or based upon the applicant’s good faith exercise of any right under the Consumer Credit Protection Act.  For these reasons, the piloting of new, or testing to improve existing, complaint intake questions may inquire about these factors.</w:t>
      </w:r>
    </w:p>
    <w:p w:rsidRPr="00B325E4" w:rsidR="00E1789E" w:rsidP="00283A77" w:rsidRDefault="00E1789E" w14:paraId="0D6F69E6" w14:textId="77777777">
      <w:pPr>
        <w:pStyle w:val="BodyText"/>
        <w:rPr>
          <w:szCs w:val="24"/>
        </w:rPr>
      </w:pPr>
    </w:p>
    <w:p w:rsidRPr="00B325E4" w:rsidR="00283A77" w:rsidP="00283A77" w:rsidRDefault="00283A77" w14:paraId="197293A5" w14:textId="072BE141">
      <w:pPr>
        <w:pStyle w:val="BodyText"/>
        <w:rPr>
          <w:szCs w:val="24"/>
        </w:rPr>
      </w:pPr>
      <w:r w:rsidRPr="00B325E4">
        <w:rPr>
          <w:szCs w:val="24"/>
        </w:rPr>
        <w:t xml:space="preserve">In addition, Section 1013(e)(1)(B) of the Dodd-Frank Act specifically charges the </w:t>
      </w:r>
      <w:r w:rsidRPr="00B325E4" w:rsidR="004B4182">
        <w:rPr>
          <w:szCs w:val="24"/>
        </w:rPr>
        <w:t xml:space="preserve">Bureau </w:t>
      </w:r>
      <w:r w:rsidRPr="00B325E4">
        <w:rPr>
          <w:szCs w:val="24"/>
        </w:rPr>
        <w:t xml:space="preserve">with the task of monitoring complaints by servicemembers and their families.  Thus, the piloting of new, or testing to improve existing, complaint intake questions may include a series of questions to help identify and correctly route such complaints. </w:t>
      </w:r>
    </w:p>
    <w:p w:rsidRPr="00B325E4" w:rsidR="00684367" w:rsidP="00283A77" w:rsidRDefault="00684367" w14:paraId="53D59BB6" w14:textId="77777777">
      <w:pPr>
        <w:pStyle w:val="BodyText"/>
        <w:rPr>
          <w:szCs w:val="24"/>
        </w:rPr>
      </w:pPr>
    </w:p>
    <w:p w:rsidRPr="00B325E4" w:rsidR="00283A77" w:rsidP="00283A77" w:rsidRDefault="00283A77" w14:paraId="5B96D564" w14:textId="396D1ECE">
      <w:pPr>
        <w:pStyle w:val="BodyText"/>
        <w:rPr>
          <w:szCs w:val="24"/>
        </w:rPr>
      </w:pPr>
      <w:r w:rsidRPr="00B325E4">
        <w:rPr>
          <w:szCs w:val="24"/>
        </w:rPr>
        <w:t xml:space="preserve">In piloting new, or testing to improve existing, complaint intake questions, the </w:t>
      </w:r>
      <w:r w:rsidRPr="00B325E4" w:rsidR="004B4182">
        <w:rPr>
          <w:szCs w:val="24"/>
        </w:rPr>
        <w:t>Bureau</w:t>
      </w:r>
      <w:r w:rsidRPr="00B325E4">
        <w:rPr>
          <w:szCs w:val="24"/>
        </w:rPr>
        <w:t xml:space="preserve"> may ask the respondent for his or her age.  Pursuant to the Credit Card Accountability Responsibility and Disclosure Act of 2009 (“CARD Act”), there are statutory protections extended to underage credit card applicants.</w:t>
      </w:r>
      <w:r w:rsidRPr="00B325E4">
        <w:rPr>
          <w:szCs w:val="24"/>
          <w:vertAlign w:val="superscript"/>
        </w:rPr>
        <w:footnoteReference w:id="7"/>
      </w:r>
      <w:r w:rsidRPr="00B325E4">
        <w:rPr>
          <w:szCs w:val="24"/>
        </w:rPr>
        <w:t xml:space="preserve">  Eliciting the respondent’s age will help identify issues related to young consumers and legal competency to give consent. Furthermore, the Equal Credit Opportunity Act (“ECOA”) makes it unlawful for any creditor to discriminate against an applicant for credit on the basis of age. Collecting </w:t>
      </w:r>
      <w:r w:rsidRPr="00B325E4">
        <w:rPr>
          <w:szCs w:val="24"/>
        </w:rPr>
        <w:lastRenderedPageBreak/>
        <w:t>information about the respondent’s age will help identify instances where older Americans have been discriminated against when applying for credit.</w:t>
      </w:r>
    </w:p>
    <w:p w:rsidRPr="00B325E4" w:rsidR="0066013B" w:rsidP="00283A77" w:rsidRDefault="0066013B" w14:paraId="3E3E28BA" w14:textId="77777777">
      <w:pPr>
        <w:pStyle w:val="BodyText"/>
        <w:rPr>
          <w:szCs w:val="24"/>
        </w:rPr>
      </w:pPr>
    </w:p>
    <w:p w:rsidR="00A63E67" w:rsidP="00283A77" w:rsidRDefault="00283A77" w14:paraId="0182A449" w14:textId="77777777">
      <w:pPr>
        <w:pStyle w:val="BodyText"/>
        <w:rPr>
          <w:bCs/>
          <w:iCs/>
          <w:szCs w:val="24"/>
          <w:lang w:val="x-none"/>
        </w:rPr>
      </w:pPr>
      <w:r w:rsidRPr="00B325E4">
        <w:rPr>
          <w:bCs/>
          <w:iCs/>
          <w:szCs w:val="24"/>
          <w:lang w:val="x-none"/>
        </w:rPr>
        <w:t xml:space="preserve">In testing to improve existing, complaint intake questions, </w:t>
      </w:r>
      <w:r w:rsidRPr="00B325E4">
        <w:rPr>
          <w:bCs/>
          <w:iCs/>
          <w:szCs w:val="24"/>
        </w:rPr>
        <w:t xml:space="preserve">the </w:t>
      </w:r>
      <w:r w:rsidRPr="00B325E4" w:rsidR="004B4182">
        <w:rPr>
          <w:bCs/>
          <w:iCs/>
          <w:szCs w:val="24"/>
        </w:rPr>
        <w:t>Bureau</w:t>
      </w:r>
      <w:r w:rsidRPr="00B325E4">
        <w:rPr>
          <w:bCs/>
          <w:iCs/>
          <w:szCs w:val="24"/>
        </w:rPr>
        <w:t xml:space="preserve"> may ask about the consumer’s household size and household income.</w:t>
      </w:r>
      <w:r w:rsidRPr="00B325E4" w:rsidR="00EE0E8D">
        <w:rPr>
          <w:bCs/>
          <w:iCs/>
          <w:szCs w:val="24"/>
        </w:rPr>
        <w:t xml:space="preserve">  In </w:t>
      </w:r>
      <w:r w:rsidRPr="00B325E4" w:rsidR="00EE0E8D">
        <w:rPr>
          <w:bCs/>
          <w:iCs/>
          <w:szCs w:val="24"/>
          <w:lang w:val="x-none"/>
        </w:rPr>
        <w:t>piloting new</w:t>
      </w:r>
      <w:r w:rsidRPr="00B325E4" w:rsidR="00EE0E8D">
        <w:rPr>
          <w:bCs/>
          <w:iCs/>
          <w:szCs w:val="24"/>
        </w:rPr>
        <w:t xml:space="preserve"> questions to align with </w:t>
      </w:r>
      <w:r w:rsidRPr="00B325E4" w:rsidR="00D77F16">
        <w:rPr>
          <w:bCs/>
          <w:iCs/>
          <w:szCs w:val="24"/>
        </w:rPr>
        <w:t>Presidential Executive Orders</w:t>
      </w:r>
      <w:r w:rsidRPr="00B325E4" w:rsidR="006D148F">
        <w:rPr>
          <w:bCs/>
          <w:iCs/>
          <w:szCs w:val="24"/>
        </w:rPr>
        <w:t>, the Bureau may ask questions about the consumer’s</w:t>
      </w:r>
      <w:r w:rsidRPr="00B325E4" w:rsidR="003B2F10">
        <w:rPr>
          <w:bCs/>
          <w:iCs/>
          <w:szCs w:val="24"/>
        </w:rPr>
        <w:t xml:space="preserve"> demographic affiliation such as</w:t>
      </w:r>
      <w:r w:rsidRPr="00B325E4" w:rsidR="00AC7216">
        <w:rPr>
          <w:bCs/>
          <w:iCs/>
          <w:szCs w:val="24"/>
        </w:rPr>
        <w:t>:</w:t>
      </w:r>
      <w:r w:rsidRPr="00B325E4" w:rsidR="006D148F">
        <w:rPr>
          <w:bCs/>
          <w:iCs/>
          <w:szCs w:val="24"/>
        </w:rPr>
        <w:t xml:space="preserve"> gender identity, sexual orientation, disability, preferred language, justice-affiliated status, and first-generation college student status.</w:t>
      </w:r>
      <w:r w:rsidRPr="00B325E4">
        <w:rPr>
          <w:bCs/>
          <w:iCs/>
          <w:szCs w:val="24"/>
        </w:rPr>
        <w:t xml:space="preserve"> Such questions </w:t>
      </w:r>
      <w:r w:rsidRPr="00B325E4">
        <w:rPr>
          <w:bCs/>
          <w:iCs/>
          <w:szCs w:val="24"/>
          <w:lang w:val="x-none"/>
        </w:rPr>
        <w:t>w</w:t>
      </w:r>
      <w:r w:rsidRPr="00B325E4">
        <w:rPr>
          <w:bCs/>
          <w:iCs/>
          <w:szCs w:val="24"/>
        </w:rPr>
        <w:t>ould</w:t>
      </w:r>
      <w:r w:rsidRPr="00B325E4">
        <w:rPr>
          <w:bCs/>
          <w:iCs/>
          <w:szCs w:val="24"/>
          <w:lang w:val="x-none"/>
        </w:rPr>
        <w:t xml:space="preserve"> allow the Bureau to better execute its statutory mandates, including:</w:t>
      </w:r>
    </w:p>
    <w:p w:rsidRPr="00A63E67" w:rsidR="00A63E67" w:rsidP="00A63E67" w:rsidRDefault="00283A77" w14:paraId="78939E1E" w14:textId="30673C99">
      <w:pPr>
        <w:pStyle w:val="BodyText"/>
        <w:numPr>
          <w:ilvl w:val="0"/>
          <w:numId w:val="29"/>
        </w:numPr>
        <w:rPr>
          <w:bCs/>
          <w:iCs/>
          <w:szCs w:val="24"/>
        </w:rPr>
      </w:pPr>
      <w:r w:rsidRPr="00B325E4">
        <w:rPr>
          <w:bCs/>
          <w:iCs/>
          <w:szCs w:val="24"/>
        </w:rPr>
        <w:t>researching</w:t>
      </w:r>
      <w:r w:rsidRPr="00B325E4">
        <w:rPr>
          <w:bCs/>
          <w:iCs/>
          <w:szCs w:val="24"/>
          <w:lang w:val="x-none"/>
        </w:rPr>
        <w:t xml:space="preserve">, </w:t>
      </w:r>
      <w:proofErr w:type="gramStart"/>
      <w:r w:rsidRPr="00B325E4">
        <w:rPr>
          <w:bCs/>
          <w:iCs/>
          <w:szCs w:val="24"/>
          <w:lang w:val="x-none"/>
        </w:rPr>
        <w:t>analyzing</w:t>
      </w:r>
      <w:proofErr w:type="gramEnd"/>
      <w:r w:rsidRPr="00B325E4">
        <w:rPr>
          <w:bCs/>
          <w:iCs/>
          <w:szCs w:val="24"/>
          <w:lang w:val="x-none"/>
        </w:rPr>
        <w:t xml:space="preserve"> and reporting on access to fair and affordable credit for traditionally underserved communities</w:t>
      </w:r>
      <w:r w:rsidRPr="00B325E4">
        <w:rPr>
          <w:bCs/>
          <w:iCs/>
          <w:szCs w:val="24"/>
          <w:vertAlign w:val="superscript"/>
          <w:lang w:val="x-none"/>
        </w:rPr>
        <w:footnoteReference w:id="8"/>
      </w:r>
      <w:r w:rsidR="005738D5">
        <w:rPr>
          <w:bCs/>
          <w:iCs/>
          <w:szCs w:val="24"/>
        </w:rPr>
        <w:t>;</w:t>
      </w:r>
    </w:p>
    <w:p w:rsidRPr="00A63E67" w:rsidR="00A63E67" w:rsidP="00A63E67" w:rsidRDefault="00283A77" w14:paraId="73BFCEB4" w14:textId="43902FD4">
      <w:pPr>
        <w:pStyle w:val="BodyText"/>
        <w:numPr>
          <w:ilvl w:val="0"/>
          <w:numId w:val="29"/>
        </w:numPr>
        <w:rPr>
          <w:bCs/>
          <w:iCs/>
          <w:szCs w:val="24"/>
        </w:rPr>
      </w:pPr>
      <w:r w:rsidRPr="00B325E4">
        <w:rPr>
          <w:bCs/>
          <w:iCs/>
          <w:szCs w:val="24"/>
          <w:lang w:val="x-none"/>
        </w:rPr>
        <w:t>providing information, guidance, and technical assistance regarding the offering and provision of consumer financial products or services to traditionally underserved consumers and communities</w:t>
      </w:r>
      <w:r w:rsidRPr="00B325E4">
        <w:rPr>
          <w:bCs/>
          <w:iCs/>
          <w:szCs w:val="24"/>
          <w:vertAlign w:val="superscript"/>
          <w:lang w:val="x-none"/>
        </w:rPr>
        <w:footnoteReference w:id="9"/>
      </w:r>
      <w:r w:rsidR="005738D5">
        <w:rPr>
          <w:bCs/>
          <w:iCs/>
          <w:szCs w:val="24"/>
        </w:rPr>
        <w:t>;</w:t>
      </w:r>
    </w:p>
    <w:p w:rsidR="001A4DA9" w:rsidP="00A63E67" w:rsidRDefault="00283A77" w14:paraId="7A682F3A" w14:textId="77777777">
      <w:pPr>
        <w:pStyle w:val="BodyText"/>
        <w:numPr>
          <w:ilvl w:val="0"/>
          <w:numId w:val="29"/>
        </w:numPr>
        <w:rPr>
          <w:bCs/>
          <w:iCs/>
          <w:szCs w:val="24"/>
        </w:rPr>
      </w:pPr>
      <w:r w:rsidRPr="00B325E4">
        <w:rPr>
          <w:bCs/>
          <w:iCs/>
          <w:szCs w:val="24"/>
          <w:lang w:val="en"/>
        </w:rPr>
        <w:t>collecting, researching, monitoring, and publishing information relevant to the functioning of markets for consumer financial products and services to identify risks to consumers and the proper functioning of such markets</w:t>
      </w:r>
      <w:r w:rsidRPr="00B325E4">
        <w:rPr>
          <w:bCs/>
          <w:iCs/>
          <w:szCs w:val="24"/>
          <w:vertAlign w:val="superscript"/>
          <w:lang w:val="en"/>
        </w:rPr>
        <w:footnoteReference w:id="10"/>
      </w:r>
      <w:r w:rsidR="001A4DA9">
        <w:rPr>
          <w:bCs/>
          <w:iCs/>
          <w:szCs w:val="24"/>
        </w:rPr>
        <w:t>;</w:t>
      </w:r>
    </w:p>
    <w:p w:rsidR="001A4DA9" w:rsidP="00A63E67" w:rsidRDefault="00283A77" w14:paraId="1956211B" w14:textId="26D391DB">
      <w:pPr>
        <w:pStyle w:val="BodyText"/>
        <w:numPr>
          <w:ilvl w:val="0"/>
          <w:numId w:val="29"/>
        </w:numPr>
        <w:rPr>
          <w:bCs/>
          <w:iCs/>
          <w:szCs w:val="24"/>
        </w:rPr>
      </w:pPr>
      <w:r w:rsidRPr="00B325E4">
        <w:rPr>
          <w:bCs/>
          <w:iCs/>
          <w:szCs w:val="24"/>
          <w:lang w:val="x-none"/>
        </w:rPr>
        <w:t xml:space="preserve">educating and empowering consumers to make </w:t>
      </w:r>
      <w:r w:rsidRPr="00B325E4">
        <w:rPr>
          <w:bCs/>
          <w:iCs/>
          <w:szCs w:val="24"/>
        </w:rPr>
        <w:t>better</w:t>
      </w:r>
      <w:r w:rsidRPr="00B325E4">
        <w:rPr>
          <w:bCs/>
          <w:iCs/>
          <w:szCs w:val="24"/>
          <w:lang w:val="x-none"/>
        </w:rPr>
        <w:t xml:space="preserve"> informed financial decisions</w:t>
      </w:r>
      <w:r w:rsidRPr="00B325E4">
        <w:rPr>
          <w:bCs/>
          <w:iCs/>
          <w:szCs w:val="24"/>
          <w:vertAlign w:val="superscript"/>
          <w:lang w:val="x-none"/>
        </w:rPr>
        <w:footnoteReference w:id="11"/>
      </w:r>
      <w:r w:rsidR="005738D5">
        <w:rPr>
          <w:bCs/>
          <w:iCs/>
          <w:szCs w:val="24"/>
        </w:rPr>
        <w:t>;</w:t>
      </w:r>
      <w:r w:rsidRPr="00B325E4" w:rsidR="006D148F">
        <w:rPr>
          <w:bCs/>
          <w:iCs/>
          <w:szCs w:val="24"/>
        </w:rPr>
        <w:t xml:space="preserve"> and</w:t>
      </w:r>
    </w:p>
    <w:p w:rsidRPr="001A4DA9" w:rsidR="001A4DA9" w:rsidP="00A63E67" w:rsidRDefault="006D148F" w14:paraId="05F73488" w14:textId="77777777">
      <w:pPr>
        <w:pStyle w:val="BodyText"/>
        <w:numPr>
          <w:ilvl w:val="0"/>
          <w:numId w:val="29"/>
        </w:numPr>
        <w:rPr>
          <w:bCs/>
          <w:iCs/>
          <w:szCs w:val="24"/>
        </w:rPr>
      </w:pPr>
      <w:r w:rsidRPr="00B325E4">
        <w:rPr>
          <w:bCs/>
          <w:iCs/>
          <w:szCs w:val="24"/>
        </w:rPr>
        <w:t>support</w:t>
      </w:r>
      <w:r w:rsidRPr="00B325E4" w:rsidR="00A9497E">
        <w:rPr>
          <w:bCs/>
          <w:iCs/>
          <w:szCs w:val="24"/>
        </w:rPr>
        <w:t xml:space="preserve"> Presidential Executive Orders</w:t>
      </w:r>
      <w:r w:rsidRPr="00B325E4" w:rsidR="00A9497E">
        <w:rPr>
          <w:rStyle w:val="FootnoteReference"/>
          <w:bCs/>
          <w:iCs/>
          <w:szCs w:val="24"/>
        </w:rPr>
        <w:footnoteReference w:id="12"/>
      </w:r>
      <w:r w:rsidRPr="00B325E4" w:rsidR="00A9497E">
        <w:rPr>
          <w:bCs/>
          <w:iCs/>
          <w:szCs w:val="24"/>
        </w:rPr>
        <w:t>.</w:t>
      </w:r>
      <w:r w:rsidRPr="00B325E4">
        <w:rPr>
          <w:bCs/>
          <w:iCs/>
          <w:szCs w:val="24"/>
        </w:rPr>
        <w:t xml:space="preserve"> </w:t>
      </w:r>
      <w:r w:rsidRPr="00B325E4" w:rsidR="00283A77">
        <w:rPr>
          <w:bCs/>
          <w:iCs/>
          <w:szCs w:val="24"/>
          <w:lang w:val="x-none"/>
        </w:rPr>
        <w:t xml:space="preserve"> </w:t>
      </w:r>
    </w:p>
    <w:p w:rsidR="001A4DA9" w:rsidP="001A4DA9" w:rsidRDefault="001A4DA9" w14:paraId="10F4C3E2" w14:textId="77777777">
      <w:pPr>
        <w:pStyle w:val="BodyText"/>
        <w:rPr>
          <w:bCs/>
          <w:iCs/>
          <w:szCs w:val="24"/>
        </w:rPr>
      </w:pPr>
    </w:p>
    <w:p w:rsidRPr="001A4DA9" w:rsidR="00283A77" w:rsidP="001A4DA9" w:rsidRDefault="00283A77" w14:paraId="44853CDD" w14:textId="473457FD">
      <w:pPr>
        <w:pStyle w:val="BodyText"/>
        <w:rPr>
          <w:bCs/>
          <w:iCs/>
          <w:szCs w:val="24"/>
        </w:rPr>
      </w:pPr>
      <w:r w:rsidRPr="001A4DA9">
        <w:rPr>
          <w:bCs/>
          <w:iCs/>
          <w:szCs w:val="24"/>
          <w:lang w:val="x-none"/>
        </w:rPr>
        <w:t>Th</w:t>
      </w:r>
      <w:r w:rsidR="001A4DA9">
        <w:rPr>
          <w:bCs/>
          <w:iCs/>
          <w:szCs w:val="24"/>
        </w:rPr>
        <w:t>ese</w:t>
      </w:r>
      <w:r w:rsidRPr="001A4DA9">
        <w:rPr>
          <w:bCs/>
          <w:iCs/>
          <w:szCs w:val="24"/>
          <w:lang w:val="x-none"/>
        </w:rPr>
        <w:t xml:space="preserve"> data will help the Bureau gain insights about the populations they serve</w:t>
      </w:r>
      <w:r w:rsidR="00725659">
        <w:rPr>
          <w:bCs/>
          <w:iCs/>
          <w:szCs w:val="24"/>
        </w:rPr>
        <w:t xml:space="preserve"> (</w:t>
      </w:r>
      <w:r w:rsidRPr="001A4DA9">
        <w:rPr>
          <w:bCs/>
          <w:iCs/>
          <w:szCs w:val="24"/>
          <w:lang w:val="x-none"/>
        </w:rPr>
        <w:t>including servicemembers, students and older Americans</w:t>
      </w:r>
      <w:r w:rsidR="00725659">
        <w:rPr>
          <w:bCs/>
          <w:iCs/>
          <w:szCs w:val="24"/>
        </w:rPr>
        <w:t>),</w:t>
      </w:r>
      <w:r w:rsidRPr="001A4DA9">
        <w:rPr>
          <w:bCs/>
          <w:iCs/>
          <w:szCs w:val="24"/>
          <w:lang w:val="x-none"/>
        </w:rPr>
        <w:t xml:space="preserve"> identify emerging issues, and pinpoint what areas may benefit from new or revised educational tools. </w:t>
      </w:r>
      <w:r w:rsidR="00DA4791">
        <w:rPr>
          <w:bCs/>
          <w:iCs/>
          <w:szCs w:val="24"/>
        </w:rPr>
        <w:t xml:space="preserve"> </w:t>
      </w:r>
      <w:r w:rsidRPr="001A4DA9">
        <w:rPr>
          <w:bCs/>
          <w:iCs/>
          <w:szCs w:val="24"/>
          <w:lang w:val="x-none"/>
        </w:rPr>
        <w:t xml:space="preserve">Additionally, these questions </w:t>
      </w:r>
      <w:r w:rsidRPr="001A4DA9">
        <w:rPr>
          <w:bCs/>
          <w:iCs/>
          <w:szCs w:val="24"/>
        </w:rPr>
        <w:t xml:space="preserve">would </w:t>
      </w:r>
      <w:r w:rsidRPr="001A4DA9">
        <w:rPr>
          <w:bCs/>
          <w:iCs/>
          <w:szCs w:val="24"/>
          <w:lang w:val="x-none"/>
        </w:rPr>
        <w:t>provide the opportunity to understand data across economic groups that enrich and reflect careful research across several Bureau offices.</w:t>
      </w:r>
    </w:p>
    <w:p w:rsidRPr="00B325E4" w:rsidR="00283A77" w:rsidP="005F1FFC" w:rsidRDefault="00283A77" w14:paraId="592C7AC5" w14:textId="77777777">
      <w:pPr>
        <w:pStyle w:val="BodyText"/>
        <w:rPr>
          <w:szCs w:val="24"/>
        </w:rPr>
      </w:pPr>
    </w:p>
    <w:p w:rsidRPr="00B325E4" w:rsidR="00F660E8" w:rsidP="00F660E8" w:rsidRDefault="00F660E8" w14:paraId="7F32CD21" w14:textId="77777777">
      <w:pPr>
        <w:contextualSpacing/>
        <w:rPr>
          <w:b/>
          <w:sz w:val="24"/>
          <w:szCs w:val="24"/>
        </w:rPr>
      </w:pPr>
      <w:r w:rsidRPr="00B325E4">
        <w:rPr>
          <w:b/>
          <w:sz w:val="24"/>
          <w:szCs w:val="24"/>
        </w:rPr>
        <w:t>12.  Provide estimates of the hour burden of the collection of information.  The statement should:</w:t>
      </w:r>
    </w:p>
    <w:p w:rsidRPr="00B325E4" w:rsidR="00F660E8" w:rsidP="00F660E8" w:rsidRDefault="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325E4">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B325E4" w:rsidR="00F660E8" w:rsidP="00F660E8" w:rsidRDefault="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325E4">
        <w:rPr>
          <w:b/>
          <w:bCs/>
          <w:sz w:val="24"/>
          <w:szCs w:val="24"/>
        </w:rPr>
        <w:lastRenderedPageBreak/>
        <w:t>If this request for approval covers more than one form, provide separate hour burden estimates for each form.</w:t>
      </w:r>
    </w:p>
    <w:p w:rsidRPr="00B325E4" w:rsidR="00F660E8" w:rsidP="00F660E8" w:rsidRDefault="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325E4">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B325E4" w:rsidR="001650D5" w:rsidP="005F1FFC" w:rsidRDefault="001650D5" w14:paraId="57D497F1" w14:textId="77777777">
      <w:pPr>
        <w:rPr>
          <w:bCs/>
          <w:sz w:val="24"/>
          <w:szCs w:val="24"/>
        </w:rPr>
      </w:pPr>
    </w:p>
    <w:p w:rsidRPr="00B325E4" w:rsidR="005F1FFC" w:rsidP="005F1FFC" w:rsidRDefault="0090025B" w14:paraId="3717194D" w14:textId="4A8CD79D">
      <w:pPr>
        <w:rPr>
          <w:bCs/>
          <w:sz w:val="24"/>
          <w:szCs w:val="24"/>
        </w:rPr>
      </w:pPr>
      <w:r w:rsidRPr="00B325E4">
        <w:rPr>
          <w:bCs/>
          <w:sz w:val="24"/>
          <w:szCs w:val="24"/>
        </w:rPr>
        <w:t>The Bureau estimates the burden of this information collection as follows:</w:t>
      </w:r>
    </w:p>
    <w:p w:rsidRPr="00B325E4" w:rsidR="00283A77" w:rsidP="00283A77" w:rsidRDefault="00283A77" w14:paraId="3C5C1E7A" w14:textId="77777777">
      <w:pPr>
        <w:pStyle w:val="Heading2"/>
        <w:rPr>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43"/>
        <w:gridCol w:w="1737"/>
        <w:gridCol w:w="1913"/>
        <w:gridCol w:w="1669"/>
      </w:tblGrid>
      <w:tr w:rsidRPr="003B759C" w:rsidR="00283A77" w:rsidTr="00B2200B" w14:paraId="35DD4E48" w14:textId="77777777">
        <w:tc>
          <w:tcPr>
            <w:tcW w:w="2743" w:type="dxa"/>
            <w:tcBorders>
              <w:top w:val="single" w:color="auto" w:sz="4" w:space="0"/>
              <w:left w:val="single" w:color="auto" w:sz="4" w:space="0"/>
              <w:bottom w:val="single" w:color="auto" w:sz="4" w:space="0"/>
              <w:right w:val="single" w:color="auto" w:sz="4" w:space="0"/>
            </w:tcBorders>
          </w:tcPr>
          <w:p w:rsidRPr="003B759C" w:rsidR="00283A77" w:rsidP="00B2200B" w:rsidRDefault="00283A77" w14:paraId="3509F248" w14:textId="77777777">
            <w:pPr>
              <w:contextualSpacing/>
              <w:rPr>
                <w:b/>
              </w:rPr>
            </w:pPr>
            <w:r w:rsidRPr="003B759C">
              <w:rPr>
                <w:b/>
              </w:rPr>
              <w:t>Type of Information</w:t>
            </w:r>
          </w:p>
          <w:p w:rsidRPr="003B759C" w:rsidR="00283A77" w:rsidP="00B2200B" w:rsidRDefault="00283A77" w14:paraId="59A08454" w14:textId="77777777">
            <w:pPr>
              <w:contextualSpacing/>
              <w:rPr>
                <w:b/>
              </w:rPr>
            </w:pPr>
            <w:r w:rsidRPr="003B759C">
              <w:rPr>
                <w:b/>
              </w:rPr>
              <w:t>Collection</w:t>
            </w:r>
          </w:p>
        </w:tc>
        <w:tc>
          <w:tcPr>
            <w:tcW w:w="1737" w:type="dxa"/>
            <w:tcBorders>
              <w:top w:val="single" w:color="auto" w:sz="4" w:space="0"/>
              <w:left w:val="single" w:color="auto" w:sz="4" w:space="0"/>
              <w:bottom w:val="single" w:color="auto" w:sz="4" w:space="0"/>
              <w:right w:val="single" w:color="auto" w:sz="4" w:space="0"/>
            </w:tcBorders>
          </w:tcPr>
          <w:p w:rsidRPr="003B759C" w:rsidR="00283A77" w:rsidP="00B2200B" w:rsidRDefault="00283A77" w14:paraId="7E0171FD" w14:textId="77777777">
            <w:pPr>
              <w:contextualSpacing/>
              <w:rPr>
                <w:b/>
              </w:rPr>
            </w:pPr>
            <w:r w:rsidRPr="003B759C">
              <w:rPr>
                <w:b/>
              </w:rPr>
              <w:t>Estimated Number of Respondents</w:t>
            </w:r>
          </w:p>
        </w:tc>
        <w:tc>
          <w:tcPr>
            <w:tcW w:w="1913" w:type="dxa"/>
            <w:tcBorders>
              <w:top w:val="single" w:color="auto" w:sz="4" w:space="0"/>
              <w:left w:val="single" w:color="auto" w:sz="4" w:space="0"/>
              <w:bottom w:val="single" w:color="auto" w:sz="4" w:space="0"/>
              <w:right w:val="single" w:color="auto" w:sz="4" w:space="0"/>
            </w:tcBorders>
          </w:tcPr>
          <w:p w:rsidRPr="003B759C" w:rsidR="00283A77" w:rsidP="00B2200B" w:rsidRDefault="00283A77" w14:paraId="187EF132" w14:textId="77777777">
            <w:pPr>
              <w:contextualSpacing/>
              <w:rPr>
                <w:b/>
              </w:rPr>
            </w:pPr>
            <w:r w:rsidRPr="003B759C">
              <w:rPr>
                <w:b/>
              </w:rPr>
              <w:t>Average Burden per Intake</w:t>
            </w:r>
          </w:p>
        </w:tc>
        <w:tc>
          <w:tcPr>
            <w:tcW w:w="1669" w:type="dxa"/>
            <w:tcBorders>
              <w:top w:val="single" w:color="auto" w:sz="4" w:space="0"/>
              <w:left w:val="single" w:color="auto" w:sz="4" w:space="0"/>
              <w:bottom w:val="single" w:color="auto" w:sz="4" w:space="0"/>
              <w:right w:val="single" w:color="auto" w:sz="4" w:space="0"/>
            </w:tcBorders>
          </w:tcPr>
          <w:p w:rsidRPr="003B759C" w:rsidR="00283A77" w:rsidP="00B2200B" w:rsidRDefault="00283A77" w14:paraId="58F7CF6C" w14:textId="77777777">
            <w:pPr>
              <w:contextualSpacing/>
              <w:rPr>
                <w:b/>
              </w:rPr>
            </w:pPr>
            <w:r w:rsidRPr="003B759C">
              <w:rPr>
                <w:b/>
              </w:rPr>
              <w:t>Estimated Total Annual Burden Hours Requested</w:t>
            </w:r>
          </w:p>
        </w:tc>
      </w:tr>
      <w:tr w:rsidRPr="003B759C" w:rsidR="00283A77" w:rsidTr="00DF02CD" w14:paraId="3BAA6DE0" w14:textId="77777777">
        <w:tc>
          <w:tcPr>
            <w:tcW w:w="8062" w:type="dxa"/>
            <w:gridSpan w:val="4"/>
            <w:shd w:val="clear" w:color="auto" w:fill="D9D9D9" w:themeFill="background1" w:themeFillShade="D9"/>
            <w:vAlign w:val="center"/>
          </w:tcPr>
          <w:p w:rsidRPr="003B759C" w:rsidR="00283A77" w:rsidP="00B2200B" w:rsidRDefault="00283A77" w14:paraId="0610F727" w14:textId="77777777">
            <w:pPr>
              <w:contextualSpacing/>
              <w:rPr>
                <w:b/>
              </w:rPr>
            </w:pPr>
          </w:p>
          <w:p w:rsidRPr="003B759C" w:rsidR="00283A77" w:rsidP="00B2200B" w:rsidRDefault="00283A77" w14:paraId="53E64239" w14:textId="77777777">
            <w:pPr>
              <w:contextualSpacing/>
              <w:rPr>
                <w:b/>
              </w:rPr>
            </w:pPr>
            <w:r w:rsidRPr="003B759C">
              <w:rPr>
                <w:b/>
              </w:rPr>
              <w:t>Testing New and Improved Complaint Intake Questions</w:t>
            </w:r>
          </w:p>
          <w:p w:rsidRPr="003B759C" w:rsidR="00283A77" w:rsidP="00B2200B" w:rsidRDefault="00283A77" w14:paraId="4387613E" w14:textId="77777777">
            <w:pPr>
              <w:contextualSpacing/>
              <w:rPr>
                <w:b/>
              </w:rPr>
            </w:pPr>
          </w:p>
        </w:tc>
      </w:tr>
      <w:tr w:rsidRPr="003B759C" w:rsidR="00283A77" w:rsidTr="00B2200B" w14:paraId="3E84097A" w14:textId="77777777">
        <w:tc>
          <w:tcPr>
            <w:tcW w:w="2743" w:type="dxa"/>
          </w:tcPr>
          <w:p w:rsidRPr="003B759C" w:rsidR="00283A77" w:rsidP="00B2200B" w:rsidRDefault="00283A77" w14:paraId="144608DD" w14:textId="1B99F5B9">
            <w:pPr>
              <w:contextualSpacing/>
            </w:pPr>
            <w:r w:rsidRPr="003B759C">
              <w:t>Web Complaint Intake (Testing and Piloting New Questions)</w:t>
            </w:r>
          </w:p>
        </w:tc>
        <w:tc>
          <w:tcPr>
            <w:tcW w:w="1737" w:type="dxa"/>
          </w:tcPr>
          <w:p w:rsidRPr="003B759C" w:rsidR="00283A77" w:rsidP="00B2200B" w:rsidRDefault="00996A0E" w14:paraId="5DCEBBA2" w14:textId="1DF63254">
            <w:pPr>
              <w:contextualSpacing/>
              <w:jc w:val="right"/>
            </w:pPr>
            <w:r w:rsidRPr="003B759C">
              <w:t>500</w:t>
            </w:r>
            <w:r w:rsidRPr="003B759C" w:rsidR="00283A77">
              <w:t>,000</w:t>
            </w:r>
          </w:p>
        </w:tc>
        <w:tc>
          <w:tcPr>
            <w:tcW w:w="1913" w:type="dxa"/>
          </w:tcPr>
          <w:p w:rsidRPr="003B759C" w:rsidR="00283A77" w:rsidP="0033730C" w:rsidRDefault="00283A77" w14:paraId="5F011C47" w14:textId="77777777">
            <w:pPr>
              <w:contextualSpacing/>
              <w:jc w:val="right"/>
            </w:pPr>
            <w:r w:rsidRPr="003B759C">
              <w:t>10 minutes</w:t>
            </w:r>
          </w:p>
        </w:tc>
        <w:tc>
          <w:tcPr>
            <w:tcW w:w="1669" w:type="dxa"/>
          </w:tcPr>
          <w:p w:rsidRPr="003B759C" w:rsidR="00283A77" w:rsidP="00B2200B" w:rsidRDefault="00C36B84" w14:paraId="48A6B53F" w14:textId="4E720649">
            <w:pPr>
              <w:contextualSpacing/>
              <w:jc w:val="right"/>
            </w:pPr>
            <w:r w:rsidRPr="003B759C">
              <w:t>83</w:t>
            </w:r>
            <w:r w:rsidRPr="003B759C" w:rsidR="00283A77">
              <w:t>,</w:t>
            </w:r>
            <w:r w:rsidRPr="003B759C">
              <w:t>333</w:t>
            </w:r>
          </w:p>
        </w:tc>
      </w:tr>
      <w:tr w:rsidRPr="003B759C" w:rsidR="00283A77" w:rsidTr="00B2200B" w14:paraId="6CA79101" w14:textId="77777777">
        <w:tc>
          <w:tcPr>
            <w:tcW w:w="2743" w:type="dxa"/>
            <w:tcBorders>
              <w:bottom w:val="single" w:color="auto" w:sz="4" w:space="0"/>
            </w:tcBorders>
          </w:tcPr>
          <w:p w:rsidRPr="003B759C" w:rsidR="00283A77" w:rsidP="00B2200B" w:rsidRDefault="00283A77" w14:paraId="6A6C741F" w14:textId="77777777">
            <w:pPr>
              <w:contextualSpacing/>
            </w:pPr>
            <w:r w:rsidRPr="003B759C">
              <w:t>Paper/Telephone Complaint and Inquiry Intake (Testing and Piloting New Questions)</w:t>
            </w:r>
          </w:p>
        </w:tc>
        <w:tc>
          <w:tcPr>
            <w:tcW w:w="1737" w:type="dxa"/>
            <w:tcBorders>
              <w:bottom w:val="single" w:color="auto" w:sz="4" w:space="0"/>
            </w:tcBorders>
          </w:tcPr>
          <w:p w:rsidRPr="003B759C" w:rsidR="00283A77" w:rsidP="00B2200B" w:rsidRDefault="00283A77" w14:paraId="5DAFAB31" w14:textId="77777777">
            <w:pPr>
              <w:contextualSpacing/>
              <w:jc w:val="right"/>
            </w:pPr>
            <w:r w:rsidRPr="003B759C">
              <w:t>150,000</w:t>
            </w:r>
          </w:p>
        </w:tc>
        <w:tc>
          <w:tcPr>
            <w:tcW w:w="1913" w:type="dxa"/>
            <w:tcBorders>
              <w:bottom w:val="single" w:color="auto" w:sz="4" w:space="0"/>
            </w:tcBorders>
          </w:tcPr>
          <w:p w:rsidRPr="003B759C" w:rsidR="00283A77" w:rsidP="0033730C" w:rsidRDefault="00283A77" w14:paraId="37476027" w14:textId="77777777">
            <w:pPr>
              <w:contextualSpacing/>
              <w:jc w:val="right"/>
            </w:pPr>
            <w:r w:rsidRPr="003B759C">
              <w:t>10 minutes</w:t>
            </w:r>
          </w:p>
        </w:tc>
        <w:tc>
          <w:tcPr>
            <w:tcW w:w="1669" w:type="dxa"/>
            <w:tcBorders>
              <w:bottom w:val="single" w:color="auto" w:sz="4" w:space="0"/>
            </w:tcBorders>
          </w:tcPr>
          <w:p w:rsidRPr="003B759C" w:rsidR="00283A77" w:rsidP="00B2200B" w:rsidRDefault="00283A77" w14:paraId="48407A7B" w14:textId="77777777">
            <w:pPr>
              <w:contextualSpacing/>
              <w:jc w:val="right"/>
            </w:pPr>
            <w:r w:rsidRPr="003B759C">
              <w:t>25,000</w:t>
            </w:r>
          </w:p>
        </w:tc>
      </w:tr>
      <w:tr w:rsidRPr="003B759C" w:rsidR="00283A77" w:rsidTr="00DF02CD" w14:paraId="0C93D200" w14:textId="77777777">
        <w:tc>
          <w:tcPr>
            <w:tcW w:w="8062" w:type="dxa"/>
            <w:gridSpan w:val="4"/>
            <w:shd w:val="clear" w:color="auto" w:fill="D9D9D9" w:themeFill="background1" w:themeFillShade="D9"/>
          </w:tcPr>
          <w:p w:rsidRPr="003B759C" w:rsidR="00283A77" w:rsidP="00B2200B" w:rsidRDefault="00283A77" w14:paraId="7372C8C6" w14:textId="77777777">
            <w:pPr>
              <w:contextualSpacing/>
            </w:pPr>
          </w:p>
          <w:p w:rsidRPr="003B759C" w:rsidR="00283A77" w:rsidP="00B2200B" w:rsidRDefault="00283A77" w14:paraId="158D460C" w14:textId="77777777">
            <w:pPr>
              <w:contextualSpacing/>
              <w:rPr>
                <w:b/>
              </w:rPr>
            </w:pPr>
            <w:r w:rsidRPr="003B759C">
              <w:rPr>
                <w:b/>
              </w:rPr>
              <w:t>Stakeholder Feedback</w:t>
            </w:r>
          </w:p>
          <w:p w:rsidRPr="003B759C" w:rsidR="00283A77" w:rsidP="00B2200B" w:rsidRDefault="00283A77" w14:paraId="67C50669" w14:textId="77777777">
            <w:pPr>
              <w:contextualSpacing/>
            </w:pPr>
          </w:p>
        </w:tc>
      </w:tr>
      <w:tr w:rsidRPr="003B759C" w:rsidR="00283A77" w:rsidTr="00B2200B" w14:paraId="6DD8B2A0" w14:textId="77777777">
        <w:tc>
          <w:tcPr>
            <w:tcW w:w="2743" w:type="dxa"/>
          </w:tcPr>
          <w:p w:rsidRPr="003B759C" w:rsidR="00283A77" w:rsidP="00B2200B" w:rsidRDefault="00283A77" w14:paraId="1DEBF40A" w14:textId="0DB61AFD">
            <w:pPr>
              <w:pStyle w:val="CommentText"/>
            </w:pPr>
            <w:r w:rsidRPr="003B759C">
              <w:t xml:space="preserve">User Experience </w:t>
            </w:r>
            <w:r w:rsidRPr="003B759C" w:rsidR="00C76EC2">
              <w:t>Process and Service</w:t>
            </w:r>
            <w:r w:rsidRPr="003B759C" w:rsidR="00147DF4">
              <w:t xml:space="preserve"> </w:t>
            </w:r>
            <w:r w:rsidRPr="003B759C">
              <w:t>Feedback</w:t>
            </w:r>
          </w:p>
          <w:p w:rsidRPr="003B759C" w:rsidR="00283A77" w:rsidP="00B2200B" w:rsidRDefault="00283A77" w14:paraId="7FFDD349" w14:textId="77777777">
            <w:pPr>
              <w:contextualSpacing/>
            </w:pPr>
          </w:p>
        </w:tc>
        <w:tc>
          <w:tcPr>
            <w:tcW w:w="1737" w:type="dxa"/>
          </w:tcPr>
          <w:p w:rsidRPr="003B759C" w:rsidR="00283A77" w:rsidP="00B2200B" w:rsidRDefault="001E6AC5" w14:paraId="479F8570" w14:textId="3BD4E5E7">
            <w:pPr>
              <w:contextualSpacing/>
              <w:jc w:val="right"/>
            </w:pPr>
            <w:r w:rsidRPr="003B759C">
              <w:t>5,000</w:t>
            </w:r>
          </w:p>
        </w:tc>
        <w:tc>
          <w:tcPr>
            <w:tcW w:w="1913" w:type="dxa"/>
          </w:tcPr>
          <w:p w:rsidRPr="003B759C" w:rsidR="00283A77" w:rsidP="0033730C" w:rsidRDefault="001E6AC5" w14:paraId="4DCF0582" w14:textId="7184A9F4">
            <w:pPr>
              <w:contextualSpacing/>
              <w:jc w:val="right"/>
            </w:pPr>
            <w:r w:rsidRPr="003B759C">
              <w:t xml:space="preserve">30 </w:t>
            </w:r>
            <w:r w:rsidRPr="003B759C" w:rsidR="00283A77">
              <w:t>minutes</w:t>
            </w:r>
          </w:p>
        </w:tc>
        <w:tc>
          <w:tcPr>
            <w:tcW w:w="1669" w:type="dxa"/>
          </w:tcPr>
          <w:p w:rsidRPr="003B759C" w:rsidR="00283A77" w:rsidP="00B2200B" w:rsidRDefault="00DF3EF3" w14:paraId="1A1334AE" w14:textId="0978EA15">
            <w:pPr>
              <w:contextualSpacing/>
              <w:jc w:val="right"/>
            </w:pPr>
            <w:r w:rsidRPr="003B759C">
              <w:t>2,500</w:t>
            </w:r>
          </w:p>
        </w:tc>
      </w:tr>
      <w:tr w:rsidRPr="003B759C" w:rsidR="00283A77" w:rsidTr="00B2200B" w14:paraId="4BE886F8" w14:textId="77777777">
        <w:tc>
          <w:tcPr>
            <w:tcW w:w="2743" w:type="dxa"/>
          </w:tcPr>
          <w:p w:rsidRPr="003B759C" w:rsidR="00283A77" w:rsidP="00B2200B" w:rsidRDefault="00283A77" w14:paraId="42091444" w14:textId="77777777">
            <w:pPr>
              <w:contextualSpacing/>
              <w:jc w:val="right"/>
              <w:rPr>
                <w:b/>
              </w:rPr>
            </w:pPr>
            <w:r w:rsidRPr="003B759C">
              <w:rPr>
                <w:b/>
              </w:rPr>
              <w:t>Annual Totals:</w:t>
            </w:r>
          </w:p>
        </w:tc>
        <w:tc>
          <w:tcPr>
            <w:tcW w:w="1737" w:type="dxa"/>
          </w:tcPr>
          <w:p w:rsidRPr="003B759C" w:rsidR="00283A77" w:rsidP="0033730C" w:rsidRDefault="00DF3EF3" w14:paraId="715B46BF" w14:textId="443B4501">
            <w:pPr>
              <w:contextualSpacing/>
              <w:jc w:val="right"/>
              <w:rPr>
                <w:b/>
              </w:rPr>
            </w:pPr>
            <w:r w:rsidRPr="003B759C">
              <w:rPr>
                <w:b/>
              </w:rPr>
              <w:t>655</w:t>
            </w:r>
            <w:r w:rsidRPr="003B759C" w:rsidR="00283A77">
              <w:rPr>
                <w:b/>
              </w:rPr>
              <w:t>,000</w:t>
            </w:r>
          </w:p>
        </w:tc>
        <w:tc>
          <w:tcPr>
            <w:tcW w:w="1913" w:type="dxa"/>
          </w:tcPr>
          <w:p w:rsidRPr="003B759C" w:rsidR="00283A77" w:rsidP="0033730C" w:rsidRDefault="00E21A4C" w14:paraId="55B6099E" w14:textId="192A3E79">
            <w:pPr>
              <w:contextualSpacing/>
              <w:jc w:val="right"/>
              <w:rPr>
                <w:b/>
              </w:rPr>
            </w:pPr>
            <w:r w:rsidRPr="003B759C">
              <w:rPr>
                <w:b/>
              </w:rPr>
              <w:t>50</w:t>
            </w:r>
            <w:r w:rsidRPr="003B759C" w:rsidR="00283A77">
              <w:rPr>
                <w:b/>
              </w:rPr>
              <w:t xml:space="preserve"> minutes</w:t>
            </w:r>
          </w:p>
        </w:tc>
        <w:tc>
          <w:tcPr>
            <w:tcW w:w="1669" w:type="dxa"/>
          </w:tcPr>
          <w:p w:rsidRPr="003B759C" w:rsidR="00283A77" w:rsidP="0033730C" w:rsidRDefault="003C7FD1" w14:paraId="439BD288" w14:textId="2D058107">
            <w:pPr>
              <w:contextualSpacing/>
              <w:jc w:val="right"/>
              <w:rPr>
                <w:b/>
              </w:rPr>
            </w:pPr>
            <w:r w:rsidRPr="003B759C">
              <w:rPr>
                <w:b/>
              </w:rPr>
              <w:t>110</w:t>
            </w:r>
            <w:r w:rsidRPr="003B759C" w:rsidR="00283A77">
              <w:rPr>
                <w:b/>
              </w:rPr>
              <w:t>,</w:t>
            </w:r>
            <w:r w:rsidRPr="003B759C">
              <w:rPr>
                <w:b/>
              </w:rPr>
              <w:t>833</w:t>
            </w:r>
          </w:p>
        </w:tc>
      </w:tr>
    </w:tbl>
    <w:p w:rsidRPr="00B325E4" w:rsidR="00283A77" w:rsidP="00283A77" w:rsidRDefault="00283A77" w14:paraId="7E637F06" w14:textId="77777777">
      <w:pPr>
        <w:rPr>
          <w:color w:val="000000"/>
          <w:sz w:val="24"/>
          <w:szCs w:val="24"/>
        </w:rPr>
      </w:pPr>
    </w:p>
    <w:p w:rsidRPr="00B325E4" w:rsidR="00A93967" w:rsidP="00283A77" w:rsidRDefault="00283A77" w14:paraId="0D6A5C78" w14:textId="09C78086">
      <w:pPr>
        <w:rPr>
          <w:color w:val="000000"/>
          <w:sz w:val="24"/>
          <w:szCs w:val="24"/>
        </w:rPr>
      </w:pPr>
      <w:r w:rsidRPr="00B325E4">
        <w:rPr>
          <w:color w:val="000000"/>
          <w:sz w:val="24"/>
          <w:szCs w:val="24"/>
        </w:rPr>
        <w:t>The methods of information collection within each category include burdens associated with telephonic</w:t>
      </w:r>
      <w:r w:rsidRPr="00B325E4" w:rsidR="003C7FD1">
        <w:rPr>
          <w:color w:val="000000"/>
          <w:sz w:val="24"/>
          <w:szCs w:val="24"/>
        </w:rPr>
        <w:t>, virtual, or in-person</w:t>
      </w:r>
      <w:r w:rsidRPr="00B325E4">
        <w:rPr>
          <w:color w:val="000000"/>
          <w:sz w:val="24"/>
          <w:szCs w:val="24"/>
        </w:rPr>
        <w:t xml:space="preserve"> interview</w:t>
      </w:r>
      <w:r w:rsidRPr="00B325E4" w:rsidR="003C7FD1">
        <w:rPr>
          <w:color w:val="000000"/>
          <w:sz w:val="24"/>
          <w:szCs w:val="24"/>
        </w:rPr>
        <w:t>s</w:t>
      </w:r>
      <w:r w:rsidRPr="00B325E4">
        <w:rPr>
          <w:color w:val="000000"/>
          <w:sz w:val="24"/>
          <w:szCs w:val="24"/>
        </w:rPr>
        <w:t xml:space="preserve">, web </w:t>
      </w:r>
      <w:r w:rsidRPr="00B325E4" w:rsidR="003C7FD1">
        <w:rPr>
          <w:color w:val="000000"/>
          <w:sz w:val="24"/>
          <w:szCs w:val="24"/>
        </w:rPr>
        <w:t xml:space="preserve">or paper-based </w:t>
      </w:r>
      <w:r w:rsidRPr="00B325E4">
        <w:rPr>
          <w:color w:val="000000"/>
          <w:sz w:val="24"/>
          <w:szCs w:val="24"/>
        </w:rPr>
        <w:t>collection</w:t>
      </w:r>
      <w:r w:rsidRPr="00B325E4" w:rsidR="003C7FD1">
        <w:rPr>
          <w:color w:val="000000"/>
          <w:sz w:val="24"/>
          <w:szCs w:val="24"/>
        </w:rPr>
        <w:t>s</w:t>
      </w:r>
      <w:r w:rsidRPr="00B325E4">
        <w:rPr>
          <w:color w:val="000000"/>
          <w:sz w:val="24"/>
          <w:szCs w:val="24"/>
        </w:rPr>
        <w:t>, surveys, and focus groups.  Respondents may include individual consumers and their representatives, State agencies,</w:t>
      </w:r>
      <w:r w:rsidRPr="00B325E4" w:rsidR="00804004">
        <w:rPr>
          <w:color w:val="000000"/>
          <w:sz w:val="24"/>
          <w:szCs w:val="24"/>
        </w:rPr>
        <w:t xml:space="preserve"> Congressional offices,</w:t>
      </w:r>
      <w:r w:rsidRPr="00B325E4">
        <w:rPr>
          <w:color w:val="000000"/>
          <w:sz w:val="24"/>
          <w:szCs w:val="24"/>
        </w:rPr>
        <w:t xml:space="preserve"> companies that are the subject of consumer complaints, and companies responding to consumer complaints.</w:t>
      </w:r>
    </w:p>
    <w:p w:rsidRPr="00B325E4" w:rsidR="00283A77" w:rsidP="00283A77" w:rsidRDefault="00283A77" w14:paraId="1BAF4B3C" w14:textId="77777777">
      <w:pPr>
        <w:rPr>
          <w:b/>
          <w:sz w:val="24"/>
          <w:szCs w:val="24"/>
        </w:rPr>
      </w:pPr>
    </w:p>
    <w:p w:rsidRPr="00B325E4" w:rsidR="00F660E8" w:rsidP="00F660E8" w:rsidRDefault="00F660E8" w14:paraId="446A24E3" w14:textId="77777777">
      <w:pPr>
        <w:rPr>
          <w:b/>
          <w:sz w:val="24"/>
          <w:szCs w:val="24"/>
        </w:rPr>
      </w:pPr>
      <w:r w:rsidRPr="00B325E4">
        <w:rPr>
          <w:b/>
          <w:sz w:val="24"/>
          <w:szCs w:val="24"/>
        </w:rPr>
        <w:t>13.  Provide an estimate of the total annual cost burden to respondents or record</w:t>
      </w:r>
      <w:r w:rsidRPr="00B325E4" w:rsidR="007E7E37">
        <w:rPr>
          <w:b/>
          <w:sz w:val="24"/>
          <w:szCs w:val="24"/>
        </w:rPr>
        <w:t xml:space="preserve"> </w:t>
      </w:r>
      <w:r w:rsidRPr="00B325E4">
        <w:rPr>
          <w:b/>
          <w:sz w:val="24"/>
          <w:szCs w:val="24"/>
        </w:rPr>
        <w:t>keepers resulting from the collection of information.  (Do not include the cost of any hour burden shown in Items 12 and 14).</w:t>
      </w:r>
    </w:p>
    <w:p w:rsidRPr="00B325E4" w:rsidR="005F1FFC" w:rsidP="005F1FFC" w:rsidRDefault="005F1FFC" w14:paraId="3715E245" w14:textId="2EE5FA9D">
      <w:pPr>
        <w:rPr>
          <w:b/>
          <w:sz w:val="24"/>
          <w:szCs w:val="24"/>
        </w:rPr>
      </w:pPr>
    </w:p>
    <w:p w:rsidRPr="00B325E4" w:rsidR="00283A77" w:rsidP="005F1FFC" w:rsidRDefault="00283A77" w14:paraId="7D36D8F2" w14:textId="7D50A5B7">
      <w:pPr>
        <w:rPr>
          <w:b/>
          <w:sz w:val="24"/>
          <w:szCs w:val="24"/>
        </w:rPr>
      </w:pPr>
      <w:r w:rsidRPr="00B325E4">
        <w:rPr>
          <w:sz w:val="24"/>
          <w:szCs w:val="24"/>
        </w:rPr>
        <w:t>There will be no annualized capital or start-up costs for the respondents to collect and submit this information.</w:t>
      </w:r>
    </w:p>
    <w:p w:rsidRPr="00B325E4" w:rsidR="00A93967" w:rsidP="005F1FFC" w:rsidRDefault="00A93967" w14:paraId="7426A13C" w14:textId="77777777">
      <w:pPr>
        <w:ind w:left="720"/>
        <w:rPr>
          <w:sz w:val="24"/>
          <w:szCs w:val="24"/>
        </w:rPr>
      </w:pPr>
    </w:p>
    <w:p w:rsidRPr="00B325E4" w:rsidR="00F660E8" w:rsidP="00F660E8" w:rsidRDefault="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325E4">
        <w:rPr>
          <w:b/>
          <w:sz w:val="24"/>
          <w:szCs w:val="24"/>
        </w:rPr>
        <w:t xml:space="preserve">14.  </w:t>
      </w:r>
      <w:r w:rsidRPr="00B325E4">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325E4">
        <w:rPr>
          <w:sz w:val="24"/>
          <w:szCs w:val="24"/>
        </w:rPr>
        <w:t xml:space="preserve"> </w:t>
      </w:r>
      <w:r w:rsidRPr="00B325E4">
        <w:rPr>
          <w:b/>
          <w:bCs/>
          <w:sz w:val="24"/>
          <w:szCs w:val="24"/>
        </w:rPr>
        <w:lastRenderedPageBreak/>
        <w:t>without this collection of information.  Agencies also may aggregate cost estimates from Items 12, 13, and 14 into a single table.</w:t>
      </w:r>
    </w:p>
    <w:p w:rsidRPr="00B325E4" w:rsidR="005F1FFC" w:rsidP="005F1FFC" w:rsidRDefault="005F1FFC" w14:paraId="0A689257" w14:textId="77777777">
      <w:pPr>
        <w:ind w:left="720"/>
        <w:rPr>
          <w:sz w:val="24"/>
          <w:szCs w:val="24"/>
        </w:rPr>
      </w:pPr>
    </w:p>
    <w:p w:rsidRPr="00B325E4" w:rsidR="00A93967" w:rsidP="00283A77" w:rsidRDefault="00283A77" w14:paraId="28539FB8" w14:textId="7DA1563C">
      <w:pPr>
        <w:rPr>
          <w:sz w:val="24"/>
          <w:szCs w:val="24"/>
        </w:rPr>
      </w:pPr>
      <w:r w:rsidRPr="00B325E4">
        <w:rPr>
          <w:color w:val="000000"/>
          <w:sz w:val="24"/>
          <w:szCs w:val="24"/>
        </w:rPr>
        <w:t xml:space="preserve">The </w:t>
      </w:r>
      <w:r w:rsidRPr="00B325E4" w:rsidR="004B4182">
        <w:rPr>
          <w:color w:val="000000"/>
          <w:sz w:val="24"/>
          <w:szCs w:val="24"/>
        </w:rPr>
        <w:t xml:space="preserve">Bureau </w:t>
      </w:r>
      <w:r w:rsidRPr="00B325E4">
        <w:rPr>
          <w:color w:val="000000"/>
          <w:sz w:val="24"/>
          <w:szCs w:val="24"/>
        </w:rPr>
        <w:t>incurs operational costs to develop, implement, and support cost-effective technology solutions for all information collections such as pilot forms and surveys.  Costs will be included in the documentation provided to OMB for each collection for which we will seek approval under this generic plan.</w:t>
      </w:r>
    </w:p>
    <w:p w:rsidRPr="00B325E4" w:rsidR="00283A77" w:rsidP="00283A77" w:rsidRDefault="00283A77" w14:paraId="6FD3079C" w14:textId="77777777">
      <w:pPr>
        <w:rPr>
          <w:sz w:val="24"/>
          <w:szCs w:val="24"/>
        </w:rPr>
      </w:pPr>
    </w:p>
    <w:p w:rsidRPr="00B325E4" w:rsidR="00F660E8" w:rsidP="00F660E8" w:rsidRDefault="00F660E8" w14:paraId="2B232019" w14:textId="77777777">
      <w:pPr>
        <w:rPr>
          <w:b/>
          <w:sz w:val="24"/>
          <w:szCs w:val="24"/>
        </w:rPr>
      </w:pPr>
      <w:r w:rsidRPr="00B325E4">
        <w:rPr>
          <w:b/>
          <w:sz w:val="24"/>
          <w:szCs w:val="24"/>
        </w:rPr>
        <w:t xml:space="preserve">15.  </w:t>
      </w:r>
      <w:r w:rsidRPr="00B325E4">
        <w:rPr>
          <w:b/>
          <w:bCs/>
          <w:sz w:val="24"/>
          <w:szCs w:val="24"/>
        </w:rPr>
        <w:t>Explain the reasons for any program changes or adjustments.</w:t>
      </w:r>
    </w:p>
    <w:p w:rsidRPr="00B325E4" w:rsidR="005F1FFC" w:rsidP="005F1FFC" w:rsidRDefault="005F1FFC" w14:paraId="7D933924" w14:textId="6FC5B45B">
      <w:pPr>
        <w:numPr>
          <w:ilvl w:val="12"/>
          <w:numId w:val="0"/>
        </w:numPr>
        <w:rPr>
          <w:sz w:val="24"/>
          <w:szCs w:val="24"/>
        </w:rPr>
      </w:pPr>
    </w:p>
    <w:p w:rsidRPr="00A612B0" w:rsidR="00A612B0" w:rsidP="00A612B0" w:rsidRDefault="00A612B0" w14:paraId="1E9DB7FD" w14:textId="2D4BE6E4">
      <w:pPr>
        <w:rPr>
          <w:sz w:val="24"/>
          <w:szCs w:val="24"/>
        </w:rPr>
      </w:pPr>
      <w:r w:rsidRPr="00A612B0">
        <w:rPr>
          <w:sz w:val="24"/>
          <w:szCs w:val="24"/>
        </w:rPr>
        <w:t>This information collection's maximum number of annual responses and total time burden is being reduced by 1,475,000 responses and 244,169 hours respectively.  The revised burden estimate better reflects predicted usage in the future.</w:t>
      </w:r>
    </w:p>
    <w:p w:rsidRPr="00A612B0" w:rsidR="00A612B0" w:rsidP="00A612B0" w:rsidRDefault="00A612B0" w14:paraId="23A81EAF" w14:textId="77777777">
      <w:pPr>
        <w:rPr>
          <w:sz w:val="24"/>
          <w:szCs w:val="24"/>
        </w:rPr>
      </w:pPr>
    </w:p>
    <w:p w:rsidRPr="00B325E4" w:rsidR="007704C7" w:rsidP="00A612B0" w:rsidRDefault="00A612B0" w14:paraId="4E208B52" w14:textId="53E57811">
      <w:pPr>
        <w:rPr>
          <w:sz w:val="24"/>
          <w:szCs w:val="24"/>
        </w:rPr>
      </w:pPr>
      <w:r w:rsidRPr="00A612B0">
        <w:rPr>
          <w:sz w:val="24"/>
          <w:szCs w:val="24"/>
        </w:rPr>
        <w:t>There are no program changes nor additional adjustments being made in this ICR</w:t>
      </w:r>
      <w:r w:rsidR="00A46F89">
        <w:rPr>
          <w:sz w:val="24"/>
          <w:szCs w:val="24"/>
        </w:rPr>
        <w:t>.</w:t>
      </w:r>
    </w:p>
    <w:p w:rsidRPr="00B325E4" w:rsidR="00A93967" w:rsidP="00253FF0" w:rsidRDefault="00A93967" w14:paraId="52F188B0" w14:textId="77777777">
      <w:pPr>
        <w:rPr>
          <w:sz w:val="24"/>
          <w:szCs w:val="24"/>
        </w:rPr>
      </w:pPr>
    </w:p>
    <w:p w:rsidRPr="00B325E4" w:rsidR="00F660E8" w:rsidP="00F660E8" w:rsidRDefault="00F660E8" w14:paraId="1715AB5F" w14:textId="77777777">
      <w:pPr>
        <w:rPr>
          <w:b/>
          <w:sz w:val="24"/>
          <w:szCs w:val="24"/>
        </w:rPr>
      </w:pPr>
      <w:r w:rsidRPr="00B325E4">
        <w:rPr>
          <w:b/>
          <w:sz w:val="24"/>
          <w:szCs w:val="24"/>
        </w:rPr>
        <w:t>16.  F</w:t>
      </w:r>
      <w:r w:rsidRPr="00B325E4">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325E4">
        <w:rPr>
          <w:sz w:val="24"/>
          <w:szCs w:val="24"/>
        </w:rPr>
        <w:t>.</w:t>
      </w:r>
    </w:p>
    <w:p w:rsidRPr="00B325E4" w:rsidR="005F1FFC" w:rsidP="005F1FFC" w:rsidRDefault="005F1FFC" w14:paraId="3C07C2B3" w14:textId="007CA232">
      <w:pPr>
        <w:rPr>
          <w:sz w:val="24"/>
          <w:szCs w:val="24"/>
        </w:rPr>
      </w:pPr>
      <w:r w:rsidRPr="00B325E4">
        <w:rPr>
          <w:sz w:val="24"/>
          <w:szCs w:val="24"/>
        </w:rPr>
        <w:t xml:space="preserve">  </w:t>
      </w:r>
    </w:p>
    <w:p w:rsidRPr="00B325E4" w:rsidR="005F1FFC" w:rsidP="005F1FFC" w:rsidRDefault="00283A77" w14:paraId="77B89593" w14:textId="2B2041FB">
      <w:pPr>
        <w:rPr>
          <w:sz w:val="24"/>
          <w:szCs w:val="24"/>
        </w:rPr>
      </w:pPr>
      <w:r w:rsidRPr="00B325E4">
        <w:rPr>
          <w:color w:val="000000"/>
          <w:sz w:val="24"/>
          <w:szCs w:val="24"/>
        </w:rPr>
        <w:t>Data collected through the piloting of new, or testing to improve existing, complaint intake questions; and feedback collections</w:t>
      </w:r>
      <w:r w:rsidRPr="00B325E4" w:rsidDel="002A1F99">
        <w:rPr>
          <w:color w:val="000000"/>
          <w:sz w:val="24"/>
          <w:szCs w:val="24"/>
        </w:rPr>
        <w:t xml:space="preserve"> </w:t>
      </w:r>
      <w:r w:rsidRPr="00B325E4">
        <w:rPr>
          <w:color w:val="000000"/>
          <w:sz w:val="24"/>
          <w:szCs w:val="24"/>
        </w:rPr>
        <w:t xml:space="preserve">will be analyzed and may be disclosed through the </w:t>
      </w:r>
      <w:r w:rsidRPr="00B325E4" w:rsidR="004B4182">
        <w:rPr>
          <w:color w:val="000000"/>
          <w:sz w:val="24"/>
          <w:szCs w:val="24"/>
        </w:rPr>
        <w:t>Bureau</w:t>
      </w:r>
      <w:r w:rsidRPr="00B325E4">
        <w:rPr>
          <w:color w:val="000000"/>
          <w:sz w:val="24"/>
          <w:szCs w:val="24"/>
        </w:rPr>
        <w:t>’s Consumer Complaint Database</w:t>
      </w:r>
      <w:r w:rsidRPr="00B325E4">
        <w:rPr>
          <w:sz w:val="24"/>
          <w:szCs w:val="24"/>
          <w:vertAlign w:val="superscript"/>
        </w:rPr>
        <w:footnoteReference w:id="13"/>
      </w:r>
      <w:r w:rsidRPr="00B325E4">
        <w:rPr>
          <w:color w:val="000000"/>
          <w:sz w:val="24"/>
          <w:szCs w:val="24"/>
        </w:rPr>
        <w:t xml:space="preserve"> and provided in annual reports to be issued by the </w:t>
      </w:r>
      <w:r w:rsidRPr="00B325E4" w:rsidR="004B4182">
        <w:rPr>
          <w:color w:val="000000"/>
          <w:sz w:val="24"/>
          <w:szCs w:val="24"/>
        </w:rPr>
        <w:t>Bureau</w:t>
      </w:r>
      <w:r w:rsidRPr="00B325E4">
        <w:rPr>
          <w:color w:val="000000"/>
          <w:sz w:val="24"/>
          <w:szCs w:val="24"/>
        </w:rPr>
        <w:t xml:space="preserve"> to Congress.  In particular, under Section 1013(b)(3)(C) of the Dodd-Frank Act, the </w:t>
      </w:r>
      <w:r w:rsidRPr="00B325E4" w:rsidR="004B4182">
        <w:rPr>
          <w:color w:val="000000"/>
          <w:sz w:val="24"/>
          <w:szCs w:val="24"/>
        </w:rPr>
        <w:t>Bureau</w:t>
      </w:r>
      <w:r w:rsidRPr="00B325E4">
        <w:rPr>
          <w:color w:val="000000"/>
          <w:sz w:val="24"/>
          <w:szCs w:val="24"/>
        </w:rPr>
        <w:t xml:space="preserve"> provides reports to Congress containing information and analysis about complaint numbers, types, and where applicable, resolution. The </w:t>
      </w:r>
      <w:r w:rsidRPr="00B325E4" w:rsidR="004B4182">
        <w:rPr>
          <w:color w:val="000000"/>
          <w:sz w:val="24"/>
          <w:szCs w:val="24"/>
        </w:rPr>
        <w:t>Bureau</w:t>
      </w:r>
      <w:r w:rsidRPr="00B325E4">
        <w:rPr>
          <w:color w:val="000000"/>
          <w:sz w:val="24"/>
          <w:szCs w:val="24"/>
        </w:rPr>
        <w:t xml:space="preserve"> may publish trend reports based on aggregate data in summaries, reports, and briefings. Presentations of analyses may include frequency, classification, and cross-tabulation across consumer financial products or services, demographic and economic characteristics, and financial management behavior.</w:t>
      </w:r>
    </w:p>
    <w:p w:rsidRPr="00B325E4" w:rsidR="00283A77" w:rsidP="005F1FFC" w:rsidRDefault="00283A77" w14:paraId="07CB850B" w14:textId="77777777">
      <w:pPr>
        <w:rPr>
          <w:sz w:val="24"/>
          <w:szCs w:val="24"/>
        </w:rPr>
      </w:pPr>
    </w:p>
    <w:p w:rsidRPr="00B325E4" w:rsidR="00F660E8" w:rsidP="00F660E8" w:rsidRDefault="00F660E8" w14:paraId="7F4F1EB6" w14:textId="77777777">
      <w:pPr>
        <w:rPr>
          <w:b/>
          <w:sz w:val="24"/>
          <w:szCs w:val="24"/>
        </w:rPr>
      </w:pPr>
      <w:r w:rsidRPr="00B325E4">
        <w:rPr>
          <w:b/>
          <w:sz w:val="24"/>
          <w:szCs w:val="24"/>
        </w:rPr>
        <w:t>17.  I</w:t>
      </w:r>
      <w:r w:rsidRPr="00B325E4">
        <w:rPr>
          <w:b/>
          <w:bCs/>
          <w:sz w:val="24"/>
          <w:szCs w:val="24"/>
        </w:rPr>
        <w:t>f seeking approval to not display the expiration date for OMB approval of the information collection, explain the reasons that display would be inappropriate</w:t>
      </w:r>
      <w:r w:rsidRPr="00B325E4">
        <w:rPr>
          <w:b/>
          <w:sz w:val="24"/>
          <w:szCs w:val="24"/>
        </w:rPr>
        <w:t>.</w:t>
      </w:r>
    </w:p>
    <w:p w:rsidRPr="00B325E4" w:rsidR="005F1FFC" w:rsidP="005F1FFC" w:rsidRDefault="005F1FFC" w14:paraId="195A2521" w14:textId="77777777">
      <w:pPr>
        <w:rPr>
          <w:sz w:val="24"/>
          <w:szCs w:val="24"/>
        </w:rPr>
      </w:pPr>
    </w:p>
    <w:p w:rsidRPr="00B325E4" w:rsidR="00791AC9" w:rsidP="005F1FFC" w:rsidRDefault="001727A9" w14:paraId="2449748D" w14:textId="5E5D6E18">
      <w:pPr>
        <w:rPr>
          <w:sz w:val="24"/>
          <w:szCs w:val="24"/>
        </w:rPr>
      </w:pPr>
      <w:r w:rsidRPr="00B325E4">
        <w:rPr>
          <w:color w:val="000000"/>
          <w:sz w:val="24"/>
          <w:szCs w:val="24"/>
        </w:rPr>
        <w:t xml:space="preserve">The expiration dates for OMB approval will be displayed or otherwise provided to respondents for all information collections proposed as well as on OMB’s public-facing docket at </w:t>
      </w:r>
      <w:hyperlink w:history="1" r:id="rId15">
        <w:r w:rsidRPr="00B325E4">
          <w:rPr>
            <w:rStyle w:val="Hyperlink"/>
            <w:sz w:val="24"/>
            <w:szCs w:val="24"/>
          </w:rPr>
          <w:t>www.reginfo.gov</w:t>
        </w:r>
      </w:hyperlink>
      <w:r w:rsidRPr="00B325E4" w:rsidR="00791AC9">
        <w:rPr>
          <w:sz w:val="24"/>
          <w:szCs w:val="24"/>
        </w:rPr>
        <w:t xml:space="preserve"> (</w:t>
      </w:r>
      <w:hyperlink w:history="1" r:id="rId16">
        <w:r w:rsidRPr="00B325E4" w:rsidR="00791AC9">
          <w:rPr>
            <w:rStyle w:val="Hyperlink"/>
            <w:sz w:val="24"/>
            <w:szCs w:val="24"/>
          </w:rPr>
          <w:t>https://www.reginfo.gov/public/do/PRAMain</w:t>
        </w:r>
      </w:hyperlink>
      <w:r w:rsidRPr="00B325E4" w:rsidR="00791AC9">
        <w:rPr>
          <w:sz w:val="24"/>
          <w:szCs w:val="24"/>
        </w:rPr>
        <w:t>).</w:t>
      </w:r>
    </w:p>
    <w:p w:rsidRPr="00B325E4" w:rsidR="00A93967" w:rsidP="003E083F" w:rsidRDefault="00A93967" w14:paraId="58CE7FA0" w14:textId="77777777">
      <w:pPr>
        <w:rPr>
          <w:sz w:val="24"/>
          <w:szCs w:val="24"/>
        </w:rPr>
      </w:pPr>
    </w:p>
    <w:p w:rsidRPr="00B325E4" w:rsidR="00F660E8" w:rsidP="00F660E8" w:rsidRDefault="00F660E8" w14:paraId="0503086D" w14:textId="77777777">
      <w:pPr>
        <w:rPr>
          <w:b/>
          <w:sz w:val="24"/>
          <w:szCs w:val="24"/>
        </w:rPr>
      </w:pPr>
      <w:r w:rsidRPr="00B325E4">
        <w:rPr>
          <w:b/>
          <w:sz w:val="24"/>
          <w:szCs w:val="24"/>
        </w:rPr>
        <w:t>18.  Explain each exception to the certification statement.</w:t>
      </w:r>
    </w:p>
    <w:p w:rsidRPr="00B325E4" w:rsidR="005F1FFC" w:rsidP="005F1FFC" w:rsidRDefault="005F1FFC" w14:paraId="6066F545" w14:textId="77777777">
      <w:pPr>
        <w:pStyle w:val="BodyText"/>
        <w:rPr>
          <w:szCs w:val="24"/>
        </w:rPr>
      </w:pPr>
    </w:p>
    <w:p w:rsidRPr="001727A9" w:rsidR="00CA6DAB" w:rsidP="00A0364C" w:rsidRDefault="001727A9" w14:paraId="302FAAC2" w14:textId="154AA5AC">
      <w:pPr>
        <w:rPr>
          <w:sz w:val="24"/>
          <w:szCs w:val="24"/>
        </w:rPr>
      </w:pPr>
      <w:r w:rsidRPr="00B325E4">
        <w:rPr>
          <w:sz w:val="24"/>
          <w:szCs w:val="24"/>
        </w:rPr>
        <w:lastRenderedPageBreak/>
        <w:t>The Bureau certifies that this collection of information is consistent with the requirements of 5 C.F.R. § 1320.9, and the related provisions of 5 C.F.R. § 1320.8(b)(3) and is not seeking an exemption to these certification requirements.</w:t>
      </w:r>
    </w:p>
    <w:sectPr w:rsidRPr="001727A9" w:rsidR="00CA6DAB" w:rsidSect="0079547E">
      <w:headerReference w:type="default" r:id="rId17"/>
      <w:footerReference w:type="default" r:id="rId1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CC657" w14:textId="77777777" w:rsidR="00042D79" w:rsidRDefault="00042D79" w:rsidP="0079547E">
      <w:r>
        <w:separator/>
      </w:r>
    </w:p>
  </w:endnote>
  <w:endnote w:type="continuationSeparator" w:id="0">
    <w:p w14:paraId="098474DE" w14:textId="77777777" w:rsidR="00042D79" w:rsidRDefault="00042D79" w:rsidP="0079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8F4C2" w14:textId="77777777" w:rsidR="006D148F" w:rsidRDefault="006D148F">
    <w:pPr>
      <w:pStyle w:val="Footer"/>
      <w:jc w:val="center"/>
    </w:pPr>
    <w:r>
      <w:fldChar w:fldCharType="begin"/>
    </w:r>
    <w:r>
      <w:instrText xml:space="preserve"> PAGE   \* MERGEFORMAT </w:instrText>
    </w:r>
    <w:r>
      <w:fldChar w:fldCharType="separate"/>
    </w:r>
    <w:r>
      <w:rPr>
        <w:noProof/>
      </w:rPr>
      <w:t>8</w:t>
    </w:r>
    <w:r>
      <w:fldChar w:fldCharType="end"/>
    </w:r>
  </w:p>
  <w:p w14:paraId="4A3288D3" w14:textId="77777777" w:rsidR="006D148F" w:rsidRDefault="006D1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E0E9A" w14:textId="77777777" w:rsidR="00042D79" w:rsidRDefault="00042D79" w:rsidP="0079547E">
      <w:r>
        <w:separator/>
      </w:r>
    </w:p>
  </w:footnote>
  <w:footnote w:type="continuationSeparator" w:id="0">
    <w:p w14:paraId="1E653D9B" w14:textId="77777777" w:rsidR="00042D79" w:rsidRDefault="00042D79" w:rsidP="0079547E">
      <w:r>
        <w:continuationSeparator/>
      </w:r>
    </w:p>
  </w:footnote>
  <w:footnote w:id="1">
    <w:p w14:paraId="76A91D13" w14:textId="6DB5B79E" w:rsidR="006D148F" w:rsidRPr="00AE1369" w:rsidRDefault="006D148F" w:rsidP="00283A77">
      <w:pPr>
        <w:pStyle w:val="FootnoteText"/>
      </w:pPr>
      <w:r w:rsidRPr="00AE1369">
        <w:rPr>
          <w:rStyle w:val="FootnoteReference"/>
        </w:rPr>
        <w:footnoteRef/>
      </w:r>
      <w:r w:rsidRPr="00AE1369">
        <w:t xml:space="preserve"> </w:t>
      </w:r>
      <w:r w:rsidR="00060870">
        <w:rPr>
          <w:iCs/>
        </w:rPr>
        <w:t>See</w:t>
      </w:r>
      <w:r w:rsidRPr="00AE1369">
        <w:rPr>
          <w:i/>
        </w:rPr>
        <w:t xml:space="preserve"> </w:t>
      </w:r>
      <w:r w:rsidRPr="00AE1369">
        <w:t>Pub. L. No. 111-203, Title X, Sections 1013(b)(3), 1021(c)(2), and 1034, codified at 12 U</w:t>
      </w:r>
      <w:r w:rsidR="00060870">
        <w:t>SC Sections</w:t>
      </w:r>
      <w:r w:rsidRPr="00AE1369">
        <w:t xml:space="preserve"> 5493(b)(3), 5511(c)(2), and 5534.</w:t>
      </w:r>
    </w:p>
  </w:footnote>
  <w:footnote w:id="2">
    <w:p w14:paraId="3BDB8D69" w14:textId="4EB61207" w:rsidR="006D148F" w:rsidRPr="00AE1369" w:rsidRDefault="006D148F" w:rsidP="00283A77">
      <w:pPr>
        <w:pStyle w:val="FootnoteText"/>
      </w:pPr>
      <w:r w:rsidRPr="00AE1369">
        <w:rPr>
          <w:rStyle w:val="FootnoteReference"/>
        </w:rPr>
        <w:footnoteRef/>
      </w:r>
      <w:r w:rsidRPr="00AE1369">
        <w:t xml:space="preserve"> 12 U</w:t>
      </w:r>
      <w:r w:rsidR="00060870">
        <w:t>SC Section</w:t>
      </w:r>
      <w:r w:rsidRPr="00AE1369">
        <w:t xml:space="preserve"> 5511(c)(2).</w:t>
      </w:r>
    </w:p>
  </w:footnote>
  <w:footnote w:id="3">
    <w:p w14:paraId="70CCCCE2" w14:textId="2E0C4CAB" w:rsidR="006D148F" w:rsidRPr="00AE1369" w:rsidRDefault="006D148F" w:rsidP="00283A77">
      <w:pPr>
        <w:pStyle w:val="FootnoteText"/>
      </w:pPr>
      <w:r w:rsidRPr="00AE1369">
        <w:rPr>
          <w:rStyle w:val="FootnoteReference"/>
        </w:rPr>
        <w:footnoteRef/>
      </w:r>
      <w:r w:rsidRPr="00AE1369">
        <w:t xml:space="preserve"> </w:t>
      </w:r>
      <w:r w:rsidR="00060870">
        <w:rPr>
          <w:iCs/>
        </w:rPr>
        <w:t>See the</w:t>
      </w:r>
      <w:r w:rsidRPr="00AE1369">
        <w:rPr>
          <w:i/>
        </w:rPr>
        <w:t xml:space="preserve"> </w:t>
      </w:r>
      <w:r w:rsidR="004849F2" w:rsidRPr="00AE1369">
        <w:rPr>
          <w:iCs/>
        </w:rPr>
        <w:t>Bureau</w:t>
      </w:r>
      <w:r w:rsidRPr="00AE1369">
        <w:rPr>
          <w:iCs/>
        </w:rPr>
        <w:t>’s</w:t>
      </w:r>
      <w:r w:rsidRPr="00AE1369">
        <w:t xml:space="preserve"> Consumer Response Intake Form, OMB Control No. 3170-0011.</w:t>
      </w:r>
    </w:p>
  </w:footnote>
  <w:footnote w:id="4">
    <w:p w14:paraId="08B09116" w14:textId="354F70B4" w:rsidR="006D148F" w:rsidRPr="00AE1369" w:rsidRDefault="006D148F" w:rsidP="00283A77">
      <w:pPr>
        <w:pStyle w:val="FootnoteText"/>
      </w:pPr>
      <w:r w:rsidRPr="00AE1369">
        <w:rPr>
          <w:rStyle w:val="FootnoteReference"/>
        </w:rPr>
        <w:footnoteRef/>
      </w:r>
      <w:r w:rsidRPr="00AE1369">
        <w:t xml:space="preserve"> 12 U</w:t>
      </w:r>
      <w:r w:rsidR="00584FFD">
        <w:t>SC Section</w:t>
      </w:r>
      <w:r w:rsidRPr="00AE1369">
        <w:t xml:space="preserve"> 5511(c)(2).</w:t>
      </w:r>
    </w:p>
  </w:footnote>
  <w:footnote w:id="5">
    <w:p w14:paraId="5CD77EC6" w14:textId="03BDE930" w:rsidR="00424615" w:rsidRPr="00C668FA" w:rsidRDefault="00424615" w:rsidP="00424615">
      <w:pPr>
        <w:pStyle w:val="FootnoteText"/>
      </w:pPr>
      <w:r>
        <w:rPr>
          <w:rStyle w:val="FootnoteReference"/>
        </w:rPr>
        <w:footnoteRef/>
      </w:r>
      <w:r>
        <w:t xml:space="preserve"> </w:t>
      </w:r>
      <w:r w:rsidRPr="00C668FA">
        <w:t xml:space="preserve">86 FR </w:t>
      </w:r>
      <w:r w:rsidR="002441CD" w:rsidRPr="00C668FA">
        <w:t>73744</w:t>
      </w:r>
      <w:r w:rsidRPr="00C668FA">
        <w:t xml:space="preserve"> (published on 1</w:t>
      </w:r>
      <w:r w:rsidR="002441CD" w:rsidRPr="00C668FA">
        <w:t>2</w:t>
      </w:r>
      <w:r w:rsidRPr="00C668FA">
        <w:t>/</w:t>
      </w:r>
      <w:r w:rsidR="002441CD" w:rsidRPr="00C668FA">
        <w:t>28</w:t>
      </w:r>
      <w:r w:rsidRPr="00C668FA">
        <w:t>/2021).</w:t>
      </w:r>
    </w:p>
  </w:footnote>
  <w:footnote w:id="6">
    <w:p w14:paraId="522766AB" w14:textId="43DC70F2" w:rsidR="00424615" w:rsidRDefault="00424615" w:rsidP="00424615">
      <w:pPr>
        <w:pStyle w:val="FootnoteText"/>
      </w:pPr>
      <w:r w:rsidRPr="00C668FA">
        <w:rPr>
          <w:rStyle w:val="FootnoteReference"/>
        </w:rPr>
        <w:footnoteRef/>
      </w:r>
      <w:r w:rsidRPr="00C668FA">
        <w:t xml:space="preserve"> 87 FR </w:t>
      </w:r>
      <w:r w:rsidR="00C668FA" w:rsidRPr="00C668FA">
        <w:t>23499</w:t>
      </w:r>
      <w:r w:rsidRPr="00C668FA">
        <w:t xml:space="preserve"> (published on </w:t>
      </w:r>
      <w:r w:rsidR="006C7759" w:rsidRPr="00C668FA">
        <w:t>4</w:t>
      </w:r>
      <w:r w:rsidRPr="00C668FA">
        <w:t>/</w:t>
      </w:r>
      <w:r w:rsidR="00C668FA" w:rsidRPr="00C668FA">
        <w:t>20</w:t>
      </w:r>
      <w:r w:rsidRPr="00C668FA">
        <w:t>/2022).</w:t>
      </w:r>
    </w:p>
  </w:footnote>
  <w:footnote w:id="7">
    <w:p w14:paraId="39240C54" w14:textId="46D6E2F0" w:rsidR="006D148F" w:rsidRPr="00AE1369" w:rsidRDefault="006D148F" w:rsidP="00283A77">
      <w:pPr>
        <w:pStyle w:val="FootnoteText"/>
      </w:pPr>
      <w:r w:rsidRPr="00AE1369">
        <w:rPr>
          <w:rStyle w:val="FootnoteReference"/>
        </w:rPr>
        <w:footnoteRef/>
      </w:r>
      <w:r w:rsidRPr="00AE1369">
        <w:t xml:space="preserve">  15 U</w:t>
      </w:r>
      <w:r w:rsidR="006A12F1">
        <w:t>SC Section</w:t>
      </w:r>
      <w:r w:rsidRPr="00AE1369">
        <w:t xml:space="preserve"> 1637(c)(8).</w:t>
      </w:r>
    </w:p>
  </w:footnote>
  <w:footnote w:id="8">
    <w:p w14:paraId="36F9B6DA" w14:textId="1BA5A9F2" w:rsidR="006D148F" w:rsidRPr="00AE1369" w:rsidRDefault="006D148F" w:rsidP="00283A77">
      <w:pPr>
        <w:pStyle w:val="FootnoteText"/>
      </w:pPr>
      <w:r w:rsidRPr="00AE1369">
        <w:rPr>
          <w:rStyle w:val="FootnoteReference"/>
        </w:rPr>
        <w:footnoteRef/>
      </w:r>
      <w:r w:rsidRPr="00AE1369">
        <w:t xml:space="preserve"> Dodd-Frank Act, </w:t>
      </w:r>
      <w:r w:rsidR="00A63E67">
        <w:t>Section</w:t>
      </w:r>
      <w:r w:rsidRPr="00AE1369">
        <w:t xml:space="preserve"> 1013(b)(1)(B).</w:t>
      </w:r>
    </w:p>
  </w:footnote>
  <w:footnote w:id="9">
    <w:p w14:paraId="24E895D9" w14:textId="40A5E72A" w:rsidR="006D148F" w:rsidRPr="00AE1369" w:rsidRDefault="006D148F" w:rsidP="00283A77">
      <w:pPr>
        <w:pStyle w:val="FootnoteText"/>
        <w:rPr>
          <w:i/>
        </w:rPr>
      </w:pPr>
      <w:r w:rsidRPr="00AE1369">
        <w:rPr>
          <w:rStyle w:val="FootnoteReference"/>
        </w:rPr>
        <w:footnoteRef/>
      </w:r>
      <w:r w:rsidRPr="00AE1369">
        <w:t xml:space="preserve"> </w:t>
      </w:r>
      <w:r w:rsidRPr="00AE1369">
        <w:rPr>
          <w:i/>
        </w:rPr>
        <w:t>Id.</w:t>
      </w:r>
      <w:r w:rsidRPr="00AE1369">
        <w:t xml:space="preserve"> </w:t>
      </w:r>
      <w:r w:rsidR="00A63E67">
        <w:t>Section</w:t>
      </w:r>
      <w:r w:rsidRPr="00AE1369">
        <w:t xml:space="preserve"> 1013(b)(2).</w:t>
      </w:r>
    </w:p>
  </w:footnote>
  <w:footnote w:id="10">
    <w:p w14:paraId="09C978B5" w14:textId="1288E2C3" w:rsidR="006D148F" w:rsidRPr="00AE1369" w:rsidRDefault="006D148F" w:rsidP="00283A77">
      <w:pPr>
        <w:pStyle w:val="FootnoteText"/>
      </w:pPr>
      <w:r w:rsidRPr="00AE1369">
        <w:rPr>
          <w:rStyle w:val="FootnoteReference"/>
        </w:rPr>
        <w:footnoteRef/>
      </w:r>
      <w:r w:rsidRPr="00AE1369">
        <w:t xml:space="preserve"> </w:t>
      </w:r>
      <w:r w:rsidRPr="00AE1369">
        <w:rPr>
          <w:i/>
        </w:rPr>
        <w:t>Id.</w:t>
      </w:r>
      <w:r w:rsidRPr="00AE1369">
        <w:t xml:space="preserve"> </w:t>
      </w:r>
      <w:r w:rsidR="00A63E67">
        <w:t>Section</w:t>
      </w:r>
      <w:r w:rsidRPr="00AE1369">
        <w:t xml:space="preserve"> 1021(c)(3).</w:t>
      </w:r>
    </w:p>
  </w:footnote>
  <w:footnote w:id="11">
    <w:p w14:paraId="11286730" w14:textId="1E74D55E" w:rsidR="006D148F" w:rsidRPr="00AE1369" w:rsidRDefault="006D148F" w:rsidP="00283A77">
      <w:pPr>
        <w:pStyle w:val="FootnoteText"/>
      </w:pPr>
      <w:r w:rsidRPr="00AE1369">
        <w:rPr>
          <w:rStyle w:val="FootnoteReference"/>
        </w:rPr>
        <w:footnoteRef/>
      </w:r>
      <w:r w:rsidRPr="00AE1369">
        <w:t xml:space="preserve"> </w:t>
      </w:r>
      <w:r w:rsidRPr="00AE1369">
        <w:rPr>
          <w:i/>
        </w:rPr>
        <w:t>Id.</w:t>
      </w:r>
      <w:r w:rsidRPr="00AE1369">
        <w:t xml:space="preserve"> </w:t>
      </w:r>
      <w:r w:rsidR="00A63E67">
        <w:t>Section</w:t>
      </w:r>
      <w:r w:rsidRPr="00AE1369">
        <w:t xml:space="preserve"> 1013(d)(1).</w:t>
      </w:r>
    </w:p>
  </w:footnote>
  <w:footnote w:id="12">
    <w:p w14:paraId="71F5C1DC" w14:textId="678F6B3A" w:rsidR="00A9497E" w:rsidRPr="00AE1369" w:rsidRDefault="00A9497E">
      <w:pPr>
        <w:pStyle w:val="FootnoteText"/>
      </w:pPr>
      <w:r w:rsidRPr="00AE1369">
        <w:rPr>
          <w:rStyle w:val="FootnoteReference"/>
        </w:rPr>
        <w:footnoteRef/>
      </w:r>
      <w:r w:rsidRPr="00AE1369">
        <w:t xml:space="preserve"> </w:t>
      </w:r>
      <w:hyperlink r:id="rId1" w:history="1">
        <w:r w:rsidRPr="00AE1369">
          <w:rPr>
            <w:rStyle w:val="Hyperlink"/>
          </w:rPr>
          <w:t>Executive Order On Advancing Racial Equity and Support for Underserved Communities Through the Federal Government</w:t>
        </w:r>
        <w:r w:rsidR="00F1379B" w:rsidRPr="00AE1369">
          <w:rPr>
            <w:rStyle w:val="Hyperlink"/>
          </w:rPr>
          <w:t>;</w:t>
        </w:r>
      </w:hyperlink>
      <w:r w:rsidR="00F1379B" w:rsidRPr="00AE1369">
        <w:t xml:space="preserve"> </w:t>
      </w:r>
      <w:hyperlink r:id="rId2" w:history="1">
        <w:r w:rsidR="00F1379B" w:rsidRPr="00AE1369">
          <w:rPr>
            <w:rStyle w:val="Hyperlink"/>
          </w:rPr>
          <w:t>Executive Order on Preventing and Combating Discrimination on the Basis of Gender Identity or Sexual Orientation</w:t>
        </w:r>
      </w:hyperlink>
      <w:r w:rsidR="00F1379B" w:rsidRPr="00AE1369">
        <w:t xml:space="preserve"> </w:t>
      </w:r>
    </w:p>
  </w:footnote>
  <w:footnote w:id="13">
    <w:p w14:paraId="2A6562B1" w14:textId="4D963F4A" w:rsidR="006D148F" w:rsidRPr="00AE1369" w:rsidRDefault="006D148F" w:rsidP="00283A77">
      <w:pPr>
        <w:pStyle w:val="FootnoteText"/>
      </w:pPr>
      <w:r w:rsidRPr="00AE1369">
        <w:rPr>
          <w:rStyle w:val="FootnoteReference"/>
        </w:rPr>
        <w:footnoteRef/>
      </w:r>
      <w:r w:rsidRPr="00AE1369">
        <w:t xml:space="preserve"> 78 F</w:t>
      </w:r>
      <w:r w:rsidR="00DC68CE">
        <w:t xml:space="preserve">R </w:t>
      </w:r>
      <w:r w:rsidRPr="00AE1369">
        <w:t xml:space="preserve">21218 </w:t>
      </w:r>
      <w:r w:rsidR="00DC68CE">
        <w:t>(4/</w:t>
      </w:r>
      <w:r w:rsidRPr="00AE1369">
        <w:t>10</w:t>
      </w:r>
      <w:r w:rsidR="00DC68CE">
        <w:t>/</w:t>
      </w:r>
      <w:r w:rsidRPr="00AE1369">
        <w:t>2013)</w:t>
      </w:r>
      <w:r w:rsidRPr="00DC68CE">
        <w:t xml:space="preserve">, available at </w:t>
      </w:r>
      <w:r w:rsidRPr="00AE1369">
        <w:t>https://www.federalregister.gov/articles/2013/04/10/2013-07569/disclosure-of-consumer-complaint-data.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1924E" w14:textId="670E4ACB" w:rsidR="006D148F" w:rsidRDefault="006D148F">
    <w:pPr>
      <w:pStyle w:val="Header"/>
    </w:pPr>
    <w:r>
      <w:t>Generic Information Collection Plan for Consumer Complaint and Information Collection System (Testing and Feedback)</w:t>
    </w:r>
  </w:p>
  <w:p w14:paraId="55C694D9" w14:textId="667C87C8" w:rsidR="006D148F" w:rsidRDefault="006D148F">
    <w:pPr>
      <w:pStyle w:val="Header"/>
    </w:pPr>
    <w:r>
      <w:t>OMB Control Number: 3170-0042</w:t>
    </w:r>
  </w:p>
  <w:p w14:paraId="3E4932DB" w14:textId="6B35A28E" w:rsidR="006D148F" w:rsidRDefault="006D148F">
    <w:pPr>
      <w:pStyle w:val="Header"/>
    </w:pPr>
    <w:r>
      <w:t>OMB Expiration Date: 5/31/2022</w:t>
    </w:r>
  </w:p>
  <w:p w14:paraId="1930D639" w14:textId="77777777" w:rsidR="006D148F" w:rsidRDefault="006D148F" w:rsidP="00F52D42">
    <w:pPr>
      <w:pStyle w:val="Header"/>
      <w:tabs>
        <w:tab w:val="clear" w:pos="4680"/>
        <w:tab w:val="clear" w:pos="9360"/>
        <w:tab w:val="left" w:pos="652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0B63"/>
    <w:multiLevelType w:val="hybridMultilevel"/>
    <w:tmpl w:val="018A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50A21"/>
    <w:multiLevelType w:val="hybridMultilevel"/>
    <w:tmpl w:val="C8E2F8C2"/>
    <w:lvl w:ilvl="0" w:tplc="08B2F70A">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5725C"/>
    <w:multiLevelType w:val="hybridMultilevel"/>
    <w:tmpl w:val="F8A09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A0502"/>
    <w:multiLevelType w:val="hybridMultilevel"/>
    <w:tmpl w:val="9A7E83D4"/>
    <w:lvl w:ilvl="0" w:tplc="0409000F">
      <w:start w:val="1"/>
      <w:numFmt w:val="decimal"/>
      <w:lvlText w:val="%1."/>
      <w:lvlJc w:val="left"/>
      <w:pPr>
        <w:ind w:left="720" w:hanging="360"/>
      </w:pPr>
      <w:rPr>
        <w:rFonts w:hint="default"/>
      </w:rPr>
    </w:lvl>
    <w:lvl w:ilvl="1" w:tplc="5B880E40">
      <w:start w:val="1"/>
      <w:numFmt w:val="bullet"/>
      <w:lvlText w:val=""/>
      <w:lvlJc w:val="left"/>
      <w:pPr>
        <w:ind w:left="1260" w:hanging="360"/>
      </w:pPr>
      <w:rPr>
        <w:rFonts w:ascii="Wingdings" w:hAnsi="Wingdings" w:hint="default"/>
        <w:color w:val="BFBFBF"/>
      </w:rPr>
    </w:lvl>
    <w:lvl w:ilvl="2" w:tplc="1B165A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6564B"/>
    <w:multiLevelType w:val="hybridMultilevel"/>
    <w:tmpl w:val="86AA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95B5C"/>
    <w:multiLevelType w:val="hybridMultilevel"/>
    <w:tmpl w:val="1FD8E366"/>
    <w:lvl w:ilvl="0" w:tplc="E7A08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D614D"/>
    <w:multiLevelType w:val="multilevel"/>
    <w:tmpl w:val="33F4900E"/>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26D16241"/>
    <w:multiLevelType w:val="hybridMultilevel"/>
    <w:tmpl w:val="630EAE52"/>
    <w:lvl w:ilvl="0" w:tplc="8D42B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A665DC"/>
    <w:multiLevelType w:val="hybridMultilevel"/>
    <w:tmpl w:val="2DC0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75698"/>
    <w:multiLevelType w:val="hybridMultilevel"/>
    <w:tmpl w:val="816A664C"/>
    <w:lvl w:ilvl="0" w:tplc="0A80373E">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tplc="C32E74B6">
      <w:numFmt w:val="bullet"/>
      <w:lvlText w:val=""/>
      <w:lvlJc w:val="left"/>
      <w:pPr>
        <w:ind w:left="940" w:hanging="360"/>
      </w:pPr>
      <w:rPr>
        <w:rFonts w:ascii="Symbol" w:eastAsia="Symbol" w:hAnsi="Symbol" w:cs="Symbol" w:hint="default"/>
        <w:w w:val="100"/>
        <w:sz w:val="24"/>
        <w:szCs w:val="24"/>
      </w:rPr>
    </w:lvl>
    <w:lvl w:ilvl="2" w:tplc="D23E126E">
      <w:numFmt w:val="bullet"/>
      <w:lvlText w:val="•"/>
      <w:lvlJc w:val="left"/>
      <w:pPr>
        <w:ind w:left="1924" w:hanging="360"/>
      </w:pPr>
      <w:rPr>
        <w:rFonts w:hint="default"/>
      </w:rPr>
    </w:lvl>
    <w:lvl w:ilvl="3" w:tplc="6822763A">
      <w:numFmt w:val="bullet"/>
      <w:lvlText w:val="•"/>
      <w:lvlJc w:val="left"/>
      <w:pPr>
        <w:ind w:left="2908" w:hanging="360"/>
      </w:pPr>
      <w:rPr>
        <w:rFonts w:hint="default"/>
      </w:rPr>
    </w:lvl>
    <w:lvl w:ilvl="4" w:tplc="11683F90">
      <w:numFmt w:val="bullet"/>
      <w:lvlText w:val="•"/>
      <w:lvlJc w:val="left"/>
      <w:pPr>
        <w:ind w:left="3893" w:hanging="360"/>
      </w:pPr>
      <w:rPr>
        <w:rFonts w:hint="default"/>
      </w:rPr>
    </w:lvl>
    <w:lvl w:ilvl="5" w:tplc="CAFCD7C4">
      <w:numFmt w:val="bullet"/>
      <w:lvlText w:val="•"/>
      <w:lvlJc w:val="left"/>
      <w:pPr>
        <w:ind w:left="4877" w:hanging="360"/>
      </w:pPr>
      <w:rPr>
        <w:rFonts w:hint="default"/>
      </w:rPr>
    </w:lvl>
    <w:lvl w:ilvl="6" w:tplc="144C2892">
      <w:numFmt w:val="bullet"/>
      <w:lvlText w:val="•"/>
      <w:lvlJc w:val="left"/>
      <w:pPr>
        <w:ind w:left="5862" w:hanging="360"/>
      </w:pPr>
      <w:rPr>
        <w:rFonts w:hint="default"/>
      </w:rPr>
    </w:lvl>
    <w:lvl w:ilvl="7" w:tplc="EEE69CFA">
      <w:numFmt w:val="bullet"/>
      <w:lvlText w:val="•"/>
      <w:lvlJc w:val="left"/>
      <w:pPr>
        <w:ind w:left="6846" w:hanging="360"/>
      </w:pPr>
      <w:rPr>
        <w:rFonts w:hint="default"/>
      </w:rPr>
    </w:lvl>
    <w:lvl w:ilvl="8" w:tplc="AB320F30">
      <w:numFmt w:val="bullet"/>
      <w:lvlText w:val="•"/>
      <w:lvlJc w:val="left"/>
      <w:pPr>
        <w:ind w:left="7831" w:hanging="360"/>
      </w:pPr>
      <w:rPr>
        <w:rFonts w:hint="default"/>
      </w:rPr>
    </w:lvl>
  </w:abstractNum>
  <w:abstractNum w:abstractNumId="11" w15:restartNumberingAfterBreak="0">
    <w:nsid w:val="37FD31F7"/>
    <w:multiLevelType w:val="hybridMultilevel"/>
    <w:tmpl w:val="830CDCF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26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3" w15:restartNumberingAfterBreak="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4" w15:restartNumberingAfterBreak="0">
    <w:nsid w:val="51056391"/>
    <w:multiLevelType w:val="hybridMultilevel"/>
    <w:tmpl w:val="E97E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771B42"/>
    <w:multiLevelType w:val="hybridMultilevel"/>
    <w:tmpl w:val="D9DC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7" w15:restartNumberingAfterBreak="0">
    <w:nsid w:val="532E4C40"/>
    <w:multiLevelType w:val="hybridMultilevel"/>
    <w:tmpl w:val="F7C4A6B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9" w15:restartNumberingAfterBreak="0">
    <w:nsid w:val="57146EB2"/>
    <w:multiLevelType w:val="hybridMultilevel"/>
    <w:tmpl w:val="0A1EA450"/>
    <w:lvl w:ilvl="0" w:tplc="FA925CBA">
      <w:start w:val="1"/>
      <w:numFmt w:val="bullet"/>
      <w:lvlText w:val=""/>
      <w:lvlJc w:val="left"/>
      <w:pPr>
        <w:tabs>
          <w:tab w:val="num" w:pos="720"/>
        </w:tabs>
        <w:ind w:left="720" w:hanging="360"/>
      </w:pPr>
      <w:rPr>
        <w:rFonts w:ascii="Wingdings" w:hAnsi="Wingdings" w:hint="default"/>
      </w:rPr>
    </w:lvl>
    <w:lvl w:ilvl="1" w:tplc="D52C72E6">
      <w:start w:val="1"/>
      <w:numFmt w:val="bullet"/>
      <w:lvlText w:val=""/>
      <w:lvlJc w:val="left"/>
      <w:pPr>
        <w:tabs>
          <w:tab w:val="num" w:pos="1440"/>
        </w:tabs>
        <w:ind w:left="1440" w:hanging="360"/>
      </w:pPr>
      <w:rPr>
        <w:rFonts w:ascii="Wingdings" w:hAnsi="Wingdings" w:hint="default"/>
      </w:rPr>
    </w:lvl>
    <w:lvl w:ilvl="2" w:tplc="83026172" w:tentative="1">
      <w:start w:val="1"/>
      <w:numFmt w:val="bullet"/>
      <w:lvlText w:val=""/>
      <w:lvlJc w:val="left"/>
      <w:pPr>
        <w:tabs>
          <w:tab w:val="num" w:pos="2160"/>
        </w:tabs>
        <w:ind w:left="2160" w:hanging="360"/>
      </w:pPr>
      <w:rPr>
        <w:rFonts w:ascii="Wingdings" w:hAnsi="Wingdings" w:hint="default"/>
      </w:rPr>
    </w:lvl>
    <w:lvl w:ilvl="3" w:tplc="B68CC246" w:tentative="1">
      <w:start w:val="1"/>
      <w:numFmt w:val="bullet"/>
      <w:lvlText w:val=""/>
      <w:lvlJc w:val="left"/>
      <w:pPr>
        <w:tabs>
          <w:tab w:val="num" w:pos="2880"/>
        </w:tabs>
        <w:ind w:left="2880" w:hanging="360"/>
      </w:pPr>
      <w:rPr>
        <w:rFonts w:ascii="Wingdings" w:hAnsi="Wingdings" w:hint="default"/>
      </w:rPr>
    </w:lvl>
    <w:lvl w:ilvl="4" w:tplc="B04831E6" w:tentative="1">
      <w:start w:val="1"/>
      <w:numFmt w:val="bullet"/>
      <w:lvlText w:val=""/>
      <w:lvlJc w:val="left"/>
      <w:pPr>
        <w:tabs>
          <w:tab w:val="num" w:pos="3600"/>
        </w:tabs>
        <w:ind w:left="3600" w:hanging="360"/>
      </w:pPr>
      <w:rPr>
        <w:rFonts w:ascii="Wingdings" w:hAnsi="Wingdings" w:hint="default"/>
      </w:rPr>
    </w:lvl>
    <w:lvl w:ilvl="5" w:tplc="BE0E9AEC" w:tentative="1">
      <w:start w:val="1"/>
      <w:numFmt w:val="bullet"/>
      <w:lvlText w:val=""/>
      <w:lvlJc w:val="left"/>
      <w:pPr>
        <w:tabs>
          <w:tab w:val="num" w:pos="4320"/>
        </w:tabs>
        <w:ind w:left="4320" w:hanging="360"/>
      </w:pPr>
      <w:rPr>
        <w:rFonts w:ascii="Wingdings" w:hAnsi="Wingdings" w:hint="default"/>
      </w:rPr>
    </w:lvl>
    <w:lvl w:ilvl="6" w:tplc="B65A5050" w:tentative="1">
      <w:start w:val="1"/>
      <w:numFmt w:val="bullet"/>
      <w:lvlText w:val=""/>
      <w:lvlJc w:val="left"/>
      <w:pPr>
        <w:tabs>
          <w:tab w:val="num" w:pos="5040"/>
        </w:tabs>
        <w:ind w:left="5040" w:hanging="360"/>
      </w:pPr>
      <w:rPr>
        <w:rFonts w:ascii="Wingdings" w:hAnsi="Wingdings" w:hint="default"/>
      </w:rPr>
    </w:lvl>
    <w:lvl w:ilvl="7" w:tplc="8190D866" w:tentative="1">
      <w:start w:val="1"/>
      <w:numFmt w:val="bullet"/>
      <w:lvlText w:val=""/>
      <w:lvlJc w:val="left"/>
      <w:pPr>
        <w:tabs>
          <w:tab w:val="num" w:pos="5760"/>
        </w:tabs>
        <w:ind w:left="5760" w:hanging="360"/>
      </w:pPr>
      <w:rPr>
        <w:rFonts w:ascii="Wingdings" w:hAnsi="Wingdings" w:hint="default"/>
      </w:rPr>
    </w:lvl>
    <w:lvl w:ilvl="8" w:tplc="56008FF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21" w15:restartNumberingAfterBreak="0">
    <w:nsid w:val="5EFA5B7C"/>
    <w:multiLevelType w:val="hybridMultilevel"/>
    <w:tmpl w:val="CD8C321C"/>
    <w:lvl w:ilvl="0" w:tplc="18D61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9E336C"/>
    <w:multiLevelType w:val="hybridMultilevel"/>
    <w:tmpl w:val="560EE46A"/>
    <w:lvl w:ilvl="0" w:tplc="4F96A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A909C0"/>
    <w:multiLevelType w:val="hybridMultilevel"/>
    <w:tmpl w:val="6DD4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25" w15:restartNumberingAfterBreak="0">
    <w:nsid w:val="78E118BC"/>
    <w:multiLevelType w:val="hybridMultilevel"/>
    <w:tmpl w:val="0DF27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4"/>
  </w:num>
  <w:num w:numId="4">
    <w:abstractNumId w:val="12"/>
  </w:num>
  <w:num w:numId="5">
    <w:abstractNumId w:val="20"/>
  </w:num>
  <w:num w:numId="6">
    <w:abstractNumId w:val="18"/>
  </w:num>
  <w:num w:numId="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1"/>
  </w:num>
  <w:num w:numId="10">
    <w:abstractNumId w:val="6"/>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
  </w:num>
  <w:num w:numId="16">
    <w:abstractNumId w:val="25"/>
  </w:num>
  <w:num w:numId="17">
    <w:abstractNumId w:val="4"/>
  </w:num>
  <w:num w:numId="18">
    <w:abstractNumId w:val="10"/>
  </w:num>
  <w:num w:numId="19">
    <w:abstractNumId w:val="5"/>
  </w:num>
  <w:num w:numId="20">
    <w:abstractNumId w:val="15"/>
  </w:num>
  <w:num w:numId="21">
    <w:abstractNumId w:val="0"/>
  </w:num>
  <w:num w:numId="22">
    <w:abstractNumId w:val="19"/>
  </w:num>
  <w:num w:numId="23">
    <w:abstractNumId w:val="11"/>
  </w:num>
  <w:num w:numId="24">
    <w:abstractNumId w:val="3"/>
  </w:num>
  <w:num w:numId="25">
    <w:abstractNumId w:val="14"/>
  </w:num>
  <w:num w:numId="26">
    <w:abstractNumId w:val="7"/>
  </w:num>
  <w:num w:numId="27">
    <w:abstractNumId w:val="9"/>
  </w:num>
  <w:num w:numId="28">
    <w:abstractNumId w:val="2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936"/>
    <w:rsid w:val="000259F0"/>
    <w:rsid w:val="000267DB"/>
    <w:rsid w:val="00031AF3"/>
    <w:rsid w:val="00032848"/>
    <w:rsid w:val="00032C14"/>
    <w:rsid w:val="00034C49"/>
    <w:rsid w:val="00035E5E"/>
    <w:rsid w:val="0004229D"/>
    <w:rsid w:val="00042D79"/>
    <w:rsid w:val="0005070D"/>
    <w:rsid w:val="000533A4"/>
    <w:rsid w:val="0005687C"/>
    <w:rsid w:val="0005687E"/>
    <w:rsid w:val="00057B87"/>
    <w:rsid w:val="00060870"/>
    <w:rsid w:val="0006260A"/>
    <w:rsid w:val="0007006A"/>
    <w:rsid w:val="00071C66"/>
    <w:rsid w:val="000763B3"/>
    <w:rsid w:val="00080590"/>
    <w:rsid w:val="00080781"/>
    <w:rsid w:val="00081109"/>
    <w:rsid w:val="00082C58"/>
    <w:rsid w:val="00085264"/>
    <w:rsid w:val="00085480"/>
    <w:rsid w:val="000867EA"/>
    <w:rsid w:val="000908F4"/>
    <w:rsid w:val="00091AE1"/>
    <w:rsid w:val="00092D91"/>
    <w:rsid w:val="0009401F"/>
    <w:rsid w:val="000977B6"/>
    <w:rsid w:val="000A0D1A"/>
    <w:rsid w:val="000A44E3"/>
    <w:rsid w:val="000A694A"/>
    <w:rsid w:val="000C1729"/>
    <w:rsid w:val="000C39BD"/>
    <w:rsid w:val="000C5ED0"/>
    <w:rsid w:val="000C769F"/>
    <w:rsid w:val="000D0B4D"/>
    <w:rsid w:val="000D3E1A"/>
    <w:rsid w:val="000D74D0"/>
    <w:rsid w:val="000E038D"/>
    <w:rsid w:val="000F0A08"/>
    <w:rsid w:val="000F0DD6"/>
    <w:rsid w:val="000F5117"/>
    <w:rsid w:val="00100120"/>
    <w:rsid w:val="00101BE7"/>
    <w:rsid w:val="001020AA"/>
    <w:rsid w:val="00107CF5"/>
    <w:rsid w:val="00110F8E"/>
    <w:rsid w:val="00117CCD"/>
    <w:rsid w:val="00121446"/>
    <w:rsid w:val="001345AE"/>
    <w:rsid w:val="001346E6"/>
    <w:rsid w:val="0013576A"/>
    <w:rsid w:val="00135A84"/>
    <w:rsid w:val="00141E34"/>
    <w:rsid w:val="00143C38"/>
    <w:rsid w:val="00143D87"/>
    <w:rsid w:val="00147DF4"/>
    <w:rsid w:val="00162371"/>
    <w:rsid w:val="001639C2"/>
    <w:rsid w:val="001650D5"/>
    <w:rsid w:val="00166D3B"/>
    <w:rsid w:val="00166FBE"/>
    <w:rsid w:val="001727A9"/>
    <w:rsid w:val="00176D40"/>
    <w:rsid w:val="00177293"/>
    <w:rsid w:val="00187617"/>
    <w:rsid w:val="001912C5"/>
    <w:rsid w:val="00193AF2"/>
    <w:rsid w:val="00194264"/>
    <w:rsid w:val="00194417"/>
    <w:rsid w:val="001A1710"/>
    <w:rsid w:val="001A37AA"/>
    <w:rsid w:val="001A4DA9"/>
    <w:rsid w:val="001B12AF"/>
    <w:rsid w:val="001B50EB"/>
    <w:rsid w:val="001C1DAC"/>
    <w:rsid w:val="001C4457"/>
    <w:rsid w:val="001C59A8"/>
    <w:rsid w:val="001C716F"/>
    <w:rsid w:val="001D50E3"/>
    <w:rsid w:val="001D5558"/>
    <w:rsid w:val="001E418A"/>
    <w:rsid w:val="001E6AC5"/>
    <w:rsid w:val="001F0989"/>
    <w:rsid w:val="002001A1"/>
    <w:rsid w:val="002029FA"/>
    <w:rsid w:val="002063CD"/>
    <w:rsid w:val="00211F72"/>
    <w:rsid w:val="002153B7"/>
    <w:rsid w:val="002215EA"/>
    <w:rsid w:val="0022356F"/>
    <w:rsid w:val="0022533F"/>
    <w:rsid w:val="00226237"/>
    <w:rsid w:val="00226FC4"/>
    <w:rsid w:val="00232292"/>
    <w:rsid w:val="002341FB"/>
    <w:rsid w:val="00235BD3"/>
    <w:rsid w:val="002441CD"/>
    <w:rsid w:val="002500E9"/>
    <w:rsid w:val="002507B1"/>
    <w:rsid w:val="002509F4"/>
    <w:rsid w:val="00253FF0"/>
    <w:rsid w:val="00255107"/>
    <w:rsid w:val="00256325"/>
    <w:rsid w:val="00261FE0"/>
    <w:rsid w:val="002634D9"/>
    <w:rsid w:val="002678C2"/>
    <w:rsid w:val="00274254"/>
    <w:rsid w:val="00274CC0"/>
    <w:rsid w:val="00283A77"/>
    <w:rsid w:val="00294DF4"/>
    <w:rsid w:val="0029506E"/>
    <w:rsid w:val="002B0AB2"/>
    <w:rsid w:val="002B1598"/>
    <w:rsid w:val="002B341A"/>
    <w:rsid w:val="002B37CB"/>
    <w:rsid w:val="002B6446"/>
    <w:rsid w:val="002B7700"/>
    <w:rsid w:val="002C0DE0"/>
    <w:rsid w:val="002C126F"/>
    <w:rsid w:val="002C5F25"/>
    <w:rsid w:val="002C6BC6"/>
    <w:rsid w:val="002D0C9E"/>
    <w:rsid w:val="002D1431"/>
    <w:rsid w:val="002D19AD"/>
    <w:rsid w:val="002D2C81"/>
    <w:rsid w:val="002D5173"/>
    <w:rsid w:val="002D789D"/>
    <w:rsid w:val="002E0E6B"/>
    <w:rsid w:val="002E65EF"/>
    <w:rsid w:val="002E7B73"/>
    <w:rsid w:val="002F00DF"/>
    <w:rsid w:val="002F0CC3"/>
    <w:rsid w:val="002F17DC"/>
    <w:rsid w:val="002F2073"/>
    <w:rsid w:val="002F4F70"/>
    <w:rsid w:val="00301BD9"/>
    <w:rsid w:val="00302B1C"/>
    <w:rsid w:val="003105AC"/>
    <w:rsid w:val="00312C7C"/>
    <w:rsid w:val="00315054"/>
    <w:rsid w:val="003161D3"/>
    <w:rsid w:val="00316F7F"/>
    <w:rsid w:val="00316FE0"/>
    <w:rsid w:val="003225D2"/>
    <w:rsid w:val="00324341"/>
    <w:rsid w:val="003252C5"/>
    <w:rsid w:val="00327A0B"/>
    <w:rsid w:val="003315E6"/>
    <w:rsid w:val="0033362E"/>
    <w:rsid w:val="0033632B"/>
    <w:rsid w:val="003372E9"/>
    <w:rsid w:val="0033730C"/>
    <w:rsid w:val="00340510"/>
    <w:rsid w:val="003427C8"/>
    <w:rsid w:val="00345720"/>
    <w:rsid w:val="00353E45"/>
    <w:rsid w:val="00355492"/>
    <w:rsid w:val="003560DF"/>
    <w:rsid w:val="0036198E"/>
    <w:rsid w:val="00366EAF"/>
    <w:rsid w:val="00372F37"/>
    <w:rsid w:val="003829C0"/>
    <w:rsid w:val="00383D6C"/>
    <w:rsid w:val="0038469D"/>
    <w:rsid w:val="0038607F"/>
    <w:rsid w:val="0038749E"/>
    <w:rsid w:val="0039084D"/>
    <w:rsid w:val="003949B4"/>
    <w:rsid w:val="0039612E"/>
    <w:rsid w:val="003A1CBC"/>
    <w:rsid w:val="003A66A4"/>
    <w:rsid w:val="003B2F10"/>
    <w:rsid w:val="003B4917"/>
    <w:rsid w:val="003B759C"/>
    <w:rsid w:val="003C30A7"/>
    <w:rsid w:val="003C35E5"/>
    <w:rsid w:val="003C4F2E"/>
    <w:rsid w:val="003C7FD1"/>
    <w:rsid w:val="003D1A46"/>
    <w:rsid w:val="003D3ED3"/>
    <w:rsid w:val="003D5DBE"/>
    <w:rsid w:val="003D6C6B"/>
    <w:rsid w:val="003D6EA7"/>
    <w:rsid w:val="003E083F"/>
    <w:rsid w:val="003E34FA"/>
    <w:rsid w:val="003E4B02"/>
    <w:rsid w:val="003E6400"/>
    <w:rsid w:val="003F5311"/>
    <w:rsid w:val="003F554A"/>
    <w:rsid w:val="00410638"/>
    <w:rsid w:val="0041069F"/>
    <w:rsid w:val="004141E2"/>
    <w:rsid w:val="00415781"/>
    <w:rsid w:val="00424615"/>
    <w:rsid w:val="00426D4F"/>
    <w:rsid w:val="00427149"/>
    <w:rsid w:val="004318BF"/>
    <w:rsid w:val="00433D35"/>
    <w:rsid w:val="004342CA"/>
    <w:rsid w:val="00437248"/>
    <w:rsid w:val="00441BED"/>
    <w:rsid w:val="004438E6"/>
    <w:rsid w:val="004460F3"/>
    <w:rsid w:val="00453603"/>
    <w:rsid w:val="004614F7"/>
    <w:rsid w:val="00473ADB"/>
    <w:rsid w:val="0047444F"/>
    <w:rsid w:val="00475305"/>
    <w:rsid w:val="00477376"/>
    <w:rsid w:val="00480CA8"/>
    <w:rsid w:val="0048115C"/>
    <w:rsid w:val="00481A62"/>
    <w:rsid w:val="00482951"/>
    <w:rsid w:val="004849F2"/>
    <w:rsid w:val="00486C34"/>
    <w:rsid w:val="00486E14"/>
    <w:rsid w:val="00487A05"/>
    <w:rsid w:val="0049767C"/>
    <w:rsid w:val="004A0C5F"/>
    <w:rsid w:val="004A0CDA"/>
    <w:rsid w:val="004A3E99"/>
    <w:rsid w:val="004A5D8F"/>
    <w:rsid w:val="004A7DC4"/>
    <w:rsid w:val="004B4182"/>
    <w:rsid w:val="004B45A2"/>
    <w:rsid w:val="004B7532"/>
    <w:rsid w:val="004C0E57"/>
    <w:rsid w:val="004C77CB"/>
    <w:rsid w:val="004D4DCB"/>
    <w:rsid w:val="004D665B"/>
    <w:rsid w:val="004E1F5B"/>
    <w:rsid w:val="004F102B"/>
    <w:rsid w:val="0050587C"/>
    <w:rsid w:val="0050709A"/>
    <w:rsid w:val="00511C92"/>
    <w:rsid w:val="00513ACA"/>
    <w:rsid w:val="005148FE"/>
    <w:rsid w:val="0051614E"/>
    <w:rsid w:val="005168DD"/>
    <w:rsid w:val="00516CC6"/>
    <w:rsid w:val="0052602C"/>
    <w:rsid w:val="005270DF"/>
    <w:rsid w:val="00532872"/>
    <w:rsid w:val="00533076"/>
    <w:rsid w:val="005339D5"/>
    <w:rsid w:val="00536912"/>
    <w:rsid w:val="0054251A"/>
    <w:rsid w:val="00551E3E"/>
    <w:rsid w:val="00553771"/>
    <w:rsid w:val="00556CE2"/>
    <w:rsid w:val="005675C8"/>
    <w:rsid w:val="00567B98"/>
    <w:rsid w:val="0057278C"/>
    <w:rsid w:val="0057306A"/>
    <w:rsid w:val="00573509"/>
    <w:rsid w:val="005738D5"/>
    <w:rsid w:val="0057551F"/>
    <w:rsid w:val="005767AE"/>
    <w:rsid w:val="00577EE6"/>
    <w:rsid w:val="00584FFD"/>
    <w:rsid w:val="00592992"/>
    <w:rsid w:val="00594C60"/>
    <w:rsid w:val="00595988"/>
    <w:rsid w:val="005A1AE0"/>
    <w:rsid w:val="005A6E3E"/>
    <w:rsid w:val="005B0AA8"/>
    <w:rsid w:val="005B376B"/>
    <w:rsid w:val="005B3933"/>
    <w:rsid w:val="005B6341"/>
    <w:rsid w:val="005C4D0E"/>
    <w:rsid w:val="005D2B19"/>
    <w:rsid w:val="005D6DBE"/>
    <w:rsid w:val="005E5175"/>
    <w:rsid w:val="005F1FFC"/>
    <w:rsid w:val="005F249F"/>
    <w:rsid w:val="005F4E91"/>
    <w:rsid w:val="005F75D4"/>
    <w:rsid w:val="00600A9A"/>
    <w:rsid w:val="00607373"/>
    <w:rsid w:val="006107DA"/>
    <w:rsid w:val="006209D2"/>
    <w:rsid w:val="006213DD"/>
    <w:rsid w:val="0062368D"/>
    <w:rsid w:val="00625395"/>
    <w:rsid w:val="00626F36"/>
    <w:rsid w:val="00634112"/>
    <w:rsid w:val="00635204"/>
    <w:rsid w:val="00635257"/>
    <w:rsid w:val="00637913"/>
    <w:rsid w:val="00641707"/>
    <w:rsid w:val="00643848"/>
    <w:rsid w:val="00647E30"/>
    <w:rsid w:val="00650767"/>
    <w:rsid w:val="006532E3"/>
    <w:rsid w:val="0065680E"/>
    <w:rsid w:val="0066013B"/>
    <w:rsid w:val="0066024A"/>
    <w:rsid w:val="00661533"/>
    <w:rsid w:val="00664D05"/>
    <w:rsid w:val="00665C34"/>
    <w:rsid w:val="0068349A"/>
    <w:rsid w:val="00684367"/>
    <w:rsid w:val="00685121"/>
    <w:rsid w:val="00690B79"/>
    <w:rsid w:val="006A12F1"/>
    <w:rsid w:val="006A5577"/>
    <w:rsid w:val="006A6310"/>
    <w:rsid w:val="006B204E"/>
    <w:rsid w:val="006B7AD2"/>
    <w:rsid w:val="006C0880"/>
    <w:rsid w:val="006C2B71"/>
    <w:rsid w:val="006C511F"/>
    <w:rsid w:val="006C754A"/>
    <w:rsid w:val="006C7759"/>
    <w:rsid w:val="006C7C21"/>
    <w:rsid w:val="006D148F"/>
    <w:rsid w:val="006D1E8C"/>
    <w:rsid w:val="006D37FD"/>
    <w:rsid w:val="006D44AE"/>
    <w:rsid w:val="006D4E10"/>
    <w:rsid w:val="006D62ED"/>
    <w:rsid w:val="006E2197"/>
    <w:rsid w:val="006E3D4D"/>
    <w:rsid w:val="006E6951"/>
    <w:rsid w:val="006E7CDB"/>
    <w:rsid w:val="006F0A01"/>
    <w:rsid w:val="006F0AC3"/>
    <w:rsid w:val="006F13DD"/>
    <w:rsid w:val="006F2252"/>
    <w:rsid w:val="006F2E5C"/>
    <w:rsid w:val="007011FA"/>
    <w:rsid w:val="007049C9"/>
    <w:rsid w:val="00704A3C"/>
    <w:rsid w:val="007059EE"/>
    <w:rsid w:val="00706218"/>
    <w:rsid w:val="00710CC5"/>
    <w:rsid w:val="00713F31"/>
    <w:rsid w:val="00715C7F"/>
    <w:rsid w:val="00723C59"/>
    <w:rsid w:val="00725659"/>
    <w:rsid w:val="007319B7"/>
    <w:rsid w:val="00732F4F"/>
    <w:rsid w:val="00733C46"/>
    <w:rsid w:val="00734357"/>
    <w:rsid w:val="007355AA"/>
    <w:rsid w:val="007374D6"/>
    <w:rsid w:val="00744ECB"/>
    <w:rsid w:val="0074629B"/>
    <w:rsid w:val="00747C7C"/>
    <w:rsid w:val="00751358"/>
    <w:rsid w:val="0076218A"/>
    <w:rsid w:val="00763D5B"/>
    <w:rsid w:val="00765C7B"/>
    <w:rsid w:val="007704C7"/>
    <w:rsid w:val="00777AEF"/>
    <w:rsid w:val="007865F5"/>
    <w:rsid w:val="00791AC9"/>
    <w:rsid w:val="0079339F"/>
    <w:rsid w:val="00793479"/>
    <w:rsid w:val="0079547E"/>
    <w:rsid w:val="00797002"/>
    <w:rsid w:val="007A30EB"/>
    <w:rsid w:val="007A4114"/>
    <w:rsid w:val="007A6EE8"/>
    <w:rsid w:val="007B1176"/>
    <w:rsid w:val="007B3FB9"/>
    <w:rsid w:val="007C0923"/>
    <w:rsid w:val="007C3C35"/>
    <w:rsid w:val="007C5D7B"/>
    <w:rsid w:val="007C7E60"/>
    <w:rsid w:val="007D3B60"/>
    <w:rsid w:val="007D3D93"/>
    <w:rsid w:val="007E1C1C"/>
    <w:rsid w:val="007E7E37"/>
    <w:rsid w:val="007F3057"/>
    <w:rsid w:val="007F35B6"/>
    <w:rsid w:val="007F4556"/>
    <w:rsid w:val="00804004"/>
    <w:rsid w:val="00807100"/>
    <w:rsid w:val="00810FF4"/>
    <w:rsid w:val="0081330B"/>
    <w:rsid w:val="00814193"/>
    <w:rsid w:val="00816792"/>
    <w:rsid w:val="00816AA8"/>
    <w:rsid w:val="008223AD"/>
    <w:rsid w:val="00823FDC"/>
    <w:rsid w:val="00837411"/>
    <w:rsid w:val="008458FF"/>
    <w:rsid w:val="00845C4C"/>
    <w:rsid w:val="00853EA5"/>
    <w:rsid w:val="008551ED"/>
    <w:rsid w:val="00855BCD"/>
    <w:rsid w:val="00855E15"/>
    <w:rsid w:val="008573A2"/>
    <w:rsid w:val="008576C7"/>
    <w:rsid w:val="0086561F"/>
    <w:rsid w:val="00866898"/>
    <w:rsid w:val="0086716D"/>
    <w:rsid w:val="008671F9"/>
    <w:rsid w:val="00875587"/>
    <w:rsid w:val="00875B65"/>
    <w:rsid w:val="0087682B"/>
    <w:rsid w:val="0088222A"/>
    <w:rsid w:val="00882935"/>
    <w:rsid w:val="00883DA5"/>
    <w:rsid w:val="008964E9"/>
    <w:rsid w:val="008970DC"/>
    <w:rsid w:val="008A53D2"/>
    <w:rsid w:val="008A6525"/>
    <w:rsid w:val="008B001F"/>
    <w:rsid w:val="008B2CB9"/>
    <w:rsid w:val="008B40CD"/>
    <w:rsid w:val="008B54DF"/>
    <w:rsid w:val="008B763F"/>
    <w:rsid w:val="008C44A7"/>
    <w:rsid w:val="008C7818"/>
    <w:rsid w:val="008D3161"/>
    <w:rsid w:val="008D38AE"/>
    <w:rsid w:val="008D3940"/>
    <w:rsid w:val="008D61D6"/>
    <w:rsid w:val="008E164F"/>
    <w:rsid w:val="008E3E92"/>
    <w:rsid w:val="008E5D30"/>
    <w:rsid w:val="008E65AC"/>
    <w:rsid w:val="008E777F"/>
    <w:rsid w:val="008F1198"/>
    <w:rsid w:val="008F491E"/>
    <w:rsid w:val="0090025B"/>
    <w:rsid w:val="00904477"/>
    <w:rsid w:val="00906EB3"/>
    <w:rsid w:val="0092092B"/>
    <w:rsid w:val="00923029"/>
    <w:rsid w:val="0093215E"/>
    <w:rsid w:val="009336CF"/>
    <w:rsid w:val="009454AE"/>
    <w:rsid w:val="00954684"/>
    <w:rsid w:val="00955CDF"/>
    <w:rsid w:val="00960A17"/>
    <w:rsid w:val="0096415E"/>
    <w:rsid w:val="009664D0"/>
    <w:rsid w:val="00967432"/>
    <w:rsid w:val="0097138B"/>
    <w:rsid w:val="0097154F"/>
    <w:rsid w:val="00973293"/>
    <w:rsid w:val="00977470"/>
    <w:rsid w:val="009827D3"/>
    <w:rsid w:val="00983E6B"/>
    <w:rsid w:val="00987F64"/>
    <w:rsid w:val="00990CFC"/>
    <w:rsid w:val="009936CA"/>
    <w:rsid w:val="00994943"/>
    <w:rsid w:val="00996A0D"/>
    <w:rsid w:val="00996A0E"/>
    <w:rsid w:val="009A13BD"/>
    <w:rsid w:val="009A641F"/>
    <w:rsid w:val="009B1D6C"/>
    <w:rsid w:val="009B30FA"/>
    <w:rsid w:val="009B3CA2"/>
    <w:rsid w:val="009C10E1"/>
    <w:rsid w:val="009C5ABF"/>
    <w:rsid w:val="009C7539"/>
    <w:rsid w:val="009D195A"/>
    <w:rsid w:val="009D33D2"/>
    <w:rsid w:val="009D412E"/>
    <w:rsid w:val="009D510E"/>
    <w:rsid w:val="009D7886"/>
    <w:rsid w:val="009E1042"/>
    <w:rsid w:val="009E47CC"/>
    <w:rsid w:val="009E76E0"/>
    <w:rsid w:val="009F0434"/>
    <w:rsid w:val="009F0BC4"/>
    <w:rsid w:val="009F3A08"/>
    <w:rsid w:val="009F4469"/>
    <w:rsid w:val="009F49A3"/>
    <w:rsid w:val="009F67B7"/>
    <w:rsid w:val="009F6E69"/>
    <w:rsid w:val="009F7E64"/>
    <w:rsid w:val="00A01E62"/>
    <w:rsid w:val="00A0364C"/>
    <w:rsid w:val="00A0474C"/>
    <w:rsid w:val="00A051AC"/>
    <w:rsid w:val="00A06C9A"/>
    <w:rsid w:val="00A13C84"/>
    <w:rsid w:val="00A143F9"/>
    <w:rsid w:val="00A2719D"/>
    <w:rsid w:val="00A30AA0"/>
    <w:rsid w:val="00A358CE"/>
    <w:rsid w:val="00A36144"/>
    <w:rsid w:val="00A37D17"/>
    <w:rsid w:val="00A4452C"/>
    <w:rsid w:val="00A4687E"/>
    <w:rsid w:val="00A46F89"/>
    <w:rsid w:val="00A55878"/>
    <w:rsid w:val="00A612B0"/>
    <w:rsid w:val="00A622E9"/>
    <w:rsid w:val="00A62BF9"/>
    <w:rsid w:val="00A637BE"/>
    <w:rsid w:val="00A63E67"/>
    <w:rsid w:val="00A67A6C"/>
    <w:rsid w:val="00A71151"/>
    <w:rsid w:val="00A77B33"/>
    <w:rsid w:val="00A818AE"/>
    <w:rsid w:val="00A81BA1"/>
    <w:rsid w:val="00A81DBC"/>
    <w:rsid w:val="00A83ED2"/>
    <w:rsid w:val="00A84128"/>
    <w:rsid w:val="00A84977"/>
    <w:rsid w:val="00A90DA3"/>
    <w:rsid w:val="00A912D8"/>
    <w:rsid w:val="00A92A19"/>
    <w:rsid w:val="00A93967"/>
    <w:rsid w:val="00A9497E"/>
    <w:rsid w:val="00AA52D4"/>
    <w:rsid w:val="00AA5486"/>
    <w:rsid w:val="00AA633C"/>
    <w:rsid w:val="00AA66A0"/>
    <w:rsid w:val="00AA6EC1"/>
    <w:rsid w:val="00AC2DFF"/>
    <w:rsid w:val="00AC7216"/>
    <w:rsid w:val="00AD0BCB"/>
    <w:rsid w:val="00AD2890"/>
    <w:rsid w:val="00AD4B12"/>
    <w:rsid w:val="00AD7C75"/>
    <w:rsid w:val="00AE1369"/>
    <w:rsid w:val="00AE1E64"/>
    <w:rsid w:val="00AE210E"/>
    <w:rsid w:val="00AF1678"/>
    <w:rsid w:val="00AF51D0"/>
    <w:rsid w:val="00B0041E"/>
    <w:rsid w:val="00B02F1E"/>
    <w:rsid w:val="00B03988"/>
    <w:rsid w:val="00B07D28"/>
    <w:rsid w:val="00B10271"/>
    <w:rsid w:val="00B16815"/>
    <w:rsid w:val="00B2200B"/>
    <w:rsid w:val="00B235A3"/>
    <w:rsid w:val="00B258FB"/>
    <w:rsid w:val="00B27581"/>
    <w:rsid w:val="00B30326"/>
    <w:rsid w:val="00B30A04"/>
    <w:rsid w:val="00B30BA4"/>
    <w:rsid w:val="00B325E4"/>
    <w:rsid w:val="00B35205"/>
    <w:rsid w:val="00B43E7B"/>
    <w:rsid w:val="00B46FF0"/>
    <w:rsid w:val="00B53832"/>
    <w:rsid w:val="00B61DD6"/>
    <w:rsid w:val="00B6777B"/>
    <w:rsid w:val="00B7194A"/>
    <w:rsid w:val="00B72D8A"/>
    <w:rsid w:val="00B76BED"/>
    <w:rsid w:val="00B804F3"/>
    <w:rsid w:val="00B85F31"/>
    <w:rsid w:val="00B860C7"/>
    <w:rsid w:val="00B9298A"/>
    <w:rsid w:val="00B92BDE"/>
    <w:rsid w:val="00B96DD6"/>
    <w:rsid w:val="00B974E3"/>
    <w:rsid w:val="00BA138F"/>
    <w:rsid w:val="00BA1433"/>
    <w:rsid w:val="00BA4383"/>
    <w:rsid w:val="00BB0D87"/>
    <w:rsid w:val="00BC0110"/>
    <w:rsid w:val="00BC10FD"/>
    <w:rsid w:val="00BC16BB"/>
    <w:rsid w:val="00BC56A2"/>
    <w:rsid w:val="00BC5B56"/>
    <w:rsid w:val="00BD42E6"/>
    <w:rsid w:val="00BD440C"/>
    <w:rsid w:val="00BD596F"/>
    <w:rsid w:val="00BD634B"/>
    <w:rsid w:val="00BD789B"/>
    <w:rsid w:val="00BD7D0B"/>
    <w:rsid w:val="00BE4034"/>
    <w:rsid w:val="00BE414D"/>
    <w:rsid w:val="00BE61FE"/>
    <w:rsid w:val="00BF3B8E"/>
    <w:rsid w:val="00BF468C"/>
    <w:rsid w:val="00BF6D43"/>
    <w:rsid w:val="00C01BBE"/>
    <w:rsid w:val="00C0290B"/>
    <w:rsid w:val="00C05B3E"/>
    <w:rsid w:val="00C151C2"/>
    <w:rsid w:val="00C26349"/>
    <w:rsid w:val="00C26D14"/>
    <w:rsid w:val="00C32136"/>
    <w:rsid w:val="00C3225C"/>
    <w:rsid w:val="00C34282"/>
    <w:rsid w:val="00C34CD3"/>
    <w:rsid w:val="00C36B84"/>
    <w:rsid w:val="00C37D4E"/>
    <w:rsid w:val="00C40509"/>
    <w:rsid w:val="00C40CD8"/>
    <w:rsid w:val="00C41186"/>
    <w:rsid w:val="00C4132E"/>
    <w:rsid w:val="00C41820"/>
    <w:rsid w:val="00C44DA9"/>
    <w:rsid w:val="00C51760"/>
    <w:rsid w:val="00C523D6"/>
    <w:rsid w:val="00C602F5"/>
    <w:rsid w:val="00C62364"/>
    <w:rsid w:val="00C6633F"/>
    <w:rsid w:val="00C668FA"/>
    <w:rsid w:val="00C701D2"/>
    <w:rsid w:val="00C70859"/>
    <w:rsid w:val="00C708D7"/>
    <w:rsid w:val="00C7489E"/>
    <w:rsid w:val="00C7631A"/>
    <w:rsid w:val="00C76EC2"/>
    <w:rsid w:val="00C801D4"/>
    <w:rsid w:val="00C812E5"/>
    <w:rsid w:val="00C86DD8"/>
    <w:rsid w:val="00C8745F"/>
    <w:rsid w:val="00CA6DAB"/>
    <w:rsid w:val="00CB33D0"/>
    <w:rsid w:val="00CB5026"/>
    <w:rsid w:val="00CB6B31"/>
    <w:rsid w:val="00CB6D80"/>
    <w:rsid w:val="00CC2D48"/>
    <w:rsid w:val="00CC384D"/>
    <w:rsid w:val="00CC45DE"/>
    <w:rsid w:val="00CC5231"/>
    <w:rsid w:val="00CC7299"/>
    <w:rsid w:val="00CC7831"/>
    <w:rsid w:val="00CD5420"/>
    <w:rsid w:val="00CD5F33"/>
    <w:rsid w:val="00CD79F4"/>
    <w:rsid w:val="00CE13C5"/>
    <w:rsid w:val="00CE2715"/>
    <w:rsid w:val="00CE2C1A"/>
    <w:rsid w:val="00CE2CA6"/>
    <w:rsid w:val="00CE36FF"/>
    <w:rsid w:val="00CE65D6"/>
    <w:rsid w:val="00CE6EF6"/>
    <w:rsid w:val="00CE781E"/>
    <w:rsid w:val="00CF1807"/>
    <w:rsid w:val="00CF329A"/>
    <w:rsid w:val="00CF54AB"/>
    <w:rsid w:val="00CF6E73"/>
    <w:rsid w:val="00D03FCA"/>
    <w:rsid w:val="00D0701E"/>
    <w:rsid w:val="00D13CC0"/>
    <w:rsid w:val="00D152D6"/>
    <w:rsid w:val="00D1640B"/>
    <w:rsid w:val="00D1702D"/>
    <w:rsid w:val="00D21CAF"/>
    <w:rsid w:val="00D27EE7"/>
    <w:rsid w:val="00D35E81"/>
    <w:rsid w:val="00D41323"/>
    <w:rsid w:val="00D469C1"/>
    <w:rsid w:val="00D51A8E"/>
    <w:rsid w:val="00D5266A"/>
    <w:rsid w:val="00D54E06"/>
    <w:rsid w:val="00D561AD"/>
    <w:rsid w:val="00D74AD7"/>
    <w:rsid w:val="00D755A7"/>
    <w:rsid w:val="00D77F16"/>
    <w:rsid w:val="00D84541"/>
    <w:rsid w:val="00D8553D"/>
    <w:rsid w:val="00D86091"/>
    <w:rsid w:val="00D86EA0"/>
    <w:rsid w:val="00DA0CF0"/>
    <w:rsid w:val="00DA4791"/>
    <w:rsid w:val="00DA4EC3"/>
    <w:rsid w:val="00DA62F9"/>
    <w:rsid w:val="00DC46F9"/>
    <w:rsid w:val="00DC68CE"/>
    <w:rsid w:val="00DD151B"/>
    <w:rsid w:val="00DD1FDE"/>
    <w:rsid w:val="00DD20FC"/>
    <w:rsid w:val="00DD3EB0"/>
    <w:rsid w:val="00DD40BE"/>
    <w:rsid w:val="00DD6F06"/>
    <w:rsid w:val="00DD731A"/>
    <w:rsid w:val="00DE2E05"/>
    <w:rsid w:val="00DE3025"/>
    <w:rsid w:val="00DE6849"/>
    <w:rsid w:val="00DE70D6"/>
    <w:rsid w:val="00DE7D7F"/>
    <w:rsid w:val="00DF02CD"/>
    <w:rsid w:val="00DF2B6E"/>
    <w:rsid w:val="00DF2DAA"/>
    <w:rsid w:val="00DF39E6"/>
    <w:rsid w:val="00DF3EF3"/>
    <w:rsid w:val="00E0047E"/>
    <w:rsid w:val="00E028A2"/>
    <w:rsid w:val="00E0306E"/>
    <w:rsid w:val="00E1001B"/>
    <w:rsid w:val="00E10162"/>
    <w:rsid w:val="00E1789E"/>
    <w:rsid w:val="00E21A4C"/>
    <w:rsid w:val="00E22A8C"/>
    <w:rsid w:val="00E23D27"/>
    <w:rsid w:val="00E24D03"/>
    <w:rsid w:val="00E2598F"/>
    <w:rsid w:val="00E30F77"/>
    <w:rsid w:val="00E31770"/>
    <w:rsid w:val="00E34C47"/>
    <w:rsid w:val="00E35C99"/>
    <w:rsid w:val="00E365FF"/>
    <w:rsid w:val="00E41D4E"/>
    <w:rsid w:val="00E44531"/>
    <w:rsid w:val="00E44B27"/>
    <w:rsid w:val="00E46932"/>
    <w:rsid w:val="00E509E8"/>
    <w:rsid w:val="00E56829"/>
    <w:rsid w:val="00E571A4"/>
    <w:rsid w:val="00E577E0"/>
    <w:rsid w:val="00E6073A"/>
    <w:rsid w:val="00E61C77"/>
    <w:rsid w:val="00E621CC"/>
    <w:rsid w:val="00E63DE1"/>
    <w:rsid w:val="00E642F2"/>
    <w:rsid w:val="00E64402"/>
    <w:rsid w:val="00E65FFD"/>
    <w:rsid w:val="00E66CDA"/>
    <w:rsid w:val="00E70F27"/>
    <w:rsid w:val="00E768C1"/>
    <w:rsid w:val="00E803EF"/>
    <w:rsid w:val="00E81562"/>
    <w:rsid w:val="00E81DA1"/>
    <w:rsid w:val="00E85B4C"/>
    <w:rsid w:val="00E939D3"/>
    <w:rsid w:val="00EA1984"/>
    <w:rsid w:val="00EA3008"/>
    <w:rsid w:val="00EA3D90"/>
    <w:rsid w:val="00EA5D08"/>
    <w:rsid w:val="00EA669E"/>
    <w:rsid w:val="00EB0A8A"/>
    <w:rsid w:val="00EB0B73"/>
    <w:rsid w:val="00EB4DF0"/>
    <w:rsid w:val="00EB554A"/>
    <w:rsid w:val="00EC10A0"/>
    <w:rsid w:val="00EC2804"/>
    <w:rsid w:val="00EC31EA"/>
    <w:rsid w:val="00ED145C"/>
    <w:rsid w:val="00ED26B5"/>
    <w:rsid w:val="00ED5DA4"/>
    <w:rsid w:val="00EE0E8D"/>
    <w:rsid w:val="00EE31E1"/>
    <w:rsid w:val="00EE6C88"/>
    <w:rsid w:val="00F042BB"/>
    <w:rsid w:val="00F04735"/>
    <w:rsid w:val="00F07733"/>
    <w:rsid w:val="00F07C26"/>
    <w:rsid w:val="00F10718"/>
    <w:rsid w:val="00F10F75"/>
    <w:rsid w:val="00F1379B"/>
    <w:rsid w:val="00F13A08"/>
    <w:rsid w:val="00F141E8"/>
    <w:rsid w:val="00F1588B"/>
    <w:rsid w:val="00F1614E"/>
    <w:rsid w:val="00F213B5"/>
    <w:rsid w:val="00F23BD4"/>
    <w:rsid w:val="00F2419A"/>
    <w:rsid w:val="00F26141"/>
    <w:rsid w:val="00F307E5"/>
    <w:rsid w:val="00F32331"/>
    <w:rsid w:val="00F32901"/>
    <w:rsid w:val="00F348C5"/>
    <w:rsid w:val="00F375A4"/>
    <w:rsid w:val="00F43FAC"/>
    <w:rsid w:val="00F449B5"/>
    <w:rsid w:val="00F50D5F"/>
    <w:rsid w:val="00F52081"/>
    <w:rsid w:val="00F52D42"/>
    <w:rsid w:val="00F55ADA"/>
    <w:rsid w:val="00F561CC"/>
    <w:rsid w:val="00F60B0E"/>
    <w:rsid w:val="00F61881"/>
    <w:rsid w:val="00F62EE2"/>
    <w:rsid w:val="00F63C96"/>
    <w:rsid w:val="00F660E8"/>
    <w:rsid w:val="00F70BBC"/>
    <w:rsid w:val="00F7353F"/>
    <w:rsid w:val="00F74382"/>
    <w:rsid w:val="00F77212"/>
    <w:rsid w:val="00F804DD"/>
    <w:rsid w:val="00F85F5D"/>
    <w:rsid w:val="00F92427"/>
    <w:rsid w:val="00F940B1"/>
    <w:rsid w:val="00F9485D"/>
    <w:rsid w:val="00F97A0C"/>
    <w:rsid w:val="00FA1C52"/>
    <w:rsid w:val="00FB4384"/>
    <w:rsid w:val="00FB4B0E"/>
    <w:rsid w:val="00FB4FA7"/>
    <w:rsid w:val="00FB531D"/>
    <w:rsid w:val="00FD39F0"/>
    <w:rsid w:val="00FD45EB"/>
    <w:rsid w:val="00FD666D"/>
    <w:rsid w:val="00FE38F9"/>
    <w:rsid w:val="00FE4DEF"/>
    <w:rsid w:val="00FF6C53"/>
    <w:rsid w:val="00FF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uiPriority w:val="99"/>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uiPriority w:val="99"/>
    <w:rsid w:val="00F26141"/>
  </w:style>
  <w:style w:type="character" w:customStyle="1" w:styleId="FootnoteTextChar">
    <w:name w:val="Footnote Text Char"/>
    <w:basedOn w:val="DefaultParagraphFont"/>
    <w:link w:val="FootnoteText"/>
    <w:uiPriority w:val="99"/>
    <w:rsid w:val="00F26141"/>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uiPriority w:val="99"/>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eastAsiaTheme="minorHAnsi" w:hAnsi="Calibri Light"/>
      <w:b/>
      <w:bCs/>
      <w:color w:val="2C6EAB"/>
      <w:sz w:val="36"/>
      <w:szCs w:val="36"/>
    </w:rPr>
  </w:style>
  <w:style w:type="character" w:customStyle="1" w:styleId="TitleChar">
    <w:name w:val="Title Char"/>
    <w:basedOn w:val="DefaultParagraphFont"/>
    <w:link w:val="Title"/>
    <w:uiPriority w:val="99"/>
    <w:rsid w:val="0079339F"/>
    <w:rPr>
      <w:rFonts w:ascii="Calibri Light" w:eastAsiaTheme="minorHAnsi" w:hAnsi="Calibri Light"/>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eastAsiaTheme="minorHAnsi" w:hAnsi="Franklin Gothic Medium"/>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styleId="NoSpacing">
    <w:name w:val="No Spacing"/>
    <w:uiPriority w:val="1"/>
    <w:qFormat/>
    <w:rsid w:val="001727A9"/>
    <w:rPr>
      <w:rFonts w:ascii="Calibri" w:eastAsia="Calibri" w:hAnsi="Calibri"/>
      <w:sz w:val="24"/>
      <w:szCs w:val="22"/>
    </w:rPr>
  </w:style>
  <w:style w:type="paragraph" w:styleId="BodyTextIndent">
    <w:name w:val="Body Text Indent"/>
    <w:basedOn w:val="Normal"/>
    <w:link w:val="BodyTextIndentChar"/>
    <w:semiHidden/>
    <w:unhideWhenUsed/>
    <w:rsid w:val="00906EB3"/>
    <w:pPr>
      <w:spacing w:after="120"/>
      <w:ind w:left="360"/>
    </w:pPr>
  </w:style>
  <w:style w:type="character" w:customStyle="1" w:styleId="BodyTextIndentChar">
    <w:name w:val="Body Text Indent Char"/>
    <w:basedOn w:val="DefaultParagraphFont"/>
    <w:link w:val="BodyTextIndent"/>
    <w:semiHidden/>
    <w:rsid w:val="00906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3381">
      <w:bodyDiv w:val="1"/>
      <w:marLeft w:val="0"/>
      <w:marRight w:val="0"/>
      <w:marTop w:val="0"/>
      <w:marBottom w:val="0"/>
      <w:divBdr>
        <w:top w:val="none" w:sz="0" w:space="0" w:color="auto"/>
        <w:left w:val="none" w:sz="0" w:space="0" w:color="auto"/>
        <w:bottom w:val="none" w:sz="0" w:space="0" w:color="auto"/>
        <w:right w:val="none" w:sz="0" w:space="0" w:color="auto"/>
      </w:divBdr>
    </w:div>
    <w:div w:id="79718173">
      <w:bodyDiv w:val="1"/>
      <w:marLeft w:val="0"/>
      <w:marRight w:val="0"/>
      <w:marTop w:val="0"/>
      <w:marBottom w:val="0"/>
      <w:divBdr>
        <w:top w:val="none" w:sz="0" w:space="0" w:color="auto"/>
        <w:left w:val="none" w:sz="0" w:space="0" w:color="auto"/>
        <w:bottom w:val="none" w:sz="0" w:space="0" w:color="auto"/>
        <w:right w:val="none" w:sz="0" w:space="0" w:color="auto"/>
      </w:divBdr>
    </w:div>
    <w:div w:id="116143502">
      <w:bodyDiv w:val="1"/>
      <w:marLeft w:val="0"/>
      <w:marRight w:val="0"/>
      <w:marTop w:val="0"/>
      <w:marBottom w:val="0"/>
      <w:divBdr>
        <w:top w:val="none" w:sz="0" w:space="0" w:color="auto"/>
        <w:left w:val="none" w:sz="0" w:space="0" w:color="auto"/>
        <w:bottom w:val="none" w:sz="0" w:space="0" w:color="auto"/>
        <w:right w:val="none" w:sz="0" w:space="0" w:color="auto"/>
      </w:divBdr>
    </w:div>
    <w:div w:id="162399280">
      <w:bodyDiv w:val="1"/>
      <w:marLeft w:val="0"/>
      <w:marRight w:val="0"/>
      <w:marTop w:val="0"/>
      <w:marBottom w:val="0"/>
      <w:divBdr>
        <w:top w:val="none" w:sz="0" w:space="0" w:color="auto"/>
        <w:left w:val="none" w:sz="0" w:space="0" w:color="auto"/>
        <w:bottom w:val="none" w:sz="0" w:space="0" w:color="auto"/>
        <w:right w:val="none" w:sz="0" w:space="0" w:color="auto"/>
      </w:divBdr>
    </w:div>
    <w:div w:id="193080459">
      <w:bodyDiv w:val="1"/>
      <w:marLeft w:val="0"/>
      <w:marRight w:val="0"/>
      <w:marTop w:val="0"/>
      <w:marBottom w:val="0"/>
      <w:divBdr>
        <w:top w:val="none" w:sz="0" w:space="0" w:color="auto"/>
        <w:left w:val="none" w:sz="0" w:space="0" w:color="auto"/>
        <w:bottom w:val="none" w:sz="0" w:space="0" w:color="auto"/>
        <w:right w:val="none" w:sz="0" w:space="0" w:color="auto"/>
      </w:divBdr>
    </w:div>
    <w:div w:id="195166282">
      <w:bodyDiv w:val="1"/>
      <w:marLeft w:val="0"/>
      <w:marRight w:val="0"/>
      <w:marTop w:val="0"/>
      <w:marBottom w:val="0"/>
      <w:divBdr>
        <w:top w:val="none" w:sz="0" w:space="0" w:color="auto"/>
        <w:left w:val="none" w:sz="0" w:space="0" w:color="auto"/>
        <w:bottom w:val="none" w:sz="0" w:space="0" w:color="auto"/>
        <w:right w:val="none" w:sz="0" w:space="0" w:color="auto"/>
      </w:divBdr>
    </w:div>
    <w:div w:id="200016386">
      <w:bodyDiv w:val="1"/>
      <w:marLeft w:val="0"/>
      <w:marRight w:val="0"/>
      <w:marTop w:val="0"/>
      <w:marBottom w:val="0"/>
      <w:divBdr>
        <w:top w:val="none" w:sz="0" w:space="0" w:color="auto"/>
        <w:left w:val="none" w:sz="0" w:space="0" w:color="auto"/>
        <w:bottom w:val="none" w:sz="0" w:space="0" w:color="auto"/>
        <w:right w:val="none" w:sz="0" w:space="0" w:color="auto"/>
      </w:divBdr>
    </w:div>
    <w:div w:id="215089178">
      <w:bodyDiv w:val="1"/>
      <w:marLeft w:val="0"/>
      <w:marRight w:val="0"/>
      <w:marTop w:val="0"/>
      <w:marBottom w:val="0"/>
      <w:divBdr>
        <w:top w:val="none" w:sz="0" w:space="0" w:color="auto"/>
        <w:left w:val="none" w:sz="0" w:space="0" w:color="auto"/>
        <w:bottom w:val="none" w:sz="0" w:space="0" w:color="auto"/>
        <w:right w:val="none" w:sz="0" w:space="0" w:color="auto"/>
      </w:divBdr>
    </w:div>
    <w:div w:id="253518114">
      <w:bodyDiv w:val="1"/>
      <w:marLeft w:val="0"/>
      <w:marRight w:val="0"/>
      <w:marTop w:val="0"/>
      <w:marBottom w:val="0"/>
      <w:divBdr>
        <w:top w:val="none" w:sz="0" w:space="0" w:color="auto"/>
        <w:left w:val="none" w:sz="0" w:space="0" w:color="auto"/>
        <w:bottom w:val="none" w:sz="0" w:space="0" w:color="auto"/>
        <w:right w:val="none" w:sz="0" w:space="0" w:color="auto"/>
      </w:divBdr>
    </w:div>
    <w:div w:id="263004773">
      <w:bodyDiv w:val="1"/>
      <w:marLeft w:val="0"/>
      <w:marRight w:val="0"/>
      <w:marTop w:val="0"/>
      <w:marBottom w:val="0"/>
      <w:divBdr>
        <w:top w:val="none" w:sz="0" w:space="0" w:color="auto"/>
        <w:left w:val="none" w:sz="0" w:space="0" w:color="auto"/>
        <w:bottom w:val="none" w:sz="0" w:space="0" w:color="auto"/>
        <w:right w:val="none" w:sz="0" w:space="0" w:color="auto"/>
      </w:divBdr>
    </w:div>
    <w:div w:id="359476166">
      <w:bodyDiv w:val="1"/>
      <w:marLeft w:val="0"/>
      <w:marRight w:val="0"/>
      <w:marTop w:val="0"/>
      <w:marBottom w:val="0"/>
      <w:divBdr>
        <w:top w:val="none" w:sz="0" w:space="0" w:color="auto"/>
        <w:left w:val="none" w:sz="0" w:space="0" w:color="auto"/>
        <w:bottom w:val="none" w:sz="0" w:space="0" w:color="auto"/>
        <w:right w:val="none" w:sz="0" w:space="0" w:color="auto"/>
      </w:divBdr>
    </w:div>
    <w:div w:id="415135786">
      <w:bodyDiv w:val="1"/>
      <w:marLeft w:val="0"/>
      <w:marRight w:val="0"/>
      <w:marTop w:val="0"/>
      <w:marBottom w:val="0"/>
      <w:divBdr>
        <w:top w:val="none" w:sz="0" w:space="0" w:color="auto"/>
        <w:left w:val="none" w:sz="0" w:space="0" w:color="auto"/>
        <w:bottom w:val="none" w:sz="0" w:space="0" w:color="auto"/>
        <w:right w:val="none" w:sz="0" w:space="0" w:color="auto"/>
      </w:divBdr>
    </w:div>
    <w:div w:id="457602348">
      <w:bodyDiv w:val="1"/>
      <w:marLeft w:val="0"/>
      <w:marRight w:val="0"/>
      <w:marTop w:val="0"/>
      <w:marBottom w:val="0"/>
      <w:divBdr>
        <w:top w:val="none" w:sz="0" w:space="0" w:color="auto"/>
        <w:left w:val="none" w:sz="0" w:space="0" w:color="auto"/>
        <w:bottom w:val="none" w:sz="0" w:space="0" w:color="auto"/>
        <w:right w:val="none" w:sz="0" w:space="0" w:color="auto"/>
      </w:divBdr>
    </w:div>
    <w:div w:id="503710901">
      <w:bodyDiv w:val="1"/>
      <w:marLeft w:val="0"/>
      <w:marRight w:val="0"/>
      <w:marTop w:val="0"/>
      <w:marBottom w:val="0"/>
      <w:divBdr>
        <w:top w:val="none" w:sz="0" w:space="0" w:color="auto"/>
        <w:left w:val="none" w:sz="0" w:space="0" w:color="auto"/>
        <w:bottom w:val="none" w:sz="0" w:space="0" w:color="auto"/>
        <w:right w:val="none" w:sz="0" w:space="0" w:color="auto"/>
      </w:divBdr>
    </w:div>
    <w:div w:id="538854337">
      <w:bodyDiv w:val="1"/>
      <w:marLeft w:val="0"/>
      <w:marRight w:val="0"/>
      <w:marTop w:val="0"/>
      <w:marBottom w:val="0"/>
      <w:divBdr>
        <w:top w:val="none" w:sz="0" w:space="0" w:color="auto"/>
        <w:left w:val="none" w:sz="0" w:space="0" w:color="auto"/>
        <w:bottom w:val="none" w:sz="0" w:space="0" w:color="auto"/>
        <w:right w:val="none" w:sz="0" w:space="0" w:color="auto"/>
      </w:divBdr>
    </w:div>
    <w:div w:id="591398318">
      <w:bodyDiv w:val="1"/>
      <w:marLeft w:val="0"/>
      <w:marRight w:val="0"/>
      <w:marTop w:val="0"/>
      <w:marBottom w:val="0"/>
      <w:divBdr>
        <w:top w:val="none" w:sz="0" w:space="0" w:color="auto"/>
        <w:left w:val="none" w:sz="0" w:space="0" w:color="auto"/>
        <w:bottom w:val="none" w:sz="0" w:space="0" w:color="auto"/>
        <w:right w:val="none" w:sz="0" w:space="0" w:color="auto"/>
      </w:divBdr>
    </w:div>
    <w:div w:id="609431982">
      <w:bodyDiv w:val="1"/>
      <w:marLeft w:val="0"/>
      <w:marRight w:val="0"/>
      <w:marTop w:val="0"/>
      <w:marBottom w:val="0"/>
      <w:divBdr>
        <w:top w:val="none" w:sz="0" w:space="0" w:color="auto"/>
        <w:left w:val="none" w:sz="0" w:space="0" w:color="auto"/>
        <w:bottom w:val="none" w:sz="0" w:space="0" w:color="auto"/>
        <w:right w:val="none" w:sz="0" w:space="0" w:color="auto"/>
      </w:divBdr>
    </w:div>
    <w:div w:id="629168474">
      <w:bodyDiv w:val="1"/>
      <w:marLeft w:val="0"/>
      <w:marRight w:val="0"/>
      <w:marTop w:val="0"/>
      <w:marBottom w:val="0"/>
      <w:divBdr>
        <w:top w:val="none" w:sz="0" w:space="0" w:color="auto"/>
        <w:left w:val="none" w:sz="0" w:space="0" w:color="auto"/>
        <w:bottom w:val="none" w:sz="0" w:space="0" w:color="auto"/>
        <w:right w:val="none" w:sz="0" w:space="0" w:color="auto"/>
      </w:divBdr>
    </w:div>
    <w:div w:id="654915667">
      <w:bodyDiv w:val="1"/>
      <w:marLeft w:val="0"/>
      <w:marRight w:val="0"/>
      <w:marTop w:val="0"/>
      <w:marBottom w:val="0"/>
      <w:divBdr>
        <w:top w:val="none" w:sz="0" w:space="0" w:color="auto"/>
        <w:left w:val="none" w:sz="0" w:space="0" w:color="auto"/>
        <w:bottom w:val="none" w:sz="0" w:space="0" w:color="auto"/>
        <w:right w:val="none" w:sz="0" w:space="0" w:color="auto"/>
      </w:divBdr>
    </w:div>
    <w:div w:id="665479172">
      <w:bodyDiv w:val="1"/>
      <w:marLeft w:val="0"/>
      <w:marRight w:val="0"/>
      <w:marTop w:val="0"/>
      <w:marBottom w:val="0"/>
      <w:divBdr>
        <w:top w:val="none" w:sz="0" w:space="0" w:color="auto"/>
        <w:left w:val="none" w:sz="0" w:space="0" w:color="auto"/>
        <w:bottom w:val="none" w:sz="0" w:space="0" w:color="auto"/>
        <w:right w:val="none" w:sz="0" w:space="0" w:color="auto"/>
      </w:divBdr>
    </w:div>
    <w:div w:id="702360518">
      <w:bodyDiv w:val="1"/>
      <w:marLeft w:val="0"/>
      <w:marRight w:val="0"/>
      <w:marTop w:val="0"/>
      <w:marBottom w:val="0"/>
      <w:divBdr>
        <w:top w:val="none" w:sz="0" w:space="0" w:color="auto"/>
        <w:left w:val="none" w:sz="0" w:space="0" w:color="auto"/>
        <w:bottom w:val="none" w:sz="0" w:space="0" w:color="auto"/>
        <w:right w:val="none" w:sz="0" w:space="0" w:color="auto"/>
      </w:divBdr>
    </w:div>
    <w:div w:id="706832603">
      <w:bodyDiv w:val="1"/>
      <w:marLeft w:val="0"/>
      <w:marRight w:val="0"/>
      <w:marTop w:val="0"/>
      <w:marBottom w:val="0"/>
      <w:divBdr>
        <w:top w:val="none" w:sz="0" w:space="0" w:color="auto"/>
        <w:left w:val="none" w:sz="0" w:space="0" w:color="auto"/>
        <w:bottom w:val="none" w:sz="0" w:space="0" w:color="auto"/>
        <w:right w:val="none" w:sz="0" w:space="0" w:color="auto"/>
      </w:divBdr>
    </w:div>
    <w:div w:id="722681316">
      <w:bodyDiv w:val="1"/>
      <w:marLeft w:val="0"/>
      <w:marRight w:val="0"/>
      <w:marTop w:val="0"/>
      <w:marBottom w:val="0"/>
      <w:divBdr>
        <w:top w:val="none" w:sz="0" w:space="0" w:color="auto"/>
        <w:left w:val="none" w:sz="0" w:space="0" w:color="auto"/>
        <w:bottom w:val="none" w:sz="0" w:space="0" w:color="auto"/>
        <w:right w:val="none" w:sz="0" w:space="0" w:color="auto"/>
      </w:divBdr>
    </w:div>
    <w:div w:id="726031405">
      <w:bodyDiv w:val="1"/>
      <w:marLeft w:val="0"/>
      <w:marRight w:val="0"/>
      <w:marTop w:val="0"/>
      <w:marBottom w:val="0"/>
      <w:divBdr>
        <w:top w:val="none" w:sz="0" w:space="0" w:color="auto"/>
        <w:left w:val="none" w:sz="0" w:space="0" w:color="auto"/>
        <w:bottom w:val="none" w:sz="0" w:space="0" w:color="auto"/>
        <w:right w:val="none" w:sz="0" w:space="0" w:color="auto"/>
      </w:divBdr>
    </w:div>
    <w:div w:id="795946751">
      <w:bodyDiv w:val="1"/>
      <w:marLeft w:val="0"/>
      <w:marRight w:val="0"/>
      <w:marTop w:val="0"/>
      <w:marBottom w:val="0"/>
      <w:divBdr>
        <w:top w:val="none" w:sz="0" w:space="0" w:color="auto"/>
        <w:left w:val="none" w:sz="0" w:space="0" w:color="auto"/>
        <w:bottom w:val="none" w:sz="0" w:space="0" w:color="auto"/>
        <w:right w:val="none" w:sz="0" w:space="0" w:color="auto"/>
      </w:divBdr>
    </w:div>
    <w:div w:id="807669417">
      <w:bodyDiv w:val="1"/>
      <w:marLeft w:val="0"/>
      <w:marRight w:val="0"/>
      <w:marTop w:val="0"/>
      <w:marBottom w:val="0"/>
      <w:divBdr>
        <w:top w:val="none" w:sz="0" w:space="0" w:color="auto"/>
        <w:left w:val="none" w:sz="0" w:space="0" w:color="auto"/>
        <w:bottom w:val="none" w:sz="0" w:space="0" w:color="auto"/>
        <w:right w:val="none" w:sz="0" w:space="0" w:color="auto"/>
      </w:divBdr>
    </w:div>
    <w:div w:id="964114309">
      <w:bodyDiv w:val="1"/>
      <w:marLeft w:val="0"/>
      <w:marRight w:val="0"/>
      <w:marTop w:val="0"/>
      <w:marBottom w:val="0"/>
      <w:divBdr>
        <w:top w:val="none" w:sz="0" w:space="0" w:color="auto"/>
        <w:left w:val="none" w:sz="0" w:space="0" w:color="auto"/>
        <w:bottom w:val="none" w:sz="0" w:space="0" w:color="auto"/>
        <w:right w:val="none" w:sz="0" w:space="0" w:color="auto"/>
      </w:divBdr>
    </w:div>
    <w:div w:id="981689216">
      <w:bodyDiv w:val="1"/>
      <w:marLeft w:val="0"/>
      <w:marRight w:val="0"/>
      <w:marTop w:val="0"/>
      <w:marBottom w:val="0"/>
      <w:divBdr>
        <w:top w:val="none" w:sz="0" w:space="0" w:color="auto"/>
        <w:left w:val="none" w:sz="0" w:space="0" w:color="auto"/>
        <w:bottom w:val="none" w:sz="0" w:space="0" w:color="auto"/>
        <w:right w:val="none" w:sz="0" w:space="0" w:color="auto"/>
      </w:divBdr>
    </w:div>
    <w:div w:id="991830137">
      <w:bodyDiv w:val="1"/>
      <w:marLeft w:val="0"/>
      <w:marRight w:val="0"/>
      <w:marTop w:val="0"/>
      <w:marBottom w:val="0"/>
      <w:divBdr>
        <w:top w:val="none" w:sz="0" w:space="0" w:color="auto"/>
        <w:left w:val="none" w:sz="0" w:space="0" w:color="auto"/>
        <w:bottom w:val="none" w:sz="0" w:space="0" w:color="auto"/>
        <w:right w:val="none" w:sz="0" w:space="0" w:color="auto"/>
      </w:divBdr>
    </w:div>
    <w:div w:id="1114205307">
      <w:bodyDiv w:val="1"/>
      <w:marLeft w:val="0"/>
      <w:marRight w:val="0"/>
      <w:marTop w:val="0"/>
      <w:marBottom w:val="0"/>
      <w:divBdr>
        <w:top w:val="none" w:sz="0" w:space="0" w:color="auto"/>
        <w:left w:val="none" w:sz="0" w:space="0" w:color="auto"/>
        <w:bottom w:val="none" w:sz="0" w:space="0" w:color="auto"/>
        <w:right w:val="none" w:sz="0" w:space="0" w:color="auto"/>
      </w:divBdr>
    </w:div>
    <w:div w:id="1119882969">
      <w:bodyDiv w:val="1"/>
      <w:marLeft w:val="0"/>
      <w:marRight w:val="0"/>
      <w:marTop w:val="0"/>
      <w:marBottom w:val="0"/>
      <w:divBdr>
        <w:top w:val="none" w:sz="0" w:space="0" w:color="auto"/>
        <w:left w:val="none" w:sz="0" w:space="0" w:color="auto"/>
        <w:bottom w:val="none" w:sz="0" w:space="0" w:color="auto"/>
        <w:right w:val="none" w:sz="0" w:space="0" w:color="auto"/>
      </w:divBdr>
    </w:div>
    <w:div w:id="1192453031">
      <w:bodyDiv w:val="1"/>
      <w:marLeft w:val="0"/>
      <w:marRight w:val="0"/>
      <w:marTop w:val="0"/>
      <w:marBottom w:val="0"/>
      <w:divBdr>
        <w:top w:val="none" w:sz="0" w:space="0" w:color="auto"/>
        <w:left w:val="none" w:sz="0" w:space="0" w:color="auto"/>
        <w:bottom w:val="none" w:sz="0" w:space="0" w:color="auto"/>
        <w:right w:val="none" w:sz="0" w:space="0" w:color="auto"/>
      </w:divBdr>
    </w:div>
    <w:div w:id="1196579581">
      <w:bodyDiv w:val="1"/>
      <w:marLeft w:val="0"/>
      <w:marRight w:val="0"/>
      <w:marTop w:val="0"/>
      <w:marBottom w:val="0"/>
      <w:divBdr>
        <w:top w:val="none" w:sz="0" w:space="0" w:color="auto"/>
        <w:left w:val="none" w:sz="0" w:space="0" w:color="auto"/>
        <w:bottom w:val="none" w:sz="0" w:space="0" w:color="auto"/>
        <w:right w:val="none" w:sz="0" w:space="0" w:color="auto"/>
      </w:divBdr>
    </w:div>
    <w:div w:id="1215390615">
      <w:bodyDiv w:val="1"/>
      <w:marLeft w:val="0"/>
      <w:marRight w:val="0"/>
      <w:marTop w:val="0"/>
      <w:marBottom w:val="0"/>
      <w:divBdr>
        <w:top w:val="none" w:sz="0" w:space="0" w:color="auto"/>
        <w:left w:val="none" w:sz="0" w:space="0" w:color="auto"/>
        <w:bottom w:val="none" w:sz="0" w:space="0" w:color="auto"/>
        <w:right w:val="none" w:sz="0" w:space="0" w:color="auto"/>
      </w:divBdr>
    </w:div>
    <w:div w:id="1227495214">
      <w:bodyDiv w:val="1"/>
      <w:marLeft w:val="0"/>
      <w:marRight w:val="0"/>
      <w:marTop w:val="0"/>
      <w:marBottom w:val="0"/>
      <w:divBdr>
        <w:top w:val="none" w:sz="0" w:space="0" w:color="auto"/>
        <w:left w:val="none" w:sz="0" w:space="0" w:color="auto"/>
        <w:bottom w:val="none" w:sz="0" w:space="0" w:color="auto"/>
        <w:right w:val="none" w:sz="0" w:space="0" w:color="auto"/>
      </w:divBdr>
    </w:div>
    <w:div w:id="1234126684">
      <w:bodyDiv w:val="1"/>
      <w:marLeft w:val="0"/>
      <w:marRight w:val="0"/>
      <w:marTop w:val="0"/>
      <w:marBottom w:val="0"/>
      <w:divBdr>
        <w:top w:val="none" w:sz="0" w:space="0" w:color="auto"/>
        <w:left w:val="none" w:sz="0" w:space="0" w:color="auto"/>
        <w:bottom w:val="none" w:sz="0" w:space="0" w:color="auto"/>
        <w:right w:val="none" w:sz="0" w:space="0" w:color="auto"/>
      </w:divBdr>
    </w:div>
    <w:div w:id="1276643304">
      <w:bodyDiv w:val="1"/>
      <w:marLeft w:val="0"/>
      <w:marRight w:val="0"/>
      <w:marTop w:val="0"/>
      <w:marBottom w:val="0"/>
      <w:divBdr>
        <w:top w:val="none" w:sz="0" w:space="0" w:color="auto"/>
        <w:left w:val="none" w:sz="0" w:space="0" w:color="auto"/>
        <w:bottom w:val="none" w:sz="0" w:space="0" w:color="auto"/>
        <w:right w:val="none" w:sz="0" w:space="0" w:color="auto"/>
      </w:divBdr>
    </w:div>
    <w:div w:id="1286616590">
      <w:bodyDiv w:val="1"/>
      <w:marLeft w:val="0"/>
      <w:marRight w:val="0"/>
      <w:marTop w:val="0"/>
      <w:marBottom w:val="0"/>
      <w:divBdr>
        <w:top w:val="none" w:sz="0" w:space="0" w:color="auto"/>
        <w:left w:val="none" w:sz="0" w:space="0" w:color="auto"/>
        <w:bottom w:val="none" w:sz="0" w:space="0" w:color="auto"/>
        <w:right w:val="none" w:sz="0" w:space="0" w:color="auto"/>
      </w:divBdr>
    </w:div>
    <w:div w:id="1297636355">
      <w:bodyDiv w:val="1"/>
      <w:marLeft w:val="0"/>
      <w:marRight w:val="0"/>
      <w:marTop w:val="0"/>
      <w:marBottom w:val="0"/>
      <w:divBdr>
        <w:top w:val="none" w:sz="0" w:space="0" w:color="auto"/>
        <w:left w:val="none" w:sz="0" w:space="0" w:color="auto"/>
        <w:bottom w:val="none" w:sz="0" w:space="0" w:color="auto"/>
        <w:right w:val="none" w:sz="0" w:space="0" w:color="auto"/>
      </w:divBdr>
    </w:div>
    <w:div w:id="1391422066">
      <w:bodyDiv w:val="1"/>
      <w:marLeft w:val="0"/>
      <w:marRight w:val="0"/>
      <w:marTop w:val="0"/>
      <w:marBottom w:val="0"/>
      <w:divBdr>
        <w:top w:val="none" w:sz="0" w:space="0" w:color="auto"/>
        <w:left w:val="none" w:sz="0" w:space="0" w:color="auto"/>
        <w:bottom w:val="none" w:sz="0" w:space="0" w:color="auto"/>
        <w:right w:val="none" w:sz="0" w:space="0" w:color="auto"/>
      </w:divBdr>
    </w:div>
    <w:div w:id="1497577463">
      <w:bodyDiv w:val="1"/>
      <w:marLeft w:val="0"/>
      <w:marRight w:val="0"/>
      <w:marTop w:val="0"/>
      <w:marBottom w:val="0"/>
      <w:divBdr>
        <w:top w:val="none" w:sz="0" w:space="0" w:color="auto"/>
        <w:left w:val="none" w:sz="0" w:space="0" w:color="auto"/>
        <w:bottom w:val="none" w:sz="0" w:space="0" w:color="auto"/>
        <w:right w:val="none" w:sz="0" w:space="0" w:color="auto"/>
      </w:divBdr>
    </w:div>
    <w:div w:id="1532453989">
      <w:bodyDiv w:val="1"/>
      <w:marLeft w:val="0"/>
      <w:marRight w:val="0"/>
      <w:marTop w:val="0"/>
      <w:marBottom w:val="0"/>
      <w:divBdr>
        <w:top w:val="none" w:sz="0" w:space="0" w:color="auto"/>
        <w:left w:val="none" w:sz="0" w:space="0" w:color="auto"/>
        <w:bottom w:val="none" w:sz="0" w:space="0" w:color="auto"/>
        <w:right w:val="none" w:sz="0" w:space="0" w:color="auto"/>
      </w:divBdr>
    </w:div>
    <w:div w:id="1534995871">
      <w:bodyDiv w:val="1"/>
      <w:marLeft w:val="0"/>
      <w:marRight w:val="0"/>
      <w:marTop w:val="0"/>
      <w:marBottom w:val="0"/>
      <w:divBdr>
        <w:top w:val="none" w:sz="0" w:space="0" w:color="auto"/>
        <w:left w:val="none" w:sz="0" w:space="0" w:color="auto"/>
        <w:bottom w:val="none" w:sz="0" w:space="0" w:color="auto"/>
        <w:right w:val="none" w:sz="0" w:space="0" w:color="auto"/>
      </w:divBdr>
    </w:div>
    <w:div w:id="1537085343">
      <w:bodyDiv w:val="1"/>
      <w:marLeft w:val="0"/>
      <w:marRight w:val="0"/>
      <w:marTop w:val="0"/>
      <w:marBottom w:val="0"/>
      <w:divBdr>
        <w:top w:val="none" w:sz="0" w:space="0" w:color="auto"/>
        <w:left w:val="none" w:sz="0" w:space="0" w:color="auto"/>
        <w:bottom w:val="none" w:sz="0" w:space="0" w:color="auto"/>
        <w:right w:val="none" w:sz="0" w:space="0" w:color="auto"/>
      </w:divBdr>
    </w:div>
    <w:div w:id="1563129116">
      <w:bodyDiv w:val="1"/>
      <w:marLeft w:val="0"/>
      <w:marRight w:val="0"/>
      <w:marTop w:val="0"/>
      <w:marBottom w:val="0"/>
      <w:divBdr>
        <w:top w:val="none" w:sz="0" w:space="0" w:color="auto"/>
        <w:left w:val="none" w:sz="0" w:space="0" w:color="auto"/>
        <w:bottom w:val="none" w:sz="0" w:space="0" w:color="auto"/>
        <w:right w:val="none" w:sz="0" w:space="0" w:color="auto"/>
      </w:divBdr>
    </w:div>
    <w:div w:id="1582104997">
      <w:bodyDiv w:val="1"/>
      <w:marLeft w:val="0"/>
      <w:marRight w:val="0"/>
      <w:marTop w:val="0"/>
      <w:marBottom w:val="0"/>
      <w:divBdr>
        <w:top w:val="none" w:sz="0" w:space="0" w:color="auto"/>
        <w:left w:val="none" w:sz="0" w:space="0" w:color="auto"/>
        <w:bottom w:val="none" w:sz="0" w:space="0" w:color="auto"/>
        <w:right w:val="none" w:sz="0" w:space="0" w:color="auto"/>
      </w:divBdr>
    </w:div>
    <w:div w:id="1584945412">
      <w:bodyDiv w:val="1"/>
      <w:marLeft w:val="0"/>
      <w:marRight w:val="0"/>
      <w:marTop w:val="0"/>
      <w:marBottom w:val="0"/>
      <w:divBdr>
        <w:top w:val="none" w:sz="0" w:space="0" w:color="auto"/>
        <w:left w:val="none" w:sz="0" w:space="0" w:color="auto"/>
        <w:bottom w:val="none" w:sz="0" w:space="0" w:color="auto"/>
        <w:right w:val="none" w:sz="0" w:space="0" w:color="auto"/>
      </w:divBdr>
    </w:div>
    <w:div w:id="1592003964">
      <w:bodyDiv w:val="1"/>
      <w:marLeft w:val="0"/>
      <w:marRight w:val="0"/>
      <w:marTop w:val="0"/>
      <w:marBottom w:val="0"/>
      <w:divBdr>
        <w:top w:val="none" w:sz="0" w:space="0" w:color="auto"/>
        <w:left w:val="none" w:sz="0" w:space="0" w:color="auto"/>
        <w:bottom w:val="none" w:sz="0" w:space="0" w:color="auto"/>
        <w:right w:val="none" w:sz="0" w:space="0" w:color="auto"/>
      </w:divBdr>
    </w:div>
    <w:div w:id="1665737124">
      <w:bodyDiv w:val="1"/>
      <w:marLeft w:val="0"/>
      <w:marRight w:val="0"/>
      <w:marTop w:val="0"/>
      <w:marBottom w:val="0"/>
      <w:divBdr>
        <w:top w:val="none" w:sz="0" w:space="0" w:color="auto"/>
        <w:left w:val="none" w:sz="0" w:space="0" w:color="auto"/>
        <w:bottom w:val="none" w:sz="0" w:space="0" w:color="auto"/>
        <w:right w:val="none" w:sz="0" w:space="0" w:color="auto"/>
      </w:divBdr>
    </w:div>
    <w:div w:id="1677460799">
      <w:bodyDiv w:val="1"/>
      <w:marLeft w:val="0"/>
      <w:marRight w:val="0"/>
      <w:marTop w:val="0"/>
      <w:marBottom w:val="0"/>
      <w:divBdr>
        <w:top w:val="none" w:sz="0" w:space="0" w:color="auto"/>
        <w:left w:val="none" w:sz="0" w:space="0" w:color="auto"/>
        <w:bottom w:val="none" w:sz="0" w:space="0" w:color="auto"/>
        <w:right w:val="none" w:sz="0" w:space="0" w:color="auto"/>
      </w:divBdr>
    </w:div>
    <w:div w:id="1690375320">
      <w:bodyDiv w:val="1"/>
      <w:marLeft w:val="0"/>
      <w:marRight w:val="0"/>
      <w:marTop w:val="0"/>
      <w:marBottom w:val="0"/>
      <w:divBdr>
        <w:top w:val="none" w:sz="0" w:space="0" w:color="auto"/>
        <w:left w:val="none" w:sz="0" w:space="0" w:color="auto"/>
        <w:bottom w:val="none" w:sz="0" w:space="0" w:color="auto"/>
        <w:right w:val="none" w:sz="0" w:space="0" w:color="auto"/>
      </w:divBdr>
    </w:div>
    <w:div w:id="1692994132">
      <w:bodyDiv w:val="1"/>
      <w:marLeft w:val="0"/>
      <w:marRight w:val="0"/>
      <w:marTop w:val="0"/>
      <w:marBottom w:val="0"/>
      <w:divBdr>
        <w:top w:val="none" w:sz="0" w:space="0" w:color="auto"/>
        <w:left w:val="none" w:sz="0" w:space="0" w:color="auto"/>
        <w:bottom w:val="none" w:sz="0" w:space="0" w:color="auto"/>
        <w:right w:val="none" w:sz="0" w:space="0" w:color="auto"/>
      </w:divBdr>
    </w:div>
    <w:div w:id="1703751937">
      <w:bodyDiv w:val="1"/>
      <w:marLeft w:val="0"/>
      <w:marRight w:val="0"/>
      <w:marTop w:val="0"/>
      <w:marBottom w:val="0"/>
      <w:divBdr>
        <w:top w:val="none" w:sz="0" w:space="0" w:color="auto"/>
        <w:left w:val="none" w:sz="0" w:space="0" w:color="auto"/>
        <w:bottom w:val="none" w:sz="0" w:space="0" w:color="auto"/>
        <w:right w:val="none" w:sz="0" w:space="0" w:color="auto"/>
      </w:divBdr>
    </w:div>
    <w:div w:id="1736275163">
      <w:bodyDiv w:val="1"/>
      <w:marLeft w:val="0"/>
      <w:marRight w:val="0"/>
      <w:marTop w:val="0"/>
      <w:marBottom w:val="0"/>
      <w:divBdr>
        <w:top w:val="none" w:sz="0" w:space="0" w:color="auto"/>
        <w:left w:val="none" w:sz="0" w:space="0" w:color="auto"/>
        <w:bottom w:val="none" w:sz="0" w:space="0" w:color="auto"/>
        <w:right w:val="none" w:sz="0" w:space="0" w:color="auto"/>
      </w:divBdr>
    </w:div>
    <w:div w:id="1741324001">
      <w:bodyDiv w:val="1"/>
      <w:marLeft w:val="0"/>
      <w:marRight w:val="0"/>
      <w:marTop w:val="0"/>
      <w:marBottom w:val="0"/>
      <w:divBdr>
        <w:top w:val="none" w:sz="0" w:space="0" w:color="auto"/>
        <w:left w:val="none" w:sz="0" w:space="0" w:color="auto"/>
        <w:bottom w:val="none" w:sz="0" w:space="0" w:color="auto"/>
        <w:right w:val="none" w:sz="0" w:space="0" w:color="auto"/>
      </w:divBdr>
      <w:divsChild>
        <w:div w:id="1232039907">
          <w:marLeft w:val="0"/>
          <w:marRight w:val="0"/>
          <w:marTop w:val="0"/>
          <w:marBottom w:val="0"/>
          <w:divBdr>
            <w:top w:val="none" w:sz="0" w:space="0" w:color="auto"/>
            <w:left w:val="none" w:sz="0" w:space="0" w:color="auto"/>
            <w:bottom w:val="none" w:sz="0" w:space="0" w:color="auto"/>
            <w:right w:val="none" w:sz="0" w:space="0" w:color="auto"/>
          </w:divBdr>
        </w:div>
        <w:div w:id="2095273150">
          <w:marLeft w:val="0"/>
          <w:marRight w:val="0"/>
          <w:marTop w:val="0"/>
          <w:marBottom w:val="0"/>
          <w:divBdr>
            <w:top w:val="none" w:sz="0" w:space="0" w:color="auto"/>
            <w:left w:val="none" w:sz="0" w:space="0" w:color="auto"/>
            <w:bottom w:val="none" w:sz="0" w:space="0" w:color="auto"/>
            <w:right w:val="none" w:sz="0" w:space="0" w:color="auto"/>
          </w:divBdr>
        </w:div>
        <w:div w:id="2116704308">
          <w:marLeft w:val="0"/>
          <w:marRight w:val="0"/>
          <w:marTop w:val="0"/>
          <w:marBottom w:val="0"/>
          <w:divBdr>
            <w:top w:val="none" w:sz="0" w:space="0" w:color="auto"/>
            <w:left w:val="none" w:sz="0" w:space="0" w:color="auto"/>
            <w:bottom w:val="none" w:sz="0" w:space="0" w:color="auto"/>
            <w:right w:val="none" w:sz="0" w:space="0" w:color="auto"/>
          </w:divBdr>
        </w:div>
        <w:div w:id="1783113578">
          <w:marLeft w:val="0"/>
          <w:marRight w:val="0"/>
          <w:marTop w:val="0"/>
          <w:marBottom w:val="0"/>
          <w:divBdr>
            <w:top w:val="none" w:sz="0" w:space="0" w:color="auto"/>
            <w:left w:val="none" w:sz="0" w:space="0" w:color="auto"/>
            <w:bottom w:val="none" w:sz="0" w:space="0" w:color="auto"/>
            <w:right w:val="none" w:sz="0" w:space="0" w:color="auto"/>
          </w:divBdr>
        </w:div>
        <w:div w:id="554898196">
          <w:marLeft w:val="0"/>
          <w:marRight w:val="0"/>
          <w:marTop w:val="0"/>
          <w:marBottom w:val="0"/>
          <w:divBdr>
            <w:top w:val="none" w:sz="0" w:space="0" w:color="auto"/>
            <w:left w:val="none" w:sz="0" w:space="0" w:color="auto"/>
            <w:bottom w:val="none" w:sz="0" w:space="0" w:color="auto"/>
            <w:right w:val="none" w:sz="0" w:space="0" w:color="auto"/>
          </w:divBdr>
        </w:div>
      </w:divsChild>
    </w:div>
    <w:div w:id="1756827370">
      <w:bodyDiv w:val="1"/>
      <w:marLeft w:val="0"/>
      <w:marRight w:val="0"/>
      <w:marTop w:val="0"/>
      <w:marBottom w:val="0"/>
      <w:divBdr>
        <w:top w:val="none" w:sz="0" w:space="0" w:color="auto"/>
        <w:left w:val="none" w:sz="0" w:space="0" w:color="auto"/>
        <w:bottom w:val="none" w:sz="0" w:space="0" w:color="auto"/>
        <w:right w:val="none" w:sz="0" w:space="0" w:color="auto"/>
      </w:divBdr>
    </w:div>
    <w:div w:id="1764910466">
      <w:bodyDiv w:val="1"/>
      <w:marLeft w:val="0"/>
      <w:marRight w:val="0"/>
      <w:marTop w:val="0"/>
      <w:marBottom w:val="0"/>
      <w:divBdr>
        <w:top w:val="none" w:sz="0" w:space="0" w:color="auto"/>
        <w:left w:val="none" w:sz="0" w:space="0" w:color="auto"/>
        <w:bottom w:val="none" w:sz="0" w:space="0" w:color="auto"/>
        <w:right w:val="none" w:sz="0" w:space="0" w:color="auto"/>
      </w:divBdr>
    </w:div>
    <w:div w:id="1858959118">
      <w:bodyDiv w:val="1"/>
      <w:marLeft w:val="0"/>
      <w:marRight w:val="0"/>
      <w:marTop w:val="0"/>
      <w:marBottom w:val="0"/>
      <w:divBdr>
        <w:top w:val="none" w:sz="0" w:space="0" w:color="auto"/>
        <w:left w:val="none" w:sz="0" w:space="0" w:color="auto"/>
        <w:bottom w:val="none" w:sz="0" w:space="0" w:color="auto"/>
        <w:right w:val="none" w:sz="0" w:space="0" w:color="auto"/>
      </w:divBdr>
    </w:div>
    <w:div w:id="1898394921">
      <w:bodyDiv w:val="1"/>
      <w:marLeft w:val="0"/>
      <w:marRight w:val="0"/>
      <w:marTop w:val="0"/>
      <w:marBottom w:val="0"/>
      <w:divBdr>
        <w:top w:val="none" w:sz="0" w:space="0" w:color="auto"/>
        <w:left w:val="none" w:sz="0" w:space="0" w:color="auto"/>
        <w:bottom w:val="none" w:sz="0" w:space="0" w:color="auto"/>
        <w:right w:val="none" w:sz="0" w:space="0" w:color="auto"/>
      </w:divBdr>
    </w:div>
    <w:div w:id="1909457830">
      <w:bodyDiv w:val="1"/>
      <w:marLeft w:val="0"/>
      <w:marRight w:val="0"/>
      <w:marTop w:val="0"/>
      <w:marBottom w:val="0"/>
      <w:divBdr>
        <w:top w:val="none" w:sz="0" w:space="0" w:color="auto"/>
        <w:left w:val="none" w:sz="0" w:space="0" w:color="auto"/>
        <w:bottom w:val="none" w:sz="0" w:space="0" w:color="auto"/>
        <w:right w:val="none" w:sz="0" w:space="0" w:color="auto"/>
      </w:divBdr>
    </w:div>
    <w:div w:id="1911303590">
      <w:bodyDiv w:val="1"/>
      <w:marLeft w:val="0"/>
      <w:marRight w:val="0"/>
      <w:marTop w:val="0"/>
      <w:marBottom w:val="0"/>
      <w:divBdr>
        <w:top w:val="none" w:sz="0" w:space="0" w:color="auto"/>
        <w:left w:val="none" w:sz="0" w:space="0" w:color="auto"/>
        <w:bottom w:val="none" w:sz="0" w:space="0" w:color="auto"/>
        <w:right w:val="none" w:sz="0" w:space="0" w:color="auto"/>
      </w:divBdr>
    </w:div>
    <w:div w:id="1926917653">
      <w:bodyDiv w:val="1"/>
      <w:marLeft w:val="0"/>
      <w:marRight w:val="0"/>
      <w:marTop w:val="0"/>
      <w:marBottom w:val="0"/>
      <w:divBdr>
        <w:top w:val="none" w:sz="0" w:space="0" w:color="auto"/>
        <w:left w:val="none" w:sz="0" w:space="0" w:color="auto"/>
        <w:bottom w:val="none" w:sz="0" w:space="0" w:color="auto"/>
        <w:right w:val="none" w:sz="0" w:space="0" w:color="auto"/>
      </w:divBdr>
    </w:div>
    <w:div w:id="1928880702">
      <w:bodyDiv w:val="1"/>
      <w:marLeft w:val="0"/>
      <w:marRight w:val="0"/>
      <w:marTop w:val="0"/>
      <w:marBottom w:val="0"/>
      <w:divBdr>
        <w:top w:val="none" w:sz="0" w:space="0" w:color="auto"/>
        <w:left w:val="none" w:sz="0" w:space="0" w:color="auto"/>
        <w:bottom w:val="none" w:sz="0" w:space="0" w:color="auto"/>
        <w:right w:val="none" w:sz="0" w:space="0" w:color="auto"/>
      </w:divBdr>
    </w:div>
    <w:div w:id="1936094152">
      <w:bodyDiv w:val="1"/>
      <w:marLeft w:val="0"/>
      <w:marRight w:val="0"/>
      <w:marTop w:val="0"/>
      <w:marBottom w:val="0"/>
      <w:divBdr>
        <w:top w:val="none" w:sz="0" w:space="0" w:color="auto"/>
        <w:left w:val="none" w:sz="0" w:space="0" w:color="auto"/>
        <w:bottom w:val="none" w:sz="0" w:space="0" w:color="auto"/>
        <w:right w:val="none" w:sz="0" w:space="0" w:color="auto"/>
      </w:divBdr>
    </w:div>
    <w:div w:id="1947614799">
      <w:bodyDiv w:val="1"/>
      <w:marLeft w:val="0"/>
      <w:marRight w:val="0"/>
      <w:marTop w:val="0"/>
      <w:marBottom w:val="0"/>
      <w:divBdr>
        <w:top w:val="none" w:sz="0" w:space="0" w:color="auto"/>
        <w:left w:val="none" w:sz="0" w:space="0" w:color="auto"/>
        <w:bottom w:val="none" w:sz="0" w:space="0" w:color="auto"/>
        <w:right w:val="none" w:sz="0" w:space="0" w:color="auto"/>
      </w:divBdr>
    </w:div>
    <w:div w:id="1973052158">
      <w:bodyDiv w:val="1"/>
      <w:marLeft w:val="0"/>
      <w:marRight w:val="0"/>
      <w:marTop w:val="0"/>
      <w:marBottom w:val="0"/>
      <w:divBdr>
        <w:top w:val="none" w:sz="0" w:space="0" w:color="auto"/>
        <w:left w:val="none" w:sz="0" w:space="0" w:color="auto"/>
        <w:bottom w:val="none" w:sz="0" w:space="0" w:color="auto"/>
        <w:right w:val="none" w:sz="0" w:space="0" w:color="auto"/>
      </w:divBdr>
    </w:div>
    <w:div w:id="2091189901">
      <w:bodyDiv w:val="1"/>
      <w:marLeft w:val="0"/>
      <w:marRight w:val="0"/>
      <w:marTop w:val="0"/>
      <w:marBottom w:val="0"/>
      <w:divBdr>
        <w:top w:val="none" w:sz="0" w:space="0" w:color="auto"/>
        <w:left w:val="none" w:sz="0" w:space="0" w:color="auto"/>
        <w:bottom w:val="none" w:sz="0" w:space="0" w:color="auto"/>
        <w:right w:val="none" w:sz="0" w:space="0" w:color="auto"/>
      </w:divBdr>
    </w:div>
    <w:div w:id="21281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files.consumerfinance.gov/f/201303_CFPB_PIA-Consumer-Response-System.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ginfo.gov/public/do/PRAMa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reginfo.go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deralregister.gov/documents/2018/07/13/2018-14990/privacy-act-of-1974-system-of-record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C:/Users/jakubowskit/AppData/Local/Microsoft/Windows/INetCache/Content.Outlook/5C30ONWC/Executive%20Order%20on%20Preventing%20and%20Combating%20Discrimination%20on%20the%20Basis%20of%20Gender%20Identity%20or%20Sexual%20Orientation" TargetMode="External"/><Relationship Id="rId1" Type="http://schemas.openxmlformats.org/officeDocument/2006/relationships/hyperlink" Target="https://www.whitehouse.gov/briefing-room/presidential-actions/2021/01/20/executive-order-advancing-racial-equity-and-support-for-underserved-communities-through-the-federal-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xsi:nil="true"/>
    <_dlc_DocId xmlns="5e6029f0-4cb2-4578-9dca-18ac3ce3eaca">CFPBCDO-2004683907-2131832</_dlc_DocId>
    <_dlc_DocIdUrl xmlns="5e6029f0-4cb2-4578-9dca-18ac3ce3eaca">
      <Url>https://bcfp365.sharepoint.com/sites/cdo/_layouts/15/DocIdRedir.aspx?ID=CFPBCDO-2004683907-2131832</Url>
      <Description>CFPBCDO-2004683907-2131832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0" ma:contentTypeDescription="" ma:contentTypeScope="" ma:versionID="32d8e768d47f9d789ff1674a4d9f017a">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17e26a8dfa491724433f0c47dbe9bd7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05f0ae79-fa7d-42cd-a738-9aebccb3fb89" ContentTypeId="0x010100AF5D719A330BE9498B2C5974DBEAC038" PreviousValue="false"/>
</file>

<file path=customXml/itemProps1.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2.xml><?xml version="1.0" encoding="utf-8"?>
<ds:datastoreItem xmlns:ds="http://schemas.openxmlformats.org/officeDocument/2006/customXml" ds:itemID="{0F5836C9-F822-4229-AFE8-AC20BBBC40DB}">
  <ds:schemaRefs>
    <ds:schemaRef ds:uri="http://schemas.microsoft.com/sharepoint/events"/>
  </ds:schemaRefs>
</ds:datastoreItem>
</file>

<file path=customXml/itemProps3.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4.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5.xml><?xml version="1.0" encoding="utf-8"?>
<ds:datastoreItem xmlns:ds="http://schemas.openxmlformats.org/officeDocument/2006/customXml" ds:itemID="{4F97B16F-C5AE-40B9-AEDA-EA60D922B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8EC084-2840-410F-AF95-36837BC3E5F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3380</Words>
  <Characters>20480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23813</CharactersWithSpaces>
  <SharedDoc>false</SharedDoc>
  <HLinks>
    <vt:vector size="6" baseType="variant">
      <vt:variant>
        <vt:i4>720929</vt:i4>
      </vt:variant>
      <vt:variant>
        <vt:i4>0</vt:i4>
      </vt:variant>
      <vt:variant>
        <vt:i4>0</vt:i4>
      </vt:variant>
      <vt:variant>
        <vt:i4>5</vt:i4>
      </vt:variant>
      <vt:variant>
        <vt:lpwstr>mailto:tingyan@umich.edu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Anthony (CFPB)</dc:creator>
  <cp:keywords/>
  <cp:lastModifiedBy>May, Anthony (CFPB)</cp:lastModifiedBy>
  <cp:revision>32</cp:revision>
  <cp:lastPrinted>2017-07-25T10:39:00Z</cp:lastPrinted>
  <dcterms:created xsi:type="dcterms:W3CDTF">2022-04-12T20:59:00Z</dcterms:created>
  <dcterms:modified xsi:type="dcterms:W3CDTF">2022-04-20T14:13:00Z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_dlc_DocIdItemGuid">
    <vt:lpwstr>2eebbce4-b81d-45f5-805b-494e35e8c377</vt:lpwstr>
  </property>
  <property fmtid="{D5CDD505-2E9C-101B-9397-08002B2CF9AE}" pid="5" name="TaxKeyword">
    <vt:lpwstr/>
  </property>
</Properties>
</file>