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25F" w:rsidR="005D125F" w:rsidP="00257821" w:rsidRDefault="005D125F" w14:paraId="4B65A270" w14:textId="77777777">
      <w:pPr>
        <w:pStyle w:val="Default"/>
        <w:spacing w:after="120"/>
        <w:jc w:val="center"/>
        <w:rPr>
          <w:b/>
          <w:bCs/>
          <w:sz w:val="28"/>
          <w:szCs w:val="28"/>
        </w:rPr>
      </w:pPr>
      <w:r w:rsidRPr="005D125F">
        <w:rPr>
          <w:b/>
          <w:bCs/>
          <w:sz w:val="28"/>
          <w:szCs w:val="28"/>
        </w:rPr>
        <w:t>Occupational Safety and Health Review Commission</w:t>
      </w:r>
    </w:p>
    <w:p w:rsidRPr="005D125F" w:rsidR="003924D5" w:rsidP="00257821" w:rsidRDefault="003924D5" w14:paraId="1C2D0B26" w14:textId="3938B84B">
      <w:pPr>
        <w:pStyle w:val="Default"/>
        <w:spacing w:after="120"/>
        <w:jc w:val="center"/>
        <w:rPr>
          <w:sz w:val="28"/>
          <w:szCs w:val="28"/>
        </w:rPr>
      </w:pPr>
      <w:r w:rsidRPr="005D125F">
        <w:rPr>
          <w:b/>
          <w:bCs/>
          <w:sz w:val="28"/>
          <w:szCs w:val="28"/>
        </w:rPr>
        <w:t>Supporting Statement Part A</w:t>
      </w:r>
      <w:r w:rsidRPr="005D125F" w:rsidR="005D125F">
        <w:rPr>
          <w:b/>
          <w:bCs/>
          <w:sz w:val="28"/>
          <w:szCs w:val="28"/>
        </w:rPr>
        <w:t xml:space="preserve"> for Information Collection </w:t>
      </w:r>
      <w:r w:rsidR="00200D5E">
        <w:rPr>
          <w:b/>
          <w:bCs/>
          <w:sz w:val="28"/>
          <w:szCs w:val="28"/>
        </w:rPr>
        <w:t>in</w:t>
      </w:r>
      <w:r w:rsidRPr="005D125F" w:rsidR="005D125F">
        <w:rPr>
          <w:b/>
          <w:bCs/>
          <w:sz w:val="28"/>
          <w:szCs w:val="28"/>
        </w:rPr>
        <w:t xml:space="preserve"> Medical Exception Request Form</w:t>
      </w:r>
    </w:p>
    <w:p w:rsidRPr="00B16734" w:rsidR="003924D5" w:rsidP="00257821" w:rsidRDefault="003924D5" w14:paraId="626F6DC3" w14:textId="3DBD5758">
      <w:pPr>
        <w:pStyle w:val="Default"/>
        <w:spacing w:after="120"/>
        <w:rPr>
          <w:color w:val="2F5496" w:themeColor="accent1" w:themeShade="BF"/>
        </w:rPr>
      </w:pPr>
      <w:r w:rsidRPr="00B16734">
        <w:rPr>
          <w:color w:val="2F5496" w:themeColor="accent1" w:themeShade="BF"/>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B16734" w:rsidR="005D125F" w:rsidP="00257821" w:rsidRDefault="005D125F" w14:paraId="54F4011B" w14:textId="4A1A48C4">
      <w:pPr>
        <w:kinsoku w:val="0"/>
        <w:overflowPunct w:val="0"/>
        <w:autoSpaceDE w:val="0"/>
        <w:autoSpaceDN w:val="0"/>
        <w:adjustRightInd w:val="0"/>
        <w:spacing w:after="120"/>
        <w:ind w:firstLine="720"/>
        <w:rPr>
          <w:rFonts w:cs="Times New Roman"/>
          <w:szCs w:val="24"/>
        </w:rPr>
      </w:pPr>
      <w:r w:rsidRPr="00B16734">
        <w:rPr>
          <w:rFonts w:cs="Times New Roman"/>
          <w:szCs w:val="24"/>
        </w:rPr>
        <w:t>In accordance Executive Order 14043, “Executive Order on Requiring Coronavirus Disease 2019 Vaccination for Federal Employees” (Sept. 9, 2021), each agency is required to “implement, to the extent consistent with applicable law, a program to require COVID-19 vaccination for all of its Federal employees, with exceptions only as required by law.”  The Safer Federal Workforce Task Force</w:t>
      </w:r>
      <w:r w:rsidRPr="00B16734" w:rsidR="002B01AA">
        <w:rPr>
          <w:rFonts w:cs="Times New Roman"/>
          <w:szCs w:val="24"/>
        </w:rPr>
        <w:t xml:space="preserve"> (SFWTF)</w:t>
      </w:r>
      <w:r w:rsidRPr="00B16734">
        <w:rPr>
          <w:rFonts w:cs="Times New Roman"/>
          <w:szCs w:val="24"/>
        </w:rPr>
        <w:t>—</w:t>
      </w:r>
      <w:r w:rsidRPr="00B16734" w:rsidR="00FA2A57">
        <w:rPr>
          <w:rFonts w:cs="Times New Roman"/>
          <w:szCs w:val="24"/>
        </w:rPr>
        <w:t xml:space="preserve">a team of federal departments and agencies established </w:t>
      </w:r>
      <w:r w:rsidRPr="00B16734">
        <w:rPr>
          <w:rFonts w:cs="Times New Roman"/>
          <w:szCs w:val="24"/>
        </w:rPr>
        <w:t xml:space="preserve">by </w:t>
      </w:r>
      <w:r w:rsidRPr="00B16734" w:rsidR="00FA2A57">
        <w:rPr>
          <w:rFonts w:cs="Times New Roman"/>
          <w:szCs w:val="24"/>
        </w:rPr>
        <w:t xml:space="preserve">President Biden </w:t>
      </w:r>
      <w:r w:rsidRPr="00B16734">
        <w:rPr>
          <w:rFonts w:cs="Times New Roman"/>
          <w:szCs w:val="24"/>
        </w:rPr>
        <w:t>to provide federal agencies with guidance on issues related to the COVID-19 pandemic—subsequently issued guidance regarding reasonable accommodation requests</w:t>
      </w:r>
      <w:r w:rsidRPr="00B16734" w:rsidR="0098014C">
        <w:rPr>
          <w:rFonts w:cs="Times New Roman"/>
          <w:szCs w:val="24"/>
        </w:rPr>
        <w:t xml:space="preserve"> </w:t>
      </w:r>
      <w:r w:rsidRPr="00B16734">
        <w:rPr>
          <w:rFonts w:cs="Times New Roman"/>
          <w:szCs w:val="24"/>
        </w:rPr>
        <w:t xml:space="preserve">that may constitute “legally required exception[s] to the vaccination requirement.”  More specifically, under certain circumstances, federal law—such as section 501 of the Rehabilitation Act of 1973, </w:t>
      </w:r>
      <w:r w:rsidRPr="00B16734">
        <w:rPr>
          <w:rFonts w:eastAsia="Times New Roman" w:cs="Times New Roman"/>
          <w:szCs w:val="24"/>
        </w:rPr>
        <w:t>29 U.S.C. 791</w:t>
      </w:r>
      <w:r w:rsidRPr="00B16734">
        <w:rPr>
          <w:rFonts w:cs="Times New Roman"/>
          <w:szCs w:val="24"/>
        </w:rPr>
        <w:t>—may require an agency to provide a reasonable accommodation for an employee or applicant who, because of a disability, requests and is granted an exception from the COVID-19 vaccine mandate.</w:t>
      </w:r>
    </w:p>
    <w:p w:rsidRPr="00B16734" w:rsidR="005D125F" w:rsidP="006931BC" w:rsidRDefault="002B01AA" w14:paraId="23CCADE0" w14:textId="6D666F93">
      <w:pPr>
        <w:kinsoku w:val="0"/>
        <w:overflowPunct w:val="0"/>
        <w:autoSpaceDE w:val="0"/>
        <w:autoSpaceDN w:val="0"/>
        <w:adjustRightInd w:val="0"/>
        <w:spacing w:after="120"/>
        <w:ind w:firstLine="720"/>
        <w:rPr>
          <w:rFonts w:cs="Times New Roman"/>
          <w:szCs w:val="24"/>
        </w:rPr>
      </w:pPr>
      <w:r w:rsidRPr="00B16734">
        <w:rPr>
          <w:rFonts w:cs="Times New Roman"/>
          <w:szCs w:val="24"/>
        </w:rPr>
        <w:t xml:space="preserve">The template request form for a medical exception developed by </w:t>
      </w:r>
      <w:r w:rsidRPr="00B16734" w:rsidR="002426B5">
        <w:rPr>
          <w:rFonts w:cs="Times New Roman"/>
          <w:szCs w:val="24"/>
        </w:rPr>
        <w:t>SFWTF</w:t>
      </w:r>
      <w:r w:rsidRPr="00B16734" w:rsidR="002F53B2">
        <w:rPr>
          <w:rFonts w:cs="Times New Roman"/>
          <w:szCs w:val="24"/>
        </w:rPr>
        <w:t>, which the Review Commission has adopted,</w:t>
      </w:r>
      <w:r w:rsidRPr="00B16734">
        <w:rPr>
          <w:rFonts w:cs="Times New Roman"/>
          <w:szCs w:val="24"/>
        </w:rPr>
        <w:t xml:space="preserve"> includes a </w:t>
      </w:r>
      <w:r w:rsidRPr="00B16734" w:rsidR="004C0332">
        <w:rPr>
          <w:rFonts w:cs="Times New Roman"/>
          <w:szCs w:val="24"/>
        </w:rPr>
        <w:t xml:space="preserve">section </w:t>
      </w:r>
      <w:r w:rsidRPr="00B16734" w:rsidR="002F53B2">
        <w:rPr>
          <w:rFonts w:cs="Times New Roman"/>
          <w:szCs w:val="24"/>
        </w:rPr>
        <w:t>that requires in</w:t>
      </w:r>
      <w:r w:rsidRPr="00B16734" w:rsidR="004C0332">
        <w:rPr>
          <w:rFonts w:cs="Times New Roman"/>
          <w:szCs w:val="24"/>
        </w:rPr>
        <w:t>formation</w:t>
      </w:r>
      <w:r w:rsidRPr="00B16734" w:rsidR="002F53B2">
        <w:rPr>
          <w:rFonts w:cs="Times New Roman"/>
          <w:szCs w:val="24"/>
        </w:rPr>
        <w:t xml:space="preserve"> from </w:t>
      </w:r>
      <w:r w:rsidRPr="00B16734">
        <w:rPr>
          <w:rFonts w:cs="Times New Roman"/>
          <w:szCs w:val="24"/>
        </w:rPr>
        <w:t xml:space="preserve">the </w:t>
      </w:r>
      <w:r w:rsidRPr="00B16734" w:rsidR="006931BC">
        <w:rPr>
          <w:rFonts w:cs="Times New Roman"/>
          <w:szCs w:val="24"/>
        </w:rPr>
        <w:t xml:space="preserve">employee’s </w:t>
      </w:r>
      <w:r w:rsidRPr="00B16734">
        <w:rPr>
          <w:rFonts w:cs="Times New Roman"/>
          <w:szCs w:val="24"/>
        </w:rPr>
        <w:t>medical provider</w:t>
      </w:r>
      <w:r w:rsidRPr="00B16734" w:rsidR="002F53B2">
        <w:rPr>
          <w:rFonts w:cs="Times New Roman"/>
          <w:szCs w:val="24"/>
        </w:rPr>
        <w:t>.  The form is therefore covered by the Paperwork Reduction Act.</w:t>
      </w:r>
      <w:r w:rsidRPr="00B16734">
        <w:rPr>
          <w:rFonts w:cs="Times New Roman"/>
          <w:szCs w:val="24"/>
        </w:rPr>
        <w:t xml:space="preserve">  </w:t>
      </w:r>
      <w:r w:rsidRPr="00B16734" w:rsidR="005D125F">
        <w:rPr>
          <w:rFonts w:cs="Times New Roman"/>
          <w:szCs w:val="24"/>
        </w:rPr>
        <w:t xml:space="preserve">  </w:t>
      </w:r>
    </w:p>
    <w:p w:rsidRPr="00B16734" w:rsidR="00CF0083" w:rsidP="00257821" w:rsidRDefault="003924D5" w14:paraId="32FAE839" w14:textId="77777777">
      <w:pPr>
        <w:pStyle w:val="Default"/>
        <w:spacing w:after="120"/>
        <w:rPr>
          <w:color w:val="2F5496" w:themeColor="accent1" w:themeShade="BF"/>
        </w:rPr>
      </w:pPr>
      <w:r w:rsidRPr="00B16734">
        <w:rPr>
          <w:color w:val="2F5496" w:themeColor="accent1" w:themeShade="BF"/>
        </w:rPr>
        <w:t>2. Indicate how, by whom, and for what purpose the information is to be used. Except for a new collection, indicate the actual use the agency has made of the information received from the current collection.</w:t>
      </w:r>
    </w:p>
    <w:p w:rsidRPr="00B16734" w:rsidR="003924D5" w:rsidP="00257821" w:rsidRDefault="00CF0083" w14:paraId="67D2AF93" w14:textId="2D3F5B4F">
      <w:pPr>
        <w:pStyle w:val="Default"/>
        <w:spacing w:after="120"/>
      </w:pPr>
      <w:r w:rsidRPr="00B16734">
        <w:tab/>
        <w:t>This is a new collection of information.  The information collected will be used to determine whether an employee is entitled</w:t>
      </w:r>
      <w:r w:rsidRPr="00B16734" w:rsidR="003924D5">
        <w:t xml:space="preserve"> </w:t>
      </w:r>
      <w:r w:rsidRPr="00B16734">
        <w:t xml:space="preserve">under section 501 of the Rehabilitation Act of 1973, </w:t>
      </w:r>
      <w:r w:rsidRPr="00B16734">
        <w:rPr>
          <w:rFonts w:eastAsia="Times New Roman"/>
        </w:rPr>
        <w:t>29 U.S.C. 791, to a medical exception to the vaccine mandate for federal employees set forth in E.O. 14043.</w:t>
      </w:r>
    </w:p>
    <w:p w:rsidRPr="00B16734" w:rsidR="00417472" w:rsidP="00257821" w:rsidRDefault="003924D5" w14:paraId="7E704ED9" w14:textId="77777777">
      <w:pPr>
        <w:pStyle w:val="Default"/>
        <w:spacing w:after="120"/>
        <w:rPr>
          <w:color w:val="2F5496" w:themeColor="accent1" w:themeShade="BF"/>
        </w:rPr>
      </w:pPr>
      <w:r w:rsidRPr="00B16734">
        <w:rPr>
          <w:color w:val="2F5496" w:themeColor="accent1" w:themeShade="B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16734" w:rsidR="003924D5" w:rsidP="00257821" w:rsidRDefault="00417472" w14:paraId="18A67D29" w14:textId="0DD35B95">
      <w:pPr>
        <w:pStyle w:val="Default"/>
        <w:spacing w:after="120"/>
        <w:rPr>
          <w:color w:val="auto"/>
        </w:rPr>
      </w:pPr>
      <w:r w:rsidRPr="00B16734">
        <w:rPr>
          <w:color w:val="auto"/>
        </w:rPr>
        <w:tab/>
        <w:t>The</w:t>
      </w:r>
      <w:r w:rsidRPr="00B16734" w:rsidR="004C0332">
        <w:rPr>
          <w:color w:val="auto"/>
        </w:rPr>
        <w:t xml:space="preserve"> medical exception</w:t>
      </w:r>
      <w:r w:rsidRPr="00B16734">
        <w:rPr>
          <w:color w:val="auto"/>
        </w:rPr>
        <w:t xml:space="preserve"> form is a fillable pdf.  The </w:t>
      </w:r>
      <w:r w:rsidRPr="00B16734" w:rsidR="009114B0">
        <w:rPr>
          <w:color w:val="auto"/>
        </w:rPr>
        <w:t xml:space="preserve">employee </w:t>
      </w:r>
      <w:r w:rsidRPr="00B16734">
        <w:rPr>
          <w:color w:val="auto"/>
        </w:rPr>
        <w:t xml:space="preserve">and </w:t>
      </w:r>
      <w:r w:rsidRPr="00B16734" w:rsidR="009114B0">
        <w:rPr>
          <w:color w:val="auto"/>
        </w:rPr>
        <w:t xml:space="preserve">their </w:t>
      </w:r>
      <w:r w:rsidRPr="00B16734">
        <w:rPr>
          <w:color w:val="auto"/>
        </w:rPr>
        <w:t xml:space="preserve">medical </w:t>
      </w:r>
      <w:r w:rsidRPr="00B16734" w:rsidR="00B06115">
        <w:rPr>
          <w:color w:val="auto"/>
        </w:rPr>
        <w:t xml:space="preserve">provider </w:t>
      </w:r>
      <w:r w:rsidRPr="00B16734">
        <w:rPr>
          <w:color w:val="auto"/>
        </w:rPr>
        <w:t xml:space="preserve">could transmit </w:t>
      </w:r>
      <w:r w:rsidRPr="00B16734" w:rsidR="00B06115">
        <w:rPr>
          <w:color w:val="auto"/>
        </w:rPr>
        <w:t>the form</w:t>
      </w:r>
      <w:r w:rsidRPr="00B16734">
        <w:rPr>
          <w:color w:val="auto"/>
        </w:rPr>
        <w:t xml:space="preserve"> via email </w:t>
      </w:r>
      <w:r w:rsidRPr="00B16734" w:rsidR="004C0332">
        <w:rPr>
          <w:color w:val="auto"/>
        </w:rPr>
        <w:t xml:space="preserve">to the agency </w:t>
      </w:r>
      <w:r w:rsidRPr="00B16734">
        <w:rPr>
          <w:color w:val="auto"/>
        </w:rPr>
        <w:t xml:space="preserve">and </w:t>
      </w:r>
      <w:r w:rsidRPr="00B16734" w:rsidR="004C0332">
        <w:rPr>
          <w:color w:val="auto"/>
        </w:rPr>
        <w:t xml:space="preserve">retain a copy of </w:t>
      </w:r>
      <w:r w:rsidRPr="00B16734">
        <w:rPr>
          <w:color w:val="auto"/>
        </w:rPr>
        <w:t xml:space="preserve">the form as a pdf file.  </w:t>
      </w:r>
      <w:r w:rsidRPr="00B16734" w:rsidR="00B06115">
        <w:rPr>
          <w:color w:val="auto"/>
        </w:rPr>
        <w:t xml:space="preserve">The Commission is allowing transmission </w:t>
      </w:r>
      <w:r w:rsidRPr="00B16734" w:rsidR="004C0332">
        <w:rPr>
          <w:color w:val="auto"/>
        </w:rPr>
        <w:t xml:space="preserve">of the form </w:t>
      </w:r>
      <w:r w:rsidRPr="00B16734" w:rsidR="00B06115">
        <w:rPr>
          <w:color w:val="auto"/>
        </w:rPr>
        <w:t xml:space="preserve">via email due to the time-sensitive nature of the vaccine mandate.  However, </w:t>
      </w:r>
      <w:r w:rsidRPr="00B16734" w:rsidR="002426B5">
        <w:rPr>
          <w:color w:val="auto"/>
        </w:rPr>
        <w:t>in light of</w:t>
      </w:r>
      <w:r w:rsidRPr="00B16734" w:rsidR="00B06115">
        <w:rPr>
          <w:color w:val="auto"/>
        </w:rPr>
        <w:t xml:space="preserve"> the </w:t>
      </w:r>
      <w:r w:rsidRPr="00B16734">
        <w:rPr>
          <w:color w:val="auto"/>
        </w:rPr>
        <w:t>Review Commission’s limited budget</w:t>
      </w:r>
      <w:r w:rsidRPr="00B16734" w:rsidR="00B06115">
        <w:rPr>
          <w:color w:val="auto"/>
        </w:rPr>
        <w:t xml:space="preserve">, time constraints, and </w:t>
      </w:r>
      <w:r w:rsidRPr="00B16734" w:rsidR="004C0332">
        <w:rPr>
          <w:color w:val="auto"/>
        </w:rPr>
        <w:t xml:space="preserve">size </w:t>
      </w:r>
      <w:r w:rsidRPr="00B16734" w:rsidR="00B06115">
        <w:rPr>
          <w:color w:val="auto"/>
        </w:rPr>
        <w:t>(less than 60</w:t>
      </w:r>
      <w:r w:rsidRPr="00B16734" w:rsidR="004C0332">
        <w:rPr>
          <w:color w:val="auto"/>
        </w:rPr>
        <w:t xml:space="preserve"> FTEs</w:t>
      </w:r>
      <w:r w:rsidRPr="00B16734" w:rsidR="00B06115">
        <w:rPr>
          <w:color w:val="auto"/>
        </w:rPr>
        <w:t xml:space="preserve">), a decision has been made not to provide a </w:t>
      </w:r>
      <w:r w:rsidRPr="00B16734" w:rsidR="004C0332">
        <w:rPr>
          <w:color w:val="auto"/>
        </w:rPr>
        <w:t xml:space="preserve">method </w:t>
      </w:r>
      <w:r w:rsidRPr="00B16734" w:rsidR="00B06115">
        <w:rPr>
          <w:color w:val="auto"/>
        </w:rPr>
        <w:t xml:space="preserve">for submitting </w:t>
      </w:r>
      <w:r w:rsidRPr="00B16734" w:rsidR="001774BC">
        <w:rPr>
          <w:color w:val="auto"/>
        </w:rPr>
        <w:t xml:space="preserve">the </w:t>
      </w:r>
      <w:r w:rsidRPr="00B16734" w:rsidR="00B06115">
        <w:rPr>
          <w:color w:val="auto"/>
        </w:rPr>
        <w:t>form</w:t>
      </w:r>
      <w:r w:rsidRPr="00B16734" w:rsidR="001774BC">
        <w:rPr>
          <w:color w:val="auto"/>
        </w:rPr>
        <w:t xml:space="preserve"> </w:t>
      </w:r>
      <w:r w:rsidRPr="00B16734" w:rsidR="00B06115">
        <w:rPr>
          <w:color w:val="auto"/>
        </w:rPr>
        <w:t xml:space="preserve">through the </w:t>
      </w:r>
      <w:r w:rsidRPr="00B16734" w:rsidR="001774BC">
        <w:rPr>
          <w:color w:val="auto"/>
        </w:rPr>
        <w:t xml:space="preserve">agency’s </w:t>
      </w:r>
      <w:r w:rsidRPr="00B16734" w:rsidR="00B06115">
        <w:rPr>
          <w:color w:val="auto"/>
        </w:rPr>
        <w:t>website.</w:t>
      </w:r>
      <w:r w:rsidRPr="00B16734">
        <w:rPr>
          <w:color w:val="auto"/>
        </w:rPr>
        <w:t xml:space="preserve">  </w:t>
      </w:r>
    </w:p>
    <w:p w:rsidRPr="00B16734" w:rsidR="003924D5" w:rsidP="00257821" w:rsidRDefault="003924D5" w14:paraId="461C50CE" w14:textId="6B377DFD">
      <w:pPr>
        <w:pStyle w:val="Default"/>
        <w:spacing w:after="120"/>
        <w:rPr>
          <w:color w:val="2F5496" w:themeColor="accent1" w:themeShade="BF"/>
        </w:rPr>
      </w:pPr>
      <w:r w:rsidRPr="00B16734">
        <w:rPr>
          <w:color w:val="2F5496" w:themeColor="accent1" w:themeShade="BF"/>
        </w:rPr>
        <w:t xml:space="preserve">4. Describe efforts to identify duplication. Show specifically why any similar information already available cannot be used or modified for use for the purposes described in Item 2 above. </w:t>
      </w:r>
    </w:p>
    <w:p w:rsidRPr="00B16734" w:rsidR="00257821" w:rsidP="00257821" w:rsidRDefault="00257821" w14:paraId="4AE94207" w14:textId="74E38026">
      <w:pPr>
        <w:pStyle w:val="Default"/>
        <w:spacing w:after="120"/>
        <w:rPr>
          <w:color w:val="auto"/>
        </w:rPr>
      </w:pPr>
      <w:r w:rsidRPr="00B16734">
        <w:rPr>
          <w:color w:val="auto"/>
        </w:rPr>
        <w:lastRenderedPageBreak/>
        <w:tab/>
        <w:t>Information concerning a</w:t>
      </w:r>
      <w:r w:rsidRPr="00B16734" w:rsidR="009114B0">
        <w:rPr>
          <w:color w:val="auto"/>
        </w:rPr>
        <w:t>n employee’s</w:t>
      </w:r>
      <w:r w:rsidRPr="00B16734" w:rsidR="001C5F06">
        <w:rPr>
          <w:color w:val="auto"/>
        </w:rPr>
        <w:t xml:space="preserve"> </w:t>
      </w:r>
      <w:r w:rsidRPr="00B16734">
        <w:rPr>
          <w:color w:val="auto"/>
        </w:rPr>
        <w:t xml:space="preserve">medical condition that could serve as a basis for </w:t>
      </w:r>
      <w:r w:rsidRPr="00B16734" w:rsidR="009114B0">
        <w:rPr>
          <w:color w:val="auto"/>
        </w:rPr>
        <w:t xml:space="preserve">requesting an </w:t>
      </w:r>
      <w:r w:rsidRPr="00B16734">
        <w:rPr>
          <w:color w:val="auto"/>
        </w:rPr>
        <w:t>exception to the vaccine mandate is not otherwise collected by the Review Commission.</w:t>
      </w:r>
    </w:p>
    <w:p w:rsidRPr="00B16734" w:rsidR="003924D5" w:rsidP="00257821" w:rsidRDefault="003924D5" w14:paraId="4754D08B" w14:textId="2EF380F8">
      <w:pPr>
        <w:pStyle w:val="Default"/>
        <w:spacing w:after="120"/>
        <w:rPr>
          <w:color w:val="2F5496" w:themeColor="accent1" w:themeShade="BF"/>
        </w:rPr>
      </w:pPr>
      <w:r w:rsidRPr="00B16734">
        <w:rPr>
          <w:color w:val="2F5496" w:themeColor="accent1" w:themeShade="BF"/>
        </w:rPr>
        <w:t xml:space="preserve">5. If the collection of information impacts small businesses or other small entities, describe any methods used to minimize burden. </w:t>
      </w:r>
    </w:p>
    <w:p w:rsidRPr="00B16734" w:rsidR="00257821" w:rsidP="00257821" w:rsidRDefault="00257821" w14:paraId="4EA76A02" w14:textId="6CBDA7D7">
      <w:pPr>
        <w:pStyle w:val="Default"/>
        <w:spacing w:after="120"/>
        <w:rPr>
          <w:color w:val="auto"/>
        </w:rPr>
      </w:pPr>
      <w:r w:rsidRPr="00B16734">
        <w:rPr>
          <w:color w:val="auto"/>
        </w:rPr>
        <w:tab/>
      </w:r>
      <w:r w:rsidRPr="00B16734" w:rsidR="00002225">
        <w:rPr>
          <w:color w:val="auto"/>
        </w:rPr>
        <w:t>The impact on s</w:t>
      </w:r>
      <w:r w:rsidRPr="00B16734">
        <w:rPr>
          <w:color w:val="auto"/>
        </w:rPr>
        <w:t xml:space="preserve">mall businesses and other small entities </w:t>
      </w:r>
      <w:r w:rsidRPr="00B16734" w:rsidR="00002225">
        <w:rPr>
          <w:color w:val="auto"/>
        </w:rPr>
        <w:t>is minimal</w:t>
      </w:r>
      <w:r w:rsidRPr="00B16734">
        <w:rPr>
          <w:color w:val="auto"/>
        </w:rPr>
        <w:t>.  The medical exception form is available only to federal employees who work at the Review Commission</w:t>
      </w:r>
      <w:r w:rsidRPr="00B16734" w:rsidR="00002225">
        <w:rPr>
          <w:color w:val="auto"/>
        </w:rPr>
        <w:t xml:space="preserve"> (less than 60 FTEs)</w:t>
      </w:r>
      <w:r w:rsidRPr="00B16734" w:rsidR="00337307">
        <w:rPr>
          <w:color w:val="auto"/>
        </w:rPr>
        <w:t>.  This form</w:t>
      </w:r>
      <w:r w:rsidRPr="00B16734" w:rsidR="00002225">
        <w:rPr>
          <w:color w:val="auto"/>
        </w:rPr>
        <w:t xml:space="preserve"> would be distributed to a medical provider only if one of those employees is requesting a medical exception to the vaccine requirement</w:t>
      </w:r>
      <w:r w:rsidRPr="00B16734">
        <w:rPr>
          <w:color w:val="auto"/>
        </w:rPr>
        <w:t>.</w:t>
      </w:r>
      <w:r w:rsidRPr="00B16734" w:rsidR="00002225">
        <w:rPr>
          <w:color w:val="auto"/>
        </w:rPr>
        <w:t xml:space="preserve">  The form itself </w:t>
      </w:r>
      <w:r w:rsidRPr="00B16734" w:rsidR="00337307">
        <w:rPr>
          <w:color w:val="auto"/>
        </w:rPr>
        <w:t xml:space="preserve">is relatively short and the information sought is limited to the </w:t>
      </w:r>
      <w:r w:rsidRPr="00B16734" w:rsidR="00A5739F">
        <w:rPr>
          <w:color w:val="auto"/>
        </w:rPr>
        <w:t xml:space="preserve">employee’s </w:t>
      </w:r>
      <w:r w:rsidRPr="00B16734" w:rsidR="00337307">
        <w:rPr>
          <w:color w:val="auto"/>
        </w:rPr>
        <w:t xml:space="preserve">medical condition that would support </w:t>
      </w:r>
      <w:r w:rsidRPr="00B16734" w:rsidR="00A5739F">
        <w:rPr>
          <w:color w:val="auto"/>
        </w:rPr>
        <w:t xml:space="preserve">the </w:t>
      </w:r>
      <w:r w:rsidRPr="00B16734" w:rsidR="00337307">
        <w:rPr>
          <w:color w:val="auto"/>
        </w:rPr>
        <w:t>medical exception</w:t>
      </w:r>
      <w:r w:rsidRPr="00B16734" w:rsidR="00A5739F">
        <w:rPr>
          <w:color w:val="auto"/>
        </w:rPr>
        <w:t xml:space="preserve"> request</w:t>
      </w:r>
      <w:r w:rsidRPr="00B16734" w:rsidR="00002225">
        <w:rPr>
          <w:color w:val="auto"/>
        </w:rPr>
        <w:t>.</w:t>
      </w:r>
    </w:p>
    <w:p w:rsidRPr="00B16734" w:rsidR="00126584" w:rsidP="00257821" w:rsidRDefault="003924D5" w14:paraId="64BC89B6" w14:textId="77777777">
      <w:pPr>
        <w:pStyle w:val="Default"/>
        <w:spacing w:after="120"/>
        <w:rPr>
          <w:color w:val="2F5496" w:themeColor="accent1" w:themeShade="BF"/>
        </w:rPr>
      </w:pPr>
      <w:r w:rsidRPr="00B16734">
        <w:rPr>
          <w:color w:val="2F5496" w:themeColor="accent1" w:themeShade="BF"/>
        </w:rPr>
        <w:t>6. Describe the consequence to Federal program or policy activities if the collection is not conducted or is conducted less frequently, as well as any technical or legal obstacles to reducing burden.</w:t>
      </w:r>
    </w:p>
    <w:p w:rsidRPr="00B16734" w:rsidR="003924D5" w:rsidP="00257821" w:rsidRDefault="00126584" w14:paraId="1BD138F1" w14:textId="56B82B43">
      <w:pPr>
        <w:pStyle w:val="Default"/>
        <w:spacing w:after="120"/>
        <w:rPr>
          <w:color w:val="2F5496" w:themeColor="accent1" w:themeShade="BF"/>
        </w:rPr>
      </w:pPr>
      <w:r w:rsidRPr="00B16734">
        <w:rPr>
          <w:color w:val="2F5496" w:themeColor="accent1" w:themeShade="BF"/>
        </w:rPr>
        <w:tab/>
      </w:r>
      <w:r w:rsidRPr="00B16734">
        <w:rPr>
          <w:color w:val="auto"/>
        </w:rPr>
        <w:t xml:space="preserve">The collection of information is limited to circumstances in which a federal employee requests an exception to the vaccine requirement for medical reasons.  If the collection of information is not conducted, the Review Commission would </w:t>
      </w:r>
      <w:r w:rsidRPr="00B16734" w:rsidR="001075B5">
        <w:rPr>
          <w:color w:val="auto"/>
        </w:rPr>
        <w:t>lack</w:t>
      </w:r>
      <w:r w:rsidRPr="00B16734">
        <w:rPr>
          <w:color w:val="auto"/>
        </w:rPr>
        <w:t xml:space="preserve"> </w:t>
      </w:r>
      <w:r w:rsidRPr="00B16734" w:rsidR="001075B5">
        <w:rPr>
          <w:color w:val="auto"/>
        </w:rPr>
        <w:t xml:space="preserve">sufficient </w:t>
      </w:r>
      <w:r w:rsidRPr="00B16734">
        <w:rPr>
          <w:color w:val="auto"/>
        </w:rPr>
        <w:t xml:space="preserve">information to </w:t>
      </w:r>
      <w:r w:rsidRPr="00B16734" w:rsidR="001075B5">
        <w:rPr>
          <w:color w:val="auto"/>
        </w:rPr>
        <w:t xml:space="preserve">determine </w:t>
      </w:r>
      <w:r w:rsidRPr="00B16734">
        <w:rPr>
          <w:color w:val="auto"/>
        </w:rPr>
        <w:t xml:space="preserve">whether the </w:t>
      </w:r>
      <w:r w:rsidRPr="00B16734" w:rsidR="009114B0">
        <w:rPr>
          <w:color w:val="auto"/>
        </w:rPr>
        <w:t xml:space="preserve">employee </w:t>
      </w:r>
      <w:r w:rsidRPr="00B16734">
        <w:rPr>
          <w:color w:val="auto"/>
        </w:rPr>
        <w:t xml:space="preserve">is </w:t>
      </w:r>
      <w:r w:rsidRPr="00B16734" w:rsidR="001075B5">
        <w:rPr>
          <w:color w:val="auto"/>
        </w:rPr>
        <w:t xml:space="preserve">legally </w:t>
      </w:r>
      <w:r w:rsidRPr="00B16734">
        <w:rPr>
          <w:color w:val="auto"/>
        </w:rPr>
        <w:t>entitled to a</w:t>
      </w:r>
      <w:r w:rsidRPr="00B16734" w:rsidR="001075B5">
        <w:rPr>
          <w:color w:val="auto"/>
        </w:rPr>
        <w:t>n exception to the vaccine mandate and granted a</w:t>
      </w:r>
      <w:r w:rsidRPr="00B16734">
        <w:rPr>
          <w:color w:val="auto"/>
        </w:rPr>
        <w:t xml:space="preserve"> reasonable accommodation.</w:t>
      </w:r>
      <w:r w:rsidRPr="00B16734" w:rsidR="003924D5">
        <w:rPr>
          <w:color w:val="2F5496" w:themeColor="accent1" w:themeShade="BF"/>
        </w:rPr>
        <w:t xml:space="preserve"> </w:t>
      </w:r>
    </w:p>
    <w:p w:rsidRPr="00B16734" w:rsidR="003924D5" w:rsidP="00257821" w:rsidRDefault="003924D5" w14:paraId="4482443A" w14:textId="77777777">
      <w:pPr>
        <w:pStyle w:val="Default"/>
        <w:spacing w:after="120"/>
        <w:rPr>
          <w:color w:val="2F5496" w:themeColor="accent1" w:themeShade="BF"/>
        </w:rPr>
      </w:pPr>
      <w:r w:rsidRPr="00B16734">
        <w:rPr>
          <w:color w:val="2F5496" w:themeColor="accent1" w:themeShade="BF"/>
        </w:rPr>
        <w:t xml:space="preserve">7. Explain any special circumstances that would cause an information collection to be conducted in a manner: </w:t>
      </w:r>
    </w:p>
    <w:p w:rsidRPr="00B16734" w:rsidR="0038484D" w:rsidP="00257821" w:rsidRDefault="003924D5" w14:paraId="3EAEEC9F" w14:textId="77777777">
      <w:pPr>
        <w:pStyle w:val="Default"/>
        <w:numPr>
          <w:ilvl w:val="0"/>
          <w:numId w:val="3"/>
        </w:numPr>
        <w:spacing w:after="120"/>
        <w:rPr>
          <w:color w:val="2F5496" w:themeColor="accent1" w:themeShade="BF"/>
        </w:rPr>
      </w:pPr>
      <w:r w:rsidRPr="00B16734">
        <w:rPr>
          <w:color w:val="2F5496" w:themeColor="accent1" w:themeShade="BF"/>
        </w:rPr>
        <w:t>requiring respondents to report information to the agency more often than quarterly;</w:t>
      </w:r>
    </w:p>
    <w:p w:rsidRPr="00B16734" w:rsidR="003924D5" w:rsidP="0038484D" w:rsidRDefault="0038484D" w14:paraId="54803445" w14:textId="153E905D">
      <w:pPr>
        <w:pStyle w:val="Default"/>
        <w:numPr>
          <w:ilvl w:val="1"/>
          <w:numId w:val="3"/>
        </w:numPr>
        <w:spacing w:after="120"/>
        <w:rPr>
          <w:color w:val="2F5496" w:themeColor="accent1" w:themeShade="BF"/>
        </w:rPr>
      </w:pPr>
      <w:r w:rsidRPr="00B16734">
        <w:rPr>
          <w:color w:val="auto"/>
        </w:rPr>
        <w:t>Not applicable.</w:t>
      </w:r>
      <w:r w:rsidRPr="00B16734" w:rsidR="003924D5">
        <w:rPr>
          <w:color w:val="2F5496" w:themeColor="accent1" w:themeShade="BF"/>
        </w:rPr>
        <w:t xml:space="preserve"> </w:t>
      </w:r>
    </w:p>
    <w:p w:rsidRPr="00B16734" w:rsidR="003924D5" w:rsidP="00257821" w:rsidRDefault="003924D5" w14:paraId="556214AE" w14:textId="332242BC">
      <w:pPr>
        <w:pStyle w:val="Default"/>
        <w:numPr>
          <w:ilvl w:val="0"/>
          <w:numId w:val="3"/>
        </w:numPr>
        <w:spacing w:after="120"/>
        <w:rPr>
          <w:color w:val="2F5496" w:themeColor="accent1" w:themeShade="BF"/>
        </w:rPr>
      </w:pPr>
      <w:r w:rsidRPr="00B16734">
        <w:rPr>
          <w:color w:val="2F5496" w:themeColor="accent1" w:themeShade="BF"/>
        </w:rPr>
        <w:t xml:space="preserve">requiring respondents to prepare a written response to a collection of information in fewer than 30 days after receipt of it; </w:t>
      </w:r>
    </w:p>
    <w:p w:rsidRPr="00B16734" w:rsidR="0038484D" w:rsidP="0038484D" w:rsidRDefault="0038484D" w14:paraId="4466E2EA" w14:textId="3A1C02D3">
      <w:pPr>
        <w:pStyle w:val="Default"/>
        <w:numPr>
          <w:ilvl w:val="1"/>
          <w:numId w:val="3"/>
        </w:numPr>
        <w:spacing w:after="120"/>
        <w:rPr>
          <w:color w:val="2F5496" w:themeColor="accent1" w:themeShade="BF"/>
        </w:rPr>
      </w:pPr>
      <w:r w:rsidRPr="00B16734">
        <w:rPr>
          <w:color w:val="auto"/>
        </w:rPr>
        <w:t>Not applicable.</w:t>
      </w:r>
    </w:p>
    <w:p w:rsidRPr="00B16734" w:rsidR="0038484D" w:rsidP="00257821" w:rsidRDefault="003924D5" w14:paraId="5EE26534" w14:textId="77777777">
      <w:pPr>
        <w:pStyle w:val="Default"/>
        <w:numPr>
          <w:ilvl w:val="0"/>
          <w:numId w:val="3"/>
        </w:numPr>
        <w:spacing w:after="120"/>
        <w:rPr>
          <w:color w:val="2F5496" w:themeColor="accent1" w:themeShade="BF"/>
        </w:rPr>
      </w:pPr>
      <w:r w:rsidRPr="00B16734">
        <w:rPr>
          <w:color w:val="2F5496" w:themeColor="accent1" w:themeShade="BF"/>
        </w:rPr>
        <w:t>requiring respondents to submit more than an original and two copies of any document;</w:t>
      </w:r>
    </w:p>
    <w:p w:rsidRPr="00B16734" w:rsidR="003924D5" w:rsidP="0038484D" w:rsidRDefault="0038484D" w14:paraId="2EC03A58" w14:textId="2E51665D">
      <w:pPr>
        <w:pStyle w:val="Default"/>
        <w:numPr>
          <w:ilvl w:val="1"/>
          <w:numId w:val="3"/>
        </w:numPr>
        <w:spacing w:after="120"/>
        <w:rPr>
          <w:color w:val="2F5496" w:themeColor="accent1" w:themeShade="BF"/>
        </w:rPr>
      </w:pPr>
      <w:r w:rsidRPr="00B16734">
        <w:rPr>
          <w:color w:val="auto"/>
        </w:rPr>
        <w:t>Not applicable.</w:t>
      </w:r>
      <w:r w:rsidRPr="00B16734" w:rsidR="003924D5">
        <w:rPr>
          <w:color w:val="2F5496" w:themeColor="accent1" w:themeShade="BF"/>
        </w:rPr>
        <w:t xml:space="preserve"> </w:t>
      </w:r>
    </w:p>
    <w:p w:rsidRPr="00B16734" w:rsidR="003924D5" w:rsidP="00257821" w:rsidRDefault="003924D5" w14:paraId="1F8B015C" w14:textId="7E90BF6C">
      <w:pPr>
        <w:pStyle w:val="Default"/>
        <w:numPr>
          <w:ilvl w:val="0"/>
          <w:numId w:val="3"/>
        </w:numPr>
        <w:spacing w:after="120"/>
        <w:rPr>
          <w:color w:val="2F5496" w:themeColor="accent1" w:themeShade="BF"/>
        </w:rPr>
      </w:pPr>
      <w:r w:rsidRPr="00B16734">
        <w:rPr>
          <w:color w:val="2F5496" w:themeColor="accent1" w:themeShade="BF"/>
        </w:rPr>
        <w:t>requiring respondents to retain records, other than health, medical, government contract, grant-in-aid, or tax records, for more than three years;</w:t>
      </w:r>
    </w:p>
    <w:p w:rsidRPr="00B16734" w:rsidR="0038484D" w:rsidP="0038484D" w:rsidRDefault="0038484D" w14:paraId="120C8D45" w14:textId="06944D70">
      <w:pPr>
        <w:pStyle w:val="Default"/>
        <w:numPr>
          <w:ilvl w:val="1"/>
          <w:numId w:val="3"/>
        </w:numPr>
        <w:spacing w:after="120"/>
        <w:rPr>
          <w:color w:val="2F5496" w:themeColor="accent1" w:themeShade="BF"/>
        </w:rPr>
      </w:pPr>
      <w:r w:rsidRPr="00B16734">
        <w:rPr>
          <w:color w:val="auto"/>
        </w:rPr>
        <w:t>Not applicable.</w:t>
      </w:r>
    </w:p>
    <w:p w:rsidRPr="00B16734" w:rsidR="0038484D" w:rsidP="00257821" w:rsidRDefault="003924D5" w14:paraId="6E1ECD93" w14:textId="77777777">
      <w:pPr>
        <w:pStyle w:val="Default"/>
        <w:numPr>
          <w:ilvl w:val="0"/>
          <w:numId w:val="3"/>
        </w:numPr>
        <w:spacing w:after="120"/>
        <w:rPr>
          <w:color w:val="2F5496" w:themeColor="accent1" w:themeShade="BF"/>
        </w:rPr>
      </w:pPr>
      <w:r w:rsidRPr="00B16734">
        <w:rPr>
          <w:color w:val="2F5496" w:themeColor="accent1" w:themeShade="BF"/>
        </w:rPr>
        <w:t>in connection with a statistical survey, that is not designed to produce valid and reliable results that can be generalized to the universe of study;</w:t>
      </w:r>
    </w:p>
    <w:p w:rsidRPr="00B16734" w:rsidR="00257821" w:rsidP="0038484D" w:rsidRDefault="0038484D" w14:paraId="1F26EACB" w14:textId="2EC18015">
      <w:pPr>
        <w:pStyle w:val="Default"/>
        <w:numPr>
          <w:ilvl w:val="1"/>
          <w:numId w:val="3"/>
        </w:numPr>
        <w:spacing w:after="120"/>
        <w:rPr>
          <w:color w:val="2F5496" w:themeColor="accent1" w:themeShade="BF"/>
        </w:rPr>
      </w:pPr>
      <w:r w:rsidRPr="00B16734">
        <w:rPr>
          <w:color w:val="auto"/>
        </w:rPr>
        <w:t>Not applicable.</w:t>
      </w:r>
      <w:r w:rsidRPr="00B16734" w:rsidR="003924D5">
        <w:rPr>
          <w:color w:val="2F5496" w:themeColor="accent1" w:themeShade="BF"/>
        </w:rPr>
        <w:t xml:space="preserve"> </w:t>
      </w:r>
    </w:p>
    <w:p w:rsidRPr="00B16734" w:rsidR="003924D5" w:rsidP="00257821" w:rsidRDefault="003924D5" w14:paraId="7EAD526F" w14:textId="505B83F7">
      <w:pPr>
        <w:pStyle w:val="Default"/>
        <w:numPr>
          <w:ilvl w:val="0"/>
          <w:numId w:val="3"/>
        </w:numPr>
        <w:spacing w:after="120"/>
        <w:rPr>
          <w:color w:val="2F5496" w:themeColor="accent1" w:themeShade="BF"/>
        </w:rPr>
      </w:pPr>
      <w:r w:rsidRPr="00B16734">
        <w:rPr>
          <w:color w:val="2F5496" w:themeColor="accent1" w:themeShade="BF"/>
        </w:rPr>
        <w:t xml:space="preserve">requiring the use of a statistical data classification that has not been reviewed and approved by OMB; </w:t>
      </w:r>
    </w:p>
    <w:p w:rsidRPr="00B16734" w:rsidR="0038484D" w:rsidP="0038484D" w:rsidRDefault="0038484D" w14:paraId="61E26881" w14:textId="45D00B88">
      <w:pPr>
        <w:pStyle w:val="Default"/>
        <w:numPr>
          <w:ilvl w:val="1"/>
          <w:numId w:val="3"/>
        </w:numPr>
        <w:spacing w:after="120"/>
        <w:rPr>
          <w:color w:val="2F5496" w:themeColor="accent1" w:themeShade="BF"/>
        </w:rPr>
      </w:pPr>
      <w:r w:rsidRPr="00B16734">
        <w:rPr>
          <w:color w:val="auto"/>
        </w:rPr>
        <w:t>Not applicable.</w:t>
      </w:r>
    </w:p>
    <w:p w:rsidRPr="00B16734" w:rsidR="003924D5" w:rsidP="00257821" w:rsidRDefault="003924D5" w14:paraId="5A4075AB" w14:textId="5957451C">
      <w:pPr>
        <w:pStyle w:val="Default"/>
        <w:numPr>
          <w:ilvl w:val="0"/>
          <w:numId w:val="4"/>
        </w:numPr>
        <w:spacing w:after="120"/>
        <w:rPr>
          <w:color w:val="2F5496" w:themeColor="accent1" w:themeShade="BF"/>
        </w:rPr>
      </w:pPr>
      <w:r w:rsidRPr="00B16734">
        <w:rPr>
          <w:color w:val="2F5496" w:themeColor="accent1" w:themeShade="BF"/>
        </w:rPr>
        <w:t xml:space="preserve">that includes a pledge of confidentiality that is not supported by authority established in statute or regulation, that is not supported by disclosure and data security policies that are </w:t>
      </w:r>
      <w:r w:rsidRPr="00B16734">
        <w:rPr>
          <w:color w:val="2F5496" w:themeColor="accent1" w:themeShade="BF"/>
        </w:rPr>
        <w:lastRenderedPageBreak/>
        <w:t xml:space="preserve">consistent with the pledge, or which unnecessarily impedes sharing of data with other agencies for compatible confidential use; or </w:t>
      </w:r>
    </w:p>
    <w:p w:rsidRPr="00B16734" w:rsidR="0038484D" w:rsidP="0038484D" w:rsidRDefault="0038484D" w14:paraId="040321CF" w14:textId="0734C57D">
      <w:pPr>
        <w:pStyle w:val="Default"/>
        <w:numPr>
          <w:ilvl w:val="1"/>
          <w:numId w:val="4"/>
        </w:numPr>
        <w:spacing w:after="120"/>
        <w:rPr>
          <w:color w:val="2F5496" w:themeColor="accent1" w:themeShade="BF"/>
        </w:rPr>
      </w:pPr>
      <w:r w:rsidRPr="00B16734">
        <w:rPr>
          <w:color w:val="auto"/>
        </w:rPr>
        <w:t>Not applicable.</w:t>
      </w:r>
    </w:p>
    <w:p w:rsidRPr="00B16734" w:rsidR="0038484D" w:rsidP="00257821" w:rsidRDefault="003924D5" w14:paraId="397431A3" w14:textId="77777777">
      <w:pPr>
        <w:pStyle w:val="Default"/>
        <w:numPr>
          <w:ilvl w:val="0"/>
          <w:numId w:val="4"/>
        </w:numPr>
        <w:spacing w:after="120"/>
        <w:rPr>
          <w:color w:val="2F5496" w:themeColor="accent1" w:themeShade="BF"/>
        </w:rPr>
      </w:pPr>
      <w:r w:rsidRPr="00B16734">
        <w:rPr>
          <w:color w:val="2F5496" w:themeColor="accent1" w:themeShade="BF"/>
        </w:rPr>
        <w:t>requiring respondents to submit proprietary trade secrets, or other confidential information unless the agency can demonstrate that it has instituted procedures to protect the information's confidentiality to the extent permitted by law.</w:t>
      </w:r>
    </w:p>
    <w:p w:rsidRPr="00B16734" w:rsidR="003924D5" w:rsidP="0038484D" w:rsidRDefault="0038484D" w14:paraId="75EEF902" w14:textId="39A10AC3">
      <w:pPr>
        <w:pStyle w:val="Default"/>
        <w:numPr>
          <w:ilvl w:val="1"/>
          <w:numId w:val="4"/>
        </w:numPr>
        <w:spacing w:after="120"/>
        <w:rPr>
          <w:color w:val="2F5496" w:themeColor="accent1" w:themeShade="BF"/>
        </w:rPr>
      </w:pPr>
      <w:r w:rsidRPr="00B16734">
        <w:rPr>
          <w:color w:val="auto"/>
        </w:rPr>
        <w:t>Not applicable.</w:t>
      </w:r>
      <w:r w:rsidRPr="00B16734" w:rsidR="003924D5">
        <w:rPr>
          <w:color w:val="2F5496" w:themeColor="accent1" w:themeShade="BF"/>
        </w:rPr>
        <w:t xml:space="preserve"> </w:t>
      </w:r>
    </w:p>
    <w:p w:rsidRPr="00B16734" w:rsidR="003924D5" w:rsidP="00257821" w:rsidRDefault="003924D5" w14:paraId="362274DE" w14:textId="7226BECB">
      <w:pPr>
        <w:pStyle w:val="Default"/>
        <w:spacing w:after="120"/>
        <w:rPr>
          <w:color w:val="2F5496" w:themeColor="accent1" w:themeShade="BF"/>
        </w:rPr>
      </w:pPr>
      <w:r w:rsidRPr="00B16734">
        <w:rPr>
          <w:color w:val="2F5496" w:themeColor="accent1" w:themeShade="BF"/>
        </w:rPr>
        <w:t xml:space="preserve">8. If applicable, provide a copy and identify the date and page number of publication in the </w:t>
      </w:r>
      <w:r w:rsidRPr="00B16734">
        <w:rPr>
          <w:i/>
          <w:iCs/>
          <w:color w:val="2F5496" w:themeColor="accent1" w:themeShade="BF"/>
        </w:rPr>
        <w:t>Federal Register</w:t>
      </w:r>
      <w:r w:rsidRPr="00B16734">
        <w:rPr>
          <w:color w:val="2F5496" w:themeColor="accent1" w:themeShade="BF"/>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16734" w:rsidR="0038484D" w:rsidP="00257821" w:rsidRDefault="0038484D" w14:paraId="5372576C" w14:textId="184B5D5E">
      <w:pPr>
        <w:pStyle w:val="Default"/>
        <w:spacing w:after="120"/>
        <w:rPr>
          <w:color w:val="auto"/>
        </w:rPr>
      </w:pPr>
      <w:r w:rsidRPr="00B16734">
        <w:rPr>
          <w:color w:val="auto"/>
        </w:rPr>
        <w:t xml:space="preserve">A notice has not been published in the </w:t>
      </w:r>
      <w:r w:rsidRPr="00B16734">
        <w:rPr>
          <w:i/>
          <w:iCs/>
          <w:color w:val="auto"/>
        </w:rPr>
        <w:t>Federal Register</w:t>
      </w:r>
      <w:r w:rsidRPr="00B16734">
        <w:rPr>
          <w:color w:val="auto"/>
        </w:rPr>
        <w:t>.</w:t>
      </w:r>
      <w:r w:rsidR="009009F5">
        <w:rPr>
          <w:color w:val="auto"/>
        </w:rPr>
        <w:t xml:space="preserve">  During the </w:t>
      </w:r>
      <w:r w:rsidR="004C750D">
        <w:rPr>
          <w:color w:val="auto"/>
        </w:rPr>
        <w:t xml:space="preserve">requested </w:t>
      </w:r>
      <w:r w:rsidR="009009F5">
        <w:rPr>
          <w:color w:val="auto"/>
        </w:rPr>
        <w:t xml:space="preserve">six-month emergency authorization period, the Review Commission will complete the </w:t>
      </w:r>
      <w:r w:rsidR="00817384">
        <w:rPr>
          <w:color w:val="auto"/>
        </w:rPr>
        <w:t xml:space="preserve">PRA notice-and-comment process </w:t>
      </w:r>
      <w:r w:rsidR="009009F5">
        <w:rPr>
          <w:color w:val="auto"/>
        </w:rPr>
        <w:t xml:space="preserve">specified in 5 C.F.R. </w:t>
      </w:r>
      <w:r w:rsidR="00817384">
        <w:rPr>
          <w:color w:val="auto"/>
        </w:rPr>
        <w:t>part</w:t>
      </w:r>
      <w:r w:rsidR="009009F5">
        <w:rPr>
          <w:color w:val="auto"/>
        </w:rPr>
        <w:t xml:space="preserve"> 1320.</w:t>
      </w:r>
    </w:p>
    <w:p w:rsidRPr="00B16734" w:rsidR="0038484D" w:rsidP="00257821" w:rsidRDefault="003924D5" w14:paraId="52A9C620" w14:textId="1B785C90">
      <w:pPr>
        <w:pStyle w:val="Default"/>
        <w:spacing w:after="120"/>
        <w:rPr>
          <w:color w:val="2F5496" w:themeColor="accent1" w:themeShade="BF"/>
        </w:rPr>
      </w:pPr>
      <w:r w:rsidRPr="00B16734">
        <w:rPr>
          <w:color w:val="2F5496" w:themeColor="accent1" w:themeShade="B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817384">
        <w:rPr>
          <w:color w:val="2F5496" w:themeColor="accent1" w:themeShade="BF"/>
        </w:rPr>
        <w:t xml:space="preserve">  </w:t>
      </w:r>
      <w:r w:rsidRPr="00B16734" w:rsidR="00817384">
        <w:rPr>
          <w:color w:val="2F5496" w:themeColor="accent1" w:themeShade="BF"/>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16734" w:rsidR="003924D5" w:rsidP="00257821" w:rsidRDefault="00426C5F" w14:paraId="62EA2D35" w14:textId="3C861EA6">
      <w:pPr>
        <w:pStyle w:val="Default"/>
        <w:spacing w:after="120"/>
        <w:rPr>
          <w:color w:val="auto"/>
        </w:rPr>
      </w:pPr>
      <w:r>
        <w:rPr>
          <w:color w:val="auto"/>
        </w:rPr>
        <w:t>Not applicable.</w:t>
      </w:r>
    </w:p>
    <w:p w:rsidRPr="00B16734" w:rsidR="003924D5" w:rsidP="00257821" w:rsidRDefault="003924D5" w14:paraId="28FE9112" w14:textId="2DA2A0B3">
      <w:pPr>
        <w:pStyle w:val="Default"/>
        <w:spacing w:after="120"/>
        <w:rPr>
          <w:color w:val="2F5496" w:themeColor="accent1" w:themeShade="BF"/>
        </w:rPr>
      </w:pPr>
      <w:r w:rsidRPr="00B16734">
        <w:rPr>
          <w:color w:val="2F5496" w:themeColor="accent1" w:themeShade="BF"/>
        </w:rPr>
        <w:t xml:space="preserve">9. Explain any decision to provide any payment or gift to respondents, other than remuneration of contractors or grantees. </w:t>
      </w:r>
    </w:p>
    <w:p w:rsidRPr="00B16734" w:rsidR="0031719D" w:rsidP="00257821" w:rsidRDefault="0031719D" w14:paraId="52FBD063" w14:textId="6A73D20F">
      <w:pPr>
        <w:pStyle w:val="Default"/>
        <w:spacing w:after="120"/>
        <w:rPr>
          <w:color w:val="auto"/>
        </w:rPr>
      </w:pPr>
      <w:r w:rsidRPr="00B16734">
        <w:rPr>
          <w:color w:val="auto"/>
        </w:rPr>
        <w:t>Not applicable.</w:t>
      </w:r>
    </w:p>
    <w:p w:rsidRPr="00B16734" w:rsidR="003924D5" w:rsidP="00257821" w:rsidRDefault="003924D5" w14:paraId="49103675" w14:textId="3D939E9E">
      <w:pPr>
        <w:pStyle w:val="Default"/>
        <w:spacing w:after="120"/>
        <w:rPr>
          <w:color w:val="2F5496" w:themeColor="accent1" w:themeShade="BF"/>
        </w:rPr>
      </w:pPr>
      <w:r w:rsidRPr="00B16734">
        <w:rPr>
          <w:color w:val="2F5496" w:themeColor="accent1" w:themeShade="BF"/>
        </w:rPr>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Pr="00B16734" w:rsidR="00BC5EBA" w:rsidP="00BC5EBA" w:rsidRDefault="00BC5EBA" w14:paraId="6338F75A" w14:textId="2D73A433">
      <w:pPr>
        <w:pStyle w:val="Default"/>
        <w:rPr>
          <w:color w:val="auto"/>
        </w:rPr>
      </w:pPr>
      <w:r w:rsidRPr="00B16734">
        <w:rPr>
          <w:color w:val="auto"/>
        </w:rPr>
        <w:t>The medical exception form states</w:t>
      </w:r>
      <w:r w:rsidRPr="00B16734" w:rsidR="00B73925">
        <w:rPr>
          <w:color w:val="auto"/>
        </w:rPr>
        <w:t>:</w:t>
      </w:r>
      <w:r w:rsidRPr="00B16734">
        <w:rPr>
          <w:color w:val="auto"/>
        </w:rPr>
        <w:t xml:space="preserve"> “The agency will be required to keep confidential any medical information provided, subject to the applicable Rehabilitation Act standards.”  Qualifying language similar to this statement has been included in the Review Commission’s recently published </w:t>
      </w:r>
      <w:r w:rsidRPr="00B16734" w:rsidR="001075B5">
        <w:rPr>
          <w:color w:val="auto"/>
        </w:rPr>
        <w:t>SORN</w:t>
      </w:r>
      <w:r w:rsidRPr="00B16734">
        <w:rPr>
          <w:color w:val="auto"/>
        </w:rPr>
        <w:t xml:space="preserve"> covering its reasonable accommodation records</w:t>
      </w:r>
      <w:r w:rsidRPr="00B16734" w:rsidR="009B1AAF">
        <w:rPr>
          <w:color w:val="auto"/>
        </w:rPr>
        <w:t xml:space="preserve">, </w:t>
      </w:r>
      <w:r w:rsidR="00CD3FEC">
        <w:rPr>
          <w:color w:val="auto"/>
        </w:rPr>
        <w:t>86</w:t>
      </w:r>
      <w:r w:rsidRPr="00B16734" w:rsidR="009B1AAF">
        <w:rPr>
          <w:color w:val="auto"/>
        </w:rPr>
        <w:t xml:space="preserve"> Fed. Reg. </w:t>
      </w:r>
      <w:r w:rsidR="00CD3FEC">
        <w:rPr>
          <w:color w:val="auto"/>
        </w:rPr>
        <w:t>64,532</w:t>
      </w:r>
      <w:r w:rsidRPr="00B16734" w:rsidR="009B1AAF">
        <w:rPr>
          <w:color w:val="auto"/>
        </w:rPr>
        <w:t xml:space="preserve"> (Nov. </w:t>
      </w:r>
      <w:r w:rsidR="00CD3FEC">
        <w:rPr>
          <w:color w:val="auto"/>
        </w:rPr>
        <w:t>18</w:t>
      </w:r>
      <w:r w:rsidRPr="00B16734" w:rsidR="009B1AAF">
        <w:rPr>
          <w:color w:val="auto"/>
        </w:rPr>
        <w:t>, 2021)</w:t>
      </w:r>
      <w:r w:rsidRPr="00B16734">
        <w:rPr>
          <w:color w:val="auto"/>
        </w:rPr>
        <w:t xml:space="preserve">.  As relevant, the opening paragraph to the </w:t>
      </w:r>
      <w:r w:rsidRPr="00B16734" w:rsidR="00B73925">
        <w:rPr>
          <w:color w:val="auto"/>
        </w:rPr>
        <w:t xml:space="preserve">SORN’s </w:t>
      </w:r>
      <w:r w:rsidRPr="00B16734">
        <w:rPr>
          <w:color w:val="auto"/>
        </w:rPr>
        <w:t>routine uses states as follows:</w:t>
      </w:r>
    </w:p>
    <w:p w:rsidRPr="00B16734" w:rsidR="009B1AAF" w:rsidP="00BC5EBA" w:rsidRDefault="009B1AAF" w14:paraId="6D930189" w14:textId="3BAEC919">
      <w:pPr>
        <w:pStyle w:val="Default"/>
        <w:rPr>
          <w:color w:val="auto"/>
        </w:rPr>
      </w:pPr>
    </w:p>
    <w:p w:rsidRPr="00B16734" w:rsidR="009B1AAF" w:rsidP="009B1AAF" w:rsidRDefault="009B1AAF" w14:paraId="3B65A650" w14:textId="45AA29EC">
      <w:pPr>
        <w:pStyle w:val="Default"/>
        <w:ind w:left="720" w:right="761"/>
        <w:rPr>
          <w:color w:val="auto"/>
        </w:rPr>
      </w:pPr>
      <w:r w:rsidRPr="00B16734">
        <w:rPr>
          <w:rFonts w:eastAsia="Times New Roman"/>
          <w:color w:val="auto"/>
        </w:rPr>
        <w:t xml:space="preserve">In addition to disclosures generally permitted under 5 U.S.C. 552a(b), all or a portion of the records or information contained in this system of records may be disclosed as a routine use pursuant to 5 U.S.C. 552a(b)(3) under the circumstances or for the purposes described below, to the extent such disclosures are compatible with the purposes for which the information was collected, and to the extent disclosure of any medical and/or genetic information is in compliance </w:t>
      </w:r>
      <w:r w:rsidRPr="00B16734">
        <w:rPr>
          <w:rFonts w:eastAsia="Times New Roman"/>
          <w:color w:val="auto"/>
        </w:rPr>
        <w:lastRenderedPageBreak/>
        <w:t xml:space="preserve">with Section 501 of the Rehabilitation Act of 1973 and Title II of the Genetic Information Nondiscrimination Act (GINA) of 2008.  With respect to medical and genetic information protected under the Rehabilitation Act and/or GINA, records will be withheld or redacted to comply with the specific confidentiality and disclosure requirements set forth by the U.S. Equal Employment Opportunity Commission at 29 CFR pt. 1630 (Rehabilitation Act) and 29 CFR pt. 1635 (GINA).  </w:t>
      </w:r>
    </w:p>
    <w:p w:rsidRPr="00B16734" w:rsidR="00BC5EBA" w:rsidP="00BC5EBA" w:rsidRDefault="00BC5EBA" w14:paraId="2405BF0B" w14:textId="77777777">
      <w:pPr>
        <w:pStyle w:val="Default"/>
      </w:pPr>
    </w:p>
    <w:p w:rsidRPr="00B16734" w:rsidR="003924D5" w:rsidP="00257821" w:rsidRDefault="003924D5" w14:paraId="0E05F4F5" w14:textId="2F242D54">
      <w:pPr>
        <w:pStyle w:val="Default"/>
        <w:spacing w:after="120"/>
        <w:rPr>
          <w:color w:val="2F5496" w:themeColor="accent1" w:themeShade="BF"/>
        </w:rPr>
      </w:pPr>
      <w:r w:rsidRPr="00B16734">
        <w:rPr>
          <w:color w:val="2F5496" w:themeColor="accent1" w:themeShade="BF"/>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B16734" w:rsidR="009B1AAF" w:rsidP="00257821" w:rsidRDefault="005D3EDB" w14:paraId="19EBC65C" w14:textId="5416715F">
      <w:pPr>
        <w:pStyle w:val="Default"/>
        <w:spacing w:after="120"/>
        <w:rPr>
          <w:color w:val="auto"/>
        </w:rPr>
      </w:pPr>
      <w:r w:rsidRPr="00B16734">
        <w:rPr>
          <w:color w:val="auto"/>
        </w:rPr>
        <w:t xml:space="preserve">The </w:t>
      </w:r>
      <w:r w:rsidRPr="00B16734" w:rsidR="00B73925">
        <w:rPr>
          <w:color w:val="auto"/>
        </w:rPr>
        <w:t xml:space="preserve">medical exception </w:t>
      </w:r>
      <w:r w:rsidRPr="00B16734">
        <w:rPr>
          <w:color w:val="auto"/>
        </w:rPr>
        <w:t xml:space="preserve">form asks the medical provider to provide information concerning the </w:t>
      </w:r>
      <w:r w:rsidRPr="00B16734" w:rsidR="00B73925">
        <w:rPr>
          <w:color w:val="auto"/>
        </w:rPr>
        <w:t xml:space="preserve">employee’s </w:t>
      </w:r>
      <w:r w:rsidRPr="00B16734">
        <w:rPr>
          <w:color w:val="auto"/>
        </w:rPr>
        <w:t xml:space="preserve">medical condition that supports </w:t>
      </w:r>
      <w:r w:rsidRPr="00B16734" w:rsidR="009114B0">
        <w:rPr>
          <w:color w:val="auto"/>
        </w:rPr>
        <w:t>their request for an exception</w:t>
      </w:r>
      <w:r w:rsidRPr="00B16734">
        <w:rPr>
          <w:color w:val="auto"/>
        </w:rPr>
        <w:t xml:space="preserve">, either temporarily or in the long term, from the </w:t>
      </w:r>
      <w:r w:rsidRPr="00B16734" w:rsidR="00D26ABE">
        <w:rPr>
          <w:color w:val="auto"/>
        </w:rPr>
        <w:t>COVID</w:t>
      </w:r>
      <w:r w:rsidRPr="00B16734" w:rsidR="001075B5">
        <w:rPr>
          <w:color w:val="auto"/>
        </w:rPr>
        <w:t>-19</w:t>
      </w:r>
      <w:r w:rsidRPr="00B16734" w:rsidR="00D26ABE">
        <w:rPr>
          <w:color w:val="auto"/>
        </w:rPr>
        <w:t xml:space="preserve"> vaccine mandate.  This information will be used by the agency to evaluate the </w:t>
      </w:r>
      <w:r w:rsidRPr="00B16734" w:rsidR="00B73925">
        <w:rPr>
          <w:color w:val="auto"/>
        </w:rPr>
        <w:t xml:space="preserve">employee’s </w:t>
      </w:r>
      <w:r w:rsidRPr="00B16734" w:rsidR="00D26ABE">
        <w:rPr>
          <w:color w:val="auto"/>
        </w:rPr>
        <w:t xml:space="preserve">request.  The medical provider, in the form, is </w:t>
      </w:r>
      <w:r w:rsidRPr="00B16734" w:rsidR="001075B5">
        <w:rPr>
          <w:color w:val="auto"/>
        </w:rPr>
        <w:t>made aware of</w:t>
      </w:r>
      <w:r w:rsidRPr="00B16734" w:rsidR="00D26ABE">
        <w:rPr>
          <w:color w:val="auto"/>
        </w:rPr>
        <w:t xml:space="preserve"> the vaccine mandate, that a request for reasonable accommodations has been made, and that the information provided is necessary to assist the Review Commission in its reasonable accommodation process.</w:t>
      </w:r>
      <w:r w:rsidRPr="00B16734" w:rsidR="00F42C57">
        <w:rPr>
          <w:color w:val="auto"/>
        </w:rPr>
        <w:t xml:space="preserve">  As to consent, </w:t>
      </w:r>
      <w:r w:rsidRPr="00B16734" w:rsidR="00A66C5C">
        <w:rPr>
          <w:color w:val="auto"/>
        </w:rPr>
        <w:t xml:space="preserve">employees </w:t>
      </w:r>
      <w:r w:rsidRPr="00B16734" w:rsidR="00F42C57">
        <w:rPr>
          <w:color w:val="auto"/>
        </w:rPr>
        <w:t xml:space="preserve">provide the form to their medical providers for completion of Part 2, thereby consenting to the release of their medical information for the purposes specified in the form.  </w:t>
      </w:r>
    </w:p>
    <w:p w:rsidRPr="00B16734" w:rsidR="003924D5" w:rsidP="00257821" w:rsidRDefault="003924D5" w14:paraId="1593154D" w14:textId="77777777">
      <w:pPr>
        <w:pStyle w:val="Default"/>
        <w:spacing w:after="120"/>
        <w:rPr>
          <w:color w:val="2F5496" w:themeColor="accent1" w:themeShade="BF"/>
        </w:rPr>
      </w:pPr>
      <w:r w:rsidRPr="00B16734">
        <w:rPr>
          <w:color w:val="2F5496" w:themeColor="accent1" w:themeShade="BF"/>
        </w:rPr>
        <w:t xml:space="preserve">12. Provide estimates of the hour burden of the collection of information. The statement should: </w:t>
      </w:r>
    </w:p>
    <w:p w:rsidRPr="00B16734" w:rsidR="003924D5" w:rsidP="00A94834" w:rsidRDefault="003924D5" w14:paraId="58432CB1" w14:textId="681148D7">
      <w:pPr>
        <w:pStyle w:val="Default"/>
        <w:numPr>
          <w:ilvl w:val="0"/>
          <w:numId w:val="4"/>
        </w:numPr>
        <w:spacing w:after="120"/>
        <w:rPr>
          <w:color w:val="2F5496" w:themeColor="accent1" w:themeShade="BF"/>
        </w:rPr>
      </w:pPr>
      <w:r w:rsidRPr="00B16734">
        <w:rPr>
          <w:color w:val="2F5496" w:themeColor="accent1" w:themeShade="BF"/>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B16734" w:rsidR="003924D5" w:rsidP="00A94834" w:rsidRDefault="003924D5" w14:paraId="2416795D" w14:textId="7A24457B">
      <w:pPr>
        <w:pStyle w:val="Default"/>
        <w:numPr>
          <w:ilvl w:val="0"/>
          <w:numId w:val="4"/>
        </w:numPr>
        <w:spacing w:after="120"/>
        <w:rPr>
          <w:color w:val="2F5496" w:themeColor="accent1" w:themeShade="BF"/>
        </w:rPr>
      </w:pPr>
      <w:r w:rsidRPr="00B16734">
        <w:rPr>
          <w:color w:val="2F5496" w:themeColor="accent1" w:themeShade="BF"/>
        </w:rPr>
        <w:t xml:space="preserve">If this request for approval covers more than one form, provide separate hour burden estimates for each form and aggregate the hour burdens. </w:t>
      </w:r>
    </w:p>
    <w:p w:rsidRPr="00B16734" w:rsidR="00E875F5" w:rsidP="00A94834" w:rsidRDefault="003924D5" w14:paraId="75740C5A" w14:textId="77777777">
      <w:pPr>
        <w:pStyle w:val="Default"/>
        <w:numPr>
          <w:ilvl w:val="0"/>
          <w:numId w:val="4"/>
        </w:numPr>
        <w:spacing w:after="120"/>
        <w:rPr>
          <w:color w:val="2F5496" w:themeColor="accent1" w:themeShade="BF"/>
        </w:rPr>
      </w:pPr>
      <w:r w:rsidRPr="00B16734">
        <w:rPr>
          <w:color w:val="2F5496" w:themeColor="accent1" w:themeShade="BF"/>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B16734" w:rsidR="003924D5" w:rsidP="00E875F5" w:rsidRDefault="003924D5" w14:paraId="0D3AB051" w14:textId="073E78FB">
      <w:pPr>
        <w:widowControl/>
        <w:suppressAutoHyphens w:val="0"/>
        <w:spacing w:after="160" w:line="259" w:lineRule="auto"/>
        <w:rPr>
          <w:rFonts w:cs="Times New Roman"/>
          <w:color w:val="2F5496" w:themeColor="accent1" w:themeShade="BF"/>
          <w:szCs w:val="24"/>
        </w:rPr>
      </w:pPr>
      <w:r w:rsidRPr="00B16734">
        <w:rPr>
          <w:rFonts w:cs="Times New Roman"/>
          <w:color w:val="2F5496" w:themeColor="accent1" w:themeShade="BF"/>
          <w:szCs w:val="24"/>
        </w:rPr>
        <w:t xml:space="preserve"> </w:t>
      </w:r>
    </w:p>
    <w:p w:rsidR="00494B19" w:rsidRDefault="00494B19" w14:paraId="0C5701DC" w14:textId="77777777">
      <w:r>
        <w:br w:type="page"/>
      </w:r>
    </w:p>
    <w:tbl>
      <w:tblPr>
        <w:tblW w:w="9440" w:type="dxa"/>
        <w:tblLook w:val="04A0" w:firstRow="1" w:lastRow="0" w:firstColumn="1" w:lastColumn="0" w:noHBand="0" w:noVBand="1"/>
      </w:tblPr>
      <w:tblGrid>
        <w:gridCol w:w="236"/>
        <w:gridCol w:w="236"/>
        <w:gridCol w:w="236"/>
        <w:gridCol w:w="1246"/>
        <w:gridCol w:w="3616"/>
        <w:gridCol w:w="3870"/>
      </w:tblGrid>
      <w:tr w:rsidRPr="00B16734" w:rsidR="00E875F5" w:rsidTr="00F72E6F" w14:paraId="4FF3CB4E" w14:textId="77777777">
        <w:trPr>
          <w:trHeight w:val="630"/>
        </w:trPr>
        <w:tc>
          <w:tcPr>
            <w:tcW w:w="1954" w:type="dxa"/>
            <w:gridSpan w:val="4"/>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Pr="00B16734" w:rsidR="00E875F5" w:rsidP="00F72E6F" w:rsidRDefault="00E875F5" w14:paraId="5C6A447E" w14:textId="4D172799">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lastRenderedPageBreak/>
              <w:t>Respondents</w:t>
            </w:r>
          </w:p>
        </w:tc>
        <w:tc>
          <w:tcPr>
            <w:tcW w:w="3616" w:type="dxa"/>
            <w:tcBorders>
              <w:top w:val="single" w:color="auto" w:sz="4" w:space="0"/>
              <w:left w:val="nil"/>
              <w:bottom w:val="single" w:color="auto" w:sz="4" w:space="0"/>
              <w:right w:val="single" w:color="auto" w:sz="4" w:space="0"/>
            </w:tcBorders>
            <w:shd w:val="clear" w:color="000000" w:fill="BDD7EE"/>
            <w:vAlign w:val="center"/>
            <w:hideMark/>
          </w:tcPr>
          <w:p w:rsidRPr="00B16734" w:rsidR="00E875F5" w:rsidP="00F72E6F" w:rsidRDefault="00E875F5" w14:paraId="73D27B26" w14:textId="77777777">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t>Frequency of Response</w:t>
            </w:r>
          </w:p>
        </w:tc>
        <w:tc>
          <w:tcPr>
            <w:tcW w:w="3870" w:type="dxa"/>
            <w:tcBorders>
              <w:top w:val="single" w:color="auto" w:sz="4" w:space="0"/>
              <w:left w:val="nil"/>
              <w:bottom w:val="single" w:color="auto" w:sz="4" w:space="0"/>
              <w:right w:val="single" w:color="auto" w:sz="4" w:space="0"/>
            </w:tcBorders>
            <w:shd w:val="clear" w:color="000000" w:fill="BDD7EE"/>
            <w:vAlign w:val="center"/>
            <w:hideMark/>
          </w:tcPr>
          <w:p w:rsidRPr="00B16734" w:rsidR="00E875F5" w:rsidP="00F72E6F" w:rsidRDefault="00E875F5" w14:paraId="6CCB57CA" w14:textId="77777777">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t>Annual Hour Burden</w:t>
            </w:r>
          </w:p>
        </w:tc>
      </w:tr>
      <w:tr w:rsidRPr="00B16734" w:rsidR="00E875F5" w:rsidTr="00F72E6F" w14:paraId="1C686692" w14:textId="77777777">
        <w:trPr>
          <w:trHeight w:val="330"/>
        </w:trPr>
        <w:tc>
          <w:tcPr>
            <w:tcW w:w="1954" w:type="dxa"/>
            <w:gridSpan w:val="4"/>
            <w:tcBorders>
              <w:top w:val="nil"/>
              <w:left w:val="single" w:color="auto" w:sz="8" w:space="0"/>
              <w:bottom w:val="single" w:color="auto" w:sz="8" w:space="0"/>
              <w:right w:val="single" w:color="auto" w:sz="4" w:space="0"/>
            </w:tcBorders>
            <w:shd w:val="clear" w:color="auto" w:fill="auto"/>
            <w:noWrap/>
            <w:vAlign w:val="center"/>
            <w:hideMark/>
          </w:tcPr>
          <w:p w:rsidRPr="00B16734" w:rsidR="00E875F5" w:rsidP="00F72E6F" w:rsidRDefault="00E875F5" w14:paraId="56CB50F7" w14:textId="77777777">
            <w:pPr>
              <w:widowControl/>
              <w:suppressAutoHyphens w:val="0"/>
              <w:spacing w:before="120" w:after="120"/>
              <w:jc w:val="center"/>
              <w:rPr>
                <w:rFonts w:eastAsia="Times New Roman" w:cs="Times New Roman"/>
                <w:color w:val="000000"/>
                <w:szCs w:val="24"/>
              </w:rPr>
            </w:pPr>
            <w:r w:rsidRPr="00B16734">
              <w:rPr>
                <w:rFonts w:eastAsia="Times New Roman" w:cs="Times New Roman"/>
                <w:color w:val="000000"/>
                <w:szCs w:val="24"/>
              </w:rPr>
              <w:t>3</w:t>
            </w:r>
          </w:p>
        </w:tc>
        <w:tc>
          <w:tcPr>
            <w:tcW w:w="3616" w:type="dxa"/>
            <w:tcBorders>
              <w:top w:val="nil"/>
              <w:left w:val="nil"/>
              <w:bottom w:val="single" w:color="auto" w:sz="8" w:space="0"/>
              <w:right w:val="single" w:color="auto" w:sz="4" w:space="0"/>
            </w:tcBorders>
            <w:shd w:val="clear" w:color="auto" w:fill="auto"/>
            <w:noWrap/>
            <w:vAlign w:val="center"/>
            <w:hideMark/>
          </w:tcPr>
          <w:p w:rsidRPr="00B16734" w:rsidR="00E875F5" w:rsidP="00F72E6F" w:rsidRDefault="00E875F5" w14:paraId="50EE0792" w14:textId="77777777">
            <w:pPr>
              <w:widowControl/>
              <w:suppressAutoHyphens w:val="0"/>
              <w:spacing w:before="120" w:after="120"/>
              <w:jc w:val="center"/>
              <w:rPr>
                <w:rFonts w:eastAsia="Times New Roman" w:cs="Times New Roman"/>
                <w:color w:val="000000"/>
                <w:szCs w:val="24"/>
              </w:rPr>
            </w:pPr>
            <w:r w:rsidRPr="00B16734">
              <w:rPr>
                <w:rFonts w:eastAsia="Times New Roman" w:cs="Times New Roman"/>
                <w:color w:val="000000"/>
                <w:szCs w:val="24"/>
              </w:rPr>
              <w:t>1</w:t>
            </w:r>
          </w:p>
        </w:tc>
        <w:tc>
          <w:tcPr>
            <w:tcW w:w="3870" w:type="dxa"/>
            <w:tcBorders>
              <w:top w:val="nil"/>
              <w:left w:val="nil"/>
              <w:bottom w:val="single" w:color="auto" w:sz="8" w:space="0"/>
              <w:right w:val="single" w:color="auto" w:sz="8" w:space="0"/>
            </w:tcBorders>
            <w:shd w:val="clear" w:color="auto" w:fill="auto"/>
            <w:noWrap/>
            <w:vAlign w:val="center"/>
            <w:hideMark/>
          </w:tcPr>
          <w:p w:rsidRPr="00B16734" w:rsidR="00E875F5" w:rsidP="00F72E6F" w:rsidRDefault="00E875F5" w14:paraId="56A53ED5" w14:textId="77777777">
            <w:pPr>
              <w:widowControl/>
              <w:suppressAutoHyphens w:val="0"/>
              <w:spacing w:before="120" w:after="120"/>
              <w:jc w:val="center"/>
              <w:rPr>
                <w:rFonts w:eastAsia="Times New Roman" w:cs="Times New Roman"/>
                <w:color w:val="000000"/>
                <w:szCs w:val="24"/>
              </w:rPr>
            </w:pPr>
            <w:r w:rsidRPr="00B16734">
              <w:rPr>
                <w:rFonts w:eastAsia="Times New Roman" w:cs="Times New Roman"/>
                <w:color w:val="000000"/>
                <w:szCs w:val="24"/>
              </w:rPr>
              <w:t>3 Hours</w:t>
            </w:r>
          </w:p>
        </w:tc>
      </w:tr>
      <w:tr w:rsidRPr="00B16734" w:rsidR="00E875F5" w:rsidTr="00F72E6F" w14:paraId="7E1610D6" w14:textId="77777777">
        <w:trPr>
          <w:gridAfter w:val="3"/>
          <w:wAfter w:w="8732" w:type="dxa"/>
          <w:trHeight w:val="20"/>
        </w:trPr>
        <w:tc>
          <w:tcPr>
            <w:tcW w:w="236" w:type="dxa"/>
            <w:tcBorders>
              <w:top w:val="nil"/>
              <w:left w:val="nil"/>
              <w:bottom w:val="nil"/>
              <w:right w:val="nil"/>
            </w:tcBorders>
            <w:shd w:val="clear" w:color="auto" w:fill="auto"/>
            <w:noWrap/>
            <w:vAlign w:val="center"/>
          </w:tcPr>
          <w:p w:rsidRPr="00B16734" w:rsidR="00E875F5" w:rsidP="00F72E6F" w:rsidRDefault="00E875F5" w14:paraId="6C33A5CF" w14:textId="77777777">
            <w:pPr>
              <w:widowControl/>
              <w:suppressAutoHyphens w:val="0"/>
              <w:spacing w:before="120" w:after="120"/>
              <w:rPr>
                <w:rFonts w:eastAsia="Times New Roman" w:cs="Times New Roman"/>
                <w:color w:val="000000"/>
                <w:szCs w:val="24"/>
              </w:rPr>
            </w:pPr>
          </w:p>
        </w:tc>
        <w:tc>
          <w:tcPr>
            <w:tcW w:w="236" w:type="dxa"/>
            <w:tcBorders>
              <w:top w:val="nil"/>
              <w:left w:val="nil"/>
              <w:bottom w:val="nil"/>
              <w:right w:val="nil"/>
            </w:tcBorders>
            <w:shd w:val="clear" w:color="auto" w:fill="auto"/>
            <w:noWrap/>
            <w:vAlign w:val="center"/>
          </w:tcPr>
          <w:p w:rsidRPr="00B16734" w:rsidR="00E875F5" w:rsidP="00F72E6F" w:rsidRDefault="00E875F5" w14:paraId="146CEDF0" w14:textId="77777777">
            <w:pPr>
              <w:widowControl/>
              <w:suppressAutoHyphens w:val="0"/>
              <w:spacing w:before="120" w:after="120"/>
              <w:rPr>
                <w:rFonts w:eastAsia="Times New Roman" w:cs="Times New Roman"/>
                <w:szCs w:val="24"/>
              </w:rPr>
            </w:pPr>
          </w:p>
        </w:tc>
        <w:tc>
          <w:tcPr>
            <w:tcW w:w="236" w:type="dxa"/>
            <w:tcBorders>
              <w:top w:val="nil"/>
              <w:left w:val="nil"/>
              <w:bottom w:val="nil"/>
              <w:right w:val="nil"/>
            </w:tcBorders>
            <w:shd w:val="clear" w:color="auto" w:fill="auto"/>
            <w:noWrap/>
            <w:vAlign w:val="center"/>
          </w:tcPr>
          <w:p w:rsidRPr="00B16734" w:rsidR="00E875F5" w:rsidP="00F72E6F" w:rsidRDefault="00E875F5" w14:paraId="31F0CDDB" w14:textId="77777777">
            <w:pPr>
              <w:widowControl/>
              <w:suppressAutoHyphens w:val="0"/>
              <w:spacing w:before="120" w:after="120"/>
              <w:rPr>
                <w:rFonts w:eastAsia="Times New Roman" w:cs="Times New Roman"/>
                <w:szCs w:val="24"/>
              </w:rPr>
            </w:pPr>
          </w:p>
        </w:tc>
      </w:tr>
      <w:tr w:rsidRPr="00B16734" w:rsidR="00E875F5" w:rsidTr="00F72E6F" w14:paraId="3506656A" w14:textId="77777777">
        <w:trPr>
          <w:trHeight w:val="315"/>
        </w:trPr>
        <w:tc>
          <w:tcPr>
            <w:tcW w:w="9440" w:type="dxa"/>
            <w:gridSpan w:val="6"/>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B16734" w:rsidR="00E875F5" w:rsidP="00F72E6F" w:rsidRDefault="00E875F5" w14:paraId="30F4A90F" w14:textId="77777777">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t>ASSUMPTIONS</w:t>
            </w:r>
          </w:p>
        </w:tc>
      </w:tr>
      <w:tr w:rsidRPr="00B16734" w:rsidR="00E875F5" w:rsidTr="00F72E6F" w14:paraId="39FD7FBA" w14:textId="77777777">
        <w:trPr>
          <w:trHeight w:val="992"/>
        </w:trPr>
        <w:tc>
          <w:tcPr>
            <w:tcW w:w="1954" w:type="dxa"/>
            <w:gridSpan w:val="4"/>
            <w:tcBorders>
              <w:top w:val="nil"/>
              <w:left w:val="single" w:color="auto" w:sz="8" w:space="0"/>
              <w:bottom w:val="single" w:color="auto" w:sz="4" w:space="0"/>
              <w:right w:val="single" w:color="auto" w:sz="4" w:space="0"/>
            </w:tcBorders>
            <w:shd w:val="clear" w:color="auto" w:fill="auto"/>
            <w:noWrap/>
            <w:vAlign w:val="center"/>
            <w:hideMark/>
          </w:tcPr>
          <w:p w:rsidRPr="00B16734" w:rsidR="00E875F5" w:rsidP="00F72E6F" w:rsidRDefault="00E875F5" w14:paraId="516D597D"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Respondents:</w:t>
            </w:r>
          </w:p>
        </w:tc>
        <w:tc>
          <w:tcPr>
            <w:tcW w:w="7486" w:type="dxa"/>
            <w:gridSpan w:val="2"/>
            <w:tcBorders>
              <w:top w:val="single" w:color="auto" w:sz="4" w:space="0"/>
              <w:left w:val="nil"/>
              <w:bottom w:val="single" w:color="auto" w:sz="4" w:space="0"/>
              <w:right w:val="single" w:color="000000" w:sz="8" w:space="0"/>
            </w:tcBorders>
            <w:shd w:val="clear" w:color="auto" w:fill="auto"/>
            <w:vAlign w:val="center"/>
            <w:hideMark/>
          </w:tcPr>
          <w:p w:rsidRPr="00B16734" w:rsidR="00E875F5" w:rsidP="00F72E6F" w:rsidRDefault="00E875F5" w14:paraId="6B0F0346" w14:textId="7C082E23">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The Review Commission currently has a 100% vaccination rate and 14 vacancies. We estimate 3 or 20% of applicants for vacancies to seek a medical exception.</w:t>
            </w:r>
          </w:p>
        </w:tc>
      </w:tr>
      <w:tr w:rsidRPr="00B16734" w:rsidR="00E875F5" w:rsidTr="00CB723F" w14:paraId="5B1D1D14" w14:textId="77777777">
        <w:trPr>
          <w:trHeight w:val="182"/>
        </w:trPr>
        <w:tc>
          <w:tcPr>
            <w:tcW w:w="1954" w:type="dxa"/>
            <w:gridSpan w:val="4"/>
            <w:tcBorders>
              <w:top w:val="nil"/>
              <w:left w:val="single" w:color="auto" w:sz="8" w:space="0"/>
              <w:bottom w:val="single" w:color="auto" w:sz="4" w:space="0"/>
              <w:right w:val="single" w:color="auto" w:sz="4" w:space="0"/>
            </w:tcBorders>
            <w:shd w:val="clear" w:color="auto" w:fill="000000" w:themeFill="text1"/>
            <w:noWrap/>
            <w:vAlign w:val="center"/>
            <w:hideMark/>
          </w:tcPr>
          <w:p w:rsidRPr="00B16734" w:rsidR="00E875F5" w:rsidP="00F72E6F" w:rsidRDefault="00E875F5" w14:paraId="4D19E09B" w14:textId="2422204F">
            <w:pPr>
              <w:widowControl/>
              <w:suppressAutoHyphens w:val="0"/>
              <w:rPr>
                <w:rFonts w:eastAsia="Times New Roman" w:cs="Times New Roman"/>
                <w:color w:val="000000"/>
                <w:szCs w:val="24"/>
              </w:rPr>
            </w:pPr>
          </w:p>
        </w:tc>
        <w:tc>
          <w:tcPr>
            <w:tcW w:w="3616" w:type="dxa"/>
            <w:tcBorders>
              <w:top w:val="nil"/>
              <w:left w:val="nil"/>
              <w:bottom w:val="single" w:color="auto" w:sz="4" w:space="0"/>
              <w:right w:val="single" w:color="auto" w:sz="4" w:space="0"/>
            </w:tcBorders>
            <w:shd w:val="clear" w:color="auto" w:fill="000000" w:themeFill="text1"/>
            <w:noWrap/>
            <w:vAlign w:val="center"/>
            <w:hideMark/>
          </w:tcPr>
          <w:p w:rsidRPr="00B16734" w:rsidR="00E875F5" w:rsidP="00F72E6F" w:rsidRDefault="00E875F5" w14:paraId="74CA7292" w14:textId="4C3E4586">
            <w:pPr>
              <w:widowControl/>
              <w:suppressAutoHyphens w:val="0"/>
              <w:rPr>
                <w:rFonts w:eastAsia="Times New Roman" w:cs="Times New Roman"/>
                <w:color w:val="000000"/>
                <w:szCs w:val="24"/>
              </w:rPr>
            </w:pPr>
          </w:p>
        </w:tc>
        <w:tc>
          <w:tcPr>
            <w:tcW w:w="3870" w:type="dxa"/>
            <w:tcBorders>
              <w:top w:val="nil"/>
              <w:left w:val="nil"/>
              <w:bottom w:val="single" w:color="auto" w:sz="4" w:space="0"/>
              <w:right w:val="single" w:color="auto" w:sz="8" w:space="0"/>
            </w:tcBorders>
            <w:shd w:val="clear" w:color="auto" w:fill="000000" w:themeFill="text1"/>
            <w:noWrap/>
            <w:vAlign w:val="center"/>
            <w:hideMark/>
          </w:tcPr>
          <w:p w:rsidRPr="00B16734" w:rsidR="00E875F5" w:rsidP="00F72E6F" w:rsidRDefault="00E875F5" w14:paraId="159A4A32" w14:textId="0BFE02D2">
            <w:pPr>
              <w:widowControl/>
              <w:suppressAutoHyphens w:val="0"/>
              <w:rPr>
                <w:rFonts w:eastAsia="Times New Roman" w:cs="Times New Roman"/>
                <w:color w:val="000000"/>
                <w:szCs w:val="24"/>
              </w:rPr>
            </w:pPr>
          </w:p>
        </w:tc>
      </w:tr>
      <w:tr w:rsidRPr="00B16734" w:rsidR="00E875F5" w:rsidTr="00F72E6F" w14:paraId="54D2375A" w14:textId="77777777">
        <w:trPr>
          <w:trHeight w:val="1028"/>
        </w:trPr>
        <w:tc>
          <w:tcPr>
            <w:tcW w:w="1954" w:type="dxa"/>
            <w:gridSpan w:val="4"/>
            <w:tcBorders>
              <w:top w:val="nil"/>
              <w:left w:val="single" w:color="auto" w:sz="8" w:space="0"/>
              <w:bottom w:val="single" w:color="auto" w:sz="4" w:space="0"/>
              <w:right w:val="single" w:color="auto" w:sz="4" w:space="0"/>
            </w:tcBorders>
            <w:shd w:val="clear" w:color="auto" w:fill="auto"/>
            <w:noWrap/>
            <w:vAlign w:val="center"/>
            <w:hideMark/>
          </w:tcPr>
          <w:p w:rsidRPr="00B16734" w:rsidR="00E875F5" w:rsidP="00F72E6F" w:rsidRDefault="00E875F5" w14:paraId="06F17BF5"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Frequency:</w:t>
            </w:r>
          </w:p>
        </w:tc>
        <w:tc>
          <w:tcPr>
            <w:tcW w:w="7486" w:type="dxa"/>
            <w:gridSpan w:val="2"/>
            <w:tcBorders>
              <w:top w:val="single" w:color="auto" w:sz="4" w:space="0"/>
              <w:left w:val="nil"/>
              <w:bottom w:val="single" w:color="auto" w:sz="4" w:space="0"/>
              <w:right w:val="single" w:color="000000" w:sz="8" w:space="0"/>
            </w:tcBorders>
            <w:shd w:val="clear" w:color="auto" w:fill="auto"/>
            <w:vAlign w:val="center"/>
            <w:hideMark/>
          </w:tcPr>
          <w:p w:rsidRPr="00B16734" w:rsidR="00E875F5" w:rsidP="00F72E6F" w:rsidRDefault="00E875F5" w14:paraId="792D2ADC"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The Review Commission estimates each requestor will only require one response. We will reassess collecting this information in three years based on whether or not a COVID-19 vaccine mandate is still in place.</w:t>
            </w:r>
          </w:p>
        </w:tc>
      </w:tr>
      <w:tr w:rsidRPr="00B16734" w:rsidR="00E875F5" w:rsidTr="00CB723F" w14:paraId="5AB22293" w14:textId="77777777">
        <w:trPr>
          <w:trHeight w:val="218"/>
        </w:trPr>
        <w:tc>
          <w:tcPr>
            <w:tcW w:w="1954" w:type="dxa"/>
            <w:gridSpan w:val="4"/>
            <w:tcBorders>
              <w:top w:val="nil"/>
              <w:left w:val="single" w:color="auto" w:sz="8" w:space="0"/>
              <w:bottom w:val="single" w:color="auto" w:sz="4" w:space="0"/>
              <w:right w:val="single" w:color="auto" w:sz="4" w:space="0"/>
            </w:tcBorders>
            <w:shd w:val="clear" w:color="auto" w:fill="000000" w:themeFill="text1"/>
            <w:noWrap/>
            <w:vAlign w:val="center"/>
            <w:hideMark/>
          </w:tcPr>
          <w:p w:rsidRPr="00B16734" w:rsidR="00E875F5" w:rsidP="00F72E6F" w:rsidRDefault="00E875F5" w14:paraId="1FA2543C" w14:textId="2ABEDD4D">
            <w:pPr>
              <w:widowControl/>
              <w:suppressAutoHyphens w:val="0"/>
              <w:rPr>
                <w:rFonts w:eastAsia="Times New Roman" w:cs="Times New Roman"/>
                <w:color w:val="000000"/>
                <w:szCs w:val="24"/>
              </w:rPr>
            </w:pPr>
          </w:p>
        </w:tc>
        <w:tc>
          <w:tcPr>
            <w:tcW w:w="3616" w:type="dxa"/>
            <w:tcBorders>
              <w:top w:val="nil"/>
              <w:left w:val="nil"/>
              <w:bottom w:val="single" w:color="auto" w:sz="4" w:space="0"/>
              <w:right w:val="single" w:color="auto" w:sz="4" w:space="0"/>
            </w:tcBorders>
            <w:shd w:val="clear" w:color="auto" w:fill="000000" w:themeFill="text1"/>
            <w:noWrap/>
            <w:vAlign w:val="center"/>
            <w:hideMark/>
          </w:tcPr>
          <w:p w:rsidRPr="00B16734" w:rsidR="00E875F5" w:rsidP="00F72E6F" w:rsidRDefault="00E875F5" w14:paraId="318641C9" w14:textId="773C907C">
            <w:pPr>
              <w:widowControl/>
              <w:suppressAutoHyphens w:val="0"/>
              <w:rPr>
                <w:rFonts w:eastAsia="Times New Roman" w:cs="Times New Roman"/>
                <w:color w:val="000000"/>
                <w:szCs w:val="24"/>
              </w:rPr>
            </w:pPr>
          </w:p>
        </w:tc>
        <w:tc>
          <w:tcPr>
            <w:tcW w:w="3870" w:type="dxa"/>
            <w:tcBorders>
              <w:top w:val="nil"/>
              <w:left w:val="nil"/>
              <w:bottom w:val="single" w:color="auto" w:sz="4" w:space="0"/>
              <w:right w:val="single" w:color="auto" w:sz="8" w:space="0"/>
            </w:tcBorders>
            <w:shd w:val="clear" w:color="auto" w:fill="000000" w:themeFill="text1"/>
            <w:noWrap/>
            <w:vAlign w:val="center"/>
            <w:hideMark/>
          </w:tcPr>
          <w:p w:rsidRPr="00B16734" w:rsidR="00E875F5" w:rsidP="00F72E6F" w:rsidRDefault="00E875F5" w14:paraId="06969A82" w14:textId="697FEA1E">
            <w:pPr>
              <w:widowControl/>
              <w:suppressAutoHyphens w:val="0"/>
              <w:rPr>
                <w:rFonts w:eastAsia="Times New Roman" w:cs="Times New Roman"/>
                <w:color w:val="000000"/>
                <w:szCs w:val="24"/>
              </w:rPr>
            </w:pPr>
          </w:p>
        </w:tc>
      </w:tr>
      <w:tr w:rsidRPr="00B16734" w:rsidR="00E875F5" w:rsidTr="00F72E6F" w14:paraId="7C045455" w14:textId="77777777">
        <w:trPr>
          <w:trHeight w:val="1550"/>
        </w:trPr>
        <w:tc>
          <w:tcPr>
            <w:tcW w:w="1954" w:type="dxa"/>
            <w:gridSpan w:val="4"/>
            <w:tcBorders>
              <w:top w:val="nil"/>
              <w:left w:val="single" w:color="auto" w:sz="8" w:space="0"/>
              <w:bottom w:val="single" w:color="auto" w:sz="8" w:space="0"/>
              <w:right w:val="single" w:color="auto" w:sz="4" w:space="0"/>
            </w:tcBorders>
            <w:shd w:val="clear" w:color="auto" w:fill="auto"/>
            <w:noWrap/>
            <w:vAlign w:val="center"/>
            <w:hideMark/>
          </w:tcPr>
          <w:p w:rsidRPr="00B16734" w:rsidR="00E875F5" w:rsidP="00F72E6F" w:rsidRDefault="00E875F5" w14:paraId="7EE547D3"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Hour Burden:</w:t>
            </w:r>
          </w:p>
        </w:tc>
        <w:tc>
          <w:tcPr>
            <w:tcW w:w="7486" w:type="dxa"/>
            <w:gridSpan w:val="2"/>
            <w:tcBorders>
              <w:top w:val="single" w:color="auto" w:sz="4" w:space="0"/>
              <w:left w:val="nil"/>
              <w:bottom w:val="single" w:color="auto" w:sz="8" w:space="0"/>
              <w:right w:val="single" w:color="000000" w:sz="8" w:space="0"/>
            </w:tcBorders>
            <w:shd w:val="clear" w:color="auto" w:fill="auto"/>
            <w:vAlign w:val="center"/>
            <w:hideMark/>
          </w:tcPr>
          <w:p w:rsidRPr="00B16734" w:rsidR="00E875F5" w:rsidP="00F72E6F" w:rsidRDefault="00E875F5" w14:paraId="3D017578" w14:textId="5C005E1F">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The Review Commission estimates 3 hours for respondents to collect the information. This includes the time necessary to read the instructions, gather the required data, complete Part 1 and review responses, provide the form to medical providers for completion of Part 2, and retrieve the form for submission to the agency.</w:t>
            </w:r>
          </w:p>
        </w:tc>
      </w:tr>
    </w:tbl>
    <w:p w:rsidRPr="00B16734" w:rsidR="00E875F5" w:rsidP="00E875F5" w:rsidRDefault="00E875F5" w14:paraId="07C77B3E" w14:textId="77777777">
      <w:pPr>
        <w:pStyle w:val="Default"/>
        <w:spacing w:after="120"/>
        <w:rPr>
          <w:color w:val="2F5496" w:themeColor="accent1" w:themeShade="BF"/>
        </w:rPr>
      </w:pPr>
    </w:p>
    <w:p w:rsidRPr="00B16734" w:rsidR="003924D5" w:rsidP="00257821" w:rsidRDefault="003924D5" w14:paraId="1F8ACA80" w14:textId="77777777">
      <w:pPr>
        <w:pStyle w:val="Default"/>
        <w:spacing w:after="120"/>
        <w:rPr>
          <w:color w:val="2F5496" w:themeColor="accent1" w:themeShade="BF"/>
        </w:rPr>
      </w:pPr>
      <w:r w:rsidRPr="00B16734">
        <w:rPr>
          <w:color w:val="2F5496" w:themeColor="accent1" w:themeShade="BF"/>
        </w:rPr>
        <w:t xml:space="preserve">13. Provide an estimate for the total annual cost burden to respondents or record keepers resulting from the collection of information. (Do not include the cost of any hour burden already reflected on the burden worksheet). </w:t>
      </w:r>
    </w:p>
    <w:p w:rsidRPr="00B16734" w:rsidR="003924D5" w:rsidP="00A94834" w:rsidRDefault="003924D5" w14:paraId="2A875762" w14:textId="05A6E8AB">
      <w:pPr>
        <w:pStyle w:val="Default"/>
        <w:numPr>
          <w:ilvl w:val="0"/>
          <w:numId w:val="4"/>
        </w:numPr>
        <w:spacing w:after="120"/>
        <w:rPr>
          <w:color w:val="2F5496" w:themeColor="accent1" w:themeShade="BF"/>
        </w:rPr>
      </w:pPr>
      <w:r w:rsidRPr="00B16734">
        <w:rPr>
          <w:color w:val="2F5496" w:themeColor="accent1" w:themeShade="BF"/>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16734" w:rsidR="003924D5" w:rsidP="00A94834" w:rsidRDefault="003924D5" w14:paraId="25301E00" w14:textId="6F38A27D">
      <w:pPr>
        <w:pStyle w:val="Default"/>
        <w:numPr>
          <w:ilvl w:val="0"/>
          <w:numId w:val="4"/>
        </w:numPr>
        <w:spacing w:after="120"/>
        <w:rPr>
          <w:color w:val="2F5496" w:themeColor="accent1" w:themeShade="BF"/>
        </w:rPr>
      </w:pPr>
      <w:r w:rsidRPr="00B16734">
        <w:rPr>
          <w:color w:val="2F5496" w:themeColor="accent1" w:themeShade="BF"/>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16734" w:rsidR="003924D5" w:rsidP="00A94834" w:rsidRDefault="003924D5" w14:paraId="41FB9FD8" w14:textId="52412CC4">
      <w:pPr>
        <w:pStyle w:val="Default"/>
        <w:numPr>
          <w:ilvl w:val="0"/>
          <w:numId w:val="4"/>
        </w:numPr>
        <w:spacing w:after="120"/>
        <w:rPr>
          <w:color w:val="2F5496" w:themeColor="accent1" w:themeShade="BF"/>
        </w:rPr>
      </w:pPr>
      <w:r w:rsidRPr="00B16734">
        <w:rPr>
          <w:color w:val="2F5496" w:themeColor="accent1" w:themeShade="BF"/>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B16734" w:rsidR="001242F3" w:rsidP="001242F3" w:rsidRDefault="001242F3" w14:paraId="295F49B9" w14:textId="77777777">
      <w:pPr>
        <w:pStyle w:val="Default"/>
        <w:spacing w:after="120"/>
        <w:ind w:left="720"/>
        <w:rPr>
          <w:color w:val="2F5496" w:themeColor="accent1" w:themeShade="BF"/>
        </w:rPr>
      </w:pPr>
    </w:p>
    <w:tbl>
      <w:tblPr>
        <w:tblW w:w="9450" w:type="dxa"/>
        <w:tblInd w:w="-10" w:type="dxa"/>
        <w:tblLook w:val="04A0" w:firstRow="1" w:lastRow="0" w:firstColumn="1" w:lastColumn="0" w:noHBand="0" w:noVBand="1"/>
      </w:tblPr>
      <w:tblGrid>
        <w:gridCol w:w="3510"/>
        <w:gridCol w:w="3652"/>
        <w:gridCol w:w="2288"/>
      </w:tblGrid>
      <w:tr w:rsidRPr="00B16734" w:rsidR="00F72E6F" w:rsidTr="001242F3" w14:paraId="06CD76CC" w14:textId="77777777">
        <w:trPr>
          <w:trHeight w:val="315"/>
        </w:trPr>
        <w:tc>
          <w:tcPr>
            <w:tcW w:w="3510" w:type="dxa"/>
            <w:tcBorders>
              <w:top w:val="single" w:color="auto" w:sz="8" w:space="0"/>
              <w:left w:val="single" w:color="auto" w:sz="8" w:space="0"/>
              <w:bottom w:val="single" w:color="auto" w:sz="4" w:space="0"/>
              <w:right w:val="single" w:color="auto" w:sz="8" w:space="0"/>
            </w:tcBorders>
            <w:shd w:val="clear" w:color="000000" w:fill="BDD7EE"/>
            <w:noWrap/>
            <w:vAlign w:val="center"/>
            <w:hideMark/>
          </w:tcPr>
          <w:p w:rsidRPr="00B16734" w:rsidR="00F72E6F" w:rsidP="001242F3" w:rsidRDefault="00F72E6F" w14:paraId="6DAABB56" w14:textId="7C2E465D">
            <w:pPr>
              <w:widowControl/>
              <w:suppressAutoHyphens w:val="0"/>
              <w:spacing w:before="120" w:after="120"/>
              <w:rPr>
                <w:rFonts w:eastAsia="Times New Roman" w:cs="Times New Roman"/>
                <w:color w:val="000000"/>
                <w:szCs w:val="24"/>
              </w:rPr>
            </w:pPr>
          </w:p>
        </w:tc>
        <w:tc>
          <w:tcPr>
            <w:tcW w:w="3652" w:type="dxa"/>
            <w:tcBorders>
              <w:top w:val="single" w:color="auto" w:sz="8" w:space="0"/>
              <w:left w:val="nil"/>
              <w:bottom w:val="single" w:color="auto" w:sz="4" w:space="0"/>
              <w:right w:val="single" w:color="auto" w:sz="8" w:space="0"/>
            </w:tcBorders>
            <w:shd w:val="clear" w:color="000000" w:fill="BDD7EE"/>
            <w:noWrap/>
            <w:vAlign w:val="center"/>
            <w:hideMark/>
          </w:tcPr>
          <w:p w:rsidRPr="00B16734" w:rsidR="00F72E6F" w:rsidP="001242F3" w:rsidRDefault="00F72E6F" w14:paraId="49E1CDE0"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Costs</w:t>
            </w:r>
          </w:p>
        </w:tc>
        <w:tc>
          <w:tcPr>
            <w:tcW w:w="2288" w:type="dxa"/>
            <w:tcBorders>
              <w:top w:val="nil"/>
              <w:left w:val="nil"/>
              <w:bottom w:val="nil"/>
              <w:right w:val="nil"/>
            </w:tcBorders>
            <w:shd w:val="clear" w:color="auto" w:fill="auto"/>
            <w:noWrap/>
            <w:vAlign w:val="center"/>
            <w:hideMark/>
          </w:tcPr>
          <w:p w:rsidRPr="00B16734" w:rsidR="00F72E6F" w:rsidP="001242F3" w:rsidRDefault="00F72E6F" w14:paraId="76A3D91F" w14:textId="77777777">
            <w:pPr>
              <w:widowControl/>
              <w:suppressAutoHyphens w:val="0"/>
              <w:spacing w:before="120" w:after="120"/>
              <w:rPr>
                <w:rFonts w:eastAsia="Times New Roman" w:cs="Times New Roman"/>
                <w:b/>
                <w:bCs/>
                <w:color w:val="000000"/>
                <w:szCs w:val="24"/>
              </w:rPr>
            </w:pPr>
          </w:p>
        </w:tc>
      </w:tr>
      <w:tr w:rsidRPr="00B16734" w:rsidR="00F72E6F" w:rsidTr="001242F3" w14:paraId="4E8A9240" w14:textId="77777777">
        <w:trPr>
          <w:trHeight w:val="315"/>
        </w:trPr>
        <w:tc>
          <w:tcPr>
            <w:tcW w:w="3510" w:type="dxa"/>
            <w:tcBorders>
              <w:top w:val="nil"/>
              <w:left w:val="single" w:color="auto" w:sz="8" w:space="0"/>
              <w:bottom w:val="single" w:color="auto" w:sz="4" w:space="0"/>
              <w:right w:val="single" w:color="auto" w:sz="8" w:space="0"/>
            </w:tcBorders>
            <w:shd w:val="clear" w:color="auto" w:fill="auto"/>
            <w:noWrap/>
            <w:vAlign w:val="center"/>
            <w:hideMark/>
          </w:tcPr>
          <w:p w:rsidRPr="00B16734" w:rsidR="00F72E6F" w:rsidP="001242F3" w:rsidRDefault="00F72E6F" w14:paraId="13531F64"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Capital and Start-up Costs</w:t>
            </w:r>
          </w:p>
        </w:tc>
        <w:tc>
          <w:tcPr>
            <w:tcW w:w="3652" w:type="dxa"/>
            <w:tcBorders>
              <w:top w:val="nil"/>
              <w:left w:val="nil"/>
              <w:bottom w:val="single" w:color="auto" w:sz="4" w:space="0"/>
              <w:right w:val="single" w:color="auto" w:sz="8" w:space="0"/>
            </w:tcBorders>
            <w:shd w:val="clear" w:color="auto" w:fill="auto"/>
            <w:noWrap/>
            <w:vAlign w:val="center"/>
            <w:hideMark/>
          </w:tcPr>
          <w:p w:rsidRPr="00B16734" w:rsidR="00F72E6F" w:rsidP="001242F3" w:rsidRDefault="00F72E6F" w14:paraId="76E80A67" w14:textId="164E50F4">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$0</w:t>
            </w:r>
          </w:p>
        </w:tc>
        <w:tc>
          <w:tcPr>
            <w:tcW w:w="2288" w:type="dxa"/>
            <w:tcBorders>
              <w:top w:val="nil"/>
              <w:left w:val="nil"/>
              <w:bottom w:val="nil"/>
              <w:right w:val="nil"/>
            </w:tcBorders>
            <w:shd w:val="clear" w:color="auto" w:fill="auto"/>
            <w:noWrap/>
            <w:vAlign w:val="center"/>
            <w:hideMark/>
          </w:tcPr>
          <w:p w:rsidRPr="00B16734" w:rsidR="00F72E6F" w:rsidP="001242F3" w:rsidRDefault="00F72E6F" w14:paraId="3EE411C5" w14:textId="77777777">
            <w:pPr>
              <w:widowControl/>
              <w:suppressAutoHyphens w:val="0"/>
              <w:spacing w:before="120" w:after="120"/>
              <w:rPr>
                <w:rFonts w:eastAsia="Times New Roman" w:cs="Times New Roman"/>
                <w:color w:val="000000"/>
                <w:szCs w:val="24"/>
              </w:rPr>
            </w:pPr>
          </w:p>
        </w:tc>
      </w:tr>
      <w:tr w:rsidRPr="00B16734" w:rsidR="00F72E6F" w:rsidTr="001242F3" w14:paraId="03F06664" w14:textId="77777777">
        <w:trPr>
          <w:trHeight w:val="330"/>
        </w:trPr>
        <w:tc>
          <w:tcPr>
            <w:tcW w:w="3510" w:type="dxa"/>
            <w:tcBorders>
              <w:top w:val="nil"/>
              <w:left w:val="single" w:color="auto" w:sz="8" w:space="0"/>
              <w:bottom w:val="nil"/>
              <w:right w:val="single" w:color="auto" w:sz="8" w:space="0"/>
            </w:tcBorders>
            <w:shd w:val="clear" w:color="auto" w:fill="auto"/>
            <w:noWrap/>
            <w:vAlign w:val="center"/>
            <w:hideMark/>
          </w:tcPr>
          <w:p w:rsidRPr="00B16734" w:rsidR="00F72E6F" w:rsidP="001242F3" w:rsidRDefault="00F72E6F" w14:paraId="3519795E"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Operation and Maintenance Costs</w:t>
            </w:r>
          </w:p>
        </w:tc>
        <w:tc>
          <w:tcPr>
            <w:tcW w:w="3652" w:type="dxa"/>
            <w:tcBorders>
              <w:top w:val="nil"/>
              <w:left w:val="nil"/>
              <w:bottom w:val="nil"/>
              <w:right w:val="single" w:color="auto" w:sz="8" w:space="0"/>
            </w:tcBorders>
            <w:shd w:val="clear" w:color="auto" w:fill="auto"/>
            <w:noWrap/>
            <w:vAlign w:val="center"/>
            <w:hideMark/>
          </w:tcPr>
          <w:p w:rsidRPr="00B16734" w:rsidR="00F72E6F" w:rsidP="001242F3" w:rsidRDefault="00F72E6F" w14:paraId="2D51D601" w14:textId="55845B29">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$0</w:t>
            </w:r>
          </w:p>
        </w:tc>
        <w:tc>
          <w:tcPr>
            <w:tcW w:w="2288" w:type="dxa"/>
            <w:tcBorders>
              <w:top w:val="nil"/>
              <w:left w:val="nil"/>
              <w:bottom w:val="nil"/>
              <w:right w:val="nil"/>
            </w:tcBorders>
            <w:shd w:val="clear" w:color="auto" w:fill="auto"/>
            <w:noWrap/>
            <w:vAlign w:val="center"/>
            <w:hideMark/>
          </w:tcPr>
          <w:p w:rsidRPr="00B16734" w:rsidR="00F72E6F" w:rsidP="001242F3" w:rsidRDefault="00F72E6F" w14:paraId="378BA973" w14:textId="77777777">
            <w:pPr>
              <w:widowControl/>
              <w:suppressAutoHyphens w:val="0"/>
              <w:spacing w:before="120" w:after="120"/>
              <w:rPr>
                <w:rFonts w:eastAsia="Times New Roman" w:cs="Times New Roman"/>
                <w:color w:val="000000"/>
                <w:szCs w:val="24"/>
              </w:rPr>
            </w:pPr>
          </w:p>
        </w:tc>
      </w:tr>
      <w:tr w:rsidRPr="00B16734" w:rsidR="00F72E6F" w:rsidTr="001242F3" w14:paraId="0E1AD611" w14:textId="77777777">
        <w:trPr>
          <w:trHeight w:val="330"/>
        </w:trPr>
        <w:tc>
          <w:tcPr>
            <w:tcW w:w="3510" w:type="dxa"/>
            <w:tcBorders>
              <w:top w:val="single" w:color="auto" w:sz="8" w:space="0"/>
              <w:left w:val="single" w:color="auto" w:sz="8" w:space="0"/>
              <w:bottom w:val="single" w:color="auto" w:sz="8" w:space="0"/>
              <w:right w:val="single" w:color="auto" w:sz="8" w:space="0"/>
            </w:tcBorders>
            <w:shd w:val="clear" w:color="000000" w:fill="BDD7EE"/>
            <w:noWrap/>
            <w:vAlign w:val="center"/>
            <w:hideMark/>
          </w:tcPr>
          <w:p w:rsidRPr="00B16734" w:rsidR="00F72E6F" w:rsidP="001242F3" w:rsidRDefault="00F72E6F" w14:paraId="3894B3FD"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Total</w:t>
            </w:r>
          </w:p>
        </w:tc>
        <w:tc>
          <w:tcPr>
            <w:tcW w:w="3652" w:type="dxa"/>
            <w:tcBorders>
              <w:top w:val="single" w:color="auto" w:sz="8" w:space="0"/>
              <w:left w:val="nil"/>
              <w:bottom w:val="single" w:color="auto" w:sz="8" w:space="0"/>
              <w:right w:val="single" w:color="auto" w:sz="8" w:space="0"/>
            </w:tcBorders>
            <w:shd w:val="clear" w:color="000000" w:fill="BDD7EE"/>
            <w:noWrap/>
            <w:vAlign w:val="center"/>
            <w:hideMark/>
          </w:tcPr>
          <w:p w:rsidRPr="00B16734" w:rsidR="00F72E6F" w:rsidP="001242F3" w:rsidRDefault="00F72E6F" w14:paraId="3BC9CA73" w14:textId="51AA086A">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$0</w:t>
            </w:r>
          </w:p>
        </w:tc>
        <w:tc>
          <w:tcPr>
            <w:tcW w:w="2288" w:type="dxa"/>
            <w:tcBorders>
              <w:top w:val="nil"/>
              <w:left w:val="nil"/>
              <w:bottom w:val="nil"/>
              <w:right w:val="nil"/>
            </w:tcBorders>
            <w:shd w:val="clear" w:color="auto" w:fill="auto"/>
            <w:noWrap/>
            <w:vAlign w:val="center"/>
            <w:hideMark/>
          </w:tcPr>
          <w:p w:rsidRPr="00B16734" w:rsidR="00F72E6F" w:rsidP="001242F3" w:rsidRDefault="00F72E6F" w14:paraId="476879F0" w14:textId="77777777">
            <w:pPr>
              <w:widowControl/>
              <w:suppressAutoHyphens w:val="0"/>
              <w:spacing w:before="120" w:after="120"/>
              <w:rPr>
                <w:rFonts w:eastAsia="Times New Roman" w:cs="Times New Roman"/>
                <w:b/>
                <w:bCs/>
                <w:color w:val="000000"/>
                <w:szCs w:val="24"/>
              </w:rPr>
            </w:pPr>
          </w:p>
        </w:tc>
      </w:tr>
      <w:tr w:rsidRPr="00B16734" w:rsidR="00F72E6F" w:rsidTr="001242F3" w14:paraId="60B0D460" w14:textId="77777777">
        <w:trPr>
          <w:trHeight w:val="315"/>
        </w:trPr>
        <w:tc>
          <w:tcPr>
            <w:tcW w:w="3510" w:type="dxa"/>
            <w:tcBorders>
              <w:top w:val="nil"/>
              <w:left w:val="nil"/>
              <w:bottom w:val="nil"/>
              <w:right w:val="nil"/>
            </w:tcBorders>
            <w:shd w:val="clear" w:color="auto" w:fill="auto"/>
            <w:noWrap/>
            <w:vAlign w:val="center"/>
            <w:hideMark/>
          </w:tcPr>
          <w:p w:rsidRPr="00B16734" w:rsidR="00F72E6F" w:rsidP="001242F3" w:rsidRDefault="00F72E6F" w14:paraId="3692F08A" w14:textId="77777777">
            <w:pPr>
              <w:widowControl/>
              <w:suppressAutoHyphens w:val="0"/>
              <w:spacing w:before="120" w:after="120"/>
              <w:rPr>
                <w:rFonts w:eastAsia="Times New Roman" w:cs="Times New Roman"/>
                <w:szCs w:val="24"/>
              </w:rPr>
            </w:pPr>
          </w:p>
        </w:tc>
        <w:tc>
          <w:tcPr>
            <w:tcW w:w="3652" w:type="dxa"/>
            <w:tcBorders>
              <w:top w:val="nil"/>
              <w:left w:val="nil"/>
              <w:bottom w:val="nil"/>
              <w:right w:val="nil"/>
            </w:tcBorders>
            <w:shd w:val="clear" w:color="auto" w:fill="auto"/>
            <w:noWrap/>
            <w:vAlign w:val="center"/>
            <w:hideMark/>
          </w:tcPr>
          <w:p w:rsidRPr="00B16734" w:rsidR="00F72E6F" w:rsidP="001242F3" w:rsidRDefault="00F72E6F" w14:paraId="3E22B7F9" w14:textId="77777777">
            <w:pPr>
              <w:widowControl/>
              <w:suppressAutoHyphens w:val="0"/>
              <w:spacing w:before="120" w:after="120"/>
              <w:rPr>
                <w:rFonts w:eastAsia="Times New Roman" w:cs="Times New Roman"/>
                <w:szCs w:val="24"/>
              </w:rPr>
            </w:pPr>
          </w:p>
        </w:tc>
        <w:tc>
          <w:tcPr>
            <w:tcW w:w="2288" w:type="dxa"/>
            <w:tcBorders>
              <w:top w:val="nil"/>
              <w:left w:val="nil"/>
              <w:bottom w:val="nil"/>
              <w:right w:val="nil"/>
            </w:tcBorders>
            <w:shd w:val="clear" w:color="auto" w:fill="auto"/>
            <w:noWrap/>
            <w:vAlign w:val="center"/>
            <w:hideMark/>
          </w:tcPr>
          <w:p w:rsidRPr="00B16734" w:rsidR="00F72E6F" w:rsidP="001242F3" w:rsidRDefault="00F72E6F" w14:paraId="54F89D21" w14:textId="77777777">
            <w:pPr>
              <w:widowControl/>
              <w:suppressAutoHyphens w:val="0"/>
              <w:spacing w:before="120" w:after="120"/>
              <w:rPr>
                <w:rFonts w:eastAsia="Times New Roman" w:cs="Times New Roman"/>
                <w:szCs w:val="24"/>
              </w:rPr>
            </w:pPr>
          </w:p>
        </w:tc>
      </w:tr>
      <w:tr w:rsidRPr="00B16734" w:rsidR="00F72E6F" w:rsidTr="001242F3" w14:paraId="2651AFFC" w14:textId="77777777">
        <w:trPr>
          <w:trHeight w:val="315"/>
        </w:trPr>
        <w:tc>
          <w:tcPr>
            <w:tcW w:w="9450" w:type="dxa"/>
            <w:gridSpan w:val="3"/>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B16734" w:rsidR="00F72E6F" w:rsidP="001242F3" w:rsidRDefault="00F72E6F" w14:paraId="7AD05B76" w14:textId="77777777">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t>ASSUMPTIONS</w:t>
            </w:r>
          </w:p>
        </w:tc>
      </w:tr>
      <w:tr w:rsidRPr="00B16734" w:rsidR="00F72E6F" w:rsidTr="001242F3" w14:paraId="755585B8" w14:textId="77777777">
        <w:trPr>
          <w:trHeight w:val="1730"/>
        </w:trPr>
        <w:tc>
          <w:tcPr>
            <w:tcW w:w="3510" w:type="dxa"/>
            <w:tcBorders>
              <w:top w:val="nil"/>
              <w:left w:val="single" w:color="auto" w:sz="8" w:space="0"/>
              <w:bottom w:val="single" w:color="auto" w:sz="4" w:space="0"/>
              <w:right w:val="single" w:color="auto" w:sz="4" w:space="0"/>
            </w:tcBorders>
            <w:shd w:val="clear" w:color="auto" w:fill="auto"/>
            <w:noWrap/>
            <w:vAlign w:val="center"/>
            <w:hideMark/>
          </w:tcPr>
          <w:p w:rsidRPr="00B16734" w:rsidR="00F72E6F" w:rsidP="001242F3" w:rsidRDefault="00F72E6F" w14:paraId="26D9229A"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Capital and Start-up Costs:</w:t>
            </w:r>
          </w:p>
        </w:tc>
        <w:tc>
          <w:tcPr>
            <w:tcW w:w="5940" w:type="dxa"/>
            <w:gridSpan w:val="2"/>
            <w:tcBorders>
              <w:top w:val="single" w:color="auto" w:sz="4" w:space="0"/>
              <w:left w:val="nil"/>
              <w:bottom w:val="single" w:color="auto" w:sz="4" w:space="0"/>
              <w:right w:val="single" w:color="000000" w:sz="8" w:space="0"/>
            </w:tcBorders>
            <w:shd w:val="clear" w:color="auto" w:fill="auto"/>
            <w:vAlign w:val="center"/>
            <w:hideMark/>
          </w:tcPr>
          <w:p w:rsidRPr="00B16734" w:rsidR="00F72E6F" w:rsidP="001242F3" w:rsidRDefault="00F72E6F" w14:paraId="73112F6E" w14:textId="60DEF2BE">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 xml:space="preserve">The Review Commission is not purchasing any equipment, software, or services to collect this information. </w:t>
            </w:r>
            <w:r w:rsidRPr="00B16734" w:rsidR="00AB0FC0">
              <w:rPr>
                <w:rFonts w:eastAsia="Times New Roman" w:cs="Times New Roman"/>
                <w:color w:val="000000"/>
                <w:szCs w:val="24"/>
              </w:rPr>
              <w:t xml:space="preserve">Employees </w:t>
            </w:r>
            <w:r w:rsidRPr="00B16734">
              <w:rPr>
                <w:rFonts w:eastAsia="Times New Roman" w:cs="Times New Roman"/>
                <w:color w:val="000000"/>
                <w:szCs w:val="24"/>
              </w:rPr>
              <w:t>will be allowed to submit the form via email due to the time constraints of getting the vaccine. Also, forms will be maintained per our privacy policy and reasonable accommodations process.</w:t>
            </w:r>
          </w:p>
        </w:tc>
      </w:tr>
      <w:tr w:rsidRPr="00B16734" w:rsidR="001242F3" w:rsidTr="00CB723F" w14:paraId="7073AF88" w14:textId="77777777">
        <w:trPr>
          <w:trHeight w:val="182"/>
        </w:trPr>
        <w:tc>
          <w:tcPr>
            <w:tcW w:w="3510" w:type="dxa"/>
            <w:tcBorders>
              <w:top w:val="nil"/>
              <w:left w:val="single" w:color="auto" w:sz="8" w:space="0"/>
              <w:bottom w:val="single" w:color="auto" w:sz="4" w:space="0"/>
              <w:right w:val="single" w:color="auto" w:sz="4" w:space="0"/>
            </w:tcBorders>
            <w:shd w:val="clear" w:color="auto" w:fill="000000" w:themeFill="text1"/>
            <w:noWrap/>
            <w:vAlign w:val="center"/>
            <w:hideMark/>
          </w:tcPr>
          <w:p w:rsidRPr="00B16734" w:rsidR="00F72E6F" w:rsidP="001242F3" w:rsidRDefault="00F72E6F" w14:paraId="6CF7E04C" w14:textId="0311A028">
            <w:pPr>
              <w:widowControl/>
              <w:suppressAutoHyphens w:val="0"/>
              <w:spacing w:before="120" w:after="120"/>
              <w:rPr>
                <w:rFonts w:eastAsia="Times New Roman" w:cs="Times New Roman"/>
                <w:color w:val="000000"/>
                <w:szCs w:val="24"/>
              </w:rPr>
            </w:pPr>
          </w:p>
        </w:tc>
        <w:tc>
          <w:tcPr>
            <w:tcW w:w="3652" w:type="dxa"/>
            <w:tcBorders>
              <w:top w:val="nil"/>
              <w:left w:val="nil"/>
              <w:bottom w:val="single" w:color="auto" w:sz="4" w:space="0"/>
              <w:right w:val="single" w:color="auto" w:sz="4" w:space="0"/>
            </w:tcBorders>
            <w:shd w:val="clear" w:color="auto" w:fill="000000" w:themeFill="text1"/>
            <w:noWrap/>
            <w:vAlign w:val="center"/>
            <w:hideMark/>
          </w:tcPr>
          <w:p w:rsidRPr="00B16734" w:rsidR="00F72E6F" w:rsidP="001242F3" w:rsidRDefault="00F72E6F" w14:paraId="7C64B892" w14:textId="5639C33F">
            <w:pPr>
              <w:widowControl/>
              <w:suppressAutoHyphens w:val="0"/>
              <w:spacing w:before="120" w:after="120"/>
              <w:rPr>
                <w:rFonts w:eastAsia="Times New Roman" w:cs="Times New Roman"/>
                <w:color w:val="000000"/>
                <w:szCs w:val="24"/>
              </w:rPr>
            </w:pPr>
          </w:p>
        </w:tc>
        <w:tc>
          <w:tcPr>
            <w:tcW w:w="2288" w:type="dxa"/>
            <w:tcBorders>
              <w:top w:val="nil"/>
              <w:left w:val="nil"/>
              <w:bottom w:val="single" w:color="auto" w:sz="4" w:space="0"/>
              <w:right w:val="single" w:color="auto" w:sz="8" w:space="0"/>
            </w:tcBorders>
            <w:shd w:val="clear" w:color="auto" w:fill="000000" w:themeFill="text1"/>
            <w:noWrap/>
            <w:vAlign w:val="center"/>
            <w:hideMark/>
          </w:tcPr>
          <w:p w:rsidRPr="00B16734" w:rsidR="00F72E6F" w:rsidP="001242F3" w:rsidRDefault="00F72E6F" w14:paraId="3F09A7B5" w14:textId="010421E2">
            <w:pPr>
              <w:widowControl/>
              <w:suppressAutoHyphens w:val="0"/>
              <w:spacing w:before="120" w:after="120"/>
              <w:rPr>
                <w:rFonts w:eastAsia="Times New Roman" w:cs="Times New Roman"/>
                <w:color w:val="000000"/>
                <w:szCs w:val="24"/>
              </w:rPr>
            </w:pPr>
          </w:p>
        </w:tc>
      </w:tr>
      <w:tr w:rsidRPr="00B16734" w:rsidR="00F72E6F" w:rsidTr="001242F3" w14:paraId="0BD3F02D" w14:textId="77777777">
        <w:trPr>
          <w:trHeight w:val="1028"/>
        </w:trPr>
        <w:tc>
          <w:tcPr>
            <w:tcW w:w="3510" w:type="dxa"/>
            <w:tcBorders>
              <w:top w:val="nil"/>
              <w:left w:val="single" w:color="auto" w:sz="8" w:space="0"/>
              <w:bottom w:val="single" w:color="auto" w:sz="8" w:space="0"/>
              <w:right w:val="single" w:color="auto" w:sz="4" w:space="0"/>
            </w:tcBorders>
            <w:shd w:val="clear" w:color="auto" w:fill="auto"/>
            <w:noWrap/>
            <w:vAlign w:val="center"/>
            <w:hideMark/>
          </w:tcPr>
          <w:p w:rsidRPr="00B16734" w:rsidR="00F72E6F" w:rsidP="001242F3" w:rsidRDefault="00F72E6F" w14:paraId="2121DA03"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Operation and Maintenance Costs:</w:t>
            </w:r>
          </w:p>
        </w:tc>
        <w:tc>
          <w:tcPr>
            <w:tcW w:w="5940" w:type="dxa"/>
            <w:gridSpan w:val="2"/>
            <w:tcBorders>
              <w:top w:val="single" w:color="auto" w:sz="4" w:space="0"/>
              <w:left w:val="nil"/>
              <w:bottom w:val="single" w:color="auto" w:sz="8" w:space="0"/>
              <w:right w:val="single" w:color="000000" w:sz="8" w:space="0"/>
            </w:tcBorders>
            <w:shd w:val="clear" w:color="auto" w:fill="auto"/>
            <w:vAlign w:val="center"/>
            <w:hideMark/>
          </w:tcPr>
          <w:p w:rsidRPr="00B16734" w:rsidR="00F72E6F" w:rsidP="001242F3" w:rsidRDefault="00F72E6F" w14:paraId="2AB56442"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The Review Commission is not anticipating any additional operation and maintenance cost to collect and process the forms.</w:t>
            </w:r>
          </w:p>
        </w:tc>
      </w:tr>
    </w:tbl>
    <w:p w:rsidRPr="00B16734" w:rsidR="00F72E6F" w:rsidP="00F72E6F" w:rsidRDefault="00F72E6F" w14:paraId="6220AF04" w14:textId="77777777">
      <w:pPr>
        <w:pStyle w:val="Default"/>
        <w:spacing w:after="120"/>
        <w:rPr>
          <w:color w:val="2F5496" w:themeColor="accent1" w:themeShade="BF"/>
        </w:rPr>
      </w:pPr>
    </w:p>
    <w:p w:rsidRPr="00B16734" w:rsidR="003924D5" w:rsidP="00257821" w:rsidRDefault="003924D5" w14:paraId="6D3003FF" w14:textId="45EEAE66">
      <w:pPr>
        <w:pStyle w:val="Default"/>
        <w:spacing w:after="120"/>
        <w:rPr>
          <w:color w:val="2F5496" w:themeColor="accent1" w:themeShade="BF"/>
        </w:rPr>
      </w:pPr>
      <w:r w:rsidRPr="00B16734">
        <w:rPr>
          <w:color w:val="2F5496" w:themeColor="accent1" w:themeShade="BF"/>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B16734" w:rsidR="00CB723F" w:rsidP="00257821" w:rsidRDefault="00CB723F" w14:paraId="70A547F5" w14:textId="77777777">
      <w:pPr>
        <w:pStyle w:val="Default"/>
        <w:spacing w:after="120"/>
        <w:rPr>
          <w:color w:val="2F5496" w:themeColor="accent1" w:themeShade="BF"/>
        </w:rPr>
      </w:pPr>
    </w:p>
    <w:tbl>
      <w:tblPr>
        <w:tblW w:w="9440" w:type="dxa"/>
        <w:tblLook w:val="04A0" w:firstRow="1" w:lastRow="0" w:firstColumn="1" w:lastColumn="0" w:noHBand="0" w:noVBand="1"/>
      </w:tblPr>
      <w:tblGrid>
        <w:gridCol w:w="3500"/>
        <w:gridCol w:w="3600"/>
        <w:gridCol w:w="2340"/>
      </w:tblGrid>
      <w:tr w:rsidRPr="00B16734" w:rsidR="00CB723F" w:rsidTr="00CB723F" w14:paraId="594AAAF3" w14:textId="77777777">
        <w:trPr>
          <w:trHeight w:val="315"/>
        </w:trPr>
        <w:tc>
          <w:tcPr>
            <w:tcW w:w="3500" w:type="dxa"/>
            <w:tcBorders>
              <w:top w:val="single" w:color="auto" w:sz="8" w:space="0"/>
              <w:left w:val="single" w:color="auto" w:sz="8" w:space="0"/>
              <w:bottom w:val="single" w:color="auto" w:sz="4" w:space="0"/>
              <w:right w:val="single" w:color="auto" w:sz="8" w:space="0"/>
            </w:tcBorders>
            <w:shd w:val="clear" w:color="000000" w:fill="BDD7EE"/>
            <w:noWrap/>
            <w:vAlign w:val="center"/>
            <w:hideMark/>
          </w:tcPr>
          <w:p w:rsidRPr="00B16734" w:rsidR="00CB723F" w:rsidP="00CB723F" w:rsidRDefault="00CB723F" w14:paraId="718C57F8"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 </w:t>
            </w:r>
          </w:p>
        </w:tc>
        <w:tc>
          <w:tcPr>
            <w:tcW w:w="3600" w:type="dxa"/>
            <w:tcBorders>
              <w:top w:val="single" w:color="auto" w:sz="8" w:space="0"/>
              <w:left w:val="nil"/>
              <w:bottom w:val="single" w:color="auto" w:sz="4" w:space="0"/>
              <w:right w:val="single" w:color="auto" w:sz="8" w:space="0"/>
            </w:tcBorders>
            <w:shd w:val="clear" w:color="000000" w:fill="BDD7EE"/>
            <w:noWrap/>
            <w:vAlign w:val="center"/>
            <w:hideMark/>
          </w:tcPr>
          <w:p w:rsidRPr="00B16734" w:rsidR="00CB723F" w:rsidP="00CB723F" w:rsidRDefault="00CB723F" w14:paraId="3017B257"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Costs</w:t>
            </w:r>
          </w:p>
        </w:tc>
        <w:tc>
          <w:tcPr>
            <w:tcW w:w="2340" w:type="dxa"/>
            <w:tcBorders>
              <w:top w:val="nil"/>
              <w:left w:val="nil"/>
              <w:bottom w:val="nil"/>
              <w:right w:val="nil"/>
            </w:tcBorders>
            <w:shd w:val="clear" w:color="auto" w:fill="auto"/>
            <w:noWrap/>
            <w:vAlign w:val="center"/>
            <w:hideMark/>
          </w:tcPr>
          <w:p w:rsidRPr="00B16734" w:rsidR="00CB723F" w:rsidP="00CB723F" w:rsidRDefault="00CB723F" w14:paraId="18218727" w14:textId="77777777">
            <w:pPr>
              <w:widowControl/>
              <w:suppressAutoHyphens w:val="0"/>
              <w:rPr>
                <w:rFonts w:eastAsia="Times New Roman" w:cs="Times New Roman"/>
                <w:b/>
                <w:bCs/>
                <w:color w:val="000000"/>
                <w:szCs w:val="24"/>
              </w:rPr>
            </w:pPr>
          </w:p>
        </w:tc>
      </w:tr>
      <w:tr w:rsidRPr="00B16734" w:rsidR="00CB723F" w:rsidTr="00CB723F" w14:paraId="2C39AB67" w14:textId="77777777">
        <w:trPr>
          <w:trHeight w:val="330"/>
        </w:trPr>
        <w:tc>
          <w:tcPr>
            <w:tcW w:w="3500" w:type="dxa"/>
            <w:tcBorders>
              <w:top w:val="nil"/>
              <w:left w:val="single" w:color="auto" w:sz="8" w:space="0"/>
              <w:bottom w:val="single" w:color="auto" w:sz="4" w:space="0"/>
              <w:right w:val="single" w:color="auto" w:sz="8" w:space="0"/>
            </w:tcBorders>
            <w:shd w:val="clear" w:color="auto" w:fill="auto"/>
            <w:noWrap/>
            <w:vAlign w:val="center"/>
            <w:hideMark/>
          </w:tcPr>
          <w:p w:rsidRPr="00B16734" w:rsidR="00CB723F" w:rsidP="00CB723F" w:rsidRDefault="00CB723F" w14:paraId="208D0691"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Annualized Costs to Federal Government</w:t>
            </w:r>
          </w:p>
        </w:tc>
        <w:tc>
          <w:tcPr>
            <w:tcW w:w="3600" w:type="dxa"/>
            <w:tcBorders>
              <w:top w:val="nil"/>
              <w:left w:val="nil"/>
              <w:bottom w:val="single" w:color="auto" w:sz="4" w:space="0"/>
              <w:right w:val="single" w:color="auto" w:sz="8" w:space="0"/>
            </w:tcBorders>
            <w:shd w:val="clear" w:color="auto" w:fill="auto"/>
            <w:noWrap/>
            <w:vAlign w:val="center"/>
            <w:hideMark/>
          </w:tcPr>
          <w:p w:rsidRPr="00B16734" w:rsidR="00CB723F" w:rsidP="00CB723F" w:rsidRDefault="00CB723F" w14:paraId="5D41BDCB" w14:textId="77777777">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 xml:space="preserve">$1,608 </w:t>
            </w:r>
          </w:p>
        </w:tc>
        <w:tc>
          <w:tcPr>
            <w:tcW w:w="2340" w:type="dxa"/>
            <w:tcBorders>
              <w:top w:val="nil"/>
              <w:left w:val="nil"/>
              <w:bottom w:val="nil"/>
              <w:right w:val="nil"/>
            </w:tcBorders>
            <w:shd w:val="clear" w:color="auto" w:fill="auto"/>
            <w:noWrap/>
            <w:vAlign w:val="center"/>
            <w:hideMark/>
          </w:tcPr>
          <w:p w:rsidRPr="00B16734" w:rsidR="00CB723F" w:rsidP="00CB723F" w:rsidRDefault="00CB723F" w14:paraId="3E1AFBC6" w14:textId="77777777">
            <w:pPr>
              <w:widowControl/>
              <w:suppressAutoHyphens w:val="0"/>
              <w:rPr>
                <w:rFonts w:eastAsia="Times New Roman" w:cs="Times New Roman"/>
                <w:color w:val="000000"/>
                <w:szCs w:val="24"/>
              </w:rPr>
            </w:pPr>
          </w:p>
        </w:tc>
      </w:tr>
      <w:tr w:rsidRPr="00B16734" w:rsidR="00CB723F" w:rsidTr="00CB723F" w14:paraId="29C2FD68" w14:textId="77777777">
        <w:trPr>
          <w:trHeight w:val="330"/>
        </w:trPr>
        <w:tc>
          <w:tcPr>
            <w:tcW w:w="3500" w:type="dxa"/>
            <w:tcBorders>
              <w:top w:val="single" w:color="auto" w:sz="8" w:space="0"/>
              <w:left w:val="single" w:color="auto" w:sz="8" w:space="0"/>
              <w:bottom w:val="single" w:color="auto" w:sz="8" w:space="0"/>
              <w:right w:val="single" w:color="auto" w:sz="8" w:space="0"/>
            </w:tcBorders>
            <w:shd w:val="clear" w:color="000000" w:fill="BDD7EE"/>
            <w:noWrap/>
            <w:vAlign w:val="center"/>
            <w:hideMark/>
          </w:tcPr>
          <w:p w:rsidRPr="00B16734" w:rsidR="00CB723F" w:rsidP="00CB723F" w:rsidRDefault="00CB723F" w14:paraId="3B716B68"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Total</w:t>
            </w:r>
          </w:p>
        </w:tc>
        <w:tc>
          <w:tcPr>
            <w:tcW w:w="3600" w:type="dxa"/>
            <w:tcBorders>
              <w:top w:val="single" w:color="auto" w:sz="8" w:space="0"/>
              <w:left w:val="nil"/>
              <w:bottom w:val="single" w:color="auto" w:sz="8" w:space="0"/>
              <w:right w:val="single" w:color="auto" w:sz="8" w:space="0"/>
            </w:tcBorders>
            <w:shd w:val="clear" w:color="000000" w:fill="BDD7EE"/>
            <w:noWrap/>
            <w:vAlign w:val="center"/>
            <w:hideMark/>
          </w:tcPr>
          <w:p w:rsidRPr="00B16734" w:rsidR="00CB723F" w:rsidP="00CB723F" w:rsidRDefault="00CB723F" w14:paraId="09323838"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 xml:space="preserve">$1,608 </w:t>
            </w:r>
          </w:p>
        </w:tc>
        <w:tc>
          <w:tcPr>
            <w:tcW w:w="2340" w:type="dxa"/>
            <w:tcBorders>
              <w:top w:val="nil"/>
              <w:left w:val="nil"/>
              <w:bottom w:val="nil"/>
              <w:right w:val="nil"/>
            </w:tcBorders>
            <w:shd w:val="clear" w:color="auto" w:fill="auto"/>
            <w:noWrap/>
            <w:vAlign w:val="center"/>
            <w:hideMark/>
          </w:tcPr>
          <w:p w:rsidRPr="00B16734" w:rsidR="00CB723F" w:rsidP="00CB723F" w:rsidRDefault="00CB723F" w14:paraId="66A3821A" w14:textId="77777777">
            <w:pPr>
              <w:widowControl/>
              <w:suppressAutoHyphens w:val="0"/>
              <w:rPr>
                <w:rFonts w:eastAsia="Times New Roman" w:cs="Times New Roman"/>
                <w:b/>
                <w:bCs/>
                <w:color w:val="000000"/>
                <w:szCs w:val="24"/>
              </w:rPr>
            </w:pPr>
          </w:p>
        </w:tc>
      </w:tr>
    </w:tbl>
    <w:p w:rsidR="00494B19" w:rsidRDefault="00494B19" w14:paraId="21FC27A3" w14:textId="77777777">
      <w:r>
        <w:br w:type="page"/>
      </w:r>
    </w:p>
    <w:tbl>
      <w:tblPr>
        <w:tblW w:w="9440" w:type="dxa"/>
        <w:tblLook w:val="04A0" w:firstRow="1" w:lastRow="0" w:firstColumn="1" w:lastColumn="0" w:noHBand="0" w:noVBand="1"/>
      </w:tblPr>
      <w:tblGrid>
        <w:gridCol w:w="3500"/>
        <w:gridCol w:w="5940"/>
      </w:tblGrid>
      <w:tr w:rsidRPr="00B16734" w:rsidR="00CB723F" w:rsidTr="00CB723F" w14:paraId="4ACAF8DF" w14:textId="77777777">
        <w:trPr>
          <w:trHeight w:val="315"/>
        </w:trPr>
        <w:tc>
          <w:tcPr>
            <w:tcW w:w="9440" w:type="dxa"/>
            <w:gridSpan w:val="2"/>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B16734" w:rsidR="00CB723F" w:rsidP="00CB723F" w:rsidRDefault="00CB723F" w14:paraId="3C84B971" w14:textId="71E96608">
            <w:pPr>
              <w:widowControl/>
              <w:suppressAutoHyphens w:val="0"/>
              <w:spacing w:before="120" w:after="120"/>
              <w:jc w:val="center"/>
              <w:rPr>
                <w:rFonts w:eastAsia="Times New Roman" w:cs="Times New Roman"/>
                <w:b/>
                <w:bCs/>
                <w:color w:val="000000"/>
                <w:szCs w:val="24"/>
              </w:rPr>
            </w:pPr>
            <w:r w:rsidRPr="00B16734">
              <w:rPr>
                <w:rFonts w:eastAsia="Times New Roman" w:cs="Times New Roman"/>
                <w:b/>
                <w:bCs/>
                <w:color w:val="000000"/>
                <w:szCs w:val="24"/>
              </w:rPr>
              <w:lastRenderedPageBreak/>
              <w:t>ASSUMPTION</w:t>
            </w:r>
          </w:p>
        </w:tc>
      </w:tr>
      <w:tr w:rsidRPr="00B16734" w:rsidR="00CB723F" w:rsidTr="00CB723F" w14:paraId="78715377" w14:textId="77777777">
        <w:trPr>
          <w:trHeight w:val="2198"/>
        </w:trPr>
        <w:tc>
          <w:tcPr>
            <w:tcW w:w="3500" w:type="dxa"/>
            <w:tcBorders>
              <w:top w:val="nil"/>
              <w:left w:val="single" w:color="auto" w:sz="8" w:space="0"/>
              <w:bottom w:val="single" w:color="auto" w:sz="8" w:space="0"/>
              <w:right w:val="single" w:color="auto" w:sz="4" w:space="0"/>
            </w:tcBorders>
            <w:shd w:val="clear" w:color="auto" w:fill="auto"/>
            <w:noWrap/>
            <w:vAlign w:val="center"/>
            <w:hideMark/>
          </w:tcPr>
          <w:p w:rsidRPr="00B16734" w:rsidR="00CB723F" w:rsidP="00CB723F" w:rsidRDefault="00CB723F" w14:paraId="67BA4E2A" w14:textId="77777777">
            <w:pPr>
              <w:widowControl/>
              <w:suppressAutoHyphens w:val="0"/>
              <w:spacing w:before="120" w:after="120"/>
              <w:rPr>
                <w:rFonts w:eastAsia="Times New Roman" w:cs="Times New Roman"/>
                <w:b/>
                <w:bCs/>
                <w:color w:val="000000"/>
                <w:szCs w:val="24"/>
              </w:rPr>
            </w:pPr>
            <w:r w:rsidRPr="00B16734">
              <w:rPr>
                <w:rFonts w:eastAsia="Times New Roman" w:cs="Times New Roman"/>
                <w:b/>
                <w:bCs/>
                <w:color w:val="000000"/>
                <w:szCs w:val="24"/>
              </w:rPr>
              <w:t>Annualized Costs to Federal Government:</w:t>
            </w:r>
          </w:p>
        </w:tc>
        <w:tc>
          <w:tcPr>
            <w:tcW w:w="5940" w:type="dxa"/>
            <w:tcBorders>
              <w:top w:val="single" w:color="auto" w:sz="4" w:space="0"/>
              <w:left w:val="nil"/>
              <w:bottom w:val="single" w:color="auto" w:sz="8" w:space="0"/>
              <w:right w:val="single" w:color="000000" w:sz="8" w:space="0"/>
            </w:tcBorders>
            <w:shd w:val="clear" w:color="auto" w:fill="auto"/>
            <w:vAlign w:val="center"/>
            <w:hideMark/>
          </w:tcPr>
          <w:p w:rsidRPr="00B16734" w:rsidR="00CB723F" w:rsidP="00CB723F" w:rsidRDefault="00CB723F" w14:paraId="71558236" w14:textId="0923164F">
            <w:pPr>
              <w:widowControl/>
              <w:suppressAutoHyphens w:val="0"/>
              <w:spacing w:before="120" w:after="120"/>
              <w:rPr>
                <w:rFonts w:eastAsia="Times New Roman" w:cs="Times New Roman"/>
                <w:color w:val="000000"/>
                <w:szCs w:val="24"/>
              </w:rPr>
            </w:pPr>
            <w:r w:rsidRPr="00B16734">
              <w:rPr>
                <w:rFonts w:eastAsia="Times New Roman" w:cs="Times New Roman"/>
                <w:color w:val="000000"/>
                <w:szCs w:val="24"/>
              </w:rPr>
              <w:t xml:space="preserve">The Review Commission estimates that it will take 8 hours to process each request for </w:t>
            </w:r>
            <w:r w:rsidRPr="00B16734" w:rsidR="00AB0FC0">
              <w:rPr>
                <w:rFonts w:eastAsia="Times New Roman" w:cs="Times New Roman"/>
                <w:color w:val="000000"/>
                <w:szCs w:val="24"/>
              </w:rPr>
              <w:t xml:space="preserve">a </w:t>
            </w:r>
            <w:r w:rsidRPr="00B16734">
              <w:rPr>
                <w:rFonts w:eastAsia="Times New Roman" w:cs="Times New Roman"/>
                <w:color w:val="000000"/>
                <w:szCs w:val="24"/>
              </w:rPr>
              <w:t>medical exception at an average hourly rate of $67 (8x3x$67). We do not anticipate incurring any additional costs to process the estimated requests. The estimated 8 hours and average hourly rate includes staff involved in our reasonable accommodation process.</w:t>
            </w:r>
          </w:p>
        </w:tc>
      </w:tr>
    </w:tbl>
    <w:p w:rsidRPr="00B16734" w:rsidR="00CB723F" w:rsidP="00257821" w:rsidRDefault="00CB723F" w14:paraId="0668FC6C" w14:textId="77777777">
      <w:pPr>
        <w:pStyle w:val="Default"/>
        <w:spacing w:after="120"/>
        <w:rPr>
          <w:color w:val="2F5496" w:themeColor="accent1" w:themeShade="BF"/>
        </w:rPr>
      </w:pPr>
    </w:p>
    <w:p w:rsidRPr="00B16734" w:rsidR="003924D5" w:rsidP="00257821" w:rsidRDefault="003924D5" w14:paraId="6616485E" w14:textId="684B0AAD">
      <w:pPr>
        <w:pStyle w:val="Default"/>
        <w:spacing w:after="120"/>
        <w:rPr>
          <w:color w:val="2F5496" w:themeColor="accent1" w:themeShade="BF"/>
        </w:rPr>
      </w:pPr>
      <w:r w:rsidRPr="00B16734">
        <w:rPr>
          <w:color w:val="2F5496" w:themeColor="accent1" w:themeShade="BF"/>
        </w:rPr>
        <w:t xml:space="preserve">15. Explain the reasons for any program changes or adjustments reported on the burden worksheet. </w:t>
      </w:r>
    </w:p>
    <w:p w:rsidRPr="00B16734" w:rsidR="00677017" w:rsidP="00257821" w:rsidRDefault="00677017" w14:paraId="21E576C6" w14:textId="4CDEF77F">
      <w:pPr>
        <w:pStyle w:val="Default"/>
        <w:spacing w:after="120"/>
        <w:rPr>
          <w:color w:val="auto"/>
        </w:rPr>
      </w:pPr>
      <w:r w:rsidRPr="00B16734">
        <w:rPr>
          <w:color w:val="auto"/>
        </w:rPr>
        <w:t>Not applicable.</w:t>
      </w:r>
    </w:p>
    <w:p w:rsidRPr="00B16734" w:rsidR="003924D5" w:rsidP="00257821" w:rsidRDefault="003924D5" w14:paraId="696BADED" w14:textId="20C9AFDC">
      <w:pPr>
        <w:pStyle w:val="Default"/>
        <w:spacing w:after="120"/>
        <w:rPr>
          <w:color w:val="2F5496" w:themeColor="accent1" w:themeShade="BF"/>
        </w:rPr>
      </w:pPr>
      <w:r w:rsidRPr="00B16734">
        <w:rPr>
          <w:color w:val="2F5496" w:themeColor="accent1" w:themeShade="BF"/>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16734" w:rsidR="00677017" w:rsidP="00257821" w:rsidRDefault="00677017" w14:paraId="746C53E6" w14:textId="1E12BD0D">
      <w:pPr>
        <w:pStyle w:val="Default"/>
        <w:spacing w:after="120"/>
        <w:rPr>
          <w:color w:val="auto"/>
        </w:rPr>
      </w:pPr>
      <w:r w:rsidRPr="00B16734">
        <w:rPr>
          <w:color w:val="auto"/>
        </w:rPr>
        <w:t>Not applicable.</w:t>
      </w:r>
    </w:p>
    <w:p w:rsidRPr="00B16734" w:rsidR="003924D5" w:rsidP="00257821" w:rsidRDefault="003924D5" w14:paraId="62FC526F" w14:textId="4FEB5258">
      <w:pPr>
        <w:pStyle w:val="Default"/>
        <w:spacing w:after="120"/>
        <w:rPr>
          <w:color w:val="2F5496" w:themeColor="accent1" w:themeShade="BF"/>
        </w:rPr>
      </w:pPr>
      <w:r w:rsidRPr="00B16734">
        <w:rPr>
          <w:color w:val="2F5496" w:themeColor="accent1" w:themeShade="BF"/>
        </w:rPr>
        <w:t xml:space="preserve">17. If seeking approval to not display the expiration date for OMB approval of the information collection, explain the reasons that display would be inappropriate. </w:t>
      </w:r>
    </w:p>
    <w:p w:rsidRPr="00B16734" w:rsidR="00677017" w:rsidP="00257821" w:rsidRDefault="00677017" w14:paraId="11C2E3C5" w14:textId="7C121463">
      <w:pPr>
        <w:pStyle w:val="Default"/>
        <w:spacing w:after="120"/>
        <w:rPr>
          <w:color w:val="auto"/>
        </w:rPr>
      </w:pPr>
      <w:r w:rsidRPr="00B16734">
        <w:rPr>
          <w:color w:val="auto"/>
        </w:rPr>
        <w:t>Not applicable.</w:t>
      </w:r>
    </w:p>
    <w:p w:rsidRPr="00B16734" w:rsidR="003924D5" w:rsidP="00257821" w:rsidRDefault="003924D5" w14:paraId="04F35767" w14:textId="2436E07C">
      <w:pPr>
        <w:pStyle w:val="Default"/>
        <w:spacing w:after="120"/>
        <w:rPr>
          <w:color w:val="2F5496" w:themeColor="accent1" w:themeShade="BF"/>
        </w:rPr>
      </w:pPr>
      <w:r w:rsidRPr="00B16734">
        <w:rPr>
          <w:color w:val="2F5496" w:themeColor="accent1" w:themeShade="BF"/>
        </w:rPr>
        <w:t xml:space="preserve">18. Explain each exception to the topics of the certification statement identified in “Certification for Paperwork Reduction Act Submissions.” </w:t>
      </w:r>
    </w:p>
    <w:p w:rsidRPr="00B16734" w:rsidR="00C76EAF" w:rsidP="001C5F06" w:rsidRDefault="004E497B" w14:paraId="22F521B7" w14:textId="4C48CD48">
      <w:pPr>
        <w:pStyle w:val="Default"/>
        <w:spacing w:after="120"/>
      </w:pPr>
      <w:r w:rsidRPr="00B16734">
        <w:rPr>
          <w:color w:val="auto"/>
        </w:rPr>
        <w:t xml:space="preserve">The information is not collected for statistical purposes.  </w:t>
      </w:r>
    </w:p>
    <w:sectPr w:rsidRPr="00B16734" w:rsidR="00C76EAF" w:rsidSect="001242F3">
      <w:pgSz w:w="12240" w:h="16340"/>
      <w:pgMar w:top="1860" w:right="1440" w:bottom="137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0017"/>
    <w:multiLevelType w:val="hybridMultilevel"/>
    <w:tmpl w:val="27DA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29B7"/>
    <w:multiLevelType w:val="hybridMultilevel"/>
    <w:tmpl w:val="1A0807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E8725D"/>
    <w:multiLevelType w:val="hybridMultilevel"/>
    <w:tmpl w:val="4878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61C85"/>
    <w:multiLevelType w:val="hybridMultilevel"/>
    <w:tmpl w:val="9E7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402D4"/>
    <w:multiLevelType w:val="hybridMultilevel"/>
    <w:tmpl w:val="4D447980"/>
    <w:lvl w:ilvl="0" w:tplc="2D602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46216"/>
    <w:multiLevelType w:val="hybridMultilevel"/>
    <w:tmpl w:val="5B2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D5"/>
    <w:rsid w:val="00002225"/>
    <w:rsid w:val="000B032B"/>
    <w:rsid w:val="001075B5"/>
    <w:rsid w:val="001242F3"/>
    <w:rsid w:val="00126584"/>
    <w:rsid w:val="001774BC"/>
    <w:rsid w:val="001C5F06"/>
    <w:rsid w:val="00200D5E"/>
    <w:rsid w:val="00234622"/>
    <w:rsid w:val="002426B5"/>
    <w:rsid w:val="00257821"/>
    <w:rsid w:val="002B01AA"/>
    <w:rsid w:val="002F53B2"/>
    <w:rsid w:val="0031719D"/>
    <w:rsid w:val="00337307"/>
    <w:rsid w:val="00354F98"/>
    <w:rsid w:val="0038484D"/>
    <w:rsid w:val="003924D5"/>
    <w:rsid w:val="00397377"/>
    <w:rsid w:val="00417472"/>
    <w:rsid w:val="00426C5F"/>
    <w:rsid w:val="00494B19"/>
    <w:rsid w:val="004C0332"/>
    <w:rsid w:val="004C750D"/>
    <w:rsid w:val="004E497B"/>
    <w:rsid w:val="005D125F"/>
    <w:rsid w:val="005D3EDB"/>
    <w:rsid w:val="00677017"/>
    <w:rsid w:val="006931BC"/>
    <w:rsid w:val="00817384"/>
    <w:rsid w:val="008236D3"/>
    <w:rsid w:val="00833A13"/>
    <w:rsid w:val="008F03C3"/>
    <w:rsid w:val="009009F5"/>
    <w:rsid w:val="009114B0"/>
    <w:rsid w:val="0098014C"/>
    <w:rsid w:val="009B1AAF"/>
    <w:rsid w:val="00A056BD"/>
    <w:rsid w:val="00A5739F"/>
    <w:rsid w:val="00A66C5C"/>
    <w:rsid w:val="00A94834"/>
    <w:rsid w:val="00AB0FC0"/>
    <w:rsid w:val="00AF7B64"/>
    <w:rsid w:val="00B02E02"/>
    <w:rsid w:val="00B06115"/>
    <w:rsid w:val="00B11DDC"/>
    <w:rsid w:val="00B16734"/>
    <w:rsid w:val="00B33BAF"/>
    <w:rsid w:val="00B73925"/>
    <w:rsid w:val="00BC5EBA"/>
    <w:rsid w:val="00CB723F"/>
    <w:rsid w:val="00CD3FEC"/>
    <w:rsid w:val="00CD50F0"/>
    <w:rsid w:val="00CF0083"/>
    <w:rsid w:val="00D26ABE"/>
    <w:rsid w:val="00E875F5"/>
    <w:rsid w:val="00EC13F1"/>
    <w:rsid w:val="00F42C57"/>
    <w:rsid w:val="00F70FD2"/>
    <w:rsid w:val="00F72E6F"/>
    <w:rsid w:val="00FA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07AB"/>
  <w15:chartTrackingRefBased/>
  <w15:docId w15:val="{8AFC458C-58F7-43A0-B061-DD6E5BF4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5F"/>
    <w:pPr>
      <w:widowControl w:val="0"/>
      <w:suppressAutoHyphen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4D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0332"/>
    <w:rPr>
      <w:sz w:val="16"/>
      <w:szCs w:val="16"/>
    </w:rPr>
  </w:style>
  <w:style w:type="paragraph" w:styleId="CommentText">
    <w:name w:val="annotation text"/>
    <w:basedOn w:val="Normal"/>
    <w:link w:val="CommentTextChar"/>
    <w:uiPriority w:val="99"/>
    <w:semiHidden/>
    <w:unhideWhenUsed/>
    <w:rsid w:val="004C0332"/>
    <w:rPr>
      <w:sz w:val="20"/>
      <w:szCs w:val="20"/>
    </w:rPr>
  </w:style>
  <w:style w:type="character" w:customStyle="1" w:styleId="CommentTextChar">
    <w:name w:val="Comment Text Char"/>
    <w:basedOn w:val="DefaultParagraphFont"/>
    <w:link w:val="CommentText"/>
    <w:uiPriority w:val="99"/>
    <w:semiHidden/>
    <w:rsid w:val="004C03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0332"/>
    <w:rPr>
      <w:b/>
      <w:bCs/>
    </w:rPr>
  </w:style>
  <w:style w:type="character" w:customStyle="1" w:styleId="CommentSubjectChar">
    <w:name w:val="Comment Subject Char"/>
    <w:basedOn w:val="CommentTextChar"/>
    <w:link w:val="CommentSubject"/>
    <w:uiPriority w:val="99"/>
    <w:semiHidden/>
    <w:rsid w:val="004C0332"/>
    <w:rPr>
      <w:rFonts w:ascii="Times New Roman" w:hAnsi="Times New Roman"/>
      <w:b/>
      <w:bCs/>
      <w:sz w:val="20"/>
      <w:szCs w:val="20"/>
    </w:rPr>
  </w:style>
  <w:style w:type="paragraph" w:styleId="Revision">
    <w:name w:val="Revision"/>
    <w:hidden/>
    <w:uiPriority w:val="99"/>
    <w:semiHidden/>
    <w:rsid w:val="009009F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4739">
      <w:bodyDiv w:val="1"/>
      <w:marLeft w:val="0"/>
      <w:marRight w:val="0"/>
      <w:marTop w:val="0"/>
      <w:marBottom w:val="0"/>
      <w:divBdr>
        <w:top w:val="none" w:sz="0" w:space="0" w:color="auto"/>
        <w:left w:val="none" w:sz="0" w:space="0" w:color="auto"/>
        <w:bottom w:val="none" w:sz="0" w:space="0" w:color="auto"/>
        <w:right w:val="none" w:sz="0" w:space="0" w:color="auto"/>
      </w:divBdr>
    </w:div>
    <w:div w:id="1443525292">
      <w:bodyDiv w:val="1"/>
      <w:marLeft w:val="0"/>
      <w:marRight w:val="0"/>
      <w:marTop w:val="0"/>
      <w:marBottom w:val="0"/>
      <w:divBdr>
        <w:top w:val="none" w:sz="0" w:space="0" w:color="auto"/>
        <w:left w:val="none" w:sz="0" w:space="0" w:color="auto"/>
        <w:bottom w:val="none" w:sz="0" w:space="0" w:color="auto"/>
        <w:right w:val="none" w:sz="0" w:space="0" w:color="auto"/>
      </w:divBdr>
    </w:div>
    <w:div w:id="18171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2557</Words>
  <Characters>14581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Cerveny, John X.</cp:lastModifiedBy>
  <cp:revision>2</cp:revision>
  <dcterms:created xsi:type="dcterms:W3CDTF">2021-12-20T19:48:00Z</dcterms:created>
  <dcterms:modified xsi:type="dcterms:W3CDTF">2021-12-20T19:48:00Z</dcterms:modified>
</cp:coreProperties>
</file>