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65B" w:rsidRDefault="00C0565B" w14:paraId="071FD6FE" w14:textId="2B2F6032">
      <w:pPr>
        <w:jc w:val="center"/>
        <w:rPr>
          <w:b/>
        </w:rPr>
      </w:pPr>
      <w:r>
        <w:rPr>
          <w:b/>
        </w:rPr>
        <w:t>OMB # 3235-0328</w:t>
      </w:r>
      <w:bookmarkStart w:name="_GoBack" w:id="0"/>
      <w:bookmarkEnd w:id="0"/>
    </w:p>
    <w:p w:rsidR="00C0565B" w:rsidRDefault="00C0565B" w14:paraId="7E626447" w14:textId="77777777">
      <w:pPr>
        <w:jc w:val="center"/>
        <w:rPr>
          <w:b/>
        </w:rPr>
      </w:pPr>
    </w:p>
    <w:p w:rsidRPr="00662D52" w:rsidR="006A64EC" w:rsidRDefault="00855F8A" w14:paraId="40D45274" w14:textId="5005823E">
      <w:pPr>
        <w:jc w:val="center"/>
        <w:rPr>
          <w:b/>
        </w:rPr>
      </w:pPr>
      <w:r w:rsidRPr="00662D52">
        <w:rPr>
          <w:b/>
        </w:rPr>
        <w:t xml:space="preserve">SUPPORTING </w:t>
      </w:r>
      <w:r w:rsidRPr="00662D52" w:rsidR="006A64EC">
        <w:rPr>
          <w:b/>
        </w:rPr>
        <w:t>STATEMENT</w:t>
      </w:r>
    </w:p>
    <w:p w:rsidRPr="00662D52" w:rsidR="00855F8A" w:rsidRDefault="006A64EC" w14:paraId="7D4FD3ED" w14:textId="0F393E98">
      <w:pPr>
        <w:jc w:val="center"/>
        <w:rPr>
          <w:b/>
        </w:rPr>
      </w:pPr>
      <w:r w:rsidRPr="00662D52">
        <w:rPr>
          <w:b/>
        </w:rPr>
        <w:t xml:space="preserve">For the Paperwork Reduction Act Information Collection Submission for Form </w:t>
      </w:r>
      <w:r w:rsidRPr="00662D52" w:rsidR="00374935">
        <w:rPr>
          <w:b/>
        </w:rPr>
        <w:t>ID</w:t>
      </w:r>
    </w:p>
    <w:p w:rsidR="00855F8A" w:rsidRDefault="00855F8A" w14:paraId="7D4FD3EE" w14:textId="77777777"/>
    <w:p w:rsidRPr="00662D52" w:rsidR="00855F8A" w:rsidRDefault="00855F8A" w14:paraId="7D4FD3EF" w14:textId="77777777">
      <w:pPr>
        <w:rPr>
          <w:b/>
        </w:rPr>
      </w:pPr>
      <w:r w:rsidRPr="00662D52">
        <w:rPr>
          <w:b/>
        </w:rPr>
        <w:t>A.</w:t>
      </w:r>
      <w:r w:rsidRPr="00662D52">
        <w:rPr>
          <w:b/>
        </w:rPr>
        <w:tab/>
      </w:r>
      <w:r w:rsidRPr="00662D52">
        <w:rPr>
          <w:b/>
          <w:u w:val="single"/>
        </w:rPr>
        <w:t>J</w:t>
      </w:r>
      <w:r w:rsidRPr="00662D52" w:rsidR="004019C3">
        <w:rPr>
          <w:b/>
          <w:u w:val="single"/>
        </w:rPr>
        <w:t>USTIFICATION</w:t>
      </w:r>
    </w:p>
    <w:p w:rsidRPr="00662D52" w:rsidR="00855F8A" w:rsidRDefault="00855F8A" w14:paraId="7D4FD3F0" w14:textId="77777777">
      <w:pPr>
        <w:ind w:right="432"/>
        <w:rPr>
          <w:b/>
        </w:rPr>
      </w:pPr>
    </w:p>
    <w:p w:rsidRPr="00662D52" w:rsidR="00855F8A" w:rsidRDefault="004019C3" w14:paraId="7D4FD3F1" w14:textId="77777777">
      <w:pPr>
        <w:numPr>
          <w:ilvl w:val="0"/>
          <w:numId w:val="3"/>
        </w:numPr>
        <w:ind w:right="720"/>
        <w:rPr>
          <w:b/>
          <w:u w:val="single"/>
        </w:rPr>
      </w:pPr>
      <w:r w:rsidRPr="00662D52">
        <w:rPr>
          <w:b/>
          <w:u w:val="single"/>
        </w:rPr>
        <w:t>Circumstances Making the Collection of Information Necessary</w:t>
      </w:r>
    </w:p>
    <w:p w:rsidR="00855F8A" w:rsidRDefault="00855F8A" w14:paraId="7D4FD3F2" w14:textId="77777777">
      <w:pPr>
        <w:ind w:left="720" w:right="720"/>
        <w:rPr>
          <w:u w:val="single"/>
        </w:rPr>
      </w:pPr>
    </w:p>
    <w:p w:rsidR="00553AB6" w:rsidP="002F2790" w:rsidRDefault="009D1218" w14:paraId="25AC0CFF" w14:textId="2630157C">
      <w:pPr>
        <w:pStyle w:val="BodyTextIndent"/>
        <w:ind w:left="720" w:firstLine="720"/>
      </w:pPr>
      <w:r w:rsidRPr="009D1218">
        <w:t xml:space="preserve">Regulation S-T (17 CFR Part 232) provides the general requirements and procedures for electronic filings made through the </w:t>
      </w:r>
      <w:r>
        <w:t>Electronic Data Gat</w:t>
      </w:r>
      <w:r w:rsidR="00D34645">
        <w:t>hering, Analysis</w:t>
      </w:r>
      <w:r w:rsidR="00D77619">
        <w:t>,</w:t>
      </w:r>
      <w:r w:rsidR="00D34645">
        <w:t xml:space="preserve"> and Retrieval s</w:t>
      </w:r>
      <w:r>
        <w:t>ystem (“</w:t>
      </w:r>
      <w:r w:rsidRPr="009D1218">
        <w:t>EDGAR</w:t>
      </w:r>
      <w:r>
        <w:t>”)</w:t>
      </w:r>
      <w:r w:rsidRPr="009D1218">
        <w:t xml:space="preserve">. It further mandates that all domestic registrants, foreign private issuers and foreign governments file their </w:t>
      </w:r>
      <w:r w:rsidR="004F50E6">
        <w:t xml:space="preserve">federal </w:t>
      </w:r>
      <w:r w:rsidRPr="009D1218">
        <w:t>securities documents electronically with the Commission. This includes registration statements under the Securities Act of 1933</w:t>
      </w:r>
      <w:r w:rsidR="001D370C">
        <w:t>,</w:t>
      </w:r>
      <w:r w:rsidRPr="009D1218">
        <w:t xml:space="preserve"> and registration statements, reports</w:t>
      </w:r>
      <w:r w:rsidR="001D370C">
        <w:t>,</w:t>
      </w:r>
      <w:r w:rsidRPr="009D1218">
        <w:t xml:space="preserve"> and other documents under the Securities Exchange Act of 1934. To facilitate </w:t>
      </w:r>
      <w:r w:rsidR="004F50E6">
        <w:t>filings with the Commission in accord with the federal securities laws</w:t>
      </w:r>
      <w:r w:rsidRPr="009D1218">
        <w:t>, the Commission developed procedures and forms unique to EDGAR</w:t>
      </w:r>
      <w:r w:rsidR="00E931D1">
        <w:t xml:space="preserve">, including </w:t>
      </w:r>
      <w:r w:rsidR="004F50E6">
        <w:t xml:space="preserve">the </w:t>
      </w:r>
      <w:r w:rsidR="00E931D1">
        <w:t>Form</w:t>
      </w:r>
      <w:r w:rsidRPr="009D1218">
        <w:t xml:space="preserve"> ID</w:t>
      </w:r>
      <w:r w:rsidR="004F50E6">
        <w:t xml:space="preserve"> application for EDGAR access</w:t>
      </w:r>
      <w:r w:rsidRPr="009D1218">
        <w:t>.</w:t>
      </w:r>
      <w:r w:rsidR="009941FC">
        <w:t xml:space="preserve"> </w:t>
      </w:r>
      <w:r w:rsidR="008C0524">
        <w:t xml:space="preserve">The Commission may </w:t>
      </w:r>
      <w:r w:rsidR="00146FA3">
        <w:t xml:space="preserve">consider </w:t>
      </w:r>
      <w:r w:rsidRPr="0087700E" w:rsidR="00146FA3">
        <w:t xml:space="preserve">potential technical changes to the EDGAR </w:t>
      </w:r>
      <w:r w:rsidR="00040219">
        <w:t xml:space="preserve">filer </w:t>
      </w:r>
      <w:r w:rsidRPr="0087700E" w:rsidR="00040219">
        <w:t xml:space="preserve">access </w:t>
      </w:r>
      <w:r w:rsidR="00040219">
        <w:t>and filer account management process</w:t>
      </w:r>
      <w:r w:rsidR="007035B8">
        <w:t>es (“potential access changes”)</w:t>
      </w:r>
      <w:r w:rsidR="00040219">
        <w:t xml:space="preserve"> </w:t>
      </w:r>
      <w:r w:rsidRPr="0087700E" w:rsidR="00040219">
        <w:t>that include the addition of individual user account</w:t>
      </w:r>
      <w:r w:rsidR="00040219">
        <w:t xml:space="preserve"> credentials</w:t>
      </w:r>
      <w:r w:rsidRPr="0087700E" w:rsidR="00040219">
        <w:t xml:space="preserve"> </w:t>
      </w:r>
      <w:r w:rsidR="00040219">
        <w:t xml:space="preserve">as well as </w:t>
      </w:r>
      <w:r w:rsidRPr="0087700E" w:rsidR="00040219">
        <w:t xml:space="preserve">a </w:t>
      </w:r>
      <w:r w:rsidR="00040219">
        <w:t xml:space="preserve">filer management </w:t>
      </w:r>
      <w:r w:rsidRPr="0087700E" w:rsidR="00040219">
        <w:t xml:space="preserve">tool </w:t>
      </w:r>
      <w:r w:rsidR="00040219">
        <w:t>on EDGAR through which filers would</w:t>
      </w:r>
      <w:r w:rsidRPr="0087700E" w:rsidR="00040219">
        <w:t xml:space="preserve"> manage </w:t>
      </w:r>
      <w:r w:rsidR="00040219">
        <w:t xml:space="preserve">their </w:t>
      </w:r>
      <w:r w:rsidRPr="0087700E" w:rsidR="00040219">
        <w:t>EDGAR accounts</w:t>
      </w:r>
      <w:r w:rsidRPr="0087700E" w:rsidR="00146FA3">
        <w:t>.</w:t>
      </w:r>
      <w:r w:rsidR="00146FA3">
        <w:t xml:space="preserve"> If the potential access changes are implemented, t</w:t>
      </w:r>
      <w:r w:rsidRPr="0087700E" w:rsidR="00146FA3">
        <w:t xml:space="preserve">he Commission anticipates that it would adopt amendments to certain Commission rules and forms to </w:t>
      </w:r>
      <w:r w:rsidR="00146FA3">
        <w:t>reflect</w:t>
      </w:r>
      <w:r w:rsidRPr="0087700E" w:rsidR="00146FA3">
        <w:t xml:space="preserve"> the potential access changes</w:t>
      </w:r>
      <w:r w:rsidR="00146FA3">
        <w:t>, including Form ID</w:t>
      </w:r>
      <w:r w:rsidRPr="0087700E" w:rsidR="00146FA3">
        <w:t>.</w:t>
      </w:r>
      <w:r w:rsidR="00500849">
        <w:t xml:space="preserve"> </w:t>
      </w:r>
      <w:r w:rsidR="00553AB6">
        <w:t xml:space="preserve">The potential access changes would include </w:t>
      </w:r>
      <w:r w:rsidRPr="0087700E" w:rsidR="00553AB6">
        <w:rPr>
          <w:rFonts w:eastAsia="Calibri"/>
        </w:rPr>
        <w:t xml:space="preserve">a filer </w:t>
      </w:r>
      <w:r w:rsidR="00553AB6">
        <w:rPr>
          <w:rFonts w:eastAsia="Calibri"/>
        </w:rPr>
        <w:t xml:space="preserve">designating on Form ID </w:t>
      </w:r>
      <w:r w:rsidRPr="0087700E" w:rsidR="00553AB6">
        <w:rPr>
          <w:rFonts w:eastAsia="Calibri"/>
        </w:rPr>
        <w:t xml:space="preserve">which </w:t>
      </w:r>
      <w:r w:rsidR="00553AB6">
        <w:rPr>
          <w:rFonts w:eastAsia="Calibri"/>
        </w:rPr>
        <w:t xml:space="preserve">of its </w:t>
      </w:r>
      <w:r w:rsidRPr="0087700E" w:rsidR="00553AB6">
        <w:rPr>
          <w:rFonts w:eastAsia="Calibri"/>
        </w:rPr>
        <w:t>users would act as filer administrator(s) to manage the filer’s EDGAR account</w:t>
      </w:r>
      <w:r w:rsidR="00553AB6">
        <w:rPr>
          <w:rFonts w:eastAsia="Calibri"/>
        </w:rPr>
        <w:t>, analogous to the contact person listed on Form ID who currently receives access codes.  The potential access changes would also include additional data fields on Form ID related to authorized individuals</w:t>
      </w:r>
      <w:r w:rsidR="00553AB6">
        <w:t>.</w:t>
      </w:r>
      <w:r w:rsidR="00553AB6">
        <w:rPr>
          <w:rStyle w:val="FootnoteReference"/>
        </w:rPr>
        <w:footnoteReference w:id="1"/>
      </w:r>
      <w:r w:rsidR="00553AB6">
        <w:t xml:space="preserve">  </w:t>
      </w:r>
    </w:p>
    <w:p w:rsidR="00553AB6" w:rsidP="002F2790" w:rsidRDefault="00553AB6" w14:paraId="12B91EE3" w14:textId="77777777">
      <w:pPr>
        <w:pStyle w:val="BodyTextIndent"/>
        <w:ind w:left="720" w:firstLine="720"/>
      </w:pPr>
    </w:p>
    <w:p w:rsidR="00553AB6" w:rsidP="002F2790" w:rsidRDefault="00500849" w14:paraId="2C0AF083" w14:textId="6903DFEC">
      <w:pPr>
        <w:pStyle w:val="BodyTextIndent"/>
        <w:ind w:left="720" w:firstLine="720"/>
      </w:pPr>
      <w:r w:rsidRPr="002F2790">
        <w:rPr>
          <w:rFonts w:eastAsia="Calibri"/>
        </w:rPr>
        <w:t>Separately</w:t>
      </w:r>
      <w:r>
        <w:t xml:space="preserve">, the Commission may consider potential amendments to Form ID that would result in a more uniform and secure process for </w:t>
      </w:r>
      <w:r w:rsidRPr="006911D7">
        <w:t xml:space="preserve">EDGAR access </w:t>
      </w:r>
      <w:r>
        <w:t xml:space="preserve">by requiring applicants that already have an identification number </w:t>
      </w:r>
      <w:r w:rsidR="00D77619">
        <w:t xml:space="preserve">(Central Index Key or CIK) </w:t>
      </w:r>
      <w:r>
        <w:t>and no longer have access to EDGAR to apply</w:t>
      </w:r>
      <w:r w:rsidR="00553AB6">
        <w:t xml:space="preserve"> for access</w:t>
      </w:r>
      <w:r>
        <w:t xml:space="preserve"> by submitting a new Form ID</w:t>
      </w:r>
      <w:r w:rsidR="00553AB6">
        <w:t>, rather than by submitting a manual passphrase update request, as they do currently</w:t>
      </w:r>
      <w:r w:rsidRPr="006911D7" w:rsidR="00553AB6">
        <w:t>.</w:t>
      </w:r>
      <w:r w:rsidR="00553AB6">
        <w:rPr>
          <w:rStyle w:val="FootnoteReference"/>
        </w:rPr>
        <w:footnoteReference w:id="2"/>
      </w:r>
      <w:r w:rsidR="00553AB6">
        <w:t xml:space="preserve">  As part of their Form ID application, these applicants would continue to provide additional </w:t>
      </w:r>
      <w:r w:rsidR="00553AB6">
        <w:lastRenderedPageBreak/>
        <w:t>documentation as currently required by the EDGAR Filer Manual for manual passphrase update requests.</w:t>
      </w:r>
      <w:r w:rsidR="00553AB6">
        <w:rPr>
          <w:rStyle w:val="FootnoteReference"/>
        </w:rPr>
        <w:footnoteReference w:id="3"/>
      </w:r>
      <w:r w:rsidR="00553AB6">
        <w:t xml:space="preserve">  </w:t>
      </w:r>
    </w:p>
    <w:p w:rsidR="00855F8A" w:rsidP="002F2790" w:rsidRDefault="00855F8A" w14:paraId="7D4FD3F4" w14:textId="77777777">
      <w:pPr>
        <w:pStyle w:val="BlockText"/>
        <w:ind w:left="720" w:right="0" w:firstLine="720"/>
      </w:pPr>
    </w:p>
    <w:p w:rsidRPr="00662D52" w:rsidR="00855F8A" w:rsidRDefault="004019C3" w14:paraId="7D4FD3F5" w14:textId="77777777">
      <w:pPr>
        <w:numPr>
          <w:ilvl w:val="0"/>
          <w:numId w:val="3"/>
        </w:numPr>
        <w:ind w:right="720"/>
        <w:rPr>
          <w:b/>
          <w:u w:val="single"/>
        </w:rPr>
      </w:pPr>
      <w:r w:rsidRPr="00662D52">
        <w:rPr>
          <w:b/>
          <w:u w:val="single"/>
        </w:rPr>
        <w:t>Purpose and Use of the Information Collection</w:t>
      </w:r>
    </w:p>
    <w:p w:rsidR="00855F8A" w:rsidRDefault="00855F8A" w14:paraId="7D4FD3F6" w14:textId="77777777">
      <w:pPr>
        <w:ind w:left="720" w:right="720"/>
      </w:pPr>
    </w:p>
    <w:p w:rsidR="009D1218" w:rsidRDefault="009D1218" w14:paraId="7D4FD3F7" w14:textId="58CAD98B">
      <w:pPr>
        <w:pStyle w:val="BodyTextIndent"/>
        <w:ind w:left="720" w:firstLine="720"/>
      </w:pPr>
      <w:r w:rsidRPr="009D1218">
        <w:t xml:space="preserve">The information provided on Form ID allows the Commission </w:t>
      </w:r>
      <w:r w:rsidR="00401826">
        <w:t xml:space="preserve">staff </w:t>
      </w:r>
      <w:r w:rsidRPr="009D1218">
        <w:t xml:space="preserve">to </w:t>
      </w:r>
      <w:r w:rsidR="004F50E6">
        <w:t>review applications for EDGAR access and</w:t>
      </w:r>
      <w:r w:rsidR="00B75C91">
        <w:t>, if the application is approved,</w:t>
      </w:r>
      <w:r w:rsidR="004F50E6">
        <w:t xml:space="preserve"> </w:t>
      </w:r>
      <w:r w:rsidR="00253AB1">
        <w:t>assign</w:t>
      </w:r>
      <w:r w:rsidR="004F50E6">
        <w:t xml:space="preserve"> </w:t>
      </w:r>
      <w:r w:rsidR="002F2790">
        <w:t>CIK</w:t>
      </w:r>
      <w:r w:rsidR="004F50E6">
        <w:t xml:space="preserve">s </w:t>
      </w:r>
      <w:r w:rsidR="00736066">
        <w:t xml:space="preserve">(if the applicant does not already have </w:t>
      </w:r>
      <w:r w:rsidR="002F2790">
        <w:t>a CIK</w:t>
      </w:r>
      <w:r w:rsidR="00736066">
        <w:t xml:space="preserve">) </w:t>
      </w:r>
      <w:r w:rsidR="004F50E6">
        <w:t>and</w:t>
      </w:r>
      <w:r w:rsidR="00553AB6">
        <w:t>/or</w:t>
      </w:r>
      <w:r w:rsidR="00253AB1">
        <w:t xml:space="preserve"> access codes</w:t>
      </w:r>
      <w:r w:rsidR="004F50E6">
        <w:t xml:space="preserve"> to applicants to </w:t>
      </w:r>
      <w:r w:rsidR="00253AB1">
        <w:t>permit filing on</w:t>
      </w:r>
      <w:r w:rsidRPr="009D1218">
        <w:t xml:space="preserve"> EDGAR. </w:t>
      </w:r>
      <w:r w:rsidR="00401826">
        <w:t>Form ID</w:t>
      </w:r>
      <w:r w:rsidR="004F50E6">
        <w:t xml:space="preserve"> is </w:t>
      </w:r>
      <w:r w:rsidRPr="009D1218">
        <w:t xml:space="preserve">essential </w:t>
      </w:r>
      <w:r w:rsidR="00401826">
        <w:t>to EDGAR</w:t>
      </w:r>
      <w:r w:rsidRPr="009D1218">
        <w:t xml:space="preserve"> security.</w:t>
      </w:r>
    </w:p>
    <w:p w:rsidR="009D1218" w:rsidRDefault="009D1218" w14:paraId="7D4FD3F8" w14:textId="77777777">
      <w:pPr>
        <w:pStyle w:val="BodyTextIndent"/>
        <w:ind w:left="720" w:firstLine="720"/>
      </w:pPr>
    </w:p>
    <w:p w:rsidRPr="00662D52" w:rsidR="00855F8A" w:rsidRDefault="004019C3" w14:paraId="7D4FD3F9" w14:textId="77777777">
      <w:pPr>
        <w:numPr>
          <w:ilvl w:val="0"/>
          <w:numId w:val="3"/>
        </w:numPr>
        <w:ind w:right="720"/>
        <w:rPr>
          <w:b/>
          <w:u w:val="single"/>
        </w:rPr>
      </w:pPr>
      <w:r w:rsidRPr="00662D52">
        <w:rPr>
          <w:b/>
          <w:u w:val="single"/>
        </w:rPr>
        <w:t>Consideration Given to Information Technology</w:t>
      </w:r>
    </w:p>
    <w:p w:rsidR="00855F8A" w:rsidRDefault="00855F8A" w14:paraId="7D4FD3FA" w14:textId="77777777">
      <w:pPr>
        <w:ind w:left="720" w:right="720"/>
      </w:pPr>
    </w:p>
    <w:p w:rsidR="009D1218" w:rsidP="009D1218" w:rsidRDefault="00401826" w14:paraId="7D4FD3FB" w14:textId="638A115F">
      <w:pPr>
        <w:ind w:left="720" w:right="720" w:firstLine="720"/>
      </w:pPr>
      <w:r>
        <w:t xml:space="preserve">Form ID </w:t>
      </w:r>
      <w:r w:rsidR="00892E94">
        <w:t>must be submitted</w:t>
      </w:r>
      <w:r w:rsidR="00B75C91">
        <w:t>, reviewed</w:t>
      </w:r>
      <w:r w:rsidR="001D370C">
        <w:t>,</w:t>
      </w:r>
      <w:r w:rsidR="00892E94">
        <w:t xml:space="preserve"> </w:t>
      </w:r>
      <w:r w:rsidR="004F50E6">
        <w:t xml:space="preserve">and approved before </w:t>
      </w:r>
      <w:r w:rsidR="00892E94">
        <w:t xml:space="preserve">filers </w:t>
      </w:r>
      <w:r w:rsidR="004F50E6">
        <w:t xml:space="preserve">may </w:t>
      </w:r>
      <w:r w:rsidR="00892E94">
        <w:t xml:space="preserve">use EDGAR. </w:t>
      </w:r>
      <w:r>
        <w:t>The Commission consistently improves EDGAR information technology to facilitate the utility of EDGAR for filers, Commission staff, and the public.</w:t>
      </w:r>
      <w:r w:rsidR="00461621">
        <w:t xml:space="preserve"> </w:t>
      </w:r>
      <w:r>
        <w:t xml:space="preserve">Further, </w:t>
      </w:r>
      <w:r w:rsidR="009D1218">
        <w:t xml:space="preserve">EDGAR </w:t>
      </w:r>
      <w:r>
        <w:t xml:space="preserve">exists </w:t>
      </w:r>
      <w:r w:rsidR="009D1218">
        <w:t>to reduce the regulatory burdens of paper filings with the Commission.</w:t>
      </w:r>
    </w:p>
    <w:p w:rsidR="00855F8A" w:rsidP="004C48C5" w:rsidRDefault="00855F8A" w14:paraId="7D4FD3FC" w14:textId="77777777">
      <w:pPr>
        <w:ind w:right="720"/>
      </w:pPr>
    </w:p>
    <w:p w:rsidRPr="00662D52" w:rsidR="00855F8A" w:rsidRDefault="004019C3" w14:paraId="7D4FD3FD" w14:textId="77777777">
      <w:pPr>
        <w:numPr>
          <w:ilvl w:val="0"/>
          <w:numId w:val="3"/>
        </w:numPr>
        <w:ind w:right="720"/>
        <w:rPr>
          <w:b/>
        </w:rPr>
      </w:pPr>
      <w:r w:rsidRPr="00662D52">
        <w:rPr>
          <w:b/>
          <w:u w:val="single"/>
        </w:rPr>
        <w:t>Duplication of Information</w:t>
      </w:r>
    </w:p>
    <w:p w:rsidR="00855F8A" w:rsidRDefault="00855F8A" w14:paraId="7D4FD3FE" w14:textId="77777777">
      <w:pPr>
        <w:ind w:left="720" w:right="720"/>
      </w:pPr>
    </w:p>
    <w:p w:rsidR="00855F8A" w:rsidRDefault="00855F8A" w14:paraId="7D4FD3FF" w14:textId="77777777">
      <w:pPr>
        <w:ind w:left="720" w:right="720" w:firstLine="720"/>
      </w:pPr>
      <w:r>
        <w:t>E</w:t>
      </w:r>
      <w:r w:rsidR="004C48C5">
        <w:t xml:space="preserve">DGAR </w:t>
      </w:r>
      <w:r>
        <w:t>is unique to the Commission; consequen</w:t>
      </w:r>
      <w:r w:rsidR="00253AB1">
        <w:t>tly, no duplication of the form</w:t>
      </w:r>
      <w:r>
        <w:t xml:space="preserve"> exists.</w:t>
      </w:r>
    </w:p>
    <w:p w:rsidR="00855F8A" w:rsidP="004C48C5" w:rsidRDefault="00855F8A" w14:paraId="7D4FD400" w14:textId="77777777">
      <w:pPr>
        <w:ind w:right="720"/>
      </w:pPr>
    </w:p>
    <w:p w:rsidRPr="00662D52" w:rsidR="00855F8A" w:rsidRDefault="004019C3" w14:paraId="7D4FD401" w14:textId="77777777">
      <w:pPr>
        <w:numPr>
          <w:ilvl w:val="0"/>
          <w:numId w:val="3"/>
        </w:numPr>
        <w:ind w:right="720"/>
        <w:rPr>
          <w:b/>
          <w:u w:val="single"/>
        </w:rPr>
      </w:pPr>
      <w:r w:rsidRPr="00662D52">
        <w:rPr>
          <w:b/>
          <w:u w:val="single"/>
        </w:rPr>
        <w:t>Reducing the Burden on Small Entities</w:t>
      </w:r>
    </w:p>
    <w:p w:rsidR="00855F8A" w:rsidRDefault="00855F8A" w14:paraId="7D4FD402" w14:textId="77777777">
      <w:pPr>
        <w:ind w:left="720" w:right="720"/>
      </w:pPr>
    </w:p>
    <w:p w:rsidR="00855F8A" w:rsidRDefault="00253AB1" w14:paraId="7D4FD403" w14:textId="77777777">
      <w:pPr>
        <w:ind w:left="720" w:right="720" w:firstLine="720"/>
      </w:pPr>
      <w:r>
        <w:t>EDGAR</w:t>
      </w:r>
      <w:r w:rsidR="004D2FA4">
        <w:t xml:space="preserve"> </w:t>
      </w:r>
      <w:r w:rsidR="00374935">
        <w:t>has been designed to accommodate small entities to the greatest degree possible while still providing for the public electronic dissemination of information.</w:t>
      </w:r>
    </w:p>
    <w:p w:rsidR="00855F8A" w:rsidP="004C48C5" w:rsidRDefault="00855F8A" w14:paraId="7D4FD404" w14:textId="77777777">
      <w:pPr>
        <w:ind w:right="720"/>
      </w:pPr>
    </w:p>
    <w:p w:rsidRPr="00662D52" w:rsidR="00855F8A" w:rsidRDefault="004019C3" w14:paraId="7D4FD405" w14:textId="77777777">
      <w:pPr>
        <w:numPr>
          <w:ilvl w:val="0"/>
          <w:numId w:val="3"/>
        </w:numPr>
        <w:ind w:right="720"/>
        <w:rPr>
          <w:b/>
          <w:u w:val="single"/>
        </w:rPr>
      </w:pPr>
      <w:r w:rsidRPr="00662D52">
        <w:rPr>
          <w:b/>
          <w:u w:val="single"/>
        </w:rPr>
        <w:t>Consequences of Not Conducting Collection</w:t>
      </w:r>
    </w:p>
    <w:p w:rsidR="00855F8A" w:rsidRDefault="00855F8A" w14:paraId="7D4FD406" w14:textId="77777777">
      <w:pPr>
        <w:ind w:left="720" w:right="720"/>
      </w:pPr>
    </w:p>
    <w:p w:rsidR="009771E7" w:rsidP="001D370C" w:rsidRDefault="00855F8A" w14:paraId="7D4FD40B" w14:textId="3A17F9D9">
      <w:pPr>
        <w:ind w:left="720" w:right="720" w:firstLine="720"/>
      </w:pPr>
      <w:r>
        <w:t xml:space="preserve">Form ID must be </w:t>
      </w:r>
      <w:r w:rsidR="00AA3A4D">
        <w:t xml:space="preserve">submitted </w:t>
      </w:r>
      <w:r w:rsidR="004F50E6">
        <w:t xml:space="preserve">in order for </w:t>
      </w:r>
      <w:r w:rsidR="00AA3A4D">
        <w:t>filers to use EDGAR.</w:t>
      </w:r>
    </w:p>
    <w:p w:rsidR="001D370C" w:rsidP="001D370C" w:rsidRDefault="001D370C" w14:paraId="44D8C01D" w14:textId="77777777">
      <w:pPr>
        <w:ind w:left="720" w:right="720" w:firstLine="720"/>
      </w:pPr>
    </w:p>
    <w:p w:rsidRPr="00662D52" w:rsidR="00855F8A" w:rsidRDefault="004019C3" w14:paraId="7D4FD40C" w14:textId="77777777">
      <w:pPr>
        <w:numPr>
          <w:ilvl w:val="0"/>
          <w:numId w:val="3"/>
        </w:numPr>
        <w:ind w:right="720"/>
        <w:rPr>
          <w:b/>
          <w:u w:val="single"/>
        </w:rPr>
      </w:pPr>
      <w:r w:rsidRPr="00662D52">
        <w:rPr>
          <w:b/>
          <w:u w:val="single"/>
        </w:rPr>
        <w:t xml:space="preserve">Special Circumstances </w:t>
      </w:r>
    </w:p>
    <w:p w:rsidR="00855F8A" w:rsidRDefault="00855F8A" w14:paraId="7D4FD40D" w14:textId="77777777">
      <w:pPr>
        <w:ind w:left="720" w:right="720"/>
      </w:pPr>
    </w:p>
    <w:p w:rsidR="00855F8A" w:rsidRDefault="00855F8A" w14:paraId="7D4FD40E" w14:textId="77777777">
      <w:pPr>
        <w:ind w:left="1440" w:right="720"/>
      </w:pPr>
      <w:r>
        <w:t>Not applicable.</w:t>
      </w:r>
    </w:p>
    <w:p w:rsidR="00855F8A" w:rsidRDefault="00855F8A" w14:paraId="7D4FD40F" w14:textId="77777777">
      <w:pPr>
        <w:ind w:right="720"/>
      </w:pPr>
    </w:p>
    <w:p w:rsidRPr="00662D52" w:rsidR="00855F8A" w:rsidRDefault="00855F8A" w14:paraId="7D4FD410" w14:textId="77777777">
      <w:pPr>
        <w:numPr>
          <w:ilvl w:val="0"/>
          <w:numId w:val="3"/>
        </w:numPr>
        <w:ind w:right="720"/>
        <w:rPr>
          <w:b/>
          <w:u w:val="single"/>
        </w:rPr>
      </w:pPr>
      <w:r w:rsidRPr="00662D52">
        <w:rPr>
          <w:b/>
          <w:u w:val="single"/>
        </w:rPr>
        <w:t>Cons</w:t>
      </w:r>
      <w:r w:rsidRPr="00662D52" w:rsidR="004019C3">
        <w:rPr>
          <w:b/>
          <w:u w:val="single"/>
        </w:rPr>
        <w:t>ultations with Persons Outside the Agency</w:t>
      </w:r>
    </w:p>
    <w:p w:rsidR="00855F8A" w:rsidRDefault="00855F8A" w14:paraId="7D4FD411" w14:textId="77777777">
      <w:pPr>
        <w:ind w:left="720" w:right="720"/>
        <w:rPr>
          <w:u w:val="single"/>
        </w:rPr>
      </w:pPr>
    </w:p>
    <w:p w:rsidR="00B17734" w:rsidRDefault="006A7C55" w14:paraId="499D22BD" w14:textId="20AC1B0B">
      <w:pPr>
        <w:ind w:left="720" w:right="720" w:firstLine="720"/>
      </w:pPr>
      <w:r>
        <w:t xml:space="preserve">The Commission </w:t>
      </w:r>
      <w:r w:rsidR="00A81C8E">
        <w:t>has solicited comments</w:t>
      </w:r>
      <w:r w:rsidR="00B17734">
        <w:t xml:space="preserve"> </w:t>
      </w:r>
      <w:r w:rsidR="00A81C8E">
        <w:t xml:space="preserve">from the public </w:t>
      </w:r>
      <w:r w:rsidR="00B17734">
        <w:t>on the collection</w:t>
      </w:r>
      <w:r w:rsidR="00981A49">
        <w:t xml:space="preserve"> of information</w:t>
      </w:r>
      <w:r w:rsidR="00A81C8E">
        <w:t xml:space="preserve"> burdens</w:t>
      </w:r>
      <w:r w:rsidR="00981A49">
        <w:t>.</w:t>
      </w:r>
      <w:r w:rsidR="00E767DE">
        <w:t xml:space="preserve"> </w:t>
      </w:r>
      <w:r w:rsidR="009E7B01">
        <w:t xml:space="preserve"> </w:t>
      </w:r>
      <w:r w:rsidR="0080206E">
        <w:t>The Commission will receive and evaluate public comments, if any, during the comment period prior to OMB’s approval.</w:t>
      </w:r>
    </w:p>
    <w:p w:rsidR="00855F8A" w:rsidP="004147DA" w:rsidRDefault="00855F8A" w14:paraId="7D4FD413" w14:textId="77777777">
      <w:pPr>
        <w:ind w:right="720"/>
      </w:pPr>
    </w:p>
    <w:p w:rsidRPr="00662D52" w:rsidR="00855F8A" w:rsidRDefault="00855F8A" w14:paraId="7D4FD414" w14:textId="77777777">
      <w:pPr>
        <w:numPr>
          <w:ilvl w:val="0"/>
          <w:numId w:val="3"/>
        </w:numPr>
        <w:ind w:right="720"/>
        <w:rPr>
          <w:b/>
          <w:u w:val="single"/>
        </w:rPr>
      </w:pPr>
      <w:r w:rsidRPr="00662D52">
        <w:rPr>
          <w:b/>
          <w:u w:val="single"/>
        </w:rPr>
        <w:lastRenderedPageBreak/>
        <w:t>Payment or Gift to Respondent</w:t>
      </w:r>
    </w:p>
    <w:p w:rsidR="00855F8A" w:rsidP="004147DA" w:rsidRDefault="00855F8A" w14:paraId="7D4FD415" w14:textId="77777777">
      <w:pPr>
        <w:ind w:right="720"/>
        <w:rPr>
          <w:u w:val="single"/>
        </w:rPr>
      </w:pPr>
    </w:p>
    <w:p w:rsidR="00855F8A" w:rsidRDefault="00855F8A" w14:paraId="7D4FD416" w14:textId="77777777">
      <w:pPr>
        <w:ind w:left="1440" w:right="720"/>
      </w:pPr>
      <w:r>
        <w:t>Not applicable.</w:t>
      </w:r>
    </w:p>
    <w:p w:rsidR="00855F8A" w:rsidRDefault="00855F8A" w14:paraId="7D4FD417" w14:textId="77777777">
      <w:pPr>
        <w:ind w:right="720"/>
      </w:pPr>
    </w:p>
    <w:p w:rsidRPr="00662D52" w:rsidR="00855F8A" w:rsidRDefault="00855F8A" w14:paraId="7D4FD418" w14:textId="77777777">
      <w:pPr>
        <w:numPr>
          <w:ilvl w:val="0"/>
          <w:numId w:val="3"/>
        </w:numPr>
        <w:ind w:right="720"/>
        <w:rPr>
          <w:b/>
          <w:u w:val="single"/>
        </w:rPr>
      </w:pPr>
      <w:r w:rsidRPr="00662D52">
        <w:rPr>
          <w:b/>
          <w:u w:val="single"/>
        </w:rPr>
        <w:t>Confidentiality</w:t>
      </w:r>
    </w:p>
    <w:p w:rsidR="00855F8A" w:rsidRDefault="00855F8A" w14:paraId="7D4FD419" w14:textId="77777777">
      <w:pPr>
        <w:ind w:left="720" w:right="720"/>
      </w:pPr>
    </w:p>
    <w:p w:rsidR="00855F8A" w:rsidRDefault="00855F8A" w14:paraId="7D4FD41A" w14:textId="6C782E8C">
      <w:pPr>
        <w:ind w:left="720" w:right="720" w:firstLine="720"/>
      </w:pPr>
      <w:r>
        <w:t>Form ID is used solely for</w:t>
      </w:r>
      <w:r w:rsidR="00401826">
        <w:t xml:space="preserve"> reviewing applications for EDGAR access and permitting </w:t>
      </w:r>
      <w:r w:rsidR="00BA52E6">
        <w:t>access to</w:t>
      </w:r>
      <w:r w:rsidR="00401826">
        <w:t xml:space="preserve"> </w:t>
      </w:r>
      <w:r>
        <w:t>EDGAR.</w:t>
      </w:r>
    </w:p>
    <w:p w:rsidR="00855F8A" w:rsidRDefault="00855F8A" w14:paraId="7D4FD41B" w14:textId="77777777">
      <w:pPr>
        <w:ind w:right="720"/>
      </w:pPr>
    </w:p>
    <w:p w:rsidRPr="00662D52" w:rsidR="00855F8A" w:rsidRDefault="00855F8A" w14:paraId="7D4FD41C" w14:textId="77777777">
      <w:pPr>
        <w:numPr>
          <w:ilvl w:val="0"/>
          <w:numId w:val="3"/>
        </w:numPr>
        <w:ind w:right="720"/>
        <w:rPr>
          <w:b/>
          <w:u w:val="single"/>
        </w:rPr>
      </w:pPr>
      <w:r w:rsidRPr="00662D52">
        <w:rPr>
          <w:b/>
          <w:u w:val="single"/>
        </w:rPr>
        <w:t>Sensitive Questions</w:t>
      </w:r>
    </w:p>
    <w:p w:rsidR="00855F8A" w:rsidRDefault="00855F8A" w14:paraId="7D4FD41D" w14:textId="77777777">
      <w:pPr>
        <w:ind w:left="720" w:right="720"/>
        <w:rPr>
          <w:u w:val="single"/>
        </w:rPr>
      </w:pPr>
    </w:p>
    <w:p w:rsidR="00967176" w:rsidP="00967176" w:rsidRDefault="00954648" w14:paraId="7D4FD41E" w14:textId="79087D6A">
      <w:pPr>
        <w:ind w:left="720" w:firstLine="720"/>
      </w:pPr>
      <w:r w:rsidRPr="00954648">
        <w:t>No information of a sensitive nature, including social security numbers, will be required under this collection of information. Th</w:t>
      </w:r>
      <w:r w:rsidR="009771E7">
        <w:t>e</w:t>
      </w:r>
      <w:r w:rsidRPr="00954648">
        <w:t xml:space="preserve"> information collection </w:t>
      </w:r>
      <w:r w:rsidR="009771E7">
        <w:t xml:space="preserve">on Form ID </w:t>
      </w:r>
      <w:r w:rsidRPr="00954648">
        <w:t>collects basic Personally Identifiable Information (PII) that may include name, address, phone number, zip code, occupation, job title, and email</w:t>
      </w:r>
      <w:r w:rsidR="00B17734">
        <w:t xml:space="preserve"> address</w:t>
      </w:r>
      <w:r w:rsidRPr="00954648">
        <w:t xml:space="preserve">. However, the agency has determined that the information collection </w:t>
      </w:r>
      <w:r w:rsidR="00892E94">
        <w:t xml:space="preserve">on Form ID </w:t>
      </w:r>
      <w:r w:rsidRPr="00954648">
        <w:t xml:space="preserve">does not constitute a system of record for purposes of the Privacy Act. Information is not retrieved by a personal identifier. In accordance with Section 208 of the E-Government Act of 2002, the agency has conducted a Privacy Impact Assessment (PIA) of EDGAR, in connection with this collection of information. The EDGAR PIA, published on </w:t>
      </w:r>
      <w:r w:rsidR="00B17734">
        <w:t>February 5</w:t>
      </w:r>
      <w:r w:rsidRPr="00954648">
        <w:t>, 20</w:t>
      </w:r>
      <w:r w:rsidR="00B17734">
        <w:t>20</w:t>
      </w:r>
      <w:r w:rsidR="00E931D1">
        <w:t>,</w:t>
      </w:r>
      <w:r w:rsidRPr="00954648">
        <w:t xml:space="preserve"> is provided as a supplemental document and is also available at </w:t>
      </w:r>
      <w:r w:rsidRPr="00B17734" w:rsidR="00B17734">
        <w:t>https://www.sec.gov/about/privacy/pia/pia-edgar.pdf</w:t>
      </w:r>
      <w:r w:rsidRPr="00954648">
        <w:t>.</w:t>
      </w:r>
    </w:p>
    <w:p w:rsidR="004C48C5" w:rsidRDefault="004C48C5" w14:paraId="7D4FD41F" w14:textId="77777777">
      <w:pPr>
        <w:ind w:right="720"/>
      </w:pPr>
    </w:p>
    <w:p w:rsidRPr="00662D52" w:rsidR="00855F8A" w:rsidRDefault="00855F8A" w14:paraId="7D4FD420" w14:textId="77777777">
      <w:pPr>
        <w:numPr>
          <w:ilvl w:val="0"/>
          <w:numId w:val="3"/>
        </w:numPr>
        <w:ind w:right="720"/>
        <w:rPr>
          <w:b/>
          <w:u w:val="single"/>
        </w:rPr>
      </w:pPr>
      <w:r w:rsidRPr="00662D52">
        <w:rPr>
          <w:b/>
          <w:u w:val="single"/>
        </w:rPr>
        <w:t>Estimate of Respondent Reporting Burden</w:t>
      </w:r>
    </w:p>
    <w:p w:rsidR="00855F8A" w:rsidRDefault="00855F8A" w14:paraId="7D4FD421" w14:textId="77777777">
      <w:pPr>
        <w:ind w:left="720" w:right="720"/>
      </w:pPr>
    </w:p>
    <w:p w:rsidR="00E767DE" w:rsidP="00E767DE" w:rsidRDefault="001260A9" w14:paraId="308C9A9D" w14:textId="7A6632AD">
      <w:pPr>
        <w:ind w:left="720" w:right="720" w:firstLine="720"/>
      </w:pPr>
      <w:r>
        <w:t xml:space="preserve">We </w:t>
      </w:r>
      <w:r w:rsidR="00855F8A">
        <w:t xml:space="preserve">estimate that </w:t>
      </w:r>
      <w:r w:rsidR="002B1BB3">
        <w:t xml:space="preserve">there are </w:t>
      </w:r>
      <w:r w:rsidR="00D57BA2">
        <w:t xml:space="preserve">57,329 </w:t>
      </w:r>
      <w:r w:rsidR="002B1BB3">
        <w:t xml:space="preserve">filings annually </w:t>
      </w:r>
      <w:r w:rsidR="00D77619">
        <w:t xml:space="preserve">on  </w:t>
      </w:r>
      <w:r w:rsidR="00855F8A">
        <w:t xml:space="preserve">Form ID </w:t>
      </w:r>
      <w:r w:rsidR="004B3FBB">
        <w:t>and</w:t>
      </w:r>
      <w:r w:rsidR="00E931D1">
        <w:t xml:space="preserve"> that</w:t>
      </w:r>
      <w:r w:rsidR="004B3FBB">
        <w:t xml:space="preserve"> it takes </w:t>
      </w:r>
      <w:r w:rsidR="004D2FA4">
        <w:t>0</w:t>
      </w:r>
      <w:r w:rsidR="00855F8A">
        <w:t>.</w:t>
      </w:r>
      <w:r w:rsidR="001F75CC">
        <w:t xml:space="preserve">30 </w:t>
      </w:r>
      <w:r w:rsidR="00855F8A">
        <w:t xml:space="preserve">hours </w:t>
      </w:r>
      <w:r w:rsidR="00D77619">
        <w:t>to prepare Form ID</w:t>
      </w:r>
      <w:r w:rsidR="00E931D1">
        <w:t>,</w:t>
      </w:r>
      <w:r w:rsidR="00855F8A">
        <w:t xml:space="preserve"> for a total annual burden of </w:t>
      </w:r>
      <w:r w:rsidR="00D57BA2">
        <w:t xml:space="preserve">17,199 </w:t>
      </w:r>
      <w:r w:rsidR="00855F8A">
        <w:t>hours.</w:t>
      </w:r>
      <w:r w:rsidR="008A6241">
        <w:t xml:space="preserve"> </w:t>
      </w:r>
      <w:r w:rsidR="003A498F">
        <w:t xml:space="preserve">The estimate includes the number of </w:t>
      </w:r>
      <w:r w:rsidR="006A32E2">
        <w:t xml:space="preserve">Form ID </w:t>
      </w:r>
      <w:r w:rsidR="002B1BB3">
        <w:t xml:space="preserve">filings for </w:t>
      </w:r>
      <w:r w:rsidR="003A498F">
        <w:t xml:space="preserve">filers without </w:t>
      </w:r>
      <w:r w:rsidR="00553AB6">
        <w:t>CIKs</w:t>
      </w:r>
      <w:r w:rsidR="00A5427D">
        <w:t xml:space="preserve"> </w:t>
      </w:r>
      <w:r w:rsidR="0045733D">
        <w:t>(</w:t>
      </w:r>
      <w:r w:rsidR="007F103A">
        <w:t>approximately 48,089</w:t>
      </w:r>
      <w:r w:rsidR="002B1BB3">
        <w:t xml:space="preserve"> filings</w:t>
      </w:r>
      <w:r w:rsidR="0045733D">
        <w:t>)</w:t>
      </w:r>
      <w:r w:rsidR="001F75CC">
        <w:t>,</w:t>
      </w:r>
      <w:r w:rsidR="0045733D">
        <w:t xml:space="preserve"> </w:t>
      </w:r>
      <w:r w:rsidR="003A498F">
        <w:t xml:space="preserve">filers with </w:t>
      </w:r>
      <w:r w:rsidR="00553AB6">
        <w:t>CIKs</w:t>
      </w:r>
      <w:r w:rsidR="003A498F">
        <w:t xml:space="preserve"> </w:t>
      </w:r>
      <w:r w:rsidR="00553AB6">
        <w:t>who have not filed electronically on</w:t>
      </w:r>
      <w:r w:rsidR="003A498F">
        <w:t xml:space="preserve"> EDGAR</w:t>
      </w:r>
      <w:r w:rsidR="007F103A">
        <w:t xml:space="preserve"> </w:t>
      </w:r>
      <w:r w:rsidR="0045733D">
        <w:t xml:space="preserve">(approximately </w:t>
      </w:r>
      <w:r w:rsidR="007F103A">
        <w:t>404</w:t>
      </w:r>
      <w:r w:rsidR="0045733D">
        <w:t xml:space="preserve"> </w:t>
      </w:r>
      <w:r w:rsidR="002B1BB3">
        <w:t>filings</w:t>
      </w:r>
      <w:r w:rsidR="0045733D">
        <w:t>)</w:t>
      </w:r>
      <w:r w:rsidR="001F75CC">
        <w:t xml:space="preserve">, </w:t>
      </w:r>
      <w:r w:rsidRPr="002F2790" w:rsidR="001F75CC">
        <w:t>and filers with CIKs who are seeking to reaccess EDGAR (approximately</w:t>
      </w:r>
      <w:r w:rsidRPr="002F2790" w:rsidR="009962FE">
        <w:t xml:space="preserve"> </w:t>
      </w:r>
      <w:r w:rsidR="00D57BA2">
        <w:t>8,836</w:t>
      </w:r>
      <w:r w:rsidRPr="002F2790" w:rsidR="001F75CC">
        <w:t xml:space="preserve"> filings)</w:t>
      </w:r>
      <w:r w:rsidRPr="002F2790" w:rsidR="003A498F">
        <w:t>.</w:t>
      </w:r>
      <w:r w:rsidR="003A498F">
        <w:t xml:space="preserve"> </w:t>
      </w:r>
      <w:r w:rsidR="00855F8A">
        <w:t xml:space="preserve">It is estimated that </w:t>
      </w:r>
      <w:r w:rsidR="00D15389">
        <w:t xml:space="preserve">the </w:t>
      </w:r>
      <w:r w:rsidR="00253AB1">
        <w:t>filers</w:t>
      </w:r>
      <w:r w:rsidR="00E931D1">
        <w:t xml:space="preserve"> are</w:t>
      </w:r>
      <w:r w:rsidR="00D15389">
        <w:t xml:space="preserve"> responsible for </w:t>
      </w:r>
      <w:r w:rsidR="00855F8A">
        <w:t xml:space="preserve">100% of the </w:t>
      </w:r>
      <w:r w:rsidR="00D57BA2">
        <w:t xml:space="preserve">17,199 </w:t>
      </w:r>
      <w:r w:rsidR="004206FE">
        <w:t xml:space="preserve">burden </w:t>
      </w:r>
      <w:r w:rsidR="00855F8A">
        <w:t>hours</w:t>
      </w:r>
      <w:r w:rsidR="00D15389">
        <w:t>.</w:t>
      </w:r>
      <w:r w:rsidR="009771E7">
        <w:t xml:space="preserve"> </w:t>
      </w:r>
      <w:r w:rsidR="00855F8A">
        <w:t>The estimated hours are made solely for the purposes o</w:t>
      </w:r>
      <w:r w:rsidR="00B27221">
        <w:t>f the Paperwork Reduction Act.</w:t>
      </w:r>
    </w:p>
    <w:p w:rsidR="00E767DE" w:rsidP="00461621" w:rsidRDefault="00E767DE" w14:paraId="78AB0ADF" w14:textId="05C1273E">
      <w:pPr>
        <w:ind w:right="720"/>
      </w:pPr>
    </w:p>
    <w:tbl>
      <w:tblPr>
        <w:tblW w:w="8740" w:type="dxa"/>
        <w:tblInd w:w="93" w:type="dxa"/>
        <w:tblLook w:val="04A0" w:firstRow="1" w:lastRow="0" w:firstColumn="1" w:lastColumn="0" w:noHBand="0" w:noVBand="1"/>
      </w:tblPr>
      <w:tblGrid>
        <w:gridCol w:w="1182"/>
        <w:gridCol w:w="1157"/>
        <w:gridCol w:w="1634"/>
        <w:gridCol w:w="1457"/>
        <w:gridCol w:w="1157"/>
        <w:gridCol w:w="1121"/>
        <w:gridCol w:w="1103"/>
      </w:tblGrid>
      <w:tr w:rsidRPr="004B2F69" w:rsidR="00E767DE" w:rsidTr="006D4493" w14:paraId="6A4A74DB" w14:textId="77777777">
        <w:trPr>
          <w:trHeight w:val="187"/>
        </w:trPr>
        <w:tc>
          <w:tcPr>
            <w:tcW w:w="1182"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4B2F69" w:rsidR="00E767DE" w:rsidP="004B2F69" w:rsidRDefault="00E767DE" w14:paraId="6F73E719" w14:textId="77777777">
            <w:pPr>
              <w:rPr>
                <w:b/>
                <w:bCs/>
                <w:color w:val="000000"/>
                <w:sz w:val="22"/>
                <w:szCs w:val="22"/>
              </w:rPr>
            </w:pPr>
            <w:r w:rsidRPr="004B2F69">
              <w:rPr>
                <w:b/>
                <w:bCs/>
                <w:color w:val="000000"/>
                <w:sz w:val="22"/>
                <w:szCs w:val="22"/>
              </w:rPr>
              <w:t>Form ID</w:t>
            </w:r>
          </w:p>
        </w:tc>
        <w:tc>
          <w:tcPr>
            <w:tcW w:w="4238" w:type="dxa"/>
            <w:gridSpan w:val="3"/>
            <w:tcBorders>
              <w:top w:val="single" w:color="auto" w:sz="4" w:space="0"/>
              <w:left w:val="nil"/>
              <w:bottom w:val="single" w:color="auto" w:sz="4" w:space="0"/>
              <w:right w:val="nil"/>
            </w:tcBorders>
            <w:shd w:val="clear" w:color="auto" w:fill="auto"/>
            <w:noWrap/>
            <w:vAlign w:val="bottom"/>
            <w:hideMark/>
          </w:tcPr>
          <w:p w:rsidRPr="004B2F69" w:rsidR="00E767DE" w:rsidP="004B2F69" w:rsidRDefault="00E767DE" w14:paraId="4C758F03" w14:textId="77777777">
            <w:pPr>
              <w:jc w:val="center"/>
              <w:rPr>
                <w:b/>
                <w:bCs/>
                <w:color w:val="000000"/>
                <w:sz w:val="22"/>
                <w:szCs w:val="22"/>
              </w:rPr>
            </w:pPr>
            <w:r w:rsidRPr="004B2F69">
              <w:rPr>
                <w:b/>
                <w:bCs/>
                <w:color w:val="000000"/>
                <w:sz w:val="22"/>
                <w:szCs w:val="22"/>
              </w:rPr>
              <w:t>Annual No. of Filings</w:t>
            </w:r>
          </w:p>
        </w:tc>
        <w:tc>
          <w:tcPr>
            <w:tcW w:w="3320" w:type="dxa"/>
            <w:gridSpan w:val="3"/>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4B2F69" w:rsidR="00E767DE" w:rsidP="004B2F69" w:rsidRDefault="00E767DE" w14:paraId="54FC3357" w14:textId="77777777">
            <w:pPr>
              <w:jc w:val="center"/>
              <w:rPr>
                <w:b/>
                <w:bCs/>
                <w:color w:val="000000"/>
                <w:sz w:val="22"/>
                <w:szCs w:val="22"/>
              </w:rPr>
            </w:pPr>
            <w:r w:rsidRPr="004B2F69">
              <w:rPr>
                <w:b/>
                <w:bCs/>
                <w:color w:val="000000"/>
                <w:sz w:val="22"/>
                <w:szCs w:val="22"/>
              </w:rPr>
              <w:t>Annual Time Burden (Hrs.)</w:t>
            </w:r>
          </w:p>
        </w:tc>
      </w:tr>
      <w:tr w:rsidRPr="004B2F69" w:rsidR="00D57BA2" w:rsidTr="00D57BA2" w14:paraId="21534C80" w14:textId="77777777">
        <w:trPr>
          <w:trHeight w:val="375"/>
        </w:trPr>
        <w:tc>
          <w:tcPr>
            <w:tcW w:w="1182" w:type="dxa"/>
            <w:tcBorders>
              <w:top w:val="nil"/>
              <w:left w:val="single" w:color="auto" w:sz="4" w:space="0"/>
              <w:bottom w:val="single" w:color="auto" w:sz="4" w:space="0"/>
              <w:right w:val="nil"/>
            </w:tcBorders>
            <w:shd w:val="clear" w:color="auto" w:fill="auto"/>
            <w:vAlign w:val="center"/>
            <w:hideMark/>
          </w:tcPr>
          <w:p w:rsidRPr="004B2F69" w:rsidR="00E767DE" w:rsidP="004B2F69" w:rsidRDefault="00E767DE" w14:paraId="4571F71C" w14:textId="77777777">
            <w:pPr>
              <w:rPr>
                <w:color w:val="000000"/>
                <w:sz w:val="22"/>
                <w:szCs w:val="22"/>
              </w:rPr>
            </w:pPr>
            <w:r w:rsidRPr="004B2F69">
              <w:rPr>
                <w:color w:val="000000"/>
                <w:sz w:val="22"/>
                <w:szCs w:val="22"/>
              </w:rPr>
              <w:t> </w:t>
            </w:r>
          </w:p>
        </w:tc>
        <w:tc>
          <w:tcPr>
            <w:tcW w:w="1147" w:type="dxa"/>
            <w:tcBorders>
              <w:top w:val="nil"/>
              <w:left w:val="single" w:color="auto" w:sz="8" w:space="0"/>
              <w:bottom w:val="single" w:color="auto" w:sz="4" w:space="0"/>
              <w:right w:val="single" w:color="auto" w:sz="4" w:space="0"/>
            </w:tcBorders>
            <w:shd w:val="clear" w:color="auto" w:fill="auto"/>
            <w:vAlign w:val="center"/>
            <w:hideMark/>
          </w:tcPr>
          <w:p w:rsidRPr="004B2F69" w:rsidR="00E767DE" w:rsidP="004B2F69" w:rsidRDefault="00E767DE" w14:paraId="4021C92F" w14:textId="77777777">
            <w:pPr>
              <w:jc w:val="center"/>
              <w:rPr>
                <w:i/>
                <w:iCs/>
                <w:color w:val="000000"/>
                <w:sz w:val="22"/>
                <w:szCs w:val="22"/>
              </w:rPr>
            </w:pPr>
            <w:r w:rsidRPr="004B2F69">
              <w:rPr>
                <w:i/>
                <w:iCs/>
                <w:color w:val="000000"/>
                <w:sz w:val="22"/>
                <w:szCs w:val="22"/>
              </w:rPr>
              <w:t>Previously approved</w:t>
            </w:r>
          </w:p>
        </w:tc>
        <w:tc>
          <w:tcPr>
            <w:tcW w:w="1634" w:type="dxa"/>
            <w:tcBorders>
              <w:top w:val="nil"/>
              <w:left w:val="nil"/>
              <w:bottom w:val="single" w:color="auto" w:sz="4" w:space="0"/>
              <w:right w:val="single" w:color="auto" w:sz="4" w:space="0"/>
            </w:tcBorders>
            <w:shd w:val="clear" w:color="auto" w:fill="auto"/>
            <w:vAlign w:val="center"/>
            <w:hideMark/>
          </w:tcPr>
          <w:p w:rsidRPr="004B2F69" w:rsidR="00E767DE" w:rsidP="004B2F69" w:rsidRDefault="00E767DE" w14:paraId="6B2FEC02" w14:textId="77777777">
            <w:pPr>
              <w:jc w:val="center"/>
              <w:rPr>
                <w:i/>
                <w:iCs/>
                <w:color w:val="000000"/>
                <w:sz w:val="22"/>
                <w:szCs w:val="22"/>
              </w:rPr>
            </w:pPr>
            <w:r w:rsidRPr="004B2F69">
              <w:rPr>
                <w:i/>
                <w:iCs/>
                <w:color w:val="000000"/>
                <w:sz w:val="22"/>
                <w:szCs w:val="22"/>
              </w:rPr>
              <w:t>Requested</w:t>
            </w:r>
          </w:p>
        </w:tc>
        <w:tc>
          <w:tcPr>
            <w:tcW w:w="1457" w:type="dxa"/>
            <w:tcBorders>
              <w:top w:val="nil"/>
              <w:left w:val="nil"/>
              <w:bottom w:val="single" w:color="auto" w:sz="4" w:space="0"/>
              <w:right w:val="nil"/>
            </w:tcBorders>
            <w:shd w:val="clear" w:color="auto" w:fill="auto"/>
            <w:vAlign w:val="center"/>
            <w:hideMark/>
          </w:tcPr>
          <w:p w:rsidRPr="004B2F69" w:rsidR="00E767DE" w:rsidP="004B2F69" w:rsidRDefault="00E767DE" w14:paraId="287E040F" w14:textId="77777777">
            <w:pPr>
              <w:jc w:val="center"/>
              <w:rPr>
                <w:i/>
                <w:iCs/>
                <w:color w:val="000000"/>
                <w:sz w:val="22"/>
                <w:szCs w:val="22"/>
              </w:rPr>
            </w:pPr>
            <w:r w:rsidRPr="004B2F69">
              <w:rPr>
                <w:i/>
                <w:iCs/>
                <w:color w:val="000000"/>
                <w:sz w:val="22"/>
                <w:szCs w:val="22"/>
              </w:rPr>
              <w:t>Change</w:t>
            </w:r>
          </w:p>
        </w:tc>
        <w:tc>
          <w:tcPr>
            <w:tcW w:w="1108" w:type="dxa"/>
            <w:tcBorders>
              <w:top w:val="nil"/>
              <w:left w:val="single" w:color="auto" w:sz="8" w:space="0"/>
              <w:bottom w:val="single" w:color="auto" w:sz="4" w:space="0"/>
              <w:right w:val="single" w:color="auto" w:sz="4" w:space="0"/>
            </w:tcBorders>
            <w:shd w:val="clear" w:color="auto" w:fill="auto"/>
            <w:vAlign w:val="center"/>
            <w:hideMark/>
          </w:tcPr>
          <w:p w:rsidRPr="004B2F69" w:rsidR="00E767DE" w:rsidP="004B2F69" w:rsidRDefault="00E767DE" w14:paraId="056E8CB1" w14:textId="77777777">
            <w:pPr>
              <w:jc w:val="center"/>
              <w:rPr>
                <w:i/>
                <w:iCs/>
                <w:color w:val="000000"/>
                <w:sz w:val="22"/>
                <w:szCs w:val="22"/>
              </w:rPr>
            </w:pPr>
            <w:r w:rsidRPr="004B2F69">
              <w:rPr>
                <w:i/>
                <w:iCs/>
                <w:color w:val="000000"/>
                <w:sz w:val="22"/>
                <w:szCs w:val="22"/>
              </w:rPr>
              <w:t>Previously approved</w:t>
            </w:r>
          </w:p>
        </w:tc>
        <w:tc>
          <w:tcPr>
            <w:tcW w:w="1108" w:type="dxa"/>
            <w:tcBorders>
              <w:top w:val="nil"/>
              <w:left w:val="nil"/>
              <w:bottom w:val="single" w:color="auto" w:sz="4" w:space="0"/>
              <w:right w:val="single" w:color="auto" w:sz="4" w:space="0"/>
            </w:tcBorders>
            <w:shd w:val="clear" w:color="auto" w:fill="auto"/>
            <w:vAlign w:val="center"/>
            <w:hideMark/>
          </w:tcPr>
          <w:p w:rsidRPr="004B2F69" w:rsidR="00E767DE" w:rsidP="004B2F69" w:rsidRDefault="00E767DE" w14:paraId="7D182296" w14:textId="77777777">
            <w:pPr>
              <w:jc w:val="center"/>
              <w:rPr>
                <w:i/>
                <w:iCs/>
                <w:color w:val="000000"/>
                <w:sz w:val="22"/>
                <w:szCs w:val="22"/>
              </w:rPr>
            </w:pPr>
            <w:r w:rsidRPr="004B2F69">
              <w:rPr>
                <w:i/>
                <w:iCs/>
                <w:color w:val="000000"/>
                <w:sz w:val="22"/>
                <w:szCs w:val="22"/>
              </w:rPr>
              <w:t>Requested</w:t>
            </w:r>
          </w:p>
        </w:tc>
        <w:tc>
          <w:tcPr>
            <w:tcW w:w="1103" w:type="dxa"/>
            <w:tcBorders>
              <w:top w:val="nil"/>
              <w:left w:val="nil"/>
              <w:bottom w:val="nil"/>
              <w:right w:val="single" w:color="auto" w:sz="4" w:space="0"/>
            </w:tcBorders>
            <w:shd w:val="clear" w:color="auto" w:fill="auto"/>
            <w:vAlign w:val="center"/>
            <w:hideMark/>
          </w:tcPr>
          <w:p w:rsidRPr="004B2F69" w:rsidR="00E767DE" w:rsidP="004B2F69" w:rsidRDefault="00E767DE" w14:paraId="21F3CEDA" w14:textId="77777777">
            <w:pPr>
              <w:jc w:val="center"/>
              <w:rPr>
                <w:i/>
                <w:iCs/>
                <w:color w:val="000000"/>
                <w:sz w:val="22"/>
                <w:szCs w:val="22"/>
              </w:rPr>
            </w:pPr>
            <w:r w:rsidRPr="004B2F69">
              <w:rPr>
                <w:i/>
                <w:iCs/>
                <w:color w:val="000000"/>
                <w:sz w:val="22"/>
                <w:szCs w:val="22"/>
              </w:rPr>
              <w:t>Change</w:t>
            </w:r>
          </w:p>
        </w:tc>
      </w:tr>
      <w:tr w:rsidRPr="004B2F69" w:rsidR="00D57BA2" w:rsidTr="00D57BA2" w14:paraId="7F01784D" w14:textId="77777777">
        <w:trPr>
          <w:trHeight w:val="187"/>
        </w:trPr>
        <w:tc>
          <w:tcPr>
            <w:tcW w:w="1182" w:type="dxa"/>
            <w:tcBorders>
              <w:top w:val="nil"/>
              <w:left w:val="single" w:color="auto" w:sz="4" w:space="0"/>
              <w:bottom w:val="single" w:color="auto" w:sz="4" w:space="0"/>
              <w:right w:val="nil"/>
            </w:tcBorders>
            <w:shd w:val="clear" w:color="auto" w:fill="auto"/>
            <w:noWrap/>
            <w:vAlign w:val="bottom"/>
            <w:hideMark/>
          </w:tcPr>
          <w:p w:rsidRPr="004B2F69" w:rsidR="00E767DE" w:rsidP="004B2F69" w:rsidRDefault="00E767DE" w14:paraId="13AA9309" w14:textId="77777777">
            <w:pPr>
              <w:rPr>
                <w:color w:val="000000"/>
                <w:sz w:val="22"/>
                <w:szCs w:val="22"/>
              </w:rPr>
            </w:pPr>
            <w:r w:rsidRPr="004B2F69">
              <w:rPr>
                <w:color w:val="000000"/>
                <w:sz w:val="22"/>
                <w:szCs w:val="22"/>
              </w:rPr>
              <w:t xml:space="preserve">Form ID </w:t>
            </w:r>
          </w:p>
        </w:tc>
        <w:tc>
          <w:tcPr>
            <w:tcW w:w="1147" w:type="dxa"/>
            <w:tcBorders>
              <w:top w:val="nil"/>
              <w:left w:val="single" w:color="auto" w:sz="8" w:space="0"/>
              <w:bottom w:val="single" w:color="auto" w:sz="4" w:space="0"/>
              <w:right w:val="single" w:color="auto" w:sz="4" w:space="0"/>
            </w:tcBorders>
            <w:shd w:val="clear" w:color="auto" w:fill="auto"/>
            <w:noWrap/>
            <w:vAlign w:val="bottom"/>
            <w:hideMark/>
          </w:tcPr>
          <w:p w:rsidRPr="004B2F69" w:rsidR="00E767DE" w:rsidP="004B2F69" w:rsidRDefault="00B832F7" w14:paraId="11D76D28" w14:textId="3DB316FA">
            <w:pPr>
              <w:jc w:val="center"/>
              <w:rPr>
                <w:color w:val="000000"/>
                <w:sz w:val="22"/>
                <w:szCs w:val="22"/>
              </w:rPr>
            </w:pPr>
            <w:r w:rsidRPr="004B2F69">
              <w:rPr>
                <w:color w:val="000000"/>
                <w:sz w:val="22"/>
                <w:szCs w:val="22"/>
              </w:rPr>
              <w:t>48,493</w:t>
            </w:r>
          </w:p>
        </w:tc>
        <w:tc>
          <w:tcPr>
            <w:tcW w:w="1634" w:type="dxa"/>
            <w:tcBorders>
              <w:top w:val="nil"/>
              <w:left w:val="nil"/>
              <w:bottom w:val="single" w:color="auto" w:sz="4" w:space="0"/>
              <w:right w:val="single" w:color="auto" w:sz="4" w:space="0"/>
            </w:tcBorders>
            <w:shd w:val="clear" w:color="auto" w:fill="auto"/>
            <w:noWrap/>
            <w:vAlign w:val="bottom"/>
            <w:hideMark/>
          </w:tcPr>
          <w:p w:rsidRPr="004B2F69" w:rsidR="00E767DE" w:rsidP="00D57BA2" w:rsidRDefault="00D57BA2" w14:paraId="10834371" w14:textId="08582D5D">
            <w:pPr>
              <w:jc w:val="center"/>
              <w:rPr>
                <w:color w:val="000000"/>
                <w:sz w:val="22"/>
                <w:szCs w:val="22"/>
              </w:rPr>
            </w:pPr>
            <w:r>
              <w:rPr>
                <w:color w:val="000000"/>
                <w:sz w:val="22"/>
                <w:szCs w:val="22"/>
              </w:rPr>
              <w:t>57,329</w:t>
            </w:r>
          </w:p>
        </w:tc>
        <w:tc>
          <w:tcPr>
            <w:tcW w:w="1457" w:type="dxa"/>
            <w:tcBorders>
              <w:top w:val="nil"/>
              <w:left w:val="nil"/>
              <w:bottom w:val="single" w:color="auto" w:sz="4" w:space="0"/>
              <w:right w:val="single" w:color="auto" w:sz="8" w:space="0"/>
            </w:tcBorders>
            <w:shd w:val="clear" w:color="auto" w:fill="auto"/>
            <w:noWrap/>
            <w:vAlign w:val="bottom"/>
            <w:hideMark/>
          </w:tcPr>
          <w:p w:rsidRPr="004B2F69" w:rsidR="00E767DE" w:rsidRDefault="00D57BA2" w14:paraId="16BF0A77" w14:textId="1F200266">
            <w:pPr>
              <w:jc w:val="center"/>
              <w:rPr>
                <w:color w:val="000000"/>
                <w:sz w:val="22"/>
                <w:szCs w:val="22"/>
              </w:rPr>
            </w:pPr>
            <w:r>
              <w:rPr>
                <w:color w:val="000000"/>
                <w:sz w:val="22"/>
                <w:szCs w:val="22"/>
              </w:rPr>
              <w:t>8,836</w:t>
            </w:r>
          </w:p>
        </w:tc>
        <w:tc>
          <w:tcPr>
            <w:tcW w:w="1108" w:type="dxa"/>
            <w:tcBorders>
              <w:top w:val="nil"/>
              <w:left w:val="nil"/>
              <w:bottom w:val="single" w:color="auto" w:sz="4" w:space="0"/>
              <w:right w:val="single" w:color="auto" w:sz="4" w:space="0"/>
            </w:tcBorders>
            <w:shd w:val="clear" w:color="auto" w:fill="auto"/>
            <w:noWrap/>
            <w:vAlign w:val="bottom"/>
            <w:hideMark/>
          </w:tcPr>
          <w:p w:rsidRPr="004B2F69" w:rsidR="00E767DE" w:rsidP="004B2F69" w:rsidRDefault="00B832F7" w14:paraId="3A01247D" w14:textId="2A08B2C9">
            <w:pPr>
              <w:jc w:val="center"/>
              <w:rPr>
                <w:color w:val="000000"/>
                <w:sz w:val="22"/>
                <w:szCs w:val="22"/>
              </w:rPr>
            </w:pPr>
            <w:r w:rsidRPr="004B2F69">
              <w:rPr>
                <w:color w:val="000000"/>
                <w:sz w:val="22"/>
                <w:szCs w:val="22"/>
              </w:rPr>
              <w:t>7,274</w:t>
            </w:r>
          </w:p>
        </w:tc>
        <w:tc>
          <w:tcPr>
            <w:tcW w:w="1108" w:type="dxa"/>
            <w:tcBorders>
              <w:top w:val="nil"/>
              <w:left w:val="nil"/>
              <w:bottom w:val="single" w:color="auto" w:sz="4" w:space="0"/>
              <w:right w:val="single" w:color="auto" w:sz="4" w:space="0"/>
            </w:tcBorders>
            <w:shd w:val="clear" w:color="auto" w:fill="auto"/>
            <w:noWrap/>
            <w:vAlign w:val="bottom"/>
            <w:hideMark/>
          </w:tcPr>
          <w:p w:rsidRPr="004B2F69" w:rsidR="00E767DE" w:rsidRDefault="00D57BA2" w14:paraId="58E19E29" w14:textId="2423621F">
            <w:pPr>
              <w:jc w:val="center"/>
              <w:rPr>
                <w:color w:val="000000"/>
                <w:sz w:val="22"/>
                <w:szCs w:val="22"/>
              </w:rPr>
            </w:pPr>
            <w:r>
              <w:rPr>
                <w:sz w:val="22"/>
                <w:szCs w:val="22"/>
              </w:rPr>
              <w:t>17,199</w:t>
            </w:r>
          </w:p>
        </w:tc>
        <w:tc>
          <w:tcPr>
            <w:tcW w:w="1103" w:type="dxa"/>
            <w:tcBorders>
              <w:top w:val="single" w:color="auto" w:sz="4" w:space="0"/>
              <w:left w:val="nil"/>
              <w:bottom w:val="single" w:color="auto" w:sz="4" w:space="0"/>
              <w:right w:val="single" w:color="auto" w:sz="4" w:space="0"/>
            </w:tcBorders>
            <w:shd w:val="clear" w:color="auto" w:fill="auto"/>
            <w:noWrap/>
            <w:vAlign w:val="bottom"/>
            <w:hideMark/>
          </w:tcPr>
          <w:p w:rsidRPr="004B2F69" w:rsidR="00E767DE" w:rsidRDefault="00D57BA2" w14:paraId="627D610F" w14:textId="0595D3CF">
            <w:pPr>
              <w:jc w:val="center"/>
              <w:rPr>
                <w:color w:val="000000"/>
                <w:sz w:val="22"/>
                <w:szCs w:val="22"/>
              </w:rPr>
            </w:pPr>
            <w:r>
              <w:rPr>
                <w:color w:val="000000"/>
                <w:sz w:val="22"/>
                <w:szCs w:val="22"/>
              </w:rPr>
              <w:t>9,925</w:t>
            </w:r>
          </w:p>
        </w:tc>
      </w:tr>
    </w:tbl>
    <w:p w:rsidR="001260A9" w:rsidRDefault="001260A9" w14:paraId="7D4FD423" w14:textId="77777777">
      <w:pPr>
        <w:ind w:left="720" w:right="720"/>
      </w:pPr>
    </w:p>
    <w:p w:rsidRPr="00662D52" w:rsidR="00855F8A" w:rsidRDefault="00855F8A" w14:paraId="7D4FD424" w14:textId="77777777">
      <w:pPr>
        <w:numPr>
          <w:ilvl w:val="0"/>
          <w:numId w:val="3"/>
        </w:numPr>
        <w:ind w:right="720"/>
        <w:rPr>
          <w:b/>
          <w:u w:val="single"/>
        </w:rPr>
      </w:pPr>
      <w:r w:rsidRPr="00662D52">
        <w:rPr>
          <w:b/>
          <w:u w:val="single"/>
        </w:rPr>
        <w:t>Estimate of Total Annualized Cost Burden</w:t>
      </w:r>
    </w:p>
    <w:p w:rsidR="00855F8A" w:rsidRDefault="00855F8A" w14:paraId="7D4FD425" w14:textId="77777777">
      <w:pPr>
        <w:ind w:right="720"/>
      </w:pPr>
    </w:p>
    <w:p w:rsidR="009771E7" w:rsidP="00B55347" w:rsidRDefault="00D15389" w14:paraId="7D4FD427" w14:textId="4F218583">
      <w:pPr>
        <w:ind w:left="720" w:right="720" w:firstLine="720"/>
      </w:pPr>
      <w:r>
        <w:t>We</w:t>
      </w:r>
      <w:r w:rsidR="00855F8A">
        <w:t xml:space="preserve"> estimate that the </w:t>
      </w:r>
      <w:r w:rsidR="00253AB1">
        <w:t>filer</w:t>
      </w:r>
      <w:r w:rsidR="00855F8A">
        <w:t xml:space="preserve"> </w:t>
      </w:r>
      <w:r>
        <w:t>is responsible for</w:t>
      </w:r>
      <w:r w:rsidR="00855F8A">
        <w:t xml:space="preserve"> 100% of the total reporting burden imposed by the form and there is no additional cost associated with the information collection.</w:t>
      </w:r>
    </w:p>
    <w:p w:rsidR="00B55347" w:rsidP="00B55347" w:rsidRDefault="00B55347" w14:paraId="0A15B085" w14:textId="77777777">
      <w:pPr>
        <w:ind w:left="720" w:right="720" w:firstLine="720"/>
      </w:pPr>
    </w:p>
    <w:p w:rsidRPr="00662D52" w:rsidR="00855F8A" w:rsidRDefault="00855F8A" w14:paraId="7D4FD42A" w14:textId="77777777">
      <w:pPr>
        <w:numPr>
          <w:ilvl w:val="0"/>
          <w:numId w:val="3"/>
        </w:numPr>
        <w:ind w:right="720"/>
        <w:rPr>
          <w:b/>
          <w:u w:val="single"/>
        </w:rPr>
      </w:pPr>
      <w:r w:rsidRPr="00662D52">
        <w:rPr>
          <w:b/>
          <w:u w:val="single"/>
        </w:rPr>
        <w:t>Cost</w:t>
      </w:r>
      <w:r w:rsidRPr="00662D52" w:rsidR="00FC073F">
        <w:rPr>
          <w:b/>
          <w:u w:val="single"/>
        </w:rPr>
        <w:t>s</w:t>
      </w:r>
      <w:r w:rsidRPr="00662D52">
        <w:rPr>
          <w:b/>
          <w:u w:val="single"/>
        </w:rPr>
        <w:t xml:space="preserve"> to Federal Government</w:t>
      </w:r>
    </w:p>
    <w:p w:rsidR="00855F8A" w:rsidRDefault="00855F8A" w14:paraId="7D4FD42B" w14:textId="77777777">
      <w:pPr>
        <w:ind w:left="720" w:right="720"/>
      </w:pPr>
    </w:p>
    <w:p w:rsidR="00855F8A" w:rsidRDefault="00855F8A" w14:paraId="7D4FD42C" w14:textId="77777777">
      <w:pPr>
        <w:ind w:left="720" w:right="720" w:firstLine="720"/>
      </w:pPr>
      <w:r>
        <w:lastRenderedPageBreak/>
        <w:t>The Commission has no specific information available concerning the co</w:t>
      </w:r>
      <w:r w:rsidR="004C48C5">
        <w:t>st for staff processing Form ID</w:t>
      </w:r>
      <w:r w:rsidR="004112CD">
        <w:t>.</w:t>
      </w:r>
    </w:p>
    <w:p w:rsidR="004D2FA4" w:rsidP="004C48C5" w:rsidRDefault="004D2FA4" w14:paraId="7D4FD42D" w14:textId="77777777">
      <w:pPr>
        <w:ind w:right="720"/>
      </w:pPr>
    </w:p>
    <w:p w:rsidRPr="00662D52" w:rsidR="00855F8A" w:rsidRDefault="001260A9" w14:paraId="7D4FD42E" w14:textId="77777777">
      <w:pPr>
        <w:numPr>
          <w:ilvl w:val="0"/>
          <w:numId w:val="3"/>
        </w:numPr>
        <w:ind w:right="720"/>
        <w:rPr>
          <w:b/>
          <w:u w:val="single"/>
        </w:rPr>
      </w:pPr>
      <w:r w:rsidRPr="00662D52">
        <w:rPr>
          <w:b/>
          <w:u w:val="single"/>
        </w:rPr>
        <w:t>Reason for Change</w:t>
      </w:r>
      <w:r w:rsidRPr="00662D52" w:rsidR="00855F8A">
        <w:rPr>
          <w:b/>
          <w:u w:val="single"/>
        </w:rPr>
        <w:t xml:space="preserve"> in Burden</w:t>
      </w:r>
    </w:p>
    <w:p w:rsidR="00855F8A" w:rsidRDefault="00855F8A" w14:paraId="7D4FD42F" w14:textId="77777777">
      <w:pPr>
        <w:ind w:left="720" w:right="720"/>
      </w:pPr>
    </w:p>
    <w:p w:rsidR="00855F8A" w:rsidRDefault="008A2492" w14:paraId="7D4FD430" w14:textId="517562F1">
      <w:pPr>
        <w:ind w:left="720" w:right="720" w:firstLine="720"/>
      </w:pPr>
      <w:r>
        <w:t xml:space="preserve">The Commission may consider </w:t>
      </w:r>
      <w:r w:rsidRPr="0087700E">
        <w:t xml:space="preserve">potential technical changes to the EDGAR </w:t>
      </w:r>
      <w:r w:rsidR="00040219">
        <w:t xml:space="preserve">filer </w:t>
      </w:r>
      <w:r w:rsidRPr="0087700E" w:rsidR="00040219">
        <w:t xml:space="preserve">access </w:t>
      </w:r>
      <w:r w:rsidR="00040219">
        <w:t xml:space="preserve">and filer account management processes (“potential access changes”)   </w:t>
      </w:r>
      <w:r w:rsidRPr="0087700E" w:rsidR="00040219">
        <w:t>that include the addition of individual user account</w:t>
      </w:r>
      <w:r w:rsidR="00040219">
        <w:t xml:space="preserve"> credentials</w:t>
      </w:r>
      <w:r w:rsidRPr="0087700E" w:rsidR="00040219">
        <w:t xml:space="preserve"> </w:t>
      </w:r>
      <w:r w:rsidR="00040219">
        <w:t xml:space="preserve">as well as </w:t>
      </w:r>
      <w:r w:rsidRPr="0087700E" w:rsidR="00040219">
        <w:t xml:space="preserve">a </w:t>
      </w:r>
      <w:r w:rsidR="00040219">
        <w:t xml:space="preserve">filer management </w:t>
      </w:r>
      <w:r w:rsidRPr="0087700E" w:rsidR="00040219">
        <w:t xml:space="preserve">tool </w:t>
      </w:r>
      <w:r w:rsidR="00040219">
        <w:t>on EDGAR through which filers would</w:t>
      </w:r>
      <w:r w:rsidRPr="0087700E" w:rsidR="00040219">
        <w:t xml:space="preserve"> manage </w:t>
      </w:r>
      <w:r w:rsidR="00040219">
        <w:t xml:space="preserve">their </w:t>
      </w:r>
      <w:r w:rsidRPr="0087700E" w:rsidR="00040219">
        <w:t>EDGAR accounts</w:t>
      </w:r>
      <w:r w:rsidRPr="0087700E">
        <w:t>.</w:t>
      </w:r>
      <w:r>
        <w:t xml:space="preserve"> If the potential access changes are implemented, t</w:t>
      </w:r>
      <w:r w:rsidRPr="0087700E">
        <w:t xml:space="preserve">he Commission anticipates that it would adopt amendments to certain Commission rules and forms to </w:t>
      </w:r>
      <w:r>
        <w:t>reflect</w:t>
      </w:r>
      <w:r w:rsidRPr="0087700E">
        <w:t xml:space="preserve"> the potential access changes</w:t>
      </w:r>
      <w:r>
        <w:t>, including Form ID</w:t>
      </w:r>
      <w:r w:rsidRPr="0087700E">
        <w:t>.</w:t>
      </w:r>
      <w:r w:rsidR="00334DEA">
        <w:t xml:space="preserve"> </w:t>
      </w:r>
      <w:r>
        <w:t xml:space="preserve">Separately, the Commission may consider potential amendments to Form ID that would result in a more uniform and secure process for </w:t>
      </w:r>
      <w:r w:rsidRPr="006911D7">
        <w:t xml:space="preserve">EDGAR access </w:t>
      </w:r>
      <w:r>
        <w:t>by requiring applicants that already have a</w:t>
      </w:r>
      <w:r w:rsidR="002F2790">
        <w:t xml:space="preserve"> </w:t>
      </w:r>
      <w:r w:rsidR="00D77619">
        <w:t xml:space="preserve">CIK </w:t>
      </w:r>
      <w:r>
        <w:t>and no longer have access to EDGAR to re-apply by submitting a new Form ID in o</w:t>
      </w:r>
      <w:r w:rsidR="00334DEA">
        <w:t>rder to regain access to EDGAR.</w:t>
      </w:r>
      <w:r>
        <w:t xml:space="preserve"> </w:t>
      </w:r>
      <w:r w:rsidR="007F103A">
        <w:t xml:space="preserve">If the </w:t>
      </w:r>
      <w:r w:rsidR="00040219">
        <w:t xml:space="preserve">potential access changes and potential Form ID </w:t>
      </w:r>
      <w:r w:rsidR="008C0524">
        <w:t>amendments are adopted</w:t>
      </w:r>
      <w:r w:rsidR="007F103A">
        <w:t xml:space="preserve">, </w:t>
      </w:r>
      <w:r w:rsidR="00025487">
        <w:t>we</w:t>
      </w:r>
      <w:r w:rsidRPr="00411E5A" w:rsidR="00025487">
        <w:t xml:space="preserve"> estimate that </w:t>
      </w:r>
      <w:r w:rsidR="00040219">
        <w:t xml:space="preserve">the number of Form ID filings would increase </w:t>
      </w:r>
      <w:r w:rsidRPr="00411E5A" w:rsidR="00040219">
        <w:t xml:space="preserve">approximately </w:t>
      </w:r>
      <w:r w:rsidR="00662D52">
        <w:t xml:space="preserve">by </w:t>
      </w:r>
      <w:r w:rsidR="00141CED">
        <w:t>8,836</w:t>
      </w:r>
      <w:r w:rsidRPr="00411E5A" w:rsidR="00040219">
        <w:t xml:space="preserve"> annually</w:t>
      </w:r>
      <w:r w:rsidR="00040219">
        <w:rPr>
          <w:rStyle w:val="FootnoteReference"/>
        </w:rPr>
        <w:footnoteReference w:id="4"/>
      </w:r>
      <w:r w:rsidRPr="00411E5A" w:rsidR="00040219">
        <w:t xml:space="preserve"> and that </w:t>
      </w:r>
      <w:r w:rsidR="00040219">
        <w:t xml:space="preserve">the number of hours </w:t>
      </w:r>
      <w:r w:rsidR="00D77619">
        <w:t xml:space="preserve">to prepare Form ID </w:t>
      </w:r>
      <w:r w:rsidR="00040219">
        <w:t xml:space="preserve">would increase </w:t>
      </w:r>
      <w:r w:rsidRPr="00411E5A" w:rsidR="00040219">
        <w:t xml:space="preserve">0.15 hours to prepare </w:t>
      </w:r>
      <w:r w:rsidR="00040219">
        <w:t>Form ID</w:t>
      </w:r>
      <w:r w:rsidR="00025487">
        <w:t>.</w:t>
      </w:r>
      <w:r w:rsidR="007C0729">
        <w:t xml:space="preserve"> </w:t>
      </w:r>
      <w:r w:rsidR="007F103A">
        <w:t>T</w:t>
      </w:r>
      <w:r w:rsidR="000310AC">
        <w:t>he</w:t>
      </w:r>
      <w:r w:rsidR="003022B6">
        <w:t>se changes would result in an</w:t>
      </w:r>
      <w:r w:rsidR="000310AC">
        <w:t xml:space="preserve"> increase </w:t>
      </w:r>
      <w:r w:rsidR="00E10383">
        <w:t xml:space="preserve">of </w:t>
      </w:r>
      <w:r w:rsidR="00141CED">
        <w:t>8,836</w:t>
      </w:r>
      <w:r w:rsidR="00E10383">
        <w:t xml:space="preserve"> </w:t>
      </w:r>
      <w:r w:rsidR="0002239F">
        <w:t xml:space="preserve">filings </w:t>
      </w:r>
      <w:r w:rsidR="00E10383">
        <w:t xml:space="preserve">and </w:t>
      </w:r>
      <w:r w:rsidR="00141CED">
        <w:t>9,925</w:t>
      </w:r>
      <w:r w:rsidR="00025487">
        <w:t xml:space="preserve"> </w:t>
      </w:r>
      <w:r w:rsidR="000310AC">
        <w:t>annual burden hours</w:t>
      </w:r>
      <w:r w:rsidR="003022B6">
        <w:t>.</w:t>
      </w:r>
      <w:r w:rsidR="006A0C76">
        <w:t xml:space="preserve"> The current estimate of the annual number of Form ID filings for filers without </w:t>
      </w:r>
      <w:r w:rsidR="002F2790">
        <w:t>CIKs</w:t>
      </w:r>
      <w:r w:rsidR="006A0C76">
        <w:t xml:space="preserve"> (</w:t>
      </w:r>
      <w:r w:rsidR="000A55B0">
        <w:t>48</w:t>
      </w:r>
      <w:r w:rsidR="006A0C76">
        <w:t xml:space="preserve">,089 filings) and filers with </w:t>
      </w:r>
      <w:r w:rsidR="002F2790">
        <w:t>CIKs</w:t>
      </w:r>
      <w:r w:rsidR="006A0C76">
        <w:t xml:space="preserve"> but who have not filed electronically on EDGAR (404 filings) would stay the same.</w:t>
      </w:r>
      <w:r w:rsidR="003022B6">
        <w:t xml:space="preserve"> The total</w:t>
      </w:r>
      <w:r w:rsidR="000310AC">
        <w:t xml:space="preserve"> </w:t>
      </w:r>
      <w:r w:rsidR="003022B6">
        <w:t xml:space="preserve">estimate of </w:t>
      </w:r>
      <w:r w:rsidR="00141CED">
        <w:t>57,329</w:t>
      </w:r>
      <w:r w:rsidR="0002239F">
        <w:t xml:space="preserve"> filings</w:t>
      </w:r>
      <w:r w:rsidR="00F77C81">
        <w:rPr>
          <w:rStyle w:val="FootnoteReference"/>
        </w:rPr>
        <w:footnoteReference w:id="5"/>
      </w:r>
      <w:r w:rsidR="003022B6">
        <w:t xml:space="preserve"> and </w:t>
      </w:r>
      <w:r w:rsidR="00141CED">
        <w:t>17,199</w:t>
      </w:r>
      <w:r w:rsidR="003022B6">
        <w:t xml:space="preserve"> annual burden hours</w:t>
      </w:r>
      <w:r w:rsidR="002F2790">
        <w:rPr>
          <w:rStyle w:val="FootnoteReference"/>
        </w:rPr>
        <w:footnoteReference w:id="6"/>
      </w:r>
      <w:r w:rsidR="003022B6">
        <w:t xml:space="preserve"> </w:t>
      </w:r>
      <w:r w:rsidR="000310AC">
        <w:t>incorporate</w:t>
      </w:r>
      <w:r w:rsidR="003022B6">
        <w:t>s</w:t>
      </w:r>
      <w:r w:rsidR="000310AC">
        <w:t xml:space="preserve"> the </w:t>
      </w:r>
      <w:r w:rsidR="00494567">
        <w:t>filings made by</w:t>
      </w:r>
      <w:r w:rsidR="000310AC">
        <w:t xml:space="preserve"> filers without </w:t>
      </w:r>
      <w:r w:rsidR="002F2790">
        <w:t>CIKs</w:t>
      </w:r>
      <w:r w:rsidR="00025487">
        <w:t>,</w:t>
      </w:r>
      <w:r w:rsidR="00A964C9">
        <w:t xml:space="preserve"> </w:t>
      </w:r>
      <w:r w:rsidR="000310AC">
        <w:t xml:space="preserve">filers with </w:t>
      </w:r>
      <w:r w:rsidR="002F2790">
        <w:t>CIKs</w:t>
      </w:r>
      <w:r w:rsidR="003A498F">
        <w:t xml:space="preserve"> </w:t>
      </w:r>
      <w:r w:rsidR="000310AC">
        <w:t>that seek to obtain access codes for purposes of submitting electronic filings on EDGAR</w:t>
      </w:r>
      <w:r w:rsidR="00025487">
        <w:t xml:space="preserve">, and filers with </w:t>
      </w:r>
      <w:r w:rsidR="002F2790">
        <w:t>CIKs</w:t>
      </w:r>
      <w:r w:rsidR="00025487">
        <w:t xml:space="preserve"> who are seeking to reaccess EDGAR</w:t>
      </w:r>
      <w:r w:rsidR="000310AC">
        <w:t xml:space="preserve">. </w:t>
      </w:r>
    </w:p>
    <w:p w:rsidR="003D6A4D" w:rsidRDefault="003D6A4D" w14:paraId="5D08AFCF" w14:textId="190512BC">
      <w:pPr>
        <w:ind w:left="720" w:right="720" w:firstLine="720"/>
      </w:pPr>
    </w:p>
    <w:tbl>
      <w:tblPr>
        <w:tblW w:w="8806" w:type="dxa"/>
        <w:tblInd w:w="98" w:type="dxa"/>
        <w:tblLook w:val="04A0" w:firstRow="1" w:lastRow="0" w:firstColumn="1" w:lastColumn="0" w:noHBand="0" w:noVBand="1"/>
      </w:tblPr>
      <w:tblGrid>
        <w:gridCol w:w="1426"/>
        <w:gridCol w:w="1562"/>
        <w:gridCol w:w="1691"/>
        <w:gridCol w:w="1378"/>
        <w:gridCol w:w="1378"/>
        <w:gridCol w:w="1371"/>
      </w:tblGrid>
      <w:tr w:rsidRPr="00E767DE" w:rsidR="00D77619" w:rsidTr="00F77C81" w14:paraId="3DA5126A" w14:textId="77777777">
        <w:trPr>
          <w:trHeight w:val="291"/>
        </w:trPr>
        <w:tc>
          <w:tcPr>
            <w:tcW w:w="4679" w:type="dxa"/>
            <w:gridSpan w:val="3"/>
            <w:tcBorders>
              <w:top w:val="single" w:color="auto" w:sz="4" w:space="0"/>
              <w:left w:val="single" w:color="auto" w:sz="4" w:space="0"/>
              <w:bottom w:val="single" w:color="auto" w:sz="4" w:space="0"/>
              <w:right w:val="nil"/>
            </w:tcBorders>
            <w:shd w:val="pct10" w:color="auto" w:fill="auto"/>
            <w:noWrap/>
            <w:vAlign w:val="bottom"/>
            <w:hideMark/>
          </w:tcPr>
          <w:p w:rsidRPr="00E767DE" w:rsidR="00D77619" w:rsidP="004762A2" w:rsidRDefault="00D77619" w14:paraId="27925806" w14:textId="77777777">
            <w:pPr>
              <w:jc w:val="center"/>
              <w:rPr>
                <w:b/>
                <w:bCs/>
                <w:color w:val="000000"/>
                <w:sz w:val="22"/>
                <w:szCs w:val="22"/>
              </w:rPr>
            </w:pPr>
            <w:r w:rsidRPr="00E767DE">
              <w:rPr>
                <w:b/>
                <w:bCs/>
                <w:color w:val="000000"/>
                <w:sz w:val="22"/>
                <w:szCs w:val="22"/>
              </w:rPr>
              <w:t>Annual No. of Filings</w:t>
            </w:r>
          </w:p>
        </w:tc>
        <w:tc>
          <w:tcPr>
            <w:tcW w:w="4127" w:type="dxa"/>
            <w:gridSpan w:val="3"/>
            <w:tcBorders>
              <w:top w:val="single" w:color="auto" w:sz="4" w:space="0"/>
              <w:left w:val="single" w:color="auto" w:sz="4" w:space="0"/>
              <w:bottom w:val="single" w:color="auto" w:sz="4" w:space="0"/>
              <w:right w:val="single" w:color="auto" w:sz="4" w:space="0"/>
            </w:tcBorders>
            <w:shd w:val="pct10" w:color="auto" w:fill="auto"/>
            <w:noWrap/>
            <w:vAlign w:val="bottom"/>
            <w:hideMark/>
          </w:tcPr>
          <w:p w:rsidRPr="00E767DE" w:rsidR="00D77619" w:rsidP="004762A2" w:rsidRDefault="00D77619" w14:paraId="3447B2DA" w14:textId="77777777">
            <w:pPr>
              <w:jc w:val="center"/>
              <w:rPr>
                <w:b/>
                <w:bCs/>
                <w:color w:val="000000"/>
                <w:sz w:val="22"/>
                <w:szCs w:val="22"/>
              </w:rPr>
            </w:pPr>
            <w:r w:rsidRPr="00E767DE">
              <w:rPr>
                <w:b/>
                <w:bCs/>
                <w:color w:val="000000"/>
                <w:sz w:val="22"/>
                <w:szCs w:val="22"/>
              </w:rPr>
              <w:t>Annual Time Burden (Hrs.)</w:t>
            </w:r>
          </w:p>
        </w:tc>
      </w:tr>
      <w:tr w:rsidRPr="00E767DE" w:rsidR="00141CED" w:rsidTr="00F77C81" w14:paraId="1F3FC1C6" w14:textId="77777777">
        <w:trPr>
          <w:trHeight w:val="583"/>
        </w:trPr>
        <w:tc>
          <w:tcPr>
            <w:tcW w:w="1426"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67DE" w:rsidR="00D77619" w:rsidP="004762A2" w:rsidRDefault="00D77619" w14:paraId="67E51DB4" w14:textId="77777777">
            <w:pPr>
              <w:jc w:val="center"/>
              <w:rPr>
                <w:i/>
                <w:iCs/>
                <w:color w:val="000000"/>
                <w:sz w:val="22"/>
                <w:szCs w:val="22"/>
              </w:rPr>
            </w:pPr>
            <w:r w:rsidRPr="00E767DE">
              <w:rPr>
                <w:i/>
                <w:iCs/>
                <w:color w:val="000000"/>
                <w:sz w:val="22"/>
                <w:szCs w:val="22"/>
              </w:rPr>
              <w:t>Previously approved</w:t>
            </w:r>
          </w:p>
        </w:tc>
        <w:tc>
          <w:tcPr>
            <w:tcW w:w="1562" w:type="dxa"/>
            <w:tcBorders>
              <w:top w:val="single" w:color="auto" w:sz="4" w:space="0"/>
              <w:left w:val="nil"/>
              <w:bottom w:val="single" w:color="auto" w:sz="4" w:space="0"/>
              <w:right w:val="single" w:color="auto" w:sz="4" w:space="0"/>
            </w:tcBorders>
            <w:shd w:val="clear" w:color="auto" w:fill="auto"/>
            <w:vAlign w:val="center"/>
            <w:hideMark/>
          </w:tcPr>
          <w:p w:rsidRPr="00E767DE" w:rsidR="00D77619" w:rsidP="004762A2" w:rsidRDefault="00D77619" w14:paraId="5BB18152" w14:textId="77777777">
            <w:pPr>
              <w:jc w:val="center"/>
              <w:rPr>
                <w:i/>
                <w:iCs/>
                <w:color w:val="000000"/>
                <w:sz w:val="22"/>
                <w:szCs w:val="22"/>
              </w:rPr>
            </w:pPr>
            <w:r w:rsidRPr="00E767DE">
              <w:rPr>
                <w:i/>
                <w:iCs/>
                <w:color w:val="000000"/>
                <w:sz w:val="22"/>
                <w:szCs w:val="22"/>
              </w:rPr>
              <w:t>Requested</w:t>
            </w:r>
          </w:p>
        </w:tc>
        <w:tc>
          <w:tcPr>
            <w:tcW w:w="1691" w:type="dxa"/>
            <w:tcBorders>
              <w:top w:val="single" w:color="auto" w:sz="4" w:space="0"/>
              <w:left w:val="nil"/>
              <w:bottom w:val="single" w:color="auto" w:sz="4" w:space="0"/>
              <w:right w:val="single" w:color="auto" w:sz="4" w:space="0"/>
            </w:tcBorders>
            <w:shd w:val="clear" w:color="auto" w:fill="auto"/>
            <w:vAlign w:val="center"/>
            <w:hideMark/>
          </w:tcPr>
          <w:p w:rsidRPr="00E767DE" w:rsidR="00D77619" w:rsidP="004762A2" w:rsidRDefault="00D77619" w14:paraId="43BB008E" w14:textId="77777777">
            <w:pPr>
              <w:jc w:val="center"/>
              <w:rPr>
                <w:i/>
                <w:iCs/>
                <w:color w:val="000000"/>
                <w:sz w:val="22"/>
                <w:szCs w:val="22"/>
              </w:rPr>
            </w:pPr>
            <w:r w:rsidRPr="00E767DE">
              <w:rPr>
                <w:i/>
                <w:iCs/>
                <w:color w:val="000000"/>
                <w:sz w:val="22"/>
                <w:szCs w:val="22"/>
              </w:rPr>
              <w:t>Change</w:t>
            </w:r>
          </w:p>
        </w:tc>
        <w:tc>
          <w:tcPr>
            <w:tcW w:w="1378" w:type="dxa"/>
            <w:tcBorders>
              <w:top w:val="nil"/>
              <w:left w:val="single" w:color="auto" w:sz="4" w:space="0"/>
              <w:bottom w:val="single" w:color="auto" w:sz="4" w:space="0"/>
              <w:right w:val="single" w:color="auto" w:sz="4" w:space="0"/>
            </w:tcBorders>
            <w:shd w:val="clear" w:color="auto" w:fill="auto"/>
            <w:vAlign w:val="center"/>
            <w:hideMark/>
          </w:tcPr>
          <w:p w:rsidRPr="00E767DE" w:rsidR="00D77619" w:rsidP="004762A2" w:rsidRDefault="00D77619" w14:paraId="78111249" w14:textId="77777777">
            <w:pPr>
              <w:jc w:val="center"/>
              <w:rPr>
                <w:i/>
                <w:iCs/>
                <w:color w:val="000000"/>
                <w:sz w:val="22"/>
                <w:szCs w:val="22"/>
              </w:rPr>
            </w:pPr>
            <w:r w:rsidRPr="00E767DE">
              <w:rPr>
                <w:i/>
                <w:iCs/>
                <w:color w:val="000000"/>
                <w:sz w:val="22"/>
                <w:szCs w:val="22"/>
              </w:rPr>
              <w:t>Previously approved</w:t>
            </w:r>
          </w:p>
        </w:tc>
        <w:tc>
          <w:tcPr>
            <w:tcW w:w="1378" w:type="dxa"/>
            <w:tcBorders>
              <w:top w:val="nil"/>
              <w:left w:val="nil"/>
              <w:bottom w:val="single" w:color="auto" w:sz="4" w:space="0"/>
              <w:right w:val="single" w:color="auto" w:sz="4" w:space="0"/>
            </w:tcBorders>
            <w:shd w:val="clear" w:color="auto" w:fill="auto"/>
            <w:vAlign w:val="center"/>
            <w:hideMark/>
          </w:tcPr>
          <w:p w:rsidRPr="00E767DE" w:rsidR="00D77619" w:rsidP="004762A2" w:rsidRDefault="00D77619" w14:paraId="41F77E65" w14:textId="77777777">
            <w:pPr>
              <w:jc w:val="center"/>
              <w:rPr>
                <w:i/>
                <w:iCs/>
                <w:color w:val="000000"/>
                <w:sz w:val="22"/>
                <w:szCs w:val="22"/>
              </w:rPr>
            </w:pPr>
            <w:r w:rsidRPr="00E767DE">
              <w:rPr>
                <w:i/>
                <w:iCs/>
                <w:color w:val="000000"/>
                <w:sz w:val="22"/>
                <w:szCs w:val="22"/>
              </w:rPr>
              <w:t>Requested</w:t>
            </w:r>
          </w:p>
        </w:tc>
        <w:tc>
          <w:tcPr>
            <w:tcW w:w="1371" w:type="dxa"/>
            <w:tcBorders>
              <w:top w:val="nil"/>
              <w:left w:val="nil"/>
              <w:bottom w:val="nil"/>
              <w:right w:val="single" w:color="auto" w:sz="4" w:space="0"/>
            </w:tcBorders>
            <w:shd w:val="clear" w:color="auto" w:fill="auto"/>
            <w:vAlign w:val="center"/>
            <w:hideMark/>
          </w:tcPr>
          <w:p w:rsidRPr="00E767DE" w:rsidR="00D77619" w:rsidP="004762A2" w:rsidRDefault="00D77619" w14:paraId="4EB8B68B" w14:textId="77777777">
            <w:pPr>
              <w:jc w:val="center"/>
              <w:rPr>
                <w:i/>
                <w:iCs/>
                <w:color w:val="000000"/>
                <w:sz w:val="22"/>
                <w:szCs w:val="22"/>
              </w:rPr>
            </w:pPr>
            <w:r w:rsidRPr="00E767DE">
              <w:rPr>
                <w:i/>
                <w:iCs/>
                <w:color w:val="000000"/>
                <w:sz w:val="22"/>
                <w:szCs w:val="22"/>
              </w:rPr>
              <w:t>Change</w:t>
            </w:r>
          </w:p>
        </w:tc>
      </w:tr>
      <w:tr w:rsidRPr="00E767DE" w:rsidR="00141CED" w:rsidTr="00F77C81" w14:paraId="60978EDA" w14:textId="77777777">
        <w:trPr>
          <w:trHeight w:val="291"/>
        </w:trPr>
        <w:tc>
          <w:tcPr>
            <w:tcW w:w="1426"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767DE" w:rsidR="00D77619" w:rsidP="004762A2" w:rsidRDefault="00D77619" w14:paraId="5E2927D0" w14:textId="2C2ADAF9">
            <w:pPr>
              <w:jc w:val="center"/>
              <w:rPr>
                <w:color w:val="000000"/>
                <w:sz w:val="22"/>
                <w:szCs w:val="22"/>
              </w:rPr>
            </w:pPr>
            <w:r w:rsidRPr="004B2F69">
              <w:rPr>
                <w:color w:val="000000"/>
                <w:sz w:val="22"/>
                <w:szCs w:val="22"/>
              </w:rPr>
              <w:t>48,493</w:t>
            </w:r>
          </w:p>
        </w:tc>
        <w:tc>
          <w:tcPr>
            <w:tcW w:w="1562" w:type="dxa"/>
            <w:tcBorders>
              <w:top w:val="single" w:color="auto" w:sz="4" w:space="0"/>
              <w:left w:val="nil"/>
              <w:bottom w:val="single" w:color="auto" w:sz="4" w:space="0"/>
              <w:right w:val="single" w:color="auto" w:sz="4" w:space="0"/>
            </w:tcBorders>
            <w:shd w:val="clear" w:color="auto" w:fill="auto"/>
            <w:noWrap/>
            <w:vAlign w:val="bottom"/>
            <w:hideMark/>
          </w:tcPr>
          <w:p w:rsidRPr="00E767DE" w:rsidR="00D77619" w:rsidP="004762A2" w:rsidRDefault="00141CED" w14:paraId="6BE93CB0" w14:textId="65979C1B">
            <w:pPr>
              <w:jc w:val="center"/>
              <w:rPr>
                <w:color w:val="000000"/>
                <w:sz w:val="22"/>
                <w:szCs w:val="22"/>
              </w:rPr>
            </w:pPr>
            <w:r>
              <w:rPr>
                <w:color w:val="000000"/>
                <w:sz w:val="22"/>
                <w:szCs w:val="22"/>
              </w:rPr>
              <w:t>57,329</w:t>
            </w:r>
          </w:p>
        </w:tc>
        <w:tc>
          <w:tcPr>
            <w:tcW w:w="1691" w:type="dxa"/>
            <w:tcBorders>
              <w:top w:val="single" w:color="auto" w:sz="4" w:space="0"/>
              <w:left w:val="nil"/>
              <w:bottom w:val="single" w:color="auto" w:sz="4" w:space="0"/>
              <w:right w:val="single" w:color="auto" w:sz="4" w:space="0"/>
            </w:tcBorders>
            <w:shd w:val="clear" w:color="auto" w:fill="auto"/>
            <w:noWrap/>
            <w:vAlign w:val="bottom"/>
            <w:hideMark/>
          </w:tcPr>
          <w:p w:rsidRPr="00E767DE" w:rsidR="00D77619" w:rsidP="004762A2" w:rsidRDefault="00141CED" w14:paraId="6DCA1BE1" w14:textId="0C760834">
            <w:pPr>
              <w:jc w:val="center"/>
              <w:rPr>
                <w:color w:val="000000"/>
                <w:sz w:val="22"/>
                <w:szCs w:val="22"/>
              </w:rPr>
            </w:pPr>
            <w:r>
              <w:rPr>
                <w:color w:val="000000"/>
                <w:sz w:val="22"/>
                <w:szCs w:val="22"/>
              </w:rPr>
              <w:t>8,836</w:t>
            </w:r>
          </w:p>
        </w:tc>
        <w:tc>
          <w:tcPr>
            <w:tcW w:w="1378" w:type="dxa"/>
            <w:tcBorders>
              <w:top w:val="nil"/>
              <w:left w:val="single" w:color="auto" w:sz="4" w:space="0"/>
              <w:bottom w:val="single" w:color="auto" w:sz="4" w:space="0"/>
              <w:right w:val="single" w:color="auto" w:sz="4" w:space="0"/>
            </w:tcBorders>
            <w:shd w:val="clear" w:color="auto" w:fill="auto"/>
            <w:noWrap/>
            <w:vAlign w:val="bottom"/>
            <w:hideMark/>
          </w:tcPr>
          <w:p w:rsidRPr="00E767DE" w:rsidR="00D77619" w:rsidP="004762A2" w:rsidRDefault="00D77619" w14:paraId="7D9C6ECF" w14:textId="27255BCE">
            <w:pPr>
              <w:jc w:val="center"/>
              <w:rPr>
                <w:color w:val="000000"/>
                <w:sz w:val="22"/>
                <w:szCs w:val="22"/>
              </w:rPr>
            </w:pPr>
            <w:r w:rsidRPr="004B2F69">
              <w:rPr>
                <w:color w:val="000000"/>
                <w:sz w:val="22"/>
                <w:szCs w:val="22"/>
              </w:rPr>
              <w:t>7,274</w:t>
            </w:r>
          </w:p>
        </w:tc>
        <w:tc>
          <w:tcPr>
            <w:tcW w:w="1378" w:type="dxa"/>
            <w:tcBorders>
              <w:top w:val="nil"/>
              <w:left w:val="nil"/>
              <w:bottom w:val="single" w:color="auto" w:sz="4" w:space="0"/>
              <w:right w:val="single" w:color="auto" w:sz="4" w:space="0"/>
            </w:tcBorders>
            <w:shd w:val="clear" w:color="auto" w:fill="auto"/>
            <w:noWrap/>
            <w:vAlign w:val="bottom"/>
            <w:hideMark/>
          </w:tcPr>
          <w:p w:rsidRPr="00E767DE" w:rsidR="00D77619" w:rsidP="00AF0CFB" w:rsidRDefault="00141CED" w14:paraId="755406F0" w14:textId="48537ED9">
            <w:pPr>
              <w:jc w:val="center"/>
              <w:rPr>
                <w:color w:val="000000"/>
                <w:sz w:val="22"/>
                <w:szCs w:val="22"/>
              </w:rPr>
            </w:pPr>
            <w:r>
              <w:rPr>
                <w:sz w:val="22"/>
                <w:szCs w:val="22"/>
              </w:rPr>
              <w:t>17,199</w:t>
            </w:r>
          </w:p>
        </w:tc>
        <w:tc>
          <w:tcPr>
            <w:tcW w:w="1371" w:type="dxa"/>
            <w:tcBorders>
              <w:top w:val="single" w:color="auto" w:sz="4" w:space="0"/>
              <w:left w:val="nil"/>
              <w:bottom w:val="single" w:color="auto" w:sz="4" w:space="0"/>
              <w:right w:val="single" w:color="auto" w:sz="4" w:space="0"/>
            </w:tcBorders>
            <w:shd w:val="clear" w:color="auto" w:fill="auto"/>
            <w:noWrap/>
            <w:vAlign w:val="bottom"/>
            <w:hideMark/>
          </w:tcPr>
          <w:p w:rsidRPr="00E767DE" w:rsidR="00D77619" w:rsidP="00662D52" w:rsidRDefault="00141CED" w14:paraId="339B1C40" w14:textId="2E0E91A6">
            <w:pPr>
              <w:jc w:val="center"/>
              <w:rPr>
                <w:color w:val="000000"/>
                <w:sz w:val="22"/>
                <w:szCs w:val="22"/>
              </w:rPr>
            </w:pPr>
            <w:r>
              <w:rPr>
                <w:color w:val="000000"/>
                <w:sz w:val="22"/>
                <w:szCs w:val="22"/>
              </w:rPr>
              <w:t>9,925</w:t>
            </w:r>
          </w:p>
        </w:tc>
      </w:tr>
    </w:tbl>
    <w:p w:rsidR="00855F8A" w:rsidP="004C48C5" w:rsidRDefault="00855F8A" w14:paraId="7D4FD431" w14:textId="77777777">
      <w:pPr>
        <w:ind w:right="720"/>
      </w:pPr>
    </w:p>
    <w:p w:rsidRPr="00662D52" w:rsidR="00855F8A" w:rsidRDefault="00855F8A" w14:paraId="7D4FD432" w14:textId="77777777">
      <w:pPr>
        <w:numPr>
          <w:ilvl w:val="0"/>
          <w:numId w:val="3"/>
        </w:numPr>
        <w:ind w:right="720"/>
        <w:rPr>
          <w:b/>
          <w:u w:val="single"/>
        </w:rPr>
      </w:pPr>
      <w:r w:rsidRPr="00662D52">
        <w:rPr>
          <w:b/>
          <w:u w:val="single"/>
        </w:rPr>
        <w:t>Information Collections Planned for Statistical Purposes</w:t>
      </w:r>
    </w:p>
    <w:p w:rsidR="00855F8A" w:rsidRDefault="00855F8A" w14:paraId="7D4FD433" w14:textId="77777777">
      <w:pPr>
        <w:ind w:left="720" w:right="720"/>
      </w:pPr>
    </w:p>
    <w:p w:rsidR="00855F8A" w:rsidRDefault="00855F8A" w14:paraId="7D4FD434" w14:textId="77777777">
      <w:pPr>
        <w:ind w:left="1440" w:right="720"/>
      </w:pPr>
      <w:r>
        <w:t>Not applicable.</w:t>
      </w:r>
    </w:p>
    <w:p w:rsidR="00855F8A" w:rsidRDefault="00855F8A" w14:paraId="7D4FD435" w14:textId="77777777">
      <w:pPr>
        <w:ind w:right="720"/>
      </w:pPr>
    </w:p>
    <w:p w:rsidRPr="00662D52" w:rsidR="00855F8A" w:rsidRDefault="001260A9" w14:paraId="7D4FD436" w14:textId="77777777">
      <w:pPr>
        <w:numPr>
          <w:ilvl w:val="0"/>
          <w:numId w:val="3"/>
        </w:numPr>
        <w:ind w:right="720"/>
        <w:rPr>
          <w:b/>
          <w:u w:val="single"/>
        </w:rPr>
      </w:pPr>
      <w:r w:rsidRPr="00662D52">
        <w:rPr>
          <w:b/>
          <w:u w:val="single"/>
        </w:rPr>
        <w:t>Approval to Omit OMB Expiration Date</w:t>
      </w:r>
    </w:p>
    <w:p w:rsidR="00855F8A" w:rsidRDefault="00855F8A" w14:paraId="7D4FD437" w14:textId="77777777">
      <w:pPr>
        <w:ind w:left="720" w:right="720"/>
        <w:rPr>
          <w:u w:val="single"/>
        </w:rPr>
      </w:pPr>
    </w:p>
    <w:p w:rsidRPr="001260A9" w:rsidR="001260A9" w:rsidP="001260A9" w:rsidRDefault="001260A9" w14:paraId="7D4FD438" w14:textId="77777777">
      <w:pPr>
        <w:ind w:left="720" w:firstLine="720"/>
        <w:jc w:val="both"/>
        <w:rPr>
          <w:rFonts w:eastAsia="Calibri"/>
          <w:szCs w:val="24"/>
        </w:rPr>
      </w:pPr>
      <w:r w:rsidRPr="001260A9">
        <w:rPr>
          <w:rFonts w:eastAsia="Calibri"/>
          <w:szCs w:val="24"/>
        </w:rPr>
        <w:lastRenderedPageBreak/>
        <w:t xml:space="preserve">We request authorization to omit the expiration date on the electronic version of the form.  </w:t>
      </w:r>
      <w:r w:rsidRPr="001260A9">
        <w:rPr>
          <w:rFonts w:eastAsia="Calibri"/>
          <w:color w:val="000000"/>
          <w:szCs w:val="24"/>
        </w:rPr>
        <w:t>Including the expiration date on the electronic version of the form will result in increased costs, because the need to make changes to the form may not follow the application’s scheduled version release dates</w:t>
      </w:r>
      <w:r w:rsidRPr="001260A9">
        <w:rPr>
          <w:rFonts w:eastAsia="Calibri"/>
          <w:szCs w:val="24"/>
        </w:rPr>
        <w:t>. The OMB control number will be displayed.</w:t>
      </w:r>
    </w:p>
    <w:p w:rsidR="004C48C5" w:rsidRDefault="004C48C5" w14:paraId="7D4FD439" w14:textId="77777777">
      <w:pPr>
        <w:ind w:right="720"/>
      </w:pPr>
    </w:p>
    <w:p w:rsidRPr="00662D52" w:rsidR="00855F8A" w:rsidRDefault="00855F8A" w14:paraId="7D4FD43A" w14:textId="77777777">
      <w:pPr>
        <w:numPr>
          <w:ilvl w:val="0"/>
          <w:numId w:val="3"/>
        </w:numPr>
        <w:ind w:right="720"/>
        <w:rPr>
          <w:b/>
          <w:u w:val="single"/>
        </w:rPr>
      </w:pPr>
      <w:r w:rsidRPr="00662D52">
        <w:rPr>
          <w:b/>
          <w:u w:val="single"/>
        </w:rPr>
        <w:t>Exceptions to Certification</w:t>
      </w:r>
      <w:r w:rsidRPr="00662D52" w:rsidR="001260A9">
        <w:rPr>
          <w:b/>
          <w:u w:val="single"/>
        </w:rPr>
        <w:t xml:space="preserve"> for Paperwork Reduction Act Submissions</w:t>
      </w:r>
    </w:p>
    <w:p w:rsidR="00855F8A" w:rsidRDefault="00855F8A" w14:paraId="7D4FD43B" w14:textId="77777777">
      <w:pPr>
        <w:ind w:left="720" w:right="720"/>
      </w:pPr>
    </w:p>
    <w:p w:rsidR="00855F8A" w:rsidRDefault="00855F8A" w14:paraId="7D4FD43C" w14:textId="77777777">
      <w:pPr>
        <w:ind w:left="1440" w:right="720"/>
      </w:pPr>
      <w:r>
        <w:t>Not applicable.</w:t>
      </w:r>
    </w:p>
    <w:p w:rsidR="00855F8A" w:rsidRDefault="00855F8A" w14:paraId="7D4FD43E" w14:textId="77777777">
      <w:pPr>
        <w:ind w:right="720"/>
      </w:pPr>
    </w:p>
    <w:p w:rsidRPr="00662D52" w:rsidR="00855F8A" w:rsidRDefault="00855F8A" w14:paraId="7D4FD43F" w14:textId="77777777">
      <w:pPr>
        <w:ind w:right="720"/>
        <w:rPr>
          <w:b/>
        </w:rPr>
      </w:pPr>
      <w:r w:rsidRPr="00662D52">
        <w:rPr>
          <w:b/>
        </w:rPr>
        <w:t>B.</w:t>
      </w:r>
      <w:r w:rsidRPr="00662D52">
        <w:rPr>
          <w:b/>
        </w:rPr>
        <w:tab/>
      </w:r>
      <w:r w:rsidRPr="00662D52" w:rsidR="00D15389">
        <w:rPr>
          <w:b/>
        </w:rPr>
        <w:t>STATISTICAL METHODS</w:t>
      </w:r>
    </w:p>
    <w:p w:rsidR="00855F8A" w:rsidRDefault="00855F8A" w14:paraId="7D4FD440" w14:textId="77777777">
      <w:pPr>
        <w:ind w:right="720"/>
      </w:pPr>
    </w:p>
    <w:p w:rsidR="00855F8A" w:rsidRDefault="00855F8A" w14:paraId="7D4FD441" w14:textId="77777777">
      <w:pPr>
        <w:ind w:right="720"/>
      </w:pPr>
      <w:r>
        <w:tab/>
        <w:t>Not applicable.</w:t>
      </w:r>
    </w:p>
    <w:sectPr w:rsidR="00855F8A" w:rsidSect="00553AB6">
      <w:headerReference w:type="even" r:id="rId12"/>
      <w:footerReference w:type="default" r:id="rId13"/>
      <w:type w:val="continuous"/>
      <w:pgSz w:w="12240" w:h="15840" w:code="1"/>
      <w:pgMar w:top="1440" w:right="1440" w:bottom="1440" w:left="1440" w:header="864"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8D8F" w14:textId="77777777" w:rsidR="00670C17" w:rsidRDefault="00670C17">
      <w:r>
        <w:separator/>
      </w:r>
    </w:p>
  </w:endnote>
  <w:endnote w:type="continuationSeparator" w:id="0">
    <w:p w14:paraId="1EA03ADD" w14:textId="77777777" w:rsidR="00670C17" w:rsidRDefault="0067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878142"/>
      <w:docPartObj>
        <w:docPartGallery w:val="Page Numbers (Bottom of Page)"/>
        <w:docPartUnique/>
      </w:docPartObj>
    </w:sdtPr>
    <w:sdtEndPr>
      <w:rPr>
        <w:noProof/>
      </w:rPr>
    </w:sdtEndPr>
    <w:sdtContent>
      <w:p w14:paraId="2BEC5797" w14:textId="2812E889" w:rsidR="00B61DEB" w:rsidRDefault="00B61DEB">
        <w:pPr>
          <w:pStyle w:val="Footer"/>
          <w:jc w:val="center"/>
        </w:pPr>
        <w:r>
          <w:fldChar w:fldCharType="begin"/>
        </w:r>
        <w:r>
          <w:instrText xml:space="preserve"> PAGE   \* MERGEFORMAT </w:instrText>
        </w:r>
        <w:r>
          <w:fldChar w:fldCharType="separate"/>
        </w:r>
        <w:r w:rsidR="00C0565B">
          <w:rPr>
            <w:noProof/>
          </w:rPr>
          <w:t>4</w:t>
        </w:r>
        <w:r>
          <w:rPr>
            <w:noProof/>
          </w:rPr>
          <w:fldChar w:fldCharType="end"/>
        </w:r>
      </w:p>
    </w:sdtContent>
  </w:sdt>
  <w:p w14:paraId="45EC1CCD" w14:textId="77777777" w:rsidR="00B61DEB" w:rsidRDefault="00B61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C085" w14:textId="77777777" w:rsidR="00670C17" w:rsidRDefault="00670C17">
      <w:r>
        <w:separator/>
      </w:r>
    </w:p>
  </w:footnote>
  <w:footnote w:type="continuationSeparator" w:id="0">
    <w:p w14:paraId="4B2DC3FD" w14:textId="77777777" w:rsidR="00670C17" w:rsidRDefault="00670C17">
      <w:r>
        <w:continuationSeparator/>
      </w:r>
    </w:p>
  </w:footnote>
  <w:footnote w:id="1">
    <w:p w14:paraId="547B4F67" w14:textId="77777777" w:rsidR="00553AB6" w:rsidRPr="00C8451F" w:rsidRDefault="00553AB6" w:rsidP="00F77C81">
      <w:pPr>
        <w:pStyle w:val="FootnoteText"/>
        <w:spacing w:after="120"/>
        <w:rPr>
          <w:sz w:val="22"/>
          <w:szCs w:val="22"/>
        </w:rPr>
      </w:pPr>
      <w:r w:rsidRPr="00C8451F">
        <w:rPr>
          <w:rStyle w:val="FootnoteReference"/>
          <w:sz w:val="22"/>
          <w:szCs w:val="22"/>
        </w:rPr>
        <w:footnoteRef/>
      </w:r>
      <w:r w:rsidRPr="00C8451F">
        <w:rPr>
          <w:sz w:val="22"/>
          <w:szCs w:val="22"/>
        </w:rPr>
        <w:t xml:space="preserve"> An “authorized individual” for purposes of Form ID notarization process includes, for example, the Chief Executive Officer, Chief Financial Officer, partner, corporate secretary, officer, director, or treasurer of a company filer; or for individual filers, the individual filer or a person with a power of attorney from the individual filer.  </w:t>
      </w:r>
      <w:r w:rsidRPr="00C8451F">
        <w:rPr>
          <w:i/>
          <w:sz w:val="22"/>
          <w:szCs w:val="22"/>
        </w:rPr>
        <w:t>See</w:t>
      </w:r>
      <w:r w:rsidRPr="00C8451F">
        <w:rPr>
          <w:sz w:val="22"/>
          <w:szCs w:val="22"/>
        </w:rPr>
        <w:t xml:space="preserve"> EDGAR Filer Manual, Volume I, at Section 3.</w:t>
      </w:r>
    </w:p>
  </w:footnote>
  <w:footnote w:id="2">
    <w:p w14:paraId="6C9E2D3A" w14:textId="4B112E42" w:rsidR="00553AB6" w:rsidRPr="00C8451F" w:rsidRDefault="00553AB6" w:rsidP="00F77C81">
      <w:pPr>
        <w:pStyle w:val="FootnoteText"/>
        <w:spacing w:after="120"/>
        <w:rPr>
          <w:sz w:val="22"/>
          <w:szCs w:val="22"/>
        </w:rPr>
      </w:pPr>
      <w:r w:rsidRPr="00C8451F">
        <w:rPr>
          <w:rStyle w:val="FootnoteReference"/>
          <w:sz w:val="22"/>
          <w:szCs w:val="22"/>
        </w:rPr>
        <w:footnoteRef/>
      </w:r>
      <w:r w:rsidRPr="00C8451F">
        <w:rPr>
          <w:sz w:val="22"/>
          <w:szCs w:val="22"/>
        </w:rPr>
        <w:t xml:space="preserve"> </w:t>
      </w:r>
      <w:r>
        <w:rPr>
          <w:sz w:val="22"/>
          <w:szCs w:val="22"/>
        </w:rPr>
        <w:t xml:space="preserve">The </w:t>
      </w:r>
      <w:r w:rsidRPr="00C8451F">
        <w:rPr>
          <w:sz w:val="22"/>
          <w:szCs w:val="22"/>
        </w:rPr>
        <w:t xml:space="preserve">manual passphrase </w:t>
      </w:r>
      <w:r>
        <w:rPr>
          <w:sz w:val="22"/>
          <w:szCs w:val="22"/>
        </w:rPr>
        <w:t xml:space="preserve">update </w:t>
      </w:r>
      <w:r w:rsidRPr="00C8451F">
        <w:rPr>
          <w:sz w:val="22"/>
          <w:szCs w:val="22"/>
        </w:rPr>
        <w:t xml:space="preserve">request </w:t>
      </w:r>
      <w:r>
        <w:rPr>
          <w:sz w:val="22"/>
          <w:szCs w:val="22"/>
        </w:rPr>
        <w:t xml:space="preserve">is submitted by filers who do not possess </w:t>
      </w:r>
      <w:r w:rsidRPr="00C8451F">
        <w:rPr>
          <w:sz w:val="22"/>
          <w:szCs w:val="22"/>
        </w:rPr>
        <w:t xml:space="preserve">access </w:t>
      </w:r>
      <w:r>
        <w:rPr>
          <w:sz w:val="22"/>
          <w:szCs w:val="22"/>
        </w:rPr>
        <w:t xml:space="preserve">codes for </w:t>
      </w:r>
      <w:r w:rsidRPr="00C8451F">
        <w:rPr>
          <w:sz w:val="22"/>
          <w:szCs w:val="22"/>
        </w:rPr>
        <w:t xml:space="preserve">their existing EDGAR accounts </w:t>
      </w:r>
      <w:r>
        <w:rPr>
          <w:sz w:val="22"/>
          <w:szCs w:val="22"/>
        </w:rPr>
        <w:t xml:space="preserve">when </w:t>
      </w:r>
      <w:r w:rsidRPr="00C8451F">
        <w:rPr>
          <w:sz w:val="22"/>
          <w:szCs w:val="22"/>
        </w:rPr>
        <w:t xml:space="preserve">the contact email address </w:t>
      </w:r>
      <w:r>
        <w:rPr>
          <w:sz w:val="22"/>
          <w:szCs w:val="22"/>
        </w:rPr>
        <w:t xml:space="preserve">on their existing account </w:t>
      </w:r>
      <w:r w:rsidRPr="00C8451F">
        <w:rPr>
          <w:sz w:val="22"/>
          <w:szCs w:val="22"/>
        </w:rPr>
        <w:t xml:space="preserve">is not </w:t>
      </w:r>
      <w:r>
        <w:rPr>
          <w:sz w:val="22"/>
          <w:szCs w:val="22"/>
        </w:rPr>
        <w:t>accurate.</w:t>
      </w:r>
      <w:r w:rsidRPr="00C8451F">
        <w:rPr>
          <w:sz w:val="22"/>
          <w:szCs w:val="22"/>
        </w:rPr>
        <w:t xml:space="preserve"> </w:t>
      </w:r>
      <w:r>
        <w:rPr>
          <w:sz w:val="22"/>
          <w:szCs w:val="22"/>
        </w:rPr>
        <w:t xml:space="preserve"> </w:t>
      </w:r>
      <w:r w:rsidRPr="00C8451F">
        <w:rPr>
          <w:sz w:val="22"/>
          <w:szCs w:val="22"/>
        </w:rPr>
        <w:t>(</w:t>
      </w:r>
      <w:r>
        <w:rPr>
          <w:sz w:val="22"/>
          <w:szCs w:val="22"/>
        </w:rPr>
        <w:t xml:space="preserve">If the contact email address were accurate, they would be able to </w:t>
      </w:r>
      <w:r w:rsidRPr="00C8451F">
        <w:rPr>
          <w:sz w:val="22"/>
          <w:szCs w:val="22"/>
        </w:rPr>
        <w:t>receive a security token</w:t>
      </w:r>
      <w:r>
        <w:rPr>
          <w:sz w:val="22"/>
          <w:szCs w:val="22"/>
        </w:rPr>
        <w:t xml:space="preserve"> to allow them to regain access without engaging in the manual passphrase update request process.</w:t>
      </w:r>
      <w:r w:rsidRPr="00C8451F">
        <w:rPr>
          <w:sz w:val="22"/>
          <w:szCs w:val="22"/>
        </w:rPr>
        <w:t>)</w:t>
      </w:r>
    </w:p>
  </w:footnote>
  <w:footnote w:id="3">
    <w:p w14:paraId="0B39F60C" w14:textId="77777777" w:rsidR="00553AB6" w:rsidRPr="00C8451F" w:rsidRDefault="00553AB6" w:rsidP="00F77C81">
      <w:pPr>
        <w:pStyle w:val="FootnoteText"/>
        <w:spacing w:after="120"/>
        <w:rPr>
          <w:sz w:val="22"/>
          <w:szCs w:val="22"/>
        </w:rPr>
      </w:pPr>
      <w:r w:rsidRPr="00C8451F">
        <w:rPr>
          <w:rStyle w:val="FootnoteReference"/>
          <w:sz w:val="22"/>
          <w:szCs w:val="22"/>
        </w:rPr>
        <w:footnoteRef/>
      </w:r>
      <w:r w:rsidRPr="00C8451F">
        <w:rPr>
          <w:sz w:val="22"/>
          <w:szCs w:val="22"/>
        </w:rPr>
        <w:t xml:space="preserve"> </w:t>
      </w:r>
      <w:r w:rsidRPr="00C8451F">
        <w:rPr>
          <w:i/>
          <w:sz w:val="22"/>
          <w:szCs w:val="22"/>
        </w:rPr>
        <w:t>See</w:t>
      </w:r>
      <w:r w:rsidRPr="00C8451F">
        <w:rPr>
          <w:sz w:val="22"/>
          <w:szCs w:val="22"/>
        </w:rPr>
        <w:t xml:space="preserve"> EDGAR Filer Manual, Volume I, at Section 4.  </w:t>
      </w:r>
      <w:r w:rsidRPr="00C8451F">
        <w:rPr>
          <w:i/>
          <w:sz w:val="22"/>
          <w:szCs w:val="22"/>
        </w:rPr>
        <w:t>See also</w:t>
      </w:r>
      <w:r w:rsidRPr="00C8451F">
        <w:rPr>
          <w:sz w:val="22"/>
          <w:szCs w:val="22"/>
        </w:rPr>
        <w:t xml:space="preserve"> Adoption of Updated EDGAR Filer Manual, Release No. 33-10948 (Jun. 21, 2021) [86 FR 40308 (Jul. 28, 2021)].</w:t>
      </w:r>
    </w:p>
  </w:footnote>
  <w:footnote w:id="4">
    <w:p w14:paraId="46D218D5" w14:textId="4DB33B44" w:rsidR="00040219" w:rsidRPr="00A4130C" w:rsidRDefault="00040219" w:rsidP="00F77C81">
      <w:pPr>
        <w:pStyle w:val="FootnoteText"/>
        <w:spacing w:after="120"/>
      </w:pPr>
      <w:r w:rsidRPr="003071F7">
        <w:rPr>
          <w:rStyle w:val="FootnoteReference"/>
        </w:rPr>
        <w:footnoteRef/>
      </w:r>
      <w:r w:rsidRPr="003071F7">
        <w:t xml:space="preserve"> We base this estimate on the average nu</w:t>
      </w:r>
      <w:r w:rsidRPr="00A4130C">
        <w:t xml:space="preserve">mber of filers with CIKs who have </w:t>
      </w:r>
      <w:r>
        <w:t xml:space="preserve">sought to reaccess </w:t>
      </w:r>
      <w:r w:rsidRPr="00A4130C">
        <w:t xml:space="preserve">EDGAR for the past three </w:t>
      </w:r>
      <w:r w:rsidR="00662D52">
        <w:t xml:space="preserve">federal </w:t>
      </w:r>
      <w:r w:rsidRPr="00A4130C">
        <w:t>fiscal years.  ((</w:t>
      </w:r>
      <w:r>
        <w:t xml:space="preserve">6,871 </w:t>
      </w:r>
      <w:r w:rsidR="00662D52">
        <w:t xml:space="preserve">filings per year </w:t>
      </w:r>
      <w:r>
        <w:t>+ 7,978</w:t>
      </w:r>
      <w:r w:rsidR="00662D52" w:rsidRPr="00662D52">
        <w:t xml:space="preserve"> </w:t>
      </w:r>
      <w:r w:rsidR="00662D52">
        <w:t>filings per year</w:t>
      </w:r>
      <w:r w:rsidR="00141CED">
        <w:t xml:space="preserve"> + 11,659 filings per year</w:t>
      </w:r>
      <w:r>
        <w:t>) / 3</w:t>
      </w:r>
      <w:r w:rsidR="00662D52">
        <w:t xml:space="preserve"> years</w:t>
      </w:r>
      <w:r>
        <w:t xml:space="preserve">) = </w:t>
      </w:r>
      <w:r w:rsidR="00662D52">
        <w:t xml:space="preserve">average of </w:t>
      </w:r>
      <w:r w:rsidR="00141CED">
        <w:t>8,836</w:t>
      </w:r>
      <w:r w:rsidR="00662D52">
        <w:t xml:space="preserve"> filings per year</w:t>
      </w:r>
      <w:r w:rsidRPr="00A4130C">
        <w:t xml:space="preserve">.  </w:t>
      </w:r>
    </w:p>
  </w:footnote>
  <w:footnote w:id="5">
    <w:p w14:paraId="623499A0" w14:textId="482E3E8A" w:rsidR="00F77C81" w:rsidRDefault="00F77C81" w:rsidP="00F77C81">
      <w:pPr>
        <w:pStyle w:val="FootnoteText"/>
        <w:spacing w:after="120"/>
      </w:pPr>
      <w:r>
        <w:rPr>
          <w:rStyle w:val="FootnoteReference"/>
        </w:rPr>
        <w:footnoteRef/>
      </w:r>
      <w:r>
        <w:t xml:space="preserve"> </w:t>
      </w:r>
      <w:r w:rsidRPr="00F77C81">
        <w:t xml:space="preserve">48,493 filings + </w:t>
      </w:r>
      <w:r w:rsidR="00141CED">
        <w:t>8,836</w:t>
      </w:r>
      <w:r w:rsidRPr="00F77C81">
        <w:t xml:space="preserve"> filings  = </w:t>
      </w:r>
      <w:r w:rsidR="00141CED">
        <w:t>57,329</w:t>
      </w:r>
      <w:r w:rsidRPr="00F77C81">
        <w:t xml:space="preserve"> filings.</w:t>
      </w:r>
    </w:p>
  </w:footnote>
  <w:footnote w:id="6">
    <w:p w14:paraId="528F46B5" w14:textId="485E32EE" w:rsidR="002F2790" w:rsidRDefault="002F2790" w:rsidP="00F77C81">
      <w:pPr>
        <w:pStyle w:val="FootnoteText"/>
        <w:spacing w:after="120"/>
      </w:pPr>
      <w:r>
        <w:rPr>
          <w:rStyle w:val="FootnoteReference"/>
        </w:rPr>
        <w:footnoteRef/>
      </w:r>
      <w:r>
        <w:t xml:space="preserve"> </w:t>
      </w:r>
      <w:r w:rsidR="00141CED">
        <w:t>57,329</w:t>
      </w:r>
      <w:r w:rsidR="00141CED" w:rsidRPr="00F77C81">
        <w:t xml:space="preserve"> </w:t>
      </w:r>
      <w:r w:rsidRPr="00F77C81">
        <w:t xml:space="preserve">filings x 0.30 hours/filing = </w:t>
      </w:r>
      <w:r w:rsidR="00141CED">
        <w:t>17,199</w:t>
      </w:r>
      <w:r w:rsidRPr="00F77C81">
        <w:t xml:space="preserve"> hours.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FD446" w14:textId="77777777" w:rsidR="0033324F" w:rsidRDefault="003332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4FD447" w14:textId="77777777" w:rsidR="0033324F" w:rsidRDefault="0033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6E3900"/>
    <w:multiLevelType w:val="hybridMultilevel"/>
    <w:tmpl w:val="C8AE6504"/>
    <w:lvl w:ilvl="0" w:tplc="33A4AAD0">
      <w:start w:val="1"/>
      <w:numFmt w:val="decimal"/>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D2313A"/>
    <w:multiLevelType w:val="hybridMultilevel"/>
    <w:tmpl w:val="AA04E40C"/>
    <w:lvl w:ilvl="0" w:tplc="21E014EA">
      <w:start w:val="1"/>
      <w:numFmt w:val="decimal"/>
      <w:lvlText w:val="%1."/>
      <w:lvlJc w:val="left"/>
      <w:pPr>
        <w:tabs>
          <w:tab w:val="num" w:pos="1440"/>
        </w:tabs>
        <w:ind w:left="1440" w:hanging="720"/>
      </w:pPr>
      <w:rPr>
        <w:rFonts w:hint="default"/>
        <w:u w:val="none"/>
      </w:rPr>
    </w:lvl>
    <w:lvl w:ilvl="1" w:tplc="55FAE122">
      <w:start w:val="2"/>
      <w:numFmt w:val="upperLetter"/>
      <w:lvlText w:val="%2."/>
      <w:lvlJc w:val="left"/>
      <w:pPr>
        <w:tabs>
          <w:tab w:val="num" w:pos="2160"/>
        </w:tabs>
        <w:ind w:left="216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84D42FC"/>
    <w:multiLevelType w:val="hybridMultilevel"/>
    <w:tmpl w:val="E1180DAC"/>
    <w:lvl w:ilvl="0" w:tplc="17BC092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F8A"/>
    <w:rsid w:val="0002239F"/>
    <w:rsid w:val="00023160"/>
    <w:rsid w:val="00023BCA"/>
    <w:rsid w:val="00025487"/>
    <w:rsid w:val="000310AC"/>
    <w:rsid w:val="00031664"/>
    <w:rsid w:val="00040219"/>
    <w:rsid w:val="0004406A"/>
    <w:rsid w:val="00044259"/>
    <w:rsid w:val="00084774"/>
    <w:rsid w:val="00086D2A"/>
    <w:rsid w:val="00090E38"/>
    <w:rsid w:val="000A55B0"/>
    <w:rsid w:val="000B0978"/>
    <w:rsid w:val="000B0E70"/>
    <w:rsid w:val="000B6828"/>
    <w:rsid w:val="000C4AD4"/>
    <w:rsid w:val="001011F1"/>
    <w:rsid w:val="00117E43"/>
    <w:rsid w:val="00122C1B"/>
    <w:rsid w:val="001260A9"/>
    <w:rsid w:val="00132DB1"/>
    <w:rsid w:val="00141CED"/>
    <w:rsid w:val="00146FA3"/>
    <w:rsid w:val="00150AE5"/>
    <w:rsid w:val="001721DD"/>
    <w:rsid w:val="00193D52"/>
    <w:rsid w:val="00195FF5"/>
    <w:rsid w:val="001A751E"/>
    <w:rsid w:val="001B1FCF"/>
    <w:rsid w:val="001B47B9"/>
    <w:rsid w:val="001C03F9"/>
    <w:rsid w:val="001D370C"/>
    <w:rsid w:val="001F75CC"/>
    <w:rsid w:val="002069C6"/>
    <w:rsid w:val="00253AB1"/>
    <w:rsid w:val="00257A5F"/>
    <w:rsid w:val="002B0E7C"/>
    <w:rsid w:val="002B1BB3"/>
    <w:rsid w:val="002C154A"/>
    <w:rsid w:val="002D4B53"/>
    <w:rsid w:val="002F2790"/>
    <w:rsid w:val="003003F2"/>
    <w:rsid w:val="003022B6"/>
    <w:rsid w:val="003229C0"/>
    <w:rsid w:val="0032608A"/>
    <w:rsid w:val="00327DB3"/>
    <w:rsid w:val="0033324F"/>
    <w:rsid w:val="00334DEA"/>
    <w:rsid w:val="00374935"/>
    <w:rsid w:val="003A498F"/>
    <w:rsid w:val="003C7F71"/>
    <w:rsid w:val="003D20EC"/>
    <w:rsid w:val="003D3DD8"/>
    <w:rsid w:val="003D6A4D"/>
    <w:rsid w:val="003E6024"/>
    <w:rsid w:val="00401826"/>
    <w:rsid w:val="004019C3"/>
    <w:rsid w:val="00401EED"/>
    <w:rsid w:val="004112CD"/>
    <w:rsid w:val="004147DA"/>
    <w:rsid w:val="004206FE"/>
    <w:rsid w:val="00424B27"/>
    <w:rsid w:val="00454AA9"/>
    <w:rsid w:val="0045733D"/>
    <w:rsid w:val="00461621"/>
    <w:rsid w:val="00470688"/>
    <w:rsid w:val="004762A2"/>
    <w:rsid w:val="00487562"/>
    <w:rsid w:val="00494567"/>
    <w:rsid w:val="004B3FBB"/>
    <w:rsid w:val="004B4435"/>
    <w:rsid w:val="004C48C5"/>
    <w:rsid w:val="004C75E9"/>
    <w:rsid w:val="004D1CE3"/>
    <w:rsid w:val="004D1FE7"/>
    <w:rsid w:val="004D2FA4"/>
    <w:rsid w:val="004D730A"/>
    <w:rsid w:val="004E4156"/>
    <w:rsid w:val="004F50E6"/>
    <w:rsid w:val="00500849"/>
    <w:rsid w:val="00511DB4"/>
    <w:rsid w:val="0055389A"/>
    <w:rsid w:val="00553AB6"/>
    <w:rsid w:val="005B1561"/>
    <w:rsid w:val="0060119D"/>
    <w:rsid w:val="006011D0"/>
    <w:rsid w:val="00611C0B"/>
    <w:rsid w:val="00624987"/>
    <w:rsid w:val="00627017"/>
    <w:rsid w:val="00646785"/>
    <w:rsid w:val="00662D52"/>
    <w:rsid w:val="00666293"/>
    <w:rsid w:val="00670C17"/>
    <w:rsid w:val="00697E47"/>
    <w:rsid w:val="006A0C76"/>
    <w:rsid w:val="006A32E2"/>
    <w:rsid w:val="006A64EC"/>
    <w:rsid w:val="006A7C55"/>
    <w:rsid w:val="006D4201"/>
    <w:rsid w:val="006D4493"/>
    <w:rsid w:val="006F2AAB"/>
    <w:rsid w:val="006F5402"/>
    <w:rsid w:val="007035B8"/>
    <w:rsid w:val="007069A3"/>
    <w:rsid w:val="00736066"/>
    <w:rsid w:val="00770C87"/>
    <w:rsid w:val="00787FA9"/>
    <w:rsid w:val="0079546B"/>
    <w:rsid w:val="007C0729"/>
    <w:rsid w:val="007E49C2"/>
    <w:rsid w:val="007F103A"/>
    <w:rsid w:val="0080206E"/>
    <w:rsid w:val="00815A88"/>
    <w:rsid w:val="008206FA"/>
    <w:rsid w:val="00824C0F"/>
    <w:rsid w:val="00852DFB"/>
    <w:rsid w:val="00855F8A"/>
    <w:rsid w:val="00865DC9"/>
    <w:rsid w:val="00881D2A"/>
    <w:rsid w:val="00892E94"/>
    <w:rsid w:val="008A2492"/>
    <w:rsid w:val="008A6241"/>
    <w:rsid w:val="008C0524"/>
    <w:rsid w:val="008C476D"/>
    <w:rsid w:val="008C7048"/>
    <w:rsid w:val="008E6FC3"/>
    <w:rsid w:val="008F4D9C"/>
    <w:rsid w:val="009002FF"/>
    <w:rsid w:val="009471EE"/>
    <w:rsid w:val="00954648"/>
    <w:rsid w:val="00967176"/>
    <w:rsid w:val="00967EAA"/>
    <w:rsid w:val="00976E53"/>
    <w:rsid w:val="009771E7"/>
    <w:rsid w:val="00977A8F"/>
    <w:rsid w:val="00981A49"/>
    <w:rsid w:val="009941FC"/>
    <w:rsid w:val="009962FE"/>
    <w:rsid w:val="009A0017"/>
    <w:rsid w:val="009A3CB1"/>
    <w:rsid w:val="009D1218"/>
    <w:rsid w:val="009D566A"/>
    <w:rsid w:val="009E7B01"/>
    <w:rsid w:val="009F3182"/>
    <w:rsid w:val="00A1477B"/>
    <w:rsid w:val="00A1786C"/>
    <w:rsid w:val="00A412B7"/>
    <w:rsid w:val="00A51EAA"/>
    <w:rsid w:val="00A5427D"/>
    <w:rsid w:val="00A6666B"/>
    <w:rsid w:val="00A81C8E"/>
    <w:rsid w:val="00A85B11"/>
    <w:rsid w:val="00A91AAF"/>
    <w:rsid w:val="00A930D3"/>
    <w:rsid w:val="00A94C4E"/>
    <w:rsid w:val="00A964C9"/>
    <w:rsid w:val="00AA3A4D"/>
    <w:rsid w:val="00AB33D9"/>
    <w:rsid w:val="00AC330C"/>
    <w:rsid w:val="00AD6BFC"/>
    <w:rsid w:val="00AF0CFB"/>
    <w:rsid w:val="00AF6708"/>
    <w:rsid w:val="00B0523F"/>
    <w:rsid w:val="00B10F39"/>
    <w:rsid w:val="00B17734"/>
    <w:rsid w:val="00B27221"/>
    <w:rsid w:val="00B27535"/>
    <w:rsid w:val="00B51A22"/>
    <w:rsid w:val="00B543AB"/>
    <w:rsid w:val="00B55347"/>
    <w:rsid w:val="00B61DEB"/>
    <w:rsid w:val="00B75C91"/>
    <w:rsid w:val="00B832F7"/>
    <w:rsid w:val="00B92ACF"/>
    <w:rsid w:val="00BA52E6"/>
    <w:rsid w:val="00BB5378"/>
    <w:rsid w:val="00BF6D1E"/>
    <w:rsid w:val="00C0565B"/>
    <w:rsid w:val="00C55407"/>
    <w:rsid w:val="00C65E76"/>
    <w:rsid w:val="00C82C13"/>
    <w:rsid w:val="00CA7603"/>
    <w:rsid w:val="00CD3873"/>
    <w:rsid w:val="00CD5548"/>
    <w:rsid w:val="00CE0350"/>
    <w:rsid w:val="00D15389"/>
    <w:rsid w:val="00D237E0"/>
    <w:rsid w:val="00D341A3"/>
    <w:rsid w:val="00D34645"/>
    <w:rsid w:val="00D57BA2"/>
    <w:rsid w:val="00D77619"/>
    <w:rsid w:val="00E102E2"/>
    <w:rsid w:val="00E10383"/>
    <w:rsid w:val="00E2668C"/>
    <w:rsid w:val="00E535EF"/>
    <w:rsid w:val="00E65FC0"/>
    <w:rsid w:val="00E767DE"/>
    <w:rsid w:val="00E816C5"/>
    <w:rsid w:val="00E931D1"/>
    <w:rsid w:val="00EA5144"/>
    <w:rsid w:val="00ED4894"/>
    <w:rsid w:val="00F560B7"/>
    <w:rsid w:val="00F612E2"/>
    <w:rsid w:val="00F75428"/>
    <w:rsid w:val="00F77C81"/>
    <w:rsid w:val="00FA3F22"/>
    <w:rsid w:val="00FC073F"/>
    <w:rsid w:val="00FD5F7B"/>
    <w:rsid w:val="00FD65A8"/>
    <w:rsid w:val="00FE2810"/>
    <w:rsid w:val="00FE45F6"/>
    <w:rsid w:val="00FE48E3"/>
    <w:rsid w:val="00FE5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FD3ED"/>
  <w15:docId w15:val="{5D915930-56D8-4907-85B3-F86E387CA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numPr>
        <w:numId w:val="1"/>
      </w:numPr>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2160" w:right="720"/>
    </w:pPr>
  </w:style>
  <w:style w:type="paragraph" w:styleId="BodyTextIndent">
    <w:name w:val="Body Text Indent"/>
    <w:basedOn w:val="Normal"/>
    <w:pPr>
      <w:ind w:left="1440"/>
    </w:pPr>
  </w:style>
  <w:style w:type="paragraph" w:styleId="BodyText">
    <w:name w:val="Body Text"/>
    <w:basedOn w:val="Normal"/>
    <w:link w:val="BodyTextChar"/>
    <w:rsid w:val="001260A9"/>
    <w:pPr>
      <w:spacing w:after="120"/>
    </w:pPr>
  </w:style>
  <w:style w:type="character" w:customStyle="1" w:styleId="BodyTextChar">
    <w:name w:val="Body Text Char"/>
    <w:link w:val="BodyText"/>
    <w:rsid w:val="001260A9"/>
    <w:rPr>
      <w:sz w:val="24"/>
    </w:rPr>
  </w:style>
  <w:style w:type="paragraph" w:styleId="BalloonText">
    <w:name w:val="Balloon Text"/>
    <w:basedOn w:val="Normal"/>
    <w:link w:val="BalloonTextChar"/>
    <w:rsid w:val="00D15389"/>
    <w:rPr>
      <w:rFonts w:ascii="Tahoma" w:hAnsi="Tahoma" w:cs="Tahoma"/>
      <w:sz w:val="16"/>
      <w:szCs w:val="16"/>
    </w:rPr>
  </w:style>
  <w:style w:type="character" w:customStyle="1" w:styleId="BalloonTextChar">
    <w:name w:val="Balloon Text Char"/>
    <w:link w:val="BalloonText"/>
    <w:rsid w:val="00D15389"/>
    <w:rPr>
      <w:rFonts w:ascii="Tahoma" w:hAnsi="Tahoma" w:cs="Tahoma"/>
      <w:sz w:val="16"/>
      <w:szCs w:val="16"/>
    </w:rPr>
  </w:style>
  <w:style w:type="character" w:styleId="Hyperlink">
    <w:name w:val="Hyperlink"/>
    <w:rsid w:val="00954648"/>
    <w:rPr>
      <w:color w:val="0000FF"/>
      <w:u w:val="single"/>
    </w:rPr>
  </w:style>
  <w:style w:type="paragraph" w:styleId="Footer">
    <w:name w:val="footer"/>
    <w:basedOn w:val="Normal"/>
    <w:link w:val="FooterChar"/>
    <w:uiPriority w:val="99"/>
    <w:unhideWhenUsed/>
    <w:rsid w:val="003D3DD8"/>
    <w:pPr>
      <w:tabs>
        <w:tab w:val="center" w:pos="4680"/>
        <w:tab w:val="right" w:pos="9360"/>
      </w:tabs>
    </w:pPr>
  </w:style>
  <w:style w:type="character" w:customStyle="1" w:styleId="FooterChar">
    <w:name w:val="Footer Char"/>
    <w:basedOn w:val="DefaultParagraphFont"/>
    <w:link w:val="Footer"/>
    <w:uiPriority w:val="99"/>
    <w:rsid w:val="003D3DD8"/>
    <w:rPr>
      <w:sz w:val="24"/>
    </w:rPr>
  </w:style>
  <w:style w:type="character" w:styleId="CommentReference">
    <w:name w:val="annotation reference"/>
    <w:basedOn w:val="DefaultParagraphFont"/>
    <w:uiPriority w:val="99"/>
    <w:semiHidden/>
    <w:unhideWhenUsed/>
    <w:rsid w:val="002C154A"/>
    <w:rPr>
      <w:sz w:val="16"/>
      <w:szCs w:val="16"/>
    </w:rPr>
  </w:style>
  <w:style w:type="paragraph" w:styleId="CommentText">
    <w:name w:val="annotation text"/>
    <w:basedOn w:val="Normal"/>
    <w:link w:val="CommentTextChar"/>
    <w:uiPriority w:val="99"/>
    <w:unhideWhenUsed/>
    <w:rsid w:val="002C154A"/>
    <w:rPr>
      <w:sz w:val="20"/>
    </w:rPr>
  </w:style>
  <w:style w:type="character" w:customStyle="1" w:styleId="CommentTextChar">
    <w:name w:val="Comment Text Char"/>
    <w:basedOn w:val="DefaultParagraphFont"/>
    <w:link w:val="CommentText"/>
    <w:uiPriority w:val="99"/>
    <w:rsid w:val="002C154A"/>
  </w:style>
  <w:style w:type="paragraph" w:styleId="CommentSubject">
    <w:name w:val="annotation subject"/>
    <w:basedOn w:val="CommentText"/>
    <w:next w:val="CommentText"/>
    <w:link w:val="CommentSubjectChar"/>
    <w:semiHidden/>
    <w:unhideWhenUsed/>
    <w:rsid w:val="002C154A"/>
    <w:rPr>
      <w:b/>
      <w:bCs/>
    </w:rPr>
  </w:style>
  <w:style w:type="character" w:customStyle="1" w:styleId="CommentSubjectChar">
    <w:name w:val="Comment Subject Char"/>
    <w:basedOn w:val="CommentTextChar"/>
    <w:link w:val="CommentSubject"/>
    <w:semiHidden/>
    <w:rsid w:val="002C154A"/>
    <w:rPr>
      <w:b/>
      <w:bCs/>
    </w:rPr>
  </w:style>
  <w:style w:type="character" w:styleId="FollowedHyperlink">
    <w:name w:val="FollowedHyperlink"/>
    <w:basedOn w:val="DefaultParagraphFont"/>
    <w:semiHidden/>
    <w:unhideWhenUsed/>
    <w:rsid w:val="00B17734"/>
    <w:rPr>
      <w:color w:val="800080" w:themeColor="followedHyperlink"/>
      <w:u w:val="single"/>
    </w:rPr>
  </w:style>
  <w:style w:type="paragraph" w:styleId="FootnoteText">
    <w:name w:val="footnote text"/>
    <w:aliases w:val="ft,fn,*Footnote Text,Footnote Text Char Char,Footnote Text Char Char Char,Footnote Text Char Char Char Char Char Char Char Char Char Char Char Char Char Char Char Char Char,Footnote Text Char1 Char Char,Footnote Text Char Char Char Char"/>
    <w:basedOn w:val="Normal"/>
    <w:link w:val="FootnoteTextChar"/>
    <w:unhideWhenUsed/>
    <w:qFormat/>
    <w:rsid w:val="00A81C8E"/>
    <w:rPr>
      <w:sz w:val="20"/>
    </w:rPr>
  </w:style>
  <w:style w:type="character" w:customStyle="1" w:styleId="FootnoteTextChar">
    <w:name w:val="Footnote Text Char"/>
    <w:aliases w:val="ft Char,fn Char,*Footnote Text Char,Footnote Text Char Char Char1,Footnote Text Char Char Char Char1,Footnote Text Char Char Char Char Char Char Char Char Char Char Char Char Char Char Char Char Char Char"/>
    <w:basedOn w:val="DefaultParagraphFont"/>
    <w:link w:val="FootnoteText"/>
    <w:rsid w:val="00A81C8E"/>
  </w:style>
  <w:style w:type="character" w:styleId="FootnoteReference">
    <w:name w:val="footnote reference"/>
    <w:aliases w:val="fr,Style 19,Style 16,Style 35,Style 39,Style 14,12,Footnote Text Char Char Char Char Cha,Footnote Reference Superscript,SUPERS,BVI fnr,Footnote symbol,(Footnote Reference),Footnote reference number,note TESI,EN Footnote Reference"/>
    <w:basedOn w:val="DefaultParagraphFont"/>
    <w:uiPriority w:val="99"/>
    <w:unhideWhenUsed/>
    <w:qFormat/>
    <w:rsid w:val="00A81C8E"/>
    <w:rPr>
      <w:vertAlign w:val="superscript"/>
    </w:rPr>
  </w:style>
  <w:style w:type="paragraph" w:styleId="Revision">
    <w:name w:val="Revision"/>
    <w:hidden/>
    <w:uiPriority w:val="99"/>
    <w:semiHidden/>
    <w:rsid w:val="00881D2A"/>
    <w:rPr>
      <w:sz w:val="24"/>
    </w:rPr>
  </w:style>
  <w:style w:type="paragraph" w:styleId="ListParagraph">
    <w:name w:val="List Paragraph"/>
    <w:basedOn w:val="Normal"/>
    <w:uiPriority w:val="34"/>
    <w:qFormat/>
    <w:rsid w:val="00553AB6"/>
    <w:pPr>
      <w:spacing w:after="200" w:line="276" w:lineRule="auto"/>
      <w:ind w:left="7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5639">
      <w:bodyDiv w:val="1"/>
      <w:marLeft w:val="0"/>
      <w:marRight w:val="0"/>
      <w:marTop w:val="0"/>
      <w:marBottom w:val="0"/>
      <w:divBdr>
        <w:top w:val="none" w:sz="0" w:space="0" w:color="auto"/>
        <w:left w:val="none" w:sz="0" w:space="0" w:color="auto"/>
        <w:bottom w:val="none" w:sz="0" w:space="0" w:color="auto"/>
        <w:right w:val="none" w:sz="0" w:space="0" w:color="auto"/>
      </w:divBdr>
    </w:div>
    <w:div w:id="308021398">
      <w:bodyDiv w:val="1"/>
      <w:marLeft w:val="0"/>
      <w:marRight w:val="0"/>
      <w:marTop w:val="0"/>
      <w:marBottom w:val="0"/>
      <w:divBdr>
        <w:top w:val="none" w:sz="0" w:space="0" w:color="auto"/>
        <w:left w:val="none" w:sz="0" w:space="0" w:color="auto"/>
        <w:bottom w:val="none" w:sz="0" w:space="0" w:color="auto"/>
        <w:right w:val="none" w:sz="0" w:space="0" w:color="auto"/>
      </w:divBdr>
    </w:div>
    <w:div w:id="939530432">
      <w:bodyDiv w:val="1"/>
      <w:marLeft w:val="0"/>
      <w:marRight w:val="0"/>
      <w:marTop w:val="0"/>
      <w:marBottom w:val="0"/>
      <w:divBdr>
        <w:top w:val="none" w:sz="0" w:space="0" w:color="auto"/>
        <w:left w:val="none" w:sz="0" w:space="0" w:color="auto"/>
        <w:bottom w:val="none" w:sz="0" w:space="0" w:color="auto"/>
        <w:right w:val="none" w:sz="0" w:space="0" w:color="auto"/>
      </w:divBdr>
    </w:div>
    <w:div w:id="1621910008">
      <w:bodyDiv w:val="1"/>
      <w:marLeft w:val="0"/>
      <w:marRight w:val="0"/>
      <w:marTop w:val="0"/>
      <w:marBottom w:val="0"/>
      <w:divBdr>
        <w:top w:val="none" w:sz="0" w:space="0" w:color="auto"/>
        <w:left w:val="none" w:sz="0" w:space="0" w:color="auto"/>
        <w:bottom w:val="none" w:sz="0" w:space="0" w:color="auto"/>
        <w:right w:val="none" w:sz="0" w:space="0" w:color="auto"/>
      </w:divBdr>
    </w:div>
    <w:div w:id="196588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Supporting Statement" ma:contentTypeID="0x0101008CE57A305FE3344E8586358791CCFB2000F6A1F1ACD4F9BD4CB5CD562D39E5E4D2" ma:contentTypeVersion="2" ma:contentTypeDescription="" ma:contentTypeScope="" ma:versionID="42df8016ff3d0e1acf3a6e093e5a3dd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B0E7E-0393-446F-A97F-0CB0C5B379B5}">
  <ds:schemaRefs>
    <ds:schemaRef ds:uri="http://schemas.microsoft.com/sharepoint/events"/>
  </ds:schemaRefs>
</ds:datastoreItem>
</file>

<file path=customXml/itemProps2.xml><?xml version="1.0" encoding="utf-8"?>
<ds:datastoreItem xmlns:ds="http://schemas.openxmlformats.org/officeDocument/2006/customXml" ds:itemID="{9C94BBEC-6EFF-46F8-8ED9-5092D2AC4233}">
  <ds:schemaRefs>
    <ds:schemaRef ds:uri="http://schemas.microsoft.com/sharepoint/v3/contenttype/forms"/>
  </ds:schemaRefs>
</ds:datastoreItem>
</file>

<file path=customXml/itemProps3.xml><?xml version="1.0" encoding="utf-8"?>
<ds:datastoreItem xmlns:ds="http://schemas.openxmlformats.org/officeDocument/2006/customXml" ds:itemID="{306FC22D-A4D4-4996-81D4-104A4802F0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2F1FF1-2AD1-4817-86B7-681E363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7F3DDD6-ADE9-466E-BE2F-0C583113B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SUPPORTING STATEMENT FOR FORM ID</vt:lpstr>
    </vt:vector>
  </TitlesOfParts>
  <Company>Securities and Exhange Commission</Company>
  <LinksUpToDate>false</LinksUpToDate>
  <CharactersWithSpaces>8563</CharactersWithSpaces>
  <SharedDoc>false</SharedDoc>
  <HLinks>
    <vt:vector size="6" baseType="variant">
      <vt:variant>
        <vt:i4>2359353</vt:i4>
      </vt:variant>
      <vt:variant>
        <vt:i4>0</vt:i4>
      </vt:variant>
      <vt:variant>
        <vt:i4>0</vt:i4>
      </vt:variant>
      <vt:variant>
        <vt:i4>5</vt:i4>
      </vt:variant>
      <vt:variant>
        <vt:lpwstr>https://www.sec.gov/privacy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ID</dc:title>
  <dc:creator>us</dc:creator>
  <cp:lastModifiedBy>Pezzullo, John R.</cp:lastModifiedBy>
  <cp:revision>2</cp:revision>
  <cp:lastPrinted>2021-02-23T16:45:00Z</cp:lastPrinted>
  <dcterms:created xsi:type="dcterms:W3CDTF">2021-12-20T13:23:00Z</dcterms:created>
  <dcterms:modified xsi:type="dcterms:W3CDTF">2021-12-20T13:23:00Z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0x0101008CE57A305FE3344E8586358791CCFB2000F6A1F1ACD4F9BD4CB5CD562D39E5E4D2</vt:lpwstr>
  </property>
  <property fmtid="{D5CDD505-2E9C-101B-9397-08002B2CF9AE}" pid="3" name="_dlc_DocIdItemGuid">
    <vt:lpwstr>0e4a1b78-82bc-4e41-8aa1-f2dd2a618b33</vt:lpwstr>
  </property>
  <property fmtid="{D5CDD505-2E9C-101B-9397-08002B2CF9AE}" pid="4" name="_dlc_DocId">
    <vt:lpwstr>KKE47E4U7XZ3-2108-12512</vt:lpwstr>
  </property>
  <property fmtid="{D5CDD505-2E9C-101B-9397-08002B2CF9AE}" pid="5" name="_dlc_DocIdUrl">
    <vt:lpwstr>https://sharepointapps/sites/oit_pra/pra/_layouts/DocIdRedir.aspx?ID=KKE47E4U7XZ3-2108-12512, KKE47E4U7XZ3-2108-12512</vt:lpwstr>
  </property>
  <property fmtid="{D5CDD505-2E9C-101B-9397-08002B2CF9AE}" pid="6" name="Previously Modified By">
    <vt:lpwstr/>
  </property>
</Properties>
</file>