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5641" w:rsidP="00A15641" w:rsidRDefault="00A15641" w14:paraId="527ABB81" w14:textId="53707045">
      <w:pPr>
        <w:pStyle w:val="DefaultText"/>
        <w:spacing w:line="360" w:lineRule="auto"/>
        <w:rPr>
          <w:b/>
          <w:caps/>
        </w:rPr>
      </w:pPr>
      <w:bookmarkStart w:name="_Toc142106607" w:id="0"/>
      <w:r w:rsidRPr="005B4C2D">
        <w:rPr>
          <w:b/>
        </w:rPr>
        <w:t>B.</w:t>
      </w:r>
      <w:r>
        <w:rPr>
          <w:b/>
        </w:rPr>
        <w:t xml:space="preserve"> </w:t>
      </w:r>
      <w:r w:rsidRPr="004D3ABD">
        <w:rPr>
          <w:b/>
          <w:caps/>
        </w:rPr>
        <w:t>Collections of Information Employing Statistical Methods</w:t>
      </w:r>
      <w:bookmarkEnd w:id="0"/>
    </w:p>
    <w:p w:rsidRPr="004D3ABD" w:rsidR="00BE5F2E" w:rsidP="00A15641" w:rsidRDefault="00BE5F2E" w14:paraId="1B8FDA8A" w14:textId="77777777">
      <w:pPr>
        <w:pStyle w:val="DefaultText"/>
        <w:spacing w:line="360" w:lineRule="auto"/>
        <w:rPr>
          <w:caps/>
        </w:rPr>
      </w:pPr>
    </w:p>
    <w:p w:rsidRPr="00BE5F2E" w:rsidR="00A15641" w:rsidP="00BE5F2E" w:rsidRDefault="00A15641" w14:paraId="49783262" w14:textId="77777777">
      <w:pPr>
        <w:pStyle w:val="ListParagraph"/>
        <w:numPr>
          <w:ilvl w:val="0"/>
          <w:numId w:val="5"/>
        </w:numPr>
        <w:spacing w:after="240"/>
        <w:ind w:left="0" w:firstLine="0"/>
        <w:rPr>
          <w:rStyle w:val="InitialStyle"/>
          <w:rFonts w:ascii="Times New Roman" w:hAnsi="Times New Roman" w:eastAsiaTheme="majorEastAsia"/>
          <w:b/>
        </w:rPr>
      </w:pPr>
      <w:bookmarkStart w:name="_Toc120517344" w:id="1"/>
      <w:bookmarkStart w:name="_Toc121289103" w:id="2"/>
      <w:bookmarkStart w:name="_Toc133308572" w:id="3"/>
      <w:bookmarkStart w:name="_Toc142106608" w:id="4"/>
      <w:r w:rsidRPr="00BE5F2E">
        <w:rPr>
          <w:rFonts w:ascii="Times New Roman" w:hAnsi="Times New Roman"/>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
      <w:bookmarkEnd w:id="2"/>
      <w:bookmarkEnd w:id="3"/>
      <w:bookmarkEnd w:id="4"/>
    </w:p>
    <w:p w:rsidR="00A15641" w:rsidP="00A15641" w:rsidRDefault="00A15641" w14:paraId="2331B05F" w14:textId="77777777">
      <w:r>
        <w:t>The potential respondent universe for the National Animal Health Monitoring System (NAHMS) Bison 2022 Study is all U.S. farms with 1 or more bison at the time of the Study in all 50 states. The National Agricultural Statistics Service (</w:t>
      </w:r>
      <w:r>
        <w:rPr>
          <w:rStyle w:val="InitialStyle"/>
          <w:rFonts w:eastAsiaTheme="majorEastAsia"/>
        </w:rPr>
        <w:t xml:space="preserve">NASS) will select all U.S. farms with 1 or more bison in all 50 States on their list frame to be in the Study. Thus, this Study will be a census of the NASS list frame. </w:t>
      </w:r>
      <w:r>
        <w:t xml:space="preserve">The number of operations NASS will select is expected to be approximately 2,000 operations </w:t>
      </w:r>
      <w:r>
        <w:rPr>
          <w:rStyle w:val="InitialStyle"/>
          <w:rFonts w:eastAsiaTheme="majorEastAsia"/>
        </w:rPr>
        <w:t>(</w:t>
      </w:r>
      <w:hyperlink w:history="1" r:id="rId8">
        <w:r w:rsidRPr="0027331F">
          <w:rPr>
            <w:rStyle w:val="Hyperlink"/>
          </w:rPr>
          <w:t>NASS 2017 Census of Agriculture</w:t>
        </w:r>
      </w:hyperlink>
      <w:r w:rsidRPr="00660646">
        <w:rPr>
          <w:rStyle w:val="InitialStyle"/>
          <w:rFonts w:eastAsiaTheme="majorEastAsia"/>
        </w:rPr>
        <w:t xml:space="preserve"> and unpublished NASS data procured to produce this justification</w:t>
      </w:r>
      <w:r>
        <w:rPr>
          <w:rStyle w:val="InitialStyle"/>
          <w:rFonts w:eastAsiaTheme="majorEastAsia"/>
        </w:rPr>
        <w:t>)</w:t>
      </w:r>
      <w:r>
        <w:t>. This number may be revised when final population counts are requested closer to the enumeration timeline.</w:t>
      </w:r>
    </w:p>
    <w:p w:rsidR="00A15641" w:rsidP="00A15641" w:rsidRDefault="00A15641" w14:paraId="4447ED06" w14:textId="77777777"/>
    <w:p w:rsidR="00A15641" w:rsidP="00A15641" w:rsidRDefault="00A15641" w14:paraId="165CE815" w14:textId="443B248C">
      <w:r>
        <w:t xml:space="preserve">This will be a cross-sectional Study with two phases. The primary data collection instrument of the “NASS Phase” is the NAHMS Bison 2022 Study Survey </w:t>
      </w:r>
      <w:r w:rsidRPr="002C0656">
        <w:t>(VS Form 21-320)</w:t>
      </w:r>
      <w:r>
        <w:t xml:space="preserve"> that will be implemented by NASS via paper-assisted self-interviews (PASI), computer-assisted self-interviews (CASI), and computer-assisted telephone interviews (CATI). For producers who indicate their willingness to participate in the “Biologics Phase” on the </w:t>
      </w:r>
      <w:r w:rsidRPr="002C0656">
        <w:t>NAHMS Bison 2022 Producer Informed Consent Form</w:t>
      </w:r>
      <w:r>
        <w:t xml:space="preserve"> </w:t>
      </w:r>
      <w:r w:rsidRPr="002C0656">
        <w:t>(VS Form 21-321),</w:t>
      </w:r>
      <w:r>
        <w:t xml:space="preserve"> their contact information will be turned over to United States Department of Agriculture (USDA)-Animal and Plant Health Inspection Service (APHIS)-NAHMS in order to allow the producer to participate in a biological sample collection </w:t>
      </w:r>
      <w:r w:rsidRPr="003F4308">
        <w:t xml:space="preserve">opportunity </w:t>
      </w:r>
      <w:r w:rsidRPr="00830E53">
        <w:t>(</w:t>
      </w:r>
      <w:r w:rsidRPr="002C0656">
        <w:t xml:space="preserve">NAHMS Bison 2022 </w:t>
      </w:r>
      <w:r>
        <w:t>Enteric</w:t>
      </w:r>
      <w:r w:rsidRPr="002C0656">
        <w:t xml:space="preserve"> Microbe Collection Record</w:t>
      </w:r>
      <w:r w:rsidRPr="00830E53">
        <w:t xml:space="preserve">, </w:t>
      </w:r>
      <w:r w:rsidRPr="002C0656">
        <w:t>NAHMS Bison 2022 Pre-Deworming Fecal Parasite Kit A Collection Record</w:t>
      </w:r>
      <w:r w:rsidRPr="00830E53">
        <w:t xml:space="preserve">, </w:t>
      </w:r>
      <w:r w:rsidRPr="002C0656">
        <w:t>NAHMS Bison 2022 Post-Deworming Fecal Parasite Kit B Collection Record</w:t>
      </w:r>
      <w:r w:rsidRPr="00830E53">
        <w:t xml:space="preserve">, and </w:t>
      </w:r>
      <w:r w:rsidRPr="002C0656">
        <w:t>NAHMS Bison 2022 Forage Collection Record; VS Form 21-322, VS Form 21-323, VS Form 21-324, and VS Form 21-325, respectively) w</w:t>
      </w:r>
      <w:r>
        <w:t xml:space="preserve">here producers will self-collect biologics on their farms </w:t>
      </w:r>
      <w:bookmarkStart w:name="_Hlk67925840" w:id="5"/>
      <w:r>
        <w:t xml:space="preserve">and receive biological testing results for bison </w:t>
      </w:r>
      <w:r w:rsidR="003B7EF3">
        <w:t xml:space="preserve">and forage </w:t>
      </w:r>
      <w:r>
        <w:t>on their farm</w:t>
      </w:r>
      <w:bookmarkEnd w:id="5"/>
      <w:r>
        <w:t xml:space="preserve">. </w:t>
      </w:r>
    </w:p>
    <w:p w:rsidR="00A15641" w:rsidP="00A15641" w:rsidRDefault="00A15641" w14:paraId="05402C7F" w14:textId="77777777"/>
    <w:p w:rsidR="00A15641" w:rsidP="00A15641" w:rsidRDefault="00A15641" w14:paraId="09F7C6D4" w14:textId="19D6CF8D">
      <w:r>
        <w:t>There will be two reporting strata for the Study: size (based on bison inventory) and region of the country. Due to the Study being a census rather than a sample, sample sizes are equal to the population within each individual strat</w:t>
      </w:r>
      <w:r w:rsidR="003B7EF3">
        <w:t>um</w:t>
      </w:r>
      <w:r>
        <w:t xml:space="preserve"> level and thus have been suppressed from this form since this is unpublished data provided to APHIS from NASS for the purposes of designing the study.</w:t>
      </w:r>
    </w:p>
    <w:p w:rsidR="00A15641" w:rsidP="00A15641" w:rsidRDefault="00A15641" w14:paraId="01935975" w14:textId="77777777"/>
    <w:p w:rsidRPr="00BC75AA" w:rsidR="00A15641" w:rsidP="00A15641" w:rsidRDefault="00A15641" w14:paraId="0CDB97F4" w14:textId="77777777">
      <w:r>
        <w:t>The expected response rates over the course of the Study and response rates from previous related studies are presented in Appendix B.</w:t>
      </w:r>
    </w:p>
    <w:p w:rsidR="00A15641" w:rsidP="00A15641" w:rsidRDefault="00A15641" w14:paraId="5F6112D4" w14:textId="77777777"/>
    <w:p w:rsidR="00A15641" w:rsidP="00A15641" w:rsidRDefault="00A15641" w14:paraId="170E8779" w14:textId="53D82EA8">
      <w:pPr>
        <w:pStyle w:val="DefaultText"/>
        <w:rPr>
          <w:rStyle w:val="InitialStyle"/>
          <w:rFonts w:eastAsiaTheme="majorEastAsia"/>
        </w:rPr>
      </w:pPr>
      <w:bookmarkStart w:name="_Toc120517345" w:id="6"/>
      <w:bookmarkStart w:name="_Toc121289104" w:id="7"/>
      <w:bookmarkStart w:name="_Toc133308573" w:id="8"/>
      <w:bookmarkStart w:name="_Toc142106609" w:id="9"/>
    </w:p>
    <w:p w:rsidR="00BE5F2E" w:rsidP="00A15641" w:rsidRDefault="00BE5F2E" w14:paraId="2782C4C7" w14:textId="322C664B">
      <w:pPr>
        <w:pStyle w:val="DefaultText"/>
        <w:rPr>
          <w:rStyle w:val="InitialStyle"/>
          <w:rFonts w:eastAsiaTheme="majorEastAsia"/>
        </w:rPr>
      </w:pPr>
    </w:p>
    <w:p w:rsidRPr="005B4C2D" w:rsidR="00BE5F2E" w:rsidP="00A15641" w:rsidRDefault="00BE5F2E" w14:paraId="6C5D2349" w14:textId="77777777">
      <w:pPr>
        <w:pStyle w:val="DefaultText"/>
        <w:rPr>
          <w:rStyle w:val="InitialStyle"/>
          <w:rFonts w:eastAsiaTheme="majorEastAsia"/>
        </w:rPr>
      </w:pPr>
    </w:p>
    <w:p w:rsidRPr="00BE5F2E" w:rsidR="00A15641" w:rsidP="00BE5F2E" w:rsidRDefault="00A15641" w14:paraId="236FF437" w14:textId="77777777">
      <w:pPr>
        <w:pStyle w:val="DefaultText"/>
        <w:tabs>
          <w:tab w:val="left" w:pos="360"/>
        </w:tabs>
        <w:rPr>
          <w:rStyle w:val="InitialStyle"/>
          <w:rFonts w:eastAsiaTheme="majorEastAsia"/>
          <w:b/>
          <w:u w:val="single"/>
        </w:rPr>
      </w:pPr>
      <w:r w:rsidRPr="00BE5F2E">
        <w:rPr>
          <w:rStyle w:val="InitialStyle"/>
          <w:rFonts w:eastAsiaTheme="majorEastAsia"/>
          <w:b/>
        </w:rPr>
        <w:lastRenderedPageBreak/>
        <w:t xml:space="preserve">2. </w:t>
      </w:r>
      <w:r w:rsidRPr="00BE5F2E">
        <w:rPr>
          <w:rStyle w:val="InitialStyle"/>
          <w:rFonts w:eastAsiaTheme="majorEastAsia"/>
          <w:b/>
        </w:rPr>
        <w:tab/>
        <w:t>Describe the procedures for the collection of information including:</w:t>
      </w:r>
      <w:bookmarkEnd w:id="6"/>
      <w:bookmarkEnd w:id="7"/>
      <w:bookmarkEnd w:id="8"/>
      <w:bookmarkEnd w:id="9"/>
    </w:p>
    <w:p w:rsidRPr="004D3ABD" w:rsidR="00A15641" w:rsidP="00BE5F2E" w:rsidRDefault="00A15641" w14:paraId="18F8B1DB" w14:textId="77777777">
      <w:pPr>
        <w:pStyle w:val="Heading3"/>
        <w:numPr>
          <w:ilvl w:val="0"/>
          <w:numId w:val="1"/>
        </w:numPr>
        <w:ind w:left="720"/>
        <w:rPr>
          <w:rFonts w:ascii="Times New Roman" w:hAnsi="Times New Roman" w:cs="Times New Roman"/>
          <w:caps/>
          <w:sz w:val="24"/>
          <w:szCs w:val="24"/>
        </w:rPr>
      </w:pPr>
      <w:bookmarkStart w:name="_Toc120517346" w:id="10"/>
      <w:bookmarkStart w:name="_Toc121289105" w:id="11"/>
      <w:bookmarkStart w:name="_Toc133308574" w:id="12"/>
      <w:bookmarkStart w:name="_Toc142106610" w:id="13"/>
      <w:r w:rsidRPr="004D3ABD">
        <w:rPr>
          <w:rFonts w:ascii="Times New Roman" w:hAnsi="Times New Roman" w:cs="Times New Roman"/>
          <w:caps/>
          <w:sz w:val="24"/>
          <w:szCs w:val="24"/>
          <w:u w:val="single"/>
        </w:rPr>
        <w:t>Statistical methodology for stratification and sample selection</w:t>
      </w:r>
      <w:r w:rsidRPr="004D3ABD">
        <w:rPr>
          <w:rFonts w:ascii="Times New Roman" w:hAnsi="Times New Roman" w:cs="Times New Roman"/>
          <w:caps/>
          <w:sz w:val="24"/>
          <w:szCs w:val="24"/>
        </w:rPr>
        <w:t>:</w:t>
      </w:r>
      <w:bookmarkEnd w:id="10"/>
      <w:bookmarkEnd w:id="11"/>
      <w:bookmarkEnd w:id="12"/>
      <w:bookmarkEnd w:id="13"/>
    </w:p>
    <w:p w:rsidRPr="005B4C2D" w:rsidR="00A15641" w:rsidP="00BE5F2E" w:rsidRDefault="00A15641" w14:paraId="17CBEA2A" w14:textId="77777777">
      <w:pPr>
        <w:pStyle w:val="DefaultText"/>
        <w:ind w:left="720"/>
        <w:rPr>
          <w:rStyle w:val="InitialStyle"/>
          <w:rFonts w:eastAsiaTheme="majorEastAsia"/>
        </w:rPr>
      </w:pPr>
    </w:p>
    <w:p w:rsidR="00A15641" w:rsidP="00BE5F2E" w:rsidRDefault="00A15641" w14:paraId="04E30B4D" w14:textId="77777777">
      <w:pPr>
        <w:pStyle w:val="DefaultText"/>
        <w:ind w:left="720"/>
        <w:rPr>
          <w:rStyle w:val="InitialStyle"/>
          <w:rFonts w:eastAsiaTheme="majorEastAsia"/>
        </w:rPr>
      </w:pPr>
      <w:r>
        <w:rPr>
          <w:rStyle w:val="InitialStyle"/>
          <w:rFonts w:eastAsiaTheme="majorEastAsia"/>
        </w:rPr>
        <w:t>There is no sample selection because all of the approximately 2,000 U.S. farms with 1 or more bison in all 50 states at the time of the Study will be selected from the NASS list frame during the NASS Phase.</w:t>
      </w:r>
    </w:p>
    <w:p w:rsidR="00A15641" w:rsidP="00BE5F2E" w:rsidRDefault="00A15641" w14:paraId="15354BBD" w14:textId="77777777">
      <w:pPr>
        <w:pStyle w:val="DefaultText"/>
        <w:ind w:left="720"/>
        <w:rPr>
          <w:rStyle w:val="InitialStyle"/>
          <w:rFonts w:eastAsiaTheme="majorEastAsia"/>
        </w:rPr>
      </w:pPr>
    </w:p>
    <w:p w:rsidR="00A15641" w:rsidP="00BE5F2E" w:rsidRDefault="00A15641" w14:paraId="38A73F11" w14:textId="1A10719D">
      <w:pPr>
        <w:pStyle w:val="DefaultText"/>
        <w:ind w:left="720"/>
        <w:rPr>
          <w:rStyle w:val="InitialStyle"/>
          <w:rFonts w:eastAsiaTheme="majorEastAsia"/>
        </w:rPr>
      </w:pPr>
      <w:r>
        <w:rPr>
          <w:rStyle w:val="InitialStyle"/>
          <w:rFonts w:eastAsiaTheme="majorEastAsia"/>
        </w:rPr>
        <w:t>Operations will be post-stratified in order to properly account for non-response among like operations and will take place along regional and size of operation (inventory of bison) boundaries, of which there will be four levels of each.  Regions will be defined as:</w:t>
      </w:r>
    </w:p>
    <w:p w:rsidR="00BE5F2E" w:rsidP="00BE5F2E" w:rsidRDefault="00BE5F2E" w14:paraId="03E359B9" w14:textId="77777777">
      <w:pPr>
        <w:pStyle w:val="DefaultText"/>
        <w:ind w:left="720"/>
        <w:rPr>
          <w:rStyle w:val="InitialStyle"/>
          <w:rFonts w:eastAsiaTheme="majorEastAsia"/>
        </w:rPr>
      </w:pPr>
    </w:p>
    <w:p w:rsidR="00A15641" w:rsidP="00BE5F2E" w:rsidRDefault="00A15641" w14:paraId="032B4BDE" w14:textId="77777777">
      <w:pPr>
        <w:pStyle w:val="DefaultText"/>
        <w:numPr>
          <w:ilvl w:val="0"/>
          <w:numId w:val="11"/>
        </w:numPr>
        <w:rPr>
          <w:rStyle w:val="InitialStyle"/>
          <w:rFonts w:eastAsiaTheme="majorEastAsia"/>
        </w:rPr>
      </w:pPr>
      <w:r>
        <w:rPr>
          <w:rStyle w:val="InitialStyle"/>
          <w:rFonts w:eastAsiaTheme="majorEastAsia"/>
        </w:rPr>
        <w:t xml:space="preserve">Northeast </w:t>
      </w:r>
      <w:r>
        <w:rPr>
          <w:rStyle w:val="InitialStyle"/>
          <w:rFonts w:eastAsiaTheme="majorEastAsia"/>
        </w:rPr>
        <w:tab/>
      </w:r>
      <w:r w:rsidRPr="00AE4133">
        <w:rPr>
          <w:rStyle w:val="InitialStyle"/>
          <w:rFonts w:eastAsiaTheme="majorEastAsia"/>
        </w:rPr>
        <w:t>(CT, DE, ME, MD, MA, NH, NJ, NY, OH, PA, RI, VT</w:t>
      </w:r>
      <w:r>
        <w:rPr>
          <w:rStyle w:val="InitialStyle"/>
          <w:rFonts w:eastAsiaTheme="majorEastAsia"/>
        </w:rPr>
        <w:t>, WV</w:t>
      </w:r>
      <w:r w:rsidRPr="00AE4133">
        <w:rPr>
          <w:rStyle w:val="InitialStyle"/>
          <w:rFonts w:eastAsiaTheme="majorEastAsia"/>
        </w:rPr>
        <w:t>)</w:t>
      </w:r>
    </w:p>
    <w:p w:rsidR="00A15641" w:rsidP="00BE5F2E" w:rsidRDefault="00A15641" w14:paraId="2F0A2B36" w14:textId="77777777">
      <w:pPr>
        <w:pStyle w:val="DefaultText"/>
        <w:numPr>
          <w:ilvl w:val="0"/>
          <w:numId w:val="11"/>
        </w:numPr>
        <w:rPr>
          <w:rStyle w:val="InitialStyle"/>
          <w:rFonts w:eastAsiaTheme="majorEastAsia"/>
        </w:rPr>
      </w:pPr>
      <w:r>
        <w:rPr>
          <w:rStyle w:val="InitialStyle"/>
          <w:rFonts w:eastAsiaTheme="majorEastAsia"/>
        </w:rPr>
        <w:t xml:space="preserve">Southeast </w:t>
      </w:r>
      <w:r>
        <w:rPr>
          <w:rStyle w:val="InitialStyle"/>
          <w:rFonts w:eastAsiaTheme="majorEastAsia"/>
        </w:rPr>
        <w:tab/>
      </w:r>
      <w:r w:rsidRPr="00AE4133">
        <w:rPr>
          <w:rStyle w:val="InitialStyle"/>
          <w:rFonts w:eastAsiaTheme="majorEastAsia"/>
        </w:rPr>
        <w:t>(AL, AR, FL, GA, KY, LA, MS, NC, SC, TN, VA)</w:t>
      </w:r>
    </w:p>
    <w:p w:rsidR="00A15641" w:rsidP="00BE5F2E" w:rsidRDefault="00A15641" w14:paraId="34288CDD" w14:textId="77777777">
      <w:pPr>
        <w:pStyle w:val="DefaultText"/>
        <w:numPr>
          <w:ilvl w:val="0"/>
          <w:numId w:val="11"/>
        </w:numPr>
        <w:rPr>
          <w:rStyle w:val="InitialStyle"/>
          <w:rFonts w:eastAsiaTheme="majorEastAsia"/>
        </w:rPr>
      </w:pPr>
      <w:r>
        <w:rPr>
          <w:rStyle w:val="InitialStyle"/>
          <w:rFonts w:eastAsiaTheme="majorEastAsia"/>
        </w:rPr>
        <w:t xml:space="preserve">North Central </w:t>
      </w:r>
      <w:r>
        <w:rPr>
          <w:rStyle w:val="InitialStyle"/>
          <w:rFonts w:eastAsiaTheme="majorEastAsia"/>
        </w:rPr>
        <w:tab/>
      </w:r>
      <w:r w:rsidRPr="00AE4133">
        <w:rPr>
          <w:rStyle w:val="InitialStyle"/>
          <w:rFonts w:eastAsiaTheme="majorEastAsia"/>
        </w:rPr>
        <w:t>(IL, IN, IA, MI, MN, MO, WI)</w:t>
      </w:r>
    </w:p>
    <w:p w:rsidR="00BE5F2E" w:rsidP="00BE5F2E" w:rsidRDefault="00A15641" w14:paraId="7A596301" w14:textId="77777777">
      <w:pPr>
        <w:pStyle w:val="DefaultText"/>
        <w:numPr>
          <w:ilvl w:val="0"/>
          <w:numId w:val="11"/>
        </w:numPr>
        <w:rPr>
          <w:rStyle w:val="InitialStyle"/>
          <w:rFonts w:eastAsiaTheme="majorEastAsia"/>
        </w:rPr>
      </w:pPr>
      <w:r>
        <w:rPr>
          <w:rStyle w:val="InitialStyle"/>
          <w:rFonts w:eastAsiaTheme="majorEastAsia"/>
        </w:rPr>
        <w:t xml:space="preserve">West </w:t>
      </w:r>
      <w:r>
        <w:rPr>
          <w:rStyle w:val="InitialStyle"/>
          <w:rFonts w:eastAsiaTheme="majorEastAsia"/>
        </w:rPr>
        <w:tab/>
      </w:r>
      <w:r>
        <w:rPr>
          <w:rStyle w:val="InitialStyle"/>
          <w:rFonts w:eastAsiaTheme="majorEastAsia"/>
        </w:rPr>
        <w:tab/>
      </w:r>
      <w:r w:rsidRPr="00AE4133">
        <w:rPr>
          <w:rStyle w:val="InitialStyle"/>
          <w:rFonts w:eastAsiaTheme="majorEastAsia"/>
        </w:rPr>
        <w:t>(AK, AZ, CA, CO, HI, ID, KS, MT, NE, NV, NM, ND, OK, OR, SD,</w:t>
      </w:r>
    </w:p>
    <w:p w:rsidR="00A15641" w:rsidP="00BE5F2E" w:rsidRDefault="00A15641" w14:paraId="22DDF749" w14:textId="77777777">
      <w:pPr>
        <w:pStyle w:val="DefaultText"/>
        <w:ind w:left="1440" w:firstLine="720"/>
        <w:rPr>
          <w:rStyle w:val="InitialStyle"/>
          <w:rFonts w:eastAsiaTheme="majorEastAsia"/>
        </w:rPr>
      </w:pPr>
      <w:r w:rsidRPr="00AE4133">
        <w:rPr>
          <w:rStyle w:val="InitialStyle"/>
          <w:rFonts w:eastAsiaTheme="majorEastAsia"/>
        </w:rPr>
        <w:t>TX, UT, WA, WY)</w:t>
      </w:r>
    </w:p>
    <w:p w:rsidR="00A15641" w:rsidP="00BE5F2E" w:rsidRDefault="00A15641" w14:paraId="38646896" w14:textId="77777777">
      <w:pPr>
        <w:pStyle w:val="DefaultText"/>
        <w:ind w:left="720"/>
        <w:rPr>
          <w:rStyle w:val="InitialStyle"/>
          <w:rFonts w:eastAsiaTheme="majorEastAsia"/>
        </w:rPr>
      </w:pPr>
    </w:p>
    <w:p w:rsidR="00A15641" w:rsidP="00BE5F2E" w:rsidRDefault="00A15641" w14:paraId="7F0D1DC0" w14:textId="2FE51A6F">
      <w:pPr>
        <w:pStyle w:val="DefaultText"/>
        <w:ind w:left="720"/>
        <w:rPr>
          <w:rStyle w:val="InitialStyle"/>
          <w:rFonts w:eastAsiaTheme="majorEastAsia"/>
        </w:rPr>
      </w:pPr>
      <w:r>
        <w:rPr>
          <w:rStyle w:val="InitialStyle"/>
          <w:rFonts w:eastAsiaTheme="majorEastAsia"/>
        </w:rPr>
        <w:t>Size categories will be defined as:</w:t>
      </w:r>
    </w:p>
    <w:p w:rsidR="00BE5F2E" w:rsidP="00BE5F2E" w:rsidRDefault="00BE5F2E" w14:paraId="0333D451" w14:textId="77777777">
      <w:pPr>
        <w:pStyle w:val="DefaultText"/>
        <w:ind w:left="720"/>
        <w:rPr>
          <w:rStyle w:val="InitialStyle"/>
          <w:rFonts w:eastAsiaTheme="majorEastAsia"/>
        </w:rPr>
      </w:pPr>
    </w:p>
    <w:p w:rsidR="00A15641" w:rsidP="00BE5F2E" w:rsidRDefault="00A15641" w14:paraId="353B5818" w14:textId="77777777">
      <w:pPr>
        <w:pStyle w:val="DefaultText"/>
        <w:numPr>
          <w:ilvl w:val="0"/>
          <w:numId w:val="12"/>
        </w:numPr>
        <w:rPr>
          <w:rStyle w:val="InitialStyle"/>
          <w:rFonts w:eastAsiaTheme="majorEastAsia"/>
        </w:rPr>
      </w:pPr>
      <w:r>
        <w:rPr>
          <w:rStyle w:val="InitialStyle"/>
          <w:rFonts w:eastAsiaTheme="majorEastAsia"/>
        </w:rPr>
        <w:t xml:space="preserve">Very Small </w:t>
      </w:r>
      <w:r>
        <w:rPr>
          <w:rStyle w:val="InitialStyle"/>
          <w:rFonts w:eastAsiaTheme="majorEastAsia"/>
        </w:rPr>
        <w:tab/>
      </w:r>
      <w:r w:rsidRPr="00AE4133">
        <w:rPr>
          <w:rStyle w:val="InitialStyle"/>
          <w:rFonts w:eastAsiaTheme="majorEastAsia"/>
        </w:rPr>
        <w:t>(1-9 head)</w:t>
      </w:r>
    </w:p>
    <w:p w:rsidR="00A15641" w:rsidP="00BE5F2E" w:rsidRDefault="00A15641" w14:paraId="40AF689C" w14:textId="77777777">
      <w:pPr>
        <w:pStyle w:val="DefaultText"/>
        <w:numPr>
          <w:ilvl w:val="0"/>
          <w:numId w:val="12"/>
        </w:numPr>
        <w:rPr>
          <w:rStyle w:val="InitialStyle"/>
          <w:rFonts w:eastAsiaTheme="majorEastAsia"/>
        </w:rPr>
      </w:pPr>
      <w:r>
        <w:rPr>
          <w:rStyle w:val="InitialStyle"/>
          <w:rFonts w:eastAsiaTheme="majorEastAsia"/>
        </w:rPr>
        <w:t xml:space="preserve">Small </w:t>
      </w:r>
      <w:r>
        <w:rPr>
          <w:rStyle w:val="InitialStyle"/>
          <w:rFonts w:eastAsiaTheme="majorEastAsia"/>
        </w:rPr>
        <w:tab/>
      </w:r>
      <w:r>
        <w:rPr>
          <w:rStyle w:val="InitialStyle"/>
          <w:rFonts w:eastAsiaTheme="majorEastAsia"/>
        </w:rPr>
        <w:tab/>
      </w:r>
      <w:r w:rsidRPr="00AE4133">
        <w:rPr>
          <w:rStyle w:val="InitialStyle"/>
          <w:rFonts w:eastAsiaTheme="majorEastAsia"/>
        </w:rPr>
        <w:t>(1</w:t>
      </w:r>
      <w:r>
        <w:rPr>
          <w:rStyle w:val="InitialStyle"/>
          <w:rFonts w:eastAsiaTheme="majorEastAsia"/>
        </w:rPr>
        <w:t>0</w:t>
      </w:r>
      <w:r w:rsidRPr="00AE4133">
        <w:rPr>
          <w:rStyle w:val="InitialStyle"/>
          <w:rFonts w:eastAsiaTheme="majorEastAsia"/>
        </w:rPr>
        <w:t>-</w:t>
      </w:r>
      <w:r>
        <w:rPr>
          <w:rStyle w:val="InitialStyle"/>
          <w:rFonts w:eastAsiaTheme="majorEastAsia"/>
        </w:rPr>
        <w:t>24</w:t>
      </w:r>
      <w:r w:rsidRPr="00AE4133">
        <w:rPr>
          <w:rStyle w:val="InitialStyle"/>
          <w:rFonts w:eastAsiaTheme="majorEastAsia"/>
        </w:rPr>
        <w:t xml:space="preserve"> head)</w:t>
      </w:r>
    </w:p>
    <w:p w:rsidR="00A15641" w:rsidP="00BE5F2E" w:rsidRDefault="00A15641" w14:paraId="244D04FC" w14:textId="77777777">
      <w:pPr>
        <w:pStyle w:val="DefaultText"/>
        <w:numPr>
          <w:ilvl w:val="0"/>
          <w:numId w:val="12"/>
        </w:numPr>
        <w:rPr>
          <w:rStyle w:val="InitialStyle"/>
          <w:rFonts w:eastAsiaTheme="majorEastAsia"/>
        </w:rPr>
      </w:pPr>
      <w:r>
        <w:rPr>
          <w:rStyle w:val="InitialStyle"/>
          <w:rFonts w:eastAsiaTheme="majorEastAsia"/>
        </w:rPr>
        <w:t xml:space="preserve">Medium </w:t>
      </w:r>
      <w:r>
        <w:rPr>
          <w:rStyle w:val="InitialStyle"/>
          <w:rFonts w:eastAsiaTheme="majorEastAsia"/>
        </w:rPr>
        <w:tab/>
      </w:r>
      <w:r w:rsidRPr="00AE4133">
        <w:rPr>
          <w:rStyle w:val="InitialStyle"/>
          <w:rFonts w:eastAsiaTheme="majorEastAsia"/>
        </w:rPr>
        <w:t>(</w:t>
      </w:r>
      <w:r>
        <w:rPr>
          <w:rStyle w:val="InitialStyle"/>
          <w:rFonts w:eastAsiaTheme="majorEastAsia"/>
        </w:rPr>
        <w:t>25</w:t>
      </w:r>
      <w:r w:rsidRPr="00AE4133">
        <w:rPr>
          <w:rStyle w:val="InitialStyle"/>
          <w:rFonts w:eastAsiaTheme="majorEastAsia"/>
        </w:rPr>
        <w:t>-</w:t>
      </w:r>
      <w:r>
        <w:rPr>
          <w:rStyle w:val="InitialStyle"/>
          <w:rFonts w:eastAsiaTheme="majorEastAsia"/>
        </w:rPr>
        <w:t>9</w:t>
      </w:r>
      <w:r w:rsidRPr="00AE4133">
        <w:rPr>
          <w:rStyle w:val="InitialStyle"/>
          <w:rFonts w:eastAsiaTheme="majorEastAsia"/>
        </w:rPr>
        <w:t>9 head)</w:t>
      </w:r>
    </w:p>
    <w:p w:rsidR="00A15641" w:rsidP="00BE5F2E" w:rsidRDefault="00A15641" w14:paraId="39C508FF" w14:textId="77777777">
      <w:pPr>
        <w:pStyle w:val="DefaultText"/>
        <w:numPr>
          <w:ilvl w:val="0"/>
          <w:numId w:val="12"/>
        </w:numPr>
        <w:rPr>
          <w:rStyle w:val="InitialStyle"/>
          <w:rFonts w:eastAsiaTheme="majorEastAsia"/>
        </w:rPr>
      </w:pPr>
      <w:r>
        <w:rPr>
          <w:rStyle w:val="InitialStyle"/>
          <w:rFonts w:eastAsiaTheme="majorEastAsia"/>
        </w:rPr>
        <w:t xml:space="preserve">Large </w:t>
      </w:r>
      <w:r>
        <w:rPr>
          <w:rStyle w:val="InitialStyle"/>
          <w:rFonts w:eastAsiaTheme="majorEastAsia"/>
        </w:rPr>
        <w:tab/>
      </w:r>
      <w:r>
        <w:rPr>
          <w:rStyle w:val="InitialStyle"/>
          <w:rFonts w:eastAsiaTheme="majorEastAsia"/>
        </w:rPr>
        <w:tab/>
      </w:r>
      <w:r w:rsidRPr="00AE4133">
        <w:rPr>
          <w:rStyle w:val="InitialStyle"/>
          <w:rFonts w:eastAsiaTheme="majorEastAsia"/>
        </w:rPr>
        <w:t>(</w:t>
      </w:r>
      <w:r>
        <w:rPr>
          <w:rStyle w:val="InitialStyle"/>
          <w:rFonts w:eastAsiaTheme="majorEastAsia"/>
        </w:rPr>
        <w:t>100 or more</w:t>
      </w:r>
      <w:r w:rsidRPr="00AE4133">
        <w:rPr>
          <w:rStyle w:val="InitialStyle"/>
          <w:rFonts w:eastAsiaTheme="majorEastAsia"/>
        </w:rPr>
        <w:t xml:space="preserve"> head)</w:t>
      </w:r>
    </w:p>
    <w:p w:rsidR="00A15641" w:rsidP="00BE5F2E" w:rsidRDefault="00A15641" w14:paraId="56F6E31F" w14:textId="77777777">
      <w:pPr>
        <w:pStyle w:val="DefaultText"/>
        <w:ind w:left="720"/>
        <w:rPr>
          <w:rStyle w:val="InitialStyle"/>
          <w:rFonts w:eastAsiaTheme="majorEastAsia"/>
        </w:rPr>
      </w:pPr>
    </w:p>
    <w:p w:rsidR="00A15641" w:rsidP="00BE5F2E" w:rsidRDefault="00A15641" w14:paraId="5873F6D9" w14:textId="77777777">
      <w:pPr>
        <w:pStyle w:val="DefaultText"/>
        <w:ind w:left="720"/>
        <w:rPr>
          <w:rStyle w:val="InitialStyle"/>
          <w:rFonts w:eastAsiaTheme="majorEastAsia"/>
        </w:rPr>
      </w:pPr>
      <w:r>
        <w:rPr>
          <w:rStyle w:val="InitialStyle"/>
          <w:rFonts w:eastAsiaTheme="majorEastAsia"/>
        </w:rPr>
        <w:t xml:space="preserve">If the data supports it, a Very Large size category will be added. </w:t>
      </w:r>
    </w:p>
    <w:p w:rsidRPr="004D3ABD" w:rsidR="00A15641" w:rsidP="00BE5F2E" w:rsidRDefault="00A15641" w14:paraId="73D1D3D2" w14:textId="77777777">
      <w:pPr>
        <w:pStyle w:val="Heading3"/>
        <w:numPr>
          <w:ilvl w:val="0"/>
          <w:numId w:val="1"/>
        </w:numPr>
        <w:ind w:left="720"/>
        <w:rPr>
          <w:rFonts w:ascii="Times New Roman" w:hAnsi="Times New Roman" w:cs="Times New Roman"/>
          <w:caps/>
          <w:sz w:val="24"/>
          <w:szCs w:val="24"/>
          <w:u w:val="single"/>
        </w:rPr>
      </w:pPr>
      <w:bookmarkStart w:name="_Toc120517347" w:id="14"/>
      <w:bookmarkStart w:name="_Toc121289106" w:id="15"/>
      <w:bookmarkStart w:name="_Toc133308575" w:id="16"/>
      <w:bookmarkStart w:name="_Toc142106611" w:id="17"/>
      <w:r w:rsidRPr="004D3ABD">
        <w:rPr>
          <w:rFonts w:ascii="Times New Roman" w:hAnsi="Times New Roman" w:cs="Times New Roman"/>
          <w:caps/>
          <w:sz w:val="24"/>
          <w:szCs w:val="24"/>
          <w:u w:val="single"/>
        </w:rPr>
        <w:t>Estimation procedure:</w:t>
      </w:r>
      <w:bookmarkEnd w:id="14"/>
      <w:bookmarkEnd w:id="15"/>
      <w:bookmarkEnd w:id="16"/>
      <w:bookmarkEnd w:id="17"/>
    </w:p>
    <w:p w:rsidRPr="005B4C2D" w:rsidR="00A15641" w:rsidP="00BE5F2E" w:rsidRDefault="00A15641" w14:paraId="53B81C32" w14:textId="77777777">
      <w:pPr>
        <w:pStyle w:val="DefaultText"/>
        <w:ind w:left="720"/>
      </w:pPr>
    </w:p>
    <w:p w:rsidRPr="005B4C2D" w:rsidR="00A15641" w:rsidP="00BE5F2E" w:rsidRDefault="00A15641" w14:paraId="591E7C36" w14:textId="32040F85">
      <w:pPr>
        <w:pStyle w:val="DefaultText"/>
        <w:ind w:left="720"/>
      </w:pPr>
      <w:r>
        <w:t>The Study is two-phase with probability of selection equal to 1 in the NASS Phase. All producers who complete the survey in the NASS Phase will be invited to participate in the Biologics Phase, if willing. APHIS will construct weights using this information combined with response information in order to adjust selection probabilities by non</w:t>
      </w:r>
      <w:r w:rsidR="00D04D4C">
        <w:t>-</w:t>
      </w:r>
      <w:r>
        <w:t>response observed in the survey phases. We will perform t</w:t>
      </w:r>
      <w:r w:rsidRPr="005B4C2D">
        <w:t>he statistical estimation using SAS survey procedures</w:t>
      </w:r>
      <w:r>
        <w:t>, SUDAAN, and/</w:t>
      </w:r>
      <w:r w:rsidRPr="005B4C2D">
        <w:t>or</w:t>
      </w:r>
      <w:r>
        <w:t xml:space="preserve"> R</w:t>
      </w:r>
      <w:r w:rsidRPr="005B4C2D">
        <w:t>.</w:t>
      </w:r>
      <w:r>
        <w:t xml:space="preserve"> All</w:t>
      </w:r>
      <w:r w:rsidRPr="005B4C2D">
        <w:t xml:space="preserve"> software packages use a Taylor series expansion to estimate variances</w:t>
      </w:r>
      <w:r>
        <w:t xml:space="preserve"> appropriate to the survey design, including the non-response adjusted sampling weights</w:t>
      </w:r>
      <w:r w:rsidRPr="005B4C2D">
        <w:t>.</w:t>
      </w:r>
    </w:p>
    <w:p w:rsidRPr="004D3ABD" w:rsidR="00A15641" w:rsidP="00BE5F2E" w:rsidRDefault="00A15641" w14:paraId="018FF97D" w14:textId="77777777">
      <w:pPr>
        <w:pStyle w:val="Heading3"/>
        <w:numPr>
          <w:ilvl w:val="0"/>
          <w:numId w:val="2"/>
        </w:numPr>
        <w:ind w:left="720"/>
        <w:rPr>
          <w:rStyle w:val="InitialStyle"/>
          <w:rFonts w:ascii="Times New Roman" w:hAnsi="Times New Roman" w:cs="Times New Roman" w:eastAsiaTheme="majorEastAsia"/>
          <w:caps/>
          <w:sz w:val="24"/>
          <w:szCs w:val="24"/>
        </w:rPr>
      </w:pPr>
      <w:bookmarkStart w:name="_Toc120517349" w:id="18"/>
      <w:bookmarkStart w:name="_Toc121289108" w:id="19"/>
      <w:bookmarkStart w:name="_Toc133308576" w:id="20"/>
      <w:bookmarkStart w:name="_Toc142106612" w:id="21"/>
      <w:r w:rsidRPr="004D3ABD">
        <w:rPr>
          <w:rStyle w:val="InitialStyle"/>
          <w:rFonts w:ascii="Times New Roman" w:hAnsi="Times New Roman" w:cs="Times New Roman" w:eastAsiaTheme="majorEastAsia"/>
          <w:caps/>
          <w:sz w:val="24"/>
          <w:szCs w:val="24"/>
          <w:u w:val="single"/>
        </w:rPr>
        <w:t>Degree of precision needed for the purpose described in the justification</w:t>
      </w:r>
      <w:r w:rsidRPr="004D3ABD">
        <w:rPr>
          <w:rStyle w:val="InitialStyle"/>
          <w:rFonts w:ascii="Times New Roman" w:hAnsi="Times New Roman" w:cs="Times New Roman" w:eastAsiaTheme="majorEastAsia"/>
          <w:caps/>
          <w:sz w:val="24"/>
          <w:szCs w:val="24"/>
        </w:rPr>
        <w:t>:</w:t>
      </w:r>
      <w:bookmarkEnd w:id="18"/>
      <w:bookmarkEnd w:id="19"/>
      <w:bookmarkEnd w:id="20"/>
      <w:bookmarkEnd w:id="21"/>
    </w:p>
    <w:p w:rsidR="00A15641" w:rsidP="00BE5F2E" w:rsidRDefault="00A15641" w14:paraId="0B62EA09" w14:textId="77777777">
      <w:pPr>
        <w:ind w:left="720"/>
        <w:rPr>
          <w:rStyle w:val="InitialStyle"/>
          <w:rFonts w:eastAsiaTheme="majorEastAsia"/>
        </w:rPr>
      </w:pPr>
      <w:bookmarkStart w:name="_Toc142106613" w:id="22"/>
      <w:bookmarkStart w:name="_Toc133308578" w:id="23"/>
    </w:p>
    <w:p w:rsidR="00A15641" w:rsidP="00BE5F2E" w:rsidRDefault="00A15641" w14:paraId="6CB90288" w14:textId="77777777">
      <w:pPr>
        <w:ind w:left="720"/>
        <w:rPr>
          <w:rStyle w:val="InitialStyle"/>
          <w:rFonts w:eastAsiaTheme="majorEastAsia"/>
        </w:rPr>
      </w:pPr>
      <w:r w:rsidRPr="005B4C2D">
        <w:rPr>
          <w:rStyle w:val="InitialStyle"/>
          <w:rFonts w:eastAsiaTheme="majorEastAsia"/>
        </w:rPr>
        <w:t xml:space="preserve">The </w:t>
      </w:r>
      <w:r>
        <w:rPr>
          <w:rStyle w:val="InitialStyle"/>
          <w:rFonts w:eastAsiaTheme="majorEastAsia"/>
        </w:rPr>
        <w:t xml:space="preserve">APHIS </w:t>
      </w:r>
      <w:r w:rsidRPr="005B4C2D">
        <w:rPr>
          <w:rStyle w:val="InitialStyle"/>
          <w:rFonts w:eastAsiaTheme="majorEastAsia"/>
        </w:rPr>
        <w:t xml:space="preserve">goal is to develop descriptive statistics </w:t>
      </w:r>
      <w:r>
        <w:rPr>
          <w:rStyle w:val="InitialStyle"/>
          <w:rFonts w:eastAsiaTheme="majorEastAsia"/>
        </w:rPr>
        <w:t xml:space="preserve">(proportions or means) </w:t>
      </w:r>
      <w:r w:rsidRPr="005B4C2D">
        <w:rPr>
          <w:rStyle w:val="InitialStyle"/>
          <w:rFonts w:eastAsiaTheme="majorEastAsia"/>
        </w:rPr>
        <w:t xml:space="preserve">with a coefficient of variation </w:t>
      </w:r>
      <w:r>
        <w:rPr>
          <w:rStyle w:val="InitialStyle"/>
          <w:rFonts w:eastAsiaTheme="majorEastAsia"/>
        </w:rPr>
        <w:t>(CV) of</w:t>
      </w:r>
      <w:r w:rsidRPr="005B4C2D">
        <w:rPr>
          <w:rStyle w:val="InitialStyle"/>
          <w:rFonts w:eastAsiaTheme="majorEastAsia"/>
        </w:rPr>
        <w:t xml:space="preserve"> 20 percent</w:t>
      </w:r>
      <w:r>
        <w:rPr>
          <w:rStyle w:val="InitialStyle"/>
          <w:rFonts w:eastAsiaTheme="majorEastAsia"/>
        </w:rPr>
        <w:t xml:space="preserve"> or less</w:t>
      </w:r>
      <w:r w:rsidRPr="005B4C2D">
        <w:rPr>
          <w:rStyle w:val="InitialStyle"/>
          <w:rFonts w:eastAsiaTheme="majorEastAsia"/>
        </w:rPr>
        <w:t>.</w:t>
      </w:r>
      <w:r>
        <w:rPr>
          <w:rStyle w:val="InitialStyle"/>
          <w:rFonts w:eastAsiaTheme="majorEastAsia"/>
        </w:rPr>
        <w:t xml:space="preserve"> If possible given adequate response rates, APHIS will produce estimates by region (Northeast, Southeast, North Central, and West) and by size categories (Very Small, Small, Medium, and Large). </w:t>
      </w:r>
    </w:p>
    <w:p w:rsidR="00A15641" w:rsidP="00BE5F2E" w:rsidRDefault="00A15641" w14:paraId="10A307A5" w14:textId="77777777">
      <w:pPr>
        <w:ind w:left="720"/>
        <w:rPr>
          <w:rStyle w:val="InitialStyle"/>
          <w:rFonts w:eastAsiaTheme="majorEastAsia"/>
        </w:rPr>
      </w:pPr>
    </w:p>
    <w:p w:rsidR="00A15641" w:rsidP="00BE5F2E" w:rsidRDefault="00A15641" w14:paraId="5968F3EC" w14:textId="77777777">
      <w:pPr>
        <w:autoSpaceDE w:val="0"/>
        <w:autoSpaceDN w:val="0"/>
        <w:adjustRightInd w:val="0"/>
        <w:spacing w:after="240"/>
        <w:ind w:left="720"/>
      </w:pPr>
      <w:r>
        <w:rPr>
          <w:rStyle w:val="InitialStyle"/>
          <w:rFonts w:eastAsiaTheme="majorEastAsia"/>
        </w:rPr>
        <w:t xml:space="preserve">In order to meet the precision criteria within each of the given reporting stratification categories, APHIS requires approximately 589 bison operations assuming that a sample with a perfect response rate is taken. </w:t>
      </w:r>
      <w:r w:rsidRPr="00E546F0">
        <w:t xml:space="preserve">However, due to practical considerations, we must account for the expected response of </w:t>
      </w:r>
      <w:r>
        <w:t>approximately 40</w:t>
      </w:r>
      <w:r>
        <w:rPr>
          <w:vertAlign w:val="superscript"/>
        </w:rPr>
        <w:t xml:space="preserve"> </w:t>
      </w:r>
      <w:r w:rsidRPr="00E546F0">
        <w:t xml:space="preserve">percent at </w:t>
      </w:r>
      <w:r>
        <w:t xml:space="preserve">the NASS Phase, </w:t>
      </w:r>
      <w:r w:rsidRPr="00E546F0">
        <w:t xml:space="preserve">an expected </w:t>
      </w:r>
      <w:r>
        <w:t>turnover response</w:t>
      </w:r>
      <w:r w:rsidRPr="00E546F0">
        <w:t xml:space="preserve"> of </w:t>
      </w:r>
      <w:r>
        <w:t xml:space="preserve">approximately 55 percent, and approximately 50 percent response </w:t>
      </w:r>
      <w:r w:rsidRPr="00E546F0">
        <w:t xml:space="preserve">at </w:t>
      </w:r>
      <w:r>
        <w:t xml:space="preserve">the Biologics Phase </w:t>
      </w:r>
      <w:r w:rsidRPr="00E546F0">
        <w:t>to obtain estimates with appropriate standard errors</w:t>
      </w:r>
      <w:r>
        <w:t xml:space="preserve"> (the </w:t>
      </w:r>
      <w:r w:rsidRPr="00E546F0">
        <w:t>des</w:t>
      </w:r>
      <w:r>
        <w:t>ign effect is assumed to be 1)</w:t>
      </w:r>
      <w:r w:rsidRPr="00E546F0">
        <w:t xml:space="preserve">. An overall </w:t>
      </w:r>
      <w:r>
        <w:t>sample size</w:t>
      </w:r>
      <w:r w:rsidRPr="00E546F0">
        <w:t xml:space="preserve"> </w:t>
      </w:r>
      <w:r>
        <w:t>exceeding the approximately 2,000</w:t>
      </w:r>
      <w:r w:rsidRPr="00E546F0">
        <w:t xml:space="preserve"> </w:t>
      </w:r>
      <w:r>
        <w:t>bison operations in the population would be</w:t>
      </w:r>
      <w:r w:rsidRPr="00E546F0">
        <w:t xml:space="preserve"> required after adjusting for these factors to produce estimates with CV not exceeding 20 percent within each of the reporting stratification cells. </w:t>
      </w:r>
      <w:r>
        <w:t xml:space="preserve">Therefore, a census of bison operations is required to meet the statistical needs of the Study. </w:t>
      </w:r>
    </w:p>
    <w:p w:rsidRPr="00E546F0" w:rsidR="00A15641" w:rsidP="00BE5F2E" w:rsidRDefault="00A15641" w14:paraId="2A627A4E" w14:textId="60E50BBE">
      <w:pPr>
        <w:autoSpaceDE w:val="0"/>
        <w:autoSpaceDN w:val="0"/>
        <w:adjustRightInd w:val="0"/>
        <w:spacing w:after="240"/>
        <w:ind w:left="720"/>
      </w:pPr>
      <w:r>
        <w:t>Table</w:t>
      </w:r>
      <w:r w:rsidR="00701195">
        <w:t>s</w:t>
      </w:r>
      <w:r>
        <w:t xml:space="preserve"> A.1 and A.2 in Appendix A show estimates of precision in each size and region category levels, as well as nationally, assuming a census of the 2,000 bison operations on the NASS list frame. Coefficients of variation generally meet the design CV of 20 percent in the NASS Phase. Many of the coefficients of variation exceed the 20 percent designed limit and so estimates created at the Biologics Phase will need to be reported at the National level (for which coefficients of variation are expected to be below 20 percent) or, even if response rates are greater than expected, reporting strata may need to be collapsed.</w:t>
      </w:r>
    </w:p>
    <w:p w:rsidR="00A15641" w:rsidP="00BE5F2E" w:rsidRDefault="00A15641" w14:paraId="1EFAC673" w14:textId="77777777">
      <w:pPr>
        <w:ind w:left="720"/>
        <w:rPr>
          <w:rStyle w:val="InitialStyle"/>
          <w:rFonts w:eastAsiaTheme="majorEastAsia"/>
        </w:rPr>
      </w:pPr>
      <w:r>
        <w:t xml:space="preserve">APHIS will report estimates at the national level, by region strata, and by size strata where possible and appropriate. APHIS will not report any cross strata (Region-Size) categories. </w:t>
      </w:r>
      <w:r w:rsidRPr="00E546F0">
        <w:t>Reporting strata may be adjusted dependi</w:t>
      </w:r>
      <w:r>
        <w:t xml:space="preserve">ng on the number of respondents. </w:t>
      </w:r>
      <w:r w:rsidRPr="00E546F0">
        <w:t xml:space="preserve">In general, if sample sizes are too small or CVs too large for any estimates, those estimates are not published or are reported at a more aggregate level.  </w:t>
      </w:r>
    </w:p>
    <w:bookmarkEnd w:id="22"/>
    <w:p w:rsidRPr="009A6001" w:rsidR="00A15641" w:rsidP="00BE5F2E" w:rsidRDefault="00A15641" w14:paraId="159BE187" w14:textId="77777777">
      <w:pPr>
        <w:ind w:left="720"/>
      </w:pPr>
    </w:p>
    <w:p w:rsidRPr="004D3ABD" w:rsidR="00A15641" w:rsidP="00BE5F2E" w:rsidRDefault="00A15641" w14:paraId="1827B0EB" w14:textId="77777777">
      <w:pPr>
        <w:numPr>
          <w:ilvl w:val="0"/>
          <w:numId w:val="8"/>
        </w:numPr>
        <w:ind w:left="720"/>
        <w:rPr>
          <w:b/>
          <w:caps/>
        </w:rPr>
      </w:pPr>
      <w:r w:rsidRPr="004D3ABD">
        <w:rPr>
          <w:b/>
          <w:caps/>
          <w:u w:val="single"/>
        </w:rPr>
        <w:t>Unusual problems requiring specialized sampling procedures and data collection cycles</w:t>
      </w:r>
      <w:r w:rsidRPr="004D3ABD">
        <w:rPr>
          <w:b/>
          <w:caps/>
        </w:rPr>
        <w:t>:</w:t>
      </w:r>
    </w:p>
    <w:bookmarkEnd w:id="23"/>
    <w:p w:rsidRPr="005B4C2D" w:rsidR="00A15641" w:rsidP="00BE5F2E" w:rsidRDefault="00A15641" w14:paraId="45BAD5AD" w14:textId="77777777">
      <w:pPr>
        <w:pStyle w:val="DefaultText"/>
        <w:ind w:left="720"/>
        <w:rPr>
          <w:rStyle w:val="InitialStyle"/>
          <w:rFonts w:eastAsiaTheme="majorEastAsia"/>
        </w:rPr>
      </w:pPr>
    </w:p>
    <w:p w:rsidR="00A15641" w:rsidP="00BE5F2E" w:rsidRDefault="00A15641" w14:paraId="2BA4316E" w14:textId="77777777">
      <w:pPr>
        <w:pStyle w:val="DefaultText"/>
        <w:ind w:left="720"/>
        <w:rPr>
          <w:rStyle w:val="InitialStyle"/>
          <w:rFonts w:eastAsiaTheme="majorEastAsia"/>
        </w:rPr>
      </w:pPr>
      <w:r w:rsidRPr="005B4C2D">
        <w:rPr>
          <w:rStyle w:val="InitialStyle"/>
          <w:rFonts w:eastAsiaTheme="majorEastAsia"/>
        </w:rPr>
        <w:t>There are no unusual problems requiring specialized sampling procedures and data collection cycles.</w:t>
      </w:r>
    </w:p>
    <w:p w:rsidR="00A15641" w:rsidP="00BE5F2E" w:rsidRDefault="00A15641" w14:paraId="55090BCC" w14:textId="77777777">
      <w:pPr>
        <w:pStyle w:val="DefaultText"/>
        <w:ind w:left="720"/>
        <w:rPr>
          <w:rStyle w:val="InitialStyle"/>
          <w:rFonts w:eastAsiaTheme="majorEastAsia"/>
        </w:rPr>
      </w:pPr>
    </w:p>
    <w:p w:rsidRPr="004D3ABD" w:rsidR="00A15641" w:rsidP="00BE5F2E" w:rsidRDefault="00A15641" w14:paraId="57166BD9" w14:textId="77777777">
      <w:pPr>
        <w:pStyle w:val="DefaultText"/>
        <w:numPr>
          <w:ilvl w:val="0"/>
          <w:numId w:val="8"/>
        </w:numPr>
        <w:ind w:left="720"/>
        <w:rPr>
          <w:rStyle w:val="InitialStyle"/>
          <w:rFonts w:eastAsiaTheme="majorEastAsia"/>
          <w:b/>
          <w:caps/>
          <w:u w:val="single"/>
        </w:rPr>
      </w:pPr>
      <w:r w:rsidRPr="004D3ABD">
        <w:rPr>
          <w:rStyle w:val="InitialStyle"/>
          <w:rFonts w:eastAsiaTheme="majorEastAsia"/>
          <w:b/>
          <w:caps/>
          <w:u w:val="single"/>
        </w:rPr>
        <w:t>Any use of periodic (less frequent than annual) data collection cycles to reduce burden.</w:t>
      </w:r>
    </w:p>
    <w:p w:rsidRPr="00ED5D1E" w:rsidR="00A15641" w:rsidP="00BE5F2E" w:rsidRDefault="00A15641" w14:paraId="12343C67" w14:textId="77777777">
      <w:pPr>
        <w:pStyle w:val="DefaultText"/>
        <w:ind w:left="720"/>
        <w:rPr>
          <w:rStyle w:val="InitialStyle"/>
          <w:rFonts w:eastAsiaTheme="majorEastAsia"/>
          <w:u w:val="single"/>
        </w:rPr>
      </w:pPr>
    </w:p>
    <w:p w:rsidRPr="005B4C2D" w:rsidR="00A15641" w:rsidP="00BE5F2E" w:rsidRDefault="00A15641" w14:paraId="78FDE35A" w14:textId="77777777">
      <w:pPr>
        <w:pStyle w:val="DefaultText"/>
        <w:ind w:left="720"/>
        <w:rPr>
          <w:rStyle w:val="InitialStyle"/>
          <w:rFonts w:eastAsiaTheme="majorEastAsia"/>
        </w:rPr>
      </w:pPr>
      <w:r w:rsidRPr="002825B3">
        <w:rPr>
          <w:rStyle w:val="InitialStyle"/>
          <w:rFonts w:eastAsiaTheme="majorEastAsia"/>
        </w:rPr>
        <w:t xml:space="preserve">The data collection described is not planned to be </w:t>
      </w:r>
      <w:r>
        <w:rPr>
          <w:rStyle w:val="InitialStyle"/>
          <w:rFonts w:eastAsiaTheme="majorEastAsia"/>
        </w:rPr>
        <w:t>carried out</w:t>
      </w:r>
      <w:r w:rsidRPr="002825B3">
        <w:rPr>
          <w:rStyle w:val="InitialStyle"/>
          <w:rFonts w:eastAsiaTheme="majorEastAsia"/>
        </w:rPr>
        <w:t xml:space="preserve"> on an annual or less than annual frequency basis.</w:t>
      </w:r>
    </w:p>
    <w:p w:rsidR="00A15641" w:rsidP="00A15641" w:rsidRDefault="00A15641" w14:paraId="3F07ECC8" w14:textId="21D53FEC">
      <w:pPr>
        <w:pStyle w:val="DefaultText"/>
        <w:rPr>
          <w:rStyle w:val="InitialStyle"/>
          <w:rFonts w:eastAsiaTheme="majorEastAsia"/>
        </w:rPr>
      </w:pPr>
    </w:p>
    <w:p w:rsidRPr="005B4C2D" w:rsidR="00BE5F2E" w:rsidP="00A15641" w:rsidRDefault="00BE5F2E" w14:paraId="0D01FE8E" w14:textId="77777777">
      <w:pPr>
        <w:pStyle w:val="DefaultText"/>
        <w:rPr>
          <w:rStyle w:val="InitialStyle"/>
          <w:rFonts w:eastAsiaTheme="majorEastAsia"/>
        </w:rPr>
      </w:pPr>
    </w:p>
    <w:p w:rsidRPr="00BE5F2E" w:rsidR="00A15641" w:rsidP="00A15641" w:rsidRDefault="00A15641" w14:paraId="2E137C84" w14:textId="0F3E70F4">
      <w:pPr>
        <w:pStyle w:val="ListParagraph"/>
        <w:numPr>
          <w:ilvl w:val="0"/>
          <w:numId w:val="6"/>
        </w:numPr>
        <w:rPr>
          <w:rFonts w:ascii="Times New Roman" w:hAnsi="Times New Roman"/>
          <w:szCs w:val="24"/>
        </w:rPr>
      </w:pPr>
      <w:bookmarkStart w:name="_Toc120517351" w:id="24"/>
      <w:bookmarkStart w:name="_Toc121289110" w:id="25"/>
      <w:bookmarkStart w:name="_Toc133308579" w:id="26"/>
      <w:bookmarkStart w:name="_Toc142106614" w:id="27"/>
      <w:r w:rsidRPr="00BE5F2E">
        <w:rPr>
          <w:rFonts w:ascii="Times New Roman" w:hAnsi="Times New Roman"/>
          <w:b/>
          <w:szCs w:val="24"/>
        </w:rPr>
        <w:t>D</w:t>
      </w:r>
      <w:r w:rsidRPr="00BE5F2E">
        <w:rPr>
          <w:rFonts w:ascii="Times New Roman" w:hAnsi="Times New Roman"/>
          <w:b/>
          <w:bCs/>
          <w:iCs/>
          <w:snapToGrid/>
          <w:szCs w:val="24"/>
        </w:rPr>
        <w:t>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w:t>
      </w:r>
      <w:r w:rsidR="00BE5F2E">
        <w:rPr>
          <w:rFonts w:ascii="Times New Roman" w:hAnsi="Times New Roman"/>
          <w:b/>
          <w:bCs/>
          <w:iCs/>
          <w:snapToGrid/>
          <w:szCs w:val="24"/>
        </w:rPr>
        <w:t xml:space="preserve">e </w:t>
      </w:r>
      <w:r w:rsidRPr="00BE5F2E">
        <w:rPr>
          <w:rFonts w:ascii="Times New Roman" w:hAnsi="Times New Roman"/>
          <w:b/>
          <w:bCs/>
          <w:iCs/>
          <w:snapToGrid/>
          <w:szCs w:val="24"/>
        </w:rPr>
        <w:t>universe studied.</w:t>
      </w:r>
      <w:bookmarkEnd w:id="24"/>
      <w:bookmarkEnd w:id="25"/>
      <w:bookmarkEnd w:id="26"/>
      <w:bookmarkEnd w:id="27"/>
    </w:p>
    <w:p w:rsidR="00A15641" w:rsidP="00BE5F2E" w:rsidRDefault="00A15641" w14:paraId="3C9C8ED9" w14:textId="6CD10808">
      <w:pPr>
        <w:pStyle w:val="Heading3"/>
        <w:ind w:left="720" w:hanging="360"/>
        <w:rPr>
          <w:rStyle w:val="InitialStyle"/>
          <w:rFonts w:ascii="Times New Roman" w:hAnsi="Times New Roman" w:cs="Times New Roman" w:eastAsiaTheme="majorEastAsia"/>
          <w:caps/>
          <w:sz w:val="24"/>
          <w:szCs w:val="24"/>
        </w:rPr>
      </w:pPr>
      <w:bookmarkStart w:name="_Toc120517352" w:id="28"/>
      <w:bookmarkStart w:name="_Toc121289111" w:id="29"/>
      <w:bookmarkStart w:name="_Toc133308580" w:id="30"/>
      <w:bookmarkStart w:name="_Toc142106615" w:id="31"/>
      <w:r w:rsidRPr="004D3ABD">
        <w:rPr>
          <w:rStyle w:val="InitialStyle"/>
          <w:rFonts w:ascii="Times New Roman" w:hAnsi="Times New Roman" w:cs="Times New Roman" w:eastAsiaTheme="majorEastAsia"/>
          <w:caps/>
          <w:sz w:val="24"/>
          <w:szCs w:val="24"/>
          <w:u w:val="single"/>
        </w:rPr>
        <w:lastRenderedPageBreak/>
        <w:t>Questionnaire design and training</w:t>
      </w:r>
      <w:r w:rsidRPr="004D3ABD">
        <w:rPr>
          <w:rStyle w:val="InitialStyle"/>
          <w:rFonts w:ascii="Times New Roman" w:hAnsi="Times New Roman" w:cs="Times New Roman" w:eastAsiaTheme="majorEastAsia"/>
          <w:caps/>
          <w:sz w:val="24"/>
          <w:szCs w:val="24"/>
        </w:rPr>
        <w:t>:</w:t>
      </w:r>
      <w:bookmarkEnd w:id="28"/>
      <w:bookmarkEnd w:id="29"/>
      <w:bookmarkEnd w:id="30"/>
      <w:bookmarkEnd w:id="31"/>
    </w:p>
    <w:p w:rsidRPr="00BE5F2E" w:rsidR="00BE5F2E" w:rsidP="00BE5F2E" w:rsidRDefault="00BE5F2E" w14:paraId="2A2DFCC4" w14:textId="77777777"/>
    <w:p w:rsidRPr="00560E9C" w:rsidR="00A15641" w:rsidP="00BE5F2E" w:rsidRDefault="00A15641" w14:paraId="5D20EBD4" w14:textId="7664DF8B">
      <w:pPr>
        <w:numPr>
          <w:ilvl w:val="0"/>
          <w:numId w:val="3"/>
        </w:numPr>
        <w:autoSpaceDE w:val="0"/>
        <w:autoSpaceDN w:val="0"/>
        <w:adjustRightInd w:val="0"/>
        <w:ind w:left="720"/>
      </w:pPr>
      <w:r w:rsidRPr="00560E9C">
        <w:t xml:space="preserve">The </w:t>
      </w:r>
      <w:r>
        <w:t>Study</w:t>
      </w:r>
      <w:r w:rsidRPr="00560E9C">
        <w:t xml:space="preserve"> minimizes collection of data to that which is absolutely necessary to meet the stated objectives. </w:t>
      </w:r>
      <w:r>
        <w:t>Survey</w:t>
      </w:r>
      <w:r w:rsidRPr="00560E9C">
        <w:t>s are extensively reviewed by APHIS staff, NASS staff, and experts both in industry and in academia.</w:t>
      </w:r>
    </w:p>
    <w:p w:rsidR="00BE5F2E" w:rsidP="00BE5F2E" w:rsidRDefault="00BE5F2E" w14:paraId="4E8FBBE1" w14:textId="77777777">
      <w:pPr>
        <w:pStyle w:val="DefaultText"/>
        <w:ind w:left="720"/>
        <w:rPr>
          <w:rStyle w:val="InitialStyle"/>
          <w:rFonts w:eastAsiaTheme="majorEastAsia"/>
        </w:rPr>
      </w:pPr>
    </w:p>
    <w:p w:rsidR="00A15641" w:rsidP="00BE5F2E" w:rsidRDefault="00A15641" w14:paraId="53040B6A" w14:textId="4146A75F">
      <w:pPr>
        <w:pStyle w:val="DefaultText"/>
        <w:numPr>
          <w:ilvl w:val="0"/>
          <w:numId w:val="9"/>
        </w:numPr>
        <w:ind w:left="720"/>
        <w:rPr>
          <w:rStyle w:val="InitialStyle"/>
          <w:rFonts w:eastAsiaTheme="majorEastAsia"/>
        </w:rPr>
      </w:pPr>
      <w:r>
        <w:rPr>
          <w:rStyle w:val="InitialStyle"/>
          <w:rFonts w:eastAsiaTheme="majorEastAsia"/>
        </w:rPr>
        <w:t xml:space="preserve">For the NASS Phase data collection, </w:t>
      </w:r>
      <w:r w:rsidR="00575003">
        <w:rPr>
          <w:rStyle w:val="InitialStyle"/>
          <w:rFonts w:eastAsiaTheme="majorEastAsia"/>
        </w:rPr>
        <w:t>APHIS</w:t>
      </w:r>
      <w:r w:rsidRPr="00731F3A" w:rsidR="00575003">
        <w:rPr>
          <w:rStyle w:val="InitialStyle"/>
          <w:rFonts w:eastAsiaTheme="majorEastAsia"/>
        </w:rPr>
        <w:t xml:space="preserve"> </w:t>
      </w:r>
      <w:r w:rsidRPr="00731F3A">
        <w:rPr>
          <w:rStyle w:val="InitialStyle"/>
          <w:rFonts w:eastAsiaTheme="majorEastAsia"/>
        </w:rPr>
        <w:t xml:space="preserve">staff will develop training </w:t>
      </w:r>
      <w:r>
        <w:rPr>
          <w:rStyle w:val="InitialStyle"/>
          <w:rFonts w:eastAsiaTheme="majorEastAsia"/>
        </w:rPr>
        <w:t>materials</w:t>
      </w:r>
      <w:r w:rsidR="00E27B93">
        <w:rPr>
          <w:rStyle w:val="InitialStyle"/>
          <w:rFonts w:eastAsiaTheme="majorEastAsia"/>
        </w:rPr>
        <w:t xml:space="preserve"> (including a NASS training manual)</w:t>
      </w:r>
      <w:r w:rsidRPr="00731F3A">
        <w:rPr>
          <w:rStyle w:val="InitialStyle"/>
          <w:rFonts w:eastAsiaTheme="majorEastAsia"/>
        </w:rPr>
        <w:t xml:space="preserve"> for </w:t>
      </w:r>
      <w:r>
        <w:rPr>
          <w:rStyle w:val="InitialStyle"/>
          <w:rFonts w:eastAsiaTheme="majorEastAsia"/>
        </w:rPr>
        <w:t>NASS</w:t>
      </w:r>
      <w:r w:rsidRPr="00731F3A">
        <w:rPr>
          <w:rStyle w:val="InitialStyle"/>
          <w:rFonts w:eastAsiaTheme="majorEastAsia"/>
        </w:rPr>
        <w:t xml:space="preserve"> enumerators</w:t>
      </w:r>
      <w:r>
        <w:rPr>
          <w:rStyle w:val="InitialStyle"/>
          <w:rFonts w:eastAsiaTheme="majorEastAsia"/>
        </w:rPr>
        <w:t xml:space="preserve"> and customer service</w:t>
      </w:r>
      <w:r w:rsidRPr="00731F3A">
        <w:rPr>
          <w:rStyle w:val="InitialStyle"/>
          <w:rFonts w:eastAsiaTheme="majorEastAsia"/>
        </w:rPr>
        <w:t xml:space="preserve"> that explain the purpose of the </w:t>
      </w:r>
      <w:r>
        <w:rPr>
          <w:rStyle w:val="InitialStyle"/>
          <w:rFonts w:eastAsiaTheme="majorEastAsia"/>
        </w:rPr>
        <w:t>Study</w:t>
      </w:r>
      <w:r w:rsidRPr="00731F3A">
        <w:rPr>
          <w:rStyle w:val="InitialStyle"/>
          <w:rFonts w:eastAsiaTheme="majorEastAsia"/>
        </w:rPr>
        <w:t xml:space="preserve"> and address anticipated difficulties with questions.</w:t>
      </w:r>
      <w:r>
        <w:rPr>
          <w:rStyle w:val="InitialStyle"/>
          <w:rFonts w:eastAsiaTheme="majorEastAsia"/>
        </w:rPr>
        <w:t xml:space="preserve"> </w:t>
      </w:r>
      <w:r w:rsidR="00575003">
        <w:rPr>
          <w:rStyle w:val="InitialStyle"/>
          <w:rFonts w:eastAsiaTheme="majorEastAsia"/>
        </w:rPr>
        <w:t xml:space="preserve">APHIS </w:t>
      </w:r>
      <w:r>
        <w:rPr>
          <w:rStyle w:val="InitialStyle"/>
          <w:rFonts w:eastAsiaTheme="majorEastAsia"/>
        </w:rPr>
        <w:t>representatives will participate in the NASS trainings.</w:t>
      </w:r>
    </w:p>
    <w:p w:rsidR="00BE5F2E" w:rsidP="00BE5F2E" w:rsidRDefault="00BE5F2E" w14:paraId="7EDEF53C" w14:textId="77777777">
      <w:pPr>
        <w:pStyle w:val="DefaultText"/>
        <w:ind w:left="720"/>
        <w:rPr>
          <w:rStyle w:val="InitialStyle"/>
          <w:rFonts w:eastAsiaTheme="majorEastAsia"/>
        </w:rPr>
      </w:pPr>
    </w:p>
    <w:p w:rsidR="00A15641" w:rsidP="00BE5F2E" w:rsidRDefault="00A15641" w14:paraId="5D36D4D2" w14:textId="5275738E">
      <w:pPr>
        <w:pStyle w:val="DefaultText"/>
        <w:numPr>
          <w:ilvl w:val="0"/>
          <w:numId w:val="9"/>
        </w:numPr>
        <w:ind w:left="720"/>
        <w:rPr>
          <w:rStyle w:val="InitialStyle"/>
          <w:rFonts w:eastAsiaTheme="majorEastAsia"/>
        </w:rPr>
      </w:pPr>
      <w:r w:rsidRPr="009D2ADD">
        <w:rPr>
          <w:rStyle w:val="InitialStyle"/>
          <w:rFonts w:eastAsiaTheme="majorEastAsia"/>
        </w:rPr>
        <w:t>For the biologics collection, the</w:t>
      </w:r>
      <w:r>
        <w:rPr>
          <w:rStyle w:val="InitialStyle"/>
          <w:rFonts w:eastAsiaTheme="majorEastAsia"/>
        </w:rPr>
        <w:t xml:space="preserve"> participating bison producers will be sent detailed instructions on how to collect samples on their farms using the provided test kits, and shipping instructions will be provided for routing their samples to the appropriate testing laboratory. These instructions, as well as links to other biological sampling aids, will be available on the NAHMS Bison Studies web page. </w:t>
      </w:r>
    </w:p>
    <w:p w:rsidR="00BE5F2E" w:rsidP="00BE5F2E" w:rsidRDefault="00BE5F2E" w14:paraId="3BAA30AD" w14:textId="77777777">
      <w:pPr>
        <w:pStyle w:val="DefaultText"/>
        <w:ind w:left="720"/>
        <w:rPr>
          <w:rStyle w:val="InitialStyle"/>
          <w:rFonts w:eastAsiaTheme="majorEastAsia"/>
        </w:rPr>
      </w:pPr>
    </w:p>
    <w:p w:rsidR="00A15641" w:rsidP="00BE5F2E" w:rsidRDefault="00A15641" w14:paraId="1B8F6B09" w14:textId="57F06046">
      <w:pPr>
        <w:pStyle w:val="DefaultText"/>
        <w:numPr>
          <w:ilvl w:val="0"/>
          <w:numId w:val="4"/>
        </w:numPr>
        <w:ind w:left="720"/>
        <w:rPr>
          <w:rStyle w:val="InitialStyle"/>
          <w:rFonts w:eastAsiaTheme="majorEastAsia"/>
        </w:rPr>
      </w:pPr>
      <w:r>
        <w:rPr>
          <w:rStyle w:val="InitialStyle"/>
          <w:rFonts w:eastAsiaTheme="majorEastAsia"/>
        </w:rPr>
        <w:t>The survey mailer sent to bison producers during the NASS Phase will include information on the Biologics Phase and its benefits to ensure the participant is aware of what will be covered in the Biologics Phase. The same information will be covered by NASS enumerators administering the CATI to bison producers who didn’t answer the PASI or CASI. Producers will be informed as to how the data they supply will be protected and used.</w:t>
      </w:r>
    </w:p>
    <w:p w:rsidR="00BE5F2E" w:rsidP="00BE5F2E" w:rsidRDefault="00BE5F2E" w14:paraId="068E7CAD" w14:textId="77777777">
      <w:pPr>
        <w:autoSpaceDE w:val="0"/>
        <w:autoSpaceDN w:val="0"/>
        <w:adjustRightInd w:val="0"/>
        <w:ind w:left="720"/>
      </w:pPr>
    </w:p>
    <w:p w:rsidRPr="00560E9C" w:rsidR="00A15641" w:rsidP="00BE5F2E" w:rsidRDefault="00A15641" w14:paraId="6809FD93" w14:textId="0B1A2F1F">
      <w:pPr>
        <w:numPr>
          <w:ilvl w:val="0"/>
          <w:numId w:val="4"/>
        </w:numPr>
        <w:autoSpaceDE w:val="0"/>
        <w:autoSpaceDN w:val="0"/>
        <w:adjustRightInd w:val="0"/>
        <w:ind w:left="720"/>
      </w:pPr>
      <w:r w:rsidRPr="00560E9C">
        <w:t>Data collectors and data handlers will have been trained on data and information security guidelines.</w:t>
      </w:r>
    </w:p>
    <w:p w:rsidRPr="00BE5F2E" w:rsidR="00BE5F2E" w:rsidP="00BE5F2E" w:rsidRDefault="00BE5F2E" w14:paraId="0E5E2890" w14:textId="77777777">
      <w:pPr>
        <w:autoSpaceDE w:val="0"/>
        <w:autoSpaceDN w:val="0"/>
        <w:adjustRightInd w:val="0"/>
        <w:ind w:left="720"/>
        <w:rPr>
          <w:rFonts w:eastAsiaTheme="majorEastAsia"/>
        </w:rPr>
      </w:pPr>
    </w:p>
    <w:p w:rsidR="00A15641" w:rsidP="00BE5F2E" w:rsidRDefault="00575003" w14:paraId="6251F147" w14:textId="2351A61B">
      <w:pPr>
        <w:numPr>
          <w:ilvl w:val="0"/>
          <w:numId w:val="4"/>
        </w:numPr>
        <w:autoSpaceDE w:val="0"/>
        <w:autoSpaceDN w:val="0"/>
        <w:adjustRightInd w:val="0"/>
        <w:ind w:left="720"/>
        <w:rPr>
          <w:rStyle w:val="InitialStyle"/>
          <w:rFonts w:eastAsiaTheme="majorEastAsia"/>
        </w:rPr>
      </w:pPr>
      <w:r>
        <w:t>APHIS staff have</w:t>
      </w:r>
      <w:r w:rsidRPr="00560E9C" w:rsidR="00A15641">
        <w:t xml:space="preserve"> made numerous contacts and has been involved in collaborative efforts to identify the information needs of the industry and the best way to ask for </w:t>
      </w:r>
      <w:r w:rsidR="00A15641">
        <w:t xml:space="preserve">and incentivize </w:t>
      </w:r>
      <w:r w:rsidRPr="00560E9C" w:rsidR="008B2638">
        <w:t>th</w:t>
      </w:r>
      <w:r w:rsidR="008B2638">
        <w:t>e</w:t>
      </w:r>
      <w:r w:rsidRPr="00560E9C" w:rsidR="008B2638">
        <w:t xml:space="preserve"> </w:t>
      </w:r>
      <w:r w:rsidRPr="00560E9C" w:rsidR="00A15641">
        <w:t>information</w:t>
      </w:r>
      <w:r w:rsidR="00A15641">
        <w:t xml:space="preserve"> collection</w:t>
      </w:r>
      <w:r w:rsidRPr="00560E9C" w:rsidR="00A15641">
        <w:t xml:space="preserve"> via </w:t>
      </w:r>
      <w:r w:rsidR="00A15641">
        <w:t>survey</w:t>
      </w:r>
      <w:r w:rsidRPr="00560E9C" w:rsidR="00A15641">
        <w:t xml:space="preserve">.  </w:t>
      </w:r>
    </w:p>
    <w:p w:rsidR="00A15641" w:rsidP="00BE5F2E" w:rsidRDefault="00A15641" w14:paraId="7CA21AD0" w14:textId="4D46CC1E">
      <w:pPr>
        <w:pStyle w:val="Heading3"/>
        <w:ind w:left="720" w:hanging="360"/>
        <w:rPr>
          <w:rStyle w:val="InitialStyle"/>
          <w:rFonts w:ascii="Times New Roman" w:hAnsi="Times New Roman" w:cs="Times New Roman" w:eastAsiaTheme="majorEastAsia"/>
          <w:caps/>
          <w:sz w:val="24"/>
          <w:szCs w:val="24"/>
          <w:u w:val="single"/>
        </w:rPr>
      </w:pPr>
      <w:r w:rsidRPr="004D3ABD">
        <w:rPr>
          <w:rStyle w:val="InitialStyle"/>
          <w:rFonts w:ascii="Times New Roman" w:hAnsi="Times New Roman" w:cs="Times New Roman" w:eastAsiaTheme="majorEastAsia"/>
          <w:caps/>
          <w:sz w:val="24"/>
          <w:szCs w:val="24"/>
          <w:u w:val="single"/>
        </w:rPr>
        <w:t>Contacting respondents:</w:t>
      </w:r>
    </w:p>
    <w:p w:rsidRPr="00BE5F2E" w:rsidR="00BE5F2E" w:rsidP="00BE5F2E" w:rsidRDefault="00BE5F2E" w14:paraId="30117065" w14:textId="77777777">
      <w:pPr>
        <w:rPr>
          <w:rFonts w:eastAsiaTheme="majorEastAsia"/>
        </w:rPr>
      </w:pPr>
    </w:p>
    <w:p w:rsidR="00A15641" w:rsidP="00BE5F2E" w:rsidRDefault="00A15641" w14:paraId="71EB9E96" w14:textId="49342496">
      <w:pPr>
        <w:numPr>
          <w:ilvl w:val="0"/>
          <w:numId w:val="4"/>
        </w:numPr>
        <w:autoSpaceDE w:val="0"/>
        <w:autoSpaceDN w:val="0"/>
        <w:adjustRightInd w:val="0"/>
        <w:ind w:left="720"/>
      </w:pPr>
      <w:r w:rsidRPr="00560E9C">
        <w:t xml:space="preserve">NASS will </w:t>
      </w:r>
      <w:r>
        <w:t xml:space="preserve">first send a producer selection letter to bison producers selected to participate in the Study. After notifying producers that they have been selected to participate in the study, NASS will </w:t>
      </w:r>
      <w:r w:rsidRPr="00560E9C">
        <w:t xml:space="preserve">send </w:t>
      </w:r>
      <w:r>
        <w:t>a survey packet to bison producers that includes</w:t>
      </w:r>
      <w:bookmarkStart w:name="_Hlk67925496" w:id="32"/>
      <w:bookmarkStart w:name="_Hlk64971223" w:id="33"/>
      <w:r>
        <w:t xml:space="preserve"> a survey launch sheet with study background and benefits information, a description of the study timeline and biologics benefits, a paper survey with a link to the CASI survey on the web, forms describing participation in the Biologics Phase of the Study,</w:t>
      </w:r>
      <w:r w:rsidRPr="00560E9C">
        <w:t xml:space="preserve"> </w:t>
      </w:r>
      <w:r>
        <w:t xml:space="preserve">educational materials (an informational incentive), </w:t>
      </w:r>
      <w:bookmarkStart w:name="_Hlk68535559" w:id="34"/>
      <w:r>
        <w:t xml:space="preserve">a field flyer, </w:t>
      </w:r>
      <w:r w:rsidRPr="008B39CD">
        <w:t>VS Form 21-326 - NAHMS Bison 2022 Producer Evaluation</w:t>
      </w:r>
      <w:r>
        <w:t>, and a guide to assist producers in answering the CASI survey.</w:t>
      </w:r>
      <w:bookmarkEnd w:id="32"/>
      <w:bookmarkEnd w:id="33"/>
      <w:r w:rsidRPr="00560E9C">
        <w:t xml:space="preserve">  </w:t>
      </w:r>
    </w:p>
    <w:bookmarkEnd w:id="34"/>
    <w:p w:rsidR="00BE5F2E" w:rsidP="00BE5F2E" w:rsidRDefault="00BE5F2E" w14:paraId="44C7C09C" w14:textId="77777777">
      <w:pPr>
        <w:autoSpaceDE w:val="0"/>
        <w:autoSpaceDN w:val="0"/>
        <w:adjustRightInd w:val="0"/>
        <w:ind w:left="720"/>
      </w:pPr>
    </w:p>
    <w:p w:rsidR="00A15641" w:rsidP="00BE5F2E" w:rsidRDefault="00A15641" w14:paraId="772FD899" w14:textId="28118FD6">
      <w:pPr>
        <w:numPr>
          <w:ilvl w:val="0"/>
          <w:numId w:val="4"/>
        </w:numPr>
        <w:autoSpaceDE w:val="0"/>
        <w:autoSpaceDN w:val="0"/>
        <w:adjustRightInd w:val="0"/>
        <w:ind w:left="720"/>
      </w:pPr>
      <w:r>
        <w:t xml:space="preserve">A reminder card will be mailed out in the middle of the self-enumeration period to remind selected producers of their opportunities for responding. </w:t>
      </w:r>
    </w:p>
    <w:p w:rsidR="00BE5F2E" w:rsidP="00BE5F2E" w:rsidRDefault="00BE5F2E" w14:paraId="129F8C53" w14:textId="77777777">
      <w:pPr>
        <w:autoSpaceDE w:val="0"/>
        <w:autoSpaceDN w:val="0"/>
        <w:adjustRightInd w:val="0"/>
        <w:ind w:left="720"/>
      </w:pPr>
      <w:bookmarkStart w:name="_Hlk68531529" w:id="35"/>
      <w:bookmarkStart w:name="_Hlk68531559" w:id="36"/>
    </w:p>
    <w:p w:rsidR="00A15641" w:rsidP="00BE5F2E" w:rsidRDefault="00A15641" w14:paraId="01956C62" w14:textId="697FF0AB">
      <w:pPr>
        <w:numPr>
          <w:ilvl w:val="0"/>
          <w:numId w:val="4"/>
        </w:numPr>
        <w:autoSpaceDE w:val="0"/>
        <w:autoSpaceDN w:val="0"/>
        <w:adjustRightInd w:val="0"/>
        <w:ind w:left="720"/>
      </w:pPr>
      <w:r>
        <w:lastRenderedPageBreak/>
        <w:t xml:space="preserve">A thank you card (considered an incentive) will be sent to all producers who complete </w:t>
      </w:r>
      <w:bookmarkEnd w:id="35"/>
      <w:bookmarkEnd w:id="36"/>
      <w:r>
        <w:t>the NASS Phase.</w:t>
      </w:r>
    </w:p>
    <w:p w:rsidRPr="00560E9C" w:rsidR="00BE5F2E" w:rsidP="00BE5F2E" w:rsidRDefault="00BE5F2E" w14:paraId="6C40BA84" w14:textId="77777777">
      <w:pPr>
        <w:autoSpaceDE w:val="0"/>
        <w:autoSpaceDN w:val="0"/>
        <w:adjustRightInd w:val="0"/>
        <w:ind w:left="720"/>
      </w:pPr>
    </w:p>
    <w:p w:rsidR="00A15641" w:rsidP="00BE5F2E" w:rsidRDefault="00773BB3" w14:paraId="5C6B9662" w14:textId="5DF70F11">
      <w:pPr>
        <w:pStyle w:val="DefaultText"/>
        <w:numPr>
          <w:ilvl w:val="0"/>
          <w:numId w:val="4"/>
        </w:numPr>
        <w:ind w:left="720"/>
      </w:pPr>
      <w:r>
        <w:rPr>
          <w:rStyle w:val="InitialStyle"/>
          <w:rFonts w:eastAsiaTheme="majorEastAsia"/>
        </w:rPr>
        <w:t xml:space="preserve">APHIS </w:t>
      </w:r>
      <w:r w:rsidR="00A15641">
        <w:rPr>
          <w:rStyle w:val="InitialStyle"/>
          <w:rFonts w:eastAsiaTheme="majorEastAsia"/>
        </w:rPr>
        <w:t>conducted meetings and discussions with industry representatives from the summer of 2020 through present to get their support</w:t>
      </w:r>
      <w:r w:rsidRPr="005B4C2D" w:rsidR="00A15641">
        <w:rPr>
          <w:rStyle w:val="InitialStyle"/>
          <w:rFonts w:eastAsiaTheme="majorEastAsia"/>
        </w:rPr>
        <w:t>.</w:t>
      </w:r>
      <w:r w:rsidR="00A15641">
        <w:rPr>
          <w:rStyle w:val="InitialStyle"/>
          <w:rFonts w:eastAsiaTheme="majorEastAsia"/>
        </w:rPr>
        <w:t xml:space="preserve"> The survey mail-out to selected participants will include a launch sheet expressing support from the National Bison Association and associated industry associations, and other bison industry representatives.</w:t>
      </w:r>
    </w:p>
    <w:p w:rsidR="00BE5F2E" w:rsidP="00BE5F2E" w:rsidRDefault="00BE5F2E" w14:paraId="677D13B3" w14:textId="77777777">
      <w:pPr>
        <w:pStyle w:val="DefaultText"/>
        <w:ind w:left="720"/>
      </w:pPr>
    </w:p>
    <w:p w:rsidRPr="00560E9C" w:rsidR="00A15641" w:rsidP="00BE5F2E" w:rsidRDefault="00A15641" w14:paraId="267522F1" w14:textId="13E8DD43">
      <w:pPr>
        <w:pStyle w:val="DefaultText"/>
        <w:numPr>
          <w:ilvl w:val="0"/>
          <w:numId w:val="4"/>
        </w:numPr>
        <w:ind w:left="720"/>
      </w:pPr>
      <w:r>
        <w:t xml:space="preserve">During the CATI followup to non-respondents of the PASI and CASI, </w:t>
      </w:r>
      <w:r w:rsidRPr="00560E9C">
        <w:t xml:space="preserve">NASS enumerators will </w:t>
      </w:r>
      <w:r>
        <w:t xml:space="preserve">use an established contact protocol </w:t>
      </w:r>
      <w:r w:rsidRPr="00560E9C">
        <w:t xml:space="preserve">before </w:t>
      </w:r>
      <w:r w:rsidR="005F5DA5">
        <w:t>an operation is</w:t>
      </w:r>
      <w:r w:rsidRPr="00560E9C">
        <w:t xml:space="preserve"> listed as a refu</w:t>
      </w:r>
      <w:r>
        <w:t>s</w:t>
      </w:r>
      <w:r w:rsidR="005F5DA5">
        <w:t>al</w:t>
      </w:r>
      <w:r>
        <w:t xml:space="preserve"> or inaccessible bison operation. </w:t>
      </w:r>
      <w:r w:rsidRPr="00560E9C">
        <w:t xml:space="preserve">NASS enumerators have gone through specific training to help them answer questions of reluctant producers to maximize response rates.  </w:t>
      </w:r>
    </w:p>
    <w:p w:rsidR="00A15641" w:rsidP="00BE5F2E" w:rsidRDefault="00A15641" w14:paraId="76CA47B9" w14:textId="2745592B">
      <w:pPr>
        <w:pStyle w:val="Heading3"/>
        <w:ind w:left="720" w:hanging="360"/>
        <w:rPr>
          <w:rStyle w:val="InitialStyle"/>
          <w:rFonts w:ascii="Times New Roman" w:hAnsi="Times New Roman" w:cs="Times New Roman" w:eastAsiaTheme="majorEastAsia"/>
          <w:caps/>
          <w:sz w:val="24"/>
          <w:szCs w:val="24"/>
          <w:u w:val="single"/>
        </w:rPr>
      </w:pPr>
      <w:r w:rsidRPr="004D3ABD">
        <w:rPr>
          <w:rStyle w:val="InitialStyle"/>
          <w:rFonts w:ascii="Times New Roman" w:hAnsi="Times New Roman" w:cs="Times New Roman" w:eastAsiaTheme="majorEastAsia"/>
          <w:caps/>
          <w:sz w:val="24"/>
          <w:szCs w:val="24"/>
          <w:u w:val="single"/>
        </w:rPr>
        <w:t>Non-response adjustment:</w:t>
      </w:r>
    </w:p>
    <w:p w:rsidRPr="00BE5F2E" w:rsidR="00BE5F2E" w:rsidP="00BE5F2E" w:rsidRDefault="00BE5F2E" w14:paraId="2A7A888F" w14:textId="77777777">
      <w:pPr>
        <w:rPr>
          <w:rFonts w:eastAsiaTheme="majorEastAsia"/>
        </w:rPr>
      </w:pPr>
    </w:p>
    <w:p w:rsidRPr="00560E9C" w:rsidR="00A15641" w:rsidP="00BE5F2E" w:rsidRDefault="00A15641" w14:paraId="492E6BAF" w14:textId="77777777">
      <w:pPr>
        <w:numPr>
          <w:ilvl w:val="0"/>
          <w:numId w:val="10"/>
        </w:numPr>
        <w:autoSpaceDE w:val="0"/>
        <w:autoSpaceDN w:val="0"/>
        <w:adjustRightInd w:val="0"/>
        <w:ind w:left="720"/>
      </w:pPr>
      <w:r w:rsidRPr="00560E9C">
        <w:t xml:space="preserve">Baseline </w:t>
      </w:r>
      <w:r>
        <w:t>expected response rates are taken from the NAHMS Bison 2014, Cervid 2014, Beef 2017, and Goat 2019 studies and are shown in Table B.1 in Appendix B.</w:t>
      </w:r>
    </w:p>
    <w:p w:rsidR="00BE5F2E" w:rsidP="00BE5F2E" w:rsidRDefault="00BE5F2E" w14:paraId="54DFB466" w14:textId="77777777">
      <w:pPr>
        <w:autoSpaceDE w:val="0"/>
        <w:autoSpaceDN w:val="0"/>
        <w:adjustRightInd w:val="0"/>
        <w:ind w:left="720"/>
      </w:pPr>
    </w:p>
    <w:p w:rsidRPr="00560E9C" w:rsidR="00A15641" w:rsidP="00BE5F2E" w:rsidRDefault="00A15641" w14:paraId="14E5EC92" w14:textId="39D5A9CB">
      <w:pPr>
        <w:numPr>
          <w:ilvl w:val="0"/>
          <w:numId w:val="10"/>
        </w:numPr>
        <w:autoSpaceDE w:val="0"/>
        <w:autoSpaceDN w:val="0"/>
        <w:adjustRightInd w:val="0"/>
        <w:ind w:left="720"/>
      </w:pPr>
      <w:r>
        <w:t>APHIS will adjust s</w:t>
      </w:r>
      <w:r w:rsidRPr="00560E9C">
        <w:t>election weights adjusted for non</w:t>
      </w:r>
      <w:r w:rsidR="007A7B14">
        <w:t>-</w:t>
      </w:r>
      <w:r w:rsidRPr="00560E9C">
        <w:t>response</w:t>
      </w:r>
      <w:r>
        <w:t xml:space="preserve"> using NASS-supplied stratification variables</w:t>
      </w:r>
      <w:r w:rsidRPr="00560E9C">
        <w:t xml:space="preserve">. </w:t>
      </w:r>
      <w:r>
        <w:t>W</w:t>
      </w:r>
      <w:r w:rsidRPr="00560E9C">
        <w:t>eights of eligible non-respondents</w:t>
      </w:r>
      <w:r>
        <w:t xml:space="preserve"> will be transferred</w:t>
      </w:r>
      <w:r w:rsidRPr="00560E9C">
        <w:t xml:space="preserve"> to responding </w:t>
      </w:r>
      <w:r>
        <w:t>bison operations</w:t>
      </w:r>
      <w:r w:rsidRPr="00560E9C">
        <w:t xml:space="preserve"> that are most similar based on available data, including the </w:t>
      </w:r>
      <w:r>
        <w:t>State</w:t>
      </w:r>
      <w:r w:rsidRPr="00560E9C">
        <w:t xml:space="preserve"> and size category stratification variables. The non</w:t>
      </w:r>
      <w:r w:rsidR="007A7B14">
        <w:t>-</w:t>
      </w:r>
      <w:r w:rsidRPr="00560E9C">
        <w:t xml:space="preserve">response adjustment will use the method of propensity scores, </w:t>
      </w:r>
      <w:r>
        <w:t>in which</w:t>
      </w:r>
      <w:r w:rsidRPr="00560E9C">
        <w:t xml:space="preserve"> a logistic regression model is constructed to predict the probability of responding. The inverse of this probability is the nonresponse adjustment.</w:t>
      </w:r>
    </w:p>
    <w:p w:rsidR="00BE5F2E" w:rsidP="00BE5F2E" w:rsidRDefault="00BE5F2E" w14:paraId="3C546A53" w14:textId="77777777">
      <w:pPr>
        <w:autoSpaceDE w:val="0"/>
        <w:autoSpaceDN w:val="0"/>
        <w:adjustRightInd w:val="0"/>
        <w:ind w:left="720"/>
      </w:pPr>
    </w:p>
    <w:p w:rsidRPr="00560E9C" w:rsidR="00A15641" w:rsidP="00BE5F2E" w:rsidRDefault="00A15641" w14:paraId="53B16844" w14:textId="25189D39">
      <w:pPr>
        <w:numPr>
          <w:ilvl w:val="0"/>
          <w:numId w:val="10"/>
        </w:numPr>
        <w:autoSpaceDE w:val="0"/>
        <w:autoSpaceDN w:val="0"/>
        <w:adjustRightInd w:val="0"/>
        <w:ind w:left="720"/>
      </w:pPr>
      <w:r w:rsidRPr="00560E9C">
        <w:t xml:space="preserve">If the respondents differ substantially from the non-respondents, then there is potential for bias.  NASS’ List Frame data may be available for both respondents and non-respondents to allow for examination of potential differences in type of responding and non-responding </w:t>
      </w:r>
      <w:r>
        <w:t>bison operations</w:t>
      </w:r>
      <w:r w:rsidRPr="00560E9C">
        <w:t xml:space="preserve">. If needed, </w:t>
      </w:r>
      <w:r>
        <w:t xml:space="preserve">APHIS will perform </w:t>
      </w:r>
      <w:r w:rsidRPr="00560E9C">
        <w:t>a non</w:t>
      </w:r>
      <w:r w:rsidR="007A7B14">
        <w:t>-</w:t>
      </w:r>
      <w:r w:rsidRPr="00560E9C">
        <w:t>response bias analysis to investigate unexpected response patterns to guide future sampling efforts.</w:t>
      </w:r>
      <w:r>
        <w:t xml:space="preserve"> If significant nonresponse bias is found, the factors contributing to the bias will be incorporated into the nonresponse weight adjustment using post-stratification raking procedures. </w:t>
      </w:r>
    </w:p>
    <w:p w:rsidR="00A15641" w:rsidP="00BE5F2E" w:rsidRDefault="00A15641" w14:paraId="57F9E0A1" w14:textId="0D7FCB18">
      <w:pPr>
        <w:pStyle w:val="Heading3"/>
        <w:ind w:left="720" w:hanging="360"/>
        <w:rPr>
          <w:rStyle w:val="InitialStyle"/>
          <w:rFonts w:ascii="Times New Roman" w:hAnsi="Times New Roman" w:cs="Times New Roman" w:eastAsiaTheme="majorEastAsia"/>
          <w:caps/>
          <w:sz w:val="24"/>
          <w:szCs w:val="24"/>
          <w:u w:val="single"/>
        </w:rPr>
      </w:pPr>
      <w:r w:rsidRPr="00757E85">
        <w:rPr>
          <w:rStyle w:val="InitialStyle"/>
          <w:rFonts w:ascii="Times New Roman" w:hAnsi="Times New Roman" w:cs="Times New Roman" w:eastAsiaTheme="majorEastAsia"/>
          <w:caps/>
          <w:sz w:val="24"/>
          <w:szCs w:val="24"/>
          <w:u w:val="single"/>
        </w:rPr>
        <w:t>Sampling and design strategies:</w:t>
      </w:r>
    </w:p>
    <w:p w:rsidRPr="00BE5F2E" w:rsidR="00BE5F2E" w:rsidP="00BE5F2E" w:rsidRDefault="00BE5F2E" w14:paraId="7A9F227E" w14:textId="77777777"/>
    <w:p w:rsidRPr="00560E9C" w:rsidR="00A15641" w:rsidP="00BE5F2E" w:rsidRDefault="00A15641" w14:paraId="282B57DB" w14:textId="77777777">
      <w:pPr>
        <w:numPr>
          <w:ilvl w:val="0"/>
          <w:numId w:val="10"/>
        </w:numPr>
        <w:autoSpaceDE w:val="0"/>
        <w:autoSpaceDN w:val="0"/>
        <w:adjustRightInd w:val="0"/>
        <w:ind w:left="720"/>
      </w:pPr>
      <w:r w:rsidRPr="00560E9C">
        <w:t xml:space="preserve">Sampling from the NASS List Frame after the NASS 2017 Census of Agriculture will help to maintain adequate response rates by avoiding </w:t>
      </w:r>
      <w:r>
        <w:t>bison operations</w:t>
      </w:r>
      <w:r w:rsidRPr="00560E9C">
        <w:t xml:space="preserve"> that are out of scope, out of business, or otherwise do not have animals at the time of contact.</w:t>
      </w:r>
      <w:r>
        <w:t xml:space="preserve"> Bison operations are not surveyed often, and this was the last time NASS conducted a survey specifically for bison operations.</w:t>
      </w:r>
    </w:p>
    <w:p w:rsidR="00BE5F2E" w:rsidP="00BE5F2E" w:rsidRDefault="00BE5F2E" w14:paraId="53D0E534" w14:textId="77777777">
      <w:pPr>
        <w:autoSpaceDE w:val="0"/>
        <w:autoSpaceDN w:val="0"/>
        <w:adjustRightInd w:val="0"/>
        <w:ind w:left="720"/>
      </w:pPr>
    </w:p>
    <w:p w:rsidR="00BE5F2E" w:rsidP="00BE5F2E" w:rsidRDefault="00A15641" w14:paraId="64999E2A" w14:textId="7F622CA8">
      <w:pPr>
        <w:numPr>
          <w:ilvl w:val="0"/>
          <w:numId w:val="10"/>
        </w:numPr>
        <w:autoSpaceDE w:val="0"/>
        <w:autoSpaceDN w:val="0"/>
        <w:adjustRightInd w:val="0"/>
        <w:ind w:left="720"/>
      </w:pPr>
      <w:r>
        <w:t xml:space="preserve">Due to the statistical design requiring a census of the entire U.S., the modes of administration through PASI, CATI, and CASI were chosen to meet the varied response </w:t>
      </w:r>
      <w:r>
        <w:lastRenderedPageBreak/>
        <w:t>mode preferences of producers. Preferred response modes vary across the population, and so making available a selection of response opportunities to fit producer’s schedules and preferences has been important to maximizing response in a COVID-19 environment and will continue to be important going forward</w:t>
      </w:r>
      <w:r w:rsidR="00BE5F2E">
        <w:t>.</w:t>
      </w:r>
    </w:p>
    <w:p w:rsidR="00BE5F2E" w:rsidP="00BE5F2E" w:rsidRDefault="00BE5F2E" w14:paraId="745819CC" w14:textId="789BE373">
      <w:pPr>
        <w:autoSpaceDE w:val="0"/>
        <w:autoSpaceDN w:val="0"/>
        <w:adjustRightInd w:val="0"/>
      </w:pPr>
    </w:p>
    <w:p w:rsidRPr="00BE5F2E" w:rsidR="00A15641" w:rsidP="00A15641" w:rsidRDefault="00A15641" w14:paraId="3326D670" w14:textId="77777777">
      <w:pPr>
        <w:pStyle w:val="Heading2"/>
        <w:numPr>
          <w:ilvl w:val="0"/>
          <w:numId w:val="7"/>
        </w:numPr>
        <w:ind w:left="0" w:firstLine="0"/>
        <w:rPr>
          <w:rStyle w:val="InitialStyle"/>
          <w:rFonts w:ascii="Times New Roman" w:hAnsi="Times New Roman" w:cs="Times New Roman" w:eastAsiaTheme="majorEastAsia"/>
          <w:i w:val="0"/>
          <w:sz w:val="24"/>
          <w:szCs w:val="24"/>
        </w:rPr>
      </w:pPr>
      <w:bookmarkStart w:name="_Toc120517355" w:id="37"/>
      <w:bookmarkStart w:name="_Toc121289114" w:id="38"/>
      <w:bookmarkStart w:name="_Toc133308583" w:id="39"/>
      <w:bookmarkStart w:name="_Toc142106618" w:id="40"/>
      <w:r w:rsidRPr="00BE5F2E">
        <w:rPr>
          <w:rStyle w:val="InitialStyle"/>
          <w:rFonts w:ascii="Times New Roman" w:hAnsi="Times New Roman" w:cs="Times New Roman" w:eastAsiaTheme="majorEastAsia"/>
          <w:i w:val="0"/>
          <w:sz w:val="24"/>
          <w:szCs w:val="24"/>
        </w:rPr>
        <w:t>D</w:t>
      </w:r>
      <w:r w:rsidRPr="00BE5F2E">
        <w:rPr>
          <w:rFonts w:ascii="Times New Roman" w:hAnsi="Times New Roman" w:cs="Times New Roman"/>
          <w:i w:val="0"/>
          <w:sz w:val="24"/>
          <w:szCs w:val="24"/>
        </w:rPr>
        <w:t>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37"/>
      <w:bookmarkEnd w:id="38"/>
      <w:bookmarkEnd w:id="39"/>
      <w:bookmarkEnd w:id="40"/>
    </w:p>
    <w:p w:rsidRPr="005B4C2D" w:rsidR="00A15641" w:rsidP="00A15641" w:rsidRDefault="00A15641" w14:paraId="73FD488C" w14:textId="77777777">
      <w:pPr>
        <w:pStyle w:val="DefaultText"/>
        <w:rPr>
          <w:rStyle w:val="InitialStyle"/>
          <w:rFonts w:eastAsiaTheme="majorEastAsia"/>
        </w:rPr>
      </w:pPr>
    </w:p>
    <w:p w:rsidR="00A15641" w:rsidP="00A15641" w:rsidRDefault="00A15641" w14:paraId="56D51619" w14:textId="77777777">
      <w:pPr>
        <w:pStyle w:val="BODY11Indent"/>
        <w:spacing w:after="240"/>
        <w:ind w:left="0"/>
        <w:rPr>
          <w:bCs w:val="0"/>
          <w:snapToGrid w:val="0"/>
          <w:sz w:val="24"/>
          <w:szCs w:val="20"/>
        </w:rPr>
      </w:pPr>
      <w:r w:rsidRPr="00475964">
        <w:rPr>
          <w:bCs w:val="0"/>
          <w:snapToGrid w:val="0"/>
          <w:sz w:val="24"/>
          <w:szCs w:val="20"/>
        </w:rPr>
        <w:t>APHIS</w:t>
      </w:r>
      <w:r>
        <w:rPr>
          <w:bCs w:val="0"/>
          <w:snapToGrid w:val="0"/>
          <w:sz w:val="24"/>
          <w:szCs w:val="20"/>
        </w:rPr>
        <w:t xml:space="preserve"> and NASS</w:t>
      </w:r>
      <w:r w:rsidRPr="00475964">
        <w:rPr>
          <w:bCs w:val="0"/>
          <w:snapToGrid w:val="0"/>
          <w:sz w:val="24"/>
          <w:szCs w:val="20"/>
        </w:rPr>
        <w:t xml:space="preserve"> </w:t>
      </w:r>
      <w:r>
        <w:rPr>
          <w:bCs w:val="0"/>
          <w:snapToGrid w:val="0"/>
          <w:sz w:val="24"/>
          <w:szCs w:val="20"/>
        </w:rPr>
        <w:t>will pretest the survey</w:t>
      </w:r>
      <w:r w:rsidRPr="00475964">
        <w:rPr>
          <w:bCs w:val="0"/>
          <w:snapToGrid w:val="0"/>
          <w:sz w:val="24"/>
          <w:szCs w:val="20"/>
        </w:rPr>
        <w:t xml:space="preserve"> prior to field enumeration, involving fewer than 10 respondents. </w:t>
      </w:r>
      <w:r>
        <w:rPr>
          <w:bCs w:val="0"/>
          <w:snapToGrid w:val="0"/>
          <w:sz w:val="24"/>
          <w:szCs w:val="20"/>
        </w:rPr>
        <w:t>APHIS will use the r</w:t>
      </w:r>
      <w:r w:rsidRPr="00475964">
        <w:rPr>
          <w:bCs w:val="0"/>
          <w:snapToGrid w:val="0"/>
          <w:sz w:val="24"/>
          <w:szCs w:val="20"/>
        </w:rPr>
        <w:t xml:space="preserve">esults of these pretests to refine the </w:t>
      </w:r>
      <w:r>
        <w:rPr>
          <w:bCs w:val="0"/>
          <w:snapToGrid w:val="0"/>
          <w:sz w:val="24"/>
          <w:szCs w:val="20"/>
        </w:rPr>
        <w:t>survey</w:t>
      </w:r>
      <w:r w:rsidRPr="00475964">
        <w:rPr>
          <w:bCs w:val="0"/>
          <w:snapToGrid w:val="0"/>
          <w:sz w:val="24"/>
          <w:szCs w:val="20"/>
        </w:rPr>
        <w:t xml:space="preserve">s in order to reduce respondent burden and improve the </w:t>
      </w:r>
      <w:r>
        <w:rPr>
          <w:bCs w:val="0"/>
          <w:snapToGrid w:val="0"/>
          <w:sz w:val="24"/>
          <w:szCs w:val="20"/>
        </w:rPr>
        <w:t xml:space="preserve">accuracy and </w:t>
      </w:r>
      <w:r w:rsidRPr="00475964">
        <w:rPr>
          <w:bCs w:val="0"/>
          <w:snapToGrid w:val="0"/>
          <w:sz w:val="24"/>
          <w:szCs w:val="20"/>
        </w:rPr>
        <w:t xml:space="preserve">usefulness of the information. </w:t>
      </w:r>
      <w:r>
        <w:rPr>
          <w:bCs w:val="0"/>
          <w:snapToGrid w:val="0"/>
          <w:sz w:val="24"/>
          <w:szCs w:val="20"/>
        </w:rPr>
        <w:t xml:space="preserve">The pretested and </w:t>
      </w:r>
      <w:r w:rsidRPr="00475964">
        <w:rPr>
          <w:bCs w:val="0"/>
          <w:snapToGrid w:val="0"/>
          <w:sz w:val="24"/>
          <w:szCs w:val="20"/>
        </w:rPr>
        <w:t xml:space="preserve">revised questions from </w:t>
      </w:r>
      <w:r>
        <w:rPr>
          <w:bCs w:val="0"/>
          <w:snapToGrid w:val="0"/>
          <w:sz w:val="24"/>
          <w:szCs w:val="20"/>
        </w:rPr>
        <w:t xml:space="preserve">the </w:t>
      </w:r>
      <w:r w:rsidRPr="00475964">
        <w:rPr>
          <w:bCs w:val="0"/>
          <w:snapToGrid w:val="0"/>
          <w:sz w:val="24"/>
          <w:szCs w:val="20"/>
        </w:rPr>
        <w:t xml:space="preserve">NAHMS </w:t>
      </w:r>
      <w:r>
        <w:rPr>
          <w:bCs w:val="0"/>
          <w:snapToGrid w:val="0"/>
          <w:sz w:val="24"/>
          <w:szCs w:val="20"/>
        </w:rPr>
        <w:t>Bison 2014 Study will be used as a baseline, where possible, in order to borrow from the work performed during that study and to ensure that trends on particular topics can be drawn between the two studies</w:t>
      </w:r>
      <w:r w:rsidRPr="00475964">
        <w:rPr>
          <w:bCs w:val="0"/>
          <w:snapToGrid w:val="0"/>
          <w:sz w:val="24"/>
          <w:szCs w:val="20"/>
        </w:rPr>
        <w:t xml:space="preserve">. </w:t>
      </w:r>
      <w:r>
        <w:rPr>
          <w:bCs w:val="0"/>
          <w:snapToGrid w:val="0"/>
          <w:sz w:val="24"/>
          <w:szCs w:val="20"/>
        </w:rPr>
        <w:t>The f</w:t>
      </w:r>
      <w:r w:rsidRPr="00475964">
        <w:rPr>
          <w:bCs w:val="0"/>
          <w:snapToGrid w:val="0"/>
          <w:sz w:val="24"/>
          <w:szCs w:val="20"/>
        </w:rPr>
        <w:t xml:space="preserve">inal </w:t>
      </w:r>
      <w:r>
        <w:rPr>
          <w:bCs w:val="0"/>
          <w:snapToGrid w:val="0"/>
          <w:sz w:val="24"/>
          <w:szCs w:val="20"/>
        </w:rPr>
        <w:t xml:space="preserve">survey utilized in the NASS Phase </w:t>
      </w:r>
      <w:r w:rsidRPr="00475964">
        <w:rPr>
          <w:bCs w:val="0"/>
          <w:snapToGrid w:val="0"/>
          <w:sz w:val="24"/>
          <w:szCs w:val="20"/>
        </w:rPr>
        <w:t xml:space="preserve">will have been reviewed by a variety of experts, including academic researchers, </w:t>
      </w:r>
      <w:r>
        <w:rPr>
          <w:bCs w:val="0"/>
          <w:snapToGrid w:val="0"/>
          <w:sz w:val="24"/>
          <w:szCs w:val="20"/>
        </w:rPr>
        <w:t>industry</w:t>
      </w:r>
      <w:r w:rsidRPr="00475964">
        <w:rPr>
          <w:bCs w:val="0"/>
          <w:snapToGrid w:val="0"/>
          <w:sz w:val="24"/>
          <w:szCs w:val="20"/>
        </w:rPr>
        <w:t xml:space="preserve"> representatives, extension agents, veterinarians, health specialists, and epidemiologists.</w:t>
      </w:r>
    </w:p>
    <w:p w:rsidR="00A15641" w:rsidP="00A15641" w:rsidRDefault="00A15641" w14:paraId="47BDA502" w14:textId="77777777">
      <w:pPr>
        <w:pStyle w:val="DefaultText"/>
        <w:ind w:left="720" w:hanging="720"/>
        <w:rPr>
          <w:rStyle w:val="InitialStyle"/>
          <w:rFonts w:eastAsiaTheme="majorEastAsia"/>
          <w:b/>
        </w:rPr>
      </w:pPr>
      <w:bookmarkStart w:name="_Toc120517356" w:id="41"/>
      <w:bookmarkStart w:name="_Toc121289115" w:id="42"/>
      <w:bookmarkStart w:name="_Toc133308584" w:id="43"/>
      <w:bookmarkStart w:name="_Toc142106619" w:id="44"/>
    </w:p>
    <w:p w:rsidRPr="00BE5F2E" w:rsidR="00A15641" w:rsidP="00A15641" w:rsidRDefault="00A15641" w14:paraId="51701518" w14:textId="77777777">
      <w:pPr>
        <w:pStyle w:val="DefaultText"/>
        <w:tabs>
          <w:tab w:val="left" w:pos="360"/>
        </w:tabs>
        <w:ind w:left="360" w:hanging="360"/>
        <w:rPr>
          <w:rStyle w:val="InitialStyle"/>
          <w:rFonts w:eastAsiaTheme="majorEastAsia"/>
          <w:b/>
        </w:rPr>
      </w:pPr>
      <w:r w:rsidRPr="00BE5F2E">
        <w:rPr>
          <w:rStyle w:val="InitialStyle"/>
          <w:rFonts w:eastAsiaTheme="majorEastAsia"/>
          <w:b/>
        </w:rPr>
        <w:t>5.</w:t>
      </w:r>
      <w:r w:rsidRPr="00BE5F2E">
        <w:rPr>
          <w:rStyle w:val="InitialStyle"/>
          <w:rFonts w:eastAsiaTheme="majorEastAsia"/>
          <w:b/>
        </w:rPr>
        <w:tab/>
        <w:t>P</w:t>
      </w:r>
      <w:r w:rsidRPr="00BE5F2E">
        <w:rPr>
          <w:b/>
        </w:rPr>
        <w:t>rovide the name and telephone number of individuals consulted on statistical aspects of the design and the name of the agency unit, contractor(s), grantee(s), or other person(s) who will actually collect and/or analyze the information for the agency.</w:t>
      </w:r>
      <w:bookmarkEnd w:id="41"/>
      <w:bookmarkEnd w:id="42"/>
      <w:bookmarkEnd w:id="43"/>
      <w:bookmarkEnd w:id="44"/>
    </w:p>
    <w:p w:rsidRPr="005B4C2D" w:rsidR="00A15641" w:rsidP="00A15641" w:rsidRDefault="00A15641" w14:paraId="53E60B9D" w14:textId="77777777">
      <w:pPr>
        <w:pStyle w:val="DefaultText"/>
        <w:rPr>
          <w:rStyle w:val="InitialStyle"/>
          <w:rFonts w:eastAsiaTheme="majorEastAsia"/>
          <w:b/>
        </w:rPr>
      </w:pPr>
    </w:p>
    <w:p w:rsidRPr="00475964" w:rsidR="00A15641" w:rsidP="00BE5F2E" w:rsidRDefault="00A15641" w14:paraId="3B587455" w14:textId="77777777">
      <w:pPr>
        <w:pStyle w:val="BODY11Indent"/>
        <w:ind w:left="360"/>
        <w:rPr>
          <w:sz w:val="24"/>
        </w:rPr>
      </w:pPr>
      <w:r w:rsidRPr="00475964">
        <w:rPr>
          <w:sz w:val="24"/>
        </w:rPr>
        <w:t xml:space="preserve">The statistical aspects of </w:t>
      </w:r>
      <w:r>
        <w:rPr>
          <w:sz w:val="24"/>
        </w:rPr>
        <w:t>the design were coordinated by:</w:t>
      </w:r>
    </w:p>
    <w:p w:rsidRPr="00475964" w:rsidR="00A15641" w:rsidP="00BE5F2E" w:rsidRDefault="00A15641" w14:paraId="4B73A2BE" w14:textId="49F6CC28">
      <w:pPr>
        <w:pStyle w:val="BODY11Indent"/>
        <w:spacing w:after="240"/>
        <w:ind w:left="360"/>
        <w:rPr>
          <w:sz w:val="24"/>
        </w:rPr>
      </w:pPr>
      <w:r w:rsidRPr="00475964">
        <w:rPr>
          <w:sz w:val="24"/>
        </w:rPr>
        <w:t>Mr. Matthew Branan, Mathematical Statistician, USDA, APHIS,</w:t>
      </w:r>
      <w:r>
        <w:rPr>
          <w:sz w:val="24"/>
        </w:rPr>
        <w:t xml:space="preserve"> VS, NAHMS, Fort Collins, CO </w:t>
      </w:r>
      <w:r w:rsidRPr="00475964">
        <w:rPr>
          <w:sz w:val="24"/>
        </w:rPr>
        <w:t>(970-494-7349)</w:t>
      </w:r>
      <w:r>
        <w:rPr>
          <w:sz w:val="24"/>
        </w:rPr>
        <w:t xml:space="preserve">.  </w:t>
      </w:r>
    </w:p>
    <w:p w:rsidRPr="00475964" w:rsidR="00A15641" w:rsidP="00BE5F2E" w:rsidRDefault="00A15641" w14:paraId="2E371FE7" w14:textId="77777777">
      <w:pPr>
        <w:pStyle w:val="BODY11Indent"/>
        <w:ind w:left="360"/>
        <w:rPr>
          <w:sz w:val="24"/>
        </w:rPr>
      </w:pPr>
      <w:r w:rsidRPr="00475964">
        <w:rPr>
          <w:sz w:val="24"/>
        </w:rPr>
        <w:t xml:space="preserve">For </w:t>
      </w:r>
      <w:r>
        <w:rPr>
          <w:sz w:val="24"/>
        </w:rPr>
        <w:t>survey</w:t>
      </w:r>
      <w:r w:rsidRPr="00475964">
        <w:rPr>
          <w:sz w:val="24"/>
        </w:rPr>
        <w:t xml:space="preserve"> design and methodolo</w:t>
      </w:r>
      <w:r>
        <w:rPr>
          <w:sz w:val="24"/>
        </w:rPr>
        <w:t>gy and for a NASS review of the OMB package submission, NAHMS will coordinate with survey methodologists reporting to:</w:t>
      </w:r>
    </w:p>
    <w:p w:rsidR="00A15641" w:rsidP="00BE5F2E" w:rsidRDefault="00A15641" w14:paraId="13CFA255" w14:textId="3AB017CD">
      <w:pPr>
        <w:pStyle w:val="BODY11Indent"/>
        <w:spacing w:after="240"/>
        <w:ind w:left="360"/>
        <w:rPr>
          <w:sz w:val="24"/>
        </w:rPr>
      </w:pPr>
      <w:r>
        <w:rPr>
          <w:sz w:val="24"/>
        </w:rPr>
        <w:t xml:space="preserve">Mr. Daniel Beckler, Chief, Standards and Survey Development Methodology Branch, </w:t>
      </w:r>
      <w:r w:rsidRPr="00475964">
        <w:rPr>
          <w:sz w:val="24"/>
        </w:rPr>
        <w:t>USDA, NASS</w:t>
      </w:r>
      <w:r>
        <w:rPr>
          <w:sz w:val="24"/>
        </w:rPr>
        <w:t>, Washington, DC (</w:t>
      </w:r>
      <w:r w:rsidRPr="00F67256">
        <w:rPr>
          <w:sz w:val="24"/>
        </w:rPr>
        <w:t>202-720-8858</w:t>
      </w:r>
      <w:r>
        <w:rPr>
          <w:sz w:val="24"/>
        </w:rPr>
        <w:t>).</w:t>
      </w:r>
    </w:p>
    <w:p w:rsidRPr="00475964" w:rsidR="00A15641" w:rsidP="00BE5F2E" w:rsidRDefault="00A15641" w14:paraId="1F936050" w14:textId="01A98989">
      <w:pPr>
        <w:pStyle w:val="BODY11Indent"/>
        <w:ind w:left="360"/>
        <w:rPr>
          <w:sz w:val="24"/>
        </w:rPr>
      </w:pPr>
      <w:r w:rsidRPr="00475964">
        <w:rPr>
          <w:sz w:val="24"/>
        </w:rPr>
        <w:t xml:space="preserve">The actual </w:t>
      </w:r>
      <w:r w:rsidR="00BF6683">
        <w:rPr>
          <w:sz w:val="24"/>
        </w:rPr>
        <w:t xml:space="preserve">enumerated </w:t>
      </w:r>
      <w:r w:rsidRPr="00475964">
        <w:rPr>
          <w:sz w:val="24"/>
        </w:rPr>
        <w:t>data collection will be conducted by NASS enumerators (</w:t>
      </w:r>
      <w:r>
        <w:rPr>
          <w:sz w:val="24"/>
        </w:rPr>
        <w:t>the NASS Phase</w:t>
      </w:r>
      <w:r w:rsidRPr="00475964">
        <w:rPr>
          <w:sz w:val="24"/>
        </w:rPr>
        <w:t xml:space="preserve">) and </w:t>
      </w:r>
      <w:r>
        <w:rPr>
          <w:sz w:val="24"/>
        </w:rPr>
        <w:t>the Biologics Phase biological samples will be producer-collected.</w:t>
      </w:r>
      <w:r w:rsidRPr="00475964">
        <w:rPr>
          <w:sz w:val="24"/>
        </w:rPr>
        <w:t xml:space="preserve">  Contact p</w:t>
      </w:r>
      <w:r>
        <w:rPr>
          <w:sz w:val="24"/>
        </w:rPr>
        <w:t>erson for the NASS Phase data collection is:</w:t>
      </w:r>
    </w:p>
    <w:p w:rsidRPr="00475964" w:rsidR="00A15641" w:rsidP="00BE5F2E" w:rsidRDefault="00A15641" w14:paraId="73E290D6" w14:textId="304322D2">
      <w:pPr>
        <w:pStyle w:val="BODY11Indent"/>
        <w:spacing w:after="240"/>
        <w:ind w:left="360"/>
        <w:rPr>
          <w:sz w:val="24"/>
        </w:rPr>
      </w:pPr>
      <w:r w:rsidRPr="00475964">
        <w:rPr>
          <w:sz w:val="24"/>
        </w:rPr>
        <w:t>Mr. Gerald Tillman, Chief, Survey Administration Branch, USDA, NASS, Washingt</w:t>
      </w:r>
      <w:r>
        <w:rPr>
          <w:sz w:val="24"/>
        </w:rPr>
        <w:t>on, D.C. 20250, (202-720-3895).</w:t>
      </w:r>
    </w:p>
    <w:p w:rsidRPr="00475964" w:rsidR="00A15641" w:rsidP="00BE5F2E" w:rsidRDefault="00A15641" w14:paraId="55DB4F49" w14:textId="77777777">
      <w:pPr>
        <w:pStyle w:val="BODY11Indent"/>
        <w:ind w:left="360"/>
        <w:rPr>
          <w:sz w:val="24"/>
        </w:rPr>
      </w:pPr>
      <w:r w:rsidRPr="00475964">
        <w:rPr>
          <w:sz w:val="24"/>
        </w:rPr>
        <w:t xml:space="preserve">Analysis of the data will be accomplished by </w:t>
      </w:r>
      <w:r>
        <w:rPr>
          <w:sz w:val="24"/>
        </w:rPr>
        <w:t>APHIS</w:t>
      </w:r>
      <w:r w:rsidRPr="00475964">
        <w:rPr>
          <w:sz w:val="24"/>
        </w:rPr>
        <w:t xml:space="preserve"> veterinarians, epidemiologists, and statisticians under </w:t>
      </w:r>
      <w:r>
        <w:rPr>
          <w:sz w:val="24"/>
        </w:rPr>
        <w:t>the direction of:</w:t>
      </w:r>
    </w:p>
    <w:p w:rsidRPr="00560E9C" w:rsidR="00A15641" w:rsidP="00BE5F2E" w:rsidRDefault="00A15641" w14:paraId="597D92F0" w14:textId="609D45DE">
      <w:pPr>
        <w:pStyle w:val="BODY11Indent"/>
        <w:spacing w:after="240"/>
        <w:ind w:left="360"/>
        <w:rPr>
          <w:sz w:val="24"/>
        </w:rPr>
      </w:pPr>
      <w:r w:rsidRPr="00475964">
        <w:rPr>
          <w:sz w:val="24"/>
        </w:rPr>
        <w:t xml:space="preserve">Dr. Amy Delgado, </w:t>
      </w:r>
      <w:r>
        <w:rPr>
          <w:sz w:val="24"/>
        </w:rPr>
        <w:t xml:space="preserve">Associate </w:t>
      </w:r>
      <w:r w:rsidRPr="00475964">
        <w:rPr>
          <w:sz w:val="24"/>
        </w:rPr>
        <w:t xml:space="preserve">Director, Monitoring and </w:t>
      </w:r>
      <w:r>
        <w:rPr>
          <w:sz w:val="24"/>
        </w:rPr>
        <w:t>Surveillance</w:t>
      </w:r>
      <w:r w:rsidRPr="00475964">
        <w:rPr>
          <w:sz w:val="24"/>
        </w:rPr>
        <w:t>, USDA APHIS, VS, CEAH, Fort Collins, CO (970-494-7302).</w:t>
      </w:r>
    </w:p>
    <w:p w:rsidRPr="00BC53EC" w:rsidR="00A15641" w:rsidP="00A15641" w:rsidRDefault="00A15641" w14:paraId="21C4069F" w14:textId="77777777">
      <w:pPr>
        <w:autoSpaceDE w:val="0"/>
        <w:autoSpaceDN w:val="0"/>
        <w:adjustRightInd w:val="0"/>
        <w:rPr>
          <w:b/>
        </w:rPr>
      </w:pPr>
      <w:r>
        <w:rPr>
          <w:b/>
        </w:rPr>
        <w:br w:type="page"/>
      </w:r>
    </w:p>
    <w:p w:rsidR="00A15641" w:rsidP="00A15641" w:rsidRDefault="00A15641" w14:paraId="783EC8CA" w14:textId="77777777">
      <w:pPr>
        <w:autoSpaceDE w:val="0"/>
        <w:autoSpaceDN w:val="0"/>
        <w:adjustRightInd w:val="0"/>
        <w:rPr>
          <w:b/>
        </w:rPr>
      </w:pPr>
      <w:r w:rsidRPr="00CC7174">
        <w:rPr>
          <w:b/>
        </w:rPr>
        <w:lastRenderedPageBreak/>
        <w:t xml:space="preserve">Appendix </w:t>
      </w:r>
      <w:r>
        <w:rPr>
          <w:b/>
        </w:rPr>
        <w:t>A</w:t>
      </w:r>
      <w:r w:rsidRPr="00CC7174">
        <w:rPr>
          <w:b/>
        </w:rPr>
        <w:t>:</w:t>
      </w:r>
      <w:r>
        <w:rPr>
          <w:b/>
        </w:rPr>
        <w:t xml:space="preserve"> Precision of Estimates</w:t>
      </w:r>
    </w:p>
    <w:p w:rsidRPr="00CC7174" w:rsidR="00A15641" w:rsidP="00A15641" w:rsidRDefault="00A15641" w14:paraId="1BA9F515" w14:textId="77777777">
      <w:pPr>
        <w:autoSpaceDE w:val="0"/>
        <w:autoSpaceDN w:val="0"/>
        <w:adjustRightInd w:val="0"/>
        <w:rPr>
          <w:b/>
        </w:rPr>
      </w:pPr>
    </w:p>
    <w:p w:rsidR="00A15641" w:rsidP="00A15641" w:rsidRDefault="00A15641" w14:paraId="622BD84E" w14:textId="77777777">
      <w:pPr>
        <w:autoSpaceDE w:val="0"/>
        <w:autoSpaceDN w:val="0"/>
        <w:adjustRightInd w:val="0"/>
        <w:rPr>
          <w:color w:val="000000"/>
        </w:rPr>
      </w:pPr>
      <w:r>
        <w:rPr>
          <w:color w:val="000000"/>
        </w:rPr>
        <w:t xml:space="preserve">Estimates of percent of operations and percent of animals will be reported at the national level and for region and size categories. </w:t>
      </w:r>
    </w:p>
    <w:p w:rsidR="00A15641" w:rsidP="00A15641" w:rsidRDefault="00A15641" w14:paraId="47161296" w14:textId="77777777">
      <w:pPr>
        <w:autoSpaceDE w:val="0"/>
        <w:autoSpaceDN w:val="0"/>
        <w:adjustRightInd w:val="0"/>
        <w:rPr>
          <w:color w:val="000000"/>
        </w:rPr>
      </w:pPr>
    </w:p>
    <w:p w:rsidR="00A15641" w:rsidP="00A15641" w:rsidRDefault="00A15641" w14:paraId="34D3CDB3" w14:textId="77777777">
      <w:r>
        <w:rPr>
          <w:color w:val="000000"/>
        </w:rPr>
        <w:t xml:space="preserve">Estimates of precision for proportions of 0.5, 0.25, and 0.1 are shown in Table A.1 for size and Table A.2 for region. As an example, for the small (10-24 head) size category and an expected proportion of 0.5, the coefficient of variation (CV) is 5.3% in the NASS Phase. </w:t>
      </w:r>
      <w:r>
        <w:t xml:space="preserve">All but three estimates meet the precision criteria for the NASS Phase. Many estimates for the Biologics Phase components exceed the precision criteria and so collapsing of reporting strata may need to be done or reporting may need to be restricted to the National level in order to maintain average CV estimates. </w:t>
      </w:r>
    </w:p>
    <w:p w:rsidRPr="008633AF" w:rsidR="00A15641" w:rsidP="00A15641" w:rsidRDefault="00A15641" w14:paraId="3C871143" w14:textId="77777777"/>
    <w:p w:rsidR="00A15641" w:rsidP="00A15641" w:rsidRDefault="00A15641" w14:paraId="24AE0AE3" w14:textId="27A8B698">
      <w:pPr>
        <w:autoSpaceDE w:val="0"/>
        <w:autoSpaceDN w:val="0"/>
        <w:adjustRightInd w:val="0"/>
        <w:rPr>
          <w:color w:val="000000"/>
        </w:rPr>
      </w:pPr>
      <w:r w:rsidRPr="00D3269F">
        <w:rPr>
          <w:color w:val="000000"/>
        </w:rPr>
        <w:t xml:space="preserve">Table </w:t>
      </w:r>
      <w:r>
        <w:rPr>
          <w:color w:val="000000"/>
        </w:rPr>
        <w:t>A.1</w:t>
      </w:r>
      <w:r w:rsidRPr="00D3269F">
        <w:rPr>
          <w:color w:val="000000"/>
        </w:rPr>
        <w:t>.</w:t>
      </w:r>
      <w:r>
        <w:rPr>
          <w:color w:val="000000"/>
        </w:rPr>
        <w:t xml:space="preserve"> </w:t>
      </w:r>
      <w:r>
        <w:t>Precision estimates at the NASS and Biologics Phases for the Bison 2022 Study, by size of operation</w:t>
      </w:r>
      <w:r w:rsidRPr="00D3269F">
        <w:rPr>
          <w:color w:val="000000"/>
        </w:rPr>
        <w:t>.</w:t>
      </w:r>
    </w:p>
    <w:p w:rsidRPr="00433BC0" w:rsidR="00974844" w:rsidP="00A15641" w:rsidRDefault="00974844" w14:paraId="0E71B505" w14:textId="77777777">
      <w:pPr>
        <w:autoSpaceDE w:val="0"/>
        <w:autoSpaceDN w:val="0"/>
        <w:adjustRightInd w:val="0"/>
        <w:rPr>
          <w:color w:val="000000"/>
        </w:rPr>
      </w:pPr>
    </w:p>
    <w:tbl>
      <w:tblPr>
        <w:tblStyle w:val="TableGrid"/>
        <w:tblW w:w="5492" w:type="pct"/>
        <w:jc w:val="center"/>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69"/>
        <w:gridCol w:w="1277"/>
        <w:gridCol w:w="1571"/>
        <w:gridCol w:w="1522"/>
        <w:gridCol w:w="1522"/>
        <w:gridCol w:w="1520"/>
      </w:tblGrid>
      <w:tr w:rsidRPr="00433BC0" w:rsidR="00A15641" w:rsidTr="00974844" w14:paraId="6765CA61" w14:textId="77777777">
        <w:trPr>
          <w:trHeight w:val="1118"/>
          <w:jc w:val="center"/>
        </w:trPr>
        <w:tc>
          <w:tcPr>
            <w:tcW w:w="1396" w:type="pct"/>
            <w:tcBorders>
              <w:top w:val="single" w:color="auto" w:sz="4" w:space="0"/>
              <w:bottom w:val="single" w:color="auto" w:sz="4" w:space="0"/>
            </w:tcBorders>
            <w:vAlign w:val="center"/>
          </w:tcPr>
          <w:p w:rsidRPr="00433BC0" w:rsidR="00A15641" w:rsidP="00276A87" w:rsidRDefault="00A15641" w14:paraId="43E46E3F" w14:textId="77777777">
            <w:pPr>
              <w:rPr>
                <w:sz w:val="20"/>
                <w:szCs w:val="20"/>
              </w:rPr>
            </w:pPr>
            <w:r w:rsidRPr="00433BC0">
              <w:rPr>
                <w:sz w:val="20"/>
                <w:szCs w:val="20"/>
              </w:rPr>
              <w:t>Size of operation (number of bison)</w:t>
            </w:r>
          </w:p>
        </w:tc>
        <w:tc>
          <w:tcPr>
            <w:tcW w:w="621" w:type="pct"/>
            <w:tcBorders>
              <w:top w:val="single" w:color="auto" w:sz="4" w:space="0"/>
              <w:left w:val="single" w:color="auto" w:sz="4" w:space="0"/>
              <w:bottom w:val="single" w:color="auto" w:sz="4" w:space="0"/>
            </w:tcBorders>
            <w:vAlign w:val="bottom"/>
          </w:tcPr>
          <w:p w:rsidRPr="00433BC0" w:rsidR="00A15641" w:rsidP="00276A87" w:rsidRDefault="00A15641" w14:paraId="2D66412D" w14:textId="77777777">
            <w:pPr>
              <w:jc w:val="right"/>
              <w:rPr>
                <w:color w:val="000000"/>
                <w:sz w:val="20"/>
                <w:szCs w:val="20"/>
              </w:rPr>
            </w:pPr>
            <w:r w:rsidRPr="00433BC0">
              <w:rPr>
                <w:color w:val="000000"/>
                <w:sz w:val="20"/>
                <w:szCs w:val="20"/>
              </w:rPr>
              <w:t>Proportion estimate</w:t>
            </w:r>
          </w:p>
        </w:tc>
        <w:tc>
          <w:tcPr>
            <w:tcW w:w="764" w:type="pct"/>
            <w:tcBorders>
              <w:top w:val="single" w:color="auto" w:sz="4" w:space="0"/>
              <w:bottom w:val="single" w:color="auto" w:sz="4" w:space="0"/>
            </w:tcBorders>
            <w:vAlign w:val="bottom"/>
          </w:tcPr>
          <w:p w:rsidRPr="00433BC0" w:rsidR="00A15641" w:rsidP="00276A87" w:rsidRDefault="00A15641" w14:paraId="46DF3077" w14:textId="77777777">
            <w:pPr>
              <w:jc w:val="right"/>
              <w:rPr>
                <w:color w:val="000000"/>
                <w:sz w:val="20"/>
                <w:szCs w:val="20"/>
                <w:vertAlign w:val="superscript"/>
              </w:rPr>
            </w:pPr>
            <w:r>
              <w:rPr>
                <w:color w:val="000000"/>
                <w:sz w:val="20"/>
                <w:szCs w:val="20"/>
              </w:rPr>
              <w:t>NASS Phase</w:t>
            </w:r>
            <w:r w:rsidRPr="00433BC0">
              <w:rPr>
                <w:color w:val="000000"/>
                <w:sz w:val="20"/>
                <w:szCs w:val="20"/>
              </w:rPr>
              <w:t xml:space="preserve"> CV estimate (%)</w:t>
            </w:r>
          </w:p>
        </w:tc>
        <w:tc>
          <w:tcPr>
            <w:tcW w:w="740" w:type="pct"/>
            <w:tcBorders>
              <w:top w:val="single" w:color="auto" w:sz="4" w:space="0"/>
              <w:bottom w:val="single" w:color="auto" w:sz="4" w:space="0"/>
            </w:tcBorders>
            <w:vAlign w:val="bottom"/>
          </w:tcPr>
          <w:p w:rsidRPr="00090A4D" w:rsidR="00A15641" w:rsidP="00276A87" w:rsidRDefault="00A15641" w14:paraId="7B532C41" w14:textId="77777777">
            <w:pPr>
              <w:jc w:val="right"/>
              <w:rPr>
                <w:color w:val="000000"/>
                <w:sz w:val="20"/>
                <w:szCs w:val="20"/>
              </w:rPr>
            </w:pPr>
            <w:r>
              <w:rPr>
                <w:color w:val="000000"/>
                <w:sz w:val="20"/>
                <w:szCs w:val="20"/>
              </w:rPr>
              <w:t>Biologics Phase</w:t>
            </w:r>
            <w:r w:rsidRPr="00090A4D">
              <w:rPr>
                <w:color w:val="000000"/>
                <w:sz w:val="20"/>
                <w:szCs w:val="20"/>
              </w:rPr>
              <w:t xml:space="preserve"> - Fecal CV estimate (%)</w:t>
            </w:r>
          </w:p>
        </w:tc>
        <w:tc>
          <w:tcPr>
            <w:tcW w:w="740" w:type="pct"/>
            <w:tcBorders>
              <w:top w:val="single" w:color="auto" w:sz="4" w:space="0"/>
              <w:bottom w:val="single" w:color="auto" w:sz="4" w:space="0"/>
            </w:tcBorders>
            <w:vAlign w:val="bottom"/>
          </w:tcPr>
          <w:p w:rsidR="00A15641" w:rsidP="00276A87" w:rsidRDefault="00A15641" w14:paraId="40D5B073" w14:textId="77777777">
            <w:pPr>
              <w:jc w:val="right"/>
              <w:rPr>
                <w:color w:val="000000"/>
                <w:sz w:val="20"/>
                <w:szCs w:val="20"/>
              </w:rPr>
            </w:pPr>
            <w:r>
              <w:rPr>
                <w:color w:val="000000"/>
                <w:sz w:val="20"/>
                <w:szCs w:val="20"/>
              </w:rPr>
              <w:t>Biologics Phase</w:t>
            </w:r>
            <w:r w:rsidRPr="00090A4D">
              <w:rPr>
                <w:color w:val="000000"/>
                <w:sz w:val="20"/>
                <w:szCs w:val="20"/>
              </w:rPr>
              <w:t xml:space="preserve"> – Parasites A CV estimate (%)</w:t>
            </w:r>
          </w:p>
        </w:tc>
        <w:tc>
          <w:tcPr>
            <w:tcW w:w="739" w:type="pct"/>
            <w:tcBorders>
              <w:top w:val="single" w:color="auto" w:sz="4" w:space="0"/>
              <w:bottom w:val="single" w:color="auto" w:sz="4" w:space="0"/>
            </w:tcBorders>
            <w:vAlign w:val="bottom"/>
          </w:tcPr>
          <w:p w:rsidR="00A15641" w:rsidP="00276A87" w:rsidRDefault="00A15641" w14:paraId="60DF08E9" w14:textId="77777777">
            <w:pPr>
              <w:jc w:val="right"/>
              <w:rPr>
                <w:color w:val="000000"/>
                <w:sz w:val="20"/>
                <w:szCs w:val="20"/>
              </w:rPr>
            </w:pPr>
            <w:r>
              <w:rPr>
                <w:color w:val="000000"/>
                <w:sz w:val="20"/>
                <w:szCs w:val="20"/>
              </w:rPr>
              <w:t>Biologics Phase</w:t>
            </w:r>
            <w:r w:rsidRPr="00090A4D">
              <w:rPr>
                <w:color w:val="000000"/>
                <w:sz w:val="20"/>
                <w:szCs w:val="20"/>
              </w:rPr>
              <w:t xml:space="preserve"> - Forage CV estimate (%)</w:t>
            </w:r>
          </w:p>
        </w:tc>
      </w:tr>
      <w:tr w:rsidRPr="00433BC0" w:rsidR="00A15641" w:rsidTr="00974844" w14:paraId="4CF01BE5" w14:textId="77777777">
        <w:trPr>
          <w:trHeight w:val="229"/>
          <w:jc w:val="center"/>
        </w:trPr>
        <w:tc>
          <w:tcPr>
            <w:tcW w:w="1396" w:type="pct"/>
            <w:vMerge w:val="restart"/>
            <w:tcBorders>
              <w:top w:val="single" w:color="auto" w:sz="4" w:space="0"/>
            </w:tcBorders>
          </w:tcPr>
          <w:p w:rsidRPr="00433BC0" w:rsidR="00A15641" w:rsidP="00276A87" w:rsidRDefault="00A15641" w14:paraId="4711CF1E" w14:textId="77777777">
            <w:pPr>
              <w:rPr>
                <w:sz w:val="20"/>
                <w:szCs w:val="20"/>
              </w:rPr>
            </w:pPr>
            <w:r w:rsidRPr="00433BC0">
              <w:rPr>
                <w:sz w:val="20"/>
                <w:szCs w:val="20"/>
              </w:rPr>
              <w:t>Very Small (1-9 head)</w:t>
            </w:r>
          </w:p>
        </w:tc>
        <w:tc>
          <w:tcPr>
            <w:tcW w:w="621" w:type="pct"/>
            <w:tcBorders>
              <w:top w:val="single" w:color="auto" w:sz="4" w:space="0"/>
              <w:left w:val="single" w:color="auto" w:sz="4" w:space="0"/>
            </w:tcBorders>
            <w:vAlign w:val="center"/>
          </w:tcPr>
          <w:p w:rsidRPr="00433BC0" w:rsidR="00A15641" w:rsidP="00276A87" w:rsidRDefault="00A15641" w14:paraId="1143909C" w14:textId="77777777">
            <w:pPr>
              <w:jc w:val="right"/>
              <w:rPr>
                <w:color w:val="000000"/>
                <w:sz w:val="20"/>
                <w:szCs w:val="20"/>
              </w:rPr>
            </w:pPr>
            <w:r w:rsidRPr="00433BC0">
              <w:rPr>
                <w:color w:val="000000"/>
                <w:sz w:val="20"/>
                <w:szCs w:val="20"/>
              </w:rPr>
              <w:t>0.50</w:t>
            </w:r>
          </w:p>
        </w:tc>
        <w:tc>
          <w:tcPr>
            <w:tcW w:w="764" w:type="pct"/>
            <w:tcBorders>
              <w:top w:val="single" w:color="auto" w:sz="4" w:space="0"/>
            </w:tcBorders>
            <w:vAlign w:val="center"/>
          </w:tcPr>
          <w:p w:rsidRPr="00433BC0" w:rsidR="00A15641" w:rsidP="00276A87" w:rsidRDefault="00A15641" w14:paraId="680F7AEC" w14:textId="77777777">
            <w:pPr>
              <w:jc w:val="right"/>
              <w:rPr>
                <w:color w:val="000000"/>
                <w:sz w:val="20"/>
                <w:szCs w:val="20"/>
              </w:rPr>
            </w:pPr>
            <w:r w:rsidRPr="00433BC0">
              <w:rPr>
                <w:color w:val="000000"/>
                <w:sz w:val="20"/>
                <w:szCs w:val="20"/>
              </w:rPr>
              <w:t>4.1</w:t>
            </w:r>
          </w:p>
        </w:tc>
        <w:tc>
          <w:tcPr>
            <w:tcW w:w="740" w:type="pct"/>
            <w:tcBorders>
              <w:top w:val="single" w:color="auto" w:sz="4" w:space="0"/>
            </w:tcBorders>
            <w:vAlign w:val="center"/>
          </w:tcPr>
          <w:p w:rsidRPr="00433BC0" w:rsidR="00A15641" w:rsidP="00276A87" w:rsidRDefault="00A15641" w14:paraId="34EBB02A" w14:textId="77777777">
            <w:pPr>
              <w:jc w:val="right"/>
              <w:rPr>
                <w:color w:val="000000"/>
                <w:sz w:val="20"/>
                <w:szCs w:val="20"/>
              </w:rPr>
            </w:pPr>
            <w:r w:rsidRPr="00090A4D">
              <w:rPr>
                <w:color w:val="000000"/>
                <w:sz w:val="20"/>
                <w:szCs w:val="20"/>
              </w:rPr>
              <w:t>9.9</w:t>
            </w:r>
          </w:p>
        </w:tc>
        <w:tc>
          <w:tcPr>
            <w:tcW w:w="740" w:type="pct"/>
            <w:tcBorders>
              <w:top w:val="single" w:color="auto" w:sz="4" w:space="0"/>
            </w:tcBorders>
            <w:vAlign w:val="center"/>
          </w:tcPr>
          <w:p w:rsidRPr="00433BC0" w:rsidR="00A15641" w:rsidP="00276A87" w:rsidRDefault="00A15641" w14:paraId="50D1FB78" w14:textId="77777777">
            <w:pPr>
              <w:jc w:val="right"/>
              <w:rPr>
                <w:color w:val="000000"/>
                <w:sz w:val="20"/>
                <w:szCs w:val="20"/>
              </w:rPr>
            </w:pPr>
            <w:r w:rsidRPr="00090A4D">
              <w:rPr>
                <w:color w:val="000000"/>
                <w:sz w:val="20"/>
                <w:szCs w:val="20"/>
              </w:rPr>
              <w:t>9.0</w:t>
            </w:r>
          </w:p>
        </w:tc>
        <w:tc>
          <w:tcPr>
            <w:tcW w:w="739" w:type="pct"/>
            <w:tcBorders>
              <w:top w:val="single" w:color="auto" w:sz="4" w:space="0"/>
            </w:tcBorders>
            <w:vAlign w:val="center"/>
          </w:tcPr>
          <w:p w:rsidRPr="00433BC0" w:rsidR="00A15641" w:rsidP="00276A87" w:rsidRDefault="00A15641" w14:paraId="22A91DFC" w14:textId="77777777">
            <w:pPr>
              <w:jc w:val="right"/>
              <w:rPr>
                <w:color w:val="000000"/>
                <w:sz w:val="20"/>
                <w:szCs w:val="20"/>
              </w:rPr>
            </w:pPr>
            <w:r w:rsidRPr="00090A4D">
              <w:rPr>
                <w:color w:val="000000"/>
                <w:sz w:val="20"/>
                <w:szCs w:val="20"/>
              </w:rPr>
              <w:t>10.3</w:t>
            </w:r>
          </w:p>
        </w:tc>
      </w:tr>
      <w:tr w:rsidRPr="00433BC0" w:rsidR="00A15641" w:rsidTr="00974844" w14:paraId="33AFB92F" w14:textId="77777777">
        <w:trPr>
          <w:trHeight w:val="214"/>
          <w:jc w:val="center"/>
        </w:trPr>
        <w:tc>
          <w:tcPr>
            <w:tcW w:w="1396" w:type="pct"/>
            <w:vMerge/>
          </w:tcPr>
          <w:p w:rsidRPr="00433BC0" w:rsidR="00A15641" w:rsidP="00276A87" w:rsidRDefault="00A15641" w14:paraId="326B07BE" w14:textId="77777777">
            <w:pPr>
              <w:rPr>
                <w:sz w:val="20"/>
                <w:szCs w:val="20"/>
              </w:rPr>
            </w:pPr>
          </w:p>
        </w:tc>
        <w:tc>
          <w:tcPr>
            <w:tcW w:w="621" w:type="pct"/>
            <w:tcBorders>
              <w:left w:val="single" w:color="auto" w:sz="4" w:space="0"/>
            </w:tcBorders>
            <w:vAlign w:val="center"/>
          </w:tcPr>
          <w:p w:rsidRPr="00433BC0" w:rsidR="00A15641" w:rsidP="00276A87" w:rsidRDefault="00A15641" w14:paraId="4F14DEE9" w14:textId="77777777">
            <w:pPr>
              <w:jc w:val="right"/>
              <w:rPr>
                <w:color w:val="000000"/>
                <w:sz w:val="20"/>
                <w:szCs w:val="20"/>
              </w:rPr>
            </w:pPr>
            <w:r w:rsidRPr="00433BC0">
              <w:rPr>
                <w:color w:val="000000"/>
                <w:sz w:val="20"/>
                <w:szCs w:val="20"/>
              </w:rPr>
              <w:t>0.25</w:t>
            </w:r>
          </w:p>
        </w:tc>
        <w:tc>
          <w:tcPr>
            <w:tcW w:w="764" w:type="pct"/>
            <w:vAlign w:val="center"/>
          </w:tcPr>
          <w:p w:rsidRPr="00433BC0" w:rsidR="00A15641" w:rsidP="00276A87" w:rsidRDefault="00A15641" w14:paraId="6EB87725" w14:textId="77777777">
            <w:pPr>
              <w:jc w:val="right"/>
              <w:rPr>
                <w:color w:val="000000"/>
                <w:sz w:val="20"/>
                <w:szCs w:val="20"/>
              </w:rPr>
            </w:pPr>
            <w:r w:rsidRPr="00433BC0">
              <w:rPr>
                <w:color w:val="000000"/>
                <w:sz w:val="20"/>
                <w:szCs w:val="20"/>
              </w:rPr>
              <w:t>7.1</w:t>
            </w:r>
          </w:p>
        </w:tc>
        <w:tc>
          <w:tcPr>
            <w:tcW w:w="740" w:type="pct"/>
            <w:vAlign w:val="center"/>
          </w:tcPr>
          <w:p w:rsidRPr="00433BC0" w:rsidR="00A15641" w:rsidP="00276A87" w:rsidRDefault="00A15641" w14:paraId="35BFB2DD" w14:textId="77777777">
            <w:pPr>
              <w:jc w:val="right"/>
              <w:rPr>
                <w:color w:val="000000"/>
                <w:sz w:val="20"/>
                <w:szCs w:val="20"/>
              </w:rPr>
            </w:pPr>
            <w:r w:rsidRPr="00090A4D">
              <w:rPr>
                <w:color w:val="000000"/>
                <w:sz w:val="20"/>
                <w:szCs w:val="20"/>
              </w:rPr>
              <w:t>17.2</w:t>
            </w:r>
          </w:p>
        </w:tc>
        <w:tc>
          <w:tcPr>
            <w:tcW w:w="740" w:type="pct"/>
            <w:vAlign w:val="center"/>
          </w:tcPr>
          <w:p w:rsidRPr="00433BC0" w:rsidR="00A15641" w:rsidP="00276A87" w:rsidRDefault="00A15641" w14:paraId="163D9BD5" w14:textId="77777777">
            <w:pPr>
              <w:jc w:val="right"/>
              <w:rPr>
                <w:color w:val="000000"/>
                <w:sz w:val="20"/>
                <w:szCs w:val="20"/>
              </w:rPr>
            </w:pPr>
            <w:r w:rsidRPr="00090A4D">
              <w:rPr>
                <w:color w:val="000000"/>
                <w:sz w:val="20"/>
                <w:szCs w:val="20"/>
              </w:rPr>
              <w:t>15.7</w:t>
            </w:r>
          </w:p>
        </w:tc>
        <w:tc>
          <w:tcPr>
            <w:tcW w:w="739" w:type="pct"/>
            <w:vAlign w:val="center"/>
          </w:tcPr>
          <w:p w:rsidRPr="00433BC0" w:rsidR="00A15641" w:rsidP="00276A87" w:rsidRDefault="00A15641" w14:paraId="54900229" w14:textId="77777777">
            <w:pPr>
              <w:jc w:val="right"/>
              <w:rPr>
                <w:color w:val="000000"/>
                <w:sz w:val="20"/>
                <w:szCs w:val="20"/>
              </w:rPr>
            </w:pPr>
            <w:r w:rsidRPr="00090A4D">
              <w:rPr>
                <w:color w:val="000000"/>
                <w:sz w:val="20"/>
                <w:szCs w:val="20"/>
              </w:rPr>
              <w:t>17.8</w:t>
            </w:r>
          </w:p>
        </w:tc>
      </w:tr>
      <w:tr w:rsidRPr="00433BC0" w:rsidR="00A15641" w:rsidTr="00974844" w14:paraId="145B3DBD" w14:textId="77777777">
        <w:trPr>
          <w:trHeight w:val="229"/>
          <w:jc w:val="center"/>
        </w:trPr>
        <w:tc>
          <w:tcPr>
            <w:tcW w:w="1396" w:type="pct"/>
            <w:vMerge/>
            <w:tcBorders>
              <w:bottom w:val="single" w:color="auto" w:sz="4" w:space="0"/>
            </w:tcBorders>
          </w:tcPr>
          <w:p w:rsidRPr="00433BC0" w:rsidR="00A15641" w:rsidP="00276A87" w:rsidRDefault="00A15641" w14:paraId="77601531" w14:textId="77777777">
            <w:pPr>
              <w:rPr>
                <w:sz w:val="20"/>
                <w:szCs w:val="20"/>
              </w:rPr>
            </w:pPr>
          </w:p>
        </w:tc>
        <w:tc>
          <w:tcPr>
            <w:tcW w:w="621" w:type="pct"/>
            <w:tcBorders>
              <w:left w:val="single" w:color="auto" w:sz="4" w:space="0"/>
              <w:bottom w:val="single" w:color="auto" w:sz="4" w:space="0"/>
            </w:tcBorders>
            <w:vAlign w:val="center"/>
          </w:tcPr>
          <w:p w:rsidRPr="00433BC0" w:rsidR="00A15641" w:rsidP="00276A87" w:rsidRDefault="00A15641" w14:paraId="3C19DFD4" w14:textId="77777777">
            <w:pPr>
              <w:jc w:val="right"/>
              <w:rPr>
                <w:color w:val="000000"/>
                <w:sz w:val="20"/>
                <w:szCs w:val="20"/>
              </w:rPr>
            </w:pPr>
            <w:r w:rsidRPr="00433BC0">
              <w:rPr>
                <w:color w:val="000000"/>
                <w:sz w:val="20"/>
                <w:szCs w:val="20"/>
              </w:rPr>
              <w:t>0.10</w:t>
            </w:r>
          </w:p>
        </w:tc>
        <w:tc>
          <w:tcPr>
            <w:tcW w:w="764" w:type="pct"/>
            <w:tcBorders>
              <w:bottom w:val="single" w:color="auto" w:sz="4" w:space="0"/>
            </w:tcBorders>
            <w:vAlign w:val="center"/>
          </w:tcPr>
          <w:p w:rsidRPr="00433BC0" w:rsidR="00A15641" w:rsidP="00276A87" w:rsidRDefault="00A15641" w14:paraId="47AC9890" w14:textId="77777777">
            <w:pPr>
              <w:jc w:val="right"/>
              <w:rPr>
                <w:color w:val="000000"/>
                <w:sz w:val="20"/>
                <w:szCs w:val="20"/>
              </w:rPr>
            </w:pPr>
            <w:r w:rsidRPr="00433BC0">
              <w:rPr>
                <w:color w:val="000000"/>
                <w:sz w:val="20"/>
                <w:szCs w:val="20"/>
              </w:rPr>
              <w:t>12.3</w:t>
            </w:r>
          </w:p>
        </w:tc>
        <w:tc>
          <w:tcPr>
            <w:tcW w:w="740" w:type="pct"/>
            <w:tcBorders>
              <w:bottom w:val="single" w:color="auto" w:sz="4" w:space="0"/>
            </w:tcBorders>
            <w:vAlign w:val="center"/>
          </w:tcPr>
          <w:p w:rsidRPr="008633AF" w:rsidR="00A15641" w:rsidP="00276A87" w:rsidRDefault="00A15641" w14:paraId="4365B044" w14:textId="77777777">
            <w:pPr>
              <w:jc w:val="right"/>
              <w:rPr>
                <w:b/>
                <w:bCs/>
                <w:color w:val="000000"/>
                <w:sz w:val="20"/>
                <w:szCs w:val="20"/>
              </w:rPr>
            </w:pPr>
            <w:r w:rsidRPr="008633AF">
              <w:rPr>
                <w:b/>
                <w:bCs/>
                <w:color w:val="000000"/>
                <w:sz w:val="20"/>
                <w:szCs w:val="20"/>
              </w:rPr>
              <w:t>29.8</w:t>
            </w:r>
          </w:p>
        </w:tc>
        <w:tc>
          <w:tcPr>
            <w:tcW w:w="740" w:type="pct"/>
            <w:tcBorders>
              <w:bottom w:val="single" w:color="auto" w:sz="4" w:space="0"/>
            </w:tcBorders>
            <w:vAlign w:val="center"/>
          </w:tcPr>
          <w:p w:rsidRPr="008633AF" w:rsidR="00A15641" w:rsidP="00276A87" w:rsidRDefault="00A15641" w14:paraId="2F280662" w14:textId="77777777">
            <w:pPr>
              <w:jc w:val="right"/>
              <w:rPr>
                <w:b/>
                <w:bCs/>
                <w:color w:val="000000"/>
                <w:sz w:val="20"/>
                <w:szCs w:val="20"/>
              </w:rPr>
            </w:pPr>
            <w:r w:rsidRPr="008633AF">
              <w:rPr>
                <w:b/>
                <w:bCs/>
                <w:color w:val="000000"/>
                <w:sz w:val="20"/>
                <w:szCs w:val="20"/>
              </w:rPr>
              <w:t>27.1</w:t>
            </w:r>
          </w:p>
        </w:tc>
        <w:tc>
          <w:tcPr>
            <w:tcW w:w="739" w:type="pct"/>
            <w:tcBorders>
              <w:bottom w:val="single" w:color="auto" w:sz="4" w:space="0"/>
            </w:tcBorders>
            <w:vAlign w:val="center"/>
          </w:tcPr>
          <w:p w:rsidRPr="008633AF" w:rsidR="00A15641" w:rsidP="00276A87" w:rsidRDefault="00A15641" w14:paraId="2D89A3BC" w14:textId="77777777">
            <w:pPr>
              <w:jc w:val="right"/>
              <w:rPr>
                <w:b/>
                <w:bCs/>
                <w:color w:val="000000"/>
                <w:sz w:val="20"/>
                <w:szCs w:val="20"/>
              </w:rPr>
            </w:pPr>
            <w:r w:rsidRPr="008633AF">
              <w:rPr>
                <w:b/>
                <w:bCs/>
                <w:color w:val="000000"/>
                <w:sz w:val="20"/>
                <w:szCs w:val="20"/>
              </w:rPr>
              <w:t>30.8</w:t>
            </w:r>
          </w:p>
        </w:tc>
      </w:tr>
      <w:tr w:rsidRPr="00433BC0" w:rsidR="00A15641" w:rsidTr="00974844" w14:paraId="324765AA" w14:textId="77777777">
        <w:trPr>
          <w:trHeight w:val="214"/>
          <w:jc w:val="center"/>
        </w:trPr>
        <w:tc>
          <w:tcPr>
            <w:tcW w:w="1396" w:type="pct"/>
            <w:vMerge w:val="restart"/>
            <w:tcBorders>
              <w:top w:val="single" w:color="auto" w:sz="4" w:space="0"/>
            </w:tcBorders>
          </w:tcPr>
          <w:p w:rsidRPr="00433BC0" w:rsidR="00A15641" w:rsidP="00276A87" w:rsidRDefault="00A15641" w14:paraId="0B5C385B" w14:textId="77777777">
            <w:pPr>
              <w:rPr>
                <w:sz w:val="20"/>
                <w:szCs w:val="20"/>
              </w:rPr>
            </w:pPr>
            <w:r w:rsidRPr="00433BC0">
              <w:rPr>
                <w:sz w:val="20"/>
                <w:szCs w:val="20"/>
              </w:rPr>
              <w:t>Small (10-24 head)</w:t>
            </w:r>
          </w:p>
        </w:tc>
        <w:tc>
          <w:tcPr>
            <w:tcW w:w="621" w:type="pct"/>
            <w:tcBorders>
              <w:top w:val="single" w:color="auto" w:sz="4" w:space="0"/>
              <w:left w:val="single" w:color="auto" w:sz="4" w:space="0"/>
            </w:tcBorders>
            <w:vAlign w:val="center"/>
          </w:tcPr>
          <w:p w:rsidRPr="00433BC0" w:rsidR="00A15641" w:rsidP="00276A87" w:rsidRDefault="00A15641" w14:paraId="6BEAB37A" w14:textId="77777777">
            <w:pPr>
              <w:jc w:val="right"/>
              <w:rPr>
                <w:color w:val="000000"/>
                <w:sz w:val="20"/>
                <w:szCs w:val="20"/>
              </w:rPr>
            </w:pPr>
            <w:r w:rsidRPr="00433BC0">
              <w:rPr>
                <w:color w:val="000000"/>
                <w:sz w:val="20"/>
                <w:szCs w:val="20"/>
              </w:rPr>
              <w:t>0.50</w:t>
            </w:r>
          </w:p>
        </w:tc>
        <w:tc>
          <w:tcPr>
            <w:tcW w:w="764" w:type="pct"/>
            <w:tcBorders>
              <w:top w:val="single" w:color="auto" w:sz="4" w:space="0"/>
            </w:tcBorders>
            <w:vAlign w:val="center"/>
          </w:tcPr>
          <w:p w:rsidRPr="00433BC0" w:rsidR="00A15641" w:rsidP="00276A87" w:rsidRDefault="00A15641" w14:paraId="25F446E8" w14:textId="77777777">
            <w:pPr>
              <w:jc w:val="right"/>
              <w:rPr>
                <w:color w:val="000000"/>
                <w:sz w:val="20"/>
                <w:szCs w:val="20"/>
              </w:rPr>
            </w:pPr>
            <w:r w:rsidRPr="00433BC0">
              <w:rPr>
                <w:color w:val="000000"/>
                <w:sz w:val="20"/>
                <w:szCs w:val="20"/>
              </w:rPr>
              <w:t>5.3</w:t>
            </w:r>
          </w:p>
        </w:tc>
        <w:tc>
          <w:tcPr>
            <w:tcW w:w="740" w:type="pct"/>
            <w:tcBorders>
              <w:top w:val="single" w:color="auto" w:sz="4" w:space="0"/>
            </w:tcBorders>
            <w:vAlign w:val="center"/>
          </w:tcPr>
          <w:p w:rsidRPr="00433BC0" w:rsidR="00A15641" w:rsidP="00276A87" w:rsidRDefault="00A15641" w14:paraId="2751083A" w14:textId="77777777">
            <w:pPr>
              <w:jc w:val="right"/>
              <w:rPr>
                <w:color w:val="000000"/>
                <w:sz w:val="20"/>
                <w:szCs w:val="20"/>
              </w:rPr>
            </w:pPr>
            <w:r w:rsidRPr="00090A4D">
              <w:rPr>
                <w:color w:val="000000"/>
                <w:sz w:val="20"/>
                <w:szCs w:val="20"/>
              </w:rPr>
              <w:t>12.8</w:t>
            </w:r>
          </w:p>
        </w:tc>
        <w:tc>
          <w:tcPr>
            <w:tcW w:w="740" w:type="pct"/>
            <w:tcBorders>
              <w:top w:val="single" w:color="auto" w:sz="4" w:space="0"/>
            </w:tcBorders>
            <w:vAlign w:val="center"/>
          </w:tcPr>
          <w:p w:rsidRPr="00433BC0" w:rsidR="00A15641" w:rsidP="00276A87" w:rsidRDefault="00A15641" w14:paraId="6AB559A8" w14:textId="77777777">
            <w:pPr>
              <w:jc w:val="right"/>
              <w:rPr>
                <w:color w:val="000000"/>
                <w:sz w:val="20"/>
                <w:szCs w:val="20"/>
              </w:rPr>
            </w:pPr>
            <w:r w:rsidRPr="00090A4D">
              <w:rPr>
                <w:color w:val="000000"/>
                <w:sz w:val="20"/>
                <w:szCs w:val="20"/>
              </w:rPr>
              <w:t>11.6</w:t>
            </w:r>
          </w:p>
        </w:tc>
        <w:tc>
          <w:tcPr>
            <w:tcW w:w="739" w:type="pct"/>
            <w:tcBorders>
              <w:top w:val="single" w:color="auto" w:sz="4" w:space="0"/>
            </w:tcBorders>
            <w:vAlign w:val="center"/>
          </w:tcPr>
          <w:p w:rsidRPr="00433BC0" w:rsidR="00A15641" w:rsidP="00276A87" w:rsidRDefault="00A15641" w14:paraId="4A3D71E6" w14:textId="77777777">
            <w:pPr>
              <w:jc w:val="right"/>
              <w:rPr>
                <w:color w:val="000000"/>
                <w:sz w:val="20"/>
                <w:szCs w:val="20"/>
              </w:rPr>
            </w:pPr>
            <w:r w:rsidRPr="00090A4D">
              <w:rPr>
                <w:color w:val="000000"/>
                <w:sz w:val="20"/>
                <w:szCs w:val="20"/>
              </w:rPr>
              <w:t>13.2</w:t>
            </w:r>
          </w:p>
        </w:tc>
      </w:tr>
      <w:tr w:rsidRPr="00433BC0" w:rsidR="00A15641" w:rsidTr="00974844" w14:paraId="5D9E4AF8" w14:textId="77777777">
        <w:trPr>
          <w:trHeight w:val="229"/>
          <w:jc w:val="center"/>
        </w:trPr>
        <w:tc>
          <w:tcPr>
            <w:tcW w:w="1396" w:type="pct"/>
            <w:vMerge/>
          </w:tcPr>
          <w:p w:rsidRPr="00433BC0" w:rsidR="00A15641" w:rsidP="00276A87" w:rsidRDefault="00A15641" w14:paraId="7813EDD1" w14:textId="77777777">
            <w:pPr>
              <w:rPr>
                <w:sz w:val="20"/>
                <w:szCs w:val="20"/>
              </w:rPr>
            </w:pPr>
          </w:p>
        </w:tc>
        <w:tc>
          <w:tcPr>
            <w:tcW w:w="621" w:type="pct"/>
            <w:tcBorders>
              <w:left w:val="single" w:color="auto" w:sz="4" w:space="0"/>
            </w:tcBorders>
            <w:vAlign w:val="center"/>
          </w:tcPr>
          <w:p w:rsidRPr="00433BC0" w:rsidR="00A15641" w:rsidP="00276A87" w:rsidRDefault="00A15641" w14:paraId="2F975A92" w14:textId="77777777">
            <w:pPr>
              <w:jc w:val="right"/>
              <w:rPr>
                <w:color w:val="000000"/>
                <w:sz w:val="20"/>
                <w:szCs w:val="20"/>
              </w:rPr>
            </w:pPr>
            <w:r w:rsidRPr="00433BC0">
              <w:rPr>
                <w:color w:val="000000"/>
                <w:sz w:val="20"/>
                <w:szCs w:val="20"/>
              </w:rPr>
              <w:t>0.25</w:t>
            </w:r>
          </w:p>
        </w:tc>
        <w:tc>
          <w:tcPr>
            <w:tcW w:w="764" w:type="pct"/>
            <w:vAlign w:val="center"/>
          </w:tcPr>
          <w:p w:rsidRPr="00433BC0" w:rsidR="00A15641" w:rsidP="00276A87" w:rsidRDefault="00A15641" w14:paraId="5C7A5F64" w14:textId="77777777">
            <w:pPr>
              <w:jc w:val="right"/>
              <w:rPr>
                <w:color w:val="000000"/>
                <w:sz w:val="20"/>
                <w:szCs w:val="20"/>
              </w:rPr>
            </w:pPr>
            <w:r w:rsidRPr="00433BC0">
              <w:rPr>
                <w:color w:val="000000"/>
                <w:sz w:val="20"/>
                <w:szCs w:val="20"/>
              </w:rPr>
              <w:t>9.1</w:t>
            </w:r>
          </w:p>
        </w:tc>
        <w:tc>
          <w:tcPr>
            <w:tcW w:w="740" w:type="pct"/>
            <w:vAlign w:val="center"/>
          </w:tcPr>
          <w:p w:rsidRPr="008633AF" w:rsidR="00A15641" w:rsidP="00276A87" w:rsidRDefault="00A15641" w14:paraId="5DAA5CB0" w14:textId="77777777">
            <w:pPr>
              <w:jc w:val="right"/>
              <w:rPr>
                <w:b/>
                <w:bCs/>
                <w:color w:val="000000"/>
                <w:sz w:val="20"/>
                <w:szCs w:val="20"/>
              </w:rPr>
            </w:pPr>
            <w:r w:rsidRPr="008633AF">
              <w:rPr>
                <w:b/>
                <w:bCs/>
                <w:color w:val="000000"/>
                <w:sz w:val="20"/>
                <w:szCs w:val="20"/>
              </w:rPr>
              <w:t>22.2</w:t>
            </w:r>
          </w:p>
        </w:tc>
        <w:tc>
          <w:tcPr>
            <w:tcW w:w="740" w:type="pct"/>
            <w:vAlign w:val="center"/>
          </w:tcPr>
          <w:p w:rsidRPr="008633AF" w:rsidR="00A15641" w:rsidP="00276A87" w:rsidRDefault="00A15641" w14:paraId="6BB2B236" w14:textId="77777777">
            <w:pPr>
              <w:jc w:val="right"/>
              <w:rPr>
                <w:b/>
                <w:bCs/>
                <w:color w:val="000000"/>
                <w:sz w:val="20"/>
                <w:szCs w:val="20"/>
              </w:rPr>
            </w:pPr>
            <w:r w:rsidRPr="008633AF">
              <w:rPr>
                <w:b/>
                <w:bCs/>
                <w:color w:val="000000"/>
                <w:sz w:val="20"/>
                <w:szCs w:val="20"/>
              </w:rPr>
              <w:t>20.2</w:t>
            </w:r>
          </w:p>
        </w:tc>
        <w:tc>
          <w:tcPr>
            <w:tcW w:w="739" w:type="pct"/>
            <w:vAlign w:val="center"/>
          </w:tcPr>
          <w:p w:rsidRPr="008633AF" w:rsidR="00A15641" w:rsidP="00276A87" w:rsidRDefault="00A15641" w14:paraId="416BBF7F" w14:textId="77777777">
            <w:pPr>
              <w:jc w:val="right"/>
              <w:rPr>
                <w:b/>
                <w:bCs/>
                <w:color w:val="000000"/>
                <w:sz w:val="20"/>
                <w:szCs w:val="20"/>
              </w:rPr>
            </w:pPr>
            <w:r w:rsidRPr="008633AF">
              <w:rPr>
                <w:b/>
                <w:bCs/>
                <w:color w:val="000000"/>
                <w:sz w:val="20"/>
                <w:szCs w:val="20"/>
              </w:rPr>
              <w:t>22.9</w:t>
            </w:r>
          </w:p>
        </w:tc>
      </w:tr>
      <w:tr w:rsidRPr="00433BC0" w:rsidR="00A15641" w:rsidTr="00974844" w14:paraId="5B1B05C3" w14:textId="77777777">
        <w:trPr>
          <w:trHeight w:val="229"/>
          <w:jc w:val="center"/>
        </w:trPr>
        <w:tc>
          <w:tcPr>
            <w:tcW w:w="1396" w:type="pct"/>
            <w:vMerge/>
            <w:tcBorders>
              <w:bottom w:val="single" w:color="auto" w:sz="4" w:space="0"/>
            </w:tcBorders>
          </w:tcPr>
          <w:p w:rsidRPr="00433BC0" w:rsidR="00A15641" w:rsidP="00276A87" w:rsidRDefault="00A15641" w14:paraId="1CAEF226" w14:textId="77777777">
            <w:pPr>
              <w:rPr>
                <w:sz w:val="20"/>
                <w:szCs w:val="20"/>
              </w:rPr>
            </w:pPr>
          </w:p>
        </w:tc>
        <w:tc>
          <w:tcPr>
            <w:tcW w:w="621" w:type="pct"/>
            <w:tcBorders>
              <w:left w:val="single" w:color="auto" w:sz="4" w:space="0"/>
              <w:bottom w:val="single" w:color="auto" w:sz="4" w:space="0"/>
            </w:tcBorders>
            <w:vAlign w:val="center"/>
          </w:tcPr>
          <w:p w:rsidRPr="00433BC0" w:rsidR="00A15641" w:rsidP="00276A87" w:rsidRDefault="00A15641" w14:paraId="7E8C5E6A" w14:textId="77777777">
            <w:pPr>
              <w:jc w:val="right"/>
              <w:rPr>
                <w:color w:val="000000"/>
                <w:sz w:val="20"/>
                <w:szCs w:val="20"/>
              </w:rPr>
            </w:pPr>
            <w:r w:rsidRPr="00433BC0">
              <w:rPr>
                <w:color w:val="000000"/>
                <w:sz w:val="20"/>
                <w:szCs w:val="20"/>
              </w:rPr>
              <w:t>0.10</w:t>
            </w:r>
          </w:p>
        </w:tc>
        <w:tc>
          <w:tcPr>
            <w:tcW w:w="764" w:type="pct"/>
            <w:tcBorders>
              <w:bottom w:val="single" w:color="auto" w:sz="4" w:space="0"/>
            </w:tcBorders>
            <w:vAlign w:val="center"/>
          </w:tcPr>
          <w:p w:rsidRPr="00433BC0" w:rsidR="00A15641" w:rsidP="00276A87" w:rsidRDefault="00A15641" w14:paraId="6A0EF4B4" w14:textId="77777777">
            <w:pPr>
              <w:jc w:val="right"/>
              <w:rPr>
                <w:color w:val="000000"/>
                <w:sz w:val="20"/>
                <w:szCs w:val="20"/>
              </w:rPr>
            </w:pPr>
            <w:r w:rsidRPr="00433BC0">
              <w:rPr>
                <w:color w:val="000000"/>
                <w:sz w:val="20"/>
                <w:szCs w:val="20"/>
              </w:rPr>
              <w:t>15.8</w:t>
            </w:r>
          </w:p>
        </w:tc>
        <w:tc>
          <w:tcPr>
            <w:tcW w:w="740" w:type="pct"/>
            <w:tcBorders>
              <w:bottom w:val="single" w:color="auto" w:sz="4" w:space="0"/>
            </w:tcBorders>
            <w:vAlign w:val="center"/>
          </w:tcPr>
          <w:p w:rsidRPr="008633AF" w:rsidR="00A15641" w:rsidP="00276A87" w:rsidRDefault="00A15641" w14:paraId="5ACE8251" w14:textId="77777777">
            <w:pPr>
              <w:jc w:val="right"/>
              <w:rPr>
                <w:b/>
                <w:bCs/>
                <w:color w:val="000000"/>
                <w:sz w:val="20"/>
                <w:szCs w:val="20"/>
              </w:rPr>
            </w:pPr>
            <w:r w:rsidRPr="008633AF">
              <w:rPr>
                <w:b/>
                <w:bCs/>
                <w:color w:val="000000"/>
                <w:sz w:val="20"/>
                <w:szCs w:val="20"/>
              </w:rPr>
              <w:t>38.4</w:t>
            </w:r>
          </w:p>
        </w:tc>
        <w:tc>
          <w:tcPr>
            <w:tcW w:w="740" w:type="pct"/>
            <w:tcBorders>
              <w:bottom w:val="single" w:color="auto" w:sz="4" w:space="0"/>
            </w:tcBorders>
            <w:vAlign w:val="center"/>
          </w:tcPr>
          <w:p w:rsidRPr="008633AF" w:rsidR="00A15641" w:rsidP="00276A87" w:rsidRDefault="00A15641" w14:paraId="3F6A50F7" w14:textId="77777777">
            <w:pPr>
              <w:jc w:val="right"/>
              <w:rPr>
                <w:b/>
                <w:bCs/>
                <w:color w:val="000000"/>
                <w:sz w:val="20"/>
                <w:szCs w:val="20"/>
              </w:rPr>
            </w:pPr>
            <w:r w:rsidRPr="008633AF">
              <w:rPr>
                <w:b/>
                <w:bCs/>
                <w:color w:val="000000"/>
                <w:sz w:val="20"/>
                <w:szCs w:val="20"/>
              </w:rPr>
              <w:t>34.9</w:t>
            </w:r>
          </w:p>
        </w:tc>
        <w:tc>
          <w:tcPr>
            <w:tcW w:w="739" w:type="pct"/>
            <w:tcBorders>
              <w:bottom w:val="single" w:color="auto" w:sz="4" w:space="0"/>
            </w:tcBorders>
            <w:vAlign w:val="center"/>
          </w:tcPr>
          <w:p w:rsidRPr="008633AF" w:rsidR="00A15641" w:rsidP="00276A87" w:rsidRDefault="00A15641" w14:paraId="6CB0F104" w14:textId="77777777">
            <w:pPr>
              <w:jc w:val="right"/>
              <w:rPr>
                <w:b/>
                <w:bCs/>
                <w:color w:val="000000"/>
                <w:sz w:val="20"/>
                <w:szCs w:val="20"/>
              </w:rPr>
            </w:pPr>
            <w:r w:rsidRPr="008633AF">
              <w:rPr>
                <w:b/>
                <w:bCs/>
                <w:color w:val="000000"/>
                <w:sz w:val="20"/>
                <w:szCs w:val="20"/>
              </w:rPr>
              <w:t>39.6</w:t>
            </w:r>
          </w:p>
        </w:tc>
      </w:tr>
      <w:tr w:rsidRPr="00433BC0" w:rsidR="00A15641" w:rsidTr="00974844" w14:paraId="3B82F839" w14:textId="77777777">
        <w:trPr>
          <w:trHeight w:val="214"/>
          <w:jc w:val="center"/>
        </w:trPr>
        <w:tc>
          <w:tcPr>
            <w:tcW w:w="1396" w:type="pct"/>
            <w:vMerge w:val="restart"/>
            <w:tcBorders>
              <w:top w:val="single" w:color="auto" w:sz="4" w:space="0"/>
            </w:tcBorders>
          </w:tcPr>
          <w:p w:rsidRPr="00433BC0" w:rsidR="00A15641" w:rsidP="00276A87" w:rsidRDefault="00A15641" w14:paraId="36B8E57A" w14:textId="77777777">
            <w:pPr>
              <w:rPr>
                <w:sz w:val="20"/>
                <w:szCs w:val="20"/>
              </w:rPr>
            </w:pPr>
            <w:r w:rsidRPr="00433BC0">
              <w:rPr>
                <w:sz w:val="20"/>
                <w:szCs w:val="20"/>
              </w:rPr>
              <w:t>Medium (25-99 head)</w:t>
            </w:r>
          </w:p>
        </w:tc>
        <w:tc>
          <w:tcPr>
            <w:tcW w:w="621" w:type="pct"/>
            <w:tcBorders>
              <w:top w:val="single" w:color="auto" w:sz="4" w:space="0"/>
              <w:left w:val="single" w:color="auto" w:sz="4" w:space="0"/>
            </w:tcBorders>
            <w:vAlign w:val="center"/>
          </w:tcPr>
          <w:p w:rsidRPr="00433BC0" w:rsidR="00A15641" w:rsidP="00276A87" w:rsidRDefault="00A15641" w14:paraId="6E4858C7" w14:textId="77777777">
            <w:pPr>
              <w:jc w:val="right"/>
              <w:rPr>
                <w:color w:val="000000"/>
                <w:sz w:val="20"/>
                <w:szCs w:val="20"/>
              </w:rPr>
            </w:pPr>
            <w:r w:rsidRPr="00433BC0">
              <w:rPr>
                <w:color w:val="000000"/>
                <w:sz w:val="20"/>
                <w:szCs w:val="20"/>
              </w:rPr>
              <w:t>0.50</w:t>
            </w:r>
          </w:p>
        </w:tc>
        <w:tc>
          <w:tcPr>
            <w:tcW w:w="764" w:type="pct"/>
            <w:tcBorders>
              <w:top w:val="single" w:color="auto" w:sz="4" w:space="0"/>
            </w:tcBorders>
            <w:vAlign w:val="center"/>
          </w:tcPr>
          <w:p w:rsidRPr="00433BC0" w:rsidR="00A15641" w:rsidP="00276A87" w:rsidRDefault="00A15641" w14:paraId="6882B3DD" w14:textId="77777777">
            <w:pPr>
              <w:jc w:val="right"/>
              <w:rPr>
                <w:color w:val="000000"/>
                <w:sz w:val="20"/>
                <w:szCs w:val="20"/>
              </w:rPr>
            </w:pPr>
            <w:r w:rsidRPr="00433BC0">
              <w:rPr>
                <w:color w:val="000000"/>
                <w:sz w:val="20"/>
                <w:szCs w:val="20"/>
              </w:rPr>
              <w:t>5.6</w:t>
            </w:r>
          </w:p>
        </w:tc>
        <w:tc>
          <w:tcPr>
            <w:tcW w:w="740" w:type="pct"/>
            <w:tcBorders>
              <w:top w:val="single" w:color="auto" w:sz="4" w:space="0"/>
            </w:tcBorders>
            <w:vAlign w:val="center"/>
          </w:tcPr>
          <w:p w:rsidRPr="00433BC0" w:rsidR="00A15641" w:rsidP="00276A87" w:rsidRDefault="00A15641" w14:paraId="793B22F0" w14:textId="77777777">
            <w:pPr>
              <w:jc w:val="right"/>
              <w:rPr>
                <w:color w:val="000000"/>
                <w:sz w:val="20"/>
                <w:szCs w:val="20"/>
              </w:rPr>
            </w:pPr>
            <w:r w:rsidRPr="00090A4D">
              <w:rPr>
                <w:color w:val="000000"/>
                <w:sz w:val="20"/>
                <w:szCs w:val="20"/>
              </w:rPr>
              <w:t>13.7</w:t>
            </w:r>
          </w:p>
        </w:tc>
        <w:tc>
          <w:tcPr>
            <w:tcW w:w="740" w:type="pct"/>
            <w:tcBorders>
              <w:top w:val="single" w:color="auto" w:sz="4" w:space="0"/>
            </w:tcBorders>
            <w:vAlign w:val="center"/>
          </w:tcPr>
          <w:p w:rsidRPr="00433BC0" w:rsidR="00A15641" w:rsidP="00276A87" w:rsidRDefault="00A15641" w14:paraId="6CB8427A" w14:textId="77777777">
            <w:pPr>
              <w:jc w:val="right"/>
              <w:rPr>
                <w:color w:val="000000"/>
                <w:sz w:val="20"/>
                <w:szCs w:val="20"/>
              </w:rPr>
            </w:pPr>
            <w:r w:rsidRPr="00090A4D">
              <w:rPr>
                <w:color w:val="000000"/>
                <w:sz w:val="20"/>
                <w:szCs w:val="20"/>
              </w:rPr>
              <w:t>12.5</w:t>
            </w:r>
          </w:p>
        </w:tc>
        <w:tc>
          <w:tcPr>
            <w:tcW w:w="739" w:type="pct"/>
            <w:tcBorders>
              <w:top w:val="single" w:color="auto" w:sz="4" w:space="0"/>
            </w:tcBorders>
            <w:vAlign w:val="center"/>
          </w:tcPr>
          <w:p w:rsidRPr="00433BC0" w:rsidR="00A15641" w:rsidP="00276A87" w:rsidRDefault="00A15641" w14:paraId="73DB34BC" w14:textId="77777777">
            <w:pPr>
              <w:jc w:val="right"/>
              <w:rPr>
                <w:color w:val="000000"/>
                <w:sz w:val="20"/>
                <w:szCs w:val="20"/>
              </w:rPr>
            </w:pPr>
            <w:r w:rsidRPr="00090A4D">
              <w:rPr>
                <w:color w:val="000000"/>
                <w:sz w:val="20"/>
                <w:szCs w:val="20"/>
              </w:rPr>
              <w:t>14.1</w:t>
            </w:r>
          </w:p>
        </w:tc>
      </w:tr>
      <w:tr w:rsidRPr="00433BC0" w:rsidR="00A15641" w:rsidTr="00974844" w14:paraId="6905ECF9" w14:textId="77777777">
        <w:trPr>
          <w:trHeight w:val="229"/>
          <w:jc w:val="center"/>
        </w:trPr>
        <w:tc>
          <w:tcPr>
            <w:tcW w:w="1396" w:type="pct"/>
            <w:vMerge/>
          </w:tcPr>
          <w:p w:rsidRPr="00433BC0" w:rsidR="00A15641" w:rsidP="00276A87" w:rsidRDefault="00A15641" w14:paraId="2A797A26" w14:textId="77777777">
            <w:pPr>
              <w:rPr>
                <w:sz w:val="20"/>
                <w:szCs w:val="20"/>
              </w:rPr>
            </w:pPr>
          </w:p>
        </w:tc>
        <w:tc>
          <w:tcPr>
            <w:tcW w:w="621" w:type="pct"/>
            <w:tcBorders>
              <w:left w:val="single" w:color="auto" w:sz="4" w:space="0"/>
            </w:tcBorders>
            <w:vAlign w:val="center"/>
          </w:tcPr>
          <w:p w:rsidRPr="00433BC0" w:rsidR="00A15641" w:rsidP="00276A87" w:rsidRDefault="00A15641" w14:paraId="114FDCAC" w14:textId="77777777">
            <w:pPr>
              <w:jc w:val="right"/>
              <w:rPr>
                <w:color w:val="000000"/>
                <w:sz w:val="20"/>
                <w:szCs w:val="20"/>
              </w:rPr>
            </w:pPr>
            <w:r w:rsidRPr="00433BC0">
              <w:rPr>
                <w:color w:val="000000"/>
                <w:sz w:val="20"/>
                <w:szCs w:val="20"/>
              </w:rPr>
              <w:t>0.25</w:t>
            </w:r>
          </w:p>
        </w:tc>
        <w:tc>
          <w:tcPr>
            <w:tcW w:w="764" w:type="pct"/>
            <w:vAlign w:val="center"/>
          </w:tcPr>
          <w:p w:rsidRPr="00433BC0" w:rsidR="00A15641" w:rsidP="00276A87" w:rsidRDefault="00A15641" w14:paraId="3FD1764B" w14:textId="77777777">
            <w:pPr>
              <w:jc w:val="right"/>
              <w:rPr>
                <w:color w:val="000000"/>
                <w:sz w:val="20"/>
                <w:szCs w:val="20"/>
              </w:rPr>
            </w:pPr>
            <w:r w:rsidRPr="00433BC0">
              <w:rPr>
                <w:color w:val="000000"/>
                <w:sz w:val="20"/>
                <w:szCs w:val="20"/>
              </w:rPr>
              <w:t>9.7</w:t>
            </w:r>
          </w:p>
        </w:tc>
        <w:tc>
          <w:tcPr>
            <w:tcW w:w="740" w:type="pct"/>
            <w:vAlign w:val="center"/>
          </w:tcPr>
          <w:p w:rsidRPr="008633AF" w:rsidR="00A15641" w:rsidP="00276A87" w:rsidRDefault="00A15641" w14:paraId="61B403D8" w14:textId="77777777">
            <w:pPr>
              <w:jc w:val="right"/>
              <w:rPr>
                <w:b/>
                <w:bCs/>
                <w:color w:val="000000"/>
                <w:sz w:val="20"/>
                <w:szCs w:val="20"/>
              </w:rPr>
            </w:pPr>
            <w:r w:rsidRPr="008633AF">
              <w:rPr>
                <w:b/>
                <w:bCs/>
                <w:color w:val="000000"/>
                <w:sz w:val="20"/>
                <w:szCs w:val="20"/>
              </w:rPr>
              <w:t>23.8</w:t>
            </w:r>
          </w:p>
        </w:tc>
        <w:tc>
          <w:tcPr>
            <w:tcW w:w="740" w:type="pct"/>
            <w:vAlign w:val="center"/>
          </w:tcPr>
          <w:p w:rsidRPr="008633AF" w:rsidR="00A15641" w:rsidP="00276A87" w:rsidRDefault="00A15641" w14:paraId="52046530" w14:textId="77777777">
            <w:pPr>
              <w:jc w:val="right"/>
              <w:rPr>
                <w:b/>
                <w:bCs/>
                <w:color w:val="000000"/>
                <w:sz w:val="20"/>
                <w:szCs w:val="20"/>
              </w:rPr>
            </w:pPr>
            <w:r w:rsidRPr="008633AF">
              <w:rPr>
                <w:b/>
                <w:bCs/>
                <w:color w:val="000000"/>
                <w:sz w:val="20"/>
                <w:szCs w:val="20"/>
              </w:rPr>
              <w:t>21.6</w:t>
            </w:r>
          </w:p>
        </w:tc>
        <w:tc>
          <w:tcPr>
            <w:tcW w:w="739" w:type="pct"/>
            <w:vAlign w:val="center"/>
          </w:tcPr>
          <w:p w:rsidRPr="008633AF" w:rsidR="00A15641" w:rsidP="00276A87" w:rsidRDefault="00A15641" w14:paraId="0DAAB59C" w14:textId="77777777">
            <w:pPr>
              <w:jc w:val="right"/>
              <w:rPr>
                <w:b/>
                <w:bCs/>
                <w:color w:val="000000"/>
                <w:sz w:val="20"/>
                <w:szCs w:val="20"/>
              </w:rPr>
            </w:pPr>
            <w:r w:rsidRPr="008633AF">
              <w:rPr>
                <w:b/>
                <w:bCs/>
                <w:color w:val="000000"/>
                <w:sz w:val="20"/>
                <w:szCs w:val="20"/>
              </w:rPr>
              <w:t>24.5</w:t>
            </w:r>
          </w:p>
        </w:tc>
      </w:tr>
      <w:tr w:rsidRPr="00433BC0" w:rsidR="00A15641" w:rsidTr="00974844" w14:paraId="2C61FD49" w14:textId="77777777">
        <w:trPr>
          <w:trHeight w:val="229"/>
          <w:jc w:val="center"/>
        </w:trPr>
        <w:tc>
          <w:tcPr>
            <w:tcW w:w="1396" w:type="pct"/>
            <w:vMerge/>
            <w:tcBorders>
              <w:bottom w:val="single" w:color="auto" w:sz="4" w:space="0"/>
            </w:tcBorders>
          </w:tcPr>
          <w:p w:rsidRPr="00433BC0" w:rsidR="00A15641" w:rsidP="00276A87" w:rsidRDefault="00A15641" w14:paraId="2360FB5A" w14:textId="77777777">
            <w:pPr>
              <w:rPr>
                <w:sz w:val="20"/>
                <w:szCs w:val="20"/>
              </w:rPr>
            </w:pPr>
          </w:p>
        </w:tc>
        <w:tc>
          <w:tcPr>
            <w:tcW w:w="621" w:type="pct"/>
            <w:tcBorders>
              <w:left w:val="single" w:color="auto" w:sz="4" w:space="0"/>
              <w:bottom w:val="single" w:color="auto" w:sz="4" w:space="0"/>
            </w:tcBorders>
            <w:vAlign w:val="center"/>
          </w:tcPr>
          <w:p w:rsidRPr="00433BC0" w:rsidR="00A15641" w:rsidP="00276A87" w:rsidRDefault="00A15641" w14:paraId="5A977EF0" w14:textId="77777777">
            <w:pPr>
              <w:jc w:val="right"/>
              <w:rPr>
                <w:color w:val="000000"/>
                <w:sz w:val="20"/>
                <w:szCs w:val="20"/>
              </w:rPr>
            </w:pPr>
            <w:r w:rsidRPr="00433BC0">
              <w:rPr>
                <w:color w:val="000000"/>
                <w:sz w:val="20"/>
                <w:szCs w:val="20"/>
              </w:rPr>
              <w:t>0.10</w:t>
            </w:r>
          </w:p>
        </w:tc>
        <w:tc>
          <w:tcPr>
            <w:tcW w:w="764" w:type="pct"/>
            <w:tcBorders>
              <w:bottom w:val="single" w:color="auto" w:sz="4" w:space="0"/>
            </w:tcBorders>
            <w:vAlign w:val="center"/>
          </w:tcPr>
          <w:p w:rsidRPr="00433BC0" w:rsidR="00A15641" w:rsidP="00276A87" w:rsidRDefault="00A15641" w14:paraId="00EDB5D4" w14:textId="77777777">
            <w:pPr>
              <w:jc w:val="right"/>
              <w:rPr>
                <w:color w:val="000000"/>
                <w:sz w:val="20"/>
                <w:szCs w:val="20"/>
              </w:rPr>
            </w:pPr>
            <w:r w:rsidRPr="00433BC0">
              <w:rPr>
                <w:color w:val="000000"/>
                <w:sz w:val="20"/>
                <w:szCs w:val="20"/>
              </w:rPr>
              <w:t>16.9</w:t>
            </w:r>
          </w:p>
        </w:tc>
        <w:tc>
          <w:tcPr>
            <w:tcW w:w="740" w:type="pct"/>
            <w:tcBorders>
              <w:bottom w:val="single" w:color="auto" w:sz="4" w:space="0"/>
            </w:tcBorders>
            <w:vAlign w:val="center"/>
          </w:tcPr>
          <w:p w:rsidRPr="008633AF" w:rsidR="00A15641" w:rsidP="00276A87" w:rsidRDefault="00A15641" w14:paraId="3A652410" w14:textId="77777777">
            <w:pPr>
              <w:jc w:val="right"/>
              <w:rPr>
                <w:b/>
                <w:bCs/>
                <w:color w:val="000000"/>
                <w:sz w:val="20"/>
                <w:szCs w:val="20"/>
              </w:rPr>
            </w:pPr>
            <w:r w:rsidRPr="008633AF">
              <w:rPr>
                <w:b/>
                <w:bCs/>
                <w:color w:val="000000"/>
                <w:sz w:val="20"/>
                <w:szCs w:val="20"/>
              </w:rPr>
              <w:t>41.2</w:t>
            </w:r>
          </w:p>
        </w:tc>
        <w:tc>
          <w:tcPr>
            <w:tcW w:w="740" w:type="pct"/>
            <w:tcBorders>
              <w:bottom w:val="single" w:color="auto" w:sz="4" w:space="0"/>
            </w:tcBorders>
            <w:vAlign w:val="center"/>
          </w:tcPr>
          <w:p w:rsidRPr="008633AF" w:rsidR="00A15641" w:rsidP="00276A87" w:rsidRDefault="00A15641" w14:paraId="55254D6F" w14:textId="77777777">
            <w:pPr>
              <w:jc w:val="right"/>
              <w:rPr>
                <w:b/>
                <w:bCs/>
                <w:color w:val="000000"/>
                <w:sz w:val="20"/>
                <w:szCs w:val="20"/>
              </w:rPr>
            </w:pPr>
            <w:r w:rsidRPr="008633AF">
              <w:rPr>
                <w:b/>
                <w:bCs/>
                <w:color w:val="000000"/>
                <w:sz w:val="20"/>
                <w:szCs w:val="20"/>
              </w:rPr>
              <w:t>37.4</w:t>
            </w:r>
          </w:p>
        </w:tc>
        <w:tc>
          <w:tcPr>
            <w:tcW w:w="739" w:type="pct"/>
            <w:tcBorders>
              <w:bottom w:val="single" w:color="auto" w:sz="4" w:space="0"/>
            </w:tcBorders>
            <w:vAlign w:val="center"/>
          </w:tcPr>
          <w:p w:rsidRPr="008633AF" w:rsidR="00A15641" w:rsidP="00276A87" w:rsidRDefault="00A15641" w14:paraId="1318758A" w14:textId="77777777">
            <w:pPr>
              <w:jc w:val="right"/>
              <w:rPr>
                <w:b/>
                <w:bCs/>
                <w:color w:val="000000"/>
                <w:sz w:val="20"/>
                <w:szCs w:val="20"/>
              </w:rPr>
            </w:pPr>
            <w:r w:rsidRPr="008633AF">
              <w:rPr>
                <w:b/>
                <w:bCs/>
                <w:color w:val="000000"/>
                <w:sz w:val="20"/>
                <w:szCs w:val="20"/>
              </w:rPr>
              <w:t>42.4</w:t>
            </w:r>
          </w:p>
        </w:tc>
      </w:tr>
      <w:tr w:rsidRPr="00433BC0" w:rsidR="00A15641" w:rsidTr="00974844" w14:paraId="5EB260D3" w14:textId="77777777">
        <w:trPr>
          <w:trHeight w:val="214"/>
          <w:jc w:val="center"/>
        </w:trPr>
        <w:tc>
          <w:tcPr>
            <w:tcW w:w="1396" w:type="pct"/>
            <w:vMerge w:val="restart"/>
            <w:tcBorders>
              <w:top w:val="single" w:color="auto" w:sz="4" w:space="0"/>
            </w:tcBorders>
          </w:tcPr>
          <w:p w:rsidRPr="00433BC0" w:rsidR="00A15641" w:rsidP="00276A87" w:rsidRDefault="00A15641" w14:paraId="463E9E4E" w14:textId="77777777">
            <w:pPr>
              <w:rPr>
                <w:sz w:val="20"/>
                <w:szCs w:val="20"/>
              </w:rPr>
            </w:pPr>
            <w:r w:rsidRPr="00433BC0">
              <w:rPr>
                <w:sz w:val="20"/>
                <w:szCs w:val="20"/>
              </w:rPr>
              <w:t>Large (100 or more head)</w:t>
            </w:r>
          </w:p>
        </w:tc>
        <w:tc>
          <w:tcPr>
            <w:tcW w:w="621" w:type="pct"/>
            <w:tcBorders>
              <w:top w:val="single" w:color="auto" w:sz="4" w:space="0"/>
              <w:left w:val="single" w:color="auto" w:sz="4" w:space="0"/>
              <w:bottom w:val="nil"/>
            </w:tcBorders>
            <w:vAlign w:val="center"/>
          </w:tcPr>
          <w:p w:rsidRPr="00433BC0" w:rsidR="00A15641" w:rsidP="00276A87" w:rsidRDefault="00A15641" w14:paraId="6B4BE66F" w14:textId="77777777">
            <w:pPr>
              <w:jc w:val="right"/>
              <w:rPr>
                <w:color w:val="000000"/>
                <w:sz w:val="20"/>
                <w:szCs w:val="20"/>
              </w:rPr>
            </w:pPr>
            <w:r w:rsidRPr="00433BC0">
              <w:rPr>
                <w:color w:val="000000"/>
                <w:sz w:val="20"/>
                <w:szCs w:val="20"/>
              </w:rPr>
              <w:t>0.50</w:t>
            </w:r>
          </w:p>
        </w:tc>
        <w:tc>
          <w:tcPr>
            <w:tcW w:w="764" w:type="pct"/>
            <w:tcBorders>
              <w:top w:val="single" w:color="auto" w:sz="4" w:space="0"/>
              <w:bottom w:val="nil"/>
            </w:tcBorders>
            <w:vAlign w:val="center"/>
          </w:tcPr>
          <w:p w:rsidRPr="00433BC0" w:rsidR="00A15641" w:rsidP="00276A87" w:rsidRDefault="00A15641" w14:paraId="59D410D5" w14:textId="77777777">
            <w:pPr>
              <w:jc w:val="right"/>
              <w:rPr>
                <w:color w:val="000000"/>
                <w:sz w:val="20"/>
                <w:szCs w:val="20"/>
              </w:rPr>
            </w:pPr>
            <w:r w:rsidRPr="00433BC0">
              <w:rPr>
                <w:color w:val="000000"/>
                <w:sz w:val="20"/>
                <w:szCs w:val="20"/>
              </w:rPr>
              <w:t>8.1</w:t>
            </w:r>
          </w:p>
        </w:tc>
        <w:tc>
          <w:tcPr>
            <w:tcW w:w="740" w:type="pct"/>
            <w:tcBorders>
              <w:top w:val="single" w:color="auto" w:sz="4" w:space="0"/>
              <w:bottom w:val="nil"/>
            </w:tcBorders>
            <w:vAlign w:val="center"/>
          </w:tcPr>
          <w:p w:rsidRPr="00433BC0" w:rsidR="00A15641" w:rsidP="00276A87" w:rsidRDefault="00A15641" w14:paraId="3796936C" w14:textId="77777777">
            <w:pPr>
              <w:jc w:val="right"/>
              <w:rPr>
                <w:color w:val="000000"/>
                <w:sz w:val="20"/>
                <w:szCs w:val="20"/>
              </w:rPr>
            </w:pPr>
            <w:r w:rsidRPr="00090A4D">
              <w:rPr>
                <w:color w:val="000000"/>
                <w:sz w:val="20"/>
                <w:szCs w:val="20"/>
              </w:rPr>
              <w:t>19.8</w:t>
            </w:r>
          </w:p>
        </w:tc>
        <w:tc>
          <w:tcPr>
            <w:tcW w:w="740" w:type="pct"/>
            <w:tcBorders>
              <w:top w:val="single" w:color="auto" w:sz="4" w:space="0"/>
              <w:bottom w:val="nil"/>
            </w:tcBorders>
            <w:vAlign w:val="center"/>
          </w:tcPr>
          <w:p w:rsidRPr="00433BC0" w:rsidR="00A15641" w:rsidP="00276A87" w:rsidRDefault="00A15641" w14:paraId="26A25A1F" w14:textId="77777777">
            <w:pPr>
              <w:jc w:val="right"/>
              <w:rPr>
                <w:color w:val="000000"/>
                <w:sz w:val="20"/>
                <w:szCs w:val="20"/>
              </w:rPr>
            </w:pPr>
            <w:r w:rsidRPr="00090A4D">
              <w:rPr>
                <w:color w:val="000000"/>
                <w:sz w:val="20"/>
                <w:szCs w:val="20"/>
              </w:rPr>
              <w:t>18.0</w:t>
            </w:r>
          </w:p>
        </w:tc>
        <w:tc>
          <w:tcPr>
            <w:tcW w:w="739" w:type="pct"/>
            <w:tcBorders>
              <w:top w:val="single" w:color="auto" w:sz="4" w:space="0"/>
              <w:bottom w:val="nil"/>
            </w:tcBorders>
            <w:vAlign w:val="center"/>
          </w:tcPr>
          <w:p w:rsidRPr="008633AF" w:rsidR="00A15641" w:rsidP="00276A87" w:rsidRDefault="00A15641" w14:paraId="3D682078" w14:textId="77777777">
            <w:pPr>
              <w:jc w:val="right"/>
              <w:rPr>
                <w:b/>
                <w:bCs/>
                <w:color w:val="000000"/>
                <w:sz w:val="20"/>
                <w:szCs w:val="20"/>
              </w:rPr>
            </w:pPr>
            <w:r w:rsidRPr="008633AF">
              <w:rPr>
                <w:b/>
                <w:bCs/>
                <w:color w:val="000000"/>
                <w:sz w:val="20"/>
                <w:szCs w:val="20"/>
              </w:rPr>
              <w:t>20.4</w:t>
            </w:r>
          </w:p>
        </w:tc>
      </w:tr>
      <w:tr w:rsidRPr="00433BC0" w:rsidR="00A15641" w:rsidTr="00974844" w14:paraId="1ABEDD45" w14:textId="77777777">
        <w:trPr>
          <w:trHeight w:val="229"/>
          <w:jc w:val="center"/>
        </w:trPr>
        <w:tc>
          <w:tcPr>
            <w:tcW w:w="1396" w:type="pct"/>
            <w:vMerge/>
          </w:tcPr>
          <w:p w:rsidRPr="00433BC0" w:rsidR="00A15641" w:rsidP="00276A87" w:rsidRDefault="00A15641" w14:paraId="7C39788F" w14:textId="77777777">
            <w:pPr>
              <w:rPr>
                <w:sz w:val="20"/>
                <w:szCs w:val="20"/>
              </w:rPr>
            </w:pPr>
          </w:p>
        </w:tc>
        <w:tc>
          <w:tcPr>
            <w:tcW w:w="621" w:type="pct"/>
            <w:tcBorders>
              <w:left w:val="single" w:color="auto" w:sz="4" w:space="0"/>
              <w:bottom w:val="nil"/>
            </w:tcBorders>
            <w:vAlign w:val="center"/>
          </w:tcPr>
          <w:p w:rsidRPr="00433BC0" w:rsidR="00A15641" w:rsidP="00276A87" w:rsidRDefault="00A15641" w14:paraId="43D2F418" w14:textId="77777777">
            <w:pPr>
              <w:jc w:val="right"/>
              <w:rPr>
                <w:color w:val="000000"/>
                <w:sz w:val="20"/>
                <w:szCs w:val="20"/>
              </w:rPr>
            </w:pPr>
            <w:r w:rsidRPr="00433BC0">
              <w:rPr>
                <w:color w:val="000000"/>
                <w:sz w:val="20"/>
                <w:szCs w:val="20"/>
              </w:rPr>
              <w:t>0.25</w:t>
            </w:r>
          </w:p>
        </w:tc>
        <w:tc>
          <w:tcPr>
            <w:tcW w:w="764" w:type="pct"/>
            <w:tcBorders>
              <w:bottom w:val="nil"/>
            </w:tcBorders>
            <w:vAlign w:val="center"/>
          </w:tcPr>
          <w:p w:rsidRPr="00433BC0" w:rsidR="00A15641" w:rsidP="00276A87" w:rsidRDefault="00A15641" w14:paraId="0EEB1729" w14:textId="77777777">
            <w:pPr>
              <w:jc w:val="right"/>
              <w:rPr>
                <w:color w:val="000000"/>
                <w:sz w:val="20"/>
                <w:szCs w:val="20"/>
              </w:rPr>
            </w:pPr>
            <w:r w:rsidRPr="00433BC0">
              <w:rPr>
                <w:color w:val="000000"/>
                <w:sz w:val="20"/>
                <w:szCs w:val="20"/>
              </w:rPr>
              <w:t>14.1</w:t>
            </w:r>
          </w:p>
        </w:tc>
        <w:tc>
          <w:tcPr>
            <w:tcW w:w="740" w:type="pct"/>
            <w:tcBorders>
              <w:bottom w:val="nil"/>
            </w:tcBorders>
            <w:vAlign w:val="center"/>
          </w:tcPr>
          <w:p w:rsidRPr="008633AF" w:rsidR="00A15641" w:rsidP="00276A87" w:rsidRDefault="00A15641" w14:paraId="6BE43C96" w14:textId="77777777">
            <w:pPr>
              <w:jc w:val="right"/>
              <w:rPr>
                <w:b/>
                <w:bCs/>
                <w:color w:val="000000"/>
                <w:sz w:val="20"/>
                <w:szCs w:val="20"/>
              </w:rPr>
            </w:pPr>
            <w:r w:rsidRPr="008633AF">
              <w:rPr>
                <w:b/>
                <w:bCs/>
                <w:color w:val="000000"/>
                <w:sz w:val="20"/>
                <w:szCs w:val="20"/>
              </w:rPr>
              <w:t>34.2</w:t>
            </w:r>
          </w:p>
        </w:tc>
        <w:tc>
          <w:tcPr>
            <w:tcW w:w="740" w:type="pct"/>
            <w:tcBorders>
              <w:bottom w:val="nil"/>
            </w:tcBorders>
            <w:vAlign w:val="center"/>
          </w:tcPr>
          <w:p w:rsidRPr="008633AF" w:rsidR="00A15641" w:rsidP="00276A87" w:rsidRDefault="00A15641" w14:paraId="2DF52547" w14:textId="77777777">
            <w:pPr>
              <w:jc w:val="right"/>
              <w:rPr>
                <w:b/>
                <w:bCs/>
                <w:color w:val="000000"/>
                <w:sz w:val="20"/>
                <w:szCs w:val="20"/>
              </w:rPr>
            </w:pPr>
            <w:r w:rsidRPr="008633AF">
              <w:rPr>
                <w:b/>
                <w:bCs/>
                <w:color w:val="000000"/>
                <w:sz w:val="20"/>
                <w:szCs w:val="20"/>
              </w:rPr>
              <w:t>31.1</w:t>
            </w:r>
          </w:p>
        </w:tc>
        <w:tc>
          <w:tcPr>
            <w:tcW w:w="739" w:type="pct"/>
            <w:tcBorders>
              <w:bottom w:val="nil"/>
            </w:tcBorders>
            <w:vAlign w:val="center"/>
          </w:tcPr>
          <w:p w:rsidRPr="008633AF" w:rsidR="00A15641" w:rsidP="00276A87" w:rsidRDefault="00A15641" w14:paraId="30A3E617" w14:textId="77777777">
            <w:pPr>
              <w:jc w:val="right"/>
              <w:rPr>
                <w:b/>
                <w:bCs/>
                <w:color w:val="000000"/>
                <w:sz w:val="20"/>
                <w:szCs w:val="20"/>
              </w:rPr>
            </w:pPr>
            <w:r w:rsidRPr="008633AF">
              <w:rPr>
                <w:b/>
                <w:bCs/>
                <w:color w:val="000000"/>
                <w:sz w:val="20"/>
                <w:szCs w:val="20"/>
              </w:rPr>
              <w:t>35.3</w:t>
            </w:r>
          </w:p>
        </w:tc>
      </w:tr>
      <w:tr w:rsidRPr="00433BC0" w:rsidR="00A15641" w:rsidTr="00974844" w14:paraId="1170335C" w14:textId="77777777">
        <w:trPr>
          <w:trHeight w:val="214"/>
          <w:jc w:val="center"/>
        </w:trPr>
        <w:tc>
          <w:tcPr>
            <w:tcW w:w="1396" w:type="pct"/>
            <w:vMerge/>
            <w:tcBorders>
              <w:bottom w:val="single" w:color="auto" w:sz="4" w:space="0"/>
            </w:tcBorders>
          </w:tcPr>
          <w:p w:rsidRPr="00433BC0" w:rsidR="00A15641" w:rsidP="00276A87" w:rsidRDefault="00A15641" w14:paraId="273B5C89" w14:textId="77777777">
            <w:pPr>
              <w:rPr>
                <w:sz w:val="20"/>
                <w:szCs w:val="20"/>
              </w:rPr>
            </w:pPr>
          </w:p>
        </w:tc>
        <w:tc>
          <w:tcPr>
            <w:tcW w:w="621" w:type="pct"/>
            <w:tcBorders>
              <w:left w:val="single" w:color="auto" w:sz="4" w:space="0"/>
              <w:bottom w:val="single" w:color="auto" w:sz="4" w:space="0"/>
            </w:tcBorders>
            <w:vAlign w:val="center"/>
          </w:tcPr>
          <w:p w:rsidRPr="00433BC0" w:rsidR="00A15641" w:rsidP="00276A87" w:rsidRDefault="00A15641" w14:paraId="2B59BDA7" w14:textId="77777777">
            <w:pPr>
              <w:jc w:val="right"/>
              <w:rPr>
                <w:color w:val="000000"/>
                <w:sz w:val="20"/>
                <w:szCs w:val="20"/>
              </w:rPr>
            </w:pPr>
            <w:r w:rsidRPr="00433BC0">
              <w:rPr>
                <w:color w:val="000000"/>
                <w:sz w:val="20"/>
                <w:szCs w:val="20"/>
              </w:rPr>
              <w:t>0.10</w:t>
            </w:r>
          </w:p>
        </w:tc>
        <w:tc>
          <w:tcPr>
            <w:tcW w:w="764" w:type="pct"/>
            <w:tcBorders>
              <w:bottom w:val="single" w:color="auto" w:sz="4" w:space="0"/>
            </w:tcBorders>
            <w:vAlign w:val="center"/>
          </w:tcPr>
          <w:p w:rsidRPr="00433BC0" w:rsidR="00A15641" w:rsidP="00276A87" w:rsidRDefault="00A15641" w14:paraId="2CCD66E4" w14:textId="77777777">
            <w:pPr>
              <w:jc w:val="right"/>
              <w:rPr>
                <w:b/>
                <w:bCs/>
                <w:color w:val="000000"/>
                <w:sz w:val="20"/>
                <w:szCs w:val="20"/>
              </w:rPr>
            </w:pPr>
            <w:r w:rsidRPr="00433BC0">
              <w:rPr>
                <w:b/>
                <w:bCs/>
                <w:color w:val="000000"/>
                <w:sz w:val="20"/>
                <w:szCs w:val="20"/>
              </w:rPr>
              <w:t>24.3</w:t>
            </w:r>
          </w:p>
        </w:tc>
        <w:tc>
          <w:tcPr>
            <w:tcW w:w="740" w:type="pct"/>
            <w:tcBorders>
              <w:bottom w:val="single" w:color="auto" w:sz="4" w:space="0"/>
            </w:tcBorders>
            <w:vAlign w:val="center"/>
          </w:tcPr>
          <w:p w:rsidRPr="008633AF" w:rsidR="00A15641" w:rsidP="00276A87" w:rsidRDefault="00A15641" w14:paraId="5EF10DA5" w14:textId="77777777">
            <w:pPr>
              <w:jc w:val="right"/>
              <w:rPr>
                <w:b/>
                <w:bCs/>
                <w:color w:val="000000"/>
                <w:sz w:val="20"/>
                <w:szCs w:val="20"/>
              </w:rPr>
            </w:pPr>
            <w:r w:rsidRPr="008633AF">
              <w:rPr>
                <w:b/>
                <w:bCs/>
                <w:color w:val="000000"/>
                <w:sz w:val="20"/>
                <w:szCs w:val="20"/>
              </w:rPr>
              <w:t>59.3</w:t>
            </w:r>
          </w:p>
        </w:tc>
        <w:tc>
          <w:tcPr>
            <w:tcW w:w="740" w:type="pct"/>
            <w:tcBorders>
              <w:bottom w:val="single" w:color="auto" w:sz="4" w:space="0"/>
            </w:tcBorders>
            <w:vAlign w:val="center"/>
          </w:tcPr>
          <w:p w:rsidRPr="008633AF" w:rsidR="00A15641" w:rsidP="00276A87" w:rsidRDefault="00A15641" w14:paraId="60A56475" w14:textId="77777777">
            <w:pPr>
              <w:jc w:val="right"/>
              <w:rPr>
                <w:b/>
                <w:bCs/>
                <w:color w:val="000000"/>
                <w:sz w:val="20"/>
                <w:szCs w:val="20"/>
              </w:rPr>
            </w:pPr>
            <w:r w:rsidRPr="008633AF">
              <w:rPr>
                <w:b/>
                <w:bCs/>
                <w:color w:val="000000"/>
                <w:sz w:val="20"/>
                <w:szCs w:val="20"/>
              </w:rPr>
              <w:t>53.9</w:t>
            </w:r>
          </w:p>
        </w:tc>
        <w:tc>
          <w:tcPr>
            <w:tcW w:w="739" w:type="pct"/>
            <w:tcBorders>
              <w:bottom w:val="single" w:color="auto" w:sz="4" w:space="0"/>
            </w:tcBorders>
            <w:vAlign w:val="center"/>
          </w:tcPr>
          <w:p w:rsidRPr="008633AF" w:rsidR="00A15641" w:rsidP="00276A87" w:rsidRDefault="00A15641" w14:paraId="440BBD76" w14:textId="77777777">
            <w:pPr>
              <w:jc w:val="right"/>
              <w:rPr>
                <w:b/>
                <w:bCs/>
                <w:color w:val="000000"/>
                <w:sz w:val="20"/>
                <w:szCs w:val="20"/>
              </w:rPr>
            </w:pPr>
            <w:r w:rsidRPr="008633AF">
              <w:rPr>
                <w:b/>
                <w:bCs/>
                <w:color w:val="000000"/>
                <w:sz w:val="20"/>
                <w:szCs w:val="20"/>
              </w:rPr>
              <w:t>61.1</w:t>
            </w:r>
          </w:p>
        </w:tc>
      </w:tr>
      <w:tr w:rsidRPr="00433BC0" w:rsidR="00A15641" w:rsidTr="00974844" w14:paraId="38EC98F8" w14:textId="77777777">
        <w:trPr>
          <w:trHeight w:val="229"/>
          <w:jc w:val="center"/>
        </w:trPr>
        <w:tc>
          <w:tcPr>
            <w:tcW w:w="1396" w:type="pct"/>
            <w:vMerge w:val="restart"/>
            <w:tcBorders>
              <w:top w:val="single" w:color="auto" w:sz="4" w:space="0"/>
            </w:tcBorders>
          </w:tcPr>
          <w:p w:rsidRPr="00433BC0" w:rsidR="00A15641" w:rsidP="00276A87" w:rsidRDefault="00A15641" w14:paraId="186EFB95" w14:textId="77777777">
            <w:pPr>
              <w:rPr>
                <w:sz w:val="20"/>
                <w:szCs w:val="20"/>
              </w:rPr>
            </w:pPr>
            <w:r w:rsidRPr="00433BC0">
              <w:rPr>
                <w:sz w:val="20"/>
                <w:szCs w:val="20"/>
              </w:rPr>
              <w:t>Total</w:t>
            </w:r>
          </w:p>
        </w:tc>
        <w:tc>
          <w:tcPr>
            <w:tcW w:w="621" w:type="pct"/>
            <w:tcBorders>
              <w:top w:val="single" w:color="auto" w:sz="4" w:space="0"/>
              <w:left w:val="single" w:color="auto" w:sz="4" w:space="0"/>
              <w:bottom w:val="nil"/>
            </w:tcBorders>
            <w:vAlign w:val="center"/>
          </w:tcPr>
          <w:p w:rsidRPr="00433BC0" w:rsidR="00A15641" w:rsidP="00276A87" w:rsidRDefault="00A15641" w14:paraId="74B64E94" w14:textId="77777777">
            <w:pPr>
              <w:jc w:val="right"/>
              <w:rPr>
                <w:color w:val="000000"/>
                <w:sz w:val="20"/>
                <w:szCs w:val="20"/>
              </w:rPr>
            </w:pPr>
            <w:r w:rsidRPr="00433BC0">
              <w:rPr>
                <w:color w:val="000000"/>
                <w:sz w:val="20"/>
                <w:szCs w:val="20"/>
              </w:rPr>
              <w:t>0.50</w:t>
            </w:r>
          </w:p>
        </w:tc>
        <w:tc>
          <w:tcPr>
            <w:tcW w:w="764" w:type="pct"/>
            <w:tcBorders>
              <w:top w:val="single" w:color="auto" w:sz="4" w:space="0"/>
              <w:bottom w:val="nil"/>
            </w:tcBorders>
            <w:vAlign w:val="center"/>
          </w:tcPr>
          <w:p w:rsidRPr="00433BC0" w:rsidR="00A15641" w:rsidP="00276A87" w:rsidRDefault="00A15641" w14:paraId="10F18099" w14:textId="77777777">
            <w:pPr>
              <w:jc w:val="right"/>
              <w:rPr>
                <w:color w:val="000000"/>
                <w:sz w:val="20"/>
                <w:szCs w:val="20"/>
              </w:rPr>
            </w:pPr>
            <w:r w:rsidRPr="00433BC0">
              <w:rPr>
                <w:color w:val="000000"/>
                <w:sz w:val="20"/>
                <w:szCs w:val="20"/>
              </w:rPr>
              <w:t>2.6</w:t>
            </w:r>
          </w:p>
        </w:tc>
        <w:tc>
          <w:tcPr>
            <w:tcW w:w="740" w:type="pct"/>
            <w:tcBorders>
              <w:top w:val="single" w:color="auto" w:sz="4" w:space="0"/>
              <w:bottom w:val="nil"/>
            </w:tcBorders>
            <w:vAlign w:val="center"/>
          </w:tcPr>
          <w:p w:rsidRPr="00433BC0" w:rsidR="00A15641" w:rsidP="00276A87" w:rsidRDefault="00A15641" w14:paraId="1BDF38BD" w14:textId="77777777">
            <w:pPr>
              <w:jc w:val="right"/>
              <w:rPr>
                <w:color w:val="000000"/>
                <w:sz w:val="20"/>
                <w:szCs w:val="20"/>
              </w:rPr>
            </w:pPr>
            <w:r w:rsidRPr="00090A4D">
              <w:rPr>
                <w:color w:val="000000"/>
                <w:sz w:val="20"/>
                <w:szCs w:val="20"/>
              </w:rPr>
              <w:t>6.4</w:t>
            </w:r>
          </w:p>
        </w:tc>
        <w:tc>
          <w:tcPr>
            <w:tcW w:w="740" w:type="pct"/>
            <w:tcBorders>
              <w:top w:val="single" w:color="auto" w:sz="4" w:space="0"/>
              <w:bottom w:val="nil"/>
            </w:tcBorders>
            <w:vAlign w:val="center"/>
          </w:tcPr>
          <w:p w:rsidRPr="00433BC0" w:rsidR="00A15641" w:rsidP="00276A87" w:rsidRDefault="00A15641" w14:paraId="5D906541" w14:textId="77777777">
            <w:pPr>
              <w:jc w:val="right"/>
              <w:rPr>
                <w:color w:val="000000"/>
                <w:sz w:val="20"/>
                <w:szCs w:val="20"/>
              </w:rPr>
            </w:pPr>
            <w:r w:rsidRPr="00090A4D">
              <w:rPr>
                <w:color w:val="000000"/>
                <w:sz w:val="20"/>
                <w:szCs w:val="20"/>
              </w:rPr>
              <w:t>5.9</w:t>
            </w:r>
          </w:p>
        </w:tc>
        <w:tc>
          <w:tcPr>
            <w:tcW w:w="739" w:type="pct"/>
            <w:tcBorders>
              <w:top w:val="single" w:color="auto" w:sz="4" w:space="0"/>
              <w:bottom w:val="nil"/>
            </w:tcBorders>
            <w:vAlign w:val="center"/>
          </w:tcPr>
          <w:p w:rsidRPr="00433BC0" w:rsidR="00A15641" w:rsidP="00276A87" w:rsidRDefault="00A15641" w14:paraId="07894A1B" w14:textId="77777777">
            <w:pPr>
              <w:jc w:val="right"/>
              <w:rPr>
                <w:color w:val="000000"/>
                <w:sz w:val="20"/>
                <w:szCs w:val="20"/>
              </w:rPr>
            </w:pPr>
            <w:r w:rsidRPr="00090A4D">
              <w:rPr>
                <w:color w:val="000000"/>
                <w:sz w:val="20"/>
                <w:szCs w:val="20"/>
              </w:rPr>
              <w:t>6.6</w:t>
            </w:r>
          </w:p>
        </w:tc>
      </w:tr>
      <w:tr w:rsidRPr="00433BC0" w:rsidR="00A15641" w:rsidTr="00974844" w14:paraId="54D2F4EE" w14:textId="77777777">
        <w:trPr>
          <w:trHeight w:val="229"/>
          <w:jc w:val="center"/>
        </w:trPr>
        <w:tc>
          <w:tcPr>
            <w:tcW w:w="1396" w:type="pct"/>
            <w:vMerge/>
            <w:vAlign w:val="center"/>
          </w:tcPr>
          <w:p w:rsidRPr="00433BC0" w:rsidR="00A15641" w:rsidP="00276A87" w:rsidRDefault="00A15641" w14:paraId="67B52D8B" w14:textId="77777777">
            <w:pPr>
              <w:rPr>
                <w:sz w:val="20"/>
                <w:szCs w:val="20"/>
              </w:rPr>
            </w:pPr>
          </w:p>
        </w:tc>
        <w:tc>
          <w:tcPr>
            <w:tcW w:w="621" w:type="pct"/>
            <w:tcBorders>
              <w:top w:val="nil"/>
              <w:left w:val="single" w:color="auto" w:sz="4" w:space="0"/>
              <w:bottom w:val="nil"/>
            </w:tcBorders>
            <w:vAlign w:val="center"/>
          </w:tcPr>
          <w:p w:rsidRPr="00433BC0" w:rsidR="00A15641" w:rsidP="00276A87" w:rsidRDefault="00A15641" w14:paraId="2CA12A54" w14:textId="77777777">
            <w:pPr>
              <w:jc w:val="right"/>
              <w:rPr>
                <w:color w:val="000000"/>
                <w:sz w:val="20"/>
                <w:szCs w:val="20"/>
              </w:rPr>
            </w:pPr>
            <w:r w:rsidRPr="00433BC0">
              <w:rPr>
                <w:color w:val="000000"/>
                <w:sz w:val="20"/>
                <w:szCs w:val="20"/>
              </w:rPr>
              <w:t>0.25</w:t>
            </w:r>
          </w:p>
        </w:tc>
        <w:tc>
          <w:tcPr>
            <w:tcW w:w="764" w:type="pct"/>
            <w:tcBorders>
              <w:top w:val="nil"/>
              <w:bottom w:val="nil"/>
            </w:tcBorders>
            <w:vAlign w:val="center"/>
          </w:tcPr>
          <w:p w:rsidRPr="00433BC0" w:rsidR="00A15641" w:rsidP="00276A87" w:rsidRDefault="00A15641" w14:paraId="3DE1A385" w14:textId="77777777">
            <w:pPr>
              <w:jc w:val="right"/>
              <w:rPr>
                <w:color w:val="000000"/>
                <w:sz w:val="20"/>
                <w:szCs w:val="20"/>
              </w:rPr>
            </w:pPr>
            <w:r w:rsidRPr="00433BC0">
              <w:rPr>
                <w:color w:val="000000"/>
                <w:sz w:val="20"/>
                <w:szCs w:val="20"/>
              </w:rPr>
              <w:t>4.6</w:t>
            </w:r>
          </w:p>
        </w:tc>
        <w:tc>
          <w:tcPr>
            <w:tcW w:w="740" w:type="pct"/>
            <w:tcBorders>
              <w:top w:val="nil"/>
              <w:bottom w:val="nil"/>
            </w:tcBorders>
            <w:vAlign w:val="center"/>
          </w:tcPr>
          <w:p w:rsidRPr="00433BC0" w:rsidR="00A15641" w:rsidP="00276A87" w:rsidRDefault="00A15641" w14:paraId="144AF857" w14:textId="77777777">
            <w:pPr>
              <w:jc w:val="right"/>
              <w:rPr>
                <w:color w:val="000000"/>
                <w:sz w:val="20"/>
                <w:szCs w:val="20"/>
              </w:rPr>
            </w:pPr>
            <w:r w:rsidRPr="00090A4D">
              <w:rPr>
                <w:color w:val="000000"/>
                <w:sz w:val="20"/>
                <w:szCs w:val="20"/>
              </w:rPr>
              <w:t>11.2</w:t>
            </w:r>
          </w:p>
        </w:tc>
        <w:tc>
          <w:tcPr>
            <w:tcW w:w="740" w:type="pct"/>
            <w:tcBorders>
              <w:top w:val="nil"/>
              <w:bottom w:val="nil"/>
            </w:tcBorders>
            <w:vAlign w:val="center"/>
          </w:tcPr>
          <w:p w:rsidRPr="00433BC0" w:rsidR="00A15641" w:rsidP="00276A87" w:rsidRDefault="00A15641" w14:paraId="1B25DEF9" w14:textId="77777777">
            <w:pPr>
              <w:jc w:val="right"/>
              <w:rPr>
                <w:color w:val="000000"/>
                <w:sz w:val="20"/>
                <w:szCs w:val="20"/>
              </w:rPr>
            </w:pPr>
            <w:r w:rsidRPr="00090A4D">
              <w:rPr>
                <w:color w:val="000000"/>
                <w:sz w:val="20"/>
                <w:szCs w:val="20"/>
              </w:rPr>
              <w:t>10.1</w:t>
            </w:r>
          </w:p>
        </w:tc>
        <w:tc>
          <w:tcPr>
            <w:tcW w:w="739" w:type="pct"/>
            <w:tcBorders>
              <w:top w:val="nil"/>
              <w:bottom w:val="nil"/>
            </w:tcBorders>
            <w:vAlign w:val="center"/>
          </w:tcPr>
          <w:p w:rsidRPr="00433BC0" w:rsidR="00A15641" w:rsidP="00276A87" w:rsidRDefault="00A15641" w14:paraId="16E7C73C" w14:textId="77777777">
            <w:pPr>
              <w:jc w:val="right"/>
              <w:rPr>
                <w:color w:val="000000"/>
                <w:sz w:val="20"/>
                <w:szCs w:val="20"/>
              </w:rPr>
            </w:pPr>
            <w:r w:rsidRPr="00090A4D">
              <w:rPr>
                <w:color w:val="000000"/>
                <w:sz w:val="20"/>
                <w:szCs w:val="20"/>
              </w:rPr>
              <w:t>11.5</w:t>
            </w:r>
          </w:p>
        </w:tc>
      </w:tr>
      <w:tr w:rsidRPr="00433BC0" w:rsidR="00A15641" w:rsidTr="00974844" w14:paraId="081846B0" w14:textId="77777777">
        <w:trPr>
          <w:trHeight w:val="214"/>
          <w:jc w:val="center"/>
        </w:trPr>
        <w:tc>
          <w:tcPr>
            <w:tcW w:w="1396" w:type="pct"/>
            <w:vMerge/>
            <w:tcBorders>
              <w:bottom w:val="single" w:color="auto" w:sz="4" w:space="0"/>
            </w:tcBorders>
            <w:vAlign w:val="center"/>
          </w:tcPr>
          <w:p w:rsidRPr="00433BC0" w:rsidR="00A15641" w:rsidP="00276A87" w:rsidRDefault="00A15641" w14:paraId="3C0B27C7" w14:textId="77777777">
            <w:pPr>
              <w:rPr>
                <w:sz w:val="20"/>
                <w:szCs w:val="20"/>
              </w:rPr>
            </w:pPr>
          </w:p>
        </w:tc>
        <w:tc>
          <w:tcPr>
            <w:tcW w:w="621" w:type="pct"/>
            <w:tcBorders>
              <w:top w:val="nil"/>
              <w:left w:val="single" w:color="auto" w:sz="4" w:space="0"/>
              <w:bottom w:val="single" w:color="auto" w:sz="4" w:space="0"/>
            </w:tcBorders>
            <w:vAlign w:val="center"/>
          </w:tcPr>
          <w:p w:rsidRPr="00433BC0" w:rsidR="00A15641" w:rsidP="00276A87" w:rsidRDefault="00A15641" w14:paraId="1301C48E" w14:textId="77777777">
            <w:pPr>
              <w:jc w:val="right"/>
              <w:rPr>
                <w:color w:val="000000"/>
                <w:sz w:val="20"/>
                <w:szCs w:val="20"/>
              </w:rPr>
            </w:pPr>
            <w:r w:rsidRPr="00433BC0">
              <w:rPr>
                <w:color w:val="000000"/>
                <w:sz w:val="20"/>
                <w:szCs w:val="20"/>
              </w:rPr>
              <w:t>0.10</w:t>
            </w:r>
          </w:p>
        </w:tc>
        <w:tc>
          <w:tcPr>
            <w:tcW w:w="764" w:type="pct"/>
            <w:tcBorders>
              <w:top w:val="nil"/>
              <w:bottom w:val="single" w:color="auto" w:sz="4" w:space="0"/>
            </w:tcBorders>
            <w:vAlign w:val="center"/>
          </w:tcPr>
          <w:p w:rsidRPr="00433BC0" w:rsidR="00A15641" w:rsidP="00276A87" w:rsidRDefault="00A15641" w14:paraId="45DE2519" w14:textId="77777777">
            <w:pPr>
              <w:jc w:val="right"/>
              <w:rPr>
                <w:color w:val="000000"/>
                <w:sz w:val="20"/>
                <w:szCs w:val="20"/>
              </w:rPr>
            </w:pPr>
            <w:r w:rsidRPr="00433BC0">
              <w:rPr>
                <w:color w:val="000000"/>
                <w:sz w:val="20"/>
                <w:szCs w:val="20"/>
              </w:rPr>
              <w:t>7.9</w:t>
            </w:r>
          </w:p>
        </w:tc>
        <w:tc>
          <w:tcPr>
            <w:tcW w:w="740" w:type="pct"/>
            <w:tcBorders>
              <w:top w:val="nil"/>
              <w:bottom w:val="single" w:color="auto" w:sz="4" w:space="0"/>
            </w:tcBorders>
            <w:vAlign w:val="center"/>
          </w:tcPr>
          <w:p w:rsidRPr="00433BC0" w:rsidR="00A15641" w:rsidP="00276A87" w:rsidRDefault="00A15641" w14:paraId="7641FBAF" w14:textId="77777777">
            <w:pPr>
              <w:jc w:val="right"/>
              <w:rPr>
                <w:color w:val="000000"/>
                <w:sz w:val="20"/>
                <w:szCs w:val="20"/>
              </w:rPr>
            </w:pPr>
            <w:r w:rsidRPr="00090A4D">
              <w:rPr>
                <w:color w:val="000000"/>
                <w:sz w:val="20"/>
                <w:szCs w:val="20"/>
              </w:rPr>
              <w:t>19.3</w:t>
            </w:r>
          </w:p>
        </w:tc>
        <w:tc>
          <w:tcPr>
            <w:tcW w:w="740" w:type="pct"/>
            <w:tcBorders>
              <w:top w:val="nil"/>
              <w:bottom w:val="single" w:color="auto" w:sz="4" w:space="0"/>
            </w:tcBorders>
            <w:vAlign w:val="center"/>
          </w:tcPr>
          <w:p w:rsidRPr="00433BC0" w:rsidR="00A15641" w:rsidP="00276A87" w:rsidRDefault="00A15641" w14:paraId="5C614CFA" w14:textId="77777777">
            <w:pPr>
              <w:jc w:val="right"/>
              <w:rPr>
                <w:color w:val="000000"/>
                <w:sz w:val="20"/>
                <w:szCs w:val="20"/>
              </w:rPr>
            </w:pPr>
            <w:r w:rsidRPr="00090A4D">
              <w:rPr>
                <w:color w:val="000000"/>
                <w:sz w:val="20"/>
                <w:szCs w:val="20"/>
              </w:rPr>
              <w:t>17.6</w:t>
            </w:r>
          </w:p>
        </w:tc>
        <w:tc>
          <w:tcPr>
            <w:tcW w:w="739" w:type="pct"/>
            <w:tcBorders>
              <w:top w:val="nil"/>
              <w:bottom w:val="single" w:color="auto" w:sz="4" w:space="0"/>
            </w:tcBorders>
            <w:vAlign w:val="center"/>
          </w:tcPr>
          <w:p w:rsidRPr="00433BC0" w:rsidR="00A15641" w:rsidP="00276A87" w:rsidRDefault="00A15641" w14:paraId="1BD2FBF2" w14:textId="77777777">
            <w:pPr>
              <w:jc w:val="right"/>
              <w:rPr>
                <w:color w:val="000000"/>
                <w:sz w:val="20"/>
                <w:szCs w:val="20"/>
              </w:rPr>
            </w:pPr>
            <w:r w:rsidRPr="00090A4D">
              <w:rPr>
                <w:color w:val="000000"/>
                <w:sz w:val="20"/>
                <w:szCs w:val="20"/>
              </w:rPr>
              <w:t>19.9</w:t>
            </w:r>
          </w:p>
        </w:tc>
      </w:tr>
    </w:tbl>
    <w:p w:rsidRPr="00433BC0" w:rsidR="00A15641" w:rsidP="00A15641" w:rsidRDefault="00A15641" w14:paraId="265C8443" w14:textId="77777777">
      <w:pPr>
        <w:autoSpaceDE w:val="0"/>
        <w:autoSpaceDN w:val="0"/>
        <w:adjustRightInd w:val="0"/>
        <w:rPr>
          <w:color w:val="000000"/>
          <w:sz w:val="20"/>
          <w:szCs w:val="20"/>
        </w:rPr>
      </w:pPr>
    </w:p>
    <w:p w:rsidR="00A15641" w:rsidP="00A15641" w:rsidRDefault="00A15641" w14:paraId="464ACC44" w14:textId="77777777">
      <w:bookmarkStart w:name="_Toc142106621" w:id="45"/>
      <w:r>
        <w:br w:type="page"/>
      </w:r>
    </w:p>
    <w:p w:rsidR="00A15641" w:rsidP="00A15641" w:rsidRDefault="00A15641" w14:paraId="3E8B22F2" w14:textId="3B3A4574">
      <w:pPr>
        <w:rPr>
          <w:color w:val="000000"/>
        </w:rPr>
      </w:pPr>
      <w:r w:rsidRPr="00185554">
        <w:lastRenderedPageBreak/>
        <w:t xml:space="preserve">Table A.2. Precision estimates at </w:t>
      </w:r>
      <w:r>
        <w:t>the NASS and Biologics Phases</w:t>
      </w:r>
      <w:r w:rsidRPr="00185554">
        <w:t xml:space="preserve"> for the Bison 2022 </w:t>
      </w:r>
      <w:r>
        <w:t>Study</w:t>
      </w:r>
      <w:r w:rsidRPr="00185554">
        <w:t>, by region of operation</w:t>
      </w:r>
      <w:r w:rsidRPr="00185554">
        <w:rPr>
          <w:color w:val="000000"/>
        </w:rPr>
        <w:t>.</w:t>
      </w:r>
    </w:p>
    <w:p w:rsidRPr="00185554" w:rsidR="00974844" w:rsidP="00A15641" w:rsidRDefault="00974844" w14:paraId="4587354D" w14:textId="77777777"/>
    <w:tbl>
      <w:tblPr>
        <w:tblStyle w:val="TableGrid"/>
        <w:tblW w:w="5538" w:type="pct"/>
        <w:jc w:val="center"/>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93"/>
        <w:gridCol w:w="1072"/>
        <w:gridCol w:w="1439"/>
        <w:gridCol w:w="1389"/>
        <w:gridCol w:w="1389"/>
        <w:gridCol w:w="1385"/>
      </w:tblGrid>
      <w:tr w:rsidRPr="00433BC0" w:rsidR="00A15641" w:rsidTr="00974844" w14:paraId="5A0260F6" w14:textId="77777777">
        <w:trPr>
          <w:trHeight w:val="1112"/>
          <w:jc w:val="center"/>
        </w:trPr>
        <w:tc>
          <w:tcPr>
            <w:tcW w:w="1851" w:type="pct"/>
            <w:tcBorders>
              <w:top w:val="single" w:color="auto" w:sz="4" w:space="0"/>
              <w:bottom w:val="single" w:color="auto" w:sz="4" w:space="0"/>
            </w:tcBorders>
            <w:vAlign w:val="center"/>
          </w:tcPr>
          <w:p w:rsidRPr="00433BC0" w:rsidR="00A15641" w:rsidP="00276A87" w:rsidRDefault="00A15641" w14:paraId="7AC87A5F" w14:textId="77777777">
            <w:pPr>
              <w:rPr>
                <w:sz w:val="20"/>
                <w:szCs w:val="20"/>
              </w:rPr>
            </w:pPr>
            <w:r>
              <w:rPr>
                <w:sz w:val="20"/>
                <w:szCs w:val="20"/>
              </w:rPr>
              <w:t>Region</w:t>
            </w:r>
          </w:p>
        </w:tc>
        <w:tc>
          <w:tcPr>
            <w:tcW w:w="167" w:type="pct"/>
            <w:tcBorders>
              <w:top w:val="single" w:color="auto" w:sz="4" w:space="0"/>
              <w:left w:val="single" w:color="auto" w:sz="4" w:space="0"/>
              <w:bottom w:val="single" w:color="auto" w:sz="4" w:space="0"/>
            </w:tcBorders>
            <w:vAlign w:val="bottom"/>
          </w:tcPr>
          <w:p w:rsidRPr="00433BC0" w:rsidR="00A15641" w:rsidP="00276A87" w:rsidRDefault="00A15641" w14:paraId="780B9441" w14:textId="77777777">
            <w:pPr>
              <w:jc w:val="right"/>
              <w:rPr>
                <w:color w:val="000000"/>
                <w:sz w:val="20"/>
                <w:szCs w:val="20"/>
              </w:rPr>
            </w:pPr>
            <w:r w:rsidRPr="00433BC0">
              <w:rPr>
                <w:color w:val="000000"/>
                <w:sz w:val="20"/>
                <w:szCs w:val="20"/>
              </w:rPr>
              <w:t>Proportion estimate</w:t>
            </w:r>
          </w:p>
        </w:tc>
        <w:tc>
          <w:tcPr>
            <w:tcW w:w="764" w:type="pct"/>
            <w:tcBorders>
              <w:top w:val="single" w:color="auto" w:sz="4" w:space="0"/>
              <w:bottom w:val="single" w:color="auto" w:sz="4" w:space="0"/>
            </w:tcBorders>
            <w:vAlign w:val="bottom"/>
          </w:tcPr>
          <w:p w:rsidRPr="00433BC0" w:rsidR="00A15641" w:rsidP="00276A87" w:rsidRDefault="00A15641" w14:paraId="6F438AA8" w14:textId="77777777">
            <w:pPr>
              <w:jc w:val="right"/>
              <w:rPr>
                <w:color w:val="000000"/>
                <w:sz w:val="20"/>
                <w:szCs w:val="20"/>
                <w:vertAlign w:val="superscript"/>
              </w:rPr>
            </w:pPr>
            <w:r>
              <w:rPr>
                <w:color w:val="000000"/>
                <w:sz w:val="20"/>
                <w:szCs w:val="20"/>
              </w:rPr>
              <w:t xml:space="preserve">NASS </w:t>
            </w:r>
            <w:r w:rsidRPr="00433BC0">
              <w:rPr>
                <w:color w:val="000000"/>
                <w:sz w:val="20"/>
                <w:szCs w:val="20"/>
              </w:rPr>
              <w:t>Phase CV estimate (%)</w:t>
            </w:r>
          </w:p>
        </w:tc>
        <w:tc>
          <w:tcPr>
            <w:tcW w:w="740" w:type="pct"/>
            <w:tcBorders>
              <w:top w:val="single" w:color="auto" w:sz="4" w:space="0"/>
              <w:bottom w:val="single" w:color="auto" w:sz="4" w:space="0"/>
            </w:tcBorders>
            <w:vAlign w:val="bottom"/>
          </w:tcPr>
          <w:p w:rsidRPr="00433BC0" w:rsidR="00A15641" w:rsidP="00276A87" w:rsidRDefault="00A15641" w14:paraId="0D2B316A" w14:textId="77777777">
            <w:pPr>
              <w:jc w:val="right"/>
              <w:rPr>
                <w:color w:val="000000"/>
                <w:sz w:val="20"/>
                <w:szCs w:val="20"/>
                <w:vertAlign w:val="superscript"/>
              </w:rPr>
            </w:pPr>
            <w:r>
              <w:rPr>
                <w:color w:val="000000"/>
                <w:sz w:val="20"/>
                <w:szCs w:val="20"/>
              </w:rPr>
              <w:t>Biologics Phase</w:t>
            </w:r>
            <w:r w:rsidRPr="00090A4D">
              <w:rPr>
                <w:color w:val="000000"/>
                <w:sz w:val="20"/>
                <w:szCs w:val="20"/>
              </w:rPr>
              <w:t xml:space="preserve"> - Fecal CV estimate (%)</w:t>
            </w:r>
          </w:p>
        </w:tc>
        <w:tc>
          <w:tcPr>
            <w:tcW w:w="740" w:type="pct"/>
            <w:tcBorders>
              <w:top w:val="single" w:color="auto" w:sz="4" w:space="0"/>
              <w:bottom w:val="single" w:color="auto" w:sz="4" w:space="0"/>
            </w:tcBorders>
            <w:vAlign w:val="bottom"/>
          </w:tcPr>
          <w:p w:rsidR="00A15641" w:rsidP="00276A87" w:rsidRDefault="00A15641" w14:paraId="4D137604" w14:textId="77777777">
            <w:pPr>
              <w:jc w:val="right"/>
              <w:rPr>
                <w:color w:val="000000"/>
                <w:sz w:val="20"/>
                <w:szCs w:val="20"/>
              </w:rPr>
            </w:pPr>
            <w:r>
              <w:rPr>
                <w:color w:val="000000"/>
                <w:sz w:val="20"/>
                <w:szCs w:val="20"/>
              </w:rPr>
              <w:t>Biologics Phase</w:t>
            </w:r>
            <w:r w:rsidRPr="00090A4D">
              <w:rPr>
                <w:color w:val="000000"/>
                <w:sz w:val="20"/>
                <w:szCs w:val="20"/>
              </w:rPr>
              <w:t xml:space="preserve"> – Parasites A CV estimate (%)</w:t>
            </w:r>
          </w:p>
        </w:tc>
        <w:tc>
          <w:tcPr>
            <w:tcW w:w="739" w:type="pct"/>
            <w:tcBorders>
              <w:top w:val="single" w:color="auto" w:sz="4" w:space="0"/>
              <w:bottom w:val="single" w:color="auto" w:sz="4" w:space="0"/>
            </w:tcBorders>
            <w:vAlign w:val="bottom"/>
          </w:tcPr>
          <w:p w:rsidR="00A15641" w:rsidP="00276A87" w:rsidRDefault="00A15641" w14:paraId="7EA34E5E" w14:textId="77777777">
            <w:pPr>
              <w:jc w:val="right"/>
              <w:rPr>
                <w:color w:val="000000"/>
                <w:sz w:val="20"/>
                <w:szCs w:val="20"/>
              </w:rPr>
            </w:pPr>
            <w:r>
              <w:rPr>
                <w:color w:val="000000"/>
                <w:sz w:val="20"/>
                <w:szCs w:val="20"/>
              </w:rPr>
              <w:t>Biologics Phase</w:t>
            </w:r>
            <w:r w:rsidRPr="00090A4D">
              <w:rPr>
                <w:color w:val="000000"/>
                <w:sz w:val="20"/>
                <w:szCs w:val="20"/>
              </w:rPr>
              <w:t xml:space="preserve"> - Forage CV estimate (%)</w:t>
            </w:r>
          </w:p>
        </w:tc>
      </w:tr>
      <w:tr w:rsidRPr="00433BC0" w:rsidR="00A15641" w:rsidTr="00974844" w14:paraId="6DEBA4BA" w14:textId="77777777">
        <w:trPr>
          <w:trHeight w:val="261"/>
          <w:jc w:val="center"/>
        </w:trPr>
        <w:tc>
          <w:tcPr>
            <w:tcW w:w="1851" w:type="pct"/>
            <w:vMerge w:val="restart"/>
            <w:tcBorders>
              <w:top w:val="single" w:color="auto" w:sz="4" w:space="0"/>
            </w:tcBorders>
          </w:tcPr>
          <w:p w:rsidRPr="00433BC0" w:rsidR="00A15641" w:rsidP="00276A87" w:rsidRDefault="00A15641" w14:paraId="284E9E1A" w14:textId="77777777">
            <w:pPr>
              <w:rPr>
                <w:sz w:val="20"/>
                <w:szCs w:val="20"/>
              </w:rPr>
            </w:pPr>
            <w:r w:rsidRPr="00433BC0">
              <w:rPr>
                <w:sz w:val="20"/>
                <w:szCs w:val="20"/>
              </w:rPr>
              <w:t>Northeast</w:t>
            </w:r>
            <w:r>
              <w:rPr>
                <w:sz w:val="20"/>
                <w:szCs w:val="20"/>
              </w:rPr>
              <w:t xml:space="preserve"> </w:t>
            </w:r>
            <w:bookmarkStart w:name="_Hlk64533708" w:id="46"/>
            <w:r w:rsidRPr="0094170C">
              <w:rPr>
                <w:sz w:val="20"/>
                <w:szCs w:val="20"/>
              </w:rPr>
              <w:t>(CT, DE, ME, MD, MA, NH, NJ, NY, OH, PA, RI, VT)</w:t>
            </w:r>
            <w:r>
              <w:rPr>
                <w:sz w:val="20"/>
                <w:szCs w:val="20"/>
              </w:rPr>
              <w:t xml:space="preserve"> </w:t>
            </w:r>
            <w:bookmarkEnd w:id="46"/>
          </w:p>
        </w:tc>
        <w:tc>
          <w:tcPr>
            <w:tcW w:w="167" w:type="pct"/>
            <w:tcBorders>
              <w:top w:val="single" w:color="auto" w:sz="4" w:space="0"/>
              <w:left w:val="single" w:color="auto" w:sz="4" w:space="0"/>
            </w:tcBorders>
            <w:vAlign w:val="center"/>
          </w:tcPr>
          <w:p w:rsidRPr="00433BC0" w:rsidR="00A15641" w:rsidP="00276A87" w:rsidRDefault="00A15641" w14:paraId="6B141207" w14:textId="77777777">
            <w:pPr>
              <w:jc w:val="right"/>
              <w:rPr>
                <w:color w:val="000000"/>
                <w:sz w:val="20"/>
                <w:szCs w:val="20"/>
              </w:rPr>
            </w:pPr>
            <w:r w:rsidRPr="00433BC0">
              <w:rPr>
                <w:color w:val="000000"/>
                <w:sz w:val="20"/>
                <w:szCs w:val="20"/>
              </w:rPr>
              <w:t>0.50</w:t>
            </w:r>
          </w:p>
        </w:tc>
        <w:tc>
          <w:tcPr>
            <w:tcW w:w="764" w:type="pct"/>
            <w:tcBorders>
              <w:top w:val="single" w:color="auto" w:sz="4" w:space="0"/>
            </w:tcBorders>
            <w:vAlign w:val="center"/>
          </w:tcPr>
          <w:p w:rsidRPr="00433BC0" w:rsidR="00A15641" w:rsidP="00276A87" w:rsidRDefault="00A15641" w14:paraId="7C04746D" w14:textId="77777777">
            <w:pPr>
              <w:jc w:val="right"/>
              <w:rPr>
                <w:color w:val="000000"/>
                <w:sz w:val="20"/>
                <w:szCs w:val="20"/>
              </w:rPr>
            </w:pPr>
            <w:r w:rsidRPr="00433BC0">
              <w:rPr>
                <w:color w:val="000000"/>
                <w:sz w:val="20"/>
                <w:szCs w:val="20"/>
              </w:rPr>
              <w:t>5.5</w:t>
            </w:r>
          </w:p>
        </w:tc>
        <w:tc>
          <w:tcPr>
            <w:tcW w:w="740" w:type="pct"/>
            <w:tcBorders>
              <w:top w:val="single" w:color="auto" w:sz="4" w:space="0"/>
            </w:tcBorders>
            <w:vAlign w:val="center"/>
          </w:tcPr>
          <w:p w:rsidRPr="008633AF" w:rsidR="00A15641" w:rsidP="00276A87" w:rsidRDefault="00A15641" w14:paraId="51F36A5D" w14:textId="77777777">
            <w:pPr>
              <w:jc w:val="right"/>
              <w:rPr>
                <w:color w:val="000000"/>
                <w:sz w:val="20"/>
                <w:szCs w:val="20"/>
              </w:rPr>
            </w:pPr>
            <w:r w:rsidRPr="008633AF">
              <w:rPr>
                <w:color w:val="000000"/>
                <w:sz w:val="22"/>
                <w:szCs w:val="22"/>
              </w:rPr>
              <w:t>13.4</w:t>
            </w:r>
          </w:p>
        </w:tc>
        <w:tc>
          <w:tcPr>
            <w:tcW w:w="740" w:type="pct"/>
            <w:tcBorders>
              <w:top w:val="single" w:color="auto" w:sz="4" w:space="0"/>
            </w:tcBorders>
            <w:vAlign w:val="center"/>
          </w:tcPr>
          <w:p w:rsidRPr="008633AF" w:rsidR="00A15641" w:rsidP="00276A87" w:rsidRDefault="00A15641" w14:paraId="024459DD" w14:textId="77777777">
            <w:pPr>
              <w:jc w:val="right"/>
              <w:rPr>
                <w:color w:val="000000"/>
                <w:sz w:val="20"/>
                <w:szCs w:val="20"/>
              </w:rPr>
            </w:pPr>
            <w:r w:rsidRPr="008633AF">
              <w:rPr>
                <w:color w:val="000000"/>
                <w:sz w:val="22"/>
                <w:szCs w:val="22"/>
              </w:rPr>
              <w:t>12.2</w:t>
            </w:r>
          </w:p>
        </w:tc>
        <w:tc>
          <w:tcPr>
            <w:tcW w:w="739" w:type="pct"/>
            <w:tcBorders>
              <w:top w:val="single" w:color="auto" w:sz="4" w:space="0"/>
            </w:tcBorders>
            <w:vAlign w:val="center"/>
          </w:tcPr>
          <w:p w:rsidRPr="008633AF" w:rsidR="00A15641" w:rsidP="00276A87" w:rsidRDefault="00A15641" w14:paraId="1338323A" w14:textId="77777777">
            <w:pPr>
              <w:jc w:val="right"/>
              <w:rPr>
                <w:color w:val="000000"/>
                <w:sz w:val="20"/>
                <w:szCs w:val="20"/>
              </w:rPr>
            </w:pPr>
            <w:r w:rsidRPr="008633AF">
              <w:rPr>
                <w:color w:val="000000"/>
                <w:sz w:val="22"/>
                <w:szCs w:val="22"/>
              </w:rPr>
              <w:t>13.8</w:t>
            </w:r>
          </w:p>
        </w:tc>
      </w:tr>
      <w:tr w:rsidRPr="00433BC0" w:rsidR="00A15641" w:rsidTr="00974844" w14:paraId="6DA8B673" w14:textId="77777777">
        <w:trPr>
          <w:trHeight w:val="261"/>
          <w:jc w:val="center"/>
        </w:trPr>
        <w:tc>
          <w:tcPr>
            <w:tcW w:w="1851" w:type="pct"/>
            <w:vMerge/>
          </w:tcPr>
          <w:p w:rsidRPr="00433BC0" w:rsidR="00A15641" w:rsidP="00276A87" w:rsidRDefault="00A15641" w14:paraId="041B5342" w14:textId="77777777">
            <w:pPr>
              <w:rPr>
                <w:sz w:val="20"/>
                <w:szCs w:val="20"/>
              </w:rPr>
            </w:pPr>
          </w:p>
        </w:tc>
        <w:tc>
          <w:tcPr>
            <w:tcW w:w="167" w:type="pct"/>
            <w:tcBorders>
              <w:left w:val="single" w:color="auto" w:sz="4" w:space="0"/>
            </w:tcBorders>
            <w:vAlign w:val="center"/>
          </w:tcPr>
          <w:p w:rsidRPr="00433BC0" w:rsidR="00A15641" w:rsidP="00276A87" w:rsidRDefault="00A15641" w14:paraId="2755BCCE" w14:textId="77777777">
            <w:pPr>
              <w:jc w:val="right"/>
              <w:rPr>
                <w:color w:val="000000"/>
                <w:sz w:val="20"/>
                <w:szCs w:val="20"/>
              </w:rPr>
            </w:pPr>
            <w:r w:rsidRPr="00433BC0">
              <w:rPr>
                <w:color w:val="000000"/>
                <w:sz w:val="20"/>
                <w:szCs w:val="20"/>
              </w:rPr>
              <w:t>0.25</w:t>
            </w:r>
          </w:p>
        </w:tc>
        <w:tc>
          <w:tcPr>
            <w:tcW w:w="764" w:type="pct"/>
            <w:vAlign w:val="center"/>
          </w:tcPr>
          <w:p w:rsidRPr="00433BC0" w:rsidR="00A15641" w:rsidP="00276A87" w:rsidRDefault="00A15641" w14:paraId="1F38FCA9" w14:textId="77777777">
            <w:pPr>
              <w:jc w:val="right"/>
              <w:rPr>
                <w:color w:val="000000"/>
                <w:sz w:val="20"/>
                <w:szCs w:val="20"/>
              </w:rPr>
            </w:pPr>
            <w:r w:rsidRPr="00433BC0">
              <w:rPr>
                <w:color w:val="000000"/>
                <w:sz w:val="20"/>
                <w:szCs w:val="20"/>
              </w:rPr>
              <w:t>9.5</w:t>
            </w:r>
          </w:p>
        </w:tc>
        <w:tc>
          <w:tcPr>
            <w:tcW w:w="740" w:type="pct"/>
            <w:vAlign w:val="center"/>
          </w:tcPr>
          <w:p w:rsidRPr="008633AF" w:rsidR="00A15641" w:rsidP="00276A87" w:rsidRDefault="00A15641" w14:paraId="6841A05B" w14:textId="77777777">
            <w:pPr>
              <w:jc w:val="right"/>
              <w:rPr>
                <w:color w:val="000000"/>
                <w:sz w:val="20"/>
                <w:szCs w:val="20"/>
              </w:rPr>
            </w:pPr>
            <w:r w:rsidRPr="008633AF">
              <w:rPr>
                <w:b/>
                <w:bCs/>
                <w:color w:val="000000"/>
                <w:sz w:val="22"/>
                <w:szCs w:val="22"/>
              </w:rPr>
              <w:t>23.2</w:t>
            </w:r>
          </w:p>
        </w:tc>
        <w:tc>
          <w:tcPr>
            <w:tcW w:w="740" w:type="pct"/>
            <w:vAlign w:val="center"/>
          </w:tcPr>
          <w:p w:rsidRPr="008633AF" w:rsidR="00A15641" w:rsidP="00276A87" w:rsidRDefault="00A15641" w14:paraId="38B1AF68" w14:textId="77777777">
            <w:pPr>
              <w:jc w:val="right"/>
              <w:rPr>
                <w:color w:val="000000"/>
                <w:sz w:val="20"/>
                <w:szCs w:val="20"/>
              </w:rPr>
            </w:pPr>
            <w:r w:rsidRPr="008633AF">
              <w:rPr>
                <w:b/>
                <w:bCs/>
                <w:color w:val="000000"/>
                <w:sz w:val="22"/>
                <w:szCs w:val="22"/>
              </w:rPr>
              <w:t>21.1</w:t>
            </w:r>
          </w:p>
        </w:tc>
        <w:tc>
          <w:tcPr>
            <w:tcW w:w="739" w:type="pct"/>
            <w:vAlign w:val="center"/>
          </w:tcPr>
          <w:p w:rsidRPr="008633AF" w:rsidR="00A15641" w:rsidP="00276A87" w:rsidRDefault="00A15641" w14:paraId="13A2F549" w14:textId="77777777">
            <w:pPr>
              <w:jc w:val="right"/>
              <w:rPr>
                <w:color w:val="000000"/>
                <w:sz w:val="20"/>
                <w:szCs w:val="20"/>
              </w:rPr>
            </w:pPr>
            <w:r w:rsidRPr="008633AF">
              <w:rPr>
                <w:b/>
                <w:bCs/>
                <w:color w:val="000000"/>
                <w:sz w:val="22"/>
                <w:szCs w:val="22"/>
              </w:rPr>
              <w:t>23.9</w:t>
            </w:r>
          </w:p>
        </w:tc>
      </w:tr>
      <w:tr w:rsidRPr="00433BC0" w:rsidR="00A15641" w:rsidTr="00974844" w14:paraId="5A7EC4A0" w14:textId="77777777">
        <w:trPr>
          <w:trHeight w:val="261"/>
          <w:jc w:val="center"/>
        </w:trPr>
        <w:tc>
          <w:tcPr>
            <w:tcW w:w="1851" w:type="pct"/>
            <w:vMerge/>
            <w:tcBorders>
              <w:bottom w:val="single" w:color="auto" w:sz="4" w:space="0"/>
            </w:tcBorders>
          </w:tcPr>
          <w:p w:rsidRPr="00433BC0" w:rsidR="00A15641" w:rsidP="00276A87" w:rsidRDefault="00A15641" w14:paraId="7C6C5E2C" w14:textId="77777777">
            <w:pPr>
              <w:rPr>
                <w:sz w:val="20"/>
                <w:szCs w:val="20"/>
              </w:rPr>
            </w:pPr>
          </w:p>
        </w:tc>
        <w:tc>
          <w:tcPr>
            <w:tcW w:w="167" w:type="pct"/>
            <w:tcBorders>
              <w:left w:val="single" w:color="auto" w:sz="4" w:space="0"/>
              <w:bottom w:val="single" w:color="auto" w:sz="4" w:space="0"/>
            </w:tcBorders>
            <w:vAlign w:val="center"/>
          </w:tcPr>
          <w:p w:rsidRPr="00433BC0" w:rsidR="00A15641" w:rsidP="00276A87" w:rsidRDefault="00A15641" w14:paraId="6465BCB0" w14:textId="77777777">
            <w:pPr>
              <w:jc w:val="right"/>
              <w:rPr>
                <w:color w:val="000000"/>
                <w:sz w:val="20"/>
                <w:szCs w:val="20"/>
              </w:rPr>
            </w:pPr>
            <w:r w:rsidRPr="00433BC0">
              <w:rPr>
                <w:color w:val="000000"/>
                <w:sz w:val="20"/>
                <w:szCs w:val="20"/>
              </w:rPr>
              <w:t>0.10</w:t>
            </w:r>
          </w:p>
        </w:tc>
        <w:tc>
          <w:tcPr>
            <w:tcW w:w="764" w:type="pct"/>
            <w:tcBorders>
              <w:bottom w:val="single" w:color="auto" w:sz="4" w:space="0"/>
            </w:tcBorders>
            <w:vAlign w:val="center"/>
          </w:tcPr>
          <w:p w:rsidRPr="00433BC0" w:rsidR="00A15641" w:rsidP="00276A87" w:rsidRDefault="00A15641" w14:paraId="2E048BC6" w14:textId="77777777">
            <w:pPr>
              <w:jc w:val="right"/>
              <w:rPr>
                <w:color w:val="000000"/>
                <w:sz w:val="20"/>
                <w:szCs w:val="20"/>
              </w:rPr>
            </w:pPr>
            <w:r w:rsidRPr="00433BC0">
              <w:rPr>
                <w:color w:val="000000"/>
                <w:sz w:val="20"/>
                <w:szCs w:val="20"/>
              </w:rPr>
              <w:t>16.5</w:t>
            </w:r>
          </w:p>
        </w:tc>
        <w:tc>
          <w:tcPr>
            <w:tcW w:w="740" w:type="pct"/>
            <w:tcBorders>
              <w:bottom w:val="single" w:color="auto" w:sz="4" w:space="0"/>
            </w:tcBorders>
            <w:vAlign w:val="center"/>
          </w:tcPr>
          <w:p w:rsidRPr="008633AF" w:rsidR="00A15641" w:rsidP="00276A87" w:rsidRDefault="00A15641" w14:paraId="7F72EA9D" w14:textId="77777777">
            <w:pPr>
              <w:jc w:val="right"/>
              <w:rPr>
                <w:b/>
                <w:bCs/>
                <w:color w:val="000000"/>
                <w:sz w:val="20"/>
                <w:szCs w:val="20"/>
              </w:rPr>
            </w:pPr>
            <w:r w:rsidRPr="008633AF">
              <w:rPr>
                <w:b/>
                <w:bCs/>
                <w:color w:val="000000"/>
                <w:sz w:val="22"/>
                <w:szCs w:val="22"/>
              </w:rPr>
              <w:t>40.2</w:t>
            </w:r>
          </w:p>
        </w:tc>
        <w:tc>
          <w:tcPr>
            <w:tcW w:w="740" w:type="pct"/>
            <w:tcBorders>
              <w:bottom w:val="single" w:color="auto" w:sz="4" w:space="0"/>
            </w:tcBorders>
            <w:vAlign w:val="center"/>
          </w:tcPr>
          <w:p w:rsidRPr="008633AF" w:rsidR="00A15641" w:rsidP="00276A87" w:rsidRDefault="00A15641" w14:paraId="769F985F" w14:textId="77777777">
            <w:pPr>
              <w:jc w:val="right"/>
              <w:rPr>
                <w:b/>
                <w:bCs/>
                <w:color w:val="000000"/>
                <w:sz w:val="20"/>
                <w:szCs w:val="20"/>
              </w:rPr>
            </w:pPr>
            <w:r w:rsidRPr="008633AF">
              <w:rPr>
                <w:b/>
                <w:bCs/>
                <w:color w:val="000000"/>
                <w:sz w:val="22"/>
                <w:szCs w:val="22"/>
              </w:rPr>
              <w:t>36.5</w:t>
            </w:r>
          </w:p>
        </w:tc>
        <w:tc>
          <w:tcPr>
            <w:tcW w:w="739" w:type="pct"/>
            <w:tcBorders>
              <w:bottom w:val="single" w:color="auto" w:sz="4" w:space="0"/>
            </w:tcBorders>
            <w:vAlign w:val="center"/>
          </w:tcPr>
          <w:p w:rsidRPr="008633AF" w:rsidR="00A15641" w:rsidP="00276A87" w:rsidRDefault="00A15641" w14:paraId="63A560C8" w14:textId="77777777">
            <w:pPr>
              <w:jc w:val="right"/>
              <w:rPr>
                <w:b/>
                <w:bCs/>
                <w:color w:val="000000"/>
                <w:sz w:val="20"/>
                <w:szCs w:val="20"/>
              </w:rPr>
            </w:pPr>
            <w:r w:rsidRPr="008633AF">
              <w:rPr>
                <w:b/>
                <w:bCs/>
                <w:color w:val="000000"/>
                <w:sz w:val="22"/>
                <w:szCs w:val="22"/>
              </w:rPr>
              <w:t>41.4</w:t>
            </w:r>
          </w:p>
        </w:tc>
      </w:tr>
      <w:tr w:rsidRPr="00433BC0" w:rsidR="00A15641" w:rsidTr="00974844" w14:paraId="6ABB7A36" w14:textId="77777777">
        <w:trPr>
          <w:trHeight w:val="261"/>
          <w:jc w:val="center"/>
        </w:trPr>
        <w:tc>
          <w:tcPr>
            <w:tcW w:w="1851" w:type="pct"/>
            <w:vMerge w:val="restart"/>
            <w:tcBorders>
              <w:top w:val="single" w:color="auto" w:sz="4" w:space="0"/>
            </w:tcBorders>
          </w:tcPr>
          <w:p w:rsidRPr="00433BC0" w:rsidR="00A15641" w:rsidP="00276A87" w:rsidRDefault="00A15641" w14:paraId="4C4A2483" w14:textId="77777777">
            <w:pPr>
              <w:rPr>
                <w:sz w:val="20"/>
                <w:szCs w:val="20"/>
              </w:rPr>
            </w:pPr>
            <w:r w:rsidRPr="00433BC0">
              <w:rPr>
                <w:sz w:val="20"/>
                <w:szCs w:val="20"/>
              </w:rPr>
              <w:t>Southeast</w:t>
            </w:r>
            <w:r>
              <w:rPr>
                <w:sz w:val="20"/>
                <w:szCs w:val="20"/>
              </w:rPr>
              <w:t xml:space="preserve"> </w:t>
            </w:r>
            <w:r w:rsidRPr="0094170C">
              <w:rPr>
                <w:sz w:val="20"/>
                <w:szCs w:val="20"/>
              </w:rPr>
              <w:t>(AL, AR, FL, GA, KY, LA, MS, NC, SC, TN, VA, WV)</w:t>
            </w:r>
          </w:p>
        </w:tc>
        <w:tc>
          <w:tcPr>
            <w:tcW w:w="167" w:type="pct"/>
            <w:tcBorders>
              <w:top w:val="single" w:color="auto" w:sz="4" w:space="0"/>
              <w:left w:val="single" w:color="auto" w:sz="4" w:space="0"/>
            </w:tcBorders>
            <w:vAlign w:val="center"/>
          </w:tcPr>
          <w:p w:rsidRPr="00433BC0" w:rsidR="00A15641" w:rsidP="00276A87" w:rsidRDefault="00A15641" w14:paraId="53678F21" w14:textId="77777777">
            <w:pPr>
              <w:jc w:val="right"/>
              <w:rPr>
                <w:color w:val="000000"/>
                <w:sz w:val="20"/>
                <w:szCs w:val="20"/>
              </w:rPr>
            </w:pPr>
            <w:r w:rsidRPr="00433BC0">
              <w:rPr>
                <w:color w:val="000000"/>
                <w:sz w:val="20"/>
                <w:szCs w:val="20"/>
              </w:rPr>
              <w:t>0.50</w:t>
            </w:r>
          </w:p>
        </w:tc>
        <w:tc>
          <w:tcPr>
            <w:tcW w:w="764" w:type="pct"/>
            <w:tcBorders>
              <w:top w:val="single" w:color="auto" w:sz="4" w:space="0"/>
            </w:tcBorders>
            <w:vAlign w:val="center"/>
          </w:tcPr>
          <w:p w:rsidRPr="00433BC0" w:rsidR="00A15641" w:rsidP="00276A87" w:rsidRDefault="00A15641" w14:paraId="46EAC126" w14:textId="77777777">
            <w:pPr>
              <w:jc w:val="right"/>
              <w:rPr>
                <w:color w:val="000000"/>
                <w:sz w:val="20"/>
                <w:szCs w:val="20"/>
              </w:rPr>
            </w:pPr>
            <w:r w:rsidRPr="00433BC0">
              <w:rPr>
                <w:color w:val="000000"/>
                <w:sz w:val="20"/>
                <w:szCs w:val="20"/>
              </w:rPr>
              <w:t>8.8</w:t>
            </w:r>
          </w:p>
        </w:tc>
        <w:tc>
          <w:tcPr>
            <w:tcW w:w="740" w:type="pct"/>
            <w:tcBorders>
              <w:top w:val="single" w:color="auto" w:sz="4" w:space="0"/>
            </w:tcBorders>
            <w:vAlign w:val="center"/>
          </w:tcPr>
          <w:p w:rsidRPr="008633AF" w:rsidR="00A15641" w:rsidP="00276A87" w:rsidRDefault="00A15641" w14:paraId="3700B8AE" w14:textId="77777777">
            <w:pPr>
              <w:jc w:val="right"/>
              <w:rPr>
                <w:color w:val="000000"/>
                <w:sz w:val="20"/>
                <w:szCs w:val="20"/>
              </w:rPr>
            </w:pPr>
            <w:r w:rsidRPr="008633AF">
              <w:rPr>
                <w:b/>
                <w:bCs/>
                <w:color w:val="000000"/>
                <w:sz w:val="22"/>
                <w:szCs w:val="22"/>
              </w:rPr>
              <w:t>21.4</w:t>
            </w:r>
          </w:p>
        </w:tc>
        <w:tc>
          <w:tcPr>
            <w:tcW w:w="740" w:type="pct"/>
            <w:tcBorders>
              <w:top w:val="single" w:color="auto" w:sz="4" w:space="0"/>
            </w:tcBorders>
            <w:vAlign w:val="center"/>
          </w:tcPr>
          <w:p w:rsidRPr="008633AF" w:rsidR="00A15641" w:rsidP="00276A87" w:rsidRDefault="00A15641" w14:paraId="31B9B7F0" w14:textId="77777777">
            <w:pPr>
              <w:jc w:val="right"/>
              <w:rPr>
                <w:color w:val="000000"/>
                <w:sz w:val="20"/>
                <w:szCs w:val="20"/>
              </w:rPr>
            </w:pPr>
            <w:r w:rsidRPr="008633AF">
              <w:rPr>
                <w:color w:val="000000"/>
                <w:sz w:val="22"/>
                <w:szCs w:val="22"/>
              </w:rPr>
              <w:t>19.4</w:t>
            </w:r>
          </w:p>
        </w:tc>
        <w:tc>
          <w:tcPr>
            <w:tcW w:w="739" w:type="pct"/>
            <w:tcBorders>
              <w:top w:val="single" w:color="auto" w:sz="4" w:space="0"/>
            </w:tcBorders>
            <w:vAlign w:val="center"/>
          </w:tcPr>
          <w:p w:rsidRPr="008633AF" w:rsidR="00A15641" w:rsidP="00276A87" w:rsidRDefault="00A15641" w14:paraId="3CD24C07" w14:textId="77777777">
            <w:pPr>
              <w:jc w:val="right"/>
              <w:rPr>
                <w:color w:val="000000"/>
                <w:sz w:val="20"/>
                <w:szCs w:val="20"/>
              </w:rPr>
            </w:pPr>
            <w:r w:rsidRPr="008633AF">
              <w:rPr>
                <w:b/>
                <w:bCs/>
                <w:color w:val="000000"/>
                <w:sz w:val="22"/>
                <w:szCs w:val="22"/>
              </w:rPr>
              <w:t>22.0</w:t>
            </w:r>
          </w:p>
        </w:tc>
      </w:tr>
      <w:tr w:rsidRPr="00433BC0" w:rsidR="00A15641" w:rsidTr="00974844" w14:paraId="65E17CD3" w14:textId="77777777">
        <w:trPr>
          <w:trHeight w:val="261"/>
          <w:jc w:val="center"/>
        </w:trPr>
        <w:tc>
          <w:tcPr>
            <w:tcW w:w="1851" w:type="pct"/>
            <w:vMerge/>
          </w:tcPr>
          <w:p w:rsidRPr="00433BC0" w:rsidR="00A15641" w:rsidP="00276A87" w:rsidRDefault="00A15641" w14:paraId="354C695F" w14:textId="77777777">
            <w:pPr>
              <w:rPr>
                <w:sz w:val="20"/>
                <w:szCs w:val="20"/>
              </w:rPr>
            </w:pPr>
          </w:p>
        </w:tc>
        <w:tc>
          <w:tcPr>
            <w:tcW w:w="167" w:type="pct"/>
            <w:tcBorders>
              <w:left w:val="single" w:color="auto" w:sz="4" w:space="0"/>
            </w:tcBorders>
            <w:vAlign w:val="center"/>
          </w:tcPr>
          <w:p w:rsidRPr="00433BC0" w:rsidR="00A15641" w:rsidP="00276A87" w:rsidRDefault="00A15641" w14:paraId="4F732FBC" w14:textId="77777777">
            <w:pPr>
              <w:jc w:val="right"/>
              <w:rPr>
                <w:color w:val="000000"/>
                <w:sz w:val="20"/>
                <w:szCs w:val="20"/>
              </w:rPr>
            </w:pPr>
            <w:r w:rsidRPr="00433BC0">
              <w:rPr>
                <w:color w:val="000000"/>
                <w:sz w:val="20"/>
                <w:szCs w:val="20"/>
              </w:rPr>
              <w:t>0.25</w:t>
            </w:r>
          </w:p>
        </w:tc>
        <w:tc>
          <w:tcPr>
            <w:tcW w:w="764" w:type="pct"/>
            <w:vAlign w:val="center"/>
          </w:tcPr>
          <w:p w:rsidRPr="00433BC0" w:rsidR="00A15641" w:rsidP="00276A87" w:rsidRDefault="00A15641" w14:paraId="10FB316A" w14:textId="77777777">
            <w:pPr>
              <w:jc w:val="right"/>
              <w:rPr>
                <w:color w:val="000000"/>
                <w:sz w:val="20"/>
                <w:szCs w:val="20"/>
              </w:rPr>
            </w:pPr>
            <w:r w:rsidRPr="00433BC0">
              <w:rPr>
                <w:color w:val="000000"/>
                <w:sz w:val="20"/>
                <w:szCs w:val="20"/>
              </w:rPr>
              <w:t>15.2</w:t>
            </w:r>
          </w:p>
        </w:tc>
        <w:tc>
          <w:tcPr>
            <w:tcW w:w="740" w:type="pct"/>
            <w:vAlign w:val="center"/>
          </w:tcPr>
          <w:p w:rsidRPr="008633AF" w:rsidR="00A15641" w:rsidP="00276A87" w:rsidRDefault="00A15641" w14:paraId="0FA37B7D" w14:textId="77777777">
            <w:pPr>
              <w:jc w:val="right"/>
              <w:rPr>
                <w:b/>
                <w:bCs/>
                <w:color w:val="000000"/>
                <w:sz w:val="20"/>
                <w:szCs w:val="20"/>
              </w:rPr>
            </w:pPr>
            <w:r w:rsidRPr="008633AF">
              <w:rPr>
                <w:b/>
                <w:bCs/>
                <w:color w:val="000000"/>
                <w:sz w:val="22"/>
                <w:szCs w:val="22"/>
              </w:rPr>
              <w:t>37.0</w:t>
            </w:r>
          </w:p>
        </w:tc>
        <w:tc>
          <w:tcPr>
            <w:tcW w:w="740" w:type="pct"/>
            <w:vAlign w:val="center"/>
          </w:tcPr>
          <w:p w:rsidRPr="008633AF" w:rsidR="00A15641" w:rsidP="00276A87" w:rsidRDefault="00A15641" w14:paraId="0DC524EF" w14:textId="77777777">
            <w:pPr>
              <w:jc w:val="right"/>
              <w:rPr>
                <w:b/>
                <w:bCs/>
                <w:color w:val="000000"/>
                <w:sz w:val="20"/>
                <w:szCs w:val="20"/>
              </w:rPr>
            </w:pPr>
            <w:r w:rsidRPr="008633AF">
              <w:rPr>
                <w:b/>
                <w:bCs/>
                <w:color w:val="000000"/>
                <w:sz w:val="22"/>
                <w:szCs w:val="22"/>
              </w:rPr>
              <w:t>33.7</w:t>
            </w:r>
          </w:p>
        </w:tc>
        <w:tc>
          <w:tcPr>
            <w:tcW w:w="739" w:type="pct"/>
            <w:vAlign w:val="center"/>
          </w:tcPr>
          <w:p w:rsidRPr="008633AF" w:rsidR="00A15641" w:rsidP="00276A87" w:rsidRDefault="00A15641" w14:paraId="5F2692FA" w14:textId="77777777">
            <w:pPr>
              <w:jc w:val="right"/>
              <w:rPr>
                <w:b/>
                <w:bCs/>
                <w:color w:val="000000"/>
                <w:sz w:val="20"/>
                <w:szCs w:val="20"/>
              </w:rPr>
            </w:pPr>
            <w:r w:rsidRPr="008633AF">
              <w:rPr>
                <w:b/>
                <w:bCs/>
                <w:color w:val="000000"/>
                <w:sz w:val="22"/>
                <w:szCs w:val="22"/>
              </w:rPr>
              <w:t>38.2</w:t>
            </w:r>
          </w:p>
        </w:tc>
      </w:tr>
      <w:tr w:rsidRPr="00433BC0" w:rsidR="00A15641" w:rsidTr="00974844" w14:paraId="59D2C934" w14:textId="77777777">
        <w:trPr>
          <w:trHeight w:val="261"/>
          <w:jc w:val="center"/>
        </w:trPr>
        <w:tc>
          <w:tcPr>
            <w:tcW w:w="1851" w:type="pct"/>
            <w:vMerge/>
            <w:tcBorders>
              <w:bottom w:val="single" w:color="auto" w:sz="4" w:space="0"/>
            </w:tcBorders>
          </w:tcPr>
          <w:p w:rsidRPr="00433BC0" w:rsidR="00A15641" w:rsidP="00276A87" w:rsidRDefault="00A15641" w14:paraId="167E9C19" w14:textId="77777777">
            <w:pPr>
              <w:rPr>
                <w:sz w:val="20"/>
                <w:szCs w:val="20"/>
              </w:rPr>
            </w:pPr>
          </w:p>
        </w:tc>
        <w:tc>
          <w:tcPr>
            <w:tcW w:w="167" w:type="pct"/>
            <w:tcBorders>
              <w:left w:val="single" w:color="auto" w:sz="4" w:space="0"/>
              <w:bottom w:val="single" w:color="auto" w:sz="4" w:space="0"/>
            </w:tcBorders>
            <w:vAlign w:val="center"/>
          </w:tcPr>
          <w:p w:rsidRPr="00433BC0" w:rsidR="00A15641" w:rsidP="00276A87" w:rsidRDefault="00A15641" w14:paraId="12371EB6" w14:textId="77777777">
            <w:pPr>
              <w:jc w:val="right"/>
              <w:rPr>
                <w:color w:val="000000"/>
                <w:sz w:val="20"/>
                <w:szCs w:val="20"/>
              </w:rPr>
            </w:pPr>
            <w:r w:rsidRPr="00433BC0">
              <w:rPr>
                <w:color w:val="000000"/>
                <w:sz w:val="20"/>
                <w:szCs w:val="20"/>
              </w:rPr>
              <w:t>0.10</w:t>
            </w:r>
          </w:p>
        </w:tc>
        <w:tc>
          <w:tcPr>
            <w:tcW w:w="764" w:type="pct"/>
            <w:tcBorders>
              <w:bottom w:val="single" w:color="auto" w:sz="4" w:space="0"/>
            </w:tcBorders>
            <w:vAlign w:val="center"/>
          </w:tcPr>
          <w:p w:rsidRPr="00433BC0" w:rsidR="00A15641" w:rsidP="00276A87" w:rsidRDefault="00A15641" w14:paraId="67A1E55C" w14:textId="77777777">
            <w:pPr>
              <w:jc w:val="right"/>
              <w:rPr>
                <w:b/>
                <w:bCs/>
                <w:color w:val="000000"/>
                <w:sz w:val="20"/>
                <w:szCs w:val="20"/>
              </w:rPr>
            </w:pPr>
            <w:r w:rsidRPr="00433BC0">
              <w:rPr>
                <w:b/>
                <w:bCs/>
                <w:color w:val="000000"/>
                <w:sz w:val="20"/>
                <w:szCs w:val="20"/>
              </w:rPr>
              <w:t>26.4</w:t>
            </w:r>
          </w:p>
        </w:tc>
        <w:tc>
          <w:tcPr>
            <w:tcW w:w="740" w:type="pct"/>
            <w:tcBorders>
              <w:bottom w:val="single" w:color="auto" w:sz="4" w:space="0"/>
            </w:tcBorders>
            <w:vAlign w:val="center"/>
          </w:tcPr>
          <w:p w:rsidRPr="008633AF" w:rsidR="00A15641" w:rsidP="00276A87" w:rsidRDefault="00A15641" w14:paraId="48E8F1EF" w14:textId="77777777">
            <w:pPr>
              <w:jc w:val="right"/>
              <w:rPr>
                <w:b/>
                <w:bCs/>
                <w:color w:val="000000"/>
                <w:sz w:val="20"/>
                <w:szCs w:val="20"/>
              </w:rPr>
            </w:pPr>
            <w:r w:rsidRPr="008633AF">
              <w:rPr>
                <w:b/>
                <w:bCs/>
                <w:color w:val="000000"/>
                <w:sz w:val="22"/>
                <w:szCs w:val="22"/>
              </w:rPr>
              <w:t>64.2</w:t>
            </w:r>
          </w:p>
        </w:tc>
        <w:tc>
          <w:tcPr>
            <w:tcW w:w="740" w:type="pct"/>
            <w:tcBorders>
              <w:bottom w:val="single" w:color="auto" w:sz="4" w:space="0"/>
            </w:tcBorders>
            <w:vAlign w:val="center"/>
          </w:tcPr>
          <w:p w:rsidRPr="008633AF" w:rsidR="00A15641" w:rsidP="00276A87" w:rsidRDefault="00A15641" w14:paraId="2B962CCD" w14:textId="77777777">
            <w:pPr>
              <w:jc w:val="right"/>
              <w:rPr>
                <w:b/>
                <w:bCs/>
                <w:color w:val="000000"/>
                <w:sz w:val="20"/>
                <w:szCs w:val="20"/>
              </w:rPr>
            </w:pPr>
            <w:r w:rsidRPr="008633AF">
              <w:rPr>
                <w:b/>
                <w:bCs/>
                <w:color w:val="000000"/>
                <w:sz w:val="22"/>
                <w:szCs w:val="22"/>
              </w:rPr>
              <w:t>58.3</w:t>
            </w:r>
          </w:p>
        </w:tc>
        <w:tc>
          <w:tcPr>
            <w:tcW w:w="739" w:type="pct"/>
            <w:tcBorders>
              <w:bottom w:val="single" w:color="auto" w:sz="4" w:space="0"/>
            </w:tcBorders>
            <w:vAlign w:val="center"/>
          </w:tcPr>
          <w:p w:rsidRPr="008633AF" w:rsidR="00A15641" w:rsidP="00276A87" w:rsidRDefault="00A15641" w14:paraId="3B41792F" w14:textId="77777777">
            <w:pPr>
              <w:jc w:val="right"/>
              <w:rPr>
                <w:b/>
                <w:bCs/>
                <w:color w:val="000000"/>
                <w:sz w:val="20"/>
                <w:szCs w:val="20"/>
              </w:rPr>
            </w:pPr>
            <w:r w:rsidRPr="008633AF">
              <w:rPr>
                <w:b/>
                <w:bCs/>
                <w:color w:val="000000"/>
                <w:sz w:val="22"/>
                <w:szCs w:val="22"/>
              </w:rPr>
              <w:t>66.1</w:t>
            </w:r>
          </w:p>
        </w:tc>
      </w:tr>
      <w:tr w:rsidRPr="00433BC0" w:rsidR="00A15641" w:rsidTr="00974844" w14:paraId="55D3A1C0" w14:textId="77777777">
        <w:trPr>
          <w:trHeight w:val="245"/>
          <w:jc w:val="center"/>
        </w:trPr>
        <w:tc>
          <w:tcPr>
            <w:tcW w:w="1851" w:type="pct"/>
            <w:vMerge w:val="restart"/>
            <w:tcBorders>
              <w:top w:val="single" w:color="auto" w:sz="4" w:space="0"/>
            </w:tcBorders>
          </w:tcPr>
          <w:p w:rsidRPr="00433BC0" w:rsidR="00A15641" w:rsidP="00276A87" w:rsidRDefault="00A15641" w14:paraId="067DB486" w14:textId="77777777">
            <w:pPr>
              <w:rPr>
                <w:sz w:val="20"/>
                <w:szCs w:val="20"/>
              </w:rPr>
            </w:pPr>
            <w:r w:rsidRPr="00433BC0">
              <w:rPr>
                <w:sz w:val="20"/>
                <w:szCs w:val="20"/>
              </w:rPr>
              <w:t>North Central</w:t>
            </w:r>
            <w:r>
              <w:rPr>
                <w:sz w:val="20"/>
                <w:szCs w:val="20"/>
              </w:rPr>
              <w:t xml:space="preserve"> </w:t>
            </w:r>
            <w:r w:rsidRPr="0094170C">
              <w:rPr>
                <w:sz w:val="20"/>
                <w:szCs w:val="20"/>
              </w:rPr>
              <w:t>(IL, IN, IA, MI, MN, MO, WI)</w:t>
            </w:r>
          </w:p>
        </w:tc>
        <w:tc>
          <w:tcPr>
            <w:tcW w:w="167" w:type="pct"/>
            <w:tcBorders>
              <w:top w:val="single" w:color="auto" w:sz="4" w:space="0"/>
              <w:left w:val="single" w:color="auto" w:sz="4" w:space="0"/>
            </w:tcBorders>
            <w:vAlign w:val="center"/>
          </w:tcPr>
          <w:p w:rsidRPr="00433BC0" w:rsidR="00A15641" w:rsidP="00276A87" w:rsidRDefault="00A15641" w14:paraId="1F8329FC" w14:textId="77777777">
            <w:pPr>
              <w:jc w:val="right"/>
              <w:rPr>
                <w:color w:val="000000"/>
                <w:sz w:val="20"/>
                <w:szCs w:val="20"/>
              </w:rPr>
            </w:pPr>
            <w:r w:rsidRPr="00433BC0">
              <w:rPr>
                <w:color w:val="000000"/>
                <w:sz w:val="20"/>
                <w:szCs w:val="20"/>
              </w:rPr>
              <w:t>0.50</w:t>
            </w:r>
          </w:p>
        </w:tc>
        <w:tc>
          <w:tcPr>
            <w:tcW w:w="764" w:type="pct"/>
            <w:tcBorders>
              <w:top w:val="single" w:color="auto" w:sz="4" w:space="0"/>
            </w:tcBorders>
            <w:vAlign w:val="center"/>
          </w:tcPr>
          <w:p w:rsidRPr="00433BC0" w:rsidR="00A15641" w:rsidP="00276A87" w:rsidRDefault="00A15641" w14:paraId="05EE6FF5" w14:textId="77777777">
            <w:pPr>
              <w:jc w:val="right"/>
              <w:rPr>
                <w:color w:val="000000"/>
                <w:sz w:val="20"/>
                <w:szCs w:val="20"/>
              </w:rPr>
            </w:pPr>
            <w:r w:rsidRPr="00433BC0">
              <w:rPr>
                <w:color w:val="000000"/>
                <w:sz w:val="20"/>
                <w:szCs w:val="20"/>
              </w:rPr>
              <w:t>8.3</w:t>
            </w:r>
          </w:p>
        </w:tc>
        <w:tc>
          <w:tcPr>
            <w:tcW w:w="740" w:type="pct"/>
            <w:tcBorders>
              <w:top w:val="single" w:color="auto" w:sz="4" w:space="0"/>
            </w:tcBorders>
            <w:vAlign w:val="center"/>
          </w:tcPr>
          <w:p w:rsidRPr="008633AF" w:rsidR="00A15641" w:rsidP="00276A87" w:rsidRDefault="00A15641" w14:paraId="2749C174" w14:textId="77777777">
            <w:pPr>
              <w:jc w:val="right"/>
              <w:rPr>
                <w:color w:val="000000"/>
                <w:sz w:val="20"/>
                <w:szCs w:val="20"/>
              </w:rPr>
            </w:pPr>
            <w:r w:rsidRPr="008633AF">
              <w:rPr>
                <w:b/>
                <w:bCs/>
                <w:color w:val="000000"/>
                <w:sz w:val="22"/>
                <w:szCs w:val="22"/>
              </w:rPr>
              <w:t>20.3</w:t>
            </w:r>
          </w:p>
        </w:tc>
        <w:tc>
          <w:tcPr>
            <w:tcW w:w="740" w:type="pct"/>
            <w:tcBorders>
              <w:top w:val="single" w:color="auto" w:sz="4" w:space="0"/>
            </w:tcBorders>
            <w:vAlign w:val="center"/>
          </w:tcPr>
          <w:p w:rsidRPr="008633AF" w:rsidR="00A15641" w:rsidP="00276A87" w:rsidRDefault="00A15641" w14:paraId="538F4280" w14:textId="77777777">
            <w:pPr>
              <w:jc w:val="right"/>
              <w:rPr>
                <w:color w:val="000000"/>
                <w:sz w:val="20"/>
                <w:szCs w:val="20"/>
              </w:rPr>
            </w:pPr>
            <w:r w:rsidRPr="008633AF">
              <w:rPr>
                <w:color w:val="000000"/>
                <w:sz w:val="22"/>
                <w:szCs w:val="22"/>
              </w:rPr>
              <w:t>18.4</w:t>
            </w:r>
          </w:p>
        </w:tc>
        <w:tc>
          <w:tcPr>
            <w:tcW w:w="739" w:type="pct"/>
            <w:tcBorders>
              <w:top w:val="single" w:color="auto" w:sz="4" w:space="0"/>
            </w:tcBorders>
            <w:vAlign w:val="center"/>
          </w:tcPr>
          <w:p w:rsidRPr="008633AF" w:rsidR="00A15641" w:rsidP="00276A87" w:rsidRDefault="00A15641" w14:paraId="39F70DA7" w14:textId="77777777">
            <w:pPr>
              <w:jc w:val="right"/>
              <w:rPr>
                <w:color w:val="000000"/>
                <w:sz w:val="20"/>
                <w:szCs w:val="20"/>
              </w:rPr>
            </w:pPr>
            <w:r w:rsidRPr="008633AF">
              <w:rPr>
                <w:b/>
                <w:bCs/>
                <w:color w:val="000000"/>
                <w:sz w:val="22"/>
                <w:szCs w:val="22"/>
              </w:rPr>
              <w:t>20.9</w:t>
            </w:r>
          </w:p>
        </w:tc>
      </w:tr>
      <w:tr w:rsidRPr="00433BC0" w:rsidR="00A15641" w:rsidTr="00974844" w14:paraId="0467309D" w14:textId="77777777">
        <w:trPr>
          <w:trHeight w:val="261"/>
          <w:jc w:val="center"/>
        </w:trPr>
        <w:tc>
          <w:tcPr>
            <w:tcW w:w="1851" w:type="pct"/>
            <w:vMerge/>
          </w:tcPr>
          <w:p w:rsidRPr="00433BC0" w:rsidR="00A15641" w:rsidP="00276A87" w:rsidRDefault="00A15641" w14:paraId="32F113AC" w14:textId="77777777">
            <w:pPr>
              <w:rPr>
                <w:sz w:val="20"/>
                <w:szCs w:val="20"/>
              </w:rPr>
            </w:pPr>
          </w:p>
        </w:tc>
        <w:tc>
          <w:tcPr>
            <w:tcW w:w="167" w:type="pct"/>
            <w:tcBorders>
              <w:left w:val="single" w:color="auto" w:sz="4" w:space="0"/>
            </w:tcBorders>
            <w:vAlign w:val="center"/>
          </w:tcPr>
          <w:p w:rsidRPr="00433BC0" w:rsidR="00A15641" w:rsidP="00276A87" w:rsidRDefault="00A15641" w14:paraId="658C8DEA" w14:textId="77777777">
            <w:pPr>
              <w:jc w:val="right"/>
              <w:rPr>
                <w:color w:val="000000"/>
                <w:sz w:val="20"/>
                <w:szCs w:val="20"/>
              </w:rPr>
            </w:pPr>
            <w:r w:rsidRPr="00433BC0">
              <w:rPr>
                <w:color w:val="000000"/>
                <w:sz w:val="20"/>
                <w:szCs w:val="20"/>
              </w:rPr>
              <w:t>0.25</w:t>
            </w:r>
          </w:p>
        </w:tc>
        <w:tc>
          <w:tcPr>
            <w:tcW w:w="764" w:type="pct"/>
            <w:vAlign w:val="center"/>
          </w:tcPr>
          <w:p w:rsidRPr="00433BC0" w:rsidR="00A15641" w:rsidP="00276A87" w:rsidRDefault="00A15641" w14:paraId="5C2D4171" w14:textId="77777777">
            <w:pPr>
              <w:jc w:val="right"/>
              <w:rPr>
                <w:color w:val="000000"/>
                <w:sz w:val="20"/>
                <w:szCs w:val="20"/>
              </w:rPr>
            </w:pPr>
            <w:r w:rsidRPr="00433BC0">
              <w:rPr>
                <w:color w:val="000000"/>
                <w:sz w:val="20"/>
                <w:szCs w:val="20"/>
              </w:rPr>
              <w:t>14.4</w:t>
            </w:r>
          </w:p>
        </w:tc>
        <w:tc>
          <w:tcPr>
            <w:tcW w:w="740" w:type="pct"/>
            <w:vAlign w:val="center"/>
          </w:tcPr>
          <w:p w:rsidRPr="008633AF" w:rsidR="00A15641" w:rsidP="00276A87" w:rsidRDefault="00A15641" w14:paraId="4F347A6B" w14:textId="77777777">
            <w:pPr>
              <w:jc w:val="right"/>
              <w:rPr>
                <w:color w:val="000000"/>
                <w:sz w:val="20"/>
                <w:szCs w:val="20"/>
              </w:rPr>
            </w:pPr>
            <w:r w:rsidRPr="008633AF">
              <w:rPr>
                <w:b/>
                <w:bCs/>
                <w:color w:val="000000"/>
                <w:sz w:val="22"/>
                <w:szCs w:val="22"/>
              </w:rPr>
              <w:t>35.1</w:t>
            </w:r>
          </w:p>
        </w:tc>
        <w:tc>
          <w:tcPr>
            <w:tcW w:w="740" w:type="pct"/>
            <w:vAlign w:val="center"/>
          </w:tcPr>
          <w:p w:rsidRPr="008633AF" w:rsidR="00A15641" w:rsidP="00276A87" w:rsidRDefault="00A15641" w14:paraId="2B494A11" w14:textId="77777777">
            <w:pPr>
              <w:jc w:val="right"/>
              <w:rPr>
                <w:b/>
                <w:bCs/>
                <w:color w:val="000000"/>
                <w:sz w:val="20"/>
                <w:szCs w:val="20"/>
              </w:rPr>
            </w:pPr>
            <w:r w:rsidRPr="008633AF">
              <w:rPr>
                <w:b/>
                <w:bCs/>
                <w:color w:val="000000"/>
                <w:sz w:val="22"/>
                <w:szCs w:val="22"/>
              </w:rPr>
              <w:t>31.9</w:t>
            </w:r>
          </w:p>
        </w:tc>
        <w:tc>
          <w:tcPr>
            <w:tcW w:w="739" w:type="pct"/>
            <w:vAlign w:val="center"/>
          </w:tcPr>
          <w:p w:rsidRPr="008633AF" w:rsidR="00A15641" w:rsidP="00276A87" w:rsidRDefault="00A15641" w14:paraId="35AB36EF" w14:textId="77777777">
            <w:pPr>
              <w:jc w:val="right"/>
              <w:rPr>
                <w:b/>
                <w:bCs/>
                <w:color w:val="000000"/>
                <w:sz w:val="20"/>
                <w:szCs w:val="20"/>
              </w:rPr>
            </w:pPr>
            <w:r w:rsidRPr="008633AF">
              <w:rPr>
                <w:b/>
                <w:bCs/>
                <w:color w:val="000000"/>
                <w:sz w:val="22"/>
                <w:szCs w:val="22"/>
              </w:rPr>
              <w:t>36.2</w:t>
            </w:r>
          </w:p>
        </w:tc>
      </w:tr>
      <w:tr w:rsidRPr="00433BC0" w:rsidR="00A15641" w:rsidTr="00974844" w14:paraId="062DC50A" w14:textId="77777777">
        <w:trPr>
          <w:trHeight w:val="261"/>
          <w:jc w:val="center"/>
        </w:trPr>
        <w:tc>
          <w:tcPr>
            <w:tcW w:w="1851" w:type="pct"/>
            <w:vMerge/>
            <w:tcBorders>
              <w:bottom w:val="single" w:color="auto" w:sz="4" w:space="0"/>
            </w:tcBorders>
          </w:tcPr>
          <w:p w:rsidRPr="00433BC0" w:rsidR="00A15641" w:rsidP="00276A87" w:rsidRDefault="00A15641" w14:paraId="05C0BCF2" w14:textId="77777777">
            <w:pPr>
              <w:rPr>
                <w:sz w:val="20"/>
                <w:szCs w:val="20"/>
              </w:rPr>
            </w:pPr>
          </w:p>
        </w:tc>
        <w:tc>
          <w:tcPr>
            <w:tcW w:w="167" w:type="pct"/>
            <w:tcBorders>
              <w:left w:val="single" w:color="auto" w:sz="4" w:space="0"/>
              <w:bottom w:val="single" w:color="auto" w:sz="4" w:space="0"/>
            </w:tcBorders>
            <w:vAlign w:val="center"/>
          </w:tcPr>
          <w:p w:rsidRPr="00433BC0" w:rsidR="00A15641" w:rsidP="00276A87" w:rsidRDefault="00A15641" w14:paraId="4E1D5572" w14:textId="77777777">
            <w:pPr>
              <w:jc w:val="right"/>
              <w:rPr>
                <w:color w:val="000000"/>
                <w:sz w:val="20"/>
                <w:szCs w:val="20"/>
              </w:rPr>
            </w:pPr>
            <w:r w:rsidRPr="00433BC0">
              <w:rPr>
                <w:color w:val="000000"/>
                <w:sz w:val="20"/>
                <w:szCs w:val="20"/>
              </w:rPr>
              <w:t>0.10</w:t>
            </w:r>
          </w:p>
        </w:tc>
        <w:tc>
          <w:tcPr>
            <w:tcW w:w="764" w:type="pct"/>
            <w:tcBorders>
              <w:bottom w:val="single" w:color="auto" w:sz="4" w:space="0"/>
            </w:tcBorders>
            <w:vAlign w:val="center"/>
          </w:tcPr>
          <w:p w:rsidRPr="00433BC0" w:rsidR="00A15641" w:rsidP="00276A87" w:rsidRDefault="00A15641" w14:paraId="5663E5D5" w14:textId="77777777">
            <w:pPr>
              <w:jc w:val="right"/>
              <w:rPr>
                <w:b/>
                <w:bCs/>
                <w:color w:val="000000"/>
                <w:sz w:val="20"/>
                <w:szCs w:val="20"/>
              </w:rPr>
            </w:pPr>
            <w:r w:rsidRPr="00433BC0">
              <w:rPr>
                <w:b/>
                <w:bCs/>
                <w:color w:val="000000"/>
                <w:sz w:val="20"/>
                <w:szCs w:val="20"/>
              </w:rPr>
              <w:t>25.0</w:t>
            </w:r>
          </w:p>
        </w:tc>
        <w:tc>
          <w:tcPr>
            <w:tcW w:w="740" w:type="pct"/>
            <w:tcBorders>
              <w:bottom w:val="single" w:color="auto" w:sz="4" w:space="0"/>
            </w:tcBorders>
            <w:vAlign w:val="center"/>
          </w:tcPr>
          <w:p w:rsidRPr="008633AF" w:rsidR="00A15641" w:rsidP="00276A87" w:rsidRDefault="00A15641" w14:paraId="5174FA0A" w14:textId="77777777">
            <w:pPr>
              <w:jc w:val="right"/>
              <w:rPr>
                <w:b/>
                <w:bCs/>
                <w:color w:val="000000"/>
                <w:sz w:val="20"/>
                <w:szCs w:val="20"/>
              </w:rPr>
            </w:pPr>
            <w:r w:rsidRPr="008633AF">
              <w:rPr>
                <w:b/>
                <w:bCs/>
                <w:color w:val="000000"/>
                <w:sz w:val="22"/>
                <w:szCs w:val="22"/>
              </w:rPr>
              <w:t>60.8</w:t>
            </w:r>
          </w:p>
        </w:tc>
        <w:tc>
          <w:tcPr>
            <w:tcW w:w="740" w:type="pct"/>
            <w:tcBorders>
              <w:bottom w:val="single" w:color="auto" w:sz="4" w:space="0"/>
            </w:tcBorders>
            <w:vAlign w:val="center"/>
          </w:tcPr>
          <w:p w:rsidRPr="008633AF" w:rsidR="00A15641" w:rsidP="00276A87" w:rsidRDefault="00A15641" w14:paraId="0FA92D6C" w14:textId="77777777">
            <w:pPr>
              <w:jc w:val="right"/>
              <w:rPr>
                <w:b/>
                <w:bCs/>
                <w:color w:val="000000"/>
                <w:sz w:val="20"/>
                <w:szCs w:val="20"/>
              </w:rPr>
            </w:pPr>
            <w:r w:rsidRPr="008633AF">
              <w:rPr>
                <w:b/>
                <w:bCs/>
                <w:color w:val="000000"/>
                <w:sz w:val="22"/>
                <w:szCs w:val="22"/>
              </w:rPr>
              <w:t>55.2</w:t>
            </w:r>
          </w:p>
        </w:tc>
        <w:tc>
          <w:tcPr>
            <w:tcW w:w="739" w:type="pct"/>
            <w:tcBorders>
              <w:bottom w:val="single" w:color="auto" w:sz="4" w:space="0"/>
            </w:tcBorders>
            <w:vAlign w:val="center"/>
          </w:tcPr>
          <w:p w:rsidRPr="008633AF" w:rsidR="00A15641" w:rsidP="00276A87" w:rsidRDefault="00A15641" w14:paraId="68404F44" w14:textId="77777777">
            <w:pPr>
              <w:jc w:val="right"/>
              <w:rPr>
                <w:b/>
                <w:bCs/>
                <w:color w:val="000000"/>
                <w:sz w:val="20"/>
                <w:szCs w:val="20"/>
              </w:rPr>
            </w:pPr>
            <w:r w:rsidRPr="008633AF">
              <w:rPr>
                <w:b/>
                <w:bCs/>
                <w:color w:val="000000"/>
                <w:sz w:val="22"/>
                <w:szCs w:val="22"/>
              </w:rPr>
              <w:t>62.7</w:t>
            </w:r>
          </w:p>
        </w:tc>
      </w:tr>
      <w:tr w:rsidRPr="00433BC0" w:rsidR="00A15641" w:rsidTr="00974844" w14:paraId="53CE2B1E" w14:textId="77777777">
        <w:trPr>
          <w:trHeight w:val="261"/>
          <w:jc w:val="center"/>
        </w:trPr>
        <w:tc>
          <w:tcPr>
            <w:tcW w:w="1851" w:type="pct"/>
            <w:vMerge w:val="restart"/>
            <w:tcBorders>
              <w:top w:val="single" w:color="auto" w:sz="4" w:space="0"/>
            </w:tcBorders>
          </w:tcPr>
          <w:p w:rsidRPr="00433BC0" w:rsidR="00A15641" w:rsidP="00276A87" w:rsidRDefault="00A15641" w14:paraId="24ECC23D" w14:textId="77777777">
            <w:pPr>
              <w:rPr>
                <w:sz w:val="20"/>
                <w:szCs w:val="20"/>
              </w:rPr>
            </w:pPr>
            <w:r w:rsidRPr="00433BC0">
              <w:rPr>
                <w:sz w:val="20"/>
                <w:szCs w:val="20"/>
              </w:rPr>
              <w:t>West</w:t>
            </w:r>
            <w:r>
              <w:rPr>
                <w:sz w:val="20"/>
                <w:szCs w:val="20"/>
              </w:rPr>
              <w:t xml:space="preserve"> </w:t>
            </w:r>
            <w:r w:rsidRPr="0094170C">
              <w:rPr>
                <w:sz w:val="20"/>
                <w:szCs w:val="20"/>
              </w:rPr>
              <w:t>(AK, AZ, CA, CO, HI, ID, KS, MT, NE, NV, NM, ND, OK, OR, SD, TX, UT, WA, WY)</w:t>
            </w:r>
          </w:p>
        </w:tc>
        <w:tc>
          <w:tcPr>
            <w:tcW w:w="167" w:type="pct"/>
            <w:tcBorders>
              <w:top w:val="single" w:color="auto" w:sz="4" w:space="0"/>
              <w:left w:val="single" w:color="auto" w:sz="4" w:space="0"/>
              <w:bottom w:val="nil"/>
            </w:tcBorders>
            <w:vAlign w:val="center"/>
          </w:tcPr>
          <w:p w:rsidRPr="00433BC0" w:rsidR="00A15641" w:rsidP="00276A87" w:rsidRDefault="00A15641" w14:paraId="29E45B14" w14:textId="77777777">
            <w:pPr>
              <w:jc w:val="right"/>
              <w:rPr>
                <w:color w:val="000000"/>
                <w:sz w:val="20"/>
                <w:szCs w:val="20"/>
              </w:rPr>
            </w:pPr>
            <w:r w:rsidRPr="00433BC0">
              <w:rPr>
                <w:color w:val="000000"/>
                <w:sz w:val="20"/>
                <w:szCs w:val="20"/>
              </w:rPr>
              <w:t>0.50</w:t>
            </w:r>
          </w:p>
        </w:tc>
        <w:tc>
          <w:tcPr>
            <w:tcW w:w="764" w:type="pct"/>
            <w:tcBorders>
              <w:top w:val="single" w:color="auto" w:sz="4" w:space="0"/>
              <w:bottom w:val="nil"/>
            </w:tcBorders>
            <w:vAlign w:val="center"/>
          </w:tcPr>
          <w:p w:rsidRPr="00433BC0" w:rsidR="00A15641" w:rsidP="00276A87" w:rsidRDefault="00A15641" w14:paraId="3886DB98" w14:textId="77777777">
            <w:pPr>
              <w:jc w:val="right"/>
              <w:rPr>
                <w:color w:val="000000"/>
                <w:sz w:val="20"/>
                <w:szCs w:val="20"/>
              </w:rPr>
            </w:pPr>
            <w:r w:rsidRPr="00433BC0">
              <w:rPr>
                <w:color w:val="000000"/>
                <w:sz w:val="20"/>
                <w:szCs w:val="20"/>
              </w:rPr>
              <w:t>3.5</w:t>
            </w:r>
          </w:p>
        </w:tc>
        <w:tc>
          <w:tcPr>
            <w:tcW w:w="740" w:type="pct"/>
            <w:tcBorders>
              <w:top w:val="single" w:color="auto" w:sz="4" w:space="0"/>
              <w:bottom w:val="nil"/>
            </w:tcBorders>
            <w:vAlign w:val="center"/>
          </w:tcPr>
          <w:p w:rsidRPr="008633AF" w:rsidR="00A15641" w:rsidP="00276A87" w:rsidRDefault="00A15641" w14:paraId="28A31B14" w14:textId="77777777">
            <w:pPr>
              <w:jc w:val="right"/>
              <w:rPr>
                <w:color w:val="000000"/>
                <w:sz w:val="20"/>
                <w:szCs w:val="20"/>
              </w:rPr>
            </w:pPr>
            <w:r w:rsidRPr="008633AF">
              <w:rPr>
                <w:color w:val="000000"/>
                <w:sz w:val="22"/>
                <w:szCs w:val="22"/>
              </w:rPr>
              <w:t>8.5</w:t>
            </w:r>
          </w:p>
        </w:tc>
        <w:tc>
          <w:tcPr>
            <w:tcW w:w="740" w:type="pct"/>
            <w:tcBorders>
              <w:top w:val="single" w:color="auto" w:sz="4" w:space="0"/>
              <w:bottom w:val="nil"/>
            </w:tcBorders>
            <w:vAlign w:val="center"/>
          </w:tcPr>
          <w:p w:rsidRPr="008633AF" w:rsidR="00A15641" w:rsidP="00276A87" w:rsidRDefault="00A15641" w14:paraId="1452A556" w14:textId="77777777">
            <w:pPr>
              <w:jc w:val="right"/>
              <w:rPr>
                <w:color w:val="000000"/>
                <w:sz w:val="20"/>
                <w:szCs w:val="20"/>
              </w:rPr>
            </w:pPr>
            <w:r w:rsidRPr="008633AF">
              <w:rPr>
                <w:color w:val="000000"/>
                <w:sz w:val="22"/>
                <w:szCs w:val="22"/>
              </w:rPr>
              <w:t>7.7</w:t>
            </w:r>
          </w:p>
        </w:tc>
        <w:tc>
          <w:tcPr>
            <w:tcW w:w="739" w:type="pct"/>
            <w:tcBorders>
              <w:top w:val="single" w:color="auto" w:sz="4" w:space="0"/>
              <w:bottom w:val="nil"/>
            </w:tcBorders>
            <w:vAlign w:val="center"/>
          </w:tcPr>
          <w:p w:rsidRPr="008633AF" w:rsidR="00A15641" w:rsidP="00276A87" w:rsidRDefault="00A15641" w14:paraId="419D8A44" w14:textId="77777777">
            <w:pPr>
              <w:jc w:val="right"/>
              <w:rPr>
                <w:color w:val="000000"/>
                <w:sz w:val="20"/>
                <w:szCs w:val="20"/>
              </w:rPr>
            </w:pPr>
            <w:r w:rsidRPr="008633AF">
              <w:rPr>
                <w:color w:val="000000"/>
                <w:sz w:val="22"/>
                <w:szCs w:val="22"/>
              </w:rPr>
              <w:t>8.8</w:t>
            </w:r>
          </w:p>
        </w:tc>
      </w:tr>
      <w:tr w:rsidRPr="00433BC0" w:rsidR="00A15641" w:rsidTr="00974844" w14:paraId="4FEEE445" w14:textId="77777777">
        <w:trPr>
          <w:trHeight w:val="261"/>
          <w:jc w:val="center"/>
        </w:trPr>
        <w:tc>
          <w:tcPr>
            <w:tcW w:w="1851" w:type="pct"/>
            <w:vMerge/>
          </w:tcPr>
          <w:p w:rsidRPr="00433BC0" w:rsidR="00A15641" w:rsidP="00276A87" w:rsidRDefault="00A15641" w14:paraId="275904A1" w14:textId="77777777">
            <w:pPr>
              <w:rPr>
                <w:sz w:val="20"/>
                <w:szCs w:val="20"/>
              </w:rPr>
            </w:pPr>
          </w:p>
        </w:tc>
        <w:tc>
          <w:tcPr>
            <w:tcW w:w="167" w:type="pct"/>
            <w:tcBorders>
              <w:left w:val="single" w:color="auto" w:sz="4" w:space="0"/>
              <w:bottom w:val="nil"/>
            </w:tcBorders>
            <w:vAlign w:val="center"/>
          </w:tcPr>
          <w:p w:rsidRPr="00433BC0" w:rsidR="00A15641" w:rsidP="00276A87" w:rsidRDefault="00A15641" w14:paraId="1D134917" w14:textId="77777777">
            <w:pPr>
              <w:jc w:val="right"/>
              <w:rPr>
                <w:color w:val="000000"/>
                <w:sz w:val="20"/>
                <w:szCs w:val="20"/>
              </w:rPr>
            </w:pPr>
            <w:r w:rsidRPr="00433BC0">
              <w:rPr>
                <w:color w:val="000000"/>
                <w:sz w:val="20"/>
                <w:szCs w:val="20"/>
              </w:rPr>
              <w:t>0.25</w:t>
            </w:r>
          </w:p>
        </w:tc>
        <w:tc>
          <w:tcPr>
            <w:tcW w:w="764" w:type="pct"/>
            <w:tcBorders>
              <w:bottom w:val="nil"/>
            </w:tcBorders>
            <w:vAlign w:val="center"/>
          </w:tcPr>
          <w:p w:rsidRPr="00433BC0" w:rsidR="00A15641" w:rsidP="00276A87" w:rsidRDefault="00A15641" w14:paraId="07E7BE77" w14:textId="77777777">
            <w:pPr>
              <w:jc w:val="right"/>
              <w:rPr>
                <w:color w:val="000000"/>
                <w:sz w:val="20"/>
                <w:szCs w:val="20"/>
              </w:rPr>
            </w:pPr>
            <w:r w:rsidRPr="00433BC0">
              <w:rPr>
                <w:color w:val="000000"/>
                <w:sz w:val="20"/>
                <w:szCs w:val="20"/>
              </w:rPr>
              <w:t>6.0</w:t>
            </w:r>
          </w:p>
        </w:tc>
        <w:tc>
          <w:tcPr>
            <w:tcW w:w="740" w:type="pct"/>
            <w:tcBorders>
              <w:bottom w:val="nil"/>
            </w:tcBorders>
            <w:vAlign w:val="center"/>
          </w:tcPr>
          <w:p w:rsidRPr="008633AF" w:rsidR="00A15641" w:rsidP="00276A87" w:rsidRDefault="00A15641" w14:paraId="60829D2A" w14:textId="77777777">
            <w:pPr>
              <w:jc w:val="right"/>
              <w:rPr>
                <w:color w:val="000000"/>
                <w:sz w:val="20"/>
                <w:szCs w:val="20"/>
              </w:rPr>
            </w:pPr>
            <w:r w:rsidRPr="008633AF">
              <w:rPr>
                <w:color w:val="000000"/>
                <w:sz w:val="22"/>
                <w:szCs w:val="22"/>
              </w:rPr>
              <w:t>14.7</w:t>
            </w:r>
          </w:p>
        </w:tc>
        <w:tc>
          <w:tcPr>
            <w:tcW w:w="740" w:type="pct"/>
            <w:tcBorders>
              <w:bottom w:val="nil"/>
            </w:tcBorders>
            <w:vAlign w:val="center"/>
          </w:tcPr>
          <w:p w:rsidRPr="008633AF" w:rsidR="00A15641" w:rsidP="00276A87" w:rsidRDefault="00A15641" w14:paraId="0DD44E78" w14:textId="77777777">
            <w:pPr>
              <w:jc w:val="right"/>
              <w:rPr>
                <w:color w:val="000000"/>
                <w:sz w:val="20"/>
                <w:szCs w:val="20"/>
              </w:rPr>
            </w:pPr>
            <w:r w:rsidRPr="008633AF">
              <w:rPr>
                <w:color w:val="000000"/>
                <w:sz w:val="22"/>
                <w:szCs w:val="22"/>
              </w:rPr>
              <w:t>13.4</w:t>
            </w:r>
          </w:p>
        </w:tc>
        <w:tc>
          <w:tcPr>
            <w:tcW w:w="739" w:type="pct"/>
            <w:tcBorders>
              <w:bottom w:val="nil"/>
            </w:tcBorders>
            <w:vAlign w:val="center"/>
          </w:tcPr>
          <w:p w:rsidRPr="008633AF" w:rsidR="00A15641" w:rsidP="00276A87" w:rsidRDefault="00A15641" w14:paraId="24D30EE3" w14:textId="77777777">
            <w:pPr>
              <w:jc w:val="right"/>
              <w:rPr>
                <w:color w:val="000000"/>
                <w:sz w:val="20"/>
                <w:szCs w:val="20"/>
              </w:rPr>
            </w:pPr>
            <w:r w:rsidRPr="008633AF">
              <w:rPr>
                <w:color w:val="000000"/>
                <w:sz w:val="22"/>
                <w:szCs w:val="22"/>
              </w:rPr>
              <w:t>15.2</w:t>
            </w:r>
          </w:p>
        </w:tc>
      </w:tr>
      <w:tr w:rsidRPr="00433BC0" w:rsidR="00A15641" w:rsidTr="00974844" w14:paraId="0BD3BC43" w14:textId="77777777">
        <w:trPr>
          <w:trHeight w:val="375"/>
          <w:jc w:val="center"/>
        </w:trPr>
        <w:tc>
          <w:tcPr>
            <w:tcW w:w="1851" w:type="pct"/>
            <w:vMerge/>
            <w:tcBorders>
              <w:bottom w:val="single" w:color="auto" w:sz="4" w:space="0"/>
            </w:tcBorders>
          </w:tcPr>
          <w:p w:rsidRPr="00433BC0" w:rsidR="00A15641" w:rsidP="00276A87" w:rsidRDefault="00A15641" w14:paraId="1AB801B0" w14:textId="77777777">
            <w:pPr>
              <w:rPr>
                <w:sz w:val="20"/>
                <w:szCs w:val="20"/>
              </w:rPr>
            </w:pPr>
          </w:p>
        </w:tc>
        <w:tc>
          <w:tcPr>
            <w:tcW w:w="167" w:type="pct"/>
            <w:tcBorders>
              <w:left w:val="single" w:color="auto" w:sz="4" w:space="0"/>
              <w:bottom w:val="single" w:color="auto" w:sz="4" w:space="0"/>
            </w:tcBorders>
            <w:vAlign w:val="center"/>
          </w:tcPr>
          <w:p w:rsidRPr="00433BC0" w:rsidR="00A15641" w:rsidP="00276A87" w:rsidRDefault="00A15641" w14:paraId="20256F84" w14:textId="77777777">
            <w:pPr>
              <w:jc w:val="right"/>
              <w:rPr>
                <w:color w:val="000000"/>
                <w:sz w:val="20"/>
                <w:szCs w:val="20"/>
              </w:rPr>
            </w:pPr>
            <w:r w:rsidRPr="00433BC0">
              <w:rPr>
                <w:color w:val="000000"/>
                <w:sz w:val="20"/>
                <w:szCs w:val="20"/>
              </w:rPr>
              <w:t>0.10</w:t>
            </w:r>
          </w:p>
        </w:tc>
        <w:tc>
          <w:tcPr>
            <w:tcW w:w="764" w:type="pct"/>
            <w:tcBorders>
              <w:bottom w:val="single" w:color="auto" w:sz="4" w:space="0"/>
            </w:tcBorders>
            <w:vAlign w:val="center"/>
          </w:tcPr>
          <w:p w:rsidRPr="00433BC0" w:rsidR="00A15641" w:rsidP="00276A87" w:rsidRDefault="00A15641" w14:paraId="5733E5BB" w14:textId="77777777">
            <w:pPr>
              <w:jc w:val="right"/>
              <w:rPr>
                <w:color w:val="000000"/>
                <w:sz w:val="20"/>
                <w:szCs w:val="20"/>
              </w:rPr>
            </w:pPr>
            <w:r w:rsidRPr="00433BC0">
              <w:rPr>
                <w:color w:val="000000"/>
                <w:sz w:val="20"/>
                <w:szCs w:val="20"/>
              </w:rPr>
              <w:t>10.5</w:t>
            </w:r>
          </w:p>
        </w:tc>
        <w:tc>
          <w:tcPr>
            <w:tcW w:w="740" w:type="pct"/>
            <w:tcBorders>
              <w:bottom w:val="single" w:color="auto" w:sz="4" w:space="0"/>
            </w:tcBorders>
            <w:vAlign w:val="center"/>
          </w:tcPr>
          <w:p w:rsidRPr="008633AF" w:rsidR="00A15641" w:rsidP="00276A87" w:rsidRDefault="00A15641" w14:paraId="7D011B69" w14:textId="77777777">
            <w:pPr>
              <w:jc w:val="right"/>
              <w:rPr>
                <w:color w:val="000000"/>
                <w:sz w:val="20"/>
                <w:szCs w:val="20"/>
              </w:rPr>
            </w:pPr>
            <w:r w:rsidRPr="008633AF">
              <w:rPr>
                <w:b/>
                <w:bCs/>
                <w:color w:val="000000"/>
                <w:sz w:val="22"/>
                <w:szCs w:val="22"/>
              </w:rPr>
              <w:t>25.5</w:t>
            </w:r>
          </w:p>
        </w:tc>
        <w:tc>
          <w:tcPr>
            <w:tcW w:w="740" w:type="pct"/>
            <w:tcBorders>
              <w:bottom w:val="single" w:color="auto" w:sz="4" w:space="0"/>
            </w:tcBorders>
            <w:vAlign w:val="center"/>
          </w:tcPr>
          <w:p w:rsidRPr="008633AF" w:rsidR="00A15641" w:rsidP="00276A87" w:rsidRDefault="00A15641" w14:paraId="2E857B3D" w14:textId="77777777">
            <w:pPr>
              <w:jc w:val="right"/>
              <w:rPr>
                <w:color w:val="000000"/>
                <w:sz w:val="20"/>
                <w:szCs w:val="20"/>
              </w:rPr>
            </w:pPr>
            <w:r w:rsidRPr="008633AF">
              <w:rPr>
                <w:b/>
                <w:bCs/>
                <w:color w:val="000000"/>
                <w:sz w:val="22"/>
                <w:szCs w:val="22"/>
              </w:rPr>
              <w:t>23.1</w:t>
            </w:r>
          </w:p>
        </w:tc>
        <w:tc>
          <w:tcPr>
            <w:tcW w:w="739" w:type="pct"/>
            <w:tcBorders>
              <w:bottom w:val="single" w:color="auto" w:sz="4" w:space="0"/>
            </w:tcBorders>
            <w:vAlign w:val="center"/>
          </w:tcPr>
          <w:p w:rsidRPr="008633AF" w:rsidR="00A15641" w:rsidP="00276A87" w:rsidRDefault="00A15641" w14:paraId="51D5A2CF" w14:textId="77777777">
            <w:pPr>
              <w:jc w:val="right"/>
              <w:rPr>
                <w:color w:val="000000"/>
                <w:sz w:val="20"/>
                <w:szCs w:val="20"/>
              </w:rPr>
            </w:pPr>
            <w:r w:rsidRPr="008633AF">
              <w:rPr>
                <w:b/>
                <w:bCs/>
                <w:color w:val="000000"/>
                <w:sz w:val="22"/>
                <w:szCs w:val="22"/>
              </w:rPr>
              <w:t>26.3</w:t>
            </w:r>
          </w:p>
        </w:tc>
      </w:tr>
      <w:tr w:rsidRPr="00433BC0" w:rsidR="00A15641" w:rsidTr="00974844" w14:paraId="667CF537" w14:textId="77777777">
        <w:trPr>
          <w:trHeight w:val="245"/>
          <w:jc w:val="center"/>
        </w:trPr>
        <w:tc>
          <w:tcPr>
            <w:tcW w:w="1851" w:type="pct"/>
            <w:vMerge w:val="restart"/>
            <w:tcBorders>
              <w:top w:val="single" w:color="auto" w:sz="4" w:space="0"/>
            </w:tcBorders>
          </w:tcPr>
          <w:p w:rsidRPr="00433BC0" w:rsidR="00A15641" w:rsidP="00276A87" w:rsidRDefault="00A15641" w14:paraId="54EA20BE" w14:textId="77777777">
            <w:pPr>
              <w:rPr>
                <w:sz w:val="20"/>
                <w:szCs w:val="20"/>
              </w:rPr>
            </w:pPr>
            <w:r w:rsidRPr="00433BC0">
              <w:rPr>
                <w:sz w:val="20"/>
                <w:szCs w:val="20"/>
              </w:rPr>
              <w:t>Total</w:t>
            </w:r>
          </w:p>
        </w:tc>
        <w:tc>
          <w:tcPr>
            <w:tcW w:w="167" w:type="pct"/>
            <w:tcBorders>
              <w:top w:val="single" w:color="auto" w:sz="4" w:space="0"/>
              <w:left w:val="single" w:color="auto" w:sz="4" w:space="0"/>
              <w:bottom w:val="nil"/>
            </w:tcBorders>
            <w:vAlign w:val="center"/>
          </w:tcPr>
          <w:p w:rsidRPr="00433BC0" w:rsidR="00A15641" w:rsidP="00276A87" w:rsidRDefault="00A15641" w14:paraId="34F70106" w14:textId="77777777">
            <w:pPr>
              <w:jc w:val="right"/>
              <w:rPr>
                <w:color w:val="000000"/>
                <w:sz w:val="20"/>
                <w:szCs w:val="20"/>
              </w:rPr>
            </w:pPr>
            <w:r w:rsidRPr="00433BC0">
              <w:rPr>
                <w:color w:val="000000"/>
                <w:sz w:val="20"/>
                <w:szCs w:val="20"/>
              </w:rPr>
              <w:t>0.50</w:t>
            </w:r>
          </w:p>
        </w:tc>
        <w:tc>
          <w:tcPr>
            <w:tcW w:w="764" w:type="pct"/>
            <w:tcBorders>
              <w:top w:val="single" w:color="auto" w:sz="4" w:space="0"/>
              <w:bottom w:val="nil"/>
            </w:tcBorders>
            <w:vAlign w:val="center"/>
          </w:tcPr>
          <w:p w:rsidRPr="00433BC0" w:rsidR="00A15641" w:rsidP="00276A87" w:rsidRDefault="00A15641" w14:paraId="02EF2185" w14:textId="77777777">
            <w:pPr>
              <w:jc w:val="right"/>
              <w:rPr>
                <w:color w:val="000000"/>
                <w:sz w:val="20"/>
                <w:szCs w:val="20"/>
              </w:rPr>
            </w:pPr>
            <w:r w:rsidRPr="00433BC0">
              <w:rPr>
                <w:color w:val="000000"/>
                <w:sz w:val="20"/>
                <w:szCs w:val="20"/>
              </w:rPr>
              <w:t>2.6</w:t>
            </w:r>
          </w:p>
        </w:tc>
        <w:tc>
          <w:tcPr>
            <w:tcW w:w="740" w:type="pct"/>
            <w:tcBorders>
              <w:top w:val="single" w:color="auto" w:sz="4" w:space="0"/>
              <w:bottom w:val="nil"/>
            </w:tcBorders>
            <w:vAlign w:val="center"/>
          </w:tcPr>
          <w:p w:rsidRPr="008633AF" w:rsidR="00A15641" w:rsidP="00276A87" w:rsidRDefault="00A15641" w14:paraId="2AE592BB" w14:textId="77777777">
            <w:pPr>
              <w:jc w:val="right"/>
              <w:rPr>
                <w:color w:val="000000"/>
                <w:sz w:val="20"/>
                <w:szCs w:val="20"/>
              </w:rPr>
            </w:pPr>
            <w:r w:rsidRPr="008633AF">
              <w:rPr>
                <w:color w:val="000000"/>
                <w:sz w:val="22"/>
                <w:szCs w:val="22"/>
              </w:rPr>
              <w:t>6.4</w:t>
            </w:r>
          </w:p>
        </w:tc>
        <w:tc>
          <w:tcPr>
            <w:tcW w:w="740" w:type="pct"/>
            <w:tcBorders>
              <w:top w:val="single" w:color="auto" w:sz="4" w:space="0"/>
              <w:bottom w:val="nil"/>
            </w:tcBorders>
            <w:vAlign w:val="center"/>
          </w:tcPr>
          <w:p w:rsidRPr="008633AF" w:rsidR="00A15641" w:rsidP="00276A87" w:rsidRDefault="00A15641" w14:paraId="443AD83E" w14:textId="77777777">
            <w:pPr>
              <w:jc w:val="right"/>
              <w:rPr>
                <w:color w:val="000000"/>
                <w:sz w:val="20"/>
                <w:szCs w:val="20"/>
              </w:rPr>
            </w:pPr>
            <w:r w:rsidRPr="008633AF">
              <w:rPr>
                <w:color w:val="000000"/>
                <w:sz w:val="22"/>
                <w:szCs w:val="22"/>
              </w:rPr>
              <w:t>5.9</w:t>
            </w:r>
          </w:p>
        </w:tc>
        <w:tc>
          <w:tcPr>
            <w:tcW w:w="739" w:type="pct"/>
            <w:tcBorders>
              <w:top w:val="single" w:color="auto" w:sz="4" w:space="0"/>
              <w:bottom w:val="nil"/>
            </w:tcBorders>
            <w:vAlign w:val="center"/>
          </w:tcPr>
          <w:p w:rsidRPr="008633AF" w:rsidR="00A15641" w:rsidP="00276A87" w:rsidRDefault="00A15641" w14:paraId="208697DE" w14:textId="77777777">
            <w:pPr>
              <w:jc w:val="right"/>
              <w:rPr>
                <w:color w:val="000000"/>
                <w:sz w:val="20"/>
                <w:szCs w:val="20"/>
              </w:rPr>
            </w:pPr>
            <w:r w:rsidRPr="008633AF">
              <w:rPr>
                <w:color w:val="000000"/>
                <w:sz w:val="22"/>
                <w:szCs w:val="22"/>
              </w:rPr>
              <w:t>6.6</w:t>
            </w:r>
          </w:p>
        </w:tc>
      </w:tr>
      <w:tr w:rsidRPr="00433BC0" w:rsidR="00A15641" w:rsidTr="00974844" w14:paraId="6030B70B" w14:textId="77777777">
        <w:trPr>
          <w:trHeight w:val="261"/>
          <w:jc w:val="center"/>
        </w:trPr>
        <w:tc>
          <w:tcPr>
            <w:tcW w:w="1851" w:type="pct"/>
            <w:vMerge/>
            <w:vAlign w:val="center"/>
          </w:tcPr>
          <w:p w:rsidRPr="00433BC0" w:rsidR="00A15641" w:rsidP="00276A87" w:rsidRDefault="00A15641" w14:paraId="62D82974" w14:textId="77777777">
            <w:pPr>
              <w:rPr>
                <w:sz w:val="20"/>
                <w:szCs w:val="20"/>
              </w:rPr>
            </w:pPr>
          </w:p>
        </w:tc>
        <w:tc>
          <w:tcPr>
            <w:tcW w:w="167" w:type="pct"/>
            <w:tcBorders>
              <w:top w:val="nil"/>
              <w:left w:val="single" w:color="auto" w:sz="4" w:space="0"/>
              <w:bottom w:val="nil"/>
            </w:tcBorders>
            <w:vAlign w:val="center"/>
          </w:tcPr>
          <w:p w:rsidRPr="00433BC0" w:rsidR="00A15641" w:rsidP="00276A87" w:rsidRDefault="00A15641" w14:paraId="19BB2541" w14:textId="77777777">
            <w:pPr>
              <w:jc w:val="right"/>
              <w:rPr>
                <w:color w:val="000000"/>
                <w:sz w:val="20"/>
                <w:szCs w:val="20"/>
              </w:rPr>
            </w:pPr>
            <w:r w:rsidRPr="00433BC0">
              <w:rPr>
                <w:color w:val="000000"/>
                <w:sz w:val="20"/>
                <w:szCs w:val="20"/>
              </w:rPr>
              <w:t>0.25</w:t>
            </w:r>
          </w:p>
        </w:tc>
        <w:tc>
          <w:tcPr>
            <w:tcW w:w="764" w:type="pct"/>
            <w:tcBorders>
              <w:top w:val="nil"/>
              <w:bottom w:val="nil"/>
            </w:tcBorders>
            <w:vAlign w:val="center"/>
          </w:tcPr>
          <w:p w:rsidRPr="00433BC0" w:rsidR="00A15641" w:rsidP="00276A87" w:rsidRDefault="00A15641" w14:paraId="3B90E77C" w14:textId="77777777">
            <w:pPr>
              <w:jc w:val="right"/>
              <w:rPr>
                <w:color w:val="000000"/>
                <w:sz w:val="20"/>
                <w:szCs w:val="20"/>
              </w:rPr>
            </w:pPr>
            <w:r w:rsidRPr="00433BC0">
              <w:rPr>
                <w:color w:val="000000"/>
                <w:sz w:val="20"/>
                <w:szCs w:val="20"/>
              </w:rPr>
              <w:t>4.6</w:t>
            </w:r>
          </w:p>
        </w:tc>
        <w:tc>
          <w:tcPr>
            <w:tcW w:w="740" w:type="pct"/>
            <w:tcBorders>
              <w:top w:val="nil"/>
              <w:bottom w:val="nil"/>
            </w:tcBorders>
            <w:vAlign w:val="center"/>
          </w:tcPr>
          <w:p w:rsidRPr="008633AF" w:rsidR="00A15641" w:rsidP="00276A87" w:rsidRDefault="00A15641" w14:paraId="410D54B7" w14:textId="77777777">
            <w:pPr>
              <w:jc w:val="right"/>
              <w:rPr>
                <w:color w:val="000000"/>
                <w:sz w:val="20"/>
                <w:szCs w:val="20"/>
              </w:rPr>
            </w:pPr>
            <w:r w:rsidRPr="008633AF">
              <w:rPr>
                <w:color w:val="000000"/>
                <w:sz w:val="22"/>
                <w:szCs w:val="22"/>
              </w:rPr>
              <w:t>11.2</w:t>
            </w:r>
          </w:p>
        </w:tc>
        <w:tc>
          <w:tcPr>
            <w:tcW w:w="740" w:type="pct"/>
            <w:tcBorders>
              <w:top w:val="nil"/>
              <w:bottom w:val="nil"/>
            </w:tcBorders>
            <w:vAlign w:val="center"/>
          </w:tcPr>
          <w:p w:rsidRPr="008633AF" w:rsidR="00A15641" w:rsidP="00276A87" w:rsidRDefault="00A15641" w14:paraId="3777D410" w14:textId="77777777">
            <w:pPr>
              <w:jc w:val="right"/>
              <w:rPr>
                <w:color w:val="000000"/>
                <w:sz w:val="20"/>
                <w:szCs w:val="20"/>
              </w:rPr>
            </w:pPr>
            <w:r w:rsidRPr="008633AF">
              <w:rPr>
                <w:color w:val="000000"/>
                <w:sz w:val="22"/>
                <w:szCs w:val="22"/>
              </w:rPr>
              <w:t>10.1</w:t>
            </w:r>
          </w:p>
        </w:tc>
        <w:tc>
          <w:tcPr>
            <w:tcW w:w="739" w:type="pct"/>
            <w:tcBorders>
              <w:top w:val="nil"/>
              <w:bottom w:val="nil"/>
            </w:tcBorders>
            <w:vAlign w:val="center"/>
          </w:tcPr>
          <w:p w:rsidRPr="008633AF" w:rsidR="00A15641" w:rsidP="00276A87" w:rsidRDefault="00A15641" w14:paraId="0B0F2CA7" w14:textId="77777777">
            <w:pPr>
              <w:jc w:val="right"/>
              <w:rPr>
                <w:color w:val="000000"/>
                <w:sz w:val="20"/>
                <w:szCs w:val="20"/>
              </w:rPr>
            </w:pPr>
            <w:r w:rsidRPr="008633AF">
              <w:rPr>
                <w:color w:val="000000"/>
                <w:sz w:val="22"/>
                <w:szCs w:val="22"/>
              </w:rPr>
              <w:t>11.5</w:t>
            </w:r>
          </w:p>
        </w:tc>
      </w:tr>
      <w:tr w:rsidRPr="00433BC0" w:rsidR="00A15641" w:rsidTr="00974844" w14:paraId="4A60A485" w14:textId="77777777">
        <w:trPr>
          <w:trHeight w:val="261"/>
          <w:jc w:val="center"/>
        </w:trPr>
        <w:tc>
          <w:tcPr>
            <w:tcW w:w="1851" w:type="pct"/>
            <w:vMerge/>
            <w:tcBorders>
              <w:bottom w:val="single" w:color="auto" w:sz="4" w:space="0"/>
            </w:tcBorders>
            <w:vAlign w:val="center"/>
          </w:tcPr>
          <w:p w:rsidRPr="00433BC0" w:rsidR="00A15641" w:rsidP="00276A87" w:rsidRDefault="00A15641" w14:paraId="47EAF990" w14:textId="77777777">
            <w:pPr>
              <w:rPr>
                <w:sz w:val="20"/>
                <w:szCs w:val="20"/>
              </w:rPr>
            </w:pPr>
          </w:p>
        </w:tc>
        <w:tc>
          <w:tcPr>
            <w:tcW w:w="167" w:type="pct"/>
            <w:tcBorders>
              <w:top w:val="nil"/>
              <w:left w:val="single" w:color="auto" w:sz="4" w:space="0"/>
              <w:bottom w:val="single" w:color="auto" w:sz="4" w:space="0"/>
            </w:tcBorders>
            <w:vAlign w:val="center"/>
          </w:tcPr>
          <w:p w:rsidRPr="00433BC0" w:rsidR="00A15641" w:rsidP="00276A87" w:rsidRDefault="00A15641" w14:paraId="1C74D79D" w14:textId="77777777">
            <w:pPr>
              <w:jc w:val="right"/>
              <w:rPr>
                <w:color w:val="000000"/>
                <w:sz w:val="20"/>
                <w:szCs w:val="20"/>
              </w:rPr>
            </w:pPr>
            <w:r w:rsidRPr="00433BC0">
              <w:rPr>
                <w:color w:val="000000"/>
                <w:sz w:val="20"/>
                <w:szCs w:val="20"/>
              </w:rPr>
              <w:t>0.10</w:t>
            </w:r>
          </w:p>
        </w:tc>
        <w:tc>
          <w:tcPr>
            <w:tcW w:w="764" w:type="pct"/>
            <w:tcBorders>
              <w:top w:val="nil"/>
              <w:bottom w:val="single" w:color="auto" w:sz="4" w:space="0"/>
            </w:tcBorders>
            <w:vAlign w:val="center"/>
          </w:tcPr>
          <w:p w:rsidRPr="00433BC0" w:rsidR="00A15641" w:rsidP="00276A87" w:rsidRDefault="00A15641" w14:paraId="498074C1" w14:textId="77777777">
            <w:pPr>
              <w:jc w:val="right"/>
              <w:rPr>
                <w:color w:val="000000"/>
                <w:sz w:val="20"/>
                <w:szCs w:val="20"/>
              </w:rPr>
            </w:pPr>
            <w:r w:rsidRPr="00433BC0">
              <w:rPr>
                <w:color w:val="000000"/>
                <w:sz w:val="20"/>
                <w:szCs w:val="20"/>
              </w:rPr>
              <w:t>7.9</w:t>
            </w:r>
          </w:p>
        </w:tc>
        <w:tc>
          <w:tcPr>
            <w:tcW w:w="740" w:type="pct"/>
            <w:tcBorders>
              <w:top w:val="nil"/>
              <w:bottom w:val="single" w:color="auto" w:sz="4" w:space="0"/>
            </w:tcBorders>
            <w:vAlign w:val="center"/>
          </w:tcPr>
          <w:p w:rsidRPr="008633AF" w:rsidR="00A15641" w:rsidP="00276A87" w:rsidRDefault="00A15641" w14:paraId="600BFE55" w14:textId="77777777">
            <w:pPr>
              <w:jc w:val="right"/>
              <w:rPr>
                <w:color w:val="000000"/>
                <w:sz w:val="20"/>
                <w:szCs w:val="20"/>
              </w:rPr>
            </w:pPr>
            <w:r w:rsidRPr="008633AF">
              <w:rPr>
                <w:color w:val="000000"/>
                <w:sz w:val="22"/>
                <w:szCs w:val="22"/>
              </w:rPr>
              <w:t>19.3</w:t>
            </w:r>
          </w:p>
        </w:tc>
        <w:tc>
          <w:tcPr>
            <w:tcW w:w="740" w:type="pct"/>
            <w:tcBorders>
              <w:top w:val="nil"/>
              <w:bottom w:val="single" w:color="auto" w:sz="4" w:space="0"/>
            </w:tcBorders>
            <w:vAlign w:val="center"/>
          </w:tcPr>
          <w:p w:rsidRPr="008633AF" w:rsidR="00A15641" w:rsidP="00276A87" w:rsidRDefault="00A15641" w14:paraId="4728E423" w14:textId="77777777">
            <w:pPr>
              <w:jc w:val="right"/>
              <w:rPr>
                <w:color w:val="000000"/>
                <w:sz w:val="20"/>
                <w:szCs w:val="20"/>
              </w:rPr>
            </w:pPr>
            <w:r w:rsidRPr="008633AF">
              <w:rPr>
                <w:color w:val="000000"/>
                <w:sz w:val="22"/>
                <w:szCs w:val="22"/>
              </w:rPr>
              <w:t>17.6</w:t>
            </w:r>
          </w:p>
        </w:tc>
        <w:tc>
          <w:tcPr>
            <w:tcW w:w="739" w:type="pct"/>
            <w:tcBorders>
              <w:top w:val="nil"/>
              <w:bottom w:val="single" w:color="auto" w:sz="4" w:space="0"/>
            </w:tcBorders>
            <w:vAlign w:val="center"/>
          </w:tcPr>
          <w:p w:rsidRPr="008633AF" w:rsidR="00A15641" w:rsidP="00276A87" w:rsidRDefault="00A15641" w14:paraId="06C4E3B7" w14:textId="77777777">
            <w:pPr>
              <w:jc w:val="right"/>
              <w:rPr>
                <w:color w:val="000000"/>
                <w:sz w:val="20"/>
                <w:szCs w:val="20"/>
              </w:rPr>
            </w:pPr>
            <w:r w:rsidRPr="008633AF">
              <w:rPr>
                <w:color w:val="000000"/>
                <w:sz w:val="22"/>
                <w:szCs w:val="22"/>
              </w:rPr>
              <w:t>19.9</w:t>
            </w:r>
          </w:p>
        </w:tc>
      </w:tr>
    </w:tbl>
    <w:p w:rsidR="00A15641" w:rsidP="00A15641" w:rsidRDefault="00A15641" w14:paraId="78944F44" w14:textId="77777777">
      <w:pPr>
        <w:pStyle w:val="Heading1"/>
        <w:rPr>
          <w:rFonts w:ascii="Times New Roman" w:hAnsi="Times New Roman" w:cs="Times New Roman"/>
          <w:sz w:val="24"/>
          <w:szCs w:val="24"/>
        </w:rPr>
      </w:pPr>
    </w:p>
    <w:p w:rsidR="00A15641" w:rsidP="00A15641" w:rsidRDefault="00A15641" w14:paraId="6CB1D272" w14:textId="77777777">
      <w:pPr>
        <w:rPr>
          <w:b/>
          <w:bCs/>
          <w:kern w:val="32"/>
        </w:rPr>
      </w:pPr>
      <w:r>
        <w:br w:type="page"/>
      </w:r>
    </w:p>
    <w:p w:rsidR="00A15641" w:rsidP="00A15641" w:rsidRDefault="00A15641" w14:paraId="7CE34B3C" w14:textId="77777777">
      <w:pPr>
        <w:pStyle w:val="Heading1"/>
        <w:rPr>
          <w:rFonts w:ascii="Times New Roman" w:hAnsi="Times New Roman" w:cs="Times New Roman"/>
          <w:bCs w:val="0"/>
          <w:sz w:val="24"/>
          <w:szCs w:val="24"/>
        </w:rPr>
      </w:pPr>
      <w:r w:rsidRPr="00ED5D1E">
        <w:rPr>
          <w:rFonts w:ascii="Times New Roman" w:hAnsi="Times New Roman" w:cs="Times New Roman"/>
          <w:sz w:val="24"/>
          <w:szCs w:val="24"/>
        </w:rPr>
        <w:t xml:space="preserve">Appendix </w:t>
      </w:r>
      <w:r>
        <w:rPr>
          <w:rFonts w:ascii="Times New Roman" w:hAnsi="Times New Roman" w:cs="Times New Roman"/>
          <w:sz w:val="24"/>
          <w:szCs w:val="24"/>
        </w:rPr>
        <w:t>B</w:t>
      </w:r>
      <w:r w:rsidRPr="00ED5D1E">
        <w:rPr>
          <w:rFonts w:ascii="Times New Roman" w:hAnsi="Times New Roman" w:cs="Times New Roman"/>
          <w:sz w:val="24"/>
          <w:szCs w:val="24"/>
        </w:rPr>
        <w:t xml:space="preserve">: </w:t>
      </w:r>
      <w:r w:rsidRPr="00ED5D1E">
        <w:rPr>
          <w:rFonts w:ascii="Times New Roman" w:hAnsi="Times New Roman" w:cs="Times New Roman"/>
          <w:bCs w:val="0"/>
          <w:sz w:val="24"/>
          <w:szCs w:val="24"/>
        </w:rPr>
        <w:t xml:space="preserve">Estimated Response </w:t>
      </w:r>
      <w:bookmarkEnd w:id="45"/>
      <w:r w:rsidRPr="00ED5D1E">
        <w:rPr>
          <w:rFonts w:ascii="Times New Roman" w:hAnsi="Times New Roman" w:cs="Times New Roman"/>
          <w:bCs w:val="0"/>
          <w:sz w:val="24"/>
          <w:szCs w:val="24"/>
        </w:rPr>
        <w:t>Rates</w:t>
      </w:r>
    </w:p>
    <w:p w:rsidRPr="008B0FFA" w:rsidR="00A15641" w:rsidP="00A15641" w:rsidRDefault="00A15641" w14:paraId="36CA2553" w14:textId="77777777"/>
    <w:p w:rsidRPr="005B3811" w:rsidR="00A15641" w:rsidP="00A15641" w:rsidRDefault="00A15641" w14:paraId="0406A39E" w14:textId="3080D15C">
      <w:r>
        <w:t xml:space="preserve">Note that the term “response ratio” is, here, used as a description of the raw ratio of the count </w:t>
      </w:r>
      <w:r w:rsidR="006B1493">
        <w:t xml:space="preserve">of </w:t>
      </w:r>
      <w:r>
        <w:t>producers who submitted complete (non-zero, in-scope) surveys to the count of producers selected from the NASS list frame for the given Study. This provides the best estimates of the number of producers who will supply complete data to be included in Study report tables compared to alternate definitions of “response ratio,” which may have alternate goals such as serving as a coverage metric or demonstrating willingness of the Study population to participate in the survey.</w:t>
      </w:r>
    </w:p>
    <w:p w:rsidRPr="004027FF" w:rsidR="00A15641" w:rsidP="00A15641" w:rsidRDefault="00A15641" w14:paraId="0DBF9C4C" w14:textId="77777777">
      <w:pPr>
        <w:pStyle w:val="Heading2"/>
        <w:rPr>
          <w:rFonts w:ascii="Times New Roman" w:hAnsi="Times New Roman" w:cs="Times New Roman"/>
          <w:sz w:val="24"/>
          <w:szCs w:val="24"/>
        </w:rPr>
      </w:pPr>
      <w:r>
        <w:rPr>
          <w:rFonts w:ascii="Times New Roman" w:hAnsi="Times New Roman" w:cs="Times New Roman"/>
          <w:sz w:val="24"/>
          <w:szCs w:val="24"/>
        </w:rPr>
        <w:t>The NASS Phase</w:t>
      </w:r>
      <w:r w:rsidRPr="004027FF">
        <w:rPr>
          <w:rFonts w:ascii="Times New Roman" w:hAnsi="Times New Roman" w:cs="Times New Roman"/>
          <w:sz w:val="24"/>
          <w:szCs w:val="24"/>
        </w:rPr>
        <w:t xml:space="preserve"> </w:t>
      </w:r>
    </w:p>
    <w:p w:rsidR="00A15641" w:rsidP="00A15641" w:rsidRDefault="00A15641" w14:paraId="0ADBD66C" w14:textId="3878FC1F">
      <w:r>
        <w:t>To estimate the response ratios expected for the Bison 2022 Study, response ratios observed from previous, similar NAHMS studies are presented below.</w:t>
      </w:r>
    </w:p>
    <w:p w:rsidR="00A15641" w:rsidP="00A15641" w:rsidRDefault="00A15641" w14:paraId="2EBD934D" w14:textId="77777777"/>
    <w:p w:rsidRPr="00FA0ED9" w:rsidR="00A15641" w:rsidP="00A15641" w:rsidRDefault="00A15641" w14:paraId="39C8AEF0" w14:textId="77777777">
      <w:r>
        <w:t>Table B.1. Response ratio estimates from (Phase I or the NASS Phase of) the Bison 2014 (OMB number 0579-0420) and Cervid 2014 studies (OMB number 0579-0417).</w:t>
      </w:r>
    </w:p>
    <w:tbl>
      <w:tblPr>
        <w:tblStyle w:val="TableGrid"/>
        <w:tblpPr w:leftFromText="180" w:rightFromText="180" w:vertAnchor="text" w:horzAnchor="margin" w:tblpXSpec="center" w:tblpY="245"/>
        <w:tblW w:w="5000" w:type="pct"/>
        <w:jc w:val="center"/>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0"/>
        <w:gridCol w:w="3119"/>
        <w:gridCol w:w="3121"/>
      </w:tblGrid>
      <w:tr w:rsidR="00A15641" w:rsidTr="00974844" w14:paraId="37229D3F" w14:textId="77777777">
        <w:trPr>
          <w:jc w:val="center"/>
        </w:trPr>
        <w:tc>
          <w:tcPr>
            <w:tcW w:w="1666" w:type="pct"/>
            <w:tcBorders>
              <w:top w:val="single" w:color="auto" w:sz="4" w:space="0"/>
              <w:bottom w:val="single" w:color="auto" w:sz="4" w:space="0"/>
            </w:tcBorders>
          </w:tcPr>
          <w:p w:rsidR="00A15641" w:rsidP="00974844" w:rsidRDefault="00A15641" w14:paraId="62EC0F57" w14:textId="77777777">
            <w:r>
              <w:t>Study</w:t>
            </w:r>
          </w:p>
        </w:tc>
        <w:tc>
          <w:tcPr>
            <w:tcW w:w="1666" w:type="pct"/>
            <w:tcBorders>
              <w:top w:val="single" w:color="auto" w:sz="4" w:space="0"/>
              <w:bottom w:val="single" w:color="auto" w:sz="4" w:space="0"/>
            </w:tcBorders>
          </w:tcPr>
          <w:p w:rsidR="00A15641" w:rsidP="00974844" w:rsidRDefault="00A15641" w14:paraId="15157ADD" w14:textId="77777777">
            <w:r>
              <w:t>Study mode(s)</w:t>
            </w:r>
          </w:p>
        </w:tc>
        <w:tc>
          <w:tcPr>
            <w:tcW w:w="1667" w:type="pct"/>
            <w:tcBorders>
              <w:top w:val="single" w:color="auto" w:sz="4" w:space="0"/>
              <w:bottom w:val="single" w:color="auto" w:sz="4" w:space="0"/>
            </w:tcBorders>
          </w:tcPr>
          <w:p w:rsidR="00A15641" w:rsidP="00974844" w:rsidRDefault="00A15641" w14:paraId="7417263B" w14:textId="77777777">
            <w:r>
              <w:t>Response ratio</w:t>
            </w:r>
          </w:p>
        </w:tc>
      </w:tr>
      <w:tr w:rsidR="00A15641" w:rsidTr="00974844" w14:paraId="7F1034A5" w14:textId="77777777">
        <w:trPr>
          <w:jc w:val="center"/>
        </w:trPr>
        <w:tc>
          <w:tcPr>
            <w:tcW w:w="1666" w:type="pct"/>
            <w:tcBorders>
              <w:top w:val="single" w:color="auto" w:sz="4" w:space="0"/>
            </w:tcBorders>
          </w:tcPr>
          <w:p w:rsidR="00A15641" w:rsidP="00974844" w:rsidRDefault="00A15641" w14:paraId="45F73E72" w14:textId="77777777">
            <w:r>
              <w:t>Bison 2014</w:t>
            </w:r>
          </w:p>
        </w:tc>
        <w:tc>
          <w:tcPr>
            <w:tcW w:w="1666" w:type="pct"/>
            <w:tcBorders>
              <w:top w:val="single" w:color="auto" w:sz="4" w:space="0"/>
            </w:tcBorders>
          </w:tcPr>
          <w:p w:rsidR="00A15641" w:rsidP="00974844" w:rsidRDefault="00A15641" w14:paraId="39237CF9" w14:textId="77777777">
            <w:r>
              <w:t>PASI</w:t>
            </w:r>
          </w:p>
        </w:tc>
        <w:tc>
          <w:tcPr>
            <w:tcW w:w="1667" w:type="pct"/>
            <w:tcBorders>
              <w:top w:val="single" w:color="auto" w:sz="4" w:space="0"/>
            </w:tcBorders>
          </w:tcPr>
          <w:p w:rsidR="00A15641" w:rsidP="00974844" w:rsidRDefault="00A15641" w14:paraId="217E22F7" w14:textId="77777777">
            <w:r>
              <w:t>21.9</w:t>
            </w:r>
          </w:p>
        </w:tc>
      </w:tr>
      <w:tr w:rsidR="00A15641" w:rsidTr="00974844" w14:paraId="39F30565" w14:textId="77777777">
        <w:trPr>
          <w:jc w:val="center"/>
        </w:trPr>
        <w:tc>
          <w:tcPr>
            <w:tcW w:w="1666" w:type="pct"/>
          </w:tcPr>
          <w:p w:rsidR="00A15641" w:rsidP="00974844" w:rsidRDefault="00A15641" w14:paraId="2BC092C2" w14:textId="77777777">
            <w:r>
              <w:t>Cervid 2014</w:t>
            </w:r>
          </w:p>
        </w:tc>
        <w:tc>
          <w:tcPr>
            <w:tcW w:w="1666" w:type="pct"/>
          </w:tcPr>
          <w:p w:rsidR="00A15641" w:rsidP="00974844" w:rsidRDefault="00A15641" w14:paraId="15CAD6D9" w14:textId="77777777">
            <w:r>
              <w:t>PASI/CATI</w:t>
            </w:r>
          </w:p>
        </w:tc>
        <w:tc>
          <w:tcPr>
            <w:tcW w:w="1667" w:type="pct"/>
          </w:tcPr>
          <w:p w:rsidR="00A15641" w:rsidP="00974844" w:rsidRDefault="00A15641" w14:paraId="21A1096B" w14:textId="77777777">
            <w:r>
              <w:t>42.5</w:t>
            </w:r>
          </w:p>
        </w:tc>
      </w:tr>
    </w:tbl>
    <w:p w:rsidR="00A15641" w:rsidP="00A15641" w:rsidRDefault="00A15641" w14:paraId="3B22BE05" w14:textId="77777777"/>
    <w:p w:rsidR="00A15641" w:rsidP="00A15641" w:rsidRDefault="00A15641" w14:paraId="3EE0A6D9" w14:textId="77777777">
      <w:r>
        <w:lastRenderedPageBreak/>
        <w:t xml:space="preserve">Even though the population of interest in the Bison 2022 Study is more similar to that from the Bison 2014 Study, the modes included in the Study are more similar to those of the Cervid 2014 Study, which consisted of a mail-out survey that was completed by PASI, for which non-respondents were followed up with CATI. </w:t>
      </w:r>
    </w:p>
    <w:p w:rsidR="00A15641" w:rsidP="00A15641" w:rsidRDefault="00A15641" w14:paraId="4B6DB54A" w14:textId="77777777"/>
    <w:p w:rsidR="00A15641" w:rsidP="00A15641" w:rsidRDefault="00A15641" w14:paraId="4AD0A549" w14:textId="77777777">
      <w:r>
        <w:t>Upon further inspection, the PASI-only responses were similar in both studies, being approximately 21.9 percent in Bison 2014 (which had two mailing events) and approximately 17.3 percent in Cervid 2014, indicating that the populations of interest appeared to be similar with regard to response via PASI.</w:t>
      </w:r>
    </w:p>
    <w:p w:rsidR="00A15641" w:rsidP="00A15641" w:rsidRDefault="00A15641" w14:paraId="4161AD59" w14:textId="77777777"/>
    <w:p w:rsidR="00A15641" w:rsidP="00A15641" w:rsidRDefault="00A15641" w14:paraId="5B440247" w14:textId="77777777">
      <w:r>
        <w:t>Therefore, the estimated response ratio for the Bison 2022 Study will be assumed to be close to the Cervid 2014 response ratio, or approximately 42.5 percent. This estimate is similar to the response ratio expected for the NAHMS Swine 2021 Small Enterprise Study (OMB number 0579-0315), which consists of the same implementation of survey modes (PASI, CASI, with CATI follow-up). In the response ratio estimation for that Study, it was estimated that approximately 57.4 percent of sampled producers would be eligible and that 71.8 percent of those producers would submit complete (non-zero, in-scope) surveys, resulting in an estimated 41.2 percent of producers sampled expected to submit complete surveys.</w:t>
      </w:r>
    </w:p>
    <w:p w:rsidRPr="004027FF" w:rsidR="00A15641" w:rsidP="00A15641" w:rsidRDefault="00A15641" w14:paraId="5B183A8E" w14:textId="77777777">
      <w:pPr>
        <w:pStyle w:val="Heading2"/>
        <w:rPr>
          <w:rFonts w:ascii="Times New Roman" w:hAnsi="Times New Roman" w:cs="Times New Roman"/>
          <w:sz w:val="24"/>
          <w:szCs w:val="24"/>
        </w:rPr>
      </w:pPr>
      <w:r>
        <w:rPr>
          <w:rFonts w:ascii="Times New Roman" w:hAnsi="Times New Roman" w:cs="Times New Roman"/>
          <w:sz w:val="24"/>
          <w:szCs w:val="24"/>
        </w:rPr>
        <w:t>The Biologics Phase</w:t>
      </w:r>
    </w:p>
    <w:p w:rsidR="00A15641" w:rsidP="00A15641" w:rsidRDefault="00A15641" w14:paraId="4B8B2E7B" w14:textId="77777777">
      <w:r>
        <w:t xml:space="preserve">Estimates for the Biologics Phase for the Bison 2022 Study have more uncertainty than those for the NASS Phase due to the fact that this population hasn’t participated in a biological sampling component during a NAHMS Study. Therefore, the estimates for turnover and participation in the Biologics Phase of the Bison 2022 Study, which will be a biological sampling component, will be based on results from the Goat 2019 Study (OMB number 0579-0354) and the Beef 2017 Study (OMB number 0579-0326), which are the two most recently completed NAHMS studies with similar biologics testing to the Bison 2022 Study. Again, any use of the term “response ratio” will be the raw ratio of the count of producers who submitted complete (non-zero) surveys to the count of producers eligible for that phase of the study. </w:t>
      </w:r>
    </w:p>
    <w:p w:rsidR="00A15641" w:rsidP="00A15641" w:rsidRDefault="00A15641" w14:paraId="3582F6CE" w14:textId="77777777"/>
    <w:p w:rsidR="00A15641" w:rsidP="00A15641" w:rsidRDefault="00A15641" w14:paraId="7C4319AB" w14:textId="77777777">
      <w:r>
        <w:t>Table B.2. Response ratio estimates from turnover and the biologics phases of the Beef 2017 and Goat 2019 studies.</w:t>
      </w:r>
    </w:p>
    <w:tbl>
      <w:tblPr>
        <w:tblStyle w:val="TableGrid"/>
        <w:tblpPr w:leftFromText="180" w:rightFromText="180" w:vertAnchor="text" w:horzAnchor="margin" w:tblpXSpec="center" w:tblpY="245"/>
        <w:tblW w:w="0" w:type="auto"/>
        <w:jc w:val="center"/>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5"/>
        <w:gridCol w:w="4307"/>
        <w:gridCol w:w="2917"/>
      </w:tblGrid>
      <w:tr w:rsidR="00A15641" w:rsidTr="00974844" w14:paraId="5B07E7A0" w14:textId="77777777">
        <w:trPr>
          <w:trHeight w:val="216"/>
          <w:jc w:val="center"/>
        </w:trPr>
        <w:tc>
          <w:tcPr>
            <w:tcW w:w="1525" w:type="dxa"/>
            <w:tcBorders>
              <w:top w:val="single" w:color="auto" w:sz="4" w:space="0"/>
              <w:bottom w:val="single" w:color="auto" w:sz="4" w:space="0"/>
            </w:tcBorders>
          </w:tcPr>
          <w:p w:rsidR="00A15641" w:rsidP="00974844" w:rsidRDefault="00A15641" w14:paraId="353CB759" w14:textId="77777777">
            <w:r>
              <w:t>Study</w:t>
            </w:r>
          </w:p>
        </w:tc>
        <w:tc>
          <w:tcPr>
            <w:tcW w:w="4307" w:type="dxa"/>
            <w:tcBorders>
              <w:top w:val="single" w:color="auto" w:sz="4" w:space="0"/>
              <w:bottom w:val="single" w:color="auto" w:sz="4" w:space="0"/>
            </w:tcBorders>
          </w:tcPr>
          <w:p w:rsidR="00A15641" w:rsidP="00974844" w:rsidRDefault="00A15641" w14:paraId="75529F7B" w14:textId="77777777">
            <w:r>
              <w:t>Phase</w:t>
            </w:r>
          </w:p>
        </w:tc>
        <w:tc>
          <w:tcPr>
            <w:tcW w:w="2917" w:type="dxa"/>
            <w:tcBorders>
              <w:top w:val="single" w:color="auto" w:sz="4" w:space="0"/>
              <w:bottom w:val="single" w:color="auto" w:sz="4" w:space="0"/>
            </w:tcBorders>
          </w:tcPr>
          <w:p w:rsidR="00A15641" w:rsidP="00974844" w:rsidRDefault="00A15641" w14:paraId="7DBD1CD4" w14:textId="77777777">
            <w:r>
              <w:t>Response ratio</w:t>
            </w:r>
          </w:p>
        </w:tc>
      </w:tr>
      <w:tr w:rsidR="00A15641" w:rsidTr="00974844" w14:paraId="59BE6663" w14:textId="77777777">
        <w:trPr>
          <w:trHeight w:val="421"/>
          <w:jc w:val="center"/>
        </w:trPr>
        <w:tc>
          <w:tcPr>
            <w:tcW w:w="1525" w:type="dxa"/>
            <w:vMerge w:val="restart"/>
            <w:tcBorders>
              <w:top w:val="single" w:color="auto" w:sz="4" w:space="0"/>
            </w:tcBorders>
            <w:vAlign w:val="center"/>
          </w:tcPr>
          <w:p w:rsidR="00A15641" w:rsidP="00974844" w:rsidRDefault="00A15641" w14:paraId="594DD3A5" w14:textId="77777777">
            <w:r>
              <w:t xml:space="preserve">Goat 2019 </w:t>
            </w:r>
          </w:p>
        </w:tc>
        <w:tc>
          <w:tcPr>
            <w:tcW w:w="4307" w:type="dxa"/>
            <w:tcBorders>
              <w:top w:val="single" w:color="auto" w:sz="4" w:space="0"/>
            </w:tcBorders>
            <w:vAlign w:val="center"/>
          </w:tcPr>
          <w:p w:rsidR="00A15641" w:rsidP="00974844" w:rsidRDefault="00A15641" w14:paraId="19BD37B6" w14:textId="77777777">
            <w:r>
              <w:t>Turnover to be contacted for Phase II</w:t>
            </w:r>
          </w:p>
        </w:tc>
        <w:tc>
          <w:tcPr>
            <w:tcW w:w="2917" w:type="dxa"/>
            <w:tcBorders>
              <w:top w:val="single" w:color="auto" w:sz="4" w:space="0"/>
            </w:tcBorders>
            <w:vAlign w:val="center"/>
          </w:tcPr>
          <w:p w:rsidR="00A15641" w:rsidP="00974844" w:rsidRDefault="00A15641" w14:paraId="0B0F01A2" w14:textId="77777777">
            <w:pPr>
              <w:jc w:val="right"/>
            </w:pPr>
            <w:r>
              <w:t>72</w:t>
            </w:r>
          </w:p>
        </w:tc>
      </w:tr>
      <w:tr w:rsidR="00A15641" w:rsidTr="00974844" w14:paraId="22AB3F30" w14:textId="77777777">
        <w:trPr>
          <w:trHeight w:val="228"/>
          <w:jc w:val="center"/>
        </w:trPr>
        <w:tc>
          <w:tcPr>
            <w:tcW w:w="1525" w:type="dxa"/>
            <w:vMerge/>
          </w:tcPr>
          <w:p w:rsidR="00A15641" w:rsidP="00974844" w:rsidRDefault="00A15641" w14:paraId="786AC931" w14:textId="77777777"/>
        </w:tc>
        <w:tc>
          <w:tcPr>
            <w:tcW w:w="4307" w:type="dxa"/>
            <w:vAlign w:val="center"/>
          </w:tcPr>
          <w:p w:rsidR="00A15641" w:rsidP="00974844" w:rsidRDefault="00A15641" w14:paraId="33B545DA" w14:textId="77777777">
            <w:r>
              <w:t xml:space="preserve">Biologics Phase – Fecal </w:t>
            </w:r>
          </w:p>
        </w:tc>
        <w:tc>
          <w:tcPr>
            <w:tcW w:w="2917" w:type="dxa"/>
            <w:vAlign w:val="center"/>
          </w:tcPr>
          <w:p w:rsidR="00A15641" w:rsidP="00974844" w:rsidRDefault="00A15641" w14:paraId="4C458925" w14:textId="77777777">
            <w:pPr>
              <w:jc w:val="right"/>
            </w:pPr>
            <w:r>
              <w:t>45</w:t>
            </w:r>
          </w:p>
        </w:tc>
      </w:tr>
      <w:tr w:rsidR="00A15641" w:rsidTr="00974844" w14:paraId="325F836E" w14:textId="77777777">
        <w:trPr>
          <w:trHeight w:val="433"/>
          <w:jc w:val="center"/>
        </w:trPr>
        <w:tc>
          <w:tcPr>
            <w:tcW w:w="1525" w:type="dxa"/>
            <w:vMerge/>
          </w:tcPr>
          <w:p w:rsidR="00A15641" w:rsidP="00974844" w:rsidRDefault="00A15641" w14:paraId="1EA3D9C0" w14:textId="77777777"/>
        </w:tc>
        <w:tc>
          <w:tcPr>
            <w:tcW w:w="4307" w:type="dxa"/>
            <w:vAlign w:val="center"/>
          </w:tcPr>
          <w:p w:rsidR="00A15641" w:rsidP="00974844" w:rsidRDefault="00A15641" w14:paraId="0EE54EE7" w14:textId="77777777">
            <w:r>
              <w:t>Biologics Phase  – Parasites A</w:t>
            </w:r>
          </w:p>
        </w:tc>
        <w:tc>
          <w:tcPr>
            <w:tcW w:w="2917" w:type="dxa"/>
            <w:vAlign w:val="center"/>
          </w:tcPr>
          <w:p w:rsidR="00A15641" w:rsidP="00974844" w:rsidRDefault="00A15641" w14:paraId="0E10B795" w14:textId="77777777">
            <w:pPr>
              <w:jc w:val="right"/>
            </w:pPr>
            <w:r>
              <w:t>85</w:t>
            </w:r>
          </w:p>
        </w:tc>
      </w:tr>
      <w:tr w:rsidR="00A15641" w:rsidTr="00974844" w14:paraId="1FA38D4D" w14:textId="77777777">
        <w:trPr>
          <w:trHeight w:val="433"/>
          <w:jc w:val="center"/>
        </w:trPr>
        <w:tc>
          <w:tcPr>
            <w:tcW w:w="1525" w:type="dxa"/>
            <w:vMerge/>
          </w:tcPr>
          <w:p w:rsidR="00A15641" w:rsidP="00974844" w:rsidRDefault="00A15641" w14:paraId="1541E490" w14:textId="77777777"/>
        </w:tc>
        <w:tc>
          <w:tcPr>
            <w:tcW w:w="4307" w:type="dxa"/>
            <w:vAlign w:val="center"/>
          </w:tcPr>
          <w:p w:rsidR="00A15641" w:rsidP="00974844" w:rsidRDefault="00A15641" w14:paraId="1BEA145F" w14:textId="77777777">
            <w:r>
              <w:t>Biologics Phase  – Parasites B (as a ratio to those who completed Parasites A)</w:t>
            </w:r>
          </w:p>
        </w:tc>
        <w:tc>
          <w:tcPr>
            <w:tcW w:w="2917" w:type="dxa"/>
            <w:vAlign w:val="center"/>
          </w:tcPr>
          <w:p w:rsidR="00A15641" w:rsidP="00974844" w:rsidRDefault="00A15641" w14:paraId="7E1C52DB" w14:textId="77777777">
            <w:pPr>
              <w:jc w:val="right"/>
            </w:pPr>
            <w:r>
              <w:t>50</w:t>
            </w:r>
          </w:p>
        </w:tc>
      </w:tr>
      <w:tr w:rsidR="00A15641" w:rsidTr="00974844" w14:paraId="71C83015" w14:textId="77777777">
        <w:trPr>
          <w:trHeight w:val="433"/>
          <w:jc w:val="center"/>
        </w:trPr>
        <w:tc>
          <w:tcPr>
            <w:tcW w:w="1525" w:type="dxa"/>
            <w:vMerge w:val="restart"/>
            <w:vAlign w:val="center"/>
          </w:tcPr>
          <w:p w:rsidR="00A15641" w:rsidP="00974844" w:rsidRDefault="00A15641" w14:paraId="6070929F" w14:textId="77777777">
            <w:r>
              <w:t>Beef 2017</w:t>
            </w:r>
          </w:p>
        </w:tc>
        <w:tc>
          <w:tcPr>
            <w:tcW w:w="4307" w:type="dxa"/>
            <w:vAlign w:val="center"/>
          </w:tcPr>
          <w:p w:rsidR="00A15641" w:rsidP="00974844" w:rsidRDefault="00A15641" w14:paraId="59B5BAD2" w14:textId="77777777">
            <w:r>
              <w:t>Turnover to be contacted for Phase II</w:t>
            </w:r>
          </w:p>
        </w:tc>
        <w:tc>
          <w:tcPr>
            <w:tcW w:w="2917" w:type="dxa"/>
            <w:vAlign w:val="center"/>
          </w:tcPr>
          <w:p w:rsidR="00A15641" w:rsidP="00974844" w:rsidRDefault="00A15641" w14:paraId="2BCCFB0F" w14:textId="77777777">
            <w:pPr>
              <w:jc w:val="right"/>
            </w:pPr>
            <w:r>
              <w:t>38</w:t>
            </w:r>
          </w:p>
        </w:tc>
      </w:tr>
      <w:tr w:rsidR="00A15641" w:rsidTr="00974844" w14:paraId="4983C6D1" w14:textId="77777777">
        <w:trPr>
          <w:trHeight w:val="433"/>
          <w:jc w:val="center"/>
        </w:trPr>
        <w:tc>
          <w:tcPr>
            <w:tcW w:w="1525" w:type="dxa"/>
            <w:vMerge/>
          </w:tcPr>
          <w:p w:rsidR="00A15641" w:rsidP="00974844" w:rsidRDefault="00A15641" w14:paraId="27E99A54" w14:textId="77777777"/>
        </w:tc>
        <w:tc>
          <w:tcPr>
            <w:tcW w:w="4307" w:type="dxa"/>
            <w:vAlign w:val="center"/>
          </w:tcPr>
          <w:p w:rsidR="00A15641" w:rsidP="00974844" w:rsidRDefault="00A15641" w14:paraId="47D2565E" w14:textId="77777777">
            <w:r>
              <w:t xml:space="preserve">Biologics Phase  – Fecal </w:t>
            </w:r>
          </w:p>
        </w:tc>
        <w:tc>
          <w:tcPr>
            <w:tcW w:w="2917" w:type="dxa"/>
            <w:vAlign w:val="center"/>
          </w:tcPr>
          <w:p w:rsidR="00A15641" w:rsidP="00974844" w:rsidRDefault="00A15641" w14:paraId="6B48236C" w14:textId="77777777">
            <w:pPr>
              <w:jc w:val="right"/>
            </w:pPr>
            <w:r>
              <w:t>50</w:t>
            </w:r>
          </w:p>
        </w:tc>
      </w:tr>
      <w:tr w:rsidR="00A15641" w:rsidTr="00974844" w14:paraId="52E3CA9F" w14:textId="77777777">
        <w:trPr>
          <w:trHeight w:val="433"/>
          <w:jc w:val="center"/>
        </w:trPr>
        <w:tc>
          <w:tcPr>
            <w:tcW w:w="1525" w:type="dxa"/>
            <w:vMerge/>
          </w:tcPr>
          <w:p w:rsidR="00A15641" w:rsidP="00974844" w:rsidRDefault="00A15641" w14:paraId="5F6F1F02" w14:textId="77777777"/>
        </w:tc>
        <w:tc>
          <w:tcPr>
            <w:tcW w:w="4307" w:type="dxa"/>
            <w:vAlign w:val="center"/>
          </w:tcPr>
          <w:p w:rsidR="00A15641" w:rsidP="00974844" w:rsidRDefault="00A15641" w14:paraId="45057CD2" w14:textId="77777777">
            <w:r>
              <w:t xml:space="preserve">Biologics Phase  – Forage </w:t>
            </w:r>
          </w:p>
        </w:tc>
        <w:tc>
          <w:tcPr>
            <w:tcW w:w="2917" w:type="dxa"/>
            <w:vAlign w:val="center"/>
          </w:tcPr>
          <w:p w:rsidR="00A15641" w:rsidP="00974844" w:rsidRDefault="00A15641" w14:paraId="7E92701B" w14:textId="77777777">
            <w:pPr>
              <w:jc w:val="right"/>
            </w:pPr>
            <w:r>
              <w:t>45</w:t>
            </w:r>
          </w:p>
        </w:tc>
      </w:tr>
    </w:tbl>
    <w:p w:rsidR="00A15641" w:rsidP="00A15641" w:rsidRDefault="00A15641" w14:paraId="07E117B2" w14:textId="77777777"/>
    <w:p w:rsidR="00A15641" w:rsidP="00A15641" w:rsidRDefault="00A15641" w14:paraId="6156CAA6" w14:textId="77777777"/>
    <w:p w:rsidR="00A15641" w:rsidP="00A15641" w:rsidRDefault="00A15641" w14:paraId="59A92AFA" w14:textId="77777777">
      <w:r>
        <w:lastRenderedPageBreak/>
        <w:t>Using averages between the response ratios to Beef 2017 and Goat 2019, the expected response ratios for each of the Biologics phases of Bison 2022 are as follows.</w:t>
      </w:r>
    </w:p>
    <w:p w:rsidR="00A15641" w:rsidP="00A15641" w:rsidRDefault="00A15641" w14:paraId="49E2AF82" w14:textId="77777777"/>
    <w:p w:rsidR="00A15641" w:rsidP="00A15641" w:rsidRDefault="00A15641" w14:paraId="1873DD47" w14:textId="77777777">
      <w:r>
        <w:t>Table B.3. Response ratio estimates for turnover and the biologics phases of the Bison 2022 study.</w:t>
      </w:r>
    </w:p>
    <w:tbl>
      <w:tblPr>
        <w:tblStyle w:val="TableGrid"/>
        <w:tblpPr w:leftFromText="180" w:rightFromText="180" w:vertAnchor="text" w:horzAnchor="margin" w:tblpXSpec="center" w:tblpY="245"/>
        <w:tblW w:w="9557" w:type="dxa"/>
        <w:jc w:val="center"/>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4"/>
        <w:gridCol w:w="5447"/>
        <w:gridCol w:w="1136"/>
      </w:tblGrid>
      <w:tr w:rsidR="00A15641" w:rsidTr="00974844" w14:paraId="217A7672" w14:textId="77777777">
        <w:trPr>
          <w:trHeight w:val="443"/>
          <w:jc w:val="center"/>
        </w:trPr>
        <w:tc>
          <w:tcPr>
            <w:tcW w:w="3041" w:type="dxa"/>
            <w:tcBorders>
              <w:top w:val="single" w:color="auto" w:sz="4" w:space="0"/>
              <w:bottom w:val="single" w:color="auto" w:sz="4" w:space="0"/>
            </w:tcBorders>
          </w:tcPr>
          <w:p w:rsidR="00A15641" w:rsidP="00974844" w:rsidRDefault="00A15641" w14:paraId="2FFCB879" w14:textId="77777777">
            <w:r>
              <w:t>Phase</w:t>
            </w:r>
          </w:p>
        </w:tc>
        <w:tc>
          <w:tcPr>
            <w:tcW w:w="5599" w:type="dxa"/>
            <w:tcBorders>
              <w:top w:val="single" w:color="auto" w:sz="4" w:space="0"/>
              <w:bottom w:val="single" w:color="auto" w:sz="4" w:space="0"/>
            </w:tcBorders>
          </w:tcPr>
          <w:p w:rsidR="00A15641" w:rsidP="00974844" w:rsidRDefault="00A15641" w14:paraId="0D3DBEF8" w14:textId="77777777">
            <w:r>
              <w:t>Computation</w:t>
            </w:r>
          </w:p>
        </w:tc>
        <w:tc>
          <w:tcPr>
            <w:tcW w:w="917" w:type="dxa"/>
            <w:tcBorders>
              <w:top w:val="single" w:color="auto" w:sz="4" w:space="0"/>
              <w:bottom w:val="single" w:color="auto" w:sz="4" w:space="0"/>
            </w:tcBorders>
          </w:tcPr>
          <w:p w:rsidR="00A15641" w:rsidP="00974844" w:rsidRDefault="00A15641" w14:paraId="14D3EEBD" w14:textId="77777777">
            <w:r>
              <w:t>Response ratio</w:t>
            </w:r>
          </w:p>
        </w:tc>
      </w:tr>
      <w:tr w:rsidR="00A15641" w:rsidTr="00974844" w14:paraId="2368AC1A" w14:textId="77777777">
        <w:trPr>
          <w:trHeight w:val="806"/>
          <w:jc w:val="center"/>
        </w:trPr>
        <w:tc>
          <w:tcPr>
            <w:tcW w:w="3041" w:type="dxa"/>
            <w:tcBorders>
              <w:top w:val="single" w:color="auto" w:sz="4" w:space="0"/>
            </w:tcBorders>
            <w:vAlign w:val="center"/>
          </w:tcPr>
          <w:p w:rsidR="00A15641" w:rsidP="00974844" w:rsidRDefault="00A15641" w14:paraId="721EA636" w14:textId="77777777">
            <w:r>
              <w:t xml:space="preserve">Turnover to be contacted for Biologics Phase </w:t>
            </w:r>
          </w:p>
        </w:tc>
        <w:tc>
          <w:tcPr>
            <w:tcW w:w="5599" w:type="dxa"/>
            <w:tcBorders>
              <w:top w:val="single" w:color="auto" w:sz="4" w:space="0"/>
            </w:tcBorders>
            <w:vAlign w:val="center"/>
          </w:tcPr>
          <w:p w:rsidR="00A15641" w:rsidP="00974844" w:rsidRDefault="00A15641" w14:paraId="1CDB6BAB" w14:textId="77777777">
            <w:r>
              <w:t>Average response ratios from Beef 2017 and Goat 2017 turnover</w:t>
            </w:r>
          </w:p>
        </w:tc>
        <w:tc>
          <w:tcPr>
            <w:tcW w:w="917" w:type="dxa"/>
            <w:tcBorders>
              <w:top w:val="single" w:color="auto" w:sz="4" w:space="0"/>
            </w:tcBorders>
            <w:vAlign w:val="center"/>
          </w:tcPr>
          <w:p w:rsidR="00A15641" w:rsidP="00974844" w:rsidRDefault="00A15641" w14:paraId="28BE30F3" w14:textId="77777777">
            <w:pPr>
              <w:jc w:val="right"/>
            </w:pPr>
            <w:r>
              <w:t>55.00</w:t>
            </w:r>
          </w:p>
        </w:tc>
      </w:tr>
      <w:tr w:rsidR="00A15641" w:rsidTr="00974844" w14:paraId="46CD742C" w14:textId="77777777">
        <w:trPr>
          <w:trHeight w:val="806"/>
          <w:jc w:val="center"/>
        </w:trPr>
        <w:tc>
          <w:tcPr>
            <w:tcW w:w="3041" w:type="dxa"/>
            <w:vAlign w:val="center"/>
          </w:tcPr>
          <w:p w:rsidR="00A15641" w:rsidP="00974844" w:rsidRDefault="00A15641" w14:paraId="019F226A" w14:textId="77777777">
            <w:r>
              <w:t xml:space="preserve">Biologics Phase  – Fecal </w:t>
            </w:r>
          </w:p>
        </w:tc>
        <w:tc>
          <w:tcPr>
            <w:tcW w:w="5599" w:type="dxa"/>
            <w:vAlign w:val="center"/>
          </w:tcPr>
          <w:p w:rsidR="00A15641" w:rsidP="00974844" w:rsidRDefault="00A15641" w14:paraId="50F7DC20" w14:textId="77777777">
            <w:r>
              <w:t>Average response ratios from Beef 2017 and Goat 2017 Biologics Phase  - Fecal</w:t>
            </w:r>
          </w:p>
        </w:tc>
        <w:tc>
          <w:tcPr>
            <w:tcW w:w="917" w:type="dxa"/>
            <w:vAlign w:val="center"/>
          </w:tcPr>
          <w:p w:rsidR="00A15641" w:rsidP="00974844" w:rsidRDefault="00A15641" w14:paraId="4FC4AA7E" w14:textId="77777777">
            <w:pPr>
              <w:jc w:val="right"/>
            </w:pPr>
            <w:r>
              <w:t>47.50</w:t>
            </w:r>
          </w:p>
        </w:tc>
      </w:tr>
      <w:tr w:rsidR="00A15641" w:rsidTr="00974844" w14:paraId="12980662" w14:textId="77777777">
        <w:trPr>
          <w:trHeight w:val="806"/>
          <w:jc w:val="center"/>
        </w:trPr>
        <w:tc>
          <w:tcPr>
            <w:tcW w:w="3041" w:type="dxa"/>
            <w:vAlign w:val="center"/>
          </w:tcPr>
          <w:p w:rsidR="00A15641" w:rsidP="00974844" w:rsidRDefault="00A15641" w14:paraId="52EE9200" w14:textId="77777777">
            <w:r>
              <w:t>Biologics Phase  – Parasites A</w:t>
            </w:r>
          </w:p>
        </w:tc>
        <w:tc>
          <w:tcPr>
            <w:tcW w:w="5599" w:type="dxa"/>
            <w:vAlign w:val="center"/>
          </w:tcPr>
          <w:p w:rsidR="00A15641" w:rsidP="00974844" w:rsidRDefault="00A15641" w14:paraId="2563F7EC" w14:textId="77777777">
            <w:r>
              <w:t>Average response ratios from Beef 2017 Biologics Phase  – Fecal and Forage and Goat 2017 Biologics Phase  – Fecal and Parasites A</w:t>
            </w:r>
          </w:p>
        </w:tc>
        <w:tc>
          <w:tcPr>
            <w:tcW w:w="917" w:type="dxa"/>
            <w:vAlign w:val="center"/>
          </w:tcPr>
          <w:p w:rsidR="00A15641" w:rsidP="00974844" w:rsidRDefault="00A15641" w14:paraId="072ADE1F" w14:textId="77777777">
            <w:pPr>
              <w:jc w:val="right"/>
            </w:pPr>
            <w:r>
              <w:t>56.25</w:t>
            </w:r>
          </w:p>
        </w:tc>
      </w:tr>
      <w:tr w:rsidR="00A15641" w:rsidTr="00974844" w14:paraId="08220183" w14:textId="77777777">
        <w:trPr>
          <w:trHeight w:val="806"/>
          <w:jc w:val="center"/>
        </w:trPr>
        <w:tc>
          <w:tcPr>
            <w:tcW w:w="3041" w:type="dxa"/>
            <w:vAlign w:val="center"/>
          </w:tcPr>
          <w:p w:rsidR="00A15641" w:rsidP="00974844" w:rsidRDefault="00A15641" w14:paraId="6D399D23" w14:textId="77777777">
            <w:r>
              <w:t>Biologics Phase  – Parasites B (as a ratio to those who completed Parasites A)</w:t>
            </w:r>
          </w:p>
        </w:tc>
        <w:tc>
          <w:tcPr>
            <w:tcW w:w="5599" w:type="dxa"/>
            <w:vAlign w:val="center"/>
          </w:tcPr>
          <w:p w:rsidR="00A15641" w:rsidP="00974844" w:rsidRDefault="00A15641" w14:paraId="564E491D" w14:textId="77777777">
            <w:r>
              <w:t>Goat 2019  Biologics Phase  – Parasites B</w:t>
            </w:r>
          </w:p>
        </w:tc>
        <w:tc>
          <w:tcPr>
            <w:tcW w:w="917" w:type="dxa"/>
            <w:vAlign w:val="center"/>
          </w:tcPr>
          <w:p w:rsidR="00A15641" w:rsidP="00974844" w:rsidRDefault="00A15641" w14:paraId="1457D20D" w14:textId="77777777">
            <w:pPr>
              <w:jc w:val="right"/>
            </w:pPr>
            <w:r>
              <w:t>50.00</w:t>
            </w:r>
          </w:p>
        </w:tc>
      </w:tr>
      <w:tr w:rsidR="00A15641" w:rsidTr="00974844" w14:paraId="4EB043A6" w14:textId="77777777">
        <w:trPr>
          <w:trHeight w:val="806"/>
          <w:jc w:val="center"/>
        </w:trPr>
        <w:tc>
          <w:tcPr>
            <w:tcW w:w="3041" w:type="dxa"/>
            <w:vAlign w:val="center"/>
          </w:tcPr>
          <w:p w:rsidR="00A15641" w:rsidP="00974844" w:rsidRDefault="00A15641" w14:paraId="1BA0A854" w14:textId="77777777">
            <w:r>
              <w:t xml:space="preserve">Biologics Phase  – Forage </w:t>
            </w:r>
          </w:p>
        </w:tc>
        <w:tc>
          <w:tcPr>
            <w:tcW w:w="5599" w:type="dxa"/>
            <w:vAlign w:val="center"/>
          </w:tcPr>
          <w:p w:rsidR="00A15641" w:rsidP="00974844" w:rsidRDefault="00A15641" w14:paraId="7D6658A8" w14:textId="77777777">
            <w:r>
              <w:t>Beef 2017 Biologics Phase  - Forage</w:t>
            </w:r>
          </w:p>
        </w:tc>
        <w:tc>
          <w:tcPr>
            <w:tcW w:w="917" w:type="dxa"/>
            <w:vAlign w:val="center"/>
          </w:tcPr>
          <w:p w:rsidR="00A15641" w:rsidP="00974844" w:rsidRDefault="00A15641" w14:paraId="5A64236F" w14:textId="77777777">
            <w:pPr>
              <w:jc w:val="right"/>
            </w:pPr>
            <w:r>
              <w:t>45.00</w:t>
            </w:r>
          </w:p>
        </w:tc>
      </w:tr>
    </w:tbl>
    <w:p w:rsidR="00A15641" w:rsidP="00A15641" w:rsidRDefault="00A15641" w14:paraId="5B20077A" w14:textId="77777777">
      <w:pPr>
        <w:autoSpaceDE w:val="0"/>
        <w:autoSpaceDN w:val="0"/>
        <w:adjustRightInd w:val="0"/>
        <w:rPr>
          <w:b/>
        </w:rPr>
      </w:pPr>
    </w:p>
    <w:p w:rsidR="00A15641" w:rsidP="00A15641" w:rsidRDefault="00A15641" w14:paraId="76CBBACB" w14:textId="77777777">
      <w:pPr>
        <w:autoSpaceDE w:val="0"/>
        <w:autoSpaceDN w:val="0"/>
        <w:adjustRightInd w:val="0"/>
        <w:rPr>
          <w:b/>
        </w:rPr>
      </w:pPr>
    </w:p>
    <w:p w:rsidR="00A15641" w:rsidP="00A15641" w:rsidRDefault="00A15641" w14:paraId="00C9F809" w14:textId="77777777">
      <w:pPr>
        <w:autoSpaceDE w:val="0"/>
        <w:autoSpaceDN w:val="0"/>
        <w:adjustRightInd w:val="0"/>
      </w:pPr>
      <w:r w:rsidRPr="00ED5D1E">
        <w:rPr>
          <w:b/>
        </w:rPr>
        <w:t xml:space="preserve">Appendix </w:t>
      </w:r>
      <w:r>
        <w:rPr>
          <w:b/>
        </w:rPr>
        <w:t>C</w:t>
      </w:r>
      <w:r w:rsidRPr="00ED5D1E">
        <w:rPr>
          <w:b/>
        </w:rPr>
        <w:t>:</w:t>
      </w:r>
      <w:r w:rsidRPr="005B4C2D">
        <w:t xml:space="preserve"> </w:t>
      </w:r>
      <w:r w:rsidRPr="00ED5D1E">
        <w:rPr>
          <w:b/>
        </w:rPr>
        <w:t xml:space="preserve">Estimated </w:t>
      </w:r>
      <w:r>
        <w:rPr>
          <w:b/>
        </w:rPr>
        <w:t>T</w:t>
      </w:r>
      <w:r w:rsidRPr="00ED5D1E">
        <w:rPr>
          <w:b/>
        </w:rPr>
        <w:t xml:space="preserve">ime </w:t>
      </w:r>
      <w:r>
        <w:rPr>
          <w:b/>
        </w:rPr>
        <w:t>B</w:t>
      </w:r>
      <w:r w:rsidRPr="00ED5D1E">
        <w:rPr>
          <w:b/>
        </w:rPr>
        <w:t>urden</w:t>
      </w:r>
    </w:p>
    <w:p w:rsidR="00A15641" w:rsidP="00A15641" w:rsidRDefault="00A15641" w14:paraId="5F3D0F2A" w14:textId="77777777">
      <w:pPr>
        <w:autoSpaceDE w:val="0"/>
        <w:autoSpaceDN w:val="0"/>
        <w:adjustRightInd w:val="0"/>
      </w:pPr>
    </w:p>
    <w:p w:rsidR="00974844" w:rsidP="00A15641" w:rsidRDefault="00A15641" w14:paraId="083F9781" w14:textId="77777777">
      <w:r w:rsidRPr="00BC53EC">
        <w:t xml:space="preserve">Table </w:t>
      </w:r>
      <w:r>
        <w:t>C</w:t>
      </w:r>
      <w:r w:rsidRPr="00BC53EC">
        <w:t xml:space="preserve">.1. Response burden estimates from the NAHMS </w:t>
      </w:r>
      <w:r>
        <w:rPr>
          <w:rFonts w:eastAsiaTheme="minorEastAsia"/>
        </w:rPr>
        <w:t xml:space="preserve">Bison 2014 Study and the NAHMS Cervid 2014 </w:t>
      </w:r>
      <w:r>
        <w:t>Study</w:t>
      </w:r>
      <w:r w:rsidRPr="00BC53EC">
        <w:t xml:space="preserve"> (in minutes).</w:t>
      </w:r>
    </w:p>
    <w:p w:rsidRPr="00BC53EC" w:rsidR="00A15641" w:rsidP="00A15641" w:rsidRDefault="00A15641" w14:paraId="447BAA4E" w14:textId="0AA3D482"/>
    <w:tbl>
      <w:tblPr>
        <w:tblW w:w="0" w:type="auto"/>
        <w:jc w:val="center"/>
        <w:tblLook w:val="04A0" w:firstRow="1" w:lastRow="0" w:firstColumn="1" w:lastColumn="0" w:noHBand="0" w:noVBand="1"/>
      </w:tblPr>
      <w:tblGrid>
        <w:gridCol w:w="1620"/>
        <w:gridCol w:w="1530"/>
        <w:gridCol w:w="1723"/>
      </w:tblGrid>
      <w:tr w:rsidRPr="00BC53EC" w:rsidR="00A15641" w:rsidTr="00974844" w14:paraId="6E55E7CC" w14:textId="77777777">
        <w:trPr>
          <w:jc w:val="center"/>
        </w:trPr>
        <w:tc>
          <w:tcPr>
            <w:tcW w:w="1620" w:type="dxa"/>
            <w:tcBorders>
              <w:top w:val="single" w:color="auto" w:sz="4" w:space="0"/>
              <w:bottom w:val="single" w:color="auto" w:sz="4" w:space="0"/>
            </w:tcBorders>
            <w:shd w:val="clear" w:color="auto" w:fill="auto"/>
            <w:vAlign w:val="center"/>
          </w:tcPr>
          <w:p w:rsidRPr="00BC53EC" w:rsidR="00A15641" w:rsidP="00276A87" w:rsidRDefault="00A15641" w14:paraId="574154CA" w14:textId="77777777">
            <w:r w:rsidRPr="00BC53EC">
              <w:t>Survey</w:t>
            </w:r>
          </w:p>
        </w:tc>
        <w:tc>
          <w:tcPr>
            <w:tcW w:w="1530" w:type="dxa"/>
            <w:tcBorders>
              <w:top w:val="single" w:color="auto" w:sz="4" w:space="0"/>
              <w:bottom w:val="single" w:color="auto" w:sz="4" w:space="0"/>
            </w:tcBorders>
            <w:shd w:val="clear" w:color="auto" w:fill="auto"/>
            <w:vAlign w:val="center"/>
          </w:tcPr>
          <w:p w:rsidRPr="00BC53EC" w:rsidR="00A15641" w:rsidP="00276A87" w:rsidRDefault="00A15641" w14:paraId="005EBD27" w14:textId="77777777">
            <w:pPr>
              <w:jc w:val="right"/>
            </w:pPr>
            <w:r>
              <w:t>Average burden for respondents (min.)</w:t>
            </w:r>
            <w:r w:rsidRPr="00BC53EC">
              <w:t xml:space="preserve"> </w:t>
            </w:r>
          </w:p>
        </w:tc>
        <w:tc>
          <w:tcPr>
            <w:tcW w:w="1440" w:type="dxa"/>
            <w:tcBorders>
              <w:top w:val="single" w:color="auto" w:sz="4" w:space="0"/>
              <w:bottom w:val="single" w:color="auto" w:sz="4" w:space="0"/>
            </w:tcBorders>
            <w:vAlign w:val="center"/>
          </w:tcPr>
          <w:p w:rsidRPr="00BC53EC" w:rsidR="00A15641" w:rsidDel="00181145" w:rsidP="00276A87" w:rsidRDefault="00A15641" w14:paraId="4D8B26A2" w14:textId="77777777">
            <w:pPr>
              <w:jc w:val="right"/>
            </w:pPr>
            <w:r>
              <w:t>Average burden for nonrespondents (min.)</w:t>
            </w:r>
            <w:r w:rsidRPr="00BC53EC">
              <w:t xml:space="preserve"> </w:t>
            </w:r>
          </w:p>
        </w:tc>
      </w:tr>
      <w:tr w:rsidRPr="00BC53EC" w:rsidR="00A15641" w:rsidTr="00974844" w14:paraId="0223D8D7" w14:textId="77777777">
        <w:trPr>
          <w:trHeight w:val="1296"/>
          <w:jc w:val="center"/>
        </w:trPr>
        <w:tc>
          <w:tcPr>
            <w:tcW w:w="1620" w:type="dxa"/>
            <w:tcBorders>
              <w:top w:val="single" w:color="auto" w:sz="4" w:space="0"/>
            </w:tcBorders>
            <w:shd w:val="clear" w:color="auto" w:fill="auto"/>
            <w:vAlign w:val="center"/>
          </w:tcPr>
          <w:p w:rsidRPr="00BC53EC" w:rsidR="00A15641" w:rsidP="00276A87" w:rsidRDefault="00A15641" w14:paraId="70AA6841" w14:textId="77777777">
            <w:r>
              <w:t>NAHMS Bison 2014 Questionnaire</w:t>
            </w:r>
          </w:p>
        </w:tc>
        <w:tc>
          <w:tcPr>
            <w:tcW w:w="1530" w:type="dxa"/>
            <w:tcBorders>
              <w:top w:val="single" w:color="auto" w:sz="4" w:space="0"/>
            </w:tcBorders>
            <w:shd w:val="clear" w:color="auto" w:fill="auto"/>
            <w:vAlign w:val="center"/>
          </w:tcPr>
          <w:p w:rsidRPr="00BC53EC" w:rsidR="00A15641" w:rsidP="00276A87" w:rsidRDefault="00A15641" w14:paraId="546E7C39" w14:textId="77777777">
            <w:pPr>
              <w:jc w:val="right"/>
            </w:pPr>
            <w:r>
              <w:t>31.6</w:t>
            </w:r>
          </w:p>
        </w:tc>
        <w:tc>
          <w:tcPr>
            <w:tcW w:w="1440" w:type="dxa"/>
            <w:tcBorders>
              <w:top w:val="single" w:color="auto" w:sz="4" w:space="0"/>
            </w:tcBorders>
            <w:vAlign w:val="center"/>
          </w:tcPr>
          <w:p w:rsidRPr="00BC53EC" w:rsidR="00A15641" w:rsidP="00276A87" w:rsidRDefault="00A15641" w14:paraId="2DA0853A" w14:textId="77777777">
            <w:pPr>
              <w:jc w:val="right"/>
            </w:pPr>
            <w:r>
              <w:t>2.4</w:t>
            </w:r>
          </w:p>
        </w:tc>
      </w:tr>
      <w:tr w:rsidRPr="00BC53EC" w:rsidR="00A15641" w:rsidTr="00974844" w14:paraId="0A65913E" w14:textId="77777777">
        <w:trPr>
          <w:trHeight w:val="1296"/>
          <w:jc w:val="center"/>
        </w:trPr>
        <w:tc>
          <w:tcPr>
            <w:tcW w:w="1620" w:type="dxa"/>
            <w:tcBorders>
              <w:bottom w:val="single" w:color="auto" w:sz="4" w:space="0"/>
            </w:tcBorders>
            <w:shd w:val="clear" w:color="auto" w:fill="auto"/>
            <w:vAlign w:val="center"/>
          </w:tcPr>
          <w:p w:rsidRPr="00BC53EC" w:rsidR="00A15641" w:rsidP="00276A87" w:rsidRDefault="00A15641" w14:paraId="3442709F" w14:textId="77777777">
            <w:pPr>
              <w:rPr>
                <w:vertAlign w:val="superscript"/>
              </w:rPr>
            </w:pPr>
            <w:r>
              <w:t>NAHMS Cervid 2014 Industry Study Questionnaire</w:t>
            </w:r>
          </w:p>
        </w:tc>
        <w:tc>
          <w:tcPr>
            <w:tcW w:w="1530" w:type="dxa"/>
            <w:tcBorders>
              <w:bottom w:val="single" w:color="auto" w:sz="4" w:space="0"/>
            </w:tcBorders>
            <w:shd w:val="clear" w:color="auto" w:fill="auto"/>
            <w:vAlign w:val="center"/>
          </w:tcPr>
          <w:p w:rsidRPr="00BC53EC" w:rsidR="00A15641" w:rsidP="00276A87" w:rsidRDefault="00A15641" w14:paraId="73E7464C" w14:textId="77777777">
            <w:pPr>
              <w:jc w:val="right"/>
            </w:pPr>
            <w:r>
              <w:t>32.3</w:t>
            </w:r>
          </w:p>
        </w:tc>
        <w:tc>
          <w:tcPr>
            <w:tcW w:w="1440" w:type="dxa"/>
            <w:tcBorders>
              <w:bottom w:val="single" w:color="auto" w:sz="4" w:space="0"/>
            </w:tcBorders>
            <w:vAlign w:val="center"/>
          </w:tcPr>
          <w:p w:rsidRPr="00BC53EC" w:rsidR="00A15641" w:rsidP="00276A87" w:rsidRDefault="00A15641" w14:paraId="0A80CDD8" w14:textId="77777777">
            <w:pPr>
              <w:jc w:val="right"/>
            </w:pPr>
            <w:r>
              <w:t>9.6</w:t>
            </w:r>
          </w:p>
        </w:tc>
      </w:tr>
    </w:tbl>
    <w:p w:rsidRPr="00AB358E" w:rsidR="00A15641" w:rsidP="00A15641" w:rsidRDefault="00A15641" w14:paraId="7581ACB8" w14:textId="77777777">
      <w:pPr>
        <w:autoSpaceDE w:val="0"/>
        <w:autoSpaceDN w:val="0"/>
        <w:adjustRightInd w:val="0"/>
        <w:rPr>
          <w:color w:val="000000"/>
        </w:rPr>
      </w:pPr>
    </w:p>
    <w:p w:rsidR="00447869" w:rsidRDefault="00974844" w14:paraId="4E11F0E7" w14:textId="77777777"/>
    <w:sectPr w:rsidR="00447869" w:rsidSect="00BE5F2E">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51285" w14:textId="77777777" w:rsidR="00B30B4F" w:rsidRDefault="006B1C6A">
      <w:r>
        <w:separator/>
      </w:r>
    </w:p>
  </w:endnote>
  <w:endnote w:type="continuationSeparator" w:id="0">
    <w:p w14:paraId="0536D667" w14:textId="77777777" w:rsidR="00B30B4F" w:rsidRDefault="006B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0DB3" w14:textId="77777777" w:rsidR="000F4859" w:rsidRDefault="004C7DA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6536F" w14:textId="77777777" w:rsidR="000F4859" w:rsidRDefault="0097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7AD14" w14:textId="77777777" w:rsidR="000F4859" w:rsidRDefault="004C7DA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E77970F" w14:textId="77777777" w:rsidR="000F4859" w:rsidRDefault="00974844" w:rsidP="00BE5F2E">
    <w:pPr>
      <w:pStyle w:val="Footer"/>
      <w:tabs>
        <w:tab w:val="clear" w:pos="432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2A13A" w14:textId="77777777" w:rsidR="00B30B4F" w:rsidRDefault="006B1C6A">
      <w:r>
        <w:separator/>
      </w:r>
    </w:p>
  </w:footnote>
  <w:footnote w:type="continuationSeparator" w:id="0">
    <w:p w14:paraId="2BE6A30F" w14:textId="77777777" w:rsidR="00B30B4F" w:rsidRDefault="006B1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1F4D"/>
    <w:multiLevelType w:val="hybridMultilevel"/>
    <w:tmpl w:val="2E3E6ECC"/>
    <w:lvl w:ilvl="0" w:tplc="5D809380">
      <w:numFmt w:val="none"/>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E623B7A"/>
    <w:multiLevelType w:val="hybridMultilevel"/>
    <w:tmpl w:val="FA2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350407F4"/>
    <w:multiLevelType w:val="hybridMultilevel"/>
    <w:tmpl w:val="3E104A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5D6188"/>
    <w:multiLevelType w:val="hybridMultilevel"/>
    <w:tmpl w:val="D220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F51D0"/>
    <w:multiLevelType w:val="multilevel"/>
    <w:tmpl w:val="9B64B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92D6692"/>
    <w:multiLevelType w:val="hybridMultilevel"/>
    <w:tmpl w:val="A98837A2"/>
    <w:lvl w:ilvl="0" w:tplc="662ADF62">
      <w:numFmt w:val="none"/>
      <w:lvlText w:val=""/>
      <w:lvlJc w:val="left"/>
      <w:pPr>
        <w:tabs>
          <w:tab w:val="num" w:pos="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066794"/>
    <w:multiLevelType w:val="hybridMultilevel"/>
    <w:tmpl w:val="E0A6C876"/>
    <w:lvl w:ilvl="0" w:tplc="4A0E69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E6000"/>
    <w:multiLevelType w:val="hybridMultilevel"/>
    <w:tmpl w:val="67A2349E"/>
    <w:lvl w:ilvl="0" w:tplc="B06CD2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1" w15:restartNumberingAfterBreak="0">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num w:numId="1">
    <w:abstractNumId w:val="11"/>
  </w:num>
  <w:num w:numId="2">
    <w:abstractNumId w:val="1"/>
  </w:num>
  <w:num w:numId="3">
    <w:abstractNumId w:val="3"/>
  </w:num>
  <w:num w:numId="4">
    <w:abstractNumId w:val="7"/>
  </w:num>
  <w:num w:numId="5">
    <w:abstractNumId w:val="9"/>
  </w:num>
  <w:num w:numId="6">
    <w:abstractNumId w:val="6"/>
  </w:num>
  <w:num w:numId="7">
    <w:abstractNumId w:val="8"/>
  </w:num>
  <w:num w:numId="8">
    <w:abstractNumId w:val="4"/>
  </w:num>
  <w:num w:numId="9">
    <w:abstractNumId w:val="1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41"/>
    <w:rsid w:val="00033570"/>
    <w:rsid w:val="000D085C"/>
    <w:rsid w:val="001B289D"/>
    <w:rsid w:val="002B2086"/>
    <w:rsid w:val="00351438"/>
    <w:rsid w:val="003B7EF3"/>
    <w:rsid w:val="003F4782"/>
    <w:rsid w:val="004C7DAB"/>
    <w:rsid w:val="0054217C"/>
    <w:rsid w:val="00575003"/>
    <w:rsid w:val="005F5DA5"/>
    <w:rsid w:val="006B1493"/>
    <w:rsid w:val="006B1C6A"/>
    <w:rsid w:val="00701195"/>
    <w:rsid w:val="00773BB3"/>
    <w:rsid w:val="00785A27"/>
    <w:rsid w:val="007A7B14"/>
    <w:rsid w:val="0084297D"/>
    <w:rsid w:val="008B2638"/>
    <w:rsid w:val="008B67A3"/>
    <w:rsid w:val="00974844"/>
    <w:rsid w:val="00A15641"/>
    <w:rsid w:val="00B30B4F"/>
    <w:rsid w:val="00B47007"/>
    <w:rsid w:val="00BA0AAE"/>
    <w:rsid w:val="00BE5F2E"/>
    <w:rsid w:val="00BF6683"/>
    <w:rsid w:val="00C50CA3"/>
    <w:rsid w:val="00D04D4C"/>
    <w:rsid w:val="00E2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F093"/>
  <w15:chartTrackingRefBased/>
  <w15:docId w15:val="{E303B5FD-6E41-42D7-9AB1-DF456E5F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6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A1564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156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641"/>
    <w:rPr>
      <w:rFonts w:ascii="Arial" w:eastAsia="Times New Roman" w:hAnsi="Arial" w:cs="Arial"/>
      <w:b/>
      <w:bCs/>
      <w:kern w:val="32"/>
      <w:sz w:val="32"/>
      <w:szCs w:val="32"/>
    </w:rPr>
  </w:style>
  <w:style w:type="character" w:customStyle="1" w:styleId="Heading2Char">
    <w:name w:val="Heading 2 Char"/>
    <w:basedOn w:val="DefaultParagraphFont"/>
    <w:uiPriority w:val="9"/>
    <w:semiHidden/>
    <w:rsid w:val="00A156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15641"/>
    <w:rPr>
      <w:rFonts w:ascii="Arial" w:eastAsia="Times New Roman" w:hAnsi="Arial" w:cs="Arial"/>
      <w:b/>
      <w:bCs/>
      <w:sz w:val="26"/>
      <w:szCs w:val="26"/>
    </w:rPr>
  </w:style>
  <w:style w:type="paragraph" w:customStyle="1" w:styleId="DefaultText">
    <w:name w:val="Default Text"/>
    <w:basedOn w:val="Normal"/>
    <w:link w:val="DefaultTextChar"/>
    <w:rsid w:val="00A15641"/>
    <w:pPr>
      <w:autoSpaceDE w:val="0"/>
      <w:autoSpaceDN w:val="0"/>
      <w:adjustRightInd w:val="0"/>
    </w:pPr>
  </w:style>
  <w:style w:type="character" w:customStyle="1" w:styleId="InitialStyle">
    <w:name w:val="InitialStyle"/>
    <w:rsid w:val="00A15641"/>
  </w:style>
  <w:style w:type="character" w:customStyle="1" w:styleId="Heading2Char1">
    <w:name w:val="Heading 2 Char1"/>
    <w:link w:val="Heading2"/>
    <w:rsid w:val="00A15641"/>
    <w:rPr>
      <w:rFonts w:ascii="Arial" w:eastAsia="Times New Roman" w:hAnsi="Arial" w:cs="Arial"/>
      <w:b/>
      <w:bCs/>
      <w:i/>
      <w:iCs/>
      <w:sz w:val="28"/>
      <w:szCs w:val="28"/>
    </w:rPr>
  </w:style>
  <w:style w:type="table" w:styleId="TableGrid">
    <w:name w:val="Table Grid"/>
    <w:basedOn w:val="TableNormal"/>
    <w:uiPriority w:val="39"/>
    <w:rsid w:val="00A156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rsid w:val="00A15641"/>
    <w:rPr>
      <w:rFonts w:ascii="Times New Roman" w:eastAsia="Times New Roman" w:hAnsi="Times New Roman" w:cs="Times New Roman"/>
      <w:sz w:val="24"/>
      <w:szCs w:val="24"/>
    </w:rPr>
  </w:style>
  <w:style w:type="paragraph" w:styleId="Footer">
    <w:name w:val="footer"/>
    <w:basedOn w:val="Normal"/>
    <w:link w:val="FooterChar"/>
    <w:uiPriority w:val="99"/>
    <w:rsid w:val="00A15641"/>
    <w:pPr>
      <w:tabs>
        <w:tab w:val="center" w:pos="4320"/>
        <w:tab w:val="right" w:pos="8640"/>
      </w:tabs>
    </w:pPr>
  </w:style>
  <w:style w:type="character" w:customStyle="1" w:styleId="FooterChar">
    <w:name w:val="Footer Char"/>
    <w:basedOn w:val="DefaultParagraphFont"/>
    <w:link w:val="Footer"/>
    <w:uiPriority w:val="99"/>
    <w:rsid w:val="00A15641"/>
    <w:rPr>
      <w:rFonts w:ascii="Times New Roman" w:eastAsia="Times New Roman" w:hAnsi="Times New Roman" w:cs="Times New Roman"/>
      <w:sz w:val="24"/>
      <w:szCs w:val="24"/>
    </w:rPr>
  </w:style>
  <w:style w:type="character" w:styleId="PageNumber">
    <w:name w:val="page number"/>
    <w:basedOn w:val="DefaultParagraphFont"/>
    <w:rsid w:val="00A15641"/>
  </w:style>
  <w:style w:type="paragraph" w:styleId="ListParagraph">
    <w:name w:val="List Paragraph"/>
    <w:basedOn w:val="Normal"/>
    <w:uiPriority w:val="34"/>
    <w:qFormat/>
    <w:rsid w:val="00A15641"/>
    <w:pPr>
      <w:widowControl w:val="0"/>
      <w:ind w:left="720"/>
      <w:contextualSpacing/>
    </w:pPr>
    <w:rPr>
      <w:rFonts w:ascii="Courier" w:hAnsi="Courier"/>
      <w:snapToGrid w:val="0"/>
      <w:szCs w:val="20"/>
    </w:rPr>
  </w:style>
  <w:style w:type="character" w:styleId="Hyperlink">
    <w:name w:val="Hyperlink"/>
    <w:basedOn w:val="DefaultParagraphFont"/>
    <w:rsid w:val="00A15641"/>
    <w:rPr>
      <w:color w:val="0563C1" w:themeColor="hyperlink"/>
      <w:u w:val="single"/>
    </w:rPr>
  </w:style>
  <w:style w:type="paragraph" w:customStyle="1" w:styleId="BODY11Indent">
    <w:name w:val="BODY 11 Indent"/>
    <w:basedOn w:val="Normal"/>
    <w:rsid w:val="00A15641"/>
    <w:pPr>
      <w:ind w:left="720"/>
    </w:pPr>
    <w:rPr>
      <w:bCs/>
      <w:sz w:val="22"/>
    </w:rPr>
  </w:style>
  <w:style w:type="character" w:styleId="CommentReference">
    <w:name w:val="annotation reference"/>
    <w:basedOn w:val="DefaultParagraphFont"/>
    <w:uiPriority w:val="99"/>
    <w:semiHidden/>
    <w:unhideWhenUsed/>
    <w:rsid w:val="00B47007"/>
    <w:rPr>
      <w:sz w:val="16"/>
      <w:szCs w:val="16"/>
    </w:rPr>
  </w:style>
  <w:style w:type="paragraph" w:styleId="CommentText">
    <w:name w:val="annotation text"/>
    <w:basedOn w:val="Normal"/>
    <w:link w:val="CommentTextChar"/>
    <w:uiPriority w:val="99"/>
    <w:semiHidden/>
    <w:unhideWhenUsed/>
    <w:rsid w:val="00B47007"/>
    <w:rPr>
      <w:sz w:val="20"/>
      <w:szCs w:val="20"/>
    </w:rPr>
  </w:style>
  <w:style w:type="character" w:customStyle="1" w:styleId="CommentTextChar">
    <w:name w:val="Comment Text Char"/>
    <w:basedOn w:val="DefaultParagraphFont"/>
    <w:link w:val="CommentText"/>
    <w:uiPriority w:val="99"/>
    <w:semiHidden/>
    <w:rsid w:val="00B470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007"/>
    <w:rPr>
      <w:b/>
      <w:bCs/>
    </w:rPr>
  </w:style>
  <w:style w:type="character" w:customStyle="1" w:styleId="CommentSubjectChar">
    <w:name w:val="Comment Subject Char"/>
    <w:basedOn w:val="CommentTextChar"/>
    <w:link w:val="CommentSubject"/>
    <w:uiPriority w:val="99"/>
    <w:semiHidden/>
    <w:rsid w:val="00B4700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E5F2E"/>
    <w:pPr>
      <w:tabs>
        <w:tab w:val="center" w:pos="4680"/>
        <w:tab w:val="right" w:pos="9360"/>
      </w:tabs>
    </w:pPr>
  </w:style>
  <w:style w:type="character" w:customStyle="1" w:styleId="HeaderChar">
    <w:name w:val="Header Char"/>
    <w:basedOn w:val="DefaultParagraphFont"/>
    <w:link w:val="Header"/>
    <w:uiPriority w:val="99"/>
    <w:rsid w:val="00BE5F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Publications/AgCensus/2017/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081-6184-4338-9A6D-16BFD147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Victoria - MRP-APHIS-VS, Fort Collins, CO</dc:creator>
  <cp:keywords/>
  <dc:description/>
  <cp:lastModifiedBy>Moxey, Joseph  - APHIS</cp:lastModifiedBy>
  <cp:revision>2</cp:revision>
  <dcterms:created xsi:type="dcterms:W3CDTF">2022-01-12T22:39:00Z</dcterms:created>
  <dcterms:modified xsi:type="dcterms:W3CDTF">2022-01-12T22:39:00Z</dcterms:modified>
</cp:coreProperties>
</file>