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30B" w:rsidP="009C01A7" w:rsidRDefault="0037024E" w14:paraId="527653E9" w14:textId="4C352451">
      <w:pPr>
        <w:pStyle w:val="Heading1-IPR"/>
      </w:pPr>
      <w:r>
        <w:t>Appendix F</w:t>
      </w:r>
      <w:r w:rsidR="007D030B">
        <w:t>.</w:t>
      </w:r>
      <w:r w:rsidR="006D45A4">
        <w:t>9</w:t>
      </w:r>
      <w:r w:rsidR="007D030B">
        <w:t xml:space="preserve">. Advance Material for Second </w:t>
      </w:r>
      <w:r w:rsidR="009C01A7">
        <w:t xml:space="preserve">Concept Mapping </w:t>
      </w:r>
      <w:r w:rsidR="007D030B">
        <w:t>Meeting</w:t>
      </w:r>
    </w:p>
    <w:p w:rsidRPr="007D030B" w:rsidR="007D030B" w:rsidP="007D030B" w:rsidRDefault="007D030B" w14:paraId="195E0A1E" w14:textId="3F677512">
      <w:pPr>
        <w:jc w:val="center"/>
        <w:rPr>
          <w:b/>
          <w:bCs/>
        </w:rPr>
      </w:pPr>
      <w:r w:rsidRPr="007D030B">
        <w:rPr>
          <w:b/>
          <w:bCs/>
        </w:rPr>
        <w:t xml:space="preserve">Data Visualization Resulting </w:t>
      </w:r>
      <w:proofErr w:type="gramStart"/>
      <w:r w:rsidR="004B1AF8">
        <w:rPr>
          <w:b/>
          <w:bCs/>
        </w:rPr>
        <w:t>F</w:t>
      </w:r>
      <w:r w:rsidRPr="007D030B">
        <w:rPr>
          <w:b/>
          <w:bCs/>
        </w:rPr>
        <w:t>rom</w:t>
      </w:r>
      <w:proofErr w:type="gramEnd"/>
      <w:r w:rsidRPr="007D030B">
        <w:rPr>
          <w:b/>
          <w:bCs/>
        </w:rPr>
        <w:t xml:space="preserve"> the Group Concept</w:t>
      </w:r>
      <w:r w:rsidR="00B144BD">
        <w:rPr>
          <w:b/>
          <w:bCs/>
        </w:rPr>
        <w:t>-</w:t>
      </w:r>
      <w:r w:rsidRPr="007D030B">
        <w:rPr>
          <w:b/>
          <w:bCs/>
        </w:rPr>
        <w:t xml:space="preserve">Mapping Activities </w:t>
      </w:r>
      <w:r w:rsidR="004B1AF8">
        <w:rPr>
          <w:b/>
          <w:bCs/>
        </w:rPr>
        <w:t>W</w:t>
      </w:r>
      <w:r w:rsidRPr="007D030B">
        <w:rPr>
          <w:b/>
          <w:bCs/>
        </w:rPr>
        <w:t>ith Stakeholders</w:t>
      </w:r>
      <w:r w:rsidR="005A37BD">
        <w:rPr>
          <w:b/>
          <w:bCs/>
        </w:rPr>
        <w:t>:</w:t>
      </w:r>
      <w:r w:rsidRPr="007D030B">
        <w:rPr>
          <w:b/>
          <w:bCs/>
        </w:rPr>
        <w:t xml:space="preserve"> </w:t>
      </w:r>
      <w:r w:rsidR="005A37BD">
        <w:rPr>
          <w:b/>
          <w:bCs/>
        </w:rPr>
        <w:br/>
      </w:r>
      <w:r w:rsidRPr="007D030B">
        <w:rPr>
          <w:b/>
          <w:bCs/>
        </w:rPr>
        <w:t>Policy Priorities to Influence Food Security in Puerto Rico</w:t>
      </w:r>
    </w:p>
    <w:p w:rsidRPr="007E20D4" w:rsidR="007D030B" w:rsidP="008035E0" w:rsidRDefault="007D030B" w14:paraId="47B6ECF3" w14:textId="63921FA6">
      <w:pPr>
        <w:pStyle w:val="BodyText0"/>
      </w:pPr>
      <w:r w:rsidRPr="007E20D4">
        <w:t>Thank you for the time and effort you</w:t>
      </w:r>
      <w:r w:rsidR="00B144BD">
        <w:t xml:space="preserve"> ha</w:t>
      </w:r>
      <w:r w:rsidRPr="007E20D4">
        <w:t xml:space="preserve">ve put into </w:t>
      </w:r>
      <w:r w:rsidR="004B1AF8">
        <w:t>c</w:t>
      </w:r>
      <w:r w:rsidRPr="007E20D4">
        <w:t xml:space="preserve">oncept </w:t>
      </w:r>
      <w:r w:rsidR="004B1AF8">
        <w:t>m</w:t>
      </w:r>
      <w:r w:rsidRPr="007E20D4">
        <w:t xml:space="preserve">apping around policies and practices that can influence </w:t>
      </w:r>
      <w:r w:rsidR="004B1AF8">
        <w:t>f</w:t>
      </w:r>
      <w:r w:rsidRPr="007E20D4">
        <w:t xml:space="preserve">ood </w:t>
      </w:r>
      <w:r w:rsidR="004B1AF8">
        <w:t>s</w:t>
      </w:r>
      <w:r w:rsidRPr="007E20D4">
        <w:t>ecurity in Puerto Rico. This report includes a series of data visualizations that are the result of the brainstorming, sorting, and rating activities. Please review this information before the next stakeholder meeting scheduled f</w:t>
      </w:r>
      <w:r w:rsidRPr="00191DB5">
        <w:t>or [INSERT DATE] and be prepared to provide feedback on these results.</w:t>
      </w:r>
      <w:r w:rsidRPr="007E20D4">
        <w:t xml:space="preserve"> </w:t>
      </w:r>
    </w:p>
    <w:p w:rsidRPr="007E20D4" w:rsidR="007D030B" w:rsidP="00C36593" w:rsidRDefault="007D030B" w14:paraId="4FAD0E21" w14:textId="77777777">
      <w:r w:rsidRPr="007E20D4">
        <w:t>During the meeting, you will be asked to participate in discussions on the following questions:</w:t>
      </w:r>
    </w:p>
    <w:p w:rsidRPr="007E20D4" w:rsidR="007D030B" w:rsidP="004B1AF8" w:rsidRDefault="007D030B" w14:paraId="3D03D863" w14:textId="77777777">
      <w:pPr>
        <w:pStyle w:val="NumbersRed-IPR"/>
        <w:numPr>
          <w:ilvl w:val="0"/>
          <w:numId w:val="31"/>
        </w:numPr>
      </w:pPr>
      <w:r w:rsidRPr="007E20D4">
        <w:t>Do the clusters represent a complete picture of the food security landscape in Puerto Rico? What did we get right? What did we miss?</w:t>
      </w:r>
    </w:p>
    <w:p w:rsidRPr="007E20D4" w:rsidR="007D030B" w:rsidP="007D030B" w:rsidRDefault="007D030B" w14:paraId="579123FB" w14:textId="77D5174A">
      <w:pPr>
        <w:pStyle w:val="NumbersRed-IPR"/>
      </w:pPr>
      <w:r w:rsidRPr="007E20D4">
        <w:t>When looking at the cluster maps and thinking about the relationship (i.e., distance between) clusters, are there any surprises or relationships you did not expect to see?</w:t>
      </w:r>
    </w:p>
    <w:p w:rsidRPr="007E20D4" w:rsidR="007D030B" w:rsidP="007D030B" w:rsidRDefault="007D030B" w14:paraId="761E421A" w14:textId="7312C766">
      <w:pPr>
        <w:pStyle w:val="NumbersRed-IPR"/>
      </w:pPr>
      <w:r w:rsidRPr="007E20D4">
        <w:t xml:space="preserve">When you look at the statements in the </w:t>
      </w:r>
      <w:r w:rsidR="004B1AF8">
        <w:t>G</w:t>
      </w:r>
      <w:r w:rsidRPr="007E20D4">
        <w:t>o-</w:t>
      </w:r>
      <w:r w:rsidR="004B1AF8">
        <w:t>Z</w:t>
      </w:r>
      <w:r w:rsidRPr="007E20D4">
        <w:t xml:space="preserve">one, are you aware </w:t>
      </w:r>
      <w:r w:rsidR="004B1AF8">
        <w:t xml:space="preserve">of any </w:t>
      </w:r>
      <w:r w:rsidRPr="007E20D4">
        <w:t xml:space="preserve">that are currently being discussed or piloted? </w:t>
      </w:r>
    </w:p>
    <w:p w:rsidRPr="007E20D4" w:rsidR="007D030B" w:rsidP="007D030B" w:rsidRDefault="007D030B" w14:paraId="01DACB32" w14:textId="22846945">
      <w:pPr>
        <w:pStyle w:val="NumbersRed-IPR"/>
      </w:pPr>
      <w:r w:rsidRPr="007E20D4">
        <w:t>When you compare the Go-Zone maps of different groups, are there clear difference</w:t>
      </w:r>
      <w:r w:rsidR="00A96970">
        <w:t>s</w:t>
      </w:r>
      <w:r w:rsidRPr="007E20D4">
        <w:t xml:space="preserve"> that stand out that we should be aware of?</w:t>
      </w:r>
    </w:p>
    <w:p w:rsidRPr="007E20D4" w:rsidR="007D030B" w:rsidP="007D030B" w:rsidRDefault="007D030B" w14:paraId="41B1F86F" w14:textId="77777777">
      <w:pPr>
        <w:pStyle w:val="NumbersRed-IPR"/>
      </w:pPr>
      <w:r w:rsidRPr="007E20D4">
        <w:t>What similarities and differences do you see in how different groups of stakeholders have sorted the policy and administrative recommendations?</w:t>
      </w:r>
    </w:p>
    <w:p w:rsidR="007D030B" w:rsidP="00D44A49" w:rsidRDefault="007D030B" w14:paraId="639487CD" w14:textId="542C4990">
      <w:pPr>
        <w:pStyle w:val="NumbersRed-IPR"/>
        <w:spacing w:after="240"/>
      </w:pPr>
      <w:r w:rsidRPr="007E20D4">
        <w:t xml:space="preserve">Based on all the information presented, what would be your recommendations </w:t>
      </w:r>
      <w:r w:rsidR="004B1AF8">
        <w:t xml:space="preserve">for </w:t>
      </w:r>
      <w:r w:rsidRPr="007E20D4">
        <w:t>policy, systems, or environmental changes?</w:t>
      </w:r>
    </w:p>
    <w:p w:rsidR="00830D01" w:rsidP="00C36593" w:rsidRDefault="007D030B" w14:paraId="3D641F5C" w14:textId="10F13D7C">
      <w:r w:rsidRPr="00C6060A">
        <w:rPr>
          <w:b/>
          <w:bCs/>
        </w:rPr>
        <w:t xml:space="preserve">Statements and </w:t>
      </w:r>
      <w:r w:rsidR="00B144BD">
        <w:rPr>
          <w:b/>
          <w:bCs/>
        </w:rPr>
        <w:t>c</w:t>
      </w:r>
      <w:r w:rsidRPr="00C6060A">
        <w:rPr>
          <w:b/>
          <w:bCs/>
        </w:rPr>
        <w:t>lusters</w:t>
      </w:r>
      <w:r>
        <w:t>. Table 1 presents a summary of the statements used in the multidimensional scaling and data analysis step. A total of 186 statements were generated during the brainstorming period. All statements were reviewed by the research team</w:t>
      </w:r>
      <w:r w:rsidR="004B1AF8">
        <w:t>,</w:t>
      </w:r>
      <w:r>
        <w:t xml:space="preserve"> and a set of 120 statements was produced through (1) reduction of repeated ideas and (2) parsing of multiple idea statements (e.g., the statement “increase funding and hire more staff” would be parsed into </w:t>
      </w:r>
      <w:r w:rsidR="004B1AF8">
        <w:t>two</w:t>
      </w:r>
      <w:r>
        <w:t xml:space="preserve"> statements, “increase funding” and “hire more staff”). In addition to the statements, </w:t>
      </w:r>
      <w:r w:rsidR="004B1AF8">
        <w:t>t</w:t>
      </w:r>
      <w:r>
        <w:t xml:space="preserve">able 1 indicates the cluster the statement is nested in and the statement’s mean rating on </w:t>
      </w:r>
      <w:r w:rsidR="004B1AF8">
        <w:t>p</w:t>
      </w:r>
      <w:r>
        <w:t xml:space="preserve">otential </w:t>
      </w:r>
      <w:r w:rsidR="004B1AF8">
        <w:t>i</w:t>
      </w:r>
      <w:r>
        <w:t xml:space="preserve">mpact and </w:t>
      </w:r>
      <w:r w:rsidR="004B1AF8">
        <w:t>i</w:t>
      </w:r>
      <w:r>
        <w:t xml:space="preserve">mplementation </w:t>
      </w:r>
      <w:r w:rsidR="004B1AF8">
        <w:t>f</w:t>
      </w:r>
      <w:r>
        <w:t xml:space="preserve">easibility.   </w:t>
      </w:r>
    </w:p>
    <w:p w:rsidR="007D030B" w:rsidP="00894218" w:rsidRDefault="007D030B" w14:paraId="04461C31" w14:textId="77777777">
      <w:pPr>
        <w:pStyle w:val="TableTitle-IPR"/>
      </w:pPr>
      <w:r>
        <w:t>Table 1. Statement, Clusters, and Mean Ratings</w:t>
      </w:r>
    </w:p>
    <w:tbl>
      <w:tblPr>
        <w:tblStyle w:val="InsightTable24"/>
        <w:tblW w:w="0" w:type="auto"/>
        <w:tblLook w:val="04A0" w:firstRow="1" w:lastRow="0" w:firstColumn="1" w:lastColumn="0" w:noHBand="0" w:noVBand="1"/>
      </w:tblPr>
      <w:tblGrid>
        <w:gridCol w:w="1049"/>
        <w:gridCol w:w="3933"/>
        <w:gridCol w:w="1620"/>
        <w:gridCol w:w="1124"/>
        <w:gridCol w:w="1576"/>
      </w:tblGrid>
      <w:tr w:rsidRPr="005252EF" w:rsidR="007D030B" w:rsidTr="00436072" w14:paraId="5405A597" w14:textId="77777777">
        <w:trPr>
          <w:cnfStyle w:val="100000000000" w:firstRow="1" w:lastRow="0" w:firstColumn="0" w:lastColumn="0" w:oddVBand="0" w:evenVBand="0" w:oddHBand="0" w:evenHBand="0" w:firstRowFirstColumn="0" w:firstRowLastColumn="0" w:lastRowFirstColumn="0" w:lastRowLastColumn="0"/>
          <w:tblHeader/>
        </w:trPr>
        <w:tc>
          <w:tcPr>
            <w:tcW w:w="1049" w:type="dxa"/>
          </w:tcPr>
          <w:p w:rsidRPr="009715F7" w:rsidR="007D030B" w:rsidP="005A37BD" w:rsidRDefault="007D030B" w14:paraId="10B43B67" w14:textId="773CC2E4">
            <w:pPr>
              <w:pStyle w:val="TableHeaderRow-IPR"/>
            </w:pPr>
            <w:r>
              <w:t xml:space="preserve">Statement </w:t>
            </w:r>
            <w:r w:rsidR="004B1AF8">
              <w:t>Number</w:t>
            </w:r>
          </w:p>
        </w:tc>
        <w:tc>
          <w:tcPr>
            <w:tcW w:w="3933" w:type="dxa"/>
          </w:tcPr>
          <w:p w:rsidRPr="009715F7" w:rsidR="007D030B" w:rsidP="005A37BD" w:rsidRDefault="007D030B" w14:paraId="6D578959" w14:textId="77777777">
            <w:pPr>
              <w:pStyle w:val="TableHeaderRow-IPR"/>
            </w:pPr>
            <w:r w:rsidRPr="009715F7">
              <w:t>Statement/Idea</w:t>
            </w:r>
          </w:p>
        </w:tc>
        <w:tc>
          <w:tcPr>
            <w:tcW w:w="1620" w:type="dxa"/>
          </w:tcPr>
          <w:p w:rsidRPr="009715F7" w:rsidR="007D030B" w:rsidP="005A37BD" w:rsidRDefault="007D030B" w14:paraId="523D1E9B" w14:textId="77777777">
            <w:pPr>
              <w:pStyle w:val="TableHeaderRow-IPR"/>
            </w:pPr>
            <w:r>
              <w:t>Cluster</w:t>
            </w:r>
          </w:p>
        </w:tc>
        <w:tc>
          <w:tcPr>
            <w:tcW w:w="1124" w:type="dxa"/>
          </w:tcPr>
          <w:p w:rsidRPr="009715F7" w:rsidR="007D030B" w:rsidP="005A37BD" w:rsidRDefault="007D030B" w14:paraId="0DCC0324" w14:textId="77777777">
            <w:pPr>
              <w:pStyle w:val="TableHeaderRow-IPR"/>
            </w:pPr>
            <w:r>
              <w:t>Potential Impact</w:t>
            </w:r>
          </w:p>
        </w:tc>
        <w:tc>
          <w:tcPr>
            <w:tcW w:w="1576" w:type="dxa"/>
          </w:tcPr>
          <w:p w:rsidRPr="009715F7" w:rsidR="007D030B" w:rsidP="005A37BD" w:rsidRDefault="007D030B" w14:paraId="66A145F5" w14:textId="77777777">
            <w:pPr>
              <w:pStyle w:val="TableHeaderRow-IPR"/>
            </w:pPr>
            <w:r>
              <w:t>Implementation Feasibility</w:t>
            </w:r>
          </w:p>
        </w:tc>
      </w:tr>
      <w:tr w:rsidRPr="005252EF" w:rsidR="007D030B" w:rsidTr="00436072" w14:paraId="24B79828" w14:textId="77777777">
        <w:trPr>
          <w:trHeight w:val="288"/>
        </w:trPr>
        <w:tc>
          <w:tcPr>
            <w:tcW w:w="1049" w:type="dxa"/>
          </w:tcPr>
          <w:p w:rsidRPr="005252EF" w:rsidR="007D030B" w:rsidP="005A37BD" w:rsidRDefault="007D030B" w14:paraId="77AE66AC" w14:textId="77777777">
            <w:pPr>
              <w:pStyle w:val="TableTextBullet1"/>
              <w:jc w:val="center"/>
            </w:pPr>
            <w:r w:rsidRPr="005252EF">
              <w:t>1</w:t>
            </w:r>
          </w:p>
        </w:tc>
        <w:tc>
          <w:tcPr>
            <w:tcW w:w="3933" w:type="dxa"/>
          </w:tcPr>
          <w:p w:rsidRPr="005252EF" w:rsidR="007D030B" w:rsidP="007D030B" w:rsidRDefault="007D030B" w14:paraId="78A5C5FF" w14:textId="77777777">
            <w:pPr>
              <w:pStyle w:val="TableTextBullet1"/>
            </w:pPr>
            <w:r w:rsidRPr="005252EF">
              <w:t>Increase food access in rural communities</w:t>
            </w:r>
          </w:p>
        </w:tc>
        <w:tc>
          <w:tcPr>
            <w:tcW w:w="1620" w:type="dxa"/>
          </w:tcPr>
          <w:p w:rsidRPr="005252EF" w:rsidR="007D030B" w:rsidP="007D030B" w:rsidRDefault="007D030B" w14:paraId="0AA9CF09" w14:textId="77777777">
            <w:pPr>
              <w:pStyle w:val="TableTextBullet1"/>
            </w:pPr>
            <w:r>
              <w:t>Access</w:t>
            </w:r>
          </w:p>
        </w:tc>
        <w:tc>
          <w:tcPr>
            <w:tcW w:w="1124" w:type="dxa"/>
          </w:tcPr>
          <w:p w:rsidR="007D030B" w:rsidP="007D030B" w:rsidRDefault="007D030B" w14:paraId="2F784870" w14:textId="77777777">
            <w:pPr>
              <w:pStyle w:val="TableTextBullet1"/>
            </w:pPr>
            <w:r>
              <w:rPr>
                <w:rFonts w:cs="Calibri"/>
                <w:color w:val="000000"/>
              </w:rPr>
              <w:t>2.37</w:t>
            </w:r>
          </w:p>
        </w:tc>
        <w:tc>
          <w:tcPr>
            <w:tcW w:w="1576" w:type="dxa"/>
          </w:tcPr>
          <w:p w:rsidRPr="005252EF" w:rsidR="007D030B" w:rsidP="007D030B" w:rsidRDefault="007D030B" w14:paraId="347FC50F" w14:textId="77777777">
            <w:pPr>
              <w:pStyle w:val="TableTextBullet1"/>
            </w:pPr>
            <w:r>
              <w:rPr>
                <w:rFonts w:cs="Calibri"/>
                <w:color w:val="000000"/>
              </w:rPr>
              <w:t>1.21</w:t>
            </w:r>
          </w:p>
        </w:tc>
      </w:tr>
      <w:tr w:rsidRPr="005252EF" w:rsidR="007D030B" w:rsidTr="00436072" w14:paraId="12F32419" w14:textId="77777777">
        <w:trPr>
          <w:trHeight w:val="288"/>
        </w:trPr>
        <w:tc>
          <w:tcPr>
            <w:tcW w:w="1049" w:type="dxa"/>
          </w:tcPr>
          <w:p w:rsidRPr="005252EF" w:rsidR="007D030B" w:rsidP="005A37BD" w:rsidRDefault="007D030B" w14:paraId="325509DA" w14:textId="77777777">
            <w:pPr>
              <w:pStyle w:val="TableTextBullet1"/>
              <w:jc w:val="center"/>
            </w:pPr>
            <w:r w:rsidRPr="005252EF">
              <w:t>2</w:t>
            </w:r>
          </w:p>
        </w:tc>
        <w:tc>
          <w:tcPr>
            <w:tcW w:w="3933" w:type="dxa"/>
          </w:tcPr>
          <w:p w:rsidRPr="005252EF" w:rsidR="007D030B" w:rsidP="007D030B" w:rsidRDefault="007D030B" w14:paraId="0367C970" w14:textId="77777777">
            <w:pPr>
              <w:pStyle w:val="TableTextBullet1"/>
            </w:pPr>
            <w:r>
              <w:t>Augment administrative funding</w:t>
            </w:r>
          </w:p>
        </w:tc>
        <w:tc>
          <w:tcPr>
            <w:tcW w:w="1620" w:type="dxa"/>
          </w:tcPr>
          <w:p w:rsidRPr="005252EF" w:rsidR="007D030B" w:rsidP="007D030B" w:rsidRDefault="007D030B" w14:paraId="3FA78DFA" w14:textId="77777777">
            <w:pPr>
              <w:pStyle w:val="TableTextBullet1"/>
            </w:pPr>
            <w:r>
              <w:t>Program Administration</w:t>
            </w:r>
          </w:p>
        </w:tc>
        <w:tc>
          <w:tcPr>
            <w:tcW w:w="1124" w:type="dxa"/>
          </w:tcPr>
          <w:p w:rsidR="007D030B" w:rsidP="007D030B" w:rsidRDefault="007D030B" w14:paraId="19FE83D1" w14:textId="77777777">
            <w:pPr>
              <w:pStyle w:val="TableTextBullet1"/>
            </w:pPr>
            <w:r>
              <w:rPr>
                <w:rFonts w:cs="Calibri"/>
                <w:color w:val="000000"/>
              </w:rPr>
              <w:t>2.06</w:t>
            </w:r>
          </w:p>
        </w:tc>
        <w:tc>
          <w:tcPr>
            <w:tcW w:w="1576" w:type="dxa"/>
          </w:tcPr>
          <w:p w:rsidRPr="005252EF" w:rsidR="007D030B" w:rsidP="007D030B" w:rsidRDefault="007D030B" w14:paraId="5413B427" w14:textId="77777777">
            <w:pPr>
              <w:pStyle w:val="TableTextBullet1"/>
            </w:pPr>
            <w:r>
              <w:rPr>
                <w:rFonts w:cs="Calibri"/>
                <w:color w:val="000000"/>
              </w:rPr>
              <w:t>4.99</w:t>
            </w:r>
          </w:p>
        </w:tc>
      </w:tr>
      <w:tr w:rsidRPr="005252EF" w:rsidR="007D030B" w:rsidTr="00436072" w14:paraId="71B8EB7A" w14:textId="77777777">
        <w:trPr>
          <w:trHeight w:val="288"/>
        </w:trPr>
        <w:tc>
          <w:tcPr>
            <w:tcW w:w="1049" w:type="dxa"/>
          </w:tcPr>
          <w:p w:rsidRPr="005252EF" w:rsidR="007D030B" w:rsidP="005A37BD" w:rsidRDefault="007D030B" w14:paraId="14BC8417" w14:textId="77777777">
            <w:pPr>
              <w:pStyle w:val="TableTextBullet1"/>
              <w:jc w:val="center"/>
            </w:pPr>
            <w:r w:rsidRPr="005252EF">
              <w:t>3</w:t>
            </w:r>
          </w:p>
        </w:tc>
        <w:tc>
          <w:tcPr>
            <w:tcW w:w="3933" w:type="dxa"/>
          </w:tcPr>
          <w:p w:rsidRPr="005252EF" w:rsidR="007D030B" w:rsidP="007D030B" w:rsidRDefault="007D030B" w14:paraId="1F2411E4" w14:textId="77777777">
            <w:pPr>
              <w:pStyle w:val="TableTextBullet1"/>
            </w:pPr>
            <w:r>
              <w:t>Teach food storage/preservation</w:t>
            </w:r>
          </w:p>
        </w:tc>
        <w:tc>
          <w:tcPr>
            <w:tcW w:w="1620" w:type="dxa"/>
          </w:tcPr>
          <w:p w:rsidRPr="005252EF" w:rsidR="007D030B" w:rsidP="007D030B" w:rsidRDefault="007D030B" w14:paraId="45CF1FC2" w14:textId="77777777">
            <w:pPr>
              <w:pStyle w:val="TableTextBullet1"/>
            </w:pPr>
            <w:r>
              <w:t>Education</w:t>
            </w:r>
          </w:p>
        </w:tc>
        <w:tc>
          <w:tcPr>
            <w:tcW w:w="1124" w:type="dxa"/>
          </w:tcPr>
          <w:p w:rsidR="007D030B" w:rsidP="007D030B" w:rsidRDefault="007D030B" w14:paraId="36023DB4" w14:textId="77777777">
            <w:pPr>
              <w:pStyle w:val="TableTextBullet1"/>
            </w:pPr>
            <w:r>
              <w:rPr>
                <w:rFonts w:cs="Calibri"/>
                <w:color w:val="000000"/>
              </w:rPr>
              <w:t>3.56</w:t>
            </w:r>
          </w:p>
        </w:tc>
        <w:tc>
          <w:tcPr>
            <w:tcW w:w="1576" w:type="dxa"/>
          </w:tcPr>
          <w:p w:rsidRPr="005252EF" w:rsidR="007D030B" w:rsidP="007D030B" w:rsidRDefault="007D030B" w14:paraId="0F05EF45" w14:textId="77777777">
            <w:pPr>
              <w:pStyle w:val="TableTextBullet1"/>
            </w:pPr>
            <w:r>
              <w:rPr>
                <w:rFonts w:cs="Calibri"/>
                <w:color w:val="000000"/>
              </w:rPr>
              <w:t>4.37</w:t>
            </w:r>
          </w:p>
        </w:tc>
      </w:tr>
      <w:tr w:rsidRPr="005252EF" w:rsidR="007D030B" w:rsidTr="00436072" w14:paraId="452F176B" w14:textId="77777777">
        <w:trPr>
          <w:trHeight w:val="288"/>
        </w:trPr>
        <w:tc>
          <w:tcPr>
            <w:tcW w:w="1049" w:type="dxa"/>
          </w:tcPr>
          <w:p w:rsidRPr="005252EF" w:rsidR="007D030B" w:rsidP="005A37BD" w:rsidRDefault="007D030B" w14:paraId="5E2E971D" w14:textId="77777777">
            <w:pPr>
              <w:pStyle w:val="TableTextBullet1"/>
              <w:jc w:val="center"/>
            </w:pPr>
            <w:r w:rsidRPr="005252EF">
              <w:t>4</w:t>
            </w:r>
          </w:p>
        </w:tc>
        <w:tc>
          <w:tcPr>
            <w:tcW w:w="3933" w:type="dxa"/>
          </w:tcPr>
          <w:p w:rsidRPr="005252EF" w:rsidR="007D030B" w:rsidP="007D030B" w:rsidRDefault="007D030B" w14:paraId="3C680DAD" w14:textId="77777777">
            <w:pPr>
              <w:pStyle w:val="TableTextBullet1"/>
            </w:pPr>
            <w:r>
              <w:t>Encourage development of supermarkets</w:t>
            </w:r>
          </w:p>
        </w:tc>
        <w:tc>
          <w:tcPr>
            <w:tcW w:w="1620" w:type="dxa"/>
          </w:tcPr>
          <w:p w:rsidRPr="005252EF" w:rsidR="007D030B" w:rsidP="007D030B" w:rsidRDefault="007D030B" w14:paraId="7EE16D07" w14:textId="77777777">
            <w:pPr>
              <w:pStyle w:val="TableTextBullet1"/>
            </w:pPr>
            <w:r>
              <w:t>Access</w:t>
            </w:r>
          </w:p>
        </w:tc>
        <w:tc>
          <w:tcPr>
            <w:tcW w:w="1124" w:type="dxa"/>
          </w:tcPr>
          <w:p w:rsidR="007D030B" w:rsidP="007D030B" w:rsidRDefault="007D030B" w14:paraId="292094D0" w14:textId="77777777">
            <w:pPr>
              <w:pStyle w:val="TableTextBullet1"/>
            </w:pPr>
            <w:r>
              <w:rPr>
                <w:rFonts w:cs="Calibri"/>
                <w:color w:val="000000"/>
              </w:rPr>
              <w:t>4.27</w:t>
            </w:r>
          </w:p>
        </w:tc>
        <w:tc>
          <w:tcPr>
            <w:tcW w:w="1576" w:type="dxa"/>
          </w:tcPr>
          <w:p w:rsidRPr="005252EF" w:rsidR="007D030B" w:rsidP="007D030B" w:rsidRDefault="007D030B" w14:paraId="61F9BF5C" w14:textId="77777777">
            <w:pPr>
              <w:pStyle w:val="TableTextBullet1"/>
            </w:pPr>
            <w:r>
              <w:rPr>
                <w:rFonts w:cs="Calibri"/>
                <w:color w:val="000000"/>
              </w:rPr>
              <w:t>4.58</w:t>
            </w:r>
          </w:p>
        </w:tc>
      </w:tr>
      <w:tr w:rsidRPr="005252EF" w:rsidR="007D030B" w:rsidTr="00436072" w14:paraId="4F26620D" w14:textId="77777777">
        <w:trPr>
          <w:trHeight w:val="288"/>
        </w:trPr>
        <w:tc>
          <w:tcPr>
            <w:tcW w:w="1049" w:type="dxa"/>
          </w:tcPr>
          <w:p w:rsidRPr="005252EF" w:rsidR="007D030B" w:rsidP="005A37BD" w:rsidRDefault="007D030B" w14:paraId="3AA24C66" w14:textId="77777777">
            <w:pPr>
              <w:pStyle w:val="TableTextBullet1"/>
              <w:jc w:val="center"/>
            </w:pPr>
            <w:r w:rsidRPr="005252EF">
              <w:t>5</w:t>
            </w:r>
          </w:p>
        </w:tc>
        <w:tc>
          <w:tcPr>
            <w:tcW w:w="3933" w:type="dxa"/>
          </w:tcPr>
          <w:p w:rsidRPr="005252EF" w:rsidR="007D030B" w:rsidP="007D030B" w:rsidRDefault="007D030B" w14:paraId="7F59A770" w14:textId="77777777">
            <w:pPr>
              <w:pStyle w:val="TableTextBullet1"/>
            </w:pPr>
            <w:r>
              <w:t>Tie housing security to food security</w:t>
            </w:r>
          </w:p>
        </w:tc>
        <w:tc>
          <w:tcPr>
            <w:tcW w:w="1620" w:type="dxa"/>
          </w:tcPr>
          <w:p w:rsidRPr="005252EF" w:rsidR="007D030B" w:rsidP="007D030B" w:rsidRDefault="007D030B" w14:paraId="2D797158" w14:textId="710D9A17">
            <w:pPr>
              <w:pStyle w:val="TableTextBullet1"/>
            </w:pPr>
            <w:r>
              <w:t xml:space="preserve">Federal </w:t>
            </w:r>
            <w:r w:rsidR="00B144BD">
              <w:t>P</w:t>
            </w:r>
            <w:r>
              <w:t>olicy</w:t>
            </w:r>
          </w:p>
        </w:tc>
        <w:tc>
          <w:tcPr>
            <w:tcW w:w="1124" w:type="dxa"/>
          </w:tcPr>
          <w:p w:rsidR="007D030B" w:rsidP="007D030B" w:rsidRDefault="007D030B" w14:paraId="26FE07F9" w14:textId="77777777">
            <w:pPr>
              <w:pStyle w:val="TableTextBullet1"/>
            </w:pPr>
            <w:r>
              <w:rPr>
                <w:rFonts w:cs="Calibri"/>
                <w:color w:val="000000"/>
              </w:rPr>
              <w:t>2.33</w:t>
            </w:r>
          </w:p>
        </w:tc>
        <w:tc>
          <w:tcPr>
            <w:tcW w:w="1576" w:type="dxa"/>
          </w:tcPr>
          <w:p w:rsidRPr="005252EF" w:rsidR="007D030B" w:rsidP="007D030B" w:rsidRDefault="007D030B" w14:paraId="7A84AE79" w14:textId="77777777">
            <w:pPr>
              <w:pStyle w:val="TableTextBullet1"/>
            </w:pPr>
            <w:r>
              <w:rPr>
                <w:rFonts w:cs="Calibri"/>
                <w:color w:val="000000"/>
              </w:rPr>
              <w:t>3.61</w:t>
            </w:r>
          </w:p>
        </w:tc>
      </w:tr>
      <w:tr w:rsidRPr="005252EF" w:rsidR="007D030B" w:rsidTr="00436072" w14:paraId="46994B8B" w14:textId="77777777">
        <w:trPr>
          <w:trHeight w:val="288"/>
        </w:trPr>
        <w:tc>
          <w:tcPr>
            <w:tcW w:w="1049" w:type="dxa"/>
          </w:tcPr>
          <w:p w:rsidRPr="005252EF" w:rsidR="007D030B" w:rsidP="005A37BD" w:rsidRDefault="007D030B" w14:paraId="0E8C5D93" w14:textId="77777777">
            <w:pPr>
              <w:pStyle w:val="TableTextBullet1"/>
              <w:jc w:val="center"/>
            </w:pPr>
            <w:r w:rsidRPr="005252EF">
              <w:lastRenderedPageBreak/>
              <w:t>6</w:t>
            </w:r>
          </w:p>
        </w:tc>
        <w:tc>
          <w:tcPr>
            <w:tcW w:w="3933" w:type="dxa"/>
          </w:tcPr>
          <w:p w:rsidRPr="005252EF" w:rsidR="007D030B" w:rsidP="007D030B" w:rsidRDefault="007D030B" w14:paraId="39EE8381" w14:textId="31DD4889">
            <w:pPr>
              <w:pStyle w:val="TableTextBullet1"/>
            </w:pPr>
            <w:r>
              <w:t>Work with local nonprofits to develop double-buck programs for fruits and vegetables</w:t>
            </w:r>
          </w:p>
        </w:tc>
        <w:tc>
          <w:tcPr>
            <w:tcW w:w="1620" w:type="dxa"/>
          </w:tcPr>
          <w:p w:rsidRPr="005252EF" w:rsidR="007D030B" w:rsidP="007D030B" w:rsidRDefault="007D030B" w14:paraId="0E37C10F" w14:textId="77777777">
            <w:pPr>
              <w:pStyle w:val="TableTextBullet1"/>
            </w:pPr>
            <w:r>
              <w:t>Local NGOs</w:t>
            </w:r>
          </w:p>
        </w:tc>
        <w:tc>
          <w:tcPr>
            <w:tcW w:w="1124" w:type="dxa"/>
          </w:tcPr>
          <w:p w:rsidR="007D030B" w:rsidP="007D030B" w:rsidRDefault="007D030B" w14:paraId="0BF62416" w14:textId="77777777">
            <w:pPr>
              <w:pStyle w:val="TableTextBullet1"/>
            </w:pPr>
            <w:r>
              <w:rPr>
                <w:rFonts w:cs="Calibri"/>
                <w:color w:val="000000"/>
              </w:rPr>
              <w:t>1.27</w:t>
            </w:r>
          </w:p>
        </w:tc>
        <w:tc>
          <w:tcPr>
            <w:tcW w:w="1576" w:type="dxa"/>
          </w:tcPr>
          <w:p w:rsidRPr="005252EF" w:rsidR="007D030B" w:rsidP="007D030B" w:rsidRDefault="007D030B" w14:paraId="7CD305FA" w14:textId="77777777">
            <w:pPr>
              <w:pStyle w:val="TableTextBullet1"/>
            </w:pPr>
            <w:r>
              <w:rPr>
                <w:rFonts w:cs="Calibri"/>
                <w:color w:val="000000"/>
              </w:rPr>
              <w:t>3.67</w:t>
            </w:r>
          </w:p>
        </w:tc>
      </w:tr>
      <w:tr w:rsidRPr="005252EF" w:rsidR="007D030B" w:rsidTr="00436072" w14:paraId="28B24920" w14:textId="77777777">
        <w:trPr>
          <w:trHeight w:val="288"/>
        </w:trPr>
        <w:tc>
          <w:tcPr>
            <w:tcW w:w="1049" w:type="dxa"/>
          </w:tcPr>
          <w:p w:rsidRPr="005252EF" w:rsidR="007D030B" w:rsidP="005A37BD" w:rsidRDefault="007D030B" w14:paraId="01F3F9ED" w14:textId="77777777">
            <w:pPr>
              <w:pStyle w:val="TableTextBullet1"/>
              <w:jc w:val="center"/>
            </w:pPr>
            <w:r w:rsidRPr="005252EF">
              <w:t>7</w:t>
            </w:r>
          </w:p>
        </w:tc>
        <w:tc>
          <w:tcPr>
            <w:tcW w:w="3933" w:type="dxa"/>
          </w:tcPr>
          <w:p w:rsidRPr="005252EF" w:rsidR="007D030B" w:rsidP="007D030B" w:rsidRDefault="007D030B" w14:paraId="07C7B831" w14:textId="11348411">
            <w:pPr>
              <w:pStyle w:val="TableTextBullet1"/>
            </w:pPr>
            <w:r>
              <w:t>Fund SNAP-</w:t>
            </w:r>
            <w:r w:rsidR="004B1AF8">
              <w:t>E</w:t>
            </w:r>
            <w:r>
              <w:t>d type programs</w:t>
            </w:r>
          </w:p>
        </w:tc>
        <w:tc>
          <w:tcPr>
            <w:tcW w:w="1620" w:type="dxa"/>
          </w:tcPr>
          <w:p w:rsidRPr="005252EF" w:rsidR="007D030B" w:rsidP="007D030B" w:rsidRDefault="007D030B" w14:paraId="13F1E109" w14:textId="77777777">
            <w:pPr>
              <w:pStyle w:val="TableTextBullet1"/>
            </w:pPr>
            <w:r>
              <w:t>Education</w:t>
            </w:r>
          </w:p>
        </w:tc>
        <w:tc>
          <w:tcPr>
            <w:tcW w:w="1124" w:type="dxa"/>
          </w:tcPr>
          <w:p w:rsidR="007D030B" w:rsidP="007D030B" w:rsidRDefault="007D030B" w14:paraId="4152C757" w14:textId="77777777">
            <w:pPr>
              <w:pStyle w:val="TableTextBullet1"/>
            </w:pPr>
            <w:r>
              <w:rPr>
                <w:rFonts w:cs="Calibri"/>
                <w:color w:val="000000"/>
              </w:rPr>
              <w:t>1.21</w:t>
            </w:r>
          </w:p>
        </w:tc>
        <w:tc>
          <w:tcPr>
            <w:tcW w:w="1576" w:type="dxa"/>
          </w:tcPr>
          <w:p w:rsidRPr="005252EF" w:rsidR="007D030B" w:rsidP="007D030B" w:rsidRDefault="007D030B" w14:paraId="1FB61E3A" w14:textId="77777777">
            <w:pPr>
              <w:pStyle w:val="TableTextBullet1"/>
            </w:pPr>
            <w:r>
              <w:rPr>
                <w:rFonts w:cs="Calibri"/>
                <w:color w:val="000000"/>
              </w:rPr>
              <w:t>4.11</w:t>
            </w:r>
          </w:p>
        </w:tc>
      </w:tr>
      <w:tr w:rsidRPr="005252EF" w:rsidR="007D030B" w:rsidTr="00436072" w14:paraId="29FFCCFC" w14:textId="77777777">
        <w:trPr>
          <w:trHeight w:val="288"/>
        </w:trPr>
        <w:tc>
          <w:tcPr>
            <w:tcW w:w="1049" w:type="dxa"/>
          </w:tcPr>
          <w:p w:rsidRPr="005252EF" w:rsidR="007D030B" w:rsidP="005A37BD" w:rsidRDefault="007D030B" w14:paraId="5AAC10FD" w14:textId="77777777">
            <w:pPr>
              <w:pStyle w:val="TableTextBullet1"/>
              <w:jc w:val="center"/>
            </w:pPr>
            <w:r w:rsidRPr="005252EF">
              <w:t>8</w:t>
            </w:r>
          </w:p>
        </w:tc>
        <w:tc>
          <w:tcPr>
            <w:tcW w:w="3933" w:type="dxa"/>
          </w:tcPr>
          <w:p w:rsidRPr="005252EF" w:rsidR="007D030B" w:rsidP="007D030B" w:rsidRDefault="007D030B" w14:paraId="161494E0" w14:textId="77777777">
            <w:pPr>
              <w:pStyle w:val="TableTextBullet1"/>
            </w:pPr>
            <w:r>
              <w:t>Establish new methods for determining monthly benefits</w:t>
            </w:r>
          </w:p>
        </w:tc>
        <w:tc>
          <w:tcPr>
            <w:tcW w:w="1620" w:type="dxa"/>
          </w:tcPr>
          <w:p w:rsidRPr="005252EF" w:rsidR="007D030B" w:rsidP="007D030B" w:rsidRDefault="007D030B" w14:paraId="2EA01C7C" w14:textId="77777777">
            <w:pPr>
              <w:pStyle w:val="TableTextBullet1"/>
            </w:pPr>
            <w:r>
              <w:t>Federal Policy</w:t>
            </w:r>
          </w:p>
        </w:tc>
        <w:tc>
          <w:tcPr>
            <w:tcW w:w="1124" w:type="dxa"/>
          </w:tcPr>
          <w:p w:rsidR="007D030B" w:rsidP="007D030B" w:rsidRDefault="007D030B" w14:paraId="4F7182FC" w14:textId="77777777">
            <w:pPr>
              <w:pStyle w:val="TableTextBullet1"/>
            </w:pPr>
            <w:r>
              <w:rPr>
                <w:rFonts w:cs="Calibri"/>
                <w:color w:val="000000"/>
              </w:rPr>
              <w:t>4.37</w:t>
            </w:r>
          </w:p>
        </w:tc>
        <w:tc>
          <w:tcPr>
            <w:tcW w:w="1576" w:type="dxa"/>
          </w:tcPr>
          <w:p w:rsidRPr="005252EF" w:rsidR="007D030B" w:rsidP="007D030B" w:rsidRDefault="007D030B" w14:paraId="50BAD164" w14:textId="77777777">
            <w:pPr>
              <w:pStyle w:val="TableTextBullet1"/>
            </w:pPr>
            <w:r>
              <w:rPr>
                <w:rFonts w:cs="Calibri"/>
                <w:color w:val="000000"/>
              </w:rPr>
              <w:t>1.24</w:t>
            </w:r>
          </w:p>
        </w:tc>
      </w:tr>
      <w:tr w:rsidRPr="005252EF" w:rsidR="007D030B" w:rsidTr="00436072" w14:paraId="4959AAB3" w14:textId="77777777">
        <w:trPr>
          <w:trHeight w:val="288"/>
        </w:trPr>
        <w:tc>
          <w:tcPr>
            <w:tcW w:w="1049" w:type="dxa"/>
          </w:tcPr>
          <w:p w:rsidRPr="005252EF" w:rsidR="007D030B" w:rsidP="005A37BD" w:rsidRDefault="007D030B" w14:paraId="07450C7A" w14:textId="4F4FE204">
            <w:pPr>
              <w:pStyle w:val="TableTextBullet1"/>
              <w:jc w:val="center"/>
            </w:pPr>
            <w:r>
              <w:t>…</w:t>
            </w:r>
          </w:p>
        </w:tc>
        <w:tc>
          <w:tcPr>
            <w:tcW w:w="3933" w:type="dxa"/>
          </w:tcPr>
          <w:p w:rsidR="007D030B" w:rsidP="007D030B" w:rsidRDefault="007D030B" w14:paraId="7EFC4F67" w14:textId="77777777">
            <w:pPr>
              <w:pStyle w:val="TableTextBullet1"/>
            </w:pPr>
          </w:p>
        </w:tc>
        <w:tc>
          <w:tcPr>
            <w:tcW w:w="1620" w:type="dxa"/>
          </w:tcPr>
          <w:p w:rsidR="007D030B" w:rsidP="007D030B" w:rsidRDefault="007D030B" w14:paraId="307F0D44" w14:textId="77777777">
            <w:pPr>
              <w:pStyle w:val="TableTextBullet1"/>
            </w:pPr>
          </w:p>
        </w:tc>
        <w:tc>
          <w:tcPr>
            <w:tcW w:w="1124" w:type="dxa"/>
          </w:tcPr>
          <w:p w:rsidR="007D030B" w:rsidP="007D030B" w:rsidRDefault="007D030B" w14:paraId="152CC472" w14:textId="77777777">
            <w:pPr>
              <w:pStyle w:val="TableTextBullet1"/>
              <w:rPr>
                <w:rFonts w:cs="Calibri"/>
                <w:color w:val="000000"/>
              </w:rPr>
            </w:pPr>
          </w:p>
        </w:tc>
        <w:tc>
          <w:tcPr>
            <w:tcW w:w="1576" w:type="dxa"/>
          </w:tcPr>
          <w:p w:rsidR="007D030B" w:rsidP="007D030B" w:rsidRDefault="007D030B" w14:paraId="7178FB9D" w14:textId="77777777">
            <w:pPr>
              <w:pStyle w:val="TableTextBullet1"/>
              <w:rPr>
                <w:rFonts w:cs="Calibri"/>
                <w:color w:val="000000"/>
              </w:rPr>
            </w:pPr>
          </w:p>
        </w:tc>
      </w:tr>
      <w:tr w:rsidRPr="005252EF" w:rsidR="007D030B" w:rsidTr="00436072" w14:paraId="4699539B" w14:textId="77777777">
        <w:trPr>
          <w:trHeight w:val="288"/>
        </w:trPr>
        <w:tc>
          <w:tcPr>
            <w:tcW w:w="1049" w:type="dxa"/>
          </w:tcPr>
          <w:p w:rsidRPr="005252EF" w:rsidR="007D030B" w:rsidP="005A37BD" w:rsidRDefault="007D030B" w14:paraId="2F897937" w14:textId="43BE5EBB">
            <w:pPr>
              <w:pStyle w:val="TableTextBullet1"/>
              <w:jc w:val="center"/>
            </w:pPr>
            <w:r w:rsidRPr="005252EF">
              <w:t>113</w:t>
            </w:r>
          </w:p>
        </w:tc>
        <w:tc>
          <w:tcPr>
            <w:tcW w:w="3933" w:type="dxa"/>
          </w:tcPr>
          <w:p w:rsidR="007D030B" w:rsidP="007D030B" w:rsidRDefault="007D030B" w14:paraId="47FBFDAF" w14:textId="79450AF1">
            <w:pPr>
              <w:pStyle w:val="TableTextBullet1"/>
            </w:pPr>
            <w:r>
              <w:t>Revise eligibility requirements</w:t>
            </w:r>
          </w:p>
        </w:tc>
        <w:tc>
          <w:tcPr>
            <w:tcW w:w="1620" w:type="dxa"/>
          </w:tcPr>
          <w:p w:rsidR="007D030B" w:rsidP="007D030B" w:rsidRDefault="007D030B" w14:paraId="29400016" w14:textId="68C1A5AD">
            <w:pPr>
              <w:pStyle w:val="TableTextBullet1"/>
            </w:pPr>
            <w:r>
              <w:t>Federal Policy</w:t>
            </w:r>
          </w:p>
        </w:tc>
        <w:tc>
          <w:tcPr>
            <w:tcW w:w="1124" w:type="dxa"/>
          </w:tcPr>
          <w:p w:rsidR="007D030B" w:rsidP="007D030B" w:rsidRDefault="007D030B" w14:paraId="175019D8" w14:textId="67FDCDDD">
            <w:pPr>
              <w:pStyle w:val="TableTextBullet1"/>
              <w:rPr>
                <w:rFonts w:cs="Calibri"/>
                <w:color w:val="000000"/>
              </w:rPr>
            </w:pPr>
            <w:r>
              <w:rPr>
                <w:rFonts w:cs="Calibri"/>
                <w:color w:val="000000"/>
              </w:rPr>
              <w:t>4.18</w:t>
            </w:r>
          </w:p>
        </w:tc>
        <w:tc>
          <w:tcPr>
            <w:tcW w:w="1576" w:type="dxa"/>
          </w:tcPr>
          <w:p w:rsidR="007D030B" w:rsidP="007D030B" w:rsidRDefault="007D030B" w14:paraId="76FC42BD" w14:textId="0ECF8655">
            <w:pPr>
              <w:pStyle w:val="TableTextBullet1"/>
              <w:rPr>
                <w:rFonts w:cs="Calibri"/>
                <w:color w:val="000000"/>
              </w:rPr>
            </w:pPr>
            <w:r>
              <w:rPr>
                <w:rFonts w:cs="Calibri"/>
                <w:color w:val="000000"/>
              </w:rPr>
              <w:t>3.11</w:t>
            </w:r>
          </w:p>
        </w:tc>
      </w:tr>
      <w:tr w:rsidRPr="005252EF" w:rsidR="007D030B" w:rsidTr="00436072" w14:paraId="264581F8" w14:textId="77777777">
        <w:trPr>
          <w:trHeight w:val="288"/>
        </w:trPr>
        <w:tc>
          <w:tcPr>
            <w:tcW w:w="1049" w:type="dxa"/>
          </w:tcPr>
          <w:p w:rsidRPr="005252EF" w:rsidR="007D030B" w:rsidP="005A37BD" w:rsidRDefault="007D030B" w14:paraId="7F8F8014" w14:textId="5397BFF7">
            <w:pPr>
              <w:pStyle w:val="TableTextBullet1"/>
              <w:jc w:val="center"/>
            </w:pPr>
            <w:r w:rsidRPr="005252EF">
              <w:t>114</w:t>
            </w:r>
          </w:p>
        </w:tc>
        <w:tc>
          <w:tcPr>
            <w:tcW w:w="3933" w:type="dxa"/>
          </w:tcPr>
          <w:p w:rsidR="007D030B" w:rsidP="007D030B" w:rsidRDefault="007D030B" w14:paraId="3F317E45" w14:textId="7FAC3B65">
            <w:pPr>
              <w:pStyle w:val="TableTextBullet1"/>
            </w:pPr>
            <w:r>
              <w:t>Work with local retailers to increase healthy options</w:t>
            </w:r>
          </w:p>
        </w:tc>
        <w:tc>
          <w:tcPr>
            <w:tcW w:w="1620" w:type="dxa"/>
          </w:tcPr>
          <w:p w:rsidR="007D030B" w:rsidP="007D030B" w:rsidRDefault="007D030B" w14:paraId="68C5F268" w14:textId="0D6F9BA3">
            <w:pPr>
              <w:pStyle w:val="TableTextBullet1"/>
            </w:pPr>
            <w:r>
              <w:t>Healthy Retail</w:t>
            </w:r>
          </w:p>
        </w:tc>
        <w:tc>
          <w:tcPr>
            <w:tcW w:w="1124" w:type="dxa"/>
          </w:tcPr>
          <w:p w:rsidR="007D030B" w:rsidP="007D030B" w:rsidRDefault="007D030B" w14:paraId="0CF17BB7" w14:textId="0DB27F21">
            <w:pPr>
              <w:pStyle w:val="TableTextBullet1"/>
              <w:rPr>
                <w:rFonts w:cs="Calibri"/>
                <w:color w:val="000000"/>
              </w:rPr>
            </w:pPr>
            <w:r>
              <w:rPr>
                <w:rFonts w:cs="Calibri"/>
                <w:color w:val="000000"/>
              </w:rPr>
              <w:t>2.93</w:t>
            </w:r>
          </w:p>
        </w:tc>
        <w:tc>
          <w:tcPr>
            <w:tcW w:w="1576" w:type="dxa"/>
          </w:tcPr>
          <w:p w:rsidR="007D030B" w:rsidP="007D030B" w:rsidRDefault="007D030B" w14:paraId="2723DF98" w14:textId="13C3D056">
            <w:pPr>
              <w:pStyle w:val="TableTextBullet1"/>
              <w:rPr>
                <w:rFonts w:cs="Calibri"/>
                <w:color w:val="000000"/>
              </w:rPr>
            </w:pPr>
            <w:r>
              <w:rPr>
                <w:rFonts w:cs="Calibri"/>
                <w:color w:val="000000"/>
              </w:rPr>
              <w:t>2.72</w:t>
            </w:r>
          </w:p>
        </w:tc>
      </w:tr>
      <w:tr w:rsidRPr="005252EF" w:rsidR="007D030B" w:rsidTr="00436072" w14:paraId="09BECBDE" w14:textId="77777777">
        <w:trPr>
          <w:trHeight w:val="288"/>
        </w:trPr>
        <w:tc>
          <w:tcPr>
            <w:tcW w:w="1049" w:type="dxa"/>
          </w:tcPr>
          <w:p w:rsidRPr="005252EF" w:rsidR="007D030B" w:rsidP="005A37BD" w:rsidRDefault="007D030B" w14:paraId="22281C16" w14:textId="779FB52C">
            <w:pPr>
              <w:pStyle w:val="TableTextBullet1"/>
              <w:jc w:val="center"/>
            </w:pPr>
            <w:r w:rsidRPr="005252EF">
              <w:t>115</w:t>
            </w:r>
          </w:p>
        </w:tc>
        <w:tc>
          <w:tcPr>
            <w:tcW w:w="3933" w:type="dxa"/>
          </w:tcPr>
          <w:p w:rsidR="007D030B" w:rsidP="007D030B" w:rsidRDefault="007D030B" w14:paraId="77CA4517" w14:textId="44F65BA9">
            <w:pPr>
              <w:pStyle w:val="TableTextBullet1"/>
            </w:pPr>
            <w:r>
              <w:t>Provide culturally tailored nutrition education</w:t>
            </w:r>
          </w:p>
        </w:tc>
        <w:tc>
          <w:tcPr>
            <w:tcW w:w="1620" w:type="dxa"/>
          </w:tcPr>
          <w:p w:rsidR="007D030B" w:rsidP="007D030B" w:rsidRDefault="007D030B" w14:paraId="25C9800A" w14:textId="3A2733D8">
            <w:pPr>
              <w:pStyle w:val="TableTextBullet1"/>
            </w:pPr>
            <w:r>
              <w:t>Education</w:t>
            </w:r>
          </w:p>
        </w:tc>
        <w:tc>
          <w:tcPr>
            <w:tcW w:w="1124" w:type="dxa"/>
          </w:tcPr>
          <w:p w:rsidR="007D030B" w:rsidP="007D030B" w:rsidRDefault="007D030B" w14:paraId="3E41BCB3" w14:textId="0CFCA9F5">
            <w:pPr>
              <w:pStyle w:val="TableTextBullet1"/>
              <w:rPr>
                <w:rFonts w:cs="Calibri"/>
                <w:color w:val="000000"/>
              </w:rPr>
            </w:pPr>
            <w:r>
              <w:rPr>
                <w:rFonts w:cs="Calibri"/>
                <w:color w:val="000000"/>
              </w:rPr>
              <w:t>3.59</w:t>
            </w:r>
          </w:p>
        </w:tc>
        <w:tc>
          <w:tcPr>
            <w:tcW w:w="1576" w:type="dxa"/>
          </w:tcPr>
          <w:p w:rsidR="007D030B" w:rsidP="007D030B" w:rsidRDefault="007D030B" w14:paraId="7AF0FA49" w14:textId="5410D03A">
            <w:pPr>
              <w:pStyle w:val="TableTextBullet1"/>
              <w:rPr>
                <w:rFonts w:cs="Calibri"/>
                <w:color w:val="000000"/>
              </w:rPr>
            </w:pPr>
            <w:r>
              <w:rPr>
                <w:rFonts w:cs="Calibri"/>
                <w:color w:val="000000"/>
              </w:rPr>
              <w:t>2.86</w:t>
            </w:r>
          </w:p>
        </w:tc>
      </w:tr>
      <w:tr w:rsidRPr="005252EF" w:rsidR="007D030B" w:rsidTr="00436072" w14:paraId="3E84EE4D" w14:textId="77777777">
        <w:trPr>
          <w:trHeight w:val="288"/>
        </w:trPr>
        <w:tc>
          <w:tcPr>
            <w:tcW w:w="1049" w:type="dxa"/>
          </w:tcPr>
          <w:p w:rsidRPr="005252EF" w:rsidR="007D030B" w:rsidP="005A37BD" w:rsidRDefault="007D030B" w14:paraId="27C1BCCE" w14:textId="0CB6D937">
            <w:pPr>
              <w:pStyle w:val="TableTextBullet1"/>
              <w:jc w:val="center"/>
            </w:pPr>
            <w:r w:rsidRPr="005252EF">
              <w:t>116</w:t>
            </w:r>
          </w:p>
        </w:tc>
        <w:tc>
          <w:tcPr>
            <w:tcW w:w="3933" w:type="dxa"/>
          </w:tcPr>
          <w:p w:rsidR="007D030B" w:rsidP="007D030B" w:rsidRDefault="007D030B" w14:paraId="4E74E8BA" w14:textId="5DB7D344">
            <w:pPr>
              <w:pStyle w:val="TableTextBullet1"/>
            </w:pPr>
            <w:r>
              <w:t>Conduct expanded outreach and notification</w:t>
            </w:r>
          </w:p>
        </w:tc>
        <w:tc>
          <w:tcPr>
            <w:tcW w:w="1620" w:type="dxa"/>
          </w:tcPr>
          <w:p w:rsidR="007D030B" w:rsidP="007D030B" w:rsidRDefault="007D030B" w14:paraId="761102C1" w14:textId="7030D20F">
            <w:pPr>
              <w:pStyle w:val="TableTextBullet1"/>
            </w:pPr>
            <w:r>
              <w:t>Communication</w:t>
            </w:r>
          </w:p>
        </w:tc>
        <w:tc>
          <w:tcPr>
            <w:tcW w:w="1124" w:type="dxa"/>
          </w:tcPr>
          <w:p w:rsidR="007D030B" w:rsidP="007D030B" w:rsidRDefault="007D030B" w14:paraId="05A3A87E" w14:textId="1BF77B0B">
            <w:pPr>
              <w:pStyle w:val="TableTextBullet1"/>
              <w:rPr>
                <w:rFonts w:cs="Calibri"/>
                <w:color w:val="000000"/>
              </w:rPr>
            </w:pPr>
            <w:r>
              <w:rPr>
                <w:rFonts w:cs="Calibri"/>
                <w:color w:val="000000"/>
              </w:rPr>
              <w:t>1.38</w:t>
            </w:r>
          </w:p>
        </w:tc>
        <w:tc>
          <w:tcPr>
            <w:tcW w:w="1576" w:type="dxa"/>
          </w:tcPr>
          <w:p w:rsidR="007D030B" w:rsidP="007D030B" w:rsidRDefault="007D030B" w14:paraId="72839F58" w14:textId="00381690">
            <w:pPr>
              <w:pStyle w:val="TableTextBullet1"/>
              <w:rPr>
                <w:rFonts w:cs="Calibri"/>
                <w:color w:val="000000"/>
              </w:rPr>
            </w:pPr>
            <w:r>
              <w:rPr>
                <w:rFonts w:cs="Calibri"/>
                <w:color w:val="000000"/>
              </w:rPr>
              <w:t>4.74</w:t>
            </w:r>
          </w:p>
        </w:tc>
      </w:tr>
      <w:tr w:rsidRPr="005252EF" w:rsidR="007D030B" w:rsidTr="00436072" w14:paraId="69254FBC" w14:textId="77777777">
        <w:trPr>
          <w:trHeight w:val="288"/>
        </w:trPr>
        <w:tc>
          <w:tcPr>
            <w:tcW w:w="1049" w:type="dxa"/>
          </w:tcPr>
          <w:p w:rsidRPr="005252EF" w:rsidR="007D030B" w:rsidP="005A37BD" w:rsidRDefault="007D030B" w14:paraId="6672B6C5" w14:textId="5770CDF7">
            <w:pPr>
              <w:pStyle w:val="TableTextBullet1"/>
              <w:jc w:val="center"/>
            </w:pPr>
            <w:r w:rsidRPr="005252EF">
              <w:t>117</w:t>
            </w:r>
          </w:p>
        </w:tc>
        <w:tc>
          <w:tcPr>
            <w:tcW w:w="3933" w:type="dxa"/>
          </w:tcPr>
          <w:p w:rsidR="007D030B" w:rsidP="007D030B" w:rsidRDefault="007D030B" w14:paraId="59DA8BA4" w14:textId="1D9A6170">
            <w:pPr>
              <w:pStyle w:val="TableTextBullet1"/>
            </w:pPr>
            <w:r>
              <w:t>Create separate disaster relief program</w:t>
            </w:r>
          </w:p>
        </w:tc>
        <w:tc>
          <w:tcPr>
            <w:tcW w:w="1620" w:type="dxa"/>
          </w:tcPr>
          <w:p w:rsidR="007D030B" w:rsidP="007D030B" w:rsidRDefault="007D030B" w14:paraId="302C0359" w14:textId="4698BDF5">
            <w:pPr>
              <w:pStyle w:val="TableTextBullet1"/>
            </w:pPr>
            <w:r>
              <w:t>Federal Policy</w:t>
            </w:r>
          </w:p>
        </w:tc>
        <w:tc>
          <w:tcPr>
            <w:tcW w:w="1124" w:type="dxa"/>
          </w:tcPr>
          <w:p w:rsidR="007D030B" w:rsidP="007D030B" w:rsidRDefault="007D030B" w14:paraId="23892EF9" w14:textId="6CBC49A7">
            <w:pPr>
              <w:pStyle w:val="TableTextBullet1"/>
              <w:rPr>
                <w:rFonts w:cs="Calibri"/>
                <w:color w:val="000000"/>
              </w:rPr>
            </w:pPr>
            <w:r>
              <w:rPr>
                <w:rFonts w:cs="Calibri"/>
                <w:color w:val="000000"/>
              </w:rPr>
              <w:t>4.76</w:t>
            </w:r>
          </w:p>
        </w:tc>
        <w:tc>
          <w:tcPr>
            <w:tcW w:w="1576" w:type="dxa"/>
          </w:tcPr>
          <w:p w:rsidR="007D030B" w:rsidP="007D030B" w:rsidRDefault="007D030B" w14:paraId="60DBBE6D" w14:textId="0E6269DB">
            <w:pPr>
              <w:pStyle w:val="TableTextBullet1"/>
              <w:rPr>
                <w:rFonts w:cs="Calibri"/>
                <w:color w:val="000000"/>
              </w:rPr>
            </w:pPr>
            <w:r>
              <w:rPr>
                <w:rFonts w:cs="Calibri"/>
                <w:color w:val="000000"/>
              </w:rPr>
              <w:t>4.25</w:t>
            </w:r>
          </w:p>
        </w:tc>
      </w:tr>
      <w:tr w:rsidRPr="005252EF" w:rsidR="007D030B" w:rsidTr="00436072" w14:paraId="42D7CADB" w14:textId="77777777">
        <w:trPr>
          <w:trHeight w:val="288"/>
        </w:trPr>
        <w:tc>
          <w:tcPr>
            <w:tcW w:w="1049" w:type="dxa"/>
          </w:tcPr>
          <w:p w:rsidRPr="005252EF" w:rsidR="007D030B" w:rsidP="005A37BD" w:rsidRDefault="007D030B" w14:paraId="05921D8D" w14:textId="6B8E163D">
            <w:pPr>
              <w:pStyle w:val="TableTextBullet1"/>
              <w:jc w:val="center"/>
            </w:pPr>
            <w:r w:rsidRPr="005252EF">
              <w:t>118</w:t>
            </w:r>
          </w:p>
        </w:tc>
        <w:tc>
          <w:tcPr>
            <w:tcW w:w="3933" w:type="dxa"/>
          </w:tcPr>
          <w:p w:rsidR="007D030B" w:rsidP="007D030B" w:rsidRDefault="007D030B" w14:paraId="5184608C" w14:textId="26BB40EA">
            <w:pPr>
              <w:pStyle w:val="TableTextBullet1"/>
            </w:pPr>
            <w:r>
              <w:t>Provide additional training to program staff</w:t>
            </w:r>
          </w:p>
        </w:tc>
        <w:tc>
          <w:tcPr>
            <w:tcW w:w="1620" w:type="dxa"/>
          </w:tcPr>
          <w:p w:rsidR="007D030B" w:rsidP="007D030B" w:rsidRDefault="007D030B" w14:paraId="5E78A8C9" w14:textId="79D02F0E">
            <w:pPr>
              <w:pStyle w:val="TableTextBullet1"/>
            </w:pPr>
            <w:r>
              <w:t>Program Administration</w:t>
            </w:r>
          </w:p>
        </w:tc>
        <w:tc>
          <w:tcPr>
            <w:tcW w:w="1124" w:type="dxa"/>
          </w:tcPr>
          <w:p w:rsidR="007D030B" w:rsidP="007D030B" w:rsidRDefault="007D030B" w14:paraId="55EFFD43" w14:textId="42AA2685">
            <w:pPr>
              <w:pStyle w:val="TableTextBullet1"/>
              <w:rPr>
                <w:rFonts w:cs="Calibri"/>
                <w:color w:val="000000"/>
              </w:rPr>
            </w:pPr>
            <w:r>
              <w:rPr>
                <w:rFonts w:cs="Calibri"/>
                <w:color w:val="000000"/>
              </w:rPr>
              <w:t>4.25</w:t>
            </w:r>
          </w:p>
        </w:tc>
        <w:tc>
          <w:tcPr>
            <w:tcW w:w="1576" w:type="dxa"/>
          </w:tcPr>
          <w:p w:rsidR="007D030B" w:rsidP="007D030B" w:rsidRDefault="007D030B" w14:paraId="72D3CFCC" w14:textId="14948EAA">
            <w:pPr>
              <w:pStyle w:val="TableTextBullet1"/>
              <w:rPr>
                <w:rFonts w:cs="Calibri"/>
                <w:color w:val="000000"/>
              </w:rPr>
            </w:pPr>
            <w:r>
              <w:rPr>
                <w:rFonts w:cs="Calibri"/>
                <w:color w:val="000000"/>
              </w:rPr>
              <w:t>1.45</w:t>
            </w:r>
          </w:p>
        </w:tc>
      </w:tr>
      <w:tr w:rsidRPr="005252EF" w:rsidR="007D030B" w:rsidTr="00436072" w14:paraId="4E9B12C6" w14:textId="77777777">
        <w:trPr>
          <w:trHeight w:val="288"/>
        </w:trPr>
        <w:tc>
          <w:tcPr>
            <w:tcW w:w="1049" w:type="dxa"/>
          </w:tcPr>
          <w:p w:rsidRPr="005252EF" w:rsidR="007D030B" w:rsidP="005A37BD" w:rsidRDefault="007D030B" w14:paraId="370322B5" w14:textId="2E2C1624">
            <w:pPr>
              <w:pStyle w:val="TableTextBullet1"/>
              <w:jc w:val="center"/>
            </w:pPr>
            <w:r w:rsidRPr="005252EF">
              <w:t>119</w:t>
            </w:r>
          </w:p>
        </w:tc>
        <w:tc>
          <w:tcPr>
            <w:tcW w:w="3933" w:type="dxa"/>
          </w:tcPr>
          <w:p w:rsidR="007D030B" w:rsidP="007D030B" w:rsidRDefault="007D030B" w14:paraId="0E574A74" w14:textId="6C5A1F3E">
            <w:pPr>
              <w:pStyle w:val="TableTextBullet1"/>
            </w:pPr>
            <w:r>
              <w:t>Develop new methods of communicating with benefit recipients</w:t>
            </w:r>
          </w:p>
        </w:tc>
        <w:tc>
          <w:tcPr>
            <w:tcW w:w="1620" w:type="dxa"/>
          </w:tcPr>
          <w:p w:rsidR="007D030B" w:rsidP="007D030B" w:rsidRDefault="007D030B" w14:paraId="45D00FAB" w14:textId="586D8841">
            <w:pPr>
              <w:pStyle w:val="TableTextBullet1"/>
            </w:pPr>
            <w:r>
              <w:t>Communication</w:t>
            </w:r>
          </w:p>
        </w:tc>
        <w:tc>
          <w:tcPr>
            <w:tcW w:w="1124" w:type="dxa"/>
          </w:tcPr>
          <w:p w:rsidR="007D030B" w:rsidP="007D030B" w:rsidRDefault="007D030B" w14:paraId="59F5F08E" w14:textId="7D1113D4">
            <w:pPr>
              <w:pStyle w:val="TableTextBullet1"/>
              <w:rPr>
                <w:rFonts w:cs="Calibri"/>
                <w:color w:val="000000"/>
              </w:rPr>
            </w:pPr>
            <w:r>
              <w:rPr>
                <w:rFonts w:cs="Calibri"/>
                <w:color w:val="000000"/>
              </w:rPr>
              <w:t>1.45</w:t>
            </w:r>
          </w:p>
        </w:tc>
        <w:tc>
          <w:tcPr>
            <w:tcW w:w="1576" w:type="dxa"/>
          </w:tcPr>
          <w:p w:rsidR="007D030B" w:rsidP="007D030B" w:rsidRDefault="007D030B" w14:paraId="4B1A64D5" w14:textId="1332B3A4">
            <w:pPr>
              <w:pStyle w:val="TableTextBullet1"/>
              <w:rPr>
                <w:rFonts w:cs="Calibri"/>
                <w:color w:val="000000"/>
              </w:rPr>
            </w:pPr>
            <w:r>
              <w:rPr>
                <w:rFonts w:cs="Calibri"/>
                <w:color w:val="000000"/>
              </w:rPr>
              <w:t>3.12</w:t>
            </w:r>
          </w:p>
        </w:tc>
      </w:tr>
      <w:tr w:rsidRPr="005252EF" w:rsidR="007D030B" w:rsidTr="00436072" w14:paraId="777A8024" w14:textId="77777777">
        <w:trPr>
          <w:trHeight w:val="288"/>
        </w:trPr>
        <w:tc>
          <w:tcPr>
            <w:tcW w:w="1049" w:type="dxa"/>
          </w:tcPr>
          <w:p w:rsidRPr="005252EF" w:rsidR="007D030B" w:rsidP="005A37BD" w:rsidRDefault="007D030B" w14:paraId="7A9E45D1" w14:textId="3192DBFE">
            <w:pPr>
              <w:pStyle w:val="TableTextBullet1"/>
              <w:jc w:val="center"/>
            </w:pPr>
            <w:r w:rsidRPr="005252EF">
              <w:t>120</w:t>
            </w:r>
          </w:p>
        </w:tc>
        <w:tc>
          <w:tcPr>
            <w:tcW w:w="3933" w:type="dxa"/>
          </w:tcPr>
          <w:p w:rsidR="007D030B" w:rsidP="007D030B" w:rsidRDefault="007D030B" w14:paraId="24E96DFF" w14:textId="6A0E73DE">
            <w:pPr>
              <w:pStyle w:val="TableTextBullet1"/>
            </w:pPr>
            <w:r>
              <w:t>Shift NAP to an entitlement program</w:t>
            </w:r>
          </w:p>
        </w:tc>
        <w:tc>
          <w:tcPr>
            <w:tcW w:w="1620" w:type="dxa"/>
          </w:tcPr>
          <w:p w:rsidR="007D030B" w:rsidP="007D030B" w:rsidRDefault="007D030B" w14:paraId="2A2D87E9" w14:textId="477FE842">
            <w:pPr>
              <w:pStyle w:val="TableTextBullet1"/>
            </w:pPr>
            <w:r>
              <w:t>Federal Policy</w:t>
            </w:r>
          </w:p>
        </w:tc>
        <w:tc>
          <w:tcPr>
            <w:tcW w:w="1124" w:type="dxa"/>
          </w:tcPr>
          <w:p w:rsidR="007D030B" w:rsidP="007D030B" w:rsidRDefault="007D030B" w14:paraId="2FC3B8EE" w14:textId="10FE194D">
            <w:pPr>
              <w:pStyle w:val="TableTextBullet1"/>
              <w:rPr>
                <w:rFonts w:cs="Calibri"/>
                <w:color w:val="000000"/>
              </w:rPr>
            </w:pPr>
            <w:r>
              <w:rPr>
                <w:rFonts w:cs="Calibri"/>
                <w:color w:val="000000"/>
              </w:rPr>
              <w:t>3.12</w:t>
            </w:r>
          </w:p>
        </w:tc>
        <w:tc>
          <w:tcPr>
            <w:tcW w:w="1576" w:type="dxa"/>
          </w:tcPr>
          <w:p w:rsidR="007D030B" w:rsidP="007D030B" w:rsidRDefault="007D030B" w14:paraId="029A60A6" w14:textId="7F1D52F8">
            <w:pPr>
              <w:pStyle w:val="TableTextBullet1"/>
              <w:rPr>
                <w:rFonts w:cs="Calibri"/>
                <w:color w:val="000000"/>
              </w:rPr>
            </w:pPr>
            <w:r>
              <w:rPr>
                <w:rFonts w:cs="Calibri"/>
                <w:color w:val="000000"/>
              </w:rPr>
              <w:t>3.17</w:t>
            </w:r>
          </w:p>
        </w:tc>
      </w:tr>
    </w:tbl>
    <w:p w:rsidR="007D030B" w:rsidP="008035E0" w:rsidRDefault="007D030B" w14:paraId="327125AF" w14:textId="7363A7A1">
      <w:pPr>
        <w:spacing w:before="240"/>
      </w:pPr>
      <w:r w:rsidRPr="00C6060A">
        <w:rPr>
          <w:b/>
          <w:bCs/>
        </w:rPr>
        <w:t xml:space="preserve">Cluster </w:t>
      </w:r>
      <w:r w:rsidR="00B144BD">
        <w:rPr>
          <w:b/>
          <w:bCs/>
        </w:rPr>
        <w:t>m</w:t>
      </w:r>
      <w:r w:rsidRPr="00C6060A">
        <w:rPr>
          <w:b/>
          <w:bCs/>
        </w:rPr>
        <w:t>aps</w:t>
      </w:r>
      <w:r>
        <w:t xml:space="preserve">. Figure 1 presents a cluster map with data points indicating the statements nested within each cluster. The cluster map in </w:t>
      </w:r>
      <w:r w:rsidR="004B1AF8">
        <w:t>f</w:t>
      </w:r>
      <w:r>
        <w:t xml:space="preserve">igure 1 represents a </w:t>
      </w:r>
      <w:r w:rsidR="004B1AF8">
        <w:t>five</w:t>
      </w:r>
      <w:r>
        <w:t>-cluster solution. The cluster map is created through a multidimensional scaling analysis that us</w:t>
      </w:r>
      <w:r w:rsidR="004B1AF8">
        <w:t>es</w:t>
      </w:r>
      <w:r>
        <w:t xml:space="preserve"> the sorting data provided by stakeholder participants to generate groups based on common patterns of similarity. </w:t>
      </w:r>
    </w:p>
    <w:p w:rsidR="007D030B" w:rsidP="007D030B" w:rsidRDefault="007D030B" w14:paraId="39BF7A00" w14:textId="5B1267D9">
      <w:pPr>
        <w:pStyle w:val="FigureTitle-IPR"/>
      </w:pPr>
      <w:r>
        <w:t xml:space="preserve">Figure 1. Example of a Cluster Map: </w:t>
      </w:r>
      <w:r w:rsidR="004B1AF8">
        <w:t>Five-</w:t>
      </w:r>
      <w:r>
        <w:t>Cluster Solution</w:t>
      </w:r>
    </w:p>
    <w:p w:rsidR="007D030B" w:rsidP="00C36593" w:rsidRDefault="007D030B" w14:paraId="01B81A29" w14:textId="77777777">
      <w:r>
        <w:rPr>
          <w:noProof/>
        </w:rPr>
        <w:drawing>
          <wp:inline distT="0" distB="0" distL="0" distR="0" wp14:anchorId="2BC8478B" wp14:editId="2C9F5F22">
            <wp:extent cx="4542970" cy="3122930"/>
            <wp:effectExtent l="0" t="0" r="0" b="127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a:picLocks noChangeAspect="1" noChangeArrowheads="1"/>
                    </pic:cNvPicPr>
                  </pic:nvPicPr>
                  <pic:blipFill rotWithShape="1">
                    <a:blip r:embed="rId8">
                      <a:alphaModFix amt="53000"/>
                      <a:extLst>
                        <a:ext uri="{28A0092B-C50C-407E-A947-70E740481C1C}">
                          <a14:useLocalDpi xmlns:a14="http://schemas.microsoft.com/office/drawing/2010/main" val="0"/>
                        </a:ext>
                      </a:extLst>
                    </a:blip>
                    <a:srcRect t="4095"/>
                    <a:stretch/>
                  </pic:blipFill>
                  <pic:spPr bwMode="auto">
                    <a:xfrm>
                      <a:off x="0" y="0"/>
                      <a:ext cx="4564476" cy="3137714"/>
                    </a:xfrm>
                    <a:prstGeom prst="rect">
                      <a:avLst/>
                    </a:prstGeom>
                    <a:noFill/>
                    <a:ln>
                      <a:noFill/>
                    </a:ln>
                    <a:extLst>
                      <a:ext uri="{53640926-AAD7-44D8-BBD7-CCE9431645EC}">
                        <a14:shadowObscured xmlns:a14="http://schemas.microsoft.com/office/drawing/2010/main"/>
                      </a:ext>
                    </a:extLst>
                  </pic:spPr>
                </pic:pic>
              </a:graphicData>
            </a:graphic>
          </wp:inline>
        </w:drawing>
      </w:r>
    </w:p>
    <w:p w:rsidR="007D030B" w:rsidP="008035E0" w:rsidRDefault="007D030B" w14:paraId="0ED0474D" w14:textId="77777777">
      <w:pPr>
        <w:keepNext/>
      </w:pPr>
      <w:r>
        <w:lastRenderedPageBreak/>
        <w:t>The following text is an example of how the cluster results would be described to the stakeholders:</w:t>
      </w:r>
    </w:p>
    <w:p w:rsidRPr="00F227FB" w:rsidR="007D030B" w:rsidP="00C36593" w:rsidRDefault="007D030B" w14:paraId="674C157C" w14:textId="03114BD4">
      <w:pPr>
        <w:ind w:left="720"/>
        <w:rPr>
          <w:i/>
          <w:iCs/>
        </w:rPr>
      </w:pPr>
      <w:r w:rsidRPr="00F227FB">
        <w:rPr>
          <w:i/>
          <w:iCs/>
        </w:rPr>
        <w:t xml:space="preserve">The 120 printed statements were grouped on average into </w:t>
      </w:r>
      <w:proofErr w:type="spellStart"/>
      <w:proofErr w:type="gramStart"/>
      <w:r w:rsidRPr="00F227FB">
        <w:rPr>
          <w:i/>
          <w:iCs/>
        </w:rPr>
        <w:t>XX.yy</w:t>
      </w:r>
      <w:proofErr w:type="spellEnd"/>
      <w:proofErr w:type="gramEnd"/>
      <w:r w:rsidRPr="00F227FB">
        <w:rPr>
          <w:i/>
          <w:iCs/>
        </w:rPr>
        <w:t xml:space="preserve"> (SD = </w:t>
      </w:r>
      <w:proofErr w:type="spellStart"/>
      <w:r w:rsidRPr="00F227FB">
        <w:rPr>
          <w:i/>
          <w:iCs/>
        </w:rPr>
        <w:t>x.yy</w:t>
      </w:r>
      <w:proofErr w:type="spellEnd"/>
      <w:r w:rsidRPr="00F227FB">
        <w:rPr>
          <w:i/>
          <w:iCs/>
        </w:rPr>
        <w:t>) clusters (range = 2</w:t>
      </w:r>
      <w:r w:rsidR="00B144BD">
        <w:rPr>
          <w:i/>
          <w:iCs/>
        </w:rPr>
        <w:t>–</w:t>
      </w:r>
      <w:r>
        <w:rPr>
          <w:i/>
          <w:iCs/>
        </w:rPr>
        <w:t>1</w:t>
      </w:r>
      <w:r w:rsidRPr="00F227FB">
        <w:rPr>
          <w:i/>
          <w:iCs/>
        </w:rPr>
        <w:t xml:space="preserve">0). The number of statements per cluster varied from Y to Z and averaged </w:t>
      </w:r>
      <w:proofErr w:type="spellStart"/>
      <w:proofErr w:type="gramStart"/>
      <w:r w:rsidRPr="00F227FB">
        <w:rPr>
          <w:i/>
          <w:iCs/>
        </w:rPr>
        <w:t>XX.yy</w:t>
      </w:r>
      <w:proofErr w:type="spellEnd"/>
      <w:proofErr w:type="gramEnd"/>
      <w:r w:rsidRPr="00F227FB">
        <w:rPr>
          <w:i/>
          <w:iCs/>
        </w:rPr>
        <w:t xml:space="preserve"> (SD = </w:t>
      </w:r>
      <w:proofErr w:type="spellStart"/>
      <w:r w:rsidRPr="00F227FB">
        <w:rPr>
          <w:i/>
          <w:iCs/>
        </w:rPr>
        <w:t>x.yy</w:t>
      </w:r>
      <w:proofErr w:type="spellEnd"/>
      <w:r w:rsidRPr="00F227FB">
        <w:rPr>
          <w:i/>
          <w:iCs/>
        </w:rPr>
        <w:t>). Based on the piles of statements made by participants, the MDS analysis produced an interpretable point map that displayed the 120 statements (</w:t>
      </w:r>
      <w:r w:rsidR="004B1AF8">
        <w:rPr>
          <w:i/>
          <w:iCs/>
        </w:rPr>
        <w:t>s</w:t>
      </w:r>
      <w:r w:rsidRPr="00F227FB">
        <w:rPr>
          <w:i/>
          <w:iCs/>
        </w:rPr>
        <w:t xml:space="preserve">ee </w:t>
      </w:r>
      <w:r w:rsidR="004B1AF8">
        <w:rPr>
          <w:i/>
          <w:iCs/>
        </w:rPr>
        <w:t>a</w:t>
      </w:r>
      <w:r w:rsidRPr="00F227FB">
        <w:rPr>
          <w:i/>
          <w:iCs/>
        </w:rPr>
        <w:t xml:space="preserve">ppendix A for a complete list of the statements). Each of the 120 statements </w:t>
      </w:r>
      <w:r w:rsidR="004B1AF8">
        <w:rPr>
          <w:i/>
          <w:iCs/>
        </w:rPr>
        <w:t>is</w:t>
      </w:r>
      <w:r w:rsidRPr="00F227FB" w:rsidR="004B1AF8">
        <w:rPr>
          <w:i/>
          <w:iCs/>
        </w:rPr>
        <w:t xml:space="preserve"> </w:t>
      </w:r>
      <w:r w:rsidRPr="00F227FB">
        <w:rPr>
          <w:i/>
          <w:iCs/>
        </w:rPr>
        <w:t xml:space="preserve">indicated on the map by a dot and number (see </w:t>
      </w:r>
      <w:r w:rsidR="004B1AF8">
        <w:rPr>
          <w:i/>
          <w:iCs/>
        </w:rPr>
        <w:t>f</w:t>
      </w:r>
      <w:r w:rsidRPr="00F227FB">
        <w:rPr>
          <w:i/>
          <w:iCs/>
        </w:rPr>
        <w:t xml:space="preserve">igure 1). </w:t>
      </w:r>
    </w:p>
    <w:p w:rsidRPr="00F227FB" w:rsidR="007D030B" w:rsidP="00C36593" w:rsidRDefault="007D030B" w14:paraId="6CE135F2" w14:textId="34F07B1F">
      <w:pPr>
        <w:ind w:left="720"/>
        <w:rPr>
          <w:i/>
          <w:iCs/>
        </w:rPr>
      </w:pPr>
      <w:r w:rsidRPr="00F227FB">
        <w:rPr>
          <w:i/>
          <w:iCs/>
        </w:rPr>
        <w:t xml:space="preserve">More similar or related statements are located </w:t>
      </w:r>
      <w:r w:rsidR="00B144BD">
        <w:rPr>
          <w:i/>
          <w:iCs/>
        </w:rPr>
        <w:t>closer to</w:t>
      </w:r>
      <w:r w:rsidRPr="00F227FB" w:rsidR="00B144BD">
        <w:rPr>
          <w:i/>
          <w:iCs/>
        </w:rPr>
        <w:t xml:space="preserve"> </w:t>
      </w:r>
      <w:r w:rsidRPr="00F227FB">
        <w:rPr>
          <w:i/>
          <w:iCs/>
        </w:rPr>
        <w:t xml:space="preserve">each other on the map, reflecting a high degree of conceptual similarity as judged by participants. Distance between dots would not change if the map </w:t>
      </w:r>
      <w:r w:rsidR="00A96970">
        <w:rPr>
          <w:i/>
          <w:iCs/>
        </w:rPr>
        <w:t>were</w:t>
      </w:r>
      <w:r w:rsidRPr="00F227FB" w:rsidR="00A96970">
        <w:rPr>
          <w:i/>
          <w:iCs/>
        </w:rPr>
        <w:t xml:space="preserve"> </w:t>
      </w:r>
      <w:r w:rsidRPr="00F227FB">
        <w:rPr>
          <w:i/>
          <w:iCs/>
        </w:rPr>
        <w:t xml:space="preserve">rotated or if clusters were modified. The cluster map consists of irregular geometric shapes that define the concept domains on the point map. The research team selected the </w:t>
      </w:r>
      <w:r>
        <w:rPr>
          <w:i/>
          <w:iCs/>
        </w:rPr>
        <w:t>5</w:t>
      </w:r>
      <w:r w:rsidRPr="00F227FB">
        <w:rPr>
          <w:i/>
          <w:iCs/>
        </w:rPr>
        <w:t xml:space="preserve">-cluster solution because the </w:t>
      </w:r>
      <w:r>
        <w:rPr>
          <w:i/>
          <w:iCs/>
        </w:rPr>
        <w:t>6</w:t>
      </w:r>
      <w:r w:rsidRPr="00F227FB">
        <w:rPr>
          <w:i/>
          <w:iCs/>
        </w:rPr>
        <w:t>-cluster solution divided cluster 1 into 2 distinct clusters, but their content overlapped</w:t>
      </w:r>
      <w:r w:rsidR="004B1AF8">
        <w:rPr>
          <w:i/>
          <w:iCs/>
        </w:rPr>
        <w:t>,</w:t>
      </w:r>
      <w:r w:rsidRPr="00F227FB">
        <w:rPr>
          <w:i/>
          <w:iCs/>
        </w:rPr>
        <w:t xml:space="preserve"> and the </w:t>
      </w:r>
      <w:r>
        <w:rPr>
          <w:i/>
          <w:iCs/>
        </w:rPr>
        <w:t>4</w:t>
      </w:r>
      <w:r w:rsidRPr="00F227FB">
        <w:rPr>
          <w:i/>
          <w:iCs/>
        </w:rPr>
        <w:t>-cluster solution regrouped clusters 11 and 10</w:t>
      </w:r>
      <w:r w:rsidR="004B1AF8">
        <w:rPr>
          <w:i/>
          <w:iCs/>
        </w:rPr>
        <w:t>,</w:t>
      </w:r>
      <w:r w:rsidRPr="00F227FB">
        <w:rPr>
          <w:i/>
          <w:iCs/>
        </w:rPr>
        <w:t xml:space="preserve"> which appear to bring distinctive elements into the conceptualization.</w:t>
      </w:r>
    </w:p>
    <w:p w:rsidR="007D030B" w:rsidP="00C36593" w:rsidRDefault="007D030B" w14:paraId="16DF8771" w14:textId="77D0B375">
      <w:r w:rsidRPr="00C6060A">
        <w:rPr>
          <w:b/>
          <w:bCs/>
        </w:rPr>
        <w:t>Go-Zone Diagrams</w:t>
      </w:r>
      <w:r>
        <w:t>. The Go-Zone diagram (</w:t>
      </w:r>
      <w:r w:rsidR="004B1AF8">
        <w:t>f</w:t>
      </w:r>
      <w:r>
        <w:t>igure 2) is an efficient visualization for recognizing which ideas the stakeholder group</w:t>
      </w:r>
      <w:r w:rsidRPr="004B1AF8" w:rsidR="004B1AF8">
        <w:t xml:space="preserve"> </w:t>
      </w:r>
      <w:r w:rsidR="004B1AF8">
        <w:t>views as actionable</w:t>
      </w:r>
      <w:r>
        <w:t>. The axes reflect the rating criteria and determine the dimensions of the space; in this case</w:t>
      </w:r>
      <w:r w:rsidR="004B1AF8">
        <w:t>,</w:t>
      </w:r>
      <w:r>
        <w:t xml:space="preserve"> a two-dimensional diagram is generated. </w:t>
      </w:r>
      <w:r w:rsidR="00B144BD">
        <w:t>E</w:t>
      </w:r>
      <w:r>
        <w:t>xample</w:t>
      </w:r>
      <w:r w:rsidR="00B144BD">
        <w:t>s</w:t>
      </w:r>
      <w:r>
        <w:t xml:space="preserve"> of potential rating dimensions </w:t>
      </w:r>
      <w:r w:rsidR="00B144BD">
        <w:t>are</w:t>
      </w:r>
      <w:r>
        <w:t xml:space="preserve"> </w:t>
      </w:r>
      <w:r w:rsidR="004B1AF8">
        <w:t>p</w:t>
      </w:r>
      <w:r>
        <w:t xml:space="preserve">otential </w:t>
      </w:r>
      <w:r w:rsidR="004B1AF8">
        <w:t>i</w:t>
      </w:r>
      <w:r>
        <w:t xml:space="preserve">mpact and </w:t>
      </w:r>
      <w:r w:rsidR="00B144BD">
        <w:t xml:space="preserve">implementation </w:t>
      </w:r>
      <w:r w:rsidR="004B1AF8">
        <w:t>f</w:t>
      </w:r>
      <w:r>
        <w:t>easibility. The bisecting lines indicate the mean rating for the rating criteria</w:t>
      </w:r>
      <w:r w:rsidR="004B1AF8">
        <w:t>,</w:t>
      </w:r>
      <w:r>
        <w:t xml:space="preserve"> and the green quadrant in the upper left corner represents the </w:t>
      </w:r>
      <w:r w:rsidR="004B1AF8">
        <w:t>G</w:t>
      </w:r>
      <w:r>
        <w:t>o-</w:t>
      </w:r>
      <w:r w:rsidR="004B1AF8">
        <w:t>Z</w:t>
      </w:r>
      <w:r>
        <w:t>one</w:t>
      </w:r>
      <w:r w:rsidR="004B1AF8">
        <w:t xml:space="preserve">, </w:t>
      </w:r>
      <w:r>
        <w:t xml:space="preserve">which would identify ideas rated high (greater than the mean) in </w:t>
      </w:r>
      <w:r w:rsidR="004B1AF8">
        <w:t>p</w:t>
      </w:r>
      <w:r>
        <w:t xml:space="preserve">otential </w:t>
      </w:r>
      <w:r w:rsidR="004B1AF8">
        <w:t>i</w:t>
      </w:r>
      <w:r>
        <w:t xml:space="preserve">mpact and </w:t>
      </w:r>
      <w:r w:rsidR="00B144BD">
        <w:t xml:space="preserve">implementation </w:t>
      </w:r>
      <w:r w:rsidR="004B1AF8">
        <w:t>f</w:t>
      </w:r>
      <w:r>
        <w:t xml:space="preserve">easibility. In contrast, the grey zone would identify ideas rated low in </w:t>
      </w:r>
      <w:r w:rsidR="004B1AF8">
        <w:t>p</w:t>
      </w:r>
      <w:r>
        <w:t xml:space="preserve">otential </w:t>
      </w:r>
      <w:r w:rsidR="004B1AF8">
        <w:t>i</w:t>
      </w:r>
      <w:r>
        <w:t xml:space="preserve">mpact and </w:t>
      </w:r>
      <w:r w:rsidR="004B1AF8">
        <w:t>f</w:t>
      </w:r>
      <w:r>
        <w:t>easibility.</w:t>
      </w:r>
    </w:p>
    <w:p w:rsidR="00570E99" w:rsidP="00C36593" w:rsidRDefault="00570E99" w14:paraId="1C817B54" w14:textId="77777777"/>
    <w:p w:rsidR="007D030B" w:rsidP="007D030B" w:rsidRDefault="007D030B" w14:paraId="185BBDB7" w14:textId="77777777">
      <w:pPr>
        <w:pStyle w:val="FigureTitle-IPR"/>
      </w:pPr>
      <w:r>
        <w:t>Figure 2. Example of a Go-Zone Diagram</w:t>
      </w:r>
    </w:p>
    <w:p w:rsidR="007D030B" w:rsidP="00C36593" w:rsidRDefault="007D030B" w14:paraId="1289C9C9" w14:textId="77777777">
      <w:r>
        <w:rPr>
          <w:noProof/>
        </w:rPr>
        <w:drawing>
          <wp:inline distT="0" distB="0" distL="0" distR="0" wp14:anchorId="2B2831AD" wp14:editId="1999FDB7">
            <wp:extent cx="4761230" cy="3000057"/>
            <wp:effectExtent l="0" t="0" r="1270" b="0"/>
            <wp:docPr id="3" name="Picture 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reemap char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3078"/>
                    <a:stretch/>
                  </pic:blipFill>
                  <pic:spPr bwMode="auto">
                    <a:xfrm>
                      <a:off x="0" y="0"/>
                      <a:ext cx="4767763" cy="3004173"/>
                    </a:xfrm>
                    <a:prstGeom prst="rect">
                      <a:avLst/>
                    </a:prstGeom>
                    <a:noFill/>
                    <a:ln>
                      <a:noFill/>
                    </a:ln>
                    <a:extLst>
                      <a:ext uri="{53640926-AAD7-44D8-BBD7-CCE9431645EC}">
                        <a14:shadowObscured xmlns:a14="http://schemas.microsoft.com/office/drawing/2010/main"/>
                      </a:ext>
                    </a:extLst>
                  </pic:spPr>
                </pic:pic>
              </a:graphicData>
            </a:graphic>
          </wp:inline>
        </w:drawing>
      </w:r>
    </w:p>
    <w:p w:rsidR="007D030B" w:rsidP="00C36593" w:rsidRDefault="007D030B" w14:paraId="4B0ECF41" w14:textId="77777777">
      <w:r>
        <w:lastRenderedPageBreak/>
        <w:t>The following text is an example of how the cluster results would be described to the stakeholders:</w:t>
      </w:r>
    </w:p>
    <w:p w:rsidR="00570E99" w:rsidP="00570E99" w:rsidRDefault="007D030B" w14:paraId="74E46098" w14:textId="230EBA74">
      <w:pPr>
        <w:ind w:left="720"/>
        <w:rPr>
          <w:i/>
          <w:iCs/>
        </w:rPr>
      </w:pPr>
      <w:r w:rsidRPr="00F227FB">
        <w:rPr>
          <w:i/>
          <w:iCs/>
        </w:rPr>
        <w:t xml:space="preserve">Figure 2 shows the Go-Zone chart for all statements. It is noteworthy that, as shown visually by the chart, most statements had similar rankings for both </w:t>
      </w:r>
      <w:r w:rsidR="009B2BCC">
        <w:rPr>
          <w:i/>
          <w:iCs/>
        </w:rPr>
        <w:t>p</w:t>
      </w:r>
      <w:r>
        <w:rPr>
          <w:i/>
          <w:iCs/>
        </w:rPr>
        <w:t xml:space="preserve">otential </w:t>
      </w:r>
      <w:r w:rsidR="009B2BCC">
        <w:rPr>
          <w:i/>
          <w:iCs/>
        </w:rPr>
        <w:t>i</w:t>
      </w:r>
      <w:r>
        <w:rPr>
          <w:i/>
          <w:iCs/>
        </w:rPr>
        <w:t>mpact</w:t>
      </w:r>
      <w:r w:rsidRPr="00F227FB">
        <w:rPr>
          <w:i/>
          <w:iCs/>
        </w:rPr>
        <w:t xml:space="preserve"> and </w:t>
      </w:r>
      <w:r w:rsidR="009B2BCC">
        <w:rPr>
          <w:i/>
          <w:iCs/>
        </w:rPr>
        <w:t>f</w:t>
      </w:r>
      <w:r>
        <w:rPr>
          <w:i/>
          <w:iCs/>
        </w:rPr>
        <w:t>easibility</w:t>
      </w:r>
      <w:r w:rsidRPr="00F227FB">
        <w:rPr>
          <w:i/>
          <w:iCs/>
        </w:rPr>
        <w:t>. There were some exceptions to this</w:t>
      </w:r>
      <w:r w:rsidR="009B2BCC">
        <w:rPr>
          <w:i/>
          <w:iCs/>
        </w:rPr>
        <w:t xml:space="preserve"> trend</w:t>
      </w:r>
      <w:r w:rsidRPr="00F227FB">
        <w:rPr>
          <w:i/>
          <w:iCs/>
        </w:rPr>
        <w:t xml:space="preserve">; for example, the idea of a streamlined application process and eligibility rules for NAP (statement 15) was rated higher for </w:t>
      </w:r>
      <w:r>
        <w:rPr>
          <w:i/>
          <w:iCs/>
        </w:rPr>
        <w:t>potential impact</w:t>
      </w:r>
      <w:r w:rsidRPr="00F227FB">
        <w:rPr>
          <w:i/>
          <w:iCs/>
        </w:rPr>
        <w:t xml:space="preserve"> than for </w:t>
      </w:r>
      <w:r w:rsidR="00A96970">
        <w:rPr>
          <w:i/>
          <w:iCs/>
        </w:rPr>
        <w:t>implementation</w:t>
      </w:r>
      <w:r w:rsidRPr="00F227FB" w:rsidR="00A96970">
        <w:rPr>
          <w:i/>
          <w:iCs/>
        </w:rPr>
        <w:t xml:space="preserve"> </w:t>
      </w:r>
      <w:proofErr w:type="gramStart"/>
      <w:r>
        <w:rPr>
          <w:i/>
          <w:iCs/>
        </w:rPr>
        <w:t>feasibility</w:t>
      </w:r>
      <w:r w:rsidR="009B2BCC">
        <w:rPr>
          <w:i/>
          <w:iCs/>
        </w:rPr>
        <w:t>,</w:t>
      </w:r>
      <w:r w:rsidRPr="00F227FB">
        <w:rPr>
          <w:i/>
          <w:iCs/>
        </w:rPr>
        <w:t xml:space="preserve"> and</w:t>
      </w:r>
      <w:proofErr w:type="gramEnd"/>
      <w:r w:rsidRPr="00F227FB">
        <w:rPr>
          <w:i/>
          <w:iCs/>
        </w:rPr>
        <w:t xml:space="preserve"> understanding the determinants of food insecurity (statement 6) was rated higher for </w:t>
      </w:r>
      <w:r>
        <w:rPr>
          <w:i/>
          <w:iCs/>
        </w:rPr>
        <w:t xml:space="preserve">feasibility </w:t>
      </w:r>
      <w:r w:rsidRPr="00F227FB">
        <w:rPr>
          <w:i/>
          <w:iCs/>
        </w:rPr>
        <w:t xml:space="preserve">than for </w:t>
      </w:r>
      <w:r>
        <w:rPr>
          <w:i/>
          <w:iCs/>
        </w:rPr>
        <w:t>potential impact</w:t>
      </w:r>
      <w:r w:rsidRPr="00F227FB">
        <w:rPr>
          <w:i/>
          <w:iCs/>
        </w:rPr>
        <w:t xml:space="preserve">. The statements that were ranked among the lowest for both </w:t>
      </w:r>
      <w:r>
        <w:rPr>
          <w:i/>
          <w:iCs/>
        </w:rPr>
        <w:t>potential impact and feasibility</w:t>
      </w:r>
      <w:r w:rsidRPr="00F227FB">
        <w:rPr>
          <w:i/>
          <w:iCs/>
        </w:rPr>
        <w:t xml:space="preserve"> addressed more individual characteristics of rural residents</w:t>
      </w:r>
      <w:r w:rsidR="009B2BCC">
        <w:rPr>
          <w:i/>
          <w:iCs/>
        </w:rPr>
        <w:t>,</w:t>
      </w:r>
      <w:r w:rsidRPr="00F227FB">
        <w:rPr>
          <w:i/>
          <w:iCs/>
        </w:rPr>
        <w:t xml:space="preserve"> such as their travel patterns (statement 68) or social standing (statement 21)</w:t>
      </w:r>
      <w:r w:rsidR="009B2BCC">
        <w:rPr>
          <w:i/>
          <w:iCs/>
        </w:rPr>
        <w:t>,</w:t>
      </w:r>
      <w:r w:rsidRPr="00F227FB">
        <w:rPr>
          <w:i/>
          <w:iCs/>
        </w:rPr>
        <w:t xml:space="preserve"> and social-political factors in rural areas</w:t>
      </w:r>
      <w:r w:rsidR="009B2BCC">
        <w:rPr>
          <w:i/>
          <w:iCs/>
        </w:rPr>
        <w:t>,</w:t>
      </w:r>
      <w:r w:rsidRPr="00F227FB">
        <w:rPr>
          <w:i/>
          <w:iCs/>
        </w:rPr>
        <w:t xml:space="preserve"> such as traditional land use patterns (statement 84), outmigration from rural areas (statement 59), and access to political </w:t>
      </w:r>
      <w:r w:rsidRPr="00F227FB" w:rsidR="00E5339B">
        <w:rPr>
          <w:i/>
          <w:iCs/>
        </w:rPr>
        <w:t>decision making</w:t>
      </w:r>
      <w:r w:rsidRPr="00F227FB">
        <w:rPr>
          <w:i/>
          <w:iCs/>
        </w:rPr>
        <w:t xml:space="preserve"> (statement 4).</w:t>
      </w:r>
    </w:p>
    <w:p w:rsidR="004E46A2" w:rsidP="004E46A2" w:rsidRDefault="004E46A2" w14:paraId="0713AA51" w14:textId="5A7838FC"/>
    <w:p w:rsidR="004E46A2" w:rsidP="004E46A2" w:rsidRDefault="004E46A2" w14:paraId="512F01F9" w14:textId="1AE01A40"/>
    <w:p w:rsidR="004E46A2" w:rsidP="004E46A2" w:rsidRDefault="004E46A2" w14:paraId="225BCAD0" w14:textId="368064EE"/>
    <w:p w:rsidR="004E46A2" w:rsidP="004E46A2" w:rsidRDefault="004E46A2" w14:paraId="76ACD05B" w14:textId="5EC2215A"/>
    <w:p w:rsidR="004E46A2" w:rsidP="004E46A2" w:rsidRDefault="004E46A2" w14:paraId="588661EB" w14:textId="3667679D"/>
    <w:p w:rsidR="004E46A2" w:rsidP="004E46A2" w:rsidRDefault="004E46A2" w14:paraId="37FEB373" w14:textId="41370C35"/>
    <w:p w:rsidR="004E46A2" w:rsidP="004E46A2" w:rsidRDefault="004E46A2" w14:paraId="77DC2764" w14:textId="53E014DF"/>
    <w:p w:rsidR="004E46A2" w:rsidP="004E46A2" w:rsidRDefault="004E46A2" w14:paraId="568D9E6E" w14:textId="1203BFA0"/>
    <w:p w:rsidR="004E46A2" w:rsidP="004E46A2" w:rsidRDefault="004E46A2" w14:paraId="34DB128D" w14:textId="53637241"/>
    <w:p w:rsidR="004E46A2" w:rsidP="004E46A2" w:rsidRDefault="004E46A2" w14:paraId="292308F2" w14:textId="77777777"/>
    <w:p w:rsidRPr="004E46A2" w:rsidR="004E46A2" w:rsidP="004E46A2" w:rsidRDefault="004E46A2" w14:paraId="20EFCC3D" w14:textId="716FBDF0">
      <w:r w:rsidRPr="00DE7BE0">
        <w:rPr>
          <w:rFonts w:ascii="Times New Roman" w:hAnsi="Times New Roman" w:eastAsia="Calibri" w:cs="Times New Roman"/>
          <w:noProof/>
          <w:sz w:val="24"/>
          <w:szCs w:val="24"/>
        </w:rPr>
        <mc:AlternateContent>
          <mc:Choice Requires="wps">
            <w:drawing>
              <wp:inline distT="0" distB="0" distL="0" distR="0" wp14:anchorId="66D688DC" wp14:editId="6E00847E">
                <wp:extent cx="5943600" cy="2376170"/>
                <wp:effectExtent l="0" t="0" r="0" b="508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6170"/>
                        </a:xfrm>
                        <a:prstGeom prst="rect">
                          <a:avLst/>
                        </a:prstGeom>
                        <a:solidFill>
                          <a:sysClr val="window" lastClr="FFFFFF">
                            <a:lumMod val="95000"/>
                          </a:sysClr>
                        </a:solidFill>
                        <a:ln w="9525">
                          <a:noFill/>
                          <a:miter lim="800000"/>
                          <a:headEnd/>
                          <a:tailEnd/>
                        </a:ln>
                      </wps:spPr>
                      <wps:txbx>
                        <w:txbxContent>
                          <w:p w:rsidRPr="00DE7BE0" w:rsidR="004E46A2" w:rsidP="004E46A2" w:rsidRDefault="004E46A2" w14:paraId="2A7B009A" w14:textId="77777777">
                            <w:pPr>
                              <w:spacing w:after="0"/>
                              <w:jc w:val="center"/>
                              <w:rPr>
                                <w:rFonts w:cs="Calibri"/>
                                <w:b/>
                                <w:bCs/>
                                <w:sz w:val="20"/>
                                <w:szCs w:val="20"/>
                              </w:rPr>
                            </w:pPr>
                            <w:r w:rsidRPr="00DE7BE0">
                              <w:rPr>
                                <w:rFonts w:cs="Calibri"/>
                                <w:b/>
                                <w:bCs/>
                                <w:sz w:val="20"/>
                                <w:szCs w:val="20"/>
                              </w:rPr>
                              <w:t>Public Burden Statement</w:t>
                            </w:r>
                          </w:p>
                          <w:p w:rsidRPr="003F1295" w:rsidR="004E46A2" w:rsidP="004E46A2" w:rsidRDefault="004E46A2" w14:paraId="4BD2CF83" w14:textId="77777777">
                            <w:pPr>
                              <w:pStyle w:val="BodyText-IPR"/>
                              <w:spacing w:after="0"/>
                              <w:rPr>
                                <w:i/>
                                <w:iCs/>
                                <w:sz w:val="20"/>
                                <w:szCs w:val="20"/>
                              </w:rPr>
                            </w:pPr>
                            <w:r w:rsidRPr="0072311B">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75</w:t>
                            </w:r>
                            <w:r w:rsidRPr="0072311B">
                              <w:rPr>
                                <w:i/>
                                <w:iCs/>
                                <w:sz w:val="20"/>
                                <w:szCs w:val="20"/>
                              </w:rPr>
                              <w:t xml:space="preserve">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72311B">
                              <w:rPr>
                                <w:i/>
                                <w:iCs/>
                                <w:sz w:val="20"/>
                                <w:szCs w:val="20"/>
                              </w:rPr>
                              <w:t>to:</w:t>
                            </w:r>
                            <w:proofErr w:type="gramEnd"/>
                            <w:r w:rsidRPr="0072311B">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66D688DC">
                <v:stroke joinstyle="miter"/>
                <v:path gradientshapeok="t" o:connecttype="rect"/>
              </v:shapetype>
              <v:shape id="Text Box 14" style="width:468pt;height:187.1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">
                <v:textbox>
                  <w:txbxContent>
                    <w:p w:rsidRPr="00DE7BE0" w:rsidR="004E46A2" w:rsidP="004E46A2" w:rsidRDefault="004E46A2" w14:paraId="2A7B009A" w14:textId="77777777">
                      <w:pPr>
                        <w:spacing w:after="0"/>
                        <w:jc w:val="center"/>
                        <w:rPr>
                          <w:rFonts w:cs="Calibri"/>
                          <w:b/>
                          <w:bCs/>
                          <w:sz w:val="20"/>
                          <w:szCs w:val="20"/>
                        </w:rPr>
                      </w:pPr>
                      <w:r w:rsidRPr="00DE7BE0">
                        <w:rPr>
                          <w:rFonts w:cs="Calibri"/>
                          <w:b/>
                          <w:bCs/>
                          <w:sz w:val="20"/>
                          <w:szCs w:val="20"/>
                        </w:rPr>
                        <w:t>Public Burden Statement</w:t>
                      </w:r>
                    </w:p>
                    <w:p w:rsidRPr="003F1295" w:rsidR="004E46A2" w:rsidP="004E46A2" w:rsidRDefault="004E46A2" w14:paraId="4BD2CF83" w14:textId="77777777">
                      <w:pPr>
                        <w:pStyle w:val="BodyText-IPR"/>
                        <w:spacing w:after="0"/>
                        <w:rPr>
                          <w:i/>
                          <w:iCs/>
                          <w:sz w:val="20"/>
                          <w:szCs w:val="20"/>
                        </w:rPr>
                      </w:pPr>
                      <w:r w:rsidRPr="0072311B">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75</w:t>
                      </w:r>
                      <w:r w:rsidRPr="0072311B">
                        <w:rPr>
                          <w:i/>
                          <w:iCs/>
                          <w:sz w:val="20"/>
                          <w:szCs w:val="20"/>
                        </w:rPr>
                        <w:t xml:space="preserve">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72311B">
                        <w:rPr>
                          <w:i/>
                          <w:iCs/>
                          <w:sz w:val="20"/>
                          <w:szCs w:val="20"/>
                        </w:rPr>
                        <w:t>to:</w:t>
                      </w:r>
                      <w:proofErr w:type="gramEnd"/>
                      <w:r w:rsidRPr="0072311B">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sectPr w:rsidRPr="004E46A2" w:rsidR="004E46A2" w:rsidSect="00C05E57">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C36593" w:rsidRDefault="00C36593">
      <w:pPr>
        <w:spacing w:after="0"/>
      </w:pPr>
      <w:r>
        <w:separator/>
      </w:r>
    </w:p>
  </w:endnote>
  <w:endnote w:type="continuationSeparator" w:id="0">
    <w:p w14:paraId="40EF1F9C" w14:textId="77777777" w:rsidR="00C36593" w:rsidRDefault="00C36593">
      <w:pPr>
        <w:spacing w:after="0"/>
      </w:pPr>
      <w:r>
        <w:continuationSeparator/>
      </w:r>
    </w:p>
  </w:endnote>
  <w:endnote w:type="continuationNotice" w:id="1">
    <w:p w14:paraId="7F8A909E" w14:textId="77777777" w:rsidR="00C36593" w:rsidRDefault="00C36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14:paraId="008C36C3" w14:textId="634FD9A4" w:rsidR="00C36593" w:rsidRPr="00C05E57" w:rsidRDefault="00C36593" w:rsidP="00C14E0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9C01A7">
                  <w:rPr>
                    <w:rStyle w:val="FooterTitle-IPRChar"/>
                    <w:szCs w:val="20"/>
                  </w:rPr>
                  <w:t>.</w:t>
                </w:r>
                <w:r w:rsidR="006D45A4">
                  <w:rPr>
                    <w:rStyle w:val="FooterTitle-IPRChar"/>
                    <w:szCs w:val="20"/>
                  </w:rPr>
                  <w:t>9</w:t>
                </w:r>
                <w:r w:rsidR="009C01A7">
                  <w:rPr>
                    <w:rStyle w:val="FooterTitle-IPRChar"/>
                    <w:szCs w:val="20"/>
                  </w:rPr>
                  <w:t xml:space="preserve">. </w:t>
                </w:r>
                <w:r w:rsidR="009C01A7" w:rsidRPr="009C01A7">
                  <w:rPr>
                    <w:rStyle w:val="FooterTitle-IPRChar"/>
                    <w:szCs w:val="20"/>
                  </w:rPr>
                  <w:t>Advance Material for Second Concept Mapping Meeting</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C36593" w:rsidRDefault="00C36593">
      <w:pPr>
        <w:spacing w:after="0"/>
      </w:pPr>
      <w:r>
        <w:separator/>
      </w:r>
    </w:p>
  </w:footnote>
  <w:footnote w:type="continuationSeparator" w:id="0">
    <w:p w14:paraId="176A05B2" w14:textId="77777777" w:rsidR="00C36593" w:rsidRDefault="00C36593">
      <w:pPr>
        <w:spacing w:after="0"/>
      </w:pPr>
      <w:r>
        <w:continuationSeparator/>
      </w:r>
    </w:p>
  </w:footnote>
  <w:footnote w:type="continuationNotice" w:id="1">
    <w:p w14:paraId="37017C0C" w14:textId="77777777" w:rsidR="00C36593" w:rsidRDefault="00C365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DD6C" w14:textId="77777777" w:rsidR="00C36593" w:rsidRDefault="00C36593" w:rsidP="00191DB5">
    <w:pPr>
      <w:pStyle w:val="Header"/>
      <w:jc w:val="right"/>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1C5CDE" wp14:editId="582361F3">
              <wp:simplePos x="0" y="0"/>
              <wp:positionH relativeFrom="margin">
                <wp:posOffset>4318000</wp:posOffset>
              </wp:positionH>
              <wp:positionV relativeFrom="margin">
                <wp:posOffset>-660400</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1C5CDE" id="_x0000_t202" coordsize="21600,21600" o:spt="202" path="m,l,21600r21600,l21600,xe">
              <v:stroke joinstyle="miter"/>
              <v:path gradientshapeok="t" o:connecttype="rect"/>
            </v:shapetype>
            <v:shape id="Text Box 5" o:spid="_x0000_s1027" type="#_x0000_t202" style="position:absolute;left:0;text-align:left;margin-left:340pt;margin-top:-52pt;width:129.6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" fillcolor="#f2f2f2" stroked="f">
              <v:textbox style="mso-fit-shape-to-text:t" inset="3.6pt,,0">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4DB5"/>
    <w:multiLevelType w:val="hybridMultilevel"/>
    <w:tmpl w:val="0548F7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C6EB8"/>
    <w:multiLevelType w:val="multilevel"/>
    <w:tmpl w:val="B84CE8A6"/>
    <w:numStyleLink w:val="TableRedNumbersList-IPR"/>
  </w:abstractNum>
  <w:abstractNum w:abstractNumId="2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3746"/>
    <w:multiLevelType w:val="hybridMultilevel"/>
    <w:tmpl w:val="96A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26B33B4"/>
    <w:multiLevelType w:val="hybridMultilevel"/>
    <w:tmpl w:val="B2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7"/>
  </w:num>
  <w:num w:numId="3">
    <w:abstractNumId w:val="18"/>
  </w:num>
  <w:num w:numId="4">
    <w:abstractNumId w:val="13"/>
  </w:num>
  <w:num w:numId="5">
    <w:abstractNumId w:val="23"/>
  </w:num>
  <w:num w:numId="6">
    <w:abstractNumId w:val="7"/>
  </w:num>
  <w:num w:numId="7">
    <w:abstractNumId w:val="0"/>
  </w:num>
  <w:num w:numId="8">
    <w:abstractNumId w:val="16"/>
  </w:num>
  <w:num w:numId="9">
    <w:abstractNumId w:val="6"/>
  </w:num>
  <w:num w:numId="10">
    <w:abstractNumId w:val="9"/>
  </w:num>
  <w:num w:numId="11">
    <w:abstractNumId w:val="2"/>
  </w:num>
  <w:num w:numId="12">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0"/>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7"/>
  </w:num>
  <w:num w:numId="20">
    <w:abstractNumId w:val="20"/>
  </w:num>
  <w:num w:numId="21">
    <w:abstractNumId w:val="8"/>
  </w:num>
  <w:num w:numId="22">
    <w:abstractNumId w:val="19"/>
  </w:num>
  <w:num w:numId="23">
    <w:abstractNumId w:val="15"/>
  </w:num>
  <w:num w:numId="24">
    <w:abstractNumId w:val="25"/>
  </w:num>
  <w:num w:numId="25">
    <w:abstractNumId w:val="12"/>
  </w:num>
  <w:num w:numId="26">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4"/>
  </w:num>
  <w:num w:numId="2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4"/>
  </w:num>
  <w:num w:numId="31">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46A2"/>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42DB"/>
    <w:rsid w:val="005F6E75"/>
    <w:rsid w:val="00600FF8"/>
    <w:rsid w:val="00604D57"/>
    <w:rsid w:val="00610673"/>
    <w:rsid w:val="006106FB"/>
    <w:rsid w:val="006126BF"/>
    <w:rsid w:val="0061347D"/>
    <w:rsid w:val="006150ED"/>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45A4"/>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311B"/>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1A7"/>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39B"/>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TableGrid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6</cp:revision>
  <cp:lastPrinted>2019-03-14T15:56:00Z</cp:lastPrinted>
  <dcterms:created xsi:type="dcterms:W3CDTF">2022-01-03T23:46:00Z</dcterms:created>
  <dcterms:modified xsi:type="dcterms:W3CDTF">2022-01-26T20:30:00Z</dcterms:modified>
</cp:coreProperties>
</file>