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31D8" w:rsidR="00D4252E" w:rsidP="00D4252E" w:rsidRDefault="0005295D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 w:rsidR="00D4252E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Pr="007231D8"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7231D8"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7231D8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231D8" w:rsidR="00522DBA" w:rsidP="00D4252E" w:rsidRDefault="00522DBA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hAnsi="Times New Roman" w:eastAsia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7231D8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A1703F" w:rsidP="5B64397A" w:rsidRDefault="5B64397A" w14:paraId="00246F64" w14:textId="786B6A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007231D8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201</w:t>
      </w:r>
      <w:r w:rsidRPr="007231D8" w:rsidR="001E65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independent estimates of population living in housing units on July 202</w:t>
      </w:r>
      <w:r w:rsidRPr="007231D8" w:rsidR="00D015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Pr="007231D8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Pr="007231D8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Pr="007231D8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2EF81118" w14:textId="70EA5B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occupied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housing unit estimates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based on the 201</w:t>
      </w:r>
      <w:r w:rsidRPr="007231D8" w:rsidR="001E65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estimates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 and</w:t>
      </w:r>
    </w:p>
    <w:p w:rsidRPr="007231D8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Pr="007231D8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13A51648" w14:textId="4935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 two-step </w:t>
      </w:r>
      <w:r w:rsidRPr="007231D8" w:rsidR="0097673D">
        <w:rPr>
          <w:rFonts w:ascii="Times New Roman" w:hAnsi="Times New Roman" w:cs="Times New Roman"/>
          <w:color w:val="000000"/>
          <w:sz w:val="24"/>
          <w:szCs w:val="24"/>
        </w:rPr>
        <w:t xml:space="preserve">iterative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raking procedure raking the demographics of the interviewed persons to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attainment/age/sex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distributions and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/age/sex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distributions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note that the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 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adjustments will be applied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as the first step In the raking procedure and the r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adjustment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 will be the second step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7231D8"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Pr="007231D8" w:rsidR="00C901F0" w:rsidP="00D4252E" w:rsidRDefault="00C901F0" w14:paraId="0655647A" w14:textId="548EBD1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Pr="007231D8" w:rsidR="00C901F0"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9C2F" w14:textId="77777777" w:rsidR="00D4252E" w:rsidRDefault="00D4252E" w:rsidP="00D4252E">
      <w:pPr>
        <w:spacing w:after="0" w:line="240" w:lineRule="auto"/>
      </w:pPr>
      <w:r>
        <w:separator/>
      </w:r>
    </w:p>
  </w:endnote>
  <w:endnote w:type="continuationSeparator" w:id="0">
    <w:p w14:paraId="644625E2" w14:textId="77777777" w:rsidR="00D4252E" w:rsidRDefault="00D4252E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C77A" w14:textId="77777777" w:rsidR="00D4252E" w:rsidRDefault="00D4252E" w:rsidP="00D4252E">
      <w:pPr>
        <w:spacing w:after="0" w:line="240" w:lineRule="auto"/>
      </w:pPr>
      <w:r>
        <w:separator/>
      </w:r>
    </w:p>
  </w:footnote>
  <w:footnote w:type="continuationSeparator" w:id="0">
    <w:p w14:paraId="0DD2DD25" w14:textId="77777777" w:rsidR="00D4252E" w:rsidRDefault="00D4252E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85FAD" w14:textId="271BD944" w:rsidR="002C6599" w:rsidRPr="002C6599" w:rsidRDefault="002C6599">
    <w:pPr>
      <w:pStyle w:val="Header"/>
      <w:rPr>
        <w:rFonts w:ascii="Times New Roman" w:hAnsi="Times New Roman" w:cs="Times New Roman"/>
        <w:sz w:val="24"/>
        <w:szCs w:val="24"/>
      </w:rPr>
    </w:pPr>
    <w:r w:rsidRPr="002C6599">
      <w:rPr>
        <w:rFonts w:ascii="Times New Roman" w:hAnsi="Times New Roman" w:cs="Times New Roman"/>
        <w:sz w:val="24"/>
        <w:szCs w:val="24"/>
      </w:rPr>
      <w:t>Household Pulse Survey Phase 3.4</w:t>
    </w: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C6886"/>
    <w:rsid w:val="001E6508"/>
    <w:rsid w:val="00236328"/>
    <w:rsid w:val="00246636"/>
    <w:rsid w:val="002C6599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22DF6"/>
    <w:rsid w:val="007231D8"/>
    <w:rsid w:val="00774FFA"/>
    <w:rsid w:val="007866B5"/>
    <w:rsid w:val="007B61D3"/>
    <w:rsid w:val="007E327A"/>
    <w:rsid w:val="007F243E"/>
    <w:rsid w:val="00800C19"/>
    <w:rsid w:val="00815A38"/>
    <w:rsid w:val="008354A0"/>
    <w:rsid w:val="0087150D"/>
    <w:rsid w:val="00877453"/>
    <w:rsid w:val="00884F46"/>
    <w:rsid w:val="008B01E2"/>
    <w:rsid w:val="008B4107"/>
    <w:rsid w:val="00900663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015B8"/>
    <w:rsid w:val="00D4252E"/>
    <w:rsid w:val="00D44542"/>
    <w:rsid w:val="00D76F83"/>
    <w:rsid w:val="00D94E2B"/>
    <w:rsid w:val="00E522EC"/>
    <w:rsid w:val="00EA299B"/>
    <w:rsid w:val="00F73449"/>
    <w:rsid w:val="00F845F3"/>
    <w:rsid w:val="5B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Cassandra Logan (CENSUS/ADDP FED)</cp:lastModifiedBy>
  <cp:revision>3</cp:revision>
  <dcterms:created xsi:type="dcterms:W3CDTF">2022-01-13T19:57:00Z</dcterms:created>
  <dcterms:modified xsi:type="dcterms:W3CDTF">2022-01-13T22:46:00Z</dcterms:modified>
</cp:coreProperties>
</file>