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7A5E89" w:rsidRDefault="0088529F" w14:paraId="576EA209" w14:textId="5AA542C9">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7A5E89" w:rsidRDefault="00357C8A" w14:paraId="4A4B19EC" w14:textId="77777777">
      <w:pPr>
        <w:jc w:val="center"/>
        <w:rPr>
          <w:rFonts w:eastAsia="Calibri"/>
        </w:rPr>
      </w:pPr>
    </w:p>
    <w:p w:rsidR="00357C8A" w:rsidP="007A5E89" w:rsidRDefault="00304E5C" w14:paraId="3E2E46BB" w14:textId="2D91357D">
      <w:pPr>
        <w:jc w:val="center"/>
        <w:rPr>
          <w:rFonts w:eastAsia="Calibri"/>
        </w:rPr>
      </w:pPr>
      <w:r w:rsidRPr="001A058D">
        <w:rPr>
          <w:rFonts w:eastAsia="Calibri"/>
        </w:rPr>
        <w:t>Quantitative</w:t>
      </w:r>
      <w:r w:rsidRPr="00304E5C">
        <w:rPr>
          <w:rFonts w:eastAsia="Calibri"/>
        </w:rPr>
        <w:t xml:space="preserve"> Testing for the Development of FDA Communications</w:t>
      </w:r>
    </w:p>
    <w:p w:rsidR="00F6571E" w:rsidP="007A5E89" w:rsidRDefault="00F6571E" w14:paraId="36BDC6E4" w14:textId="1495290F">
      <w:pPr>
        <w:jc w:val="center"/>
        <w:rPr>
          <w:rFonts w:eastAsia="Calibri"/>
        </w:rPr>
      </w:pPr>
      <w:r>
        <w:rPr>
          <w:rFonts w:eastAsia="Calibri"/>
        </w:rPr>
        <w:t>by the Center for Food Safety and Applied Nutrition (CFSAN)</w:t>
      </w:r>
    </w:p>
    <w:p w:rsidR="0088529F" w:rsidP="007A5E89" w:rsidRDefault="0088529F" w14:paraId="6D7351E1" w14:textId="7C19174D">
      <w:pPr>
        <w:jc w:val="center"/>
        <w:rPr>
          <w:rFonts w:eastAsia="Calibri"/>
        </w:rPr>
      </w:pPr>
    </w:p>
    <w:p w:rsidR="0088529F" w:rsidP="007A5E89" w:rsidRDefault="0088529F" w14:paraId="699FDAD5" w14:textId="0B3BCD45">
      <w:pPr>
        <w:jc w:val="center"/>
        <w:rPr>
          <w:rFonts w:eastAsia="Calibri"/>
        </w:rPr>
      </w:pPr>
      <w:r>
        <w:rPr>
          <w:rFonts w:eastAsia="Calibri"/>
        </w:rPr>
        <w:t>GENERIC</w:t>
      </w:r>
      <w:r w:rsidR="00BD1E03">
        <w:rPr>
          <w:rFonts w:eastAsia="Calibri"/>
        </w:rPr>
        <w:t xml:space="preserve"> CLEARANCE</w:t>
      </w:r>
    </w:p>
    <w:p w:rsidR="00357C8A" w:rsidP="007A5E89" w:rsidRDefault="00357C8A" w14:paraId="105C3F2A" w14:textId="77777777">
      <w:pPr>
        <w:jc w:val="center"/>
        <w:rPr>
          <w:rFonts w:eastAsia="Calibri"/>
        </w:rPr>
      </w:pPr>
    </w:p>
    <w:p w:rsidR="00357C8A" w:rsidP="007A5E89" w:rsidRDefault="00357C8A" w14:paraId="3DEFEFD2" w14:textId="7A8804C7">
      <w:pPr>
        <w:jc w:val="center"/>
        <w:rPr>
          <w:rFonts w:eastAsia="Calibri"/>
        </w:rPr>
      </w:pPr>
      <w:r w:rsidRPr="0088529F">
        <w:rPr>
          <w:rFonts w:eastAsia="Calibri"/>
          <w:u w:val="single"/>
        </w:rPr>
        <w:t>OMB Control No. 0910-</w:t>
      </w:r>
      <w:r w:rsidRPr="0088529F" w:rsidR="00304E5C">
        <w:rPr>
          <w:rFonts w:eastAsia="Calibri"/>
          <w:u w:val="single"/>
        </w:rPr>
        <w:t>0865</w:t>
      </w:r>
      <w:r w:rsidR="0088529F">
        <w:rPr>
          <w:rFonts w:eastAsia="Calibri"/>
        </w:rPr>
        <w:t xml:space="preserve"> </w:t>
      </w:r>
      <w:r w:rsidR="00381398">
        <w:rPr>
          <w:rFonts w:eastAsia="Calibri"/>
        </w:rPr>
        <w:t>–</w:t>
      </w:r>
      <w:r w:rsidR="0088529F">
        <w:rPr>
          <w:rFonts w:eastAsia="Calibri"/>
        </w:rPr>
        <w:t xml:space="preserve"> Extension</w:t>
      </w:r>
    </w:p>
    <w:p w:rsidR="00A97F04" w:rsidP="007A5E89" w:rsidRDefault="00A97F04" w14:paraId="4F2C3E07" w14:textId="77777777">
      <w:pPr>
        <w:jc w:val="center"/>
        <w:rPr>
          <w:rFonts w:eastAsia="Calibri"/>
        </w:rPr>
      </w:pPr>
    </w:p>
    <w:p w:rsidR="00381398" w:rsidP="007A5E89" w:rsidRDefault="00381398" w14:paraId="0AE9EBF6" w14:textId="39A7BE12">
      <w:pPr>
        <w:rPr>
          <w:rFonts w:eastAsia="Calibri"/>
        </w:rPr>
      </w:pPr>
    </w:p>
    <w:p w:rsidR="00357C8A" w:rsidP="007A5E89" w:rsidRDefault="00381398" w14:paraId="38D022A8" w14:textId="1876B88E">
      <w:pPr>
        <w:rPr>
          <w:rFonts w:eastAsia="Calibri"/>
        </w:rPr>
      </w:pPr>
      <w:r w:rsidRPr="007A3B4F">
        <w:rPr>
          <w:rFonts w:eastAsia="Calibri"/>
          <w:b/>
          <w:bCs/>
          <w:i/>
          <w:iCs/>
        </w:rPr>
        <w:t>Terms of Clearance</w:t>
      </w:r>
      <w:r>
        <w:rPr>
          <w:rFonts w:eastAsia="Calibri"/>
        </w:rPr>
        <w:t>:</w:t>
      </w:r>
      <w:r w:rsidR="00351E3D">
        <w:rPr>
          <w:rFonts w:eastAsia="Calibri"/>
          <w:i/>
          <w:iCs/>
        </w:rPr>
        <w:t xml:space="preserve"> </w:t>
      </w:r>
      <w:r w:rsidR="00B82960">
        <w:rPr>
          <w:rFonts w:eastAsia="Calibri"/>
          <w:i/>
          <w:iCs/>
        </w:rPr>
        <w:t xml:space="preserve"> Consistent </w:t>
      </w:r>
      <w:r w:rsidR="00351E3D">
        <w:rPr>
          <w:rFonts w:eastAsia="Calibri"/>
          <w:i/>
          <w:iCs/>
        </w:rPr>
        <w:t xml:space="preserve">with OMB approval, individual collection requests </w:t>
      </w:r>
      <w:r w:rsidRPr="00381398">
        <w:rPr>
          <w:rFonts w:eastAsia="Calibri"/>
          <w:i/>
          <w:iCs/>
        </w:rPr>
        <w:t xml:space="preserve">will </w:t>
      </w:r>
      <w:r w:rsidR="00313C26">
        <w:rPr>
          <w:rFonts w:eastAsia="Calibri"/>
          <w:i/>
          <w:iCs/>
        </w:rPr>
        <w:t xml:space="preserve">continue to </w:t>
      </w:r>
      <w:r w:rsidRPr="00381398">
        <w:rPr>
          <w:rFonts w:eastAsia="Calibri"/>
          <w:i/>
          <w:iCs/>
        </w:rPr>
        <w:t>undergo review by FDA’s Research Involving Human Subjects Committee (RIHSC)</w:t>
      </w:r>
      <w:r w:rsidR="00B03498">
        <w:rPr>
          <w:rFonts w:eastAsia="Calibri"/>
          <w:i/>
          <w:iCs/>
        </w:rPr>
        <w:t>,</w:t>
      </w:r>
      <w:r w:rsidRPr="00381398">
        <w:rPr>
          <w:rFonts w:eastAsia="Calibri"/>
          <w:i/>
          <w:iCs/>
        </w:rPr>
        <w:t xml:space="preserve"> senior leadership in </w:t>
      </w:r>
      <w:r w:rsidR="00A311EB">
        <w:rPr>
          <w:rFonts w:eastAsia="Calibri"/>
          <w:i/>
          <w:iCs/>
        </w:rPr>
        <w:t xml:space="preserve">CFSAN, </w:t>
      </w:r>
      <w:r w:rsidRPr="00381398">
        <w:rPr>
          <w:rFonts w:eastAsia="Calibri"/>
          <w:i/>
          <w:iCs/>
        </w:rPr>
        <w:t xml:space="preserve">and </w:t>
      </w:r>
      <w:r w:rsidR="00A311EB">
        <w:rPr>
          <w:rFonts w:eastAsia="Calibri"/>
          <w:i/>
          <w:iCs/>
        </w:rPr>
        <w:t xml:space="preserve">FDA </w:t>
      </w:r>
      <w:r w:rsidRPr="00381398">
        <w:rPr>
          <w:rFonts w:eastAsia="Calibri"/>
          <w:i/>
          <w:iCs/>
        </w:rPr>
        <w:t>Paperwork Reduction Act (PRA) specialists</w:t>
      </w:r>
      <w:r w:rsidR="00313735">
        <w:rPr>
          <w:rFonts w:eastAsia="Calibri"/>
          <w:i/>
          <w:iCs/>
        </w:rPr>
        <w:t xml:space="preserve"> prior to submission</w:t>
      </w:r>
      <w:r w:rsidRPr="00381398">
        <w:rPr>
          <w:rFonts w:eastAsia="Calibri"/>
          <w:i/>
          <w:iCs/>
        </w:rPr>
        <w:t>.</w:t>
      </w:r>
      <w:r>
        <w:rPr>
          <w:rFonts w:eastAsia="Calibri"/>
          <w:i/>
          <w:iCs/>
        </w:rPr>
        <w:t xml:space="preserve">  </w:t>
      </w:r>
      <w:r w:rsidR="00313735">
        <w:rPr>
          <w:rFonts w:eastAsia="Calibri"/>
          <w:i/>
          <w:iCs/>
        </w:rPr>
        <w:t xml:space="preserve">Also in accordance with OMB approval, </w:t>
      </w:r>
      <w:r w:rsidR="00DF4079">
        <w:rPr>
          <w:rFonts w:eastAsia="Calibri"/>
          <w:i/>
          <w:iCs/>
        </w:rPr>
        <w:t xml:space="preserve">we include </w:t>
      </w:r>
      <w:r w:rsidR="008F6546">
        <w:rPr>
          <w:rFonts w:eastAsia="Calibri"/>
          <w:i/>
          <w:iCs/>
        </w:rPr>
        <w:t xml:space="preserve">a </w:t>
      </w:r>
      <w:r w:rsidRPr="00381398">
        <w:rPr>
          <w:rFonts w:eastAsia="Calibri"/>
          <w:i/>
          <w:iCs/>
        </w:rPr>
        <w:t>report</w:t>
      </w:r>
      <w:r w:rsidR="00363A48">
        <w:rPr>
          <w:rFonts w:eastAsia="Calibri"/>
          <w:i/>
          <w:iCs/>
        </w:rPr>
        <w:t xml:space="preserve"> </w:t>
      </w:r>
      <w:r w:rsidRPr="00381398">
        <w:rPr>
          <w:rFonts w:eastAsia="Calibri"/>
          <w:i/>
          <w:iCs/>
        </w:rPr>
        <w:t>summarizing the numb</w:t>
      </w:r>
      <w:r w:rsidR="008F6546">
        <w:rPr>
          <w:rFonts w:eastAsia="Calibri"/>
          <w:i/>
          <w:iCs/>
        </w:rPr>
        <w:t>e</w:t>
      </w:r>
      <w:r w:rsidRPr="00381398">
        <w:rPr>
          <w:rFonts w:eastAsia="Calibri"/>
          <w:i/>
          <w:iCs/>
        </w:rPr>
        <w:t>r of hours used, as well as the nature and results of the activities completed under this clearance</w:t>
      </w:r>
      <w:r w:rsidR="000A33C2">
        <w:rPr>
          <w:rFonts w:eastAsia="Calibri"/>
          <w:i/>
          <w:iCs/>
        </w:rPr>
        <w:t xml:space="preserve">, </w:t>
      </w:r>
      <w:r w:rsidR="007D1AD0">
        <w:rPr>
          <w:rFonts w:eastAsia="Calibri"/>
          <w:i/>
          <w:iCs/>
        </w:rPr>
        <w:t xml:space="preserve">in </w:t>
      </w:r>
      <w:r w:rsidRPr="007A3B4F" w:rsidR="007D1AD0">
        <w:rPr>
          <w:rFonts w:eastAsia="Calibri"/>
          <w:b/>
          <w:bCs/>
          <w:i/>
          <w:iCs/>
          <w:u w:val="single"/>
        </w:rPr>
        <w:t>Questio</w:t>
      </w:r>
      <w:r w:rsidRPr="007A3B4F" w:rsidR="003E62B8">
        <w:rPr>
          <w:rFonts w:eastAsia="Calibri"/>
          <w:b/>
          <w:bCs/>
          <w:i/>
          <w:iCs/>
          <w:u w:val="single"/>
        </w:rPr>
        <w:t>n 2</w:t>
      </w:r>
      <w:r w:rsidR="003E62B8">
        <w:rPr>
          <w:rFonts w:eastAsia="Calibri"/>
          <w:i/>
          <w:iCs/>
        </w:rPr>
        <w:t xml:space="preserve"> </w:t>
      </w:r>
      <w:r w:rsidR="0098630A">
        <w:rPr>
          <w:rFonts w:eastAsia="Calibri"/>
          <w:i/>
          <w:iCs/>
        </w:rPr>
        <w:t>below</w:t>
      </w:r>
      <w:r w:rsidRPr="00381398">
        <w:rPr>
          <w:rFonts w:eastAsia="Calibri"/>
          <w:i/>
          <w:iCs/>
        </w:rPr>
        <w:t>.</w:t>
      </w:r>
    </w:p>
    <w:p w:rsidR="000A33C2" w:rsidP="00593FDE" w:rsidRDefault="005D3589" w14:paraId="0560AC06" w14:textId="1F8EFF43">
      <w:pPr>
        <w:rPr>
          <w:rFonts w:eastAsia="Calibri"/>
        </w:rPr>
      </w:pPr>
      <w:r>
        <w:rPr>
          <w:rFonts w:eastAsia="Calibri"/>
          <w:noProof/>
        </w:rPr>
        <mc:AlternateContent>
          <mc:Choice Requires="wps">
            <w:drawing>
              <wp:anchor distT="0" distB="0" distL="114300" distR="114300" simplePos="0" relativeHeight="251656704" behindDoc="0" locked="0" layoutInCell="1" allowOverlap="1" wp14:editId="64A87B8D" wp14:anchorId="5C501B78">
                <wp:simplePos x="0" y="0"/>
                <wp:positionH relativeFrom="column">
                  <wp:posOffset>21771</wp:posOffset>
                </wp:positionH>
                <wp:positionV relativeFrom="paragraph">
                  <wp:posOffset>134983</wp:posOffset>
                </wp:positionV>
                <wp:extent cx="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7pt,10.65pt" to="1.7pt,10.65pt" w14:anchorId="18648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">
                <v:stroke joinstyle="miter"/>
              </v:line>
            </w:pict>
          </mc:Fallback>
        </mc:AlternateContent>
      </w:r>
    </w:p>
    <w:p w:rsidR="00357C8A" w:rsidP="007A5E89" w:rsidRDefault="00357C8A" w14:paraId="489C668E" w14:textId="3EEF8225">
      <w:pPr>
        <w:rPr>
          <w:rFonts w:eastAsia="Calibri"/>
        </w:rPr>
      </w:pPr>
      <w:r w:rsidRPr="00357C8A">
        <w:rPr>
          <w:rFonts w:eastAsia="Calibri"/>
        </w:rPr>
        <w:t>SUPPORTING STATEMENT</w:t>
      </w:r>
      <w:r w:rsidR="0088529F">
        <w:rPr>
          <w:rFonts w:eastAsia="Calibri"/>
        </w:rPr>
        <w:t xml:space="preserve"> – </w:t>
      </w:r>
      <w:r w:rsidRPr="00357C8A">
        <w:rPr>
          <w:rFonts w:eastAsia="Calibri"/>
          <w:b/>
        </w:rPr>
        <w:t>Part A:  Justification</w:t>
      </w:r>
      <w:r w:rsidRPr="00357C8A">
        <w:rPr>
          <w:rFonts w:eastAsia="Calibri"/>
        </w:rPr>
        <w:t>:</w:t>
      </w:r>
    </w:p>
    <w:p w:rsidRPr="00357C8A" w:rsidR="000D79CC" w:rsidP="007A5E89" w:rsidRDefault="000D79CC" w14:paraId="33172277" w14:textId="77777777">
      <w:pPr>
        <w:rPr>
          <w:rFonts w:eastAsia="Calibri"/>
        </w:rPr>
      </w:pPr>
    </w:p>
    <w:p w:rsidRPr="00357C8A" w:rsidR="00357C8A" w:rsidP="007A5E89" w:rsidRDefault="00357C8A" w14:paraId="1991F0A5"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304E5C" w:rsidR="00304E5C" w:rsidP="007A5E89" w:rsidRDefault="00BD1E03" w14:paraId="2CA1B240" w14:textId="0ACF3325">
      <w:pPr>
        <w:rPr>
          <w:rFonts w:eastAsia="Calibri"/>
        </w:rPr>
      </w:pPr>
      <w:r>
        <w:rPr>
          <w:rFonts w:eastAsia="Calibri"/>
        </w:rPr>
        <w:t xml:space="preserve">This information collection supports educational and public information programs conducted by the Food and Drug Administration (FDA, the agency), as authorized under </w:t>
      </w:r>
      <w:r w:rsidR="003651DB">
        <w:rPr>
          <w:rFonts w:eastAsia="Calibri"/>
        </w:rPr>
        <w:t>s</w:t>
      </w:r>
      <w:r w:rsidRPr="00304E5C" w:rsidR="00304E5C">
        <w:rPr>
          <w:rFonts w:eastAsia="Calibri"/>
        </w:rPr>
        <w:t xml:space="preserve">ection 1003(d)(2) of the </w:t>
      </w:r>
      <w:r>
        <w:rPr>
          <w:rFonts w:eastAsia="Calibri"/>
        </w:rPr>
        <w:t>Federal Food, Drug, and Cosmetic Act (</w:t>
      </w:r>
      <w:r w:rsidRPr="00304E5C" w:rsidR="00304E5C">
        <w:rPr>
          <w:rFonts w:eastAsia="Calibri"/>
        </w:rPr>
        <w:t>FD&amp;C Act</w:t>
      </w:r>
      <w:r>
        <w:rPr>
          <w:rFonts w:eastAsia="Calibri"/>
        </w:rPr>
        <w:t>)</w:t>
      </w:r>
      <w:r w:rsidRPr="00304E5C" w:rsidR="00304E5C">
        <w:rPr>
          <w:rFonts w:eastAsia="Calibri"/>
        </w:rPr>
        <w:t xml:space="preserve"> (21 U.S.C. 393(d)(2))</w:t>
      </w:r>
      <w:r>
        <w:rPr>
          <w:rFonts w:eastAsia="Calibri"/>
        </w:rPr>
        <w:t>.</w:t>
      </w:r>
      <w:r w:rsidR="003557DE">
        <w:rPr>
          <w:rFonts w:eastAsia="Calibri"/>
        </w:rPr>
        <w:t xml:space="preserve">  </w:t>
      </w:r>
      <w:r>
        <w:rPr>
          <w:rFonts w:eastAsia="Calibri"/>
        </w:rPr>
        <w:t>The information collection also supports agency</w:t>
      </w:r>
      <w:r w:rsidR="0005558D">
        <w:rPr>
          <w:rFonts w:eastAsia="Calibri"/>
        </w:rPr>
        <w:t xml:space="preserve"> objectives pertaining to strengthening </w:t>
      </w:r>
      <w:r w:rsidRPr="00304E5C" w:rsidR="0005558D">
        <w:rPr>
          <w:rFonts w:eastAsia="Calibri"/>
        </w:rPr>
        <w:t>“</w:t>
      </w:r>
      <w:r w:rsidRPr="007A77CF" w:rsidR="0005558D">
        <w:rPr>
          <w:rFonts w:eastAsia="Calibri"/>
          <w:i/>
          <w:iCs/>
        </w:rPr>
        <w:t>social and behavioral science to promote informed decision-making about FDA-regulated products</w:t>
      </w:r>
      <w:r w:rsidR="001C17BB">
        <w:rPr>
          <w:rFonts w:eastAsia="Calibri"/>
          <w:i/>
          <w:iCs/>
        </w:rPr>
        <w:t>.</w:t>
      </w:r>
      <w:r w:rsidRPr="00304E5C" w:rsidR="0005558D">
        <w:rPr>
          <w:rFonts w:eastAsia="Calibri"/>
        </w:rPr>
        <w:t>”</w:t>
      </w:r>
      <w:r w:rsidR="0005558D">
        <w:rPr>
          <w:rStyle w:val="FootnoteReference"/>
          <w:rFonts w:eastAsia="Calibri"/>
        </w:rPr>
        <w:footnoteReference w:id="1"/>
      </w:r>
      <w:r w:rsidR="001E5B33">
        <w:rPr>
          <w:rFonts w:eastAsia="Calibri"/>
        </w:rPr>
        <w:t xml:space="preserve">  </w:t>
      </w:r>
      <w:r w:rsidRPr="00304E5C" w:rsidR="00304E5C">
        <w:rPr>
          <w:rFonts w:eastAsia="Calibri"/>
        </w:rPr>
        <w:t xml:space="preserve">To ensure that </w:t>
      </w:r>
      <w:r w:rsidR="0005558D">
        <w:rPr>
          <w:rFonts w:eastAsia="Calibri"/>
        </w:rPr>
        <w:t xml:space="preserve">FDA </w:t>
      </w:r>
      <w:r w:rsidRPr="00304E5C" w:rsidR="00304E5C">
        <w:rPr>
          <w:rFonts w:eastAsia="Calibri"/>
        </w:rPr>
        <w:t xml:space="preserve">communications and educational campaigns have the highest </w:t>
      </w:r>
      <w:r w:rsidR="0005558D">
        <w:rPr>
          <w:rFonts w:eastAsia="Calibri"/>
        </w:rPr>
        <w:t xml:space="preserve">level of effectiveness, we intend to collect </w:t>
      </w:r>
      <w:r w:rsidRPr="00304E5C" w:rsidR="00304E5C">
        <w:rPr>
          <w:rFonts w:eastAsia="Calibri"/>
        </w:rPr>
        <w:t>quantitative information</w:t>
      </w:r>
      <w:r w:rsidR="001C17BB">
        <w:rPr>
          <w:rFonts w:eastAsia="Calibri"/>
        </w:rPr>
        <w:t xml:space="preserve"> </w:t>
      </w:r>
      <w:r w:rsidRPr="00304E5C" w:rsidR="00304E5C">
        <w:rPr>
          <w:rFonts w:eastAsia="Calibri"/>
        </w:rPr>
        <w:t>to test communications</w:t>
      </w:r>
      <w:r w:rsidR="007A77CF">
        <w:rPr>
          <w:rFonts w:eastAsia="Calibri"/>
        </w:rPr>
        <w:t xml:space="preserve"> and</w:t>
      </w:r>
      <w:r w:rsidRPr="00304E5C" w:rsidR="00304E5C">
        <w:rPr>
          <w:rFonts w:eastAsia="Calibri"/>
        </w:rPr>
        <w:t xml:space="preserve"> educational messages </w:t>
      </w:r>
      <w:r w:rsidR="0005558D">
        <w:rPr>
          <w:rFonts w:eastAsia="Calibri"/>
        </w:rPr>
        <w:t xml:space="preserve">pertaining to products </w:t>
      </w:r>
      <w:r w:rsidRPr="00304E5C" w:rsidR="00304E5C">
        <w:rPr>
          <w:rFonts w:eastAsia="Calibri"/>
        </w:rPr>
        <w:t xml:space="preserve">regulated </w:t>
      </w:r>
      <w:r w:rsidR="0005558D">
        <w:rPr>
          <w:rFonts w:eastAsia="Calibri"/>
        </w:rPr>
        <w:t xml:space="preserve">by </w:t>
      </w:r>
      <w:r w:rsidR="007A77CF">
        <w:rPr>
          <w:rFonts w:eastAsia="Calibri"/>
        </w:rPr>
        <w:t xml:space="preserve">CFSAN </w:t>
      </w:r>
      <w:r w:rsidR="0005558D">
        <w:rPr>
          <w:rFonts w:eastAsia="Calibri"/>
        </w:rPr>
        <w:t>during their</w:t>
      </w:r>
      <w:r w:rsidRPr="00304E5C" w:rsidR="00304E5C">
        <w:rPr>
          <w:rFonts w:eastAsia="Calibri"/>
        </w:rPr>
        <w:t xml:space="preserve"> </w:t>
      </w:r>
      <w:r w:rsidR="0005558D">
        <w:rPr>
          <w:rFonts w:eastAsia="Calibri"/>
        </w:rPr>
        <w:t xml:space="preserve">review and </w:t>
      </w:r>
      <w:r w:rsidRPr="00304E5C" w:rsidR="00304E5C">
        <w:rPr>
          <w:rFonts w:eastAsia="Calibri"/>
        </w:rPr>
        <w:t>develop</w:t>
      </w:r>
      <w:r w:rsidR="0005558D">
        <w:rPr>
          <w:rFonts w:eastAsia="Calibri"/>
        </w:rPr>
        <w:t xml:space="preserve">ment.  </w:t>
      </w:r>
      <w:r w:rsidRPr="00304E5C" w:rsidR="00304E5C">
        <w:rPr>
          <w:rFonts w:eastAsia="Calibri"/>
        </w:rPr>
        <w:t xml:space="preserve">FDA uses a variety of media to </w:t>
      </w:r>
      <w:r w:rsidR="0005558D">
        <w:rPr>
          <w:rFonts w:eastAsia="Calibri"/>
        </w:rPr>
        <w:t xml:space="preserve">disseminate messages and materials to convey important and complex </w:t>
      </w:r>
      <w:r w:rsidRPr="00304E5C" w:rsidR="00304E5C">
        <w:rPr>
          <w:rFonts w:eastAsia="Calibri"/>
        </w:rPr>
        <w:t>inform</w:t>
      </w:r>
      <w:r w:rsidR="0005558D">
        <w:rPr>
          <w:rFonts w:eastAsia="Calibri"/>
        </w:rPr>
        <w:t xml:space="preserve">ation </w:t>
      </w:r>
      <w:r w:rsidRPr="00304E5C" w:rsidR="00304E5C">
        <w:rPr>
          <w:rFonts w:eastAsia="Calibri"/>
        </w:rPr>
        <w:t xml:space="preserve">about </w:t>
      </w:r>
      <w:r w:rsidR="0005558D">
        <w:rPr>
          <w:rFonts w:eastAsia="Calibri"/>
        </w:rPr>
        <w:t>these products</w:t>
      </w:r>
      <w:r w:rsidR="007A77CF">
        <w:rPr>
          <w:rFonts w:eastAsia="Calibri"/>
        </w:rPr>
        <w:t xml:space="preserve">, which include </w:t>
      </w:r>
      <w:r w:rsidRPr="007A77CF" w:rsidR="007A77CF">
        <w:rPr>
          <w:rFonts w:eastAsia="Calibri"/>
        </w:rPr>
        <w:t>foods, cosmetics, dietary supplements, and animal foods and feeds,</w:t>
      </w:r>
      <w:r w:rsidR="0005558D">
        <w:rPr>
          <w:rFonts w:eastAsia="Calibri"/>
        </w:rPr>
        <w:t>.  To help fulfill our public health protection mandate, we rely on q</w:t>
      </w:r>
      <w:r w:rsidRPr="001A058D" w:rsidR="00304E5C">
        <w:rPr>
          <w:rFonts w:eastAsia="Calibri"/>
        </w:rPr>
        <w:t>uantitative</w:t>
      </w:r>
      <w:r w:rsidRPr="00304E5C" w:rsidR="00304E5C">
        <w:rPr>
          <w:rFonts w:eastAsia="Calibri"/>
        </w:rPr>
        <w:t xml:space="preserve"> research to assess the development, and continued relevance of,</w:t>
      </w:r>
      <w:r w:rsidR="007A77CF">
        <w:rPr>
          <w:rFonts w:eastAsia="Calibri"/>
        </w:rPr>
        <w:t xml:space="preserve"> our communications</w:t>
      </w:r>
      <w:r w:rsidRPr="00304E5C" w:rsidR="00304E5C">
        <w:rPr>
          <w:rFonts w:eastAsia="Calibri"/>
        </w:rPr>
        <w:t xml:space="preserve"> </w:t>
      </w:r>
      <w:r w:rsidR="007A77CF">
        <w:rPr>
          <w:rFonts w:eastAsia="Calibri"/>
        </w:rPr>
        <w:t xml:space="preserve">in the context of changing </w:t>
      </w:r>
      <w:r w:rsidRPr="00304E5C" w:rsidR="00304E5C">
        <w:rPr>
          <w:rFonts w:eastAsia="Calibri"/>
        </w:rPr>
        <w:t>social and environmental factors.</w:t>
      </w:r>
    </w:p>
    <w:p w:rsidRPr="00304E5C" w:rsidR="00304E5C" w:rsidP="007A5E89" w:rsidRDefault="00304E5C" w14:paraId="52401EE9" w14:textId="77777777">
      <w:pPr>
        <w:rPr>
          <w:rFonts w:eastAsia="Calibri"/>
        </w:rPr>
      </w:pPr>
    </w:p>
    <w:p w:rsidRPr="00304E5C" w:rsidR="00304E5C" w:rsidP="007A5E89" w:rsidRDefault="00304E5C" w14:paraId="00EEAC70" w14:textId="39E291F2">
      <w:pPr>
        <w:rPr>
          <w:rFonts w:eastAsia="Calibri"/>
        </w:rPr>
      </w:pPr>
      <w:r w:rsidRPr="001A058D">
        <w:rPr>
          <w:rFonts w:eastAsia="Calibri"/>
        </w:rPr>
        <w:t>Quantitative</w:t>
      </w:r>
      <w:r w:rsidRPr="00304E5C">
        <w:rPr>
          <w:rFonts w:eastAsia="Calibri"/>
        </w:rPr>
        <w:t xml:space="preserve"> research play</w:t>
      </w:r>
      <w:r w:rsidR="007A77CF">
        <w:rPr>
          <w:rFonts w:eastAsia="Calibri"/>
        </w:rPr>
        <w:t>s</w:t>
      </w:r>
      <w:r w:rsidRPr="00304E5C">
        <w:rPr>
          <w:rFonts w:eastAsia="Calibri"/>
        </w:rPr>
        <w:t xml:space="preserve"> a large role in </w:t>
      </w:r>
      <w:r w:rsidR="007A77CF">
        <w:rPr>
          <w:rFonts w:eastAsia="Calibri"/>
        </w:rPr>
        <w:t>helping us</w:t>
      </w:r>
      <w:r w:rsidRPr="00304E5C">
        <w:rPr>
          <w:rFonts w:eastAsia="Calibri"/>
        </w:rPr>
        <w:t xml:space="preserve"> identify </w:t>
      </w:r>
      <w:r w:rsidR="007A77CF">
        <w:rPr>
          <w:rFonts w:eastAsia="Calibri"/>
        </w:rPr>
        <w:t xml:space="preserve">possible </w:t>
      </w:r>
      <w:r w:rsidRPr="00304E5C">
        <w:rPr>
          <w:rFonts w:eastAsia="Calibri"/>
        </w:rPr>
        <w:t>gaps in</w:t>
      </w:r>
      <w:r w:rsidR="009C4142">
        <w:rPr>
          <w:rFonts w:eastAsia="Calibri"/>
        </w:rPr>
        <w:t xml:space="preserve"> the</w:t>
      </w:r>
      <w:r w:rsidRPr="00304E5C">
        <w:rPr>
          <w:rFonts w:eastAsia="Calibri"/>
        </w:rPr>
        <w:t xml:space="preserve"> key areas of knowledge, reach</w:t>
      </w:r>
      <w:r w:rsidR="009C4142">
        <w:rPr>
          <w:rFonts w:eastAsia="Calibri"/>
        </w:rPr>
        <w:t>ing</w:t>
      </w:r>
      <w:r w:rsidRPr="00304E5C">
        <w:rPr>
          <w:rFonts w:eastAsia="Calibri"/>
        </w:rPr>
        <w:t xml:space="preserve"> diverse audiences,</w:t>
      </w:r>
      <w:r w:rsidR="000169F8">
        <w:rPr>
          <w:rFonts w:eastAsia="Calibri"/>
        </w:rPr>
        <w:t xml:space="preserve"> </w:t>
      </w:r>
      <w:r w:rsidRPr="00304E5C">
        <w:rPr>
          <w:rFonts w:eastAsia="Calibri"/>
        </w:rPr>
        <w:t>assess</w:t>
      </w:r>
      <w:r w:rsidR="009C4142">
        <w:rPr>
          <w:rFonts w:eastAsia="Calibri"/>
        </w:rPr>
        <w:t>ing</w:t>
      </w:r>
      <w:r w:rsidRPr="00304E5C">
        <w:rPr>
          <w:rFonts w:eastAsia="Calibri"/>
        </w:rPr>
        <w:t xml:space="preserve"> </w:t>
      </w:r>
      <w:r w:rsidR="00A434C0">
        <w:rPr>
          <w:rFonts w:eastAsia="Calibri"/>
        </w:rPr>
        <w:t xml:space="preserve">beliefs </w:t>
      </w:r>
      <w:r w:rsidRPr="00304E5C">
        <w:rPr>
          <w:rFonts w:eastAsia="Calibri"/>
        </w:rPr>
        <w:t xml:space="preserve">and perceptions about FDA-regulated products, </w:t>
      </w:r>
      <w:r w:rsidR="005F1556">
        <w:rPr>
          <w:rFonts w:eastAsia="Calibri"/>
        </w:rPr>
        <w:t xml:space="preserve">and in </w:t>
      </w:r>
      <w:r w:rsidRPr="00304E5C">
        <w:rPr>
          <w:rFonts w:eastAsia="Calibri"/>
        </w:rPr>
        <w:t>evaluat</w:t>
      </w:r>
      <w:r w:rsidR="005F1556">
        <w:rPr>
          <w:rFonts w:eastAsia="Calibri"/>
        </w:rPr>
        <w:t>ing</w:t>
      </w:r>
      <w:r w:rsidRPr="00304E5C">
        <w:rPr>
          <w:rFonts w:eastAsia="Calibri"/>
        </w:rPr>
        <w:t xml:space="preserve"> the effectiveness of </w:t>
      </w:r>
      <w:r w:rsidR="005F1556">
        <w:rPr>
          <w:rFonts w:eastAsia="Calibri"/>
        </w:rPr>
        <w:t xml:space="preserve">our </w:t>
      </w:r>
      <w:r w:rsidRPr="00304E5C">
        <w:rPr>
          <w:rFonts w:eastAsia="Calibri"/>
        </w:rPr>
        <w:t>risk communication</w:t>
      </w:r>
      <w:r w:rsidR="005F1556">
        <w:rPr>
          <w:rFonts w:eastAsia="Calibri"/>
        </w:rPr>
        <w:t>s.</w:t>
      </w:r>
      <w:r w:rsidR="00D31CB4">
        <w:rPr>
          <w:rFonts w:eastAsia="Calibri"/>
        </w:rPr>
        <w:t xml:space="preserve">  </w:t>
      </w:r>
      <w:r w:rsidRPr="009A3C47" w:rsidR="009A3C47">
        <w:rPr>
          <w:rFonts w:eastAsia="Calibri"/>
        </w:rPr>
        <w:t>To facilitate submission and OMB review of the individual approvals requested under this clearance, we have developed a supporting documentation template</w:t>
      </w:r>
      <w:r w:rsidR="00D31CB4">
        <w:rPr>
          <w:rFonts w:eastAsia="Calibri"/>
        </w:rPr>
        <w:t xml:space="preserve"> to</w:t>
      </w:r>
      <w:r w:rsidRPr="009A3C47" w:rsidR="009A3C47">
        <w:rPr>
          <w:rFonts w:eastAsia="Calibri"/>
        </w:rPr>
        <w:t xml:space="preserve"> be </w:t>
      </w:r>
      <w:r w:rsidR="00BD27E1">
        <w:rPr>
          <w:rFonts w:eastAsia="Calibri"/>
        </w:rPr>
        <w:t xml:space="preserve">completed and </w:t>
      </w:r>
      <w:r w:rsidRPr="009A3C47" w:rsidR="009A3C47">
        <w:rPr>
          <w:rFonts w:eastAsia="Calibri"/>
        </w:rPr>
        <w:t xml:space="preserve">submitted along with </w:t>
      </w:r>
      <w:r w:rsidR="00BD27E1">
        <w:rPr>
          <w:rFonts w:eastAsia="Calibri"/>
        </w:rPr>
        <w:t xml:space="preserve">the respective </w:t>
      </w:r>
      <w:r w:rsidRPr="009A3C47" w:rsidR="009A3C47">
        <w:rPr>
          <w:rFonts w:eastAsia="Calibri"/>
        </w:rPr>
        <w:t>proposed collection instruments.</w:t>
      </w:r>
    </w:p>
    <w:p w:rsidRPr="00304E5C" w:rsidR="00304E5C" w:rsidP="007A5E89" w:rsidRDefault="00304E5C" w14:paraId="5F59E55B" w14:textId="77777777">
      <w:pPr>
        <w:rPr>
          <w:rFonts w:eastAsia="Calibri"/>
        </w:rPr>
      </w:pPr>
      <w:r w:rsidRPr="00304E5C">
        <w:rPr>
          <w:rFonts w:eastAsia="Calibri"/>
        </w:rPr>
        <w:tab/>
      </w:r>
    </w:p>
    <w:p w:rsidRPr="005C71CA" w:rsidR="00304E5C" w:rsidP="007A5E89" w:rsidRDefault="00304E5C" w14:paraId="16C0B565" w14:textId="7E8D9896">
      <w:pPr>
        <w:rPr>
          <w:rFonts w:eastAsia="Calibri"/>
        </w:rPr>
      </w:pPr>
      <w:bookmarkStart w:name="_Hlk93994427" w:id="0"/>
    </w:p>
    <w:bookmarkEnd w:id="0"/>
    <w:p w:rsidR="00423272" w:rsidP="007A5E89" w:rsidRDefault="00423272" w14:paraId="79FBA0C1" w14:textId="77777777">
      <w:pPr>
        <w:rPr>
          <w:rFonts w:eastAsia="Calibri"/>
        </w:rPr>
      </w:pPr>
    </w:p>
    <w:p w:rsidR="00357C8A" w:rsidP="007A5E89" w:rsidRDefault="00304E5C" w14:paraId="45530DBD" w14:textId="3523AAA8">
      <w:pPr>
        <w:rPr>
          <w:rFonts w:eastAsia="Calibri"/>
        </w:rPr>
      </w:pPr>
      <w:r>
        <w:rPr>
          <w:rFonts w:eastAsia="Calibri"/>
        </w:rPr>
        <w:t xml:space="preserve">We </w:t>
      </w:r>
      <w:r w:rsidRPr="005C71CA" w:rsidR="00423272">
        <w:rPr>
          <w:rFonts w:eastAsia="Calibri"/>
        </w:rPr>
        <w:t xml:space="preserve">therefore request extension of approval </w:t>
      </w:r>
      <w:r w:rsidR="000C130D">
        <w:rPr>
          <w:rFonts w:eastAsia="Calibri"/>
        </w:rPr>
        <w:t>for the</w:t>
      </w:r>
      <w:r w:rsidR="00B77885">
        <w:rPr>
          <w:rFonts w:eastAsia="Calibri"/>
        </w:rPr>
        <w:t xml:space="preserve"> generic clearance discussed</w:t>
      </w:r>
      <w:r w:rsidRPr="005C71CA" w:rsidR="00423272">
        <w:rPr>
          <w:rFonts w:eastAsia="Calibri"/>
        </w:rPr>
        <w:t xml:space="preserve"> in this supporting statement</w:t>
      </w:r>
      <w:r w:rsidR="00E855EC">
        <w:rPr>
          <w:rFonts w:eastAsia="Calibri"/>
        </w:rPr>
        <w:t xml:space="preserve">, and </w:t>
      </w:r>
      <w:r w:rsidR="005E175C">
        <w:rPr>
          <w:rFonts w:eastAsia="Calibri"/>
        </w:rPr>
        <w:t xml:space="preserve">administered </w:t>
      </w:r>
      <w:r w:rsidR="00E855EC">
        <w:rPr>
          <w:rFonts w:eastAsia="Calibri"/>
        </w:rPr>
        <w:t>in accordance with</w:t>
      </w:r>
      <w:r w:rsidR="00A25182">
        <w:rPr>
          <w:rFonts w:eastAsia="Calibri"/>
        </w:rPr>
        <w:t xml:space="preserve"> methodologies described in our</w:t>
      </w:r>
      <w:r w:rsidR="00F23172">
        <w:rPr>
          <w:rFonts w:eastAsia="Calibri"/>
        </w:rPr>
        <w:t xml:space="preserve"> supporting statement part B</w:t>
      </w:r>
      <w:r w:rsidRPr="005C71CA" w:rsidR="00423272">
        <w:rPr>
          <w:rFonts w:eastAsia="Calibri"/>
        </w:rPr>
        <w:t>.</w:t>
      </w:r>
    </w:p>
    <w:p w:rsidRPr="00357C8A" w:rsidR="0058621F" w:rsidP="007A5E89" w:rsidRDefault="0058621F" w14:paraId="1E42EECB" w14:textId="77777777">
      <w:pPr>
        <w:rPr>
          <w:rFonts w:eastAsia="Calibri"/>
          <w:color w:val="FF0000"/>
        </w:rPr>
      </w:pPr>
    </w:p>
    <w:p w:rsidRPr="00357C8A" w:rsidR="00357C8A" w:rsidP="007A5E89" w:rsidRDefault="00357C8A" w14:paraId="08CFA12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5E5681" w:rsidR="000C130D" w:rsidP="007A5E89" w:rsidRDefault="001A5C6D" w14:paraId="206588D1" w14:textId="5D1C0AFF">
      <w:r>
        <w:t>Consistent with OMB communication on flexibilities under the PRA</w:t>
      </w:r>
      <w:r w:rsidR="00093EF4">
        <w:rPr>
          <w:rStyle w:val="FootnoteReference"/>
        </w:rPr>
        <w:footnoteReference w:id="2"/>
      </w:r>
      <w:r w:rsidR="00A20F2A">
        <w:t xml:space="preserve"> and the </w:t>
      </w:r>
      <w:r w:rsidR="00AB6908">
        <w:t>use of Generic Clearance</w:t>
      </w:r>
      <w:r w:rsidR="00093EF4">
        <w:t>,</w:t>
      </w:r>
      <w:r w:rsidR="00AB6908">
        <w:t xml:space="preserve"> individual submi</w:t>
      </w:r>
      <w:r w:rsidR="00847964">
        <w:t xml:space="preserve">ssion requests will be those we believe </w:t>
      </w:r>
      <w:r w:rsidR="000B77AE">
        <w:t xml:space="preserve">are low in burden, similar in nature, and </w:t>
      </w:r>
      <w:r w:rsidR="00A84A23">
        <w:t xml:space="preserve">do not raise any substantive or policy issues.  We </w:t>
      </w:r>
      <w:r w:rsidR="00177288">
        <w:t xml:space="preserve">intend to utilize </w:t>
      </w:r>
      <w:r w:rsidR="00FA7F76">
        <w:t xml:space="preserve">the information collection as a way to </w:t>
      </w:r>
      <w:r w:rsidR="002553B2">
        <w:t xml:space="preserve">test </w:t>
      </w:r>
      <w:r>
        <w:t xml:space="preserve">preliminary versions of </w:t>
      </w:r>
      <w:r w:rsidR="00FA7F76">
        <w:t xml:space="preserve">communications </w:t>
      </w:r>
      <w:r w:rsidR="00276F32">
        <w:t xml:space="preserve">we share </w:t>
      </w:r>
      <w:r>
        <w:t>with</w:t>
      </w:r>
      <w:r w:rsidR="00276F32">
        <w:t xml:space="preserve"> </w:t>
      </w:r>
      <w:r>
        <w:t xml:space="preserve">the public </w:t>
      </w:r>
      <w:r w:rsidR="00276F32">
        <w:t xml:space="preserve">to help </w:t>
      </w:r>
      <w:r w:rsidR="002553B2">
        <w:t xml:space="preserve">evaluate </w:t>
      </w:r>
      <w:r>
        <w:t>their clarity and usability.</w:t>
      </w:r>
      <w:r w:rsidR="00963A1A">
        <w:t xml:space="preserve">  Consumer</w:t>
      </w:r>
      <w:r w:rsidR="00AB74FF">
        <w:t xml:space="preserve"> </w:t>
      </w:r>
      <w:r w:rsidR="000C130D">
        <w:t xml:space="preserve">reaction </w:t>
      </w:r>
      <w:r w:rsidR="00570A0C">
        <w:t xml:space="preserve">and </w:t>
      </w:r>
      <w:r w:rsidR="00D838A3">
        <w:t xml:space="preserve">feedback </w:t>
      </w:r>
      <w:r w:rsidR="000C130D">
        <w:t>to communication</w:t>
      </w:r>
      <w:r w:rsidR="00AB74FF">
        <w:t>s</w:t>
      </w:r>
      <w:r w:rsidR="000C130D">
        <w:t xml:space="preserve"> and educational messages under development </w:t>
      </w:r>
      <w:r w:rsidR="000D4863">
        <w:t xml:space="preserve">will help us </w:t>
      </w:r>
      <w:r w:rsidRPr="005E5681" w:rsidR="000C130D">
        <w:t xml:space="preserve">better understand </w:t>
      </w:r>
      <w:r w:rsidR="00D838A3">
        <w:t xml:space="preserve">current </w:t>
      </w:r>
      <w:r w:rsidR="000C130D">
        <w:t>behavior, knowledge, beliefs, perceptions</w:t>
      </w:r>
      <w:r w:rsidR="00883C73">
        <w:t>,</w:t>
      </w:r>
      <w:r w:rsidR="000C130D">
        <w:t xml:space="preserve"> and attitudes </w:t>
      </w:r>
      <w:r w:rsidRPr="005E5681" w:rsidR="000C130D">
        <w:t>to topics and concepts</w:t>
      </w:r>
      <w:r w:rsidR="000C130D">
        <w:t xml:space="preserve"> related to </w:t>
      </w:r>
      <w:r w:rsidRPr="008F3462" w:rsidR="000C130D">
        <w:t>FDA-regulated</w:t>
      </w:r>
      <w:r w:rsidR="00F6571E">
        <w:t xml:space="preserve"> products.</w:t>
      </w:r>
      <w:r w:rsidRPr="008F3462" w:rsidR="000C130D">
        <w:t xml:space="preserve"> </w:t>
      </w:r>
      <w:r w:rsidRPr="005E5681" w:rsidR="000C130D">
        <w:t xml:space="preserve">The data will not be directly used for the purposes of making regulatory </w:t>
      </w:r>
      <w:r w:rsidR="000C130D">
        <w:t xml:space="preserve">or other policy </w:t>
      </w:r>
      <w:r w:rsidRPr="005E5681" w:rsidR="000C130D">
        <w:t>decisions.</w:t>
      </w:r>
    </w:p>
    <w:p w:rsidR="000C130D" w:rsidP="007A5E89" w:rsidRDefault="000C130D" w14:paraId="723E903E" w14:textId="77777777">
      <w:pPr>
        <w:numPr>
          <w:ilvl w:val="12"/>
          <w:numId w:val="0"/>
        </w:numPr>
      </w:pPr>
    </w:p>
    <w:p w:rsidR="00A97F04" w:rsidP="007A5E89" w:rsidRDefault="00833A39" w14:paraId="014FDBF6" w14:textId="3D6774C5">
      <w:pPr>
        <w:numPr>
          <w:ilvl w:val="12"/>
          <w:numId w:val="0"/>
        </w:numPr>
      </w:pPr>
      <w:r>
        <w:t>Since</w:t>
      </w:r>
      <w:r w:rsidR="0007101F">
        <w:t xml:space="preserve"> last OMB review and approval </w:t>
      </w:r>
      <w:r w:rsidR="00B32A62">
        <w:t xml:space="preserve">of the generic clearance, </w:t>
      </w:r>
      <w:r w:rsidR="0007101F">
        <w:t xml:space="preserve">we have conducted </w:t>
      </w:r>
      <w:r w:rsidR="000A33C2">
        <w:t xml:space="preserve">the following </w:t>
      </w:r>
      <w:r w:rsidR="0007101F">
        <w:t>individual information collection</w:t>
      </w:r>
      <w:r w:rsidR="000A33C2">
        <w:t>s</w:t>
      </w:r>
      <w:r w:rsidR="001A02E7">
        <w:t>:</w:t>
      </w:r>
    </w:p>
    <w:p w:rsidR="00593FDE" w:rsidP="007A5E89" w:rsidRDefault="00593FDE" w14:paraId="44F76B94" w14:textId="23986C27">
      <w:pPr>
        <w:numPr>
          <w:ilvl w:val="12"/>
          <w:numId w:val="0"/>
        </w:numPr>
      </w:pPr>
    </w:p>
    <w:tbl>
      <w:tblPr>
        <w:tblW w:w="4945" w:type="pct"/>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70"/>
        <w:gridCol w:w="2463"/>
        <w:gridCol w:w="3704"/>
        <w:gridCol w:w="810"/>
      </w:tblGrid>
      <w:tr w:rsidRPr="00593FDE" w:rsidR="00593FDE" w:rsidTr="00593FDE" w14:paraId="6205655C" w14:textId="77777777">
        <w:trPr>
          <w:cantSplit/>
          <w:tblHeader/>
        </w:trPr>
        <w:tc>
          <w:tcPr>
            <w:tcW w:w="1227" w:type="pct"/>
            <w:shd w:val="clear" w:color="auto" w:fill="F2F2F2" w:themeFill="background1" w:themeFillShade="F2"/>
          </w:tcPr>
          <w:p w:rsidRPr="00593FDE" w:rsidR="00593FDE" w:rsidP="00593FDE" w:rsidRDefault="00593FDE" w14:paraId="5452FEC9" w14:textId="77777777">
            <w:pPr>
              <w:jc w:val="center"/>
              <w:rPr>
                <w:b/>
                <w:bCs/>
                <w:sz w:val="20"/>
                <w:szCs w:val="20"/>
              </w:rPr>
            </w:pPr>
            <w:r w:rsidRPr="00593FDE">
              <w:rPr>
                <w:b/>
                <w:bCs/>
                <w:sz w:val="20"/>
                <w:szCs w:val="20"/>
              </w:rPr>
              <w:t>Title of Collection</w:t>
            </w:r>
          </w:p>
        </w:tc>
        <w:tc>
          <w:tcPr>
            <w:tcW w:w="1332" w:type="pct"/>
            <w:shd w:val="clear" w:color="auto" w:fill="F2F2F2" w:themeFill="background1" w:themeFillShade="F2"/>
          </w:tcPr>
          <w:p w:rsidRPr="00593FDE" w:rsidR="00593FDE" w:rsidP="00593FDE" w:rsidRDefault="00593FDE" w14:paraId="0F055650" w14:textId="77777777">
            <w:pPr>
              <w:jc w:val="center"/>
              <w:rPr>
                <w:b/>
                <w:bCs/>
                <w:sz w:val="20"/>
                <w:szCs w:val="20"/>
              </w:rPr>
            </w:pPr>
            <w:r w:rsidRPr="00593FDE">
              <w:rPr>
                <w:b/>
                <w:bCs/>
                <w:sz w:val="20"/>
                <w:szCs w:val="20"/>
              </w:rPr>
              <w:t>Participants</w:t>
            </w:r>
          </w:p>
        </w:tc>
        <w:tc>
          <w:tcPr>
            <w:tcW w:w="2003" w:type="pct"/>
            <w:shd w:val="clear" w:color="auto" w:fill="F2F2F2" w:themeFill="background1" w:themeFillShade="F2"/>
          </w:tcPr>
          <w:p w:rsidRPr="00593FDE" w:rsidR="00593FDE" w:rsidP="00593FDE" w:rsidRDefault="00593FDE" w14:paraId="5ACD071D" w14:textId="77777777">
            <w:pPr>
              <w:jc w:val="center"/>
              <w:rPr>
                <w:b/>
                <w:bCs/>
                <w:sz w:val="20"/>
                <w:szCs w:val="20"/>
              </w:rPr>
            </w:pPr>
            <w:r w:rsidRPr="00593FDE">
              <w:rPr>
                <w:b/>
                <w:bCs/>
                <w:sz w:val="20"/>
                <w:szCs w:val="20"/>
              </w:rPr>
              <w:t>Use of Information</w:t>
            </w:r>
          </w:p>
        </w:tc>
        <w:tc>
          <w:tcPr>
            <w:tcW w:w="438" w:type="pct"/>
            <w:shd w:val="clear" w:color="auto" w:fill="F2F2F2" w:themeFill="background1" w:themeFillShade="F2"/>
          </w:tcPr>
          <w:p w:rsidRPr="00593FDE" w:rsidR="00593FDE" w:rsidP="00593FDE" w:rsidRDefault="00593FDE" w14:paraId="0696CB64" w14:textId="77777777">
            <w:pPr>
              <w:jc w:val="center"/>
              <w:rPr>
                <w:b/>
                <w:bCs/>
                <w:sz w:val="20"/>
                <w:szCs w:val="20"/>
              </w:rPr>
            </w:pPr>
            <w:r w:rsidRPr="00593FDE">
              <w:rPr>
                <w:b/>
                <w:bCs/>
                <w:sz w:val="20"/>
                <w:szCs w:val="20"/>
              </w:rPr>
              <w:t>Hours Used</w:t>
            </w:r>
          </w:p>
        </w:tc>
      </w:tr>
      <w:tr w:rsidRPr="00593FDE" w:rsidR="00593FDE" w:rsidTr="00593FDE" w14:paraId="4D31A6E7" w14:textId="77777777">
        <w:trPr>
          <w:cantSplit/>
        </w:trPr>
        <w:tc>
          <w:tcPr>
            <w:tcW w:w="1227" w:type="pct"/>
            <w:shd w:val="clear" w:color="auto" w:fill="auto"/>
          </w:tcPr>
          <w:p w:rsidRPr="00593FDE" w:rsidR="00593FDE" w:rsidP="00593FDE" w:rsidRDefault="00593FDE" w14:paraId="040E76CF" w14:textId="77777777">
            <w:pPr>
              <w:contextualSpacing/>
              <w:rPr>
                <w:rFonts w:eastAsia="Calibri"/>
                <w:bCs/>
                <w:sz w:val="22"/>
                <w:szCs w:val="22"/>
              </w:rPr>
            </w:pPr>
            <w:r w:rsidRPr="00593FDE">
              <w:rPr>
                <w:rFonts w:eastAsia="Calibri"/>
                <w:bCs/>
                <w:sz w:val="22"/>
                <w:szCs w:val="22"/>
              </w:rPr>
              <w:t>Development and Improvement of FDA International On-Farm Readiness Review Training</w:t>
            </w:r>
          </w:p>
          <w:p w:rsidRPr="00593FDE" w:rsidR="00593FDE" w:rsidP="00593FDE" w:rsidRDefault="00593FDE" w14:paraId="39F08465" w14:textId="77777777">
            <w:pPr>
              <w:keepLines/>
              <w:ind w:right="-1440"/>
              <w:rPr>
                <w:sz w:val="22"/>
                <w:szCs w:val="22"/>
              </w:rPr>
            </w:pPr>
          </w:p>
        </w:tc>
        <w:tc>
          <w:tcPr>
            <w:tcW w:w="1332" w:type="pct"/>
            <w:shd w:val="clear" w:color="auto" w:fill="auto"/>
          </w:tcPr>
          <w:p w:rsidRPr="00593FDE" w:rsidR="00593FDE" w:rsidP="00593FDE" w:rsidRDefault="00593FDE" w14:paraId="5B13DC13" w14:textId="77777777">
            <w:pPr>
              <w:autoSpaceDE w:val="0"/>
              <w:autoSpaceDN w:val="0"/>
              <w:adjustRightInd w:val="0"/>
              <w:rPr>
                <w:sz w:val="22"/>
                <w:szCs w:val="22"/>
              </w:rPr>
            </w:pPr>
            <w:r w:rsidRPr="00593FDE">
              <w:rPr>
                <w:sz w:val="22"/>
                <w:szCs w:val="22"/>
              </w:rPr>
              <w:t xml:space="preserve">150 respondent-trainees, including foreign government and university personnel, completed pre- and post-training tests. </w:t>
            </w:r>
          </w:p>
        </w:tc>
        <w:tc>
          <w:tcPr>
            <w:tcW w:w="2003" w:type="pct"/>
          </w:tcPr>
          <w:p w:rsidRPr="00593FDE" w:rsidR="00593FDE" w:rsidP="00593FDE" w:rsidRDefault="00593FDE" w14:paraId="23EEA663" w14:textId="77777777">
            <w:pPr>
              <w:rPr>
                <w:iCs/>
                <w:sz w:val="22"/>
                <w:szCs w:val="22"/>
              </w:rPr>
            </w:pPr>
            <w:r w:rsidRPr="00593FDE">
              <w:rPr>
                <w:sz w:val="22"/>
                <w:szCs w:val="22"/>
              </w:rPr>
              <w:t xml:space="preserve">Helps support safe produce initiative.  More information can be found at: </w:t>
            </w:r>
            <w:hyperlink w:history="1" r:id="rId8">
              <w:r w:rsidRPr="00593FDE">
                <w:rPr>
                  <w:color w:val="0563C1" w:themeColor="hyperlink"/>
                  <w:sz w:val="22"/>
                  <w:szCs w:val="22"/>
                  <w:u w:val="single"/>
                </w:rPr>
                <w:t>www.fda.gov/food/cfsan-constituent-updates/fda-commissioner-addresses-state-agriculture-commissioners-announces-new-steps-enhance-collaboration</w:t>
              </w:r>
            </w:hyperlink>
            <w:r w:rsidRPr="00593FDE">
              <w:rPr>
                <w:sz w:val="22"/>
                <w:szCs w:val="22"/>
              </w:rPr>
              <w:t>.</w:t>
            </w:r>
          </w:p>
        </w:tc>
        <w:tc>
          <w:tcPr>
            <w:tcW w:w="438" w:type="pct"/>
          </w:tcPr>
          <w:p w:rsidRPr="00593FDE" w:rsidR="00593FDE" w:rsidP="00593FDE" w:rsidRDefault="00593FDE" w14:paraId="1571E382" w14:textId="77777777">
            <w:pPr>
              <w:jc w:val="right"/>
              <w:rPr>
                <w:iCs/>
                <w:sz w:val="22"/>
                <w:szCs w:val="22"/>
              </w:rPr>
            </w:pPr>
            <w:r w:rsidRPr="00593FDE">
              <w:rPr>
                <w:iCs/>
                <w:sz w:val="22"/>
                <w:szCs w:val="22"/>
              </w:rPr>
              <w:t>50</w:t>
            </w:r>
          </w:p>
        </w:tc>
      </w:tr>
      <w:tr w:rsidRPr="00593FDE" w:rsidR="00593FDE" w:rsidTr="00593FDE" w14:paraId="24BEBB26" w14:textId="77777777">
        <w:trPr>
          <w:cantSplit/>
        </w:trPr>
        <w:tc>
          <w:tcPr>
            <w:tcW w:w="1227" w:type="pct"/>
            <w:shd w:val="clear" w:color="auto" w:fill="auto"/>
          </w:tcPr>
          <w:p w:rsidRPr="00593FDE" w:rsidR="00593FDE" w:rsidP="00593FDE" w:rsidRDefault="00593FDE" w14:paraId="04DCB9FF" w14:textId="77777777">
            <w:pPr>
              <w:keepLines/>
              <w:ind w:right="-17"/>
              <w:rPr>
                <w:sz w:val="22"/>
                <w:szCs w:val="22"/>
              </w:rPr>
            </w:pPr>
            <w:r w:rsidRPr="00593FDE">
              <w:rPr>
                <w:sz w:val="22"/>
                <w:szCs w:val="22"/>
              </w:rPr>
              <w:t>Agricultural Biotechnology Education and Outreach Initiative</w:t>
            </w:r>
          </w:p>
        </w:tc>
        <w:tc>
          <w:tcPr>
            <w:tcW w:w="1332" w:type="pct"/>
            <w:shd w:val="clear" w:color="auto" w:fill="auto"/>
          </w:tcPr>
          <w:p w:rsidRPr="00593FDE" w:rsidR="00593FDE" w:rsidP="00593FDE" w:rsidRDefault="00593FDE" w14:paraId="22D82974" w14:textId="77777777">
            <w:pPr>
              <w:autoSpaceDE w:val="0"/>
              <w:autoSpaceDN w:val="0"/>
              <w:adjustRightInd w:val="0"/>
              <w:rPr>
                <w:sz w:val="22"/>
                <w:szCs w:val="22"/>
              </w:rPr>
            </w:pPr>
            <w:r w:rsidRPr="00593FDE">
              <w:rPr>
                <w:sz w:val="22"/>
                <w:szCs w:val="22"/>
              </w:rPr>
              <w:t>6,000 solicitations resulted in 3,000 respondents (1500 control group,1500 intervention group) who completed 2-wave survey.</w:t>
            </w:r>
          </w:p>
        </w:tc>
        <w:tc>
          <w:tcPr>
            <w:tcW w:w="2003" w:type="pct"/>
          </w:tcPr>
          <w:p w:rsidRPr="00593FDE" w:rsidR="00593FDE" w:rsidP="00593FDE" w:rsidRDefault="00593FDE" w14:paraId="59BB1B5C" w14:textId="3B7B1849">
            <w:pPr>
              <w:rPr>
                <w:sz w:val="22"/>
                <w:szCs w:val="22"/>
              </w:rPr>
            </w:pPr>
            <w:r w:rsidRPr="00593FDE">
              <w:rPr>
                <w:sz w:val="22"/>
                <w:szCs w:val="22"/>
              </w:rPr>
              <w:t xml:space="preserve">Helps support directed outreach efforts.  More information available at:  </w:t>
            </w:r>
            <w:hyperlink w:history="1" r:id="rId9">
              <w:r w:rsidRPr="00593FDE">
                <w:rPr>
                  <w:color w:val="0563C1" w:themeColor="hyperlink"/>
                  <w:sz w:val="22"/>
                  <w:szCs w:val="22"/>
                  <w:u w:val="single"/>
                </w:rPr>
                <w:t>www.fda.gov/food/agricultural-biotechnology/agricultural-biotechnology-education-and-outreach-initiative</w:t>
              </w:r>
            </w:hyperlink>
          </w:p>
        </w:tc>
        <w:tc>
          <w:tcPr>
            <w:tcW w:w="438" w:type="pct"/>
          </w:tcPr>
          <w:p w:rsidRPr="00593FDE" w:rsidR="00593FDE" w:rsidP="00593FDE" w:rsidRDefault="00593FDE" w14:paraId="7A15788D" w14:textId="77777777">
            <w:pPr>
              <w:jc w:val="right"/>
              <w:rPr>
                <w:sz w:val="22"/>
                <w:szCs w:val="22"/>
              </w:rPr>
            </w:pPr>
            <w:r w:rsidRPr="00593FDE">
              <w:rPr>
                <w:sz w:val="22"/>
                <w:szCs w:val="22"/>
              </w:rPr>
              <w:t>2,000</w:t>
            </w:r>
          </w:p>
        </w:tc>
      </w:tr>
      <w:tr w:rsidRPr="00593FDE" w:rsidR="00593FDE" w:rsidTr="00593FDE" w14:paraId="0A667D42" w14:textId="77777777">
        <w:trPr>
          <w:cantSplit/>
        </w:trPr>
        <w:tc>
          <w:tcPr>
            <w:tcW w:w="1227" w:type="pct"/>
            <w:shd w:val="clear" w:color="auto" w:fill="auto"/>
          </w:tcPr>
          <w:p w:rsidRPr="00593FDE" w:rsidR="00593FDE" w:rsidP="00593FDE" w:rsidRDefault="00593FDE" w14:paraId="441E7972" w14:textId="77777777">
            <w:pPr>
              <w:keepLines/>
              <w:ind w:right="-84"/>
              <w:rPr>
                <w:sz w:val="22"/>
                <w:szCs w:val="22"/>
              </w:rPr>
            </w:pPr>
            <w:r w:rsidRPr="00593FDE">
              <w:rPr>
                <w:sz w:val="22"/>
                <w:szCs w:val="22"/>
              </w:rPr>
              <w:t>Stakeholder Feedback Survey on CFSAN Outbreak and Response Evaluation Investigation Table</w:t>
            </w:r>
          </w:p>
        </w:tc>
        <w:tc>
          <w:tcPr>
            <w:tcW w:w="1332" w:type="pct"/>
            <w:shd w:val="clear" w:color="auto" w:fill="auto"/>
          </w:tcPr>
          <w:p w:rsidRPr="00593FDE" w:rsidR="00593FDE" w:rsidP="00593FDE" w:rsidRDefault="00593FDE" w14:paraId="6025DFAE" w14:textId="77777777">
            <w:pPr>
              <w:autoSpaceDE w:val="0"/>
              <w:autoSpaceDN w:val="0"/>
              <w:adjustRightInd w:val="0"/>
              <w:rPr>
                <w:sz w:val="22"/>
                <w:szCs w:val="22"/>
              </w:rPr>
            </w:pPr>
            <w:r w:rsidRPr="00593FDE">
              <w:rPr>
                <w:sz w:val="22"/>
                <w:szCs w:val="22"/>
              </w:rPr>
              <w:t>60 respondents from those electing to receive FDA updates on foodborne outbreak investigations completed survey.</w:t>
            </w:r>
          </w:p>
        </w:tc>
        <w:tc>
          <w:tcPr>
            <w:tcW w:w="2003" w:type="pct"/>
          </w:tcPr>
          <w:p w:rsidRPr="00593FDE" w:rsidR="00593FDE" w:rsidP="00593FDE" w:rsidRDefault="00593FDE" w14:paraId="28030B2D" w14:textId="77777777">
            <w:pPr>
              <w:rPr>
                <w:sz w:val="22"/>
                <w:szCs w:val="22"/>
              </w:rPr>
            </w:pPr>
            <w:r w:rsidRPr="00593FDE">
              <w:rPr>
                <w:sz w:val="22"/>
                <w:szCs w:val="22"/>
              </w:rPr>
              <w:t xml:space="preserve">Supports Coordinated Outbreak Response and Evaluation (CORE) initiative found at:  </w:t>
            </w:r>
            <w:hyperlink w:history="1" r:id="rId10">
              <w:r w:rsidRPr="00593FDE">
                <w:rPr>
                  <w:color w:val="0563C1" w:themeColor="hyperlink"/>
                  <w:sz w:val="22"/>
                  <w:szCs w:val="22"/>
                  <w:u w:val="single"/>
                </w:rPr>
                <w:t>www.fda.gov/food/outbreaks-foodborne-illness/about-core-network</w:t>
              </w:r>
            </w:hyperlink>
            <w:r w:rsidRPr="00593FDE">
              <w:rPr>
                <w:sz w:val="22"/>
                <w:szCs w:val="22"/>
              </w:rPr>
              <w:t xml:space="preserve"> </w:t>
            </w:r>
          </w:p>
          <w:p w:rsidRPr="00593FDE" w:rsidR="00593FDE" w:rsidP="00593FDE" w:rsidRDefault="00593FDE" w14:paraId="17D08595" w14:textId="77777777">
            <w:pPr>
              <w:rPr>
                <w:sz w:val="22"/>
                <w:szCs w:val="22"/>
              </w:rPr>
            </w:pPr>
            <w:r w:rsidRPr="00593FDE">
              <w:rPr>
                <w:sz w:val="22"/>
                <w:szCs w:val="22"/>
              </w:rPr>
              <w:t>Updated weekly, we post information about foodborne illness outbreaks, even at early stages of an investigation when significant details are not yet known.</w:t>
            </w:r>
          </w:p>
        </w:tc>
        <w:tc>
          <w:tcPr>
            <w:tcW w:w="438" w:type="pct"/>
          </w:tcPr>
          <w:p w:rsidRPr="00593FDE" w:rsidR="00593FDE" w:rsidP="00593FDE" w:rsidRDefault="00593FDE" w14:paraId="35A15C80" w14:textId="77777777">
            <w:pPr>
              <w:jc w:val="right"/>
              <w:rPr>
                <w:sz w:val="22"/>
                <w:szCs w:val="22"/>
              </w:rPr>
            </w:pPr>
            <w:r w:rsidRPr="00593FDE">
              <w:rPr>
                <w:sz w:val="22"/>
                <w:szCs w:val="22"/>
              </w:rPr>
              <w:t>10</w:t>
            </w:r>
          </w:p>
        </w:tc>
      </w:tr>
      <w:tr w:rsidRPr="00593FDE" w:rsidR="00593FDE" w:rsidTr="00593FDE" w14:paraId="0D50A76B" w14:textId="77777777">
        <w:trPr>
          <w:cantSplit/>
        </w:trPr>
        <w:tc>
          <w:tcPr>
            <w:tcW w:w="1227" w:type="pct"/>
            <w:shd w:val="clear" w:color="auto" w:fill="auto"/>
          </w:tcPr>
          <w:p w:rsidRPr="00593FDE" w:rsidR="00593FDE" w:rsidP="00593FDE" w:rsidRDefault="00593FDE" w14:paraId="18E00FE4" w14:textId="77777777">
            <w:pPr>
              <w:keepLines/>
              <w:ind w:right="-18"/>
              <w:rPr>
                <w:sz w:val="22"/>
                <w:szCs w:val="22"/>
              </w:rPr>
            </w:pPr>
            <w:r w:rsidRPr="00593FDE">
              <w:rPr>
                <w:sz w:val="22"/>
                <w:szCs w:val="22"/>
              </w:rPr>
              <w:lastRenderedPageBreak/>
              <w:t>Consumer Knowledge Regarding Agricultural Biotechnology and Biotechnology-Derived Food Products and Animal Feed-Study</w:t>
            </w:r>
          </w:p>
        </w:tc>
        <w:tc>
          <w:tcPr>
            <w:tcW w:w="1332" w:type="pct"/>
            <w:shd w:val="clear" w:color="auto" w:fill="auto"/>
          </w:tcPr>
          <w:p w:rsidRPr="00593FDE" w:rsidR="00593FDE" w:rsidP="00593FDE" w:rsidRDefault="00593FDE" w14:paraId="66CE592B" w14:textId="77777777">
            <w:pPr>
              <w:autoSpaceDE w:val="0"/>
              <w:autoSpaceDN w:val="0"/>
              <w:adjustRightInd w:val="0"/>
              <w:rPr>
                <w:sz w:val="22"/>
                <w:szCs w:val="22"/>
              </w:rPr>
            </w:pPr>
            <w:r w:rsidRPr="00593FDE">
              <w:rPr>
                <w:sz w:val="22"/>
                <w:szCs w:val="22"/>
              </w:rPr>
              <w:t xml:space="preserve">*1,300 Spanish-speaking consumers recruited for survey. </w:t>
            </w:r>
          </w:p>
        </w:tc>
        <w:tc>
          <w:tcPr>
            <w:tcW w:w="2003" w:type="pct"/>
          </w:tcPr>
          <w:p w:rsidRPr="00593FDE" w:rsidR="00593FDE" w:rsidP="00593FDE" w:rsidRDefault="00593FDE" w14:paraId="153FC16E" w14:textId="77777777">
            <w:pPr>
              <w:rPr>
                <w:sz w:val="22"/>
                <w:szCs w:val="22"/>
              </w:rPr>
            </w:pPr>
            <w:r w:rsidRPr="00593FDE">
              <w:rPr>
                <w:sz w:val="22"/>
                <w:szCs w:val="22"/>
              </w:rPr>
              <w:t>*Collection underway to evaluate the efficacy of Spanish-language educational materials through a pre- and post-campaign study incorporating controlled exposure.</w:t>
            </w:r>
          </w:p>
        </w:tc>
        <w:tc>
          <w:tcPr>
            <w:tcW w:w="438" w:type="pct"/>
          </w:tcPr>
          <w:p w:rsidRPr="00593FDE" w:rsidR="00593FDE" w:rsidP="00593FDE" w:rsidRDefault="00593FDE" w14:paraId="49EC67A3" w14:textId="77777777">
            <w:pPr>
              <w:jc w:val="right"/>
              <w:rPr>
                <w:sz w:val="22"/>
                <w:szCs w:val="22"/>
              </w:rPr>
            </w:pPr>
            <w:r w:rsidRPr="00593FDE">
              <w:rPr>
                <w:sz w:val="22"/>
                <w:szCs w:val="22"/>
              </w:rPr>
              <w:t>*917</w:t>
            </w:r>
          </w:p>
        </w:tc>
      </w:tr>
      <w:tr w:rsidRPr="00593FDE" w:rsidR="00593FDE" w:rsidTr="00593FDE" w14:paraId="5E9DF740" w14:textId="77777777">
        <w:trPr>
          <w:cantSplit/>
        </w:trPr>
        <w:tc>
          <w:tcPr>
            <w:tcW w:w="1227" w:type="pct"/>
            <w:shd w:val="clear" w:color="auto" w:fill="auto"/>
          </w:tcPr>
          <w:p w:rsidRPr="00593FDE" w:rsidR="00593FDE" w:rsidP="00593FDE" w:rsidRDefault="00593FDE" w14:paraId="6A33671F" w14:textId="77777777">
            <w:pPr>
              <w:keepLines/>
              <w:ind w:right="-18"/>
              <w:rPr>
                <w:sz w:val="22"/>
                <w:szCs w:val="22"/>
              </w:rPr>
            </w:pPr>
            <w:r w:rsidRPr="00593FDE">
              <w:rPr>
                <w:sz w:val="22"/>
                <w:szCs w:val="22"/>
              </w:rPr>
              <w:t>TOTAL</w:t>
            </w:r>
          </w:p>
        </w:tc>
        <w:tc>
          <w:tcPr>
            <w:tcW w:w="1332" w:type="pct"/>
            <w:shd w:val="clear" w:color="auto" w:fill="auto"/>
          </w:tcPr>
          <w:p w:rsidRPr="00593FDE" w:rsidR="00593FDE" w:rsidP="00593FDE" w:rsidRDefault="00593FDE" w14:paraId="5107F364" w14:textId="77777777">
            <w:pPr>
              <w:autoSpaceDE w:val="0"/>
              <w:autoSpaceDN w:val="0"/>
              <w:adjustRightInd w:val="0"/>
              <w:rPr>
                <w:sz w:val="22"/>
                <w:szCs w:val="22"/>
              </w:rPr>
            </w:pPr>
          </w:p>
        </w:tc>
        <w:tc>
          <w:tcPr>
            <w:tcW w:w="2003" w:type="pct"/>
          </w:tcPr>
          <w:p w:rsidRPr="00593FDE" w:rsidR="00593FDE" w:rsidP="00593FDE" w:rsidRDefault="00593FDE" w14:paraId="39112915" w14:textId="77777777">
            <w:pPr>
              <w:jc w:val="right"/>
              <w:rPr>
                <w:sz w:val="22"/>
                <w:szCs w:val="22"/>
              </w:rPr>
            </w:pPr>
          </w:p>
        </w:tc>
        <w:tc>
          <w:tcPr>
            <w:tcW w:w="438" w:type="pct"/>
          </w:tcPr>
          <w:p w:rsidRPr="00593FDE" w:rsidR="00593FDE" w:rsidP="00593FDE" w:rsidRDefault="00593FDE" w14:paraId="6261D7BA" w14:textId="77777777">
            <w:pPr>
              <w:jc w:val="right"/>
              <w:rPr>
                <w:sz w:val="22"/>
                <w:szCs w:val="22"/>
              </w:rPr>
            </w:pPr>
            <w:r w:rsidRPr="00593FDE">
              <w:rPr>
                <w:sz w:val="22"/>
                <w:szCs w:val="22"/>
              </w:rPr>
              <w:fldChar w:fldCharType="begin"/>
            </w:r>
            <w:r w:rsidRPr="00593FDE">
              <w:rPr>
                <w:sz w:val="22"/>
                <w:szCs w:val="22"/>
              </w:rPr>
              <w:instrText xml:space="preserve"> =SUM(ABOVE) </w:instrText>
            </w:r>
            <w:r w:rsidRPr="00593FDE">
              <w:rPr>
                <w:sz w:val="22"/>
                <w:szCs w:val="22"/>
              </w:rPr>
              <w:fldChar w:fldCharType="separate"/>
            </w:r>
            <w:r w:rsidRPr="00593FDE">
              <w:rPr>
                <w:noProof/>
                <w:sz w:val="22"/>
                <w:szCs w:val="22"/>
              </w:rPr>
              <w:t>2,060</w:t>
            </w:r>
            <w:r w:rsidRPr="00593FDE">
              <w:rPr>
                <w:sz w:val="22"/>
                <w:szCs w:val="22"/>
              </w:rPr>
              <w:fldChar w:fldCharType="end"/>
            </w:r>
          </w:p>
        </w:tc>
      </w:tr>
    </w:tbl>
    <w:p w:rsidRPr="000216D8" w:rsidR="00A97F04" w:rsidP="007A5E89" w:rsidRDefault="00A97F04" w14:paraId="091B61EA" w14:textId="77777777">
      <w:pPr>
        <w:numPr>
          <w:ilvl w:val="12"/>
          <w:numId w:val="0"/>
        </w:numPr>
      </w:pPr>
    </w:p>
    <w:p w:rsidRPr="00357C8A" w:rsidR="00357C8A" w:rsidP="007A5E89" w:rsidRDefault="00357C8A" w14:paraId="5B1C431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196AB7" w:rsidR="00196AB7" w:rsidP="007A5E89" w:rsidRDefault="00196AB7" w14:paraId="66465D49" w14:textId="382CBDAE">
      <w:pPr>
        <w:spacing w:after="200"/>
        <w:rPr>
          <w:rFonts w:eastAsia="Calibri"/>
        </w:rPr>
      </w:pPr>
      <w:r w:rsidRPr="00196AB7">
        <w:rPr>
          <w:rFonts w:eastAsia="Calibri"/>
        </w:rPr>
        <w:t xml:space="preserve">As computer technology has continued to </w:t>
      </w:r>
      <w:r w:rsidR="005D1596">
        <w:rPr>
          <w:rFonts w:eastAsia="Calibri"/>
        </w:rPr>
        <w:t xml:space="preserve">develop </w:t>
      </w:r>
      <w:r w:rsidRPr="00196AB7">
        <w:rPr>
          <w:rFonts w:eastAsia="Calibri"/>
        </w:rPr>
        <w:t xml:space="preserve">and become more widespread, opportunities to implement </w:t>
      </w:r>
      <w:r w:rsidR="0008517D">
        <w:rPr>
          <w:rFonts w:eastAsia="Calibri"/>
        </w:rPr>
        <w:t>w</w:t>
      </w:r>
      <w:r w:rsidRPr="00196AB7">
        <w:rPr>
          <w:rFonts w:eastAsia="Calibri"/>
        </w:rPr>
        <w:t xml:space="preserve">eb-based data collection </w:t>
      </w:r>
      <w:r w:rsidR="007A5BF4">
        <w:rPr>
          <w:rFonts w:eastAsia="Calibri"/>
        </w:rPr>
        <w:t xml:space="preserve">techniques </w:t>
      </w:r>
      <w:r w:rsidRPr="00196AB7">
        <w:rPr>
          <w:rFonts w:eastAsia="Calibri"/>
        </w:rPr>
        <w:t xml:space="preserve">via the Internet have increased.  Thus, wherever possible, FDA will make use of </w:t>
      </w:r>
      <w:r w:rsidR="00697524">
        <w:rPr>
          <w:rFonts w:eastAsia="Calibri"/>
        </w:rPr>
        <w:t>w</w:t>
      </w:r>
      <w:r w:rsidRPr="00196AB7">
        <w:rPr>
          <w:rFonts w:eastAsia="Calibri"/>
        </w:rPr>
        <w:t xml:space="preserve">eb-based data collection methods when collecting </w:t>
      </w:r>
      <w:r w:rsidRPr="001A058D">
        <w:rPr>
          <w:rFonts w:eastAsia="Calibri"/>
        </w:rPr>
        <w:t>quantitative</w:t>
      </w:r>
      <w:r w:rsidRPr="00196AB7">
        <w:rPr>
          <w:rFonts w:eastAsia="Calibri"/>
        </w:rPr>
        <w:t xml:space="preserve"> data under this generic clearance.  Using computer-assisted information technology to transmit data collection instruments and/or collect responses will continue to reduce the burden on participants</w:t>
      </w:r>
      <w:r w:rsidR="007A5BF4">
        <w:rPr>
          <w:rFonts w:eastAsia="Calibri"/>
        </w:rPr>
        <w:t xml:space="preserve"> as well as facilitate processing by the agency</w:t>
      </w:r>
      <w:r w:rsidRPr="00196AB7">
        <w:rPr>
          <w:rFonts w:eastAsia="Calibri"/>
        </w:rPr>
        <w:t xml:space="preserve">.  For example, participants can access and respond to data collection requests at a time and place that is convenient to them, eliminating the need to travel for survey administration.  </w:t>
      </w:r>
    </w:p>
    <w:p w:rsidRPr="00196AB7" w:rsidR="00196AB7" w:rsidP="007A5E89" w:rsidRDefault="00196AB7" w14:paraId="34759F7F" w14:textId="439C4E4B">
      <w:pPr>
        <w:spacing w:after="200"/>
        <w:rPr>
          <w:rFonts w:eastAsia="Calibri"/>
        </w:rPr>
      </w:pPr>
      <w:r w:rsidRPr="00196AB7">
        <w:rPr>
          <w:rFonts w:eastAsia="Calibri"/>
        </w:rPr>
        <w:t xml:space="preserve">Web-based data collections, including those using experimental designs, are an especially convenient option for eliciting feedback on visual stimuli.  With </w:t>
      </w:r>
      <w:r w:rsidR="00697524">
        <w:rPr>
          <w:rFonts w:eastAsia="Calibri"/>
        </w:rPr>
        <w:t>w</w:t>
      </w:r>
      <w:r w:rsidRPr="00196AB7">
        <w:rPr>
          <w:rFonts w:eastAsia="Calibri"/>
        </w:rPr>
        <w:t xml:space="preserve">eb-based surveys, participants complete an on-line survey and then submit the data electronically over the Internet.  Closed-ended questions (e.g., multiple-choice items, Likert scales) will be employed whenever possible.  </w:t>
      </w:r>
    </w:p>
    <w:p w:rsidRPr="0011526C" w:rsidR="00357C8A" w:rsidP="007A5E89" w:rsidRDefault="00D72ABA" w14:paraId="1F74AD25" w14:textId="2B19C67E">
      <w:pPr>
        <w:spacing w:after="200"/>
        <w:rPr>
          <w:rFonts w:eastAsia="Calibri"/>
          <w:color w:val="000000"/>
        </w:rPr>
      </w:pPr>
      <w:r>
        <w:rPr>
          <w:rFonts w:eastAsia="Calibri"/>
        </w:rPr>
        <w:t xml:space="preserve">We </w:t>
      </w:r>
      <w:r w:rsidRPr="00825E2F" w:rsidR="00196AB7">
        <w:rPr>
          <w:rFonts w:eastAsia="Calibri"/>
        </w:rPr>
        <w:t xml:space="preserve">believe at least 90% of the information collections will be completed electronically. </w:t>
      </w:r>
      <w:r w:rsidRPr="00825E2F" w:rsidR="00AC613B">
        <w:rPr>
          <w:rFonts w:eastAsia="Calibri"/>
        </w:rPr>
        <w:t xml:space="preserve"> </w:t>
      </w:r>
    </w:p>
    <w:p w:rsidRPr="00357C8A" w:rsidR="00357C8A" w:rsidP="007A5E89" w:rsidRDefault="00357C8A" w14:paraId="5A232E6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11526C" w:rsidR="000C1260" w:rsidP="007A5E89" w:rsidRDefault="00817045" w14:paraId="12B7BD40" w14:textId="3F8C4D65">
      <w:pPr>
        <w:spacing w:after="200"/>
        <w:rPr>
          <w:rFonts w:eastAsia="Calibri"/>
          <w:color w:val="000000"/>
        </w:rPr>
      </w:pPr>
      <w:r>
        <w:t xml:space="preserve">We are unaware of duplicative information collection.  </w:t>
      </w:r>
      <w:r w:rsidRPr="00196AB7" w:rsidR="00196AB7">
        <w:t>As each</w:t>
      </w:r>
      <w:r w:rsidR="00766930">
        <w:t xml:space="preserve"> individual collection</w:t>
      </w:r>
      <w:r w:rsidRPr="00196AB7" w:rsidR="00196AB7">
        <w:t xml:space="preserve"> is developed, </w:t>
      </w:r>
      <w:r w:rsidR="007773AE">
        <w:t xml:space="preserve">we </w:t>
      </w:r>
      <w:r w:rsidRPr="00196AB7" w:rsidR="00196AB7">
        <w:t xml:space="preserve">review </w:t>
      </w:r>
      <w:r w:rsidR="007773AE">
        <w:t xml:space="preserve">current </w:t>
      </w:r>
      <w:r w:rsidR="00DE0DA2">
        <w:t xml:space="preserve">scientific </w:t>
      </w:r>
      <w:r w:rsidRPr="00196AB7" w:rsidR="00196AB7">
        <w:t>literature and</w:t>
      </w:r>
      <w:r w:rsidR="00766930">
        <w:t xml:space="preserve"> other available data</w:t>
      </w:r>
      <w:r w:rsidR="0078743B">
        <w:t xml:space="preserve"> </w:t>
      </w:r>
      <w:r w:rsidR="00046469">
        <w:t>sources</w:t>
      </w:r>
      <w:r w:rsidR="00295288">
        <w:t xml:space="preserve"> </w:t>
      </w:r>
      <w:r w:rsidR="0078743B">
        <w:t xml:space="preserve">to </w:t>
      </w:r>
      <w:r w:rsidR="000E7073">
        <w:t xml:space="preserve">avoid </w:t>
      </w:r>
      <w:r w:rsidR="00EF5FBA">
        <w:t xml:space="preserve">duplication of efforts and to </w:t>
      </w:r>
      <w:r w:rsidR="0078743B">
        <w:t xml:space="preserve">maximize limited agency </w:t>
      </w:r>
      <w:r w:rsidR="00295288">
        <w:t xml:space="preserve">research funding.  </w:t>
      </w:r>
      <w:r w:rsidR="00D67DEA">
        <w:t>A</w:t>
      </w:r>
      <w:r w:rsidR="00345528">
        <w:t>lso, a</w:t>
      </w:r>
      <w:r w:rsidR="00D67DEA">
        <w:t>s appropriate to the individual collection,</w:t>
      </w:r>
      <w:r w:rsidRPr="00196AB7" w:rsidR="00196AB7">
        <w:t xml:space="preserve"> </w:t>
      </w:r>
      <w:r w:rsidR="00345528">
        <w:t xml:space="preserve">we </w:t>
      </w:r>
      <w:r w:rsidRPr="00196AB7" w:rsidR="00196AB7">
        <w:t xml:space="preserve">work with other HHS agencies </w:t>
      </w:r>
      <w:r w:rsidR="00345528">
        <w:t>engaged in similar</w:t>
      </w:r>
      <w:r w:rsidR="00705894">
        <w:t xml:space="preserve"> or related research</w:t>
      </w:r>
      <w:r w:rsidR="000D40F4">
        <w:t xml:space="preserve"> activities</w:t>
      </w:r>
      <w:r w:rsidR="00976887">
        <w:t xml:space="preserve">, </w:t>
      </w:r>
      <w:r w:rsidR="00DE0DA2">
        <w:t>and</w:t>
      </w:r>
      <w:r w:rsidR="00705894">
        <w:t>/</w:t>
      </w:r>
      <w:r w:rsidR="00DE0DA2">
        <w:t>or consult with outside experts that</w:t>
      </w:r>
      <w:r w:rsidR="00BE4AA4">
        <w:t xml:space="preserve"> can potentially inform </w:t>
      </w:r>
      <w:r w:rsidR="009B4333">
        <w:t>the agency’s research</w:t>
      </w:r>
      <w:r w:rsidR="00CA18D9">
        <w:t xml:space="preserve"> objectives</w:t>
      </w:r>
      <w:r w:rsidR="009B4333">
        <w:t>.</w:t>
      </w:r>
    </w:p>
    <w:p w:rsidRPr="00357C8A" w:rsidR="00357C8A" w:rsidP="007A5E89" w:rsidRDefault="00357C8A" w14:paraId="2DE3EA9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7A5E89" w:rsidRDefault="002628D4" w14:paraId="1BAB4806" w14:textId="4B97BA50">
      <w:pPr>
        <w:spacing w:after="200"/>
        <w:rPr>
          <w:rFonts w:eastAsia="Calibri"/>
        </w:rPr>
      </w:pPr>
      <w:r>
        <w:rPr>
          <w:rFonts w:eastAsia="Calibri"/>
        </w:rPr>
        <w:t xml:space="preserve">No undue burden is imposed on small entities as a result of the information collection.  </w:t>
      </w:r>
    </w:p>
    <w:p w:rsidRPr="00357C8A" w:rsidR="00357C8A" w:rsidP="007A5E89" w:rsidRDefault="00357C8A" w14:paraId="14F6C54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11526C" w:rsidR="00357C8A" w:rsidP="007A5E89" w:rsidRDefault="00466890" w14:paraId="59FA157F" w14:textId="431478FE">
      <w:pPr>
        <w:spacing w:after="200"/>
        <w:rPr>
          <w:rFonts w:eastAsia="Calibri"/>
          <w:color w:val="000000"/>
        </w:rPr>
      </w:pPr>
      <w:r>
        <w:rPr>
          <w:rFonts w:eastAsia="Calibri"/>
        </w:rPr>
        <w:t>We intend to</w:t>
      </w:r>
      <w:r w:rsidR="00C66DC3">
        <w:rPr>
          <w:rFonts w:eastAsia="Calibri"/>
        </w:rPr>
        <w:t xml:space="preserve"> administer</w:t>
      </w:r>
      <w:r>
        <w:rPr>
          <w:rFonts w:eastAsia="Calibri"/>
        </w:rPr>
        <w:t xml:space="preserve"> the information collection consistent with identified agency needs and available resources.  </w:t>
      </w:r>
      <w:r w:rsidR="00817045">
        <w:rPr>
          <w:rFonts w:eastAsia="Calibri"/>
        </w:rPr>
        <w:t>The</w:t>
      </w:r>
      <w:r w:rsidR="005A200A">
        <w:rPr>
          <w:rFonts w:eastAsia="Calibri"/>
        </w:rPr>
        <w:t xml:space="preserve"> date(s)</w:t>
      </w:r>
      <w:r w:rsidR="00E352BD">
        <w:rPr>
          <w:rFonts w:eastAsia="Calibri"/>
        </w:rPr>
        <w:t xml:space="preserve">/timing </w:t>
      </w:r>
      <w:r w:rsidR="005A200A">
        <w:rPr>
          <w:rFonts w:eastAsia="Calibri"/>
        </w:rPr>
        <w:t xml:space="preserve">of </w:t>
      </w:r>
      <w:r w:rsidR="00C66DC3">
        <w:rPr>
          <w:rFonts w:eastAsia="Calibri"/>
        </w:rPr>
        <w:t xml:space="preserve">an </w:t>
      </w:r>
      <w:r w:rsidR="00E352BD">
        <w:rPr>
          <w:rFonts w:eastAsia="Calibri"/>
        </w:rPr>
        <w:t xml:space="preserve">individual </w:t>
      </w:r>
      <w:r w:rsidR="00817045">
        <w:rPr>
          <w:rFonts w:eastAsia="Calibri"/>
        </w:rPr>
        <w:t>collection</w:t>
      </w:r>
      <w:r w:rsidR="00944CF9">
        <w:rPr>
          <w:rFonts w:eastAsia="Calibri"/>
        </w:rPr>
        <w:t xml:space="preserve"> is</w:t>
      </w:r>
      <w:r w:rsidR="007933A0">
        <w:rPr>
          <w:rFonts w:eastAsia="Calibri"/>
        </w:rPr>
        <w:t xml:space="preserve"> communicated</w:t>
      </w:r>
      <w:r w:rsidR="00C66DC3">
        <w:rPr>
          <w:rFonts w:eastAsia="Calibri"/>
        </w:rPr>
        <w:t xml:space="preserve"> </w:t>
      </w:r>
      <w:r w:rsidR="00300102">
        <w:rPr>
          <w:rFonts w:eastAsia="Calibri"/>
        </w:rPr>
        <w:t xml:space="preserve">in </w:t>
      </w:r>
      <w:r w:rsidR="00077A6C">
        <w:rPr>
          <w:rFonts w:eastAsia="Calibri"/>
        </w:rPr>
        <w:t xml:space="preserve">Question </w:t>
      </w:r>
      <w:r w:rsidR="003B00DC">
        <w:rPr>
          <w:rFonts w:eastAsia="Calibri"/>
        </w:rPr>
        <w:t>10</w:t>
      </w:r>
      <w:r w:rsidR="004C17B3">
        <w:rPr>
          <w:rFonts w:eastAsia="Calibri"/>
        </w:rPr>
        <w:t xml:space="preserve"> </w:t>
      </w:r>
      <w:r w:rsidR="00C73008">
        <w:rPr>
          <w:rFonts w:eastAsia="Calibri"/>
        </w:rPr>
        <w:t xml:space="preserve">of </w:t>
      </w:r>
      <w:r w:rsidR="00C54E18">
        <w:rPr>
          <w:rFonts w:eastAsia="Calibri"/>
        </w:rPr>
        <w:t xml:space="preserve">the </w:t>
      </w:r>
      <w:r w:rsidR="00C26FD6">
        <w:rPr>
          <w:rFonts w:eastAsia="Calibri"/>
        </w:rPr>
        <w:t>justification documentation</w:t>
      </w:r>
      <w:r w:rsidR="00C54E18">
        <w:rPr>
          <w:rFonts w:eastAsia="Calibri"/>
        </w:rPr>
        <w:t xml:space="preserve"> memo submitted in support of our request</w:t>
      </w:r>
      <w:r w:rsidR="00FA5770">
        <w:rPr>
          <w:rFonts w:eastAsia="Calibri"/>
        </w:rPr>
        <w:t xml:space="preserve">. </w:t>
      </w:r>
    </w:p>
    <w:p w:rsidR="00592FA2" w:rsidRDefault="00592FA2" w14:paraId="4123338A" w14:textId="77777777">
      <w:pPr>
        <w:rPr>
          <w:rFonts w:eastAsia="Calibri"/>
          <w:u w:val="single"/>
        </w:rPr>
      </w:pPr>
      <w:r>
        <w:rPr>
          <w:rFonts w:eastAsia="Calibri"/>
          <w:u w:val="single"/>
        </w:rPr>
        <w:br w:type="page"/>
      </w:r>
    </w:p>
    <w:p w:rsidRPr="00357C8A" w:rsidR="00357C8A" w:rsidP="007A5E89" w:rsidRDefault="00357C8A" w14:paraId="6A177C88" w14:textId="27E96DBA">
      <w:pPr>
        <w:numPr>
          <w:ilvl w:val="0"/>
          <w:numId w:val="6"/>
        </w:numPr>
        <w:spacing w:after="200" w:line="276" w:lineRule="auto"/>
        <w:rPr>
          <w:rFonts w:eastAsia="Calibri"/>
        </w:rPr>
      </w:pPr>
      <w:r w:rsidRPr="00357C8A">
        <w:rPr>
          <w:rFonts w:eastAsia="Calibri"/>
          <w:u w:val="single"/>
        </w:rPr>
        <w:lastRenderedPageBreak/>
        <w:t>Special Circumstances Relating to the Guidelines of 5 CFR 1320.5</w:t>
      </w:r>
    </w:p>
    <w:p w:rsidRPr="00357C8A" w:rsidR="00357C8A" w:rsidP="007A5E89" w:rsidRDefault="00196AB7" w14:paraId="22114D9E" w14:textId="0F1966A8">
      <w:pPr>
        <w:spacing w:after="200"/>
        <w:rPr>
          <w:rFonts w:eastAsia="Calibri"/>
        </w:rPr>
      </w:pPr>
      <w:r w:rsidRPr="00196AB7">
        <w:rPr>
          <w:rFonts w:eastAsia="Calibri"/>
        </w:rPr>
        <w:t>Generally, studies under this</w:t>
      </w:r>
      <w:r w:rsidR="00E74F84">
        <w:rPr>
          <w:rFonts w:eastAsia="Calibri"/>
        </w:rPr>
        <w:t xml:space="preserve"> clearance</w:t>
      </w:r>
      <w:r w:rsidRPr="00196AB7">
        <w:rPr>
          <w:rFonts w:eastAsia="Calibri"/>
        </w:rPr>
        <w:t xml:space="preserve"> rely on </w:t>
      </w:r>
      <w:r w:rsidRPr="001A058D">
        <w:rPr>
          <w:rFonts w:eastAsia="Calibri"/>
        </w:rPr>
        <w:t>quantitative</w:t>
      </w:r>
      <w:r w:rsidRPr="00196AB7">
        <w:rPr>
          <w:rFonts w:eastAsia="Calibri"/>
        </w:rPr>
        <w:t xml:space="preserve"> methods and use convenience samples rather than probability samples.  Therefore, the results are not intended to yield results that are statistically projectable, nationally representative, or precise estimates of population parameters. </w:t>
      </w:r>
    </w:p>
    <w:p w:rsidRPr="00357C8A" w:rsidR="00357C8A" w:rsidP="007A5E89" w:rsidRDefault="00357C8A" w14:paraId="0CDB629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11526C" w:rsidR="00BD60B3" w:rsidP="007A5E89" w:rsidRDefault="00245A2B" w14:paraId="45707911" w14:textId="2E929FC7">
      <w:pPr>
        <w:spacing w:after="200"/>
        <w:rPr>
          <w:rFonts w:eastAsia="Calibri"/>
          <w:color w:val="000000"/>
        </w:rPr>
      </w:pPr>
      <w:r w:rsidRPr="00245A2B">
        <w:rPr>
          <w:rFonts w:eastAsia="Calibri"/>
        </w:rPr>
        <w:t>In accordance with 5 CFR 1320.8(d),</w:t>
      </w:r>
      <w:r w:rsidR="00622F0E">
        <w:rPr>
          <w:rFonts w:eastAsia="Calibri"/>
        </w:rPr>
        <w:t xml:space="preserve"> we</w:t>
      </w:r>
      <w:r w:rsidRPr="00245A2B">
        <w:rPr>
          <w:rFonts w:eastAsia="Calibri"/>
        </w:rPr>
        <w:t xml:space="preserve"> published a 60-day notice for public </w:t>
      </w:r>
      <w:r w:rsidRPr="00245A2B" w:rsidR="00927B00">
        <w:rPr>
          <w:rFonts w:eastAsia="Calibri"/>
        </w:rPr>
        <w:t>comment in</w:t>
      </w:r>
      <w:r w:rsidRPr="00245A2B">
        <w:rPr>
          <w:rFonts w:eastAsia="Calibri"/>
        </w:rPr>
        <w:t xml:space="preserve"> the </w:t>
      </w:r>
      <w:r w:rsidRPr="00B435D2" w:rsidR="001C4A89">
        <w:rPr>
          <w:rFonts w:eastAsia="Calibri"/>
          <w:i/>
          <w:iCs/>
        </w:rPr>
        <w:t>Federal Register</w:t>
      </w:r>
      <w:r w:rsidRPr="00245A2B">
        <w:rPr>
          <w:rFonts w:eastAsia="Calibri"/>
        </w:rPr>
        <w:t xml:space="preserve"> of September </w:t>
      </w:r>
      <w:r w:rsidR="00927B00">
        <w:rPr>
          <w:rFonts w:eastAsia="Calibri"/>
        </w:rPr>
        <w:t>9</w:t>
      </w:r>
      <w:r w:rsidRPr="00245A2B">
        <w:rPr>
          <w:rFonts w:eastAsia="Calibri"/>
        </w:rPr>
        <w:t>, 20</w:t>
      </w:r>
      <w:r w:rsidR="00927B00">
        <w:rPr>
          <w:rFonts w:eastAsia="Calibri"/>
        </w:rPr>
        <w:t>2</w:t>
      </w:r>
      <w:r w:rsidRPr="00245A2B">
        <w:rPr>
          <w:rFonts w:eastAsia="Calibri"/>
        </w:rPr>
        <w:t>1 (8</w:t>
      </w:r>
      <w:r w:rsidR="00927B00">
        <w:rPr>
          <w:rFonts w:eastAsia="Calibri"/>
        </w:rPr>
        <w:t>6</w:t>
      </w:r>
      <w:r w:rsidRPr="00245A2B">
        <w:rPr>
          <w:rFonts w:eastAsia="Calibri"/>
        </w:rPr>
        <w:t xml:space="preserve"> FR </w:t>
      </w:r>
      <w:r w:rsidR="00927B00">
        <w:rPr>
          <w:rFonts w:eastAsia="Calibri"/>
        </w:rPr>
        <w:t>50544</w:t>
      </w:r>
      <w:r w:rsidRPr="00245A2B">
        <w:rPr>
          <w:rFonts w:eastAsia="Calibri"/>
        </w:rPr>
        <w:t xml:space="preserve">).  </w:t>
      </w:r>
      <w:r w:rsidRPr="00BD60B3" w:rsidR="00BD60B3">
        <w:rPr>
          <w:rFonts w:eastAsia="Calibri"/>
          <w:color w:val="000000"/>
        </w:rPr>
        <w:t xml:space="preserve">Although one comment was received, it was not responsive to the four collection of information topics solicited and therefore </w:t>
      </w:r>
      <w:r w:rsidR="003251AC">
        <w:rPr>
          <w:rFonts w:eastAsia="Calibri"/>
          <w:color w:val="000000"/>
        </w:rPr>
        <w:t xml:space="preserve">was </w:t>
      </w:r>
      <w:r w:rsidRPr="00BD60B3" w:rsidR="00BD60B3">
        <w:rPr>
          <w:rFonts w:eastAsia="Calibri"/>
          <w:color w:val="000000"/>
        </w:rPr>
        <w:t>not discussed in</w:t>
      </w:r>
      <w:r w:rsidR="003251AC">
        <w:rPr>
          <w:rFonts w:eastAsia="Calibri"/>
          <w:color w:val="000000"/>
        </w:rPr>
        <w:t xml:space="preserve"> our 30-day notice of January 28, 2022 (87 FR </w:t>
      </w:r>
      <w:r w:rsidR="00257F9B">
        <w:rPr>
          <w:rFonts w:eastAsia="Calibri"/>
          <w:color w:val="000000"/>
        </w:rPr>
        <w:t>4625).</w:t>
      </w:r>
    </w:p>
    <w:p w:rsidRPr="00357C8A" w:rsidR="00357C8A" w:rsidP="007A5E89" w:rsidRDefault="00357C8A" w14:paraId="06E1548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11526C" w:rsidR="00357C8A" w:rsidP="007A5E89" w:rsidRDefault="00245A2B" w14:paraId="0D736561" w14:textId="7227EAA8">
      <w:pPr>
        <w:spacing w:after="200"/>
        <w:rPr>
          <w:rFonts w:eastAsia="Calibri"/>
          <w:color w:val="000000"/>
        </w:rPr>
      </w:pPr>
      <w:r w:rsidRPr="00245A2B">
        <w:rPr>
          <w:rFonts w:eastAsia="Calibri"/>
        </w:rPr>
        <w:t>Gifts or payments offered to respondents as a token of appreciation will be limited as</w:t>
      </w:r>
      <w:r w:rsidR="00C14C80">
        <w:rPr>
          <w:rFonts w:eastAsia="Calibri"/>
        </w:rPr>
        <w:t xml:space="preserve"> we</w:t>
      </w:r>
      <w:r w:rsidRPr="00245A2B">
        <w:rPr>
          <w:rFonts w:eastAsia="Calibri"/>
        </w:rPr>
        <w:t xml:space="preserve"> expect to use proprietary consumer web-based panels</w:t>
      </w:r>
      <w:r w:rsidR="000B268B">
        <w:rPr>
          <w:rFonts w:eastAsia="Calibri"/>
        </w:rPr>
        <w:t xml:space="preserve"> with</w:t>
      </w:r>
      <w:r w:rsidRPr="00245A2B">
        <w:rPr>
          <w:rFonts w:eastAsia="Calibri"/>
        </w:rPr>
        <w:t xml:space="preserve"> their own methods for retaining participants.</w:t>
      </w:r>
      <w:r w:rsidR="00927575">
        <w:rPr>
          <w:rFonts w:eastAsia="Calibri"/>
        </w:rPr>
        <w:t xml:space="preserve">  </w:t>
      </w:r>
      <w:r w:rsidR="00870153">
        <w:rPr>
          <w:rFonts w:eastAsia="Calibri"/>
        </w:rPr>
        <w:t>I</w:t>
      </w:r>
      <w:r w:rsidRPr="00245A2B">
        <w:rPr>
          <w:rFonts w:eastAsia="Calibri"/>
        </w:rPr>
        <w:t xml:space="preserve">nstances </w:t>
      </w:r>
      <w:r w:rsidR="00870153">
        <w:rPr>
          <w:rFonts w:eastAsia="Calibri"/>
        </w:rPr>
        <w:t xml:space="preserve">where </w:t>
      </w:r>
      <w:r w:rsidRPr="00245A2B">
        <w:rPr>
          <w:rFonts w:eastAsia="Calibri"/>
        </w:rPr>
        <w:t xml:space="preserve">offering a small incentive </w:t>
      </w:r>
      <w:r w:rsidR="00FD2557">
        <w:rPr>
          <w:rFonts w:eastAsia="Calibri"/>
        </w:rPr>
        <w:t xml:space="preserve">is determined necessary </w:t>
      </w:r>
      <w:r w:rsidRPr="00245A2B">
        <w:rPr>
          <w:rFonts w:eastAsia="Calibri"/>
        </w:rPr>
        <w:t xml:space="preserve">will be addressed on a case-by-case basis (depending on the particular information collection design).  </w:t>
      </w:r>
      <w:r w:rsidRPr="00414F56" w:rsidR="00414F56">
        <w:rPr>
          <w:rFonts w:eastAsia="Calibri"/>
        </w:rPr>
        <w:t xml:space="preserve">Incentive amounts for information collections </w:t>
      </w:r>
      <w:r w:rsidR="004B0ADB">
        <w:rPr>
          <w:rFonts w:eastAsia="Calibri"/>
        </w:rPr>
        <w:t>conducted under this clearance</w:t>
      </w:r>
      <w:r w:rsidRPr="00414F56" w:rsidR="00414F56">
        <w:rPr>
          <w:rFonts w:eastAsia="Calibri"/>
        </w:rPr>
        <w:t xml:space="preserve"> will typically not exceed $75, though more may be requested for difficult-to-recruit populations.  </w:t>
      </w:r>
      <w:r w:rsidR="00D61085">
        <w:rPr>
          <w:rFonts w:eastAsia="Calibri"/>
        </w:rPr>
        <w:t xml:space="preserve">In cases where </w:t>
      </w:r>
      <w:r w:rsidR="0028479F">
        <w:rPr>
          <w:rFonts w:eastAsia="Calibri"/>
        </w:rPr>
        <w:t xml:space="preserve">FDA </w:t>
      </w:r>
      <w:r w:rsidR="00D61085">
        <w:rPr>
          <w:rFonts w:eastAsia="Calibri"/>
        </w:rPr>
        <w:t xml:space="preserve">believes </w:t>
      </w:r>
      <w:r w:rsidR="00655BEF">
        <w:rPr>
          <w:rFonts w:eastAsia="Calibri"/>
        </w:rPr>
        <w:t>this is</w:t>
      </w:r>
      <w:r w:rsidR="00260F40">
        <w:rPr>
          <w:rFonts w:eastAsia="Calibri"/>
        </w:rPr>
        <w:t xml:space="preserve"> </w:t>
      </w:r>
      <w:r w:rsidR="00D61085">
        <w:rPr>
          <w:rFonts w:eastAsia="Calibri"/>
        </w:rPr>
        <w:t xml:space="preserve">necessary, </w:t>
      </w:r>
      <w:r w:rsidR="0028479F">
        <w:rPr>
          <w:rFonts w:eastAsia="Calibri"/>
        </w:rPr>
        <w:t>d</w:t>
      </w:r>
      <w:r w:rsidRPr="00414F56" w:rsidR="00414F56">
        <w:rPr>
          <w:rFonts w:eastAsia="Calibri"/>
        </w:rPr>
        <w:t>etails and justification</w:t>
      </w:r>
      <w:r w:rsidR="00260F40">
        <w:rPr>
          <w:rFonts w:eastAsia="Calibri"/>
        </w:rPr>
        <w:t xml:space="preserve">s for </w:t>
      </w:r>
      <w:r w:rsidRPr="00414F56" w:rsidR="00414F56">
        <w:rPr>
          <w:rFonts w:eastAsia="Calibri"/>
        </w:rPr>
        <w:t>incentive request</w:t>
      </w:r>
      <w:r w:rsidR="00260F40">
        <w:rPr>
          <w:rFonts w:eastAsia="Calibri"/>
        </w:rPr>
        <w:t>s</w:t>
      </w:r>
      <w:r w:rsidRPr="00414F56" w:rsidR="00414F56">
        <w:rPr>
          <w:rFonts w:eastAsia="Calibri"/>
        </w:rPr>
        <w:t xml:space="preserve"> </w:t>
      </w:r>
      <w:r w:rsidRPr="00245A2B">
        <w:rPr>
          <w:rFonts w:eastAsia="Calibri"/>
        </w:rPr>
        <w:t xml:space="preserve">will </w:t>
      </w:r>
      <w:r w:rsidR="000E6C1D">
        <w:rPr>
          <w:rFonts w:eastAsia="Calibri"/>
        </w:rPr>
        <w:t xml:space="preserve">be </w:t>
      </w:r>
      <w:r w:rsidRPr="00245A2B">
        <w:rPr>
          <w:rFonts w:eastAsia="Calibri"/>
        </w:rPr>
        <w:t>provide</w:t>
      </w:r>
      <w:r w:rsidR="00821991">
        <w:rPr>
          <w:rFonts w:eastAsia="Calibri"/>
        </w:rPr>
        <w:t>d</w:t>
      </w:r>
      <w:r w:rsidRPr="00245A2B">
        <w:rPr>
          <w:rFonts w:eastAsia="Calibri"/>
        </w:rPr>
        <w:t>.</w:t>
      </w:r>
    </w:p>
    <w:p w:rsidRPr="00357C8A" w:rsidR="00357C8A" w:rsidP="007A5E89" w:rsidRDefault="00357C8A" w14:paraId="1F04FA87"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FC3EF6" w:rsidR="00A221E6" w:rsidP="007A5E89" w:rsidRDefault="000B0944" w14:paraId="1D0BE10A" w14:textId="0E3A589A">
      <w:pPr>
        <w:pStyle w:val="NoSpacing"/>
        <w:rPr>
          <w:rFonts w:ascii="Times New Roman" w:hAnsi="Times New Roman"/>
          <w:sz w:val="24"/>
          <w:szCs w:val="24"/>
        </w:rPr>
      </w:pPr>
      <w:r w:rsidRPr="00FC3EF6">
        <w:rPr>
          <w:rFonts w:ascii="Times New Roman" w:hAnsi="Times New Roman"/>
          <w:sz w:val="24"/>
          <w:szCs w:val="24"/>
        </w:rPr>
        <w:t xml:space="preserve">In preparing this </w:t>
      </w:r>
      <w:r w:rsidR="0028479F">
        <w:rPr>
          <w:rFonts w:ascii="Times New Roman" w:hAnsi="Times New Roman"/>
          <w:sz w:val="24"/>
          <w:szCs w:val="24"/>
        </w:rPr>
        <w:t>s</w:t>
      </w:r>
      <w:r w:rsidRPr="00FC3EF6">
        <w:rPr>
          <w:rFonts w:ascii="Times New Roman" w:hAnsi="Times New Roman"/>
          <w:sz w:val="24"/>
          <w:szCs w:val="24"/>
        </w:rPr>
        <w:t xml:space="preserve">upporting </w:t>
      </w:r>
      <w:r w:rsidR="0028479F">
        <w:rPr>
          <w:rFonts w:ascii="Times New Roman" w:hAnsi="Times New Roman"/>
          <w:sz w:val="24"/>
          <w:szCs w:val="24"/>
        </w:rPr>
        <w:t>s</w:t>
      </w:r>
      <w:r w:rsidRPr="00FC3EF6">
        <w:rPr>
          <w:rFonts w:ascii="Times New Roman" w:hAnsi="Times New Roman"/>
          <w:sz w:val="24"/>
          <w:szCs w:val="24"/>
        </w:rPr>
        <w:t xml:space="preserve">tatement, we consulted </w:t>
      </w:r>
      <w:r w:rsidR="00821991">
        <w:rPr>
          <w:rFonts w:ascii="Times New Roman" w:hAnsi="Times New Roman"/>
          <w:sz w:val="24"/>
          <w:szCs w:val="24"/>
        </w:rPr>
        <w:t xml:space="preserve">our </w:t>
      </w:r>
      <w:r w:rsidRPr="00FC3EF6">
        <w:rPr>
          <w:rFonts w:ascii="Times New Roman" w:hAnsi="Times New Roman"/>
          <w:sz w:val="24"/>
          <w:szCs w:val="24"/>
        </w:rPr>
        <w:t xml:space="preserve">Privacy Office to ensure appropriate identification and handling of information collected. </w:t>
      </w:r>
    </w:p>
    <w:p w:rsidRPr="00FC3EF6" w:rsidR="00A221E6" w:rsidP="007A5E89" w:rsidRDefault="00A221E6" w14:paraId="6BC507DC" w14:textId="77777777">
      <w:pPr>
        <w:pStyle w:val="NoSpacing"/>
        <w:rPr>
          <w:sz w:val="24"/>
          <w:szCs w:val="24"/>
        </w:rPr>
      </w:pPr>
    </w:p>
    <w:p w:rsidRPr="00C737D1" w:rsidR="002C0E29" w:rsidP="007A5E89" w:rsidRDefault="00A221E6" w14:paraId="00CB6ADA" w14:textId="335B506A">
      <w:pPr>
        <w:spacing w:after="200"/>
      </w:pPr>
      <w:r w:rsidRPr="008948E3">
        <w:t xml:space="preserve">This generic ICR will </w:t>
      </w:r>
      <w:r w:rsidRPr="00880033">
        <w:t xml:space="preserve">collect PII. </w:t>
      </w:r>
      <w:r w:rsidR="0028479F">
        <w:t xml:space="preserve"> </w:t>
      </w:r>
      <w:r w:rsidRPr="00880033" w:rsidR="000B0944">
        <w:t xml:space="preserve">This is a generic </w:t>
      </w:r>
      <w:r w:rsidRPr="00880033">
        <w:t>collection</w:t>
      </w:r>
      <w:r w:rsidRPr="00880033" w:rsidR="000B0944">
        <w:t xml:space="preserve"> under which various studies</w:t>
      </w:r>
      <w:r w:rsidRPr="00880033" w:rsidR="002C0E29">
        <w:t xml:space="preserve"> to be conducted</w:t>
      </w:r>
      <w:r w:rsidRPr="00880033" w:rsidR="000B0944">
        <w:t xml:space="preserve"> will </w:t>
      </w:r>
      <w:r w:rsidRPr="00880033" w:rsidR="002C0E29">
        <w:t xml:space="preserve">first </w:t>
      </w:r>
      <w:r w:rsidRPr="00880033" w:rsidR="000B0944">
        <w:t xml:space="preserve">go through </w:t>
      </w:r>
      <w:r w:rsidRPr="00880033" w:rsidR="002C0E29">
        <w:t xml:space="preserve">internal </w:t>
      </w:r>
      <w:r w:rsidR="0028479F">
        <w:t xml:space="preserve">FDA </w:t>
      </w:r>
      <w:r w:rsidRPr="00880033" w:rsidR="000B0944">
        <w:t xml:space="preserve">PRA </w:t>
      </w:r>
      <w:r w:rsidR="0028479F">
        <w:t xml:space="preserve">Staff </w:t>
      </w:r>
      <w:r w:rsidRPr="00880033" w:rsidR="000B0944">
        <w:t xml:space="preserve">and </w:t>
      </w:r>
      <w:r w:rsidR="0028479F">
        <w:t xml:space="preserve">FDA </w:t>
      </w:r>
      <w:r w:rsidRPr="00880033" w:rsidR="000B0944">
        <w:t>Privacy Office review</w:t>
      </w:r>
      <w:r w:rsidRPr="008948E3" w:rsidR="000B0944">
        <w:t xml:space="preserve">. </w:t>
      </w:r>
      <w:r w:rsidR="0028479F">
        <w:t xml:space="preserve"> </w:t>
      </w:r>
      <w:r w:rsidRPr="00880033" w:rsidR="000B0944">
        <w:t xml:space="preserve">The specific types of information </w:t>
      </w:r>
      <w:r w:rsidRPr="00C737D1" w:rsidR="000B0944">
        <w:t xml:space="preserve">collected </w:t>
      </w:r>
      <w:r w:rsidRPr="00C737D1" w:rsidR="002C0E29">
        <w:t xml:space="preserve">may </w:t>
      </w:r>
      <w:r w:rsidRPr="00C737D1" w:rsidR="000B0944">
        <w:t>vary from study to study</w:t>
      </w:r>
      <w:r w:rsidRPr="00C737D1">
        <w:t xml:space="preserve">, but </w:t>
      </w:r>
      <w:r w:rsidRPr="00C737D1" w:rsidR="002C0E29">
        <w:t xml:space="preserve">when </w:t>
      </w:r>
      <w:r w:rsidRPr="00C737D1">
        <w:t xml:space="preserve">PII </w:t>
      </w:r>
      <w:r w:rsidRPr="00C737D1" w:rsidR="002C0E29">
        <w:t xml:space="preserve">is collected it </w:t>
      </w:r>
      <w:r w:rsidRPr="00C737D1">
        <w:t xml:space="preserve">typically </w:t>
      </w:r>
      <w:r w:rsidRPr="00C737D1" w:rsidR="002C0E29">
        <w:t>consists of</w:t>
      </w:r>
      <w:r w:rsidRPr="00C737D1">
        <w:t xml:space="preserve"> name and contact information</w:t>
      </w:r>
      <w:r w:rsidRPr="00C737D1" w:rsidR="000B0944">
        <w:t>.</w:t>
      </w:r>
      <w:r w:rsidRPr="00C737D1">
        <w:t xml:space="preserve"> </w:t>
      </w:r>
    </w:p>
    <w:p w:rsidR="000B0944" w:rsidP="007A5E89" w:rsidRDefault="000B0944" w14:paraId="16CEDE47" w14:textId="77777777">
      <w:pPr>
        <w:spacing w:after="200"/>
      </w:pPr>
      <w:r w:rsidRPr="00C737D1">
        <w:t xml:space="preserve">PII is collected on behalf of the FDA by a contractor </w:t>
      </w:r>
      <w:r w:rsidRPr="00C737D1" w:rsidR="00A221E6">
        <w:t xml:space="preserve">or vendor </w:t>
      </w:r>
      <w:r w:rsidRPr="00C737D1">
        <w:t xml:space="preserve">who conducts quantitative generic studies.  </w:t>
      </w:r>
      <w:r w:rsidRPr="00C737D1" w:rsidR="002C0E29">
        <w:t xml:space="preserve">PII is collected </w:t>
      </w:r>
      <w:r w:rsidRPr="00C737D1" w:rsidR="00F47CE6">
        <w:t>in</w:t>
      </w:r>
      <w:r w:rsidRPr="00C737D1" w:rsidR="002C0E29">
        <w:t xml:space="preserve"> the context of</w:t>
      </w:r>
      <w:r w:rsidRPr="00C737D1" w:rsidR="00F47CE6">
        <w:t xml:space="preserve"> requesting individual feedback on </w:t>
      </w:r>
      <w:r w:rsidR="009A4FBE">
        <w:t xml:space="preserve">the effectiveness of </w:t>
      </w:r>
      <w:r w:rsidRPr="009A4FBE" w:rsidR="00F47CE6">
        <w:t>FDA communications</w:t>
      </w:r>
      <w:r w:rsidR="009A4FBE">
        <w:t xml:space="preserve"> and educational campaigns</w:t>
      </w:r>
      <w:r w:rsidRPr="009A4FBE" w:rsidR="00F47CE6">
        <w:t>.</w:t>
      </w:r>
      <w:r w:rsidRPr="009A4FBE" w:rsidR="002C0E29">
        <w:t xml:space="preserve"> </w:t>
      </w:r>
      <w:r w:rsidR="0028479F">
        <w:t xml:space="preserve"> </w:t>
      </w:r>
      <w:r w:rsidRPr="009A4FBE" w:rsidR="00A221E6">
        <w:t>I</w:t>
      </w:r>
      <w:r w:rsidRPr="009A4FBE">
        <w:t>nformation collected by the vendor or contractor will be summarized into aggregate form, sent in aggregate to FDA</w:t>
      </w:r>
      <w:r w:rsidRPr="009A4FBE" w:rsidR="00F47CE6">
        <w:t xml:space="preserve"> (no PII will be included)</w:t>
      </w:r>
      <w:r w:rsidRPr="009A4FBE">
        <w:t xml:space="preserve">, and destroyed after the study or interview has been completed.  </w:t>
      </w:r>
      <w:r w:rsidRPr="009A4FBE" w:rsidR="00F47CE6">
        <w:t xml:space="preserve">Collected </w:t>
      </w:r>
      <w:r w:rsidRPr="009A4FBE">
        <w:t xml:space="preserve">PII </w:t>
      </w:r>
      <w:r w:rsidRPr="00C737D1" w:rsidR="00F47CE6">
        <w:t>is used</w:t>
      </w:r>
      <w:r w:rsidRPr="00C737D1">
        <w:t xml:space="preserve"> to notify potential respondents of their selection for an interview or study</w:t>
      </w:r>
      <w:r w:rsidRPr="00C737D1" w:rsidR="00A221E6">
        <w:t xml:space="preserve"> and include name and contact information</w:t>
      </w:r>
      <w:r w:rsidRPr="00C737D1">
        <w:t>.  All individual information collected will be kept secure by the vendor or contractor</w:t>
      </w:r>
      <w:r w:rsidR="009A4FBE">
        <w:t xml:space="preserve">. </w:t>
      </w:r>
      <w:r w:rsidR="0028479F">
        <w:t xml:space="preserve"> </w:t>
      </w:r>
      <w:r w:rsidR="009A4FBE">
        <w:t>FDA and any vendor or contractor will disclose identifiable information only</w:t>
      </w:r>
      <w:r w:rsidRPr="009A4FBE">
        <w:t xml:space="preserve"> to the extent </w:t>
      </w:r>
      <w:r w:rsidR="009A4FBE">
        <w:t>authorized by the individual or required</w:t>
      </w:r>
      <w:r w:rsidRPr="009A4FBE">
        <w:t xml:space="preserve"> by law</w:t>
      </w:r>
      <w:r w:rsidR="009A4FBE">
        <w:t>.</w:t>
      </w:r>
      <w:r w:rsidRPr="009A4FBE">
        <w:t xml:space="preserve"> </w:t>
      </w:r>
      <w:r w:rsidR="0028479F">
        <w:t xml:space="preserve"> </w:t>
      </w:r>
      <w:r w:rsidR="009A4FBE">
        <w:t>Contractors or vendors maintaining information</w:t>
      </w:r>
      <w:r w:rsidRPr="009A4FBE">
        <w:t xml:space="preserve"> </w:t>
      </w:r>
      <w:r w:rsidR="009A4FBE">
        <w:t>will</w:t>
      </w:r>
      <w:r w:rsidRPr="009A4FBE">
        <w:t xml:space="preserve"> destroy</w:t>
      </w:r>
      <w:r w:rsidR="009A4FBE">
        <w:t xml:space="preserve"> </w:t>
      </w:r>
      <w:r w:rsidR="000F0925">
        <w:t>all information</w:t>
      </w:r>
      <w:r w:rsidR="007E18E3">
        <w:t xml:space="preserve"> </w:t>
      </w:r>
      <w:r w:rsidR="009A4FBE">
        <w:t>in accordance with applicable records retention and other requirements per contract terms</w:t>
      </w:r>
      <w:r w:rsidRPr="009A4FBE">
        <w:t xml:space="preserve"> after the aggregate information has been provided to FDA and the study or interview has been completed. </w:t>
      </w:r>
      <w:r w:rsidR="0028479F">
        <w:t xml:space="preserve"> </w:t>
      </w:r>
      <w:r w:rsidRPr="009A4FBE" w:rsidR="00311C8E">
        <w:rPr>
          <w:rFonts w:eastAsia="Calibri"/>
        </w:rPr>
        <w:t xml:space="preserve">Contractors are required to sign a pledge of privacy that reinforces privacy requirements of the study and states that any </w:t>
      </w:r>
      <w:r w:rsidRPr="009A4FBE" w:rsidR="00311C8E">
        <w:rPr>
          <w:rFonts w:eastAsia="Calibri"/>
        </w:rPr>
        <w:lastRenderedPageBreak/>
        <w:t xml:space="preserve">procedural violation that jeopardizes a respondent’s privacy will be grounds for immediate termination and possible legal action.  </w:t>
      </w:r>
      <w:r w:rsidRPr="009A4FBE">
        <w:t>In keeping with IRB/Human Subjects Research protocols</w:t>
      </w:r>
      <w:r w:rsidRPr="009A4FBE" w:rsidR="00F47CE6">
        <w:t xml:space="preserve">, </w:t>
      </w:r>
      <w:r w:rsidRPr="00C737D1">
        <w:t xml:space="preserve">all the studies </w:t>
      </w:r>
      <w:r w:rsidRPr="00C737D1" w:rsidR="00F47CE6">
        <w:t>conducted under this approved</w:t>
      </w:r>
      <w:r w:rsidRPr="00C737D1">
        <w:t xml:space="preserve"> generic</w:t>
      </w:r>
      <w:r w:rsidRPr="00C737D1" w:rsidR="00F47CE6">
        <w:t xml:space="preserve"> collection</w:t>
      </w:r>
      <w:r w:rsidRPr="00C737D1">
        <w:t xml:space="preserve"> </w:t>
      </w:r>
      <w:r w:rsidRPr="00C737D1" w:rsidR="00F47CE6">
        <w:t>obtain</w:t>
      </w:r>
      <w:r w:rsidR="0028479F">
        <w:t>ed</w:t>
      </w:r>
      <w:r w:rsidRPr="00C737D1">
        <w:t xml:space="preserve"> IRB clearance</w:t>
      </w:r>
      <w:r w:rsidR="00880033">
        <w:t xml:space="preserve">. </w:t>
      </w:r>
      <w:r w:rsidR="0028479F">
        <w:t xml:space="preserve"> </w:t>
      </w:r>
      <w:r w:rsidR="00880033">
        <w:t>The clearance process</w:t>
      </w:r>
      <w:r w:rsidRPr="00880033" w:rsidR="00F47CE6">
        <w:t xml:space="preserve"> ensur</w:t>
      </w:r>
      <w:r w:rsidR="00880033">
        <w:t>es</w:t>
      </w:r>
      <w:r w:rsidRPr="00880033" w:rsidR="00F47CE6">
        <w:t xml:space="preserve"> that</w:t>
      </w:r>
      <w:r w:rsidRPr="00C737D1">
        <w:t xml:space="preserve"> stud</w:t>
      </w:r>
      <w:r w:rsidRPr="00C737D1" w:rsidR="00F47CE6">
        <w:t>y data is appropriately secured</w:t>
      </w:r>
      <w:r w:rsidRPr="00C737D1">
        <w:t xml:space="preserve"> </w:t>
      </w:r>
      <w:r w:rsidRPr="00C737D1" w:rsidR="00F47CE6">
        <w:t xml:space="preserve">(e.g., </w:t>
      </w:r>
      <w:r w:rsidRPr="00C737D1">
        <w:t xml:space="preserve">housed on the </w:t>
      </w:r>
      <w:r w:rsidR="0028479F">
        <w:t>c</w:t>
      </w:r>
      <w:r w:rsidRPr="00C737D1">
        <w:t>ontractor’s servers</w:t>
      </w:r>
      <w:r w:rsidRPr="00C737D1" w:rsidR="00F47CE6">
        <w:t xml:space="preserve">, </w:t>
      </w:r>
      <w:r w:rsidRPr="00C737D1">
        <w:t>password protected</w:t>
      </w:r>
      <w:r w:rsidRPr="00C737D1" w:rsidR="00F47CE6">
        <w:t>, separate storage areas for each stu</w:t>
      </w:r>
      <w:r w:rsidRPr="00C737D1" w:rsidR="008948E3">
        <w:t>dy, access controlled)</w:t>
      </w:r>
      <w:r w:rsidRPr="00C737D1">
        <w:t>.</w:t>
      </w:r>
    </w:p>
    <w:p w:rsidRPr="001075D3" w:rsidR="001075D3" w:rsidP="007A5E89" w:rsidRDefault="009A4FBE" w14:paraId="1931FC4C" w14:textId="77777777">
      <w:pPr>
        <w:spacing w:after="200"/>
      </w:pPr>
      <w:r>
        <w:t xml:space="preserve">In most if not all cases, the Privacy Act will not apply to collected information. </w:t>
      </w:r>
      <w:r w:rsidR="00FA30BF">
        <w:t xml:space="preserve"> </w:t>
      </w:r>
      <w:r>
        <w:t xml:space="preserve">To ensure accurate determinations regarding Privacy Act application, </w:t>
      </w:r>
      <w:r w:rsidR="00FA30BF">
        <w:t xml:space="preserve">the </w:t>
      </w:r>
      <w:r>
        <w:t xml:space="preserve">FDA Privacy Office will review the details of each study conducted under this generic </w:t>
      </w:r>
      <w:r w:rsidR="00FC3EF6">
        <w:t xml:space="preserve">collection </w:t>
      </w:r>
      <w:r>
        <w:t>approval.</w:t>
      </w:r>
      <w:r w:rsidR="009C3939">
        <w:t xml:space="preserve"> </w:t>
      </w:r>
      <w:r w:rsidR="00FA30BF">
        <w:t xml:space="preserve"> </w:t>
      </w:r>
      <w:r w:rsidR="009C3939">
        <w:t>In instances when the Privacy Act applies, FDA will satisfy the requirements of the statute for the study at issue.</w:t>
      </w:r>
    </w:p>
    <w:p w:rsidRPr="00357C8A" w:rsidR="00357C8A" w:rsidP="007A5E89" w:rsidRDefault="00357C8A" w14:paraId="2DA8BEEC" w14:textId="77777777">
      <w:pPr>
        <w:numPr>
          <w:ilvl w:val="0"/>
          <w:numId w:val="6"/>
        </w:numPr>
        <w:spacing w:after="200" w:line="276" w:lineRule="auto"/>
        <w:rPr>
          <w:rFonts w:eastAsia="Calibri"/>
        </w:rPr>
      </w:pPr>
      <w:r w:rsidRPr="00357C8A">
        <w:rPr>
          <w:rFonts w:eastAsia="Calibri"/>
          <w:u w:val="single"/>
        </w:rPr>
        <w:t>Justification for Sensitive Questions</w:t>
      </w:r>
    </w:p>
    <w:p w:rsidRPr="0011526C" w:rsidR="00357C8A" w:rsidP="007A5E89" w:rsidRDefault="00CC766F" w14:paraId="3DB1349F" w14:textId="71A6E0BB">
      <w:pPr>
        <w:spacing w:after="200"/>
        <w:rPr>
          <w:rFonts w:eastAsia="Calibri"/>
          <w:color w:val="000000"/>
        </w:rPr>
      </w:pPr>
      <w:r>
        <w:rPr>
          <w:rFonts w:eastAsia="Calibri"/>
        </w:rPr>
        <w:t xml:space="preserve">We anticipate no sensitive questions will be included in the individual </w:t>
      </w:r>
      <w:r w:rsidR="007C5719">
        <w:rPr>
          <w:rFonts w:eastAsia="Calibri"/>
        </w:rPr>
        <w:t xml:space="preserve">collection </w:t>
      </w:r>
      <w:r>
        <w:rPr>
          <w:rFonts w:eastAsia="Calibri"/>
        </w:rPr>
        <w:t>requests submitted under this generic</w:t>
      </w:r>
      <w:r w:rsidR="00D97EF4">
        <w:rPr>
          <w:rFonts w:eastAsia="Calibri"/>
        </w:rPr>
        <w:t xml:space="preserve"> clearance</w:t>
      </w:r>
      <w:r w:rsidR="007C5719">
        <w:rPr>
          <w:rFonts w:eastAsia="Calibri"/>
        </w:rPr>
        <w:t xml:space="preserve">.  </w:t>
      </w:r>
      <w:r w:rsidR="003B40E4">
        <w:rPr>
          <w:rFonts w:eastAsia="Calibri"/>
        </w:rPr>
        <w:t xml:space="preserve">In the event </w:t>
      </w:r>
      <w:r w:rsidR="00A16948">
        <w:rPr>
          <w:rFonts w:eastAsia="Calibri"/>
        </w:rPr>
        <w:t>a</w:t>
      </w:r>
      <w:r w:rsidR="003B40E4">
        <w:rPr>
          <w:rFonts w:eastAsia="Calibri"/>
        </w:rPr>
        <w:t xml:space="preserve"> </w:t>
      </w:r>
      <w:r w:rsidR="009756EB">
        <w:rPr>
          <w:rFonts w:eastAsia="Calibri"/>
        </w:rPr>
        <w:t xml:space="preserve">question </w:t>
      </w:r>
      <w:r w:rsidR="00DC2174">
        <w:rPr>
          <w:rFonts w:eastAsia="Calibri"/>
        </w:rPr>
        <w:t xml:space="preserve">is proffered </w:t>
      </w:r>
      <w:r w:rsidR="009756EB">
        <w:rPr>
          <w:rFonts w:eastAsia="Calibri"/>
        </w:rPr>
        <w:t xml:space="preserve">that may be regarded as </w:t>
      </w:r>
      <w:r w:rsidR="00805A56">
        <w:rPr>
          <w:rFonts w:eastAsia="Calibri"/>
        </w:rPr>
        <w:t>sensitive, w</w:t>
      </w:r>
      <w:r w:rsidR="009756EB">
        <w:rPr>
          <w:rFonts w:eastAsia="Calibri"/>
        </w:rPr>
        <w:t xml:space="preserve">e will provide </w:t>
      </w:r>
      <w:r w:rsidR="00B07A89">
        <w:rPr>
          <w:rFonts w:eastAsia="Calibri"/>
        </w:rPr>
        <w:t xml:space="preserve">a justification and explain its relevance to the </w:t>
      </w:r>
      <w:r w:rsidR="004A6C07">
        <w:rPr>
          <w:rFonts w:eastAsia="Calibri"/>
        </w:rPr>
        <w:t xml:space="preserve">individual </w:t>
      </w:r>
      <w:r w:rsidR="00B07A89">
        <w:rPr>
          <w:rFonts w:eastAsia="Calibri"/>
        </w:rPr>
        <w:t>collection.</w:t>
      </w:r>
    </w:p>
    <w:p w:rsidRPr="00357C8A" w:rsidR="00357C8A" w:rsidP="007A5E89" w:rsidRDefault="00357C8A" w14:paraId="523C818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FF53BA" w:rsidR="00357C8A" w:rsidP="007A5E89" w:rsidRDefault="00357C8A" w14:paraId="7641FE64" w14:textId="77777777">
      <w:pPr>
        <w:spacing w:after="200"/>
        <w:ind w:left="360"/>
        <w:rPr>
          <w:rFonts w:eastAsia="Calibri"/>
          <w:i/>
          <w:iCs/>
        </w:rPr>
      </w:pPr>
      <w:r w:rsidRPr="00FF53BA">
        <w:rPr>
          <w:rFonts w:eastAsia="Calibri"/>
          <w:i/>
          <w:iCs/>
        </w:rPr>
        <w:t>12a.  Annualized Hour Burden Estimate</w:t>
      </w:r>
    </w:p>
    <w:p w:rsidRPr="007245C7" w:rsidR="00EA482D" w:rsidP="007A5E89" w:rsidRDefault="00EA482D" w14:paraId="30BC6523" w14:textId="77777777">
      <w:pPr>
        <w:numPr>
          <w:ilvl w:val="12"/>
          <w:numId w:val="0"/>
        </w:numPr>
        <w:jc w:val="center"/>
        <w:rPr>
          <w:bCs/>
          <w:i/>
        </w:rPr>
      </w:pPr>
      <w:r w:rsidRPr="007245C7">
        <w:rPr>
          <w:bCs/>
        </w:rPr>
        <w:t>Table 1.--Estimated Annual Reporting Burden</w:t>
      </w:r>
      <w:r w:rsidRPr="007245C7" w:rsidR="00FA30BF">
        <w:rPr>
          <w:bCs/>
          <w:vertAlign w:val="superscript"/>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5"/>
        <w:gridCol w:w="1350"/>
        <w:gridCol w:w="1530"/>
        <w:gridCol w:w="1260"/>
        <w:gridCol w:w="1348"/>
        <w:gridCol w:w="987"/>
      </w:tblGrid>
      <w:tr w:rsidR="00EA482D" w:rsidTr="00A643D1" w14:paraId="4D54FC5B" w14:textId="77777777">
        <w:trPr>
          <w:trHeight w:val="1056"/>
        </w:trPr>
        <w:tc>
          <w:tcPr>
            <w:tcW w:w="2875" w:type="dxa"/>
            <w:tcBorders>
              <w:top w:val="single" w:color="auto" w:sz="4" w:space="0"/>
              <w:left w:val="single" w:color="auto" w:sz="4" w:space="0"/>
              <w:bottom w:val="single" w:color="auto" w:sz="4" w:space="0"/>
              <w:right w:val="single" w:color="auto" w:sz="4" w:space="0"/>
            </w:tcBorders>
          </w:tcPr>
          <w:p w:rsidRPr="00B435D2" w:rsidR="00EA482D" w:rsidP="007A5E89" w:rsidRDefault="00EA482D" w14:paraId="4680B6BF" w14:textId="77777777">
            <w:pPr>
              <w:numPr>
                <w:ilvl w:val="12"/>
                <w:numId w:val="0"/>
              </w:numPr>
              <w:jc w:val="center"/>
              <w:rPr>
                <w:b/>
                <w:sz w:val="20"/>
                <w:szCs w:val="20"/>
              </w:rPr>
            </w:pPr>
          </w:p>
          <w:p w:rsidRPr="00B435D2" w:rsidR="00EA482D" w:rsidP="007A5E89" w:rsidRDefault="00EA482D" w14:paraId="52EF9EB8" w14:textId="77777777">
            <w:pPr>
              <w:numPr>
                <w:ilvl w:val="12"/>
                <w:numId w:val="0"/>
              </w:numPr>
              <w:jc w:val="center"/>
              <w:rPr>
                <w:b/>
                <w:sz w:val="20"/>
                <w:szCs w:val="20"/>
              </w:rPr>
            </w:pPr>
            <w:r w:rsidRPr="00B435D2">
              <w:rPr>
                <w:b/>
                <w:sz w:val="20"/>
                <w:szCs w:val="20"/>
              </w:rPr>
              <w:t>Activity</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B435D2" w:rsidR="00EA482D" w:rsidP="007A5E89" w:rsidRDefault="00EA482D" w14:paraId="4DA8D0CF" w14:textId="77777777">
            <w:pPr>
              <w:numPr>
                <w:ilvl w:val="12"/>
                <w:numId w:val="0"/>
              </w:numPr>
              <w:jc w:val="center"/>
              <w:rPr>
                <w:b/>
                <w:sz w:val="20"/>
                <w:szCs w:val="20"/>
              </w:rPr>
            </w:pPr>
            <w:r w:rsidRPr="00B435D2">
              <w:rPr>
                <w:b/>
                <w:sz w:val="20"/>
                <w:szCs w:val="20"/>
              </w:rPr>
              <w:t>No. of Respondents</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605F787A" w14:textId="77777777">
            <w:pPr>
              <w:numPr>
                <w:ilvl w:val="12"/>
                <w:numId w:val="0"/>
              </w:numPr>
              <w:jc w:val="center"/>
              <w:rPr>
                <w:b/>
                <w:bCs/>
                <w:sz w:val="20"/>
                <w:szCs w:val="20"/>
              </w:rPr>
            </w:pPr>
            <w:r w:rsidRPr="00B435D2">
              <w:rPr>
                <w:b/>
                <w:bCs/>
                <w:sz w:val="20"/>
                <w:szCs w:val="20"/>
              </w:rPr>
              <w:t>No. of Responses per Respondent</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499DD402" w14:textId="77777777">
            <w:pPr>
              <w:numPr>
                <w:ilvl w:val="12"/>
                <w:numId w:val="0"/>
              </w:numPr>
              <w:jc w:val="center"/>
              <w:rPr>
                <w:b/>
                <w:bCs/>
                <w:sz w:val="20"/>
                <w:szCs w:val="20"/>
              </w:rPr>
            </w:pPr>
            <w:r w:rsidRPr="00B435D2">
              <w:rPr>
                <w:b/>
                <w:bCs/>
                <w:sz w:val="20"/>
                <w:szCs w:val="20"/>
              </w:rPr>
              <w:t>Total Annual Responses</w:t>
            </w:r>
          </w:p>
        </w:tc>
        <w:tc>
          <w:tcPr>
            <w:tcW w:w="1348" w:type="dxa"/>
            <w:tcBorders>
              <w:top w:val="single" w:color="auto" w:sz="4" w:space="0"/>
              <w:left w:val="single" w:color="auto" w:sz="4" w:space="0"/>
              <w:bottom w:val="single" w:color="auto" w:sz="4" w:space="0"/>
              <w:right w:val="single" w:color="auto" w:sz="4" w:space="0"/>
            </w:tcBorders>
            <w:vAlign w:val="center"/>
            <w:hideMark/>
          </w:tcPr>
          <w:p w:rsidRPr="00B435D2" w:rsidR="00EA482D" w:rsidP="007A5E89" w:rsidRDefault="00EA482D" w14:paraId="46DB3BF3" w14:textId="77777777">
            <w:pPr>
              <w:numPr>
                <w:ilvl w:val="12"/>
                <w:numId w:val="0"/>
              </w:numPr>
              <w:jc w:val="center"/>
              <w:rPr>
                <w:b/>
                <w:sz w:val="20"/>
                <w:szCs w:val="20"/>
              </w:rPr>
            </w:pPr>
            <w:r w:rsidRPr="00B435D2">
              <w:rPr>
                <w:b/>
                <w:bCs/>
                <w:sz w:val="20"/>
                <w:szCs w:val="20"/>
              </w:rPr>
              <w:t>Average Burden per Response</w:t>
            </w:r>
          </w:p>
        </w:tc>
        <w:tc>
          <w:tcPr>
            <w:tcW w:w="987" w:type="dxa"/>
            <w:tcBorders>
              <w:top w:val="single" w:color="auto" w:sz="4" w:space="0"/>
              <w:left w:val="single" w:color="auto" w:sz="4" w:space="0"/>
              <w:bottom w:val="single" w:color="auto" w:sz="4" w:space="0"/>
              <w:right w:val="single" w:color="auto" w:sz="4" w:space="0"/>
            </w:tcBorders>
            <w:vAlign w:val="center"/>
            <w:hideMark/>
          </w:tcPr>
          <w:p w:rsidRPr="00B435D2" w:rsidR="00EA482D" w:rsidP="007A5E89" w:rsidRDefault="00EA482D" w14:paraId="6397B058" w14:textId="77777777">
            <w:pPr>
              <w:numPr>
                <w:ilvl w:val="12"/>
                <w:numId w:val="0"/>
              </w:numPr>
              <w:jc w:val="center"/>
              <w:rPr>
                <w:b/>
                <w:sz w:val="20"/>
                <w:szCs w:val="20"/>
              </w:rPr>
            </w:pPr>
            <w:r w:rsidRPr="00B435D2">
              <w:rPr>
                <w:b/>
                <w:sz w:val="20"/>
                <w:szCs w:val="20"/>
              </w:rPr>
              <w:t>Total Hours</w:t>
            </w:r>
          </w:p>
        </w:tc>
      </w:tr>
      <w:tr w:rsidR="00EA482D" w:rsidTr="00A643D1" w14:paraId="69900CBB" w14:textId="77777777">
        <w:trPr>
          <w:trHeight w:val="539"/>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0620779" w14:textId="77777777">
            <w:pPr>
              <w:numPr>
                <w:ilvl w:val="12"/>
                <w:numId w:val="0"/>
              </w:numPr>
              <w:rPr>
                <w:sz w:val="20"/>
                <w:szCs w:val="20"/>
              </w:rPr>
            </w:pPr>
            <w:r w:rsidRPr="00B435D2">
              <w:rPr>
                <w:sz w:val="20"/>
                <w:szCs w:val="20"/>
              </w:rPr>
              <w:t>Cognitive Interviews Screener</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BC593AF" w14:textId="77777777">
            <w:pPr>
              <w:numPr>
                <w:ilvl w:val="12"/>
                <w:numId w:val="0"/>
              </w:numPr>
              <w:jc w:val="right"/>
              <w:rPr>
                <w:sz w:val="20"/>
                <w:szCs w:val="20"/>
              </w:rPr>
            </w:pPr>
            <w:r w:rsidRPr="00B435D2">
              <w:rPr>
                <w:sz w:val="20"/>
                <w:szCs w:val="20"/>
              </w:rPr>
              <w:t>720</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45BF7B8A"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DF3243D" w14:textId="77777777">
            <w:pPr>
              <w:numPr>
                <w:ilvl w:val="12"/>
                <w:numId w:val="0"/>
              </w:numPr>
              <w:jc w:val="right"/>
              <w:rPr>
                <w:sz w:val="20"/>
                <w:szCs w:val="20"/>
              </w:rPr>
            </w:pPr>
            <w:r w:rsidRPr="00B435D2">
              <w:rPr>
                <w:sz w:val="20"/>
                <w:szCs w:val="20"/>
              </w:rPr>
              <w:t>720</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3C22076" w14:textId="77777777">
            <w:pPr>
              <w:jc w:val="right"/>
              <w:rPr>
                <w:sz w:val="20"/>
                <w:szCs w:val="20"/>
              </w:rPr>
            </w:pPr>
            <w:r w:rsidRPr="00B435D2">
              <w:rPr>
                <w:sz w:val="20"/>
                <w:szCs w:val="20"/>
              </w:rPr>
              <w:t>0.083</w:t>
            </w:r>
          </w:p>
          <w:p w:rsidRPr="00B435D2" w:rsidR="00EA482D" w:rsidP="007A5E89" w:rsidRDefault="00EA482D" w14:paraId="596422B6" w14:textId="77777777">
            <w:pPr>
              <w:numPr>
                <w:ilvl w:val="12"/>
                <w:numId w:val="0"/>
              </w:numPr>
              <w:jc w:val="right"/>
              <w:rPr>
                <w:sz w:val="20"/>
                <w:szCs w:val="20"/>
              </w:rPr>
            </w:pPr>
            <w:r w:rsidRPr="00B435D2">
              <w:rPr>
                <w:sz w:val="20"/>
                <w:szCs w:val="20"/>
              </w:rPr>
              <w:t>(5 minutes)</w:t>
            </w: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719483C5" w14:textId="77777777">
            <w:pPr>
              <w:numPr>
                <w:ilvl w:val="12"/>
                <w:numId w:val="0"/>
              </w:numPr>
              <w:jc w:val="right"/>
              <w:rPr>
                <w:sz w:val="20"/>
                <w:szCs w:val="20"/>
              </w:rPr>
            </w:pPr>
            <w:r w:rsidRPr="00B435D2">
              <w:rPr>
                <w:sz w:val="20"/>
                <w:szCs w:val="20"/>
              </w:rPr>
              <w:t>60</w:t>
            </w:r>
          </w:p>
        </w:tc>
      </w:tr>
      <w:tr w:rsidR="00EA482D" w:rsidTr="00A643D1" w14:paraId="32D7B3F9" w14:textId="77777777">
        <w:trPr>
          <w:trHeight w:val="350"/>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6455EFD" w14:textId="77777777">
            <w:pPr>
              <w:numPr>
                <w:ilvl w:val="12"/>
                <w:numId w:val="0"/>
              </w:numPr>
              <w:rPr>
                <w:sz w:val="20"/>
                <w:szCs w:val="20"/>
              </w:rPr>
            </w:pPr>
            <w:r w:rsidRPr="00B435D2">
              <w:rPr>
                <w:sz w:val="20"/>
                <w:szCs w:val="20"/>
              </w:rPr>
              <w:t>Cognitive Interviews</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E59EFD2" w14:textId="77777777">
            <w:pPr>
              <w:numPr>
                <w:ilvl w:val="12"/>
                <w:numId w:val="0"/>
              </w:numPr>
              <w:jc w:val="right"/>
              <w:rPr>
                <w:sz w:val="20"/>
                <w:szCs w:val="20"/>
              </w:rPr>
            </w:pPr>
            <w:r w:rsidRPr="00B435D2">
              <w:rPr>
                <w:sz w:val="20"/>
                <w:szCs w:val="20"/>
              </w:rPr>
              <w:t>144</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1B5211F3"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68755C5" w14:textId="77777777">
            <w:pPr>
              <w:numPr>
                <w:ilvl w:val="12"/>
                <w:numId w:val="0"/>
              </w:numPr>
              <w:jc w:val="right"/>
              <w:rPr>
                <w:sz w:val="20"/>
                <w:szCs w:val="20"/>
              </w:rPr>
            </w:pPr>
            <w:r w:rsidRPr="00B435D2">
              <w:rPr>
                <w:sz w:val="20"/>
                <w:szCs w:val="20"/>
              </w:rPr>
              <w:t>144</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00F22CC7" w14:textId="77777777">
            <w:pPr>
              <w:jc w:val="right"/>
              <w:rPr>
                <w:sz w:val="20"/>
                <w:szCs w:val="20"/>
              </w:rPr>
            </w:pPr>
            <w:r w:rsidRPr="00B435D2">
              <w:rPr>
                <w:sz w:val="20"/>
                <w:szCs w:val="20"/>
              </w:rPr>
              <w:t>1</w:t>
            </w:r>
          </w:p>
          <w:p w:rsidRPr="00B435D2" w:rsidR="00EA482D" w:rsidP="007A5E89" w:rsidRDefault="00EA482D" w14:paraId="65AC8956" w14:textId="77777777">
            <w:pPr>
              <w:numPr>
                <w:ilvl w:val="12"/>
                <w:numId w:val="0"/>
              </w:numPr>
              <w:jc w:val="right"/>
              <w:rPr>
                <w:sz w:val="20"/>
                <w:szCs w:val="20"/>
              </w:rPr>
            </w:pP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71D872E" w14:textId="77777777">
            <w:pPr>
              <w:numPr>
                <w:ilvl w:val="12"/>
                <w:numId w:val="0"/>
              </w:numPr>
              <w:jc w:val="right"/>
              <w:rPr>
                <w:sz w:val="20"/>
                <w:szCs w:val="20"/>
              </w:rPr>
            </w:pPr>
            <w:r w:rsidRPr="00B435D2">
              <w:rPr>
                <w:sz w:val="20"/>
                <w:szCs w:val="20"/>
              </w:rPr>
              <w:t>144</w:t>
            </w:r>
          </w:p>
        </w:tc>
      </w:tr>
      <w:tr w:rsidR="00EA482D" w:rsidTr="00A643D1" w14:paraId="399E4887" w14:textId="77777777">
        <w:trPr>
          <w:trHeight w:val="61"/>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18201D25" w14:textId="77777777">
            <w:pPr>
              <w:numPr>
                <w:ilvl w:val="12"/>
                <w:numId w:val="0"/>
              </w:numPr>
              <w:rPr>
                <w:sz w:val="20"/>
                <w:szCs w:val="20"/>
              </w:rPr>
            </w:pPr>
            <w:r w:rsidRPr="00B435D2">
              <w:rPr>
                <w:sz w:val="20"/>
                <w:szCs w:val="20"/>
              </w:rPr>
              <w:t xml:space="preserve">Pre-test study screener </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30AC512" w14:textId="77777777">
            <w:pPr>
              <w:numPr>
                <w:ilvl w:val="12"/>
                <w:numId w:val="0"/>
              </w:numPr>
              <w:jc w:val="right"/>
              <w:rPr>
                <w:sz w:val="20"/>
                <w:szCs w:val="20"/>
              </w:rPr>
            </w:pPr>
            <w:r w:rsidRPr="00B435D2">
              <w:rPr>
                <w:sz w:val="20"/>
                <w:szCs w:val="20"/>
              </w:rPr>
              <w:t>2,400</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6F3718F4"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FC54B8B" w14:textId="77777777">
            <w:pPr>
              <w:numPr>
                <w:ilvl w:val="12"/>
                <w:numId w:val="0"/>
              </w:numPr>
              <w:jc w:val="right"/>
              <w:rPr>
                <w:sz w:val="20"/>
                <w:szCs w:val="20"/>
              </w:rPr>
            </w:pPr>
            <w:r w:rsidRPr="00B435D2">
              <w:rPr>
                <w:sz w:val="20"/>
                <w:szCs w:val="20"/>
              </w:rPr>
              <w:t>2,400</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EEFD38F" w14:textId="77777777">
            <w:pPr>
              <w:jc w:val="right"/>
              <w:rPr>
                <w:sz w:val="20"/>
                <w:szCs w:val="20"/>
              </w:rPr>
            </w:pPr>
            <w:r w:rsidRPr="00B435D2">
              <w:rPr>
                <w:sz w:val="20"/>
                <w:szCs w:val="20"/>
              </w:rPr>
              <w:t>0.083</w:t>
            </w:r>
          </w:p>
          <w:p w:rsidRPr="00B435D2" w:rsidR="00EA482D" w:rsidP="007A5E89" w:rsidRDefault="00EA482D" w14:paraId="1193FA68" w14:textId="77777777">
            <w:pPr>
              <w:numPr>
                <w:ilvl w:val="12"/>
                <w:numId w:val="0"/>
              </w:numPr>
              <w:jc w:val="right"/>
              <w:rPr>
                <w:sz w:val="20"/>
                <w:szCs w:val="20"/>
              </w:rPr>
            </w:pPr>
            <w:r w:rsidRPr="00B435D2">
              <w:rPr>
                <w:sz w:val="20"/>
                <w:szCs w:val="20"/>
              </w:rPr>
              <w:t>(5 minutes)</w:t>
            </w: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74FA1902" w14:textId="77777777">
            <w:pPr>
              <w:numPr>
                <w:ilvl w:val="12"/>
                <w:numId w:val="0"/>
              </w:numPr>
              <w:jc w:val="right"/>
              <w:rPr>
                <w:sz w:val="20"/>
                <w:szCs w:val="20"/>
              </w:rPr>
            </w:pPr>
            <w:r w:rsidRPr="00B435D2">
              <w:rPr>
                <w:sz w:val="20"/>
                <w:szCs w:val="20"/>
              </w:rPr>
              <w:t>199</w:t>
            </w:r>
          </w:p>
        </w:tc>
      </w:tr>
      <w:tr w:rsidR="00EA482D" w:rsidTr="00A643D1" w14:paraId="6800DDA3" w14:textId="77777777">
        <w:trPr>
          <w:trHeight w:val="61"/>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085144FA" w14:textId="77777777">
            <w:pPr>
              <w:numPr>
                <w:ilvl w:val="12"/>
                <w:numId w:val="0"/>
              </w:numPr>
              <w:rPr>
                <w:sz w:val="20"/>
                <w:szCs w:val="20"/>
              </w:rPr>
            </w:pPr>
            <w:r w:rsidRPr="00B435D2">
              <w:rPr>
                <w:sz w:val="20"/>
                <w:szCs w:val="20"/>
              </w:rPr>
              <w:t xml:space="preserve">Pre-testing study </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0CFEDCF" w14:textId="77777777">
            <w:pPr>
              <w:numPr>
                <w:ilvl w:val="12"/>
                <w:numId w:val="0"/>
              </w:numPr>
              <w:jc w:val="right"/>
              <w:rPr>
                <w:sz w:val="20"/>
                <w:szCs w:val="20"/>
              </w:rPr>
            </w:pPr>
            <w:r w:rsidRPr="00B435D2">
              <w:rPr>
                <w:sz w:val="20"/>
                <w:szCs w:val="20"/>
              </w:rPr>
              <w:t>480</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3E2E083"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1CBD1EA" w14:textId="77777777">
            <w:pPr>
              <w:numPr>
                <w:ilvl w:val="12"/>
                <w:numId w:val="0"/>
              </w:numPr>
              <w:jc w:val="right"/>
              <w:rPr>
                <w:sz w:val="20"/>
                <w:szCs w:val="20"/>
              </w:rPr>
            </w:pPr>
            <w:r w:rsidRPr="00B435D2">
              <w:rPr>
                <w:sz w:val="20"/>
                <w:szCs w:val="20"/>
              </w:rPr>
              <w:t>480</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FA30BF" w14:paraId="2340CD0F" w14:textId="77777777">
            <w:pPr>
              <w:numPr>
                <w:ilvl w:val="12"/>
                <w:numId w:val="0"/>
              </w:numPr>
              <w:jc w:val="right"/>
              <w:rPr>
                <w:sz w:val="20"/>
                <w:szCs w:val="20"/>
              </w:rPr>
            </w:pPr>
            <w:r w:rsidRPr="00B435D2">
              <w:rPr>
                <w:sz w:val="20"/>
                <w:szCs w:val="20"/>
              </w:rPr>
              <w:t>0</w:t>
            </w:r>
            <w:r w:rsidRPr="00B435D2" w:rsidR="00EA482D">
              <w:rPr>
                <w:sz w:val="20"/>
                <w:szCs w:val="20"/>
              </w:rPr>
              <w:t>.25</w:t>
            </w:r>
          </w:p>
          <w:p w:rsidRPr="00B435D2" w:rsidR="00EA482D" w:rsidP="007A5E89" w:rsidRDefault="00EA482D" w14:paraId="08078421" w14:textId="77777777">
            <w:pPr>
              <w:numPr>
                <w:ilvl w:val="12"/>
                <w:numId w:val="0"/>
              </w:numPr>
              <w:jc w:val="right"/>
              <w:rPr>
                <w:sz w:val="20"/>
                <w:szCs w:val="20"/>
              </w:rPr>
            </w:pPr>
            <w:r w:rsidRPr="00B435D2">
              <w:rPr>
                <w:sz w:val="20"/>
                <w:szCs w:val="20"/>
              </w:rPr>
              <w:t>(15 minutes)</w:t>
            </w: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364AB00" w14:textId="77777777">
            <w:pPr>
              <w:numPr>
                <w:ilvl w:val="12"/>
                <w:numId w:val="0"/>
              </w:numPr>
              <w:jc w:val="right"/>
              <w:rPr>
                <w:sz w:val="20"/>
                <w:szCs w:val="20"/>
              </w:rPr>
            </w:pPr>
            <w:r w:rsidRPr="00B435D2">
              <w:rPr>
                <w:sz w:val="20"/>
                <w:szCs w:val="20"/>
              </w:rPr>
              <w:t>120</w:t>
            </w:r>
          </w:p>
        </w:tc>
      </w:tr>
      <w:tr w:rsidR="00EA482D" w:rsidTr="00A643D1" w14:paraId="28A792C5" w14:textId="77777777">
        <w:trPr>
          <w:trHeight w:val="737"/>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0443B0BA" w14:textId="77777777">
            <w:pPr>
              <w:numPr>
                <w:ilvl w:val="12"/>
                <w:numId w:val="0"/>
              </w:numPr>
              <w:rPr>
                <w:sz w:val="20"/>
                <w:szCs w:val="20"/>
              </w:rPr>
            </w:pPr>
            <w:r w:rsidRPr="00B435D2">
              <w:rPr>
                <w:sz w:val="20"/>
                <w:szCs w:val="20"/>
              </w:rPr>
              <w:t>Self-administered surveys/experimental Studies Screener</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3DF825F" w14:textId="77777777">
            <w:pPr>
              <w:numPr>
                <w:ilvl w:val="12"/>
                <w:numId w:val="0"/>
              </w:numPr>
              <w:jc w:val="right"/>
              <w:rPr>
                <w:sz w:val="20"/>
                <w:szCs w:val="20"/>
              </w:rPr>
            </w:pPr>
            <w:r w:rsidRPr="00B435D2">
              <w:rPr>
                <w:sz w:val="20"/>
                <w:szCs w:val="20"/>
              </w:rPr>
              <w:t>75,000</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20995633"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58C9448" w14:textId="77777777">
            <w:pPr>
              <w:numPr>
                <w:ilvl w:val="12"/>
                <w:numId w:val="0"/>
              </w:numPr>
              <w:jc w:val="right"/>
              <w:rPr>
                <w:sz w:val="20"/>
                <w:szCs w:val="20"/>
              </w:rPr>
            </w:pPr>
            <w:r w:rsidRPr="00B435D2">
              <w:rPr>
                <w:sz w:val="20"/>
                <w:szCs w:val="20"/>
              </w:rPr>
              <w:t>75,000</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6D215902" w14:textId="77777777">
            <w:pPr>
              <w:jc w:val="right"/>
              <w:rPr>
                <w:sz w:val="20"/>
                <w:szCs w:val="20"/>
              </w:rPr>
            </w:pPr>
            <w:r w:rsidRPr="00B435D2">
              <w:rPr>
                <w:sz w:val="20"/>
                <w:szCs w:val="20"/>
              </w:rPr>
              <w:t>0.083</w:t>
            </w:r>
          </w:p>
          <w:p w:rsidRPr="00B435D2" w:rsidR="00EA482D" w:rsidP="007A5E89" w:rsidRDefault="00EA482D" w14:paraId="33608D2D" w14:textId="77777777">
            <w:pPr>
              <w:numPr>
                <w:ilvl w:val="12"/>
                <w:numId w:val="0"/>
              </w:numPr>
              <w:jc w:val="right"/>
              <w:rPr>
                <w:sz w:val="20"/>
                <w:szCs w:val="20"/>
              </w:rPr>
            </w:pPr>
            <w:r w:rsidRPr="00B435D2">
              <w:rPr>
                <w:sz w:val="20"/>
                <w:szCs w:val="20"/>
              </w:rPr>
              <w:t>(5 minutes)</w:t>
            </w: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1A14BD1C" w14:textId="77777777">
            <w:pPr>
              <w:numPr>
                <w:ilvl w:val="12"/>
                <w:numId w:val="0"/>
              </w:numPr>
              <w:jc w:val="right"/>
              <w:rPr>
                <w:sz w:val="20"/>
                <w:szCs w:val="20"/>
              </w:rPr>
            </w:pPr>
            <w:r w:rsidRPr="00B435D2">
              <w:rPr>
                <w:sz w:val="20"/>
                <w:szCs w:val="20"/>
              </w:rPr>
              <w:t>6,225</w:t>
            </w:r>
          </w:p>
        </w:tc>
      </w:tr>
      <w:tr w:rsidR="00EA482D" w:rsidTr="00A643D1" w14:paraId="4D72E9B4" w14:textId="77777777">
        <w:trPr>
          <w:trHeight w:val="530"/>
        </w:trPr>
        <w:tc>
          <w:tcPr>
            <w:tcW w:w="2875"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3FB660DD" w14:textId="77777777">
            <w:pPr>
              <w:numPr>
                <w:ilvl w:val="12"/>
                <w:numId w:val="0"/>
              </w:numPr>
              <w:rPr>
                <w:sz w:val="20"/>
                <w:szCs w:val="20"/>
              </w:rPr>
            </w:pPr>
            <w:r w:rsidRPr="00B435D2">
              <w:rPr>
                <w:sz w:val="20"/>
                <w:szCs w:val="20"/>
              </w:rPr>
              <w:t>Self-Administered Surveys/Experimental Studies</w:t>
            </w:r>
          </w:p>
        </w:tc>
        <w:tc>
          <w:tcPr>
            <w:tcW w:w="135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2AEDB32" w14:textId="77777777">
            <w:pPr>
              <w:numPr>
                <w:ilvl w:val="12"/>
                <w:numId w:val="0"/>
              </w:numPr>
              <w:jc w:val="right"/>
              <w:rPr>
                <w:sz w:val="20"/>
                <w:szCs w:val="20"/>
              </w:rPr>
            </w:pPr>
            <w:r w:rsidRPr="00B435D2">
              <w:rPr>
                <w:sz w:val="20"/>
                <w:szCs w:val="20"/>
              </w:rPr>
              <w:t>15,000</w:t>
            </w:r>
          </w:p>
        </w:tc>
        <w:tc>
          <w:tcPr>
            <w:tcW w:w="153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191BEFFF" w14:textId="77777777">
            <w:pPr>
              <w:numPr>
                <w:ilvl w:val="12"/>
                <w:numId w:val="0"/>
              </w:numPr>
              <w:jc w:val="right"/>
              <w:rPr>
                <w:sz w:val="20"/>
                <w:szCs w:val="20"/>
              </w:rPr>
            </w:pPr>
            <w:r w:rsidRPr="00B435D2">
              <w:rPr>
                <w:sz w:val="20"/>
                <w:szCs w:val="20"/>
              </w:rPr>
              <w:t>1</w:t>
            </w:r>
          </w:p>
        </w:tc>
        <w:tc>
          <w:tcPr>
            <w:tcW w:w="1260"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5FD2D384" w14:textId="77777777">
            <w:pPr>
              <w:numPr>
                <w:ilvl w:val="12"/>
                <w:numId w:val="0"/>
              </w:numPr>
              <w:jc w:val="right"/>
              <w:rPr>
                <w:sz w:val="20"/>
                <w:szCs w:val="20"/>
              </w:rPr>
            </w:pPr>
            <w:r w:rsidRPr="00B435D2">
              <w:rPr>
                <w:sz w:val="20"/>
                <w:szCs w:val="20"/>
              </w:rPr>
              <w:t>15,000</w:t>
            </w:r>
          </w:p>
        </w:tc>
        <w:tc>
          <w:tcPr>
            <w:tcW w:w="1348" w:type="dxa"/>
            <w:tcBorders>
              <w:top w:val="single" w:color="auto" w:sz="4" w:space="0"/>
              <w:left w:val="single" w:color="auto" w:sz="4" w:space="0"/>
              <w:bottom w:val="single" w:color="auto" w:sz="4" w:space="0"/>
              <w:right w:val="single" w:color="auto" w:sz="4" w:space="0"/>
            </w:tcBorders>
            <w:hideMark/>
          </w:tcPr>
          <w:p w:rsidRPr="00B435D2" w:rsidR="00EA482D" w:rsidP="007A5E89" w:rsidRDefault="00FA30BF" w14:paraId="36094C8A" w14:textId="77777777">
            <w:pPr>
              <w:numPr>
                <w:ilvl w:val="12"/>
                <w:numId w:val="0"/>
              </w:numPr>
              <w:jc w:val="right"/>
              <w:rPr>
                <w:sz w:val="20"/>
                <w:szCs w:val="20"/>
              </w:rPr>
            </w:pPr>
            <w:r w:rsidRPr="00B435D2">
              <w:rPr>
                <w:sz w:val="20"/>
                <w:szCs w:val="20"/>
              </w:rPr>
              <w:t>0</w:t>
            </w:r>
            <w:r w:rsidRPr="00B435D2" w:rsidR="00EA482D">
              <w:rPr>
                <w:sz w:val="20"/>
                <w:szCs w:val="20"/>
              </w:rPr>
              <w:t>.25</w:t>
            </w:r>
          </w:p>
          <w:p w:rsidRPr="00B435D2" w:rsidR="00EA482D" w:rsidP="007A5E89" w:rsidRDefault="00EA482D" w14:paraId="1DCA1EF4" w14:textId="77777777">
            <w:pPr>
              <w:numPr>
                <w:ilvl w:val="12"/>
                <w:numId w:val="0"/>
              </w:numPr>
              <w:jc w:val="right"/>
              <w:rPr>
                <w:sz w:val="20"/>
                <w:szCs w:val="20"/>
              </w:rPr>
            </w:pPr>
            <w:r w:rsidRPr="00B435D2">
              <w:rPr>
                <w:sz w:val="20"/>
                <w:szCs w:val="20"/>
              </w:rPr>
              <w:t>(15 minutes)</w:t>
            </w:r>
          </w:p>
        </w:tc>
        <w:tc>
          <w:tcPr>
            <w:tcW w:w="987" w:type="dxa"/>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6E1241CB" w14:textId="77777777">
            <w:pPr>
              <w:numPr>
                <w:ilvl w:val="12"/>
                <w:numId w:val="0"/>
              </w:numPr>
              <w:jc w:val="right"/>
              <w:rPr>
                <w:sz w:val="20"/>
                <w:szCs w:val="20"/>
              </w:rPr>
            </w:pPr>
            <w:r w:rsidRPr="00B435D2">
              <w:rPr>
                <w:sz w:val="20"/>
                <w:szCs w:val="20"/>
              </w:rPr>
              <w:t>3,750</w:t>
            </w:r>
          </w:p>
        </w:tc>
      </w:tr>
      <w:tr w:rsidR="00EA482D" w:rsidTr="00A643D1" w14:paraId="3E52319F" w14:textId="77777777">
        <w:trPr>
          <w:trHeight w:val="61"/>
        </w:trPr>
        <w:tc>
          <w:tcPr>
            <w:tcW w:w="8363" w:type="dxa"/>
            <w:gridSpan w:val="5"/>
            <w:tcBorders>
              <w:top w:val="single" w:color="auto" w:sz="4" w:space="0"/>
              <w:left w:val="single" w:color="auto" w:sz="4" w:space="0"/>
              <w:bottom w:val="single" w:color="auto" w:sz="4" w:space="0"/>
              <w:right w:val="single" w:color="auto" w:sz="4" w:space="0"/>
            </w:tcBorders>
            <w:hideMark/>
          </w:tcPr>
          <w:p w:rsidRPr="00B435D2" w:rsidR="00EA482D" w:rsidP="007A5E89" w:rsidRDefault="00EA482D" w14:paraId="4C7C7A07" w14:textId="77777777">
            <w:pPr>
              <w:numPr>
                <w:ilvl w:val="12"/>
                <w:numId w:val="0"/>
              </w:numPr>
              <w:rPr>
                <w:sz w:val="20"/>
                <w:szCs w:val="20"/>
              </w:rPr>
            </w:pPr>
            <w:r w:rsidRPr="00B435D2">
              <w:rPr>
                <w:sz w:val="20"/>
                <w:szCs w:val="20"/>
              </w:rPr>
              <w:t>Total</w:t>
            </w:r>
          </w:p>
        </w:tc>
        <w:tc>
          <w:tcPr>
            <w:tcW w:w="987" w:type="dxa"/>
            <w:tcBorders>
              <w:top w:val="single" w:color="auto" w:sz="4" w:space="0"/>
              <w:left w:val="single" w:color="auto" w:sz="4" w:space="0"/>
              <w:bottom w:val="single" w:color="auto" w:sz="4" w:space="0"/>
              <w:right w:val="single" w:color="auto" w:sz="4" w:space="0"/>
            </w:tcBorders>
          </w:tcPr>
          <w:p w:rsidRPr="00B435D2" w:rsidR="00EA482D" w:rsidP="007A5E89" w:rsidRDefault="00EA482D" w14:paraId="5E623E00" w14:textId="77777777">
            <w:pPr>
              <w:numPr>
                <w:ilvl w:val="12"/>
                <w:numId w:val="0"/>
              </w:numPr>
              <w:jc w:val="right"/>
              <w:rPr>
                <w:sz w:val="20"/>
                <w:szCs w:val="20"/>
              </w:rPr>
            </w:pPr>
            <w:r w:rsidRPr="00B435D2">
              <w:rPr>
                <w:sz w:val="20"/>
                <w:szCs w:val="20"/>
              </w:rPr>
              <w:t>10,498</w:t>
            </w:r>
          </w:p>
          <w:p w:rsidRPr="00B435D2" w:rsidR="00EA482D" w:rsidP="007A5E89" w:rsidRDefault="00EA482D" w14:paraId="79F16F92" w14:textId="77777777">
            <w:pPr>
              <w:numPr>
                <w:ilvl w:val="12"/>
                <w:numId w:val="0"/>
              </w:numPr>
              <w:jc w:val="center"/>
              <w:rPr>
                <w:sz w:val="20"/>
                <w:szCs w:val="20"/>
              </w:rPr>
            </w:pPr>
          </w:p>
        </w:tc>
      </w:tr>
    </w:tbl>
    <w:p w:rsidR="00FA30BF" w:rsidP="007A5E89" w:rsidRDefault="00EA482D" w14:paraId="724664B8" w14:textId="35D5B029">
      <w:pPr>
        <w:spacing w:after="200"/>
        <w:rPr>
          <w:rFonts w:eastAsia="Calibri"/>
        </w:rPr>
      </w:pPr>
      <w:r w:rsidRPr="00B435D2">
        <w:rPr>
          <w:sz w:val="20"/>
          <w:szCs w:val="20"/>
          <w:vertAlign w:val="superscript"/>
        </w:rPr>
        <w:t>1</w:t>
      </w:r>
      <w:r w:rsidR="005D3DCE">
        <w:rPr>
          <w:sz w:val="20"/>
          <w:szCs w:val="20"/>
          <w:vertAlign w:val="superscript"/>
        </w:rPr>
        <w:t xml:space="preserve"> </w:t>
      </w:r>
      <w:r w:rsidRPr="00B435D2">
        <w:rPr>
          <w:sz w:val="20"/>
          <w:szCs w:val="20"/>
        </w:rPr>
        <w:t>There are no capital costs or operating and maintenance costs associated with this collection of information.</w:t>
      </w:r>
    </w:p>
    <w:p w:rsidR="00A21D29" w:rsidP="007A5E89" w:rsidRDefault="00352C23" w14:paraId="3A94F057" w14:textId="0A7034D9">
      <w:pPr>
        <w:spacing w:before="100" w:beforeAutospacing="1" w:after="100" w:afterAutospacing="1"/>
        <w:rPr>
          <w:rFonts w:eastAsia="Calibri"/>
          <w:color w:val="FF0000"/>
        </w:rPr>
      </w:pPr>
      <w:r>
        <w:rPr>
          <w:rFonts w:eastAsia="Calibri"/>
        </w:rPr>
        <w:t xml:space="preserve">Although </w:t>
      </w:r>
      <w:r>
        <w:t>r</w:t>
      </w:r>
      <w:r w:rsidR="00B62AC1">
        <w:t>espondents to th</w:t>
      </w:r>
      <w:r>
        <w:t xml:space="preserve">e </w:t>
      </w:r>
      <w:r w:rsidR="00B62AC1">
        <w:t xml:space="preserve">collection of information </w:t>
      </w:r>
      <w:r>
        <w:rPr>
          <w:color w:val="000000"/>
        </w:rPr>
        <w:t xml:space="preserve">are private individuals, they </w:t>
      </w:r>
      <w:r w:rsidR="000B2285">
        <w:rPr>
          <w:color w:val="000000"/>
        </w:rPr>
        <w:t>will include</w:t>
      </w:r>
      <w:r w:rsidR="00B62AC1">
        <w:rPr>
          <w:color w:val="000000"/>
        </w:rPr>
        <w:t xml:space="preserve"> a wide range of consumers and other FDA stakeholders</w:t>
      </w:r>
      <w:r w:rsidR="002C52E7">
        <w:rPr>
          <w:color w:val="000000"/>
        </w:rPr>
        <w:t xml:space="preserve">, </w:t>
      </w:r>
      <w:r w:rsidR="00FC0ED3">
        <w:rPr>
          <w:color w:val="000000"/>
        </w:rPr>
        <w:t xml:space="preserve">potentially </w:t>
      </w:r>
      <w:r w:rsidR="002C52E7">
        <w:rPr>
          <w:color w:val="000000"/>
        </w:rPr>
        <w:t>including</w:t>
      </w:r>
      <w:r w:rsidR="00B62AC1">
        <w:rPr>
          <w:color w:val="000000"/>
        </w:rPr>
        <w:t xml:space="preserve"> producers and manufacturers of FDA-regulated</w:t>
      </w:r>
      <w:r w:rsidR="00B62AC1">
        <w:t xml:space="preserve"> products. </w:t>
      </w:r>
    </w:p>
    <w:p w:rsidR="00830FDC" w:rsidP="007A5E89" w:rsidRDefault="00A21D29" w14:paraId="6F555EFD" w14:textId="77777777">
      <w:pPr>
        <w:spacing w:before="100" w:beforeAutospacing="1" w:after="100" w:afterAutospacing="1"/>
        <w:rPr>
          <w:rFonts w:eastAsia="Calibri"/>
          <w:color w:val="FF0000"/>
        </w:rPr>
      </w:pPr>
      <w:r>
        <w:rPr>
          <w:rFonts w:eastAsia="Calibri"/>
          <w:color w:val="FF0000"/>
        </w:rPr>
        <w:tab/>
      </w:r>
    </w:p>
    <w:p w:rsidRPr="00B34071" w:rsidR="00E26998" w:rsidP="00B34071" w:rsidRDefault="00830FDC" w14:paraId="233E3525" w14:textId="1600B858">
      <w:pPr>
        <w:spacing w:before="100" w:beforeAutospacing="1" w:after="100" w:afterAutospacing="1"/>
        <w:rPr>
          <w:rFonts w:eastAsia="Calibri"/>
          <w:color w:val="FF0000"/>
        </w:rPr>
      </w:pPr>
      <w:r>
        <w:rPr>
          <w:rFonts w:eastAsia="Calibri"/>
          <w:i/>
          <w:iCs/>
        </w:rPr>
        <w:lastRenderedPageBreak/>
        <w:tab/>
      </w:r>
      <w:r w:rsidRPr="00FF53BA" w:rsidR="00357C8A">
        <w:rPr>
          <w:rFonts w:eastAsia="Calibri"/>
          <w:i/>
          <w:iCs/>
        </w:rPr>
        <w:t>12b.  Annualized Cost Burden Estimate</w:t>
      </w:r>
    </w:p>
    <w:p w:rsidR="00AC5CE2" w:rsidP="007A5E89" w:rsidRDefault="00AC5CE2" w14:paraId="24898876" w14:textId="77777777">
      <w:pPr>
        <w:jc w:val="center"/>
      </w:pPr>
      <w:r>
        <w:t>Table 2.--</w:t>
      </w:r>
      <w:r w:rsidRPr="00AC5CE2">
        <w:t xml:space="preserve"> Estimate</w:t>
      </w:r>
      <w:r>
        <w:t>d</w:t>
      </w:r>
      <w:r w:rsidRPr="00AC5CE2">
        <w:t xml:space="preserve"> </w:t>
      </w:r>
      <w:r>
        <w:t xml:space="preserve">Annual Cost 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57"/>
        <w:gridCol w:w="1607"/>
        <w:gridCol w:w="2005"/>
        <w:gridCol w:w="2657"/>
      </w:tblGrid>
      <w:tr w:rsidRPr="00B435D2" w:rsidR="00E26998" w:rsidTr="0011526C" w14:paraId="04DBC0E7" w14:textId="77777777">
        <w:trPr>
          <w:trHeight w:val="499"/>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4B44DD4D" w14:textId="77777777">
            <w:pPr>
              <w:rPr>
                <w:b/>
                <w:sz w:val="20"/>
                <w:szCs w:val="20"/>
              </w:rPr>
            </w:pPr>
            <w:r w:rsidRPr="00B435D2">
              <w:rPr>
                <w:b/>
                <w:sz w:val="20"/>
                <w:szCs w:val="20"/>
              </w:rPr>
              <w:t>Survey Type</w:t>
            </w:r>
          </w:p>
        </w:tc>
        <w:tc>
          <w:tcPr>
            <w:tcW w:w="1607" w:type="dxa"/>
            <w:tcBorders>
              <w:top w:val="single" w:color="auto" w:sz="4" w:space="0"/>
              <w:left w:val="single" w:color="auto" w:sz="4" w:space="0"/>
              <w:bottom w:val="single" w:color="auto" w:sz="4" w:space="0"/>
              <w:right w:val="single" w:color="auto" w:sz="4" w:space="0"/>
            </w:tcBorders>
            <w:vAlign w:val="center"/>
            <w:hideMark/>
          </w:tcPr>
          <w:p w:rsidRPr="00B435D2" w:rsidR="00E26998" w:rsidP="007A5E89" w:rsidRDefault="00E26998" w14:paraId="2BEAA2EC" w14:textId="77777777">
            <w:pPr>
              <w:jc w:val="center"/>
              <w:rPr>
                <w:b/>
                <w:sz w:val="20"/>
                <w:szCs w:val="20"/>
              </w:rPr>
            </w:pPr>
            <w:r w:rsidRPr="00B435D2">
              <w:rPr>
                <w:b/>
                <w:sz w:val="20"/>
                <w:szCs w:val="20"/>
              </w:rPr>
              <w:t>Total Burden Hours</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63790A4E" w14:textId="77777777">
            <w:pPr>
              <w:jc w:val="center"/>
              <w:rPr>
                <w:b/>
                <w:sz w:val="20"/>
                <w:szCs w:val="20"/>
              </w:rPr>
            </w:pPr>
            <w:r w:rsidRPr="00B435D2">
              <w:rPr>
                <w:b/>
                <w:sz w:val="20"/>
                <w:szCs w:val="20"/>
              </w:rPr>
              <w:t>Average Rate</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358D329F" w14:textId="77777777">
            <w:pPr>
              <w:jc w:val="center"/>
              <w:rPr>
                <w:b/>
                <w:sz w:val="20"/>
                <w:szCs w:val="20"/>
              </w:rPr>
            </w:pPr>
            <w:r w:rsidRPr="00B435D2">
              <w:rPr>
                <w:b/>
                <w:sz w:val="20"/>
                <w:szCs w:val="20"/>
              </w:rPr>
              <w:t>Total Respondent Cost</w:t>
            </w:r>
          </w:p>
        </w:tc>
      </w:tr>
      <w:tr w:rsidRPr="00B435D2" w:rsidR="00E26998" w:rsidTr="00B435D2" w14:paraId="1F6749B5" w14:textId="77777777">
        <w:trPr>
          <w:trHeight w:val="296"/>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7D8407CD" w14:textId="77777777">
            <w:pPr>
              <w:rPr>
                <w:sz w:val="20"/>
                <w:szCs w:val="20"/>
              </w:rPr>
            </w:pPr>
            <w:r w:rsidRPr="00B435D2">
              <w:rPr>
                <w:sz w:val="20"/>
                <w:szCs w:val="20"/>
              </w:rPr>
              <w:t>Cognitive Interview Screener</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4D2C31EB" w14:textId="77777777">
            <w:pPr>
              <w:jc w:val="center"/>
              <w:rPr>
                <w:sz w:val="20"/>
                <w:szCs w:val="20"/>
              </w:rPr>
            </w:pPr>
            <w:r w:rsidRPr="00B435D2">
              <w:rPr>
                <w:sz w:val="20"/>
                <w:szCs w:val="20"/>
              </w:rPr>
              <w:t>60</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3383D452"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6375205C" w14:textId="77777777">
            <w:pPr>
              <w:jc w:val="right"/>
              <w:rPr>
                <w:sz w:val="20"/>
                <w:szCs w:val="20"/>
              </w:rPr>
            </w:pPr>
            <w:r w:rsidRPr="00B435D2">
              <w:rPr>
                <w:sz w:val="20"/>
                <w:szCs w:val="20"/>
              </w:rPr>
              <w:t xml:space="preserve">    $1,</w:t>
            </w:r>
            <w:r w:rsidRPr="00B435D2" w:rsidR="00EE0C03">
              <w:rPr>
                <w:sz w:val="20"/>
                <w:szCs w:val="20"/>
              </w:rPr>
              <w:t>624</w:t>
            </w:r>
            <w:r w:rsidRPr="00B435D2">
              <w:rPr>
                <w:sz w:val="20"/>
                <w:szCs w:val="20"/>
              </w:rPr>
              <w:t>.</w:t>
            </w:r>
            <w:r w:rsidRPr="00B435D2" w:rsidR="00EE0C03">
              <w:rPr>
                <w:sz w:val="20"/>
                <w:szCs w:val="20"/>
              </w:rPr>
              <w:t>2</w:t>
            </w:r>
            <w:r w:rsidRPr="00B435D2">
              <w:rPr>
                <w:sz w:val="20"/>
                <w:szCs w:val="20"/>
              </w:rPr>
              <w:t>0</w:t>
            </w:r>
          </w:p>
        </w:tc>
      </w:tr>
      <w:tr w:rsidRPr="00B435D2" w:rsidR="00E26998" w:rsidTr="00B435D2" w14:paraId="523EE7FC" w14:textId="77777777">
        <w:trPr>
          <w:trHeight w:val="260"/>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88367E3" w14:textId="77777777">
            <w:pPr>
              <w:rPr>
                <w:sz w:val="20"/>
                <w:szCs w:val="20"/>
              </w:rPr>
            </w:pPr>
            <w:r w:rsidRPr="00B435D2">
              <w:rPr>
                <w:sz w:val="20"/>
                <w:szCs w:val="20"/>
              </w:rPr>
              <w:t>Cognitive Interviews</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44356614" w14:textId="77777777">
            <w:pPr>
              <w:jc w:val="center"/>
              <w:rPr>
                <w:sz w:val="20"/>
                <w:szCs w:val="20"/>
              </w:rPr>
            </w:pPr>
            <w:r w:rsidRPr="00B435D2">
              <w:rPr>
                <w:sz w:val="20"/>
                <w:szCs w:val="20"/>
              </w:rPr>
              <w:t>144</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4F99D559"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B9A8721" w14:textId="77777777">
            <w:pPr>
              <w:jc w:val="right"/>
              <w:rPr>
                <w:sz w:val="20"/>
                <w:szCs w:val="20"/>
              </w:rPr>
            </w:pPr>
            <w:r w:rsidRPr="00B435D2">
              <w:rPr>
                <w:sz w:val="20"/>
                <w:szCs w:val="20"/>
              </w:rPr>
              <w:t xml:space="preserve">    $3</w:t>
            </w:r>
            <w:r w:rsidRPr="00B435D2" w:rsidR="00EE0C03">
              <w:rPr>
                <w:sz w:val="20"/>
                <w:szCs w:val="20"/>
              </w:rPr>
              <w:t>,898</w:t>
            </w:r>
            <w:r w:rsidRPr="00B435D2">
              <w:rPr>
                <w:sz w:val="20"/>
                <w:szCs w:val="20"/>
              </w:rPr>
              <w:t>.</w:t>
            </w:r>
            <w:r w:rsidRPr="00B435D2" w:rsidR="00EE0C03">
              <w:rPr>
                <w:sz w:val="20"/>
                <w:szCs w:val="20"/>
              </w:rPr>
              <w:t>08</w:t>
            </w:r>
          </w:p>
        </w:tc>
      </w:tr>
      <w:tr w:rsidRPr="00B435D2" w:rsidR="00E26998" w:rsidTr="007E19AA" w14:paraId="42DE60D8" w14:textId="77777777">
        <w:trPr>
          <w:trHeight w:val="260"/>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2569712" w14:textId="77777777">
            <w:pPr>
              <w:rPr>
                <w:sz w:val="20"/>
                <w:szCs w:val="20"/>
              </w:rPr>
            </w:pPr>
            <w:r w:rsidRPr="00B435D2">
              <w:rPr>
                <w:sz w:val="20"/>
                <w:szCs w:val="20"/>
              </w:rPr>
              <w:t>Pre-test Study Screener</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EEE764A" w14:textId="77777777">
            <w:pPr>
              <w:jc w:val="center"/>
              <w:rPr>
                <w:sz w:val="20"/>
                <w:szCs w:val="20"/>
              </w:rPr>
            </w:pPr>
            <w:r w:rsidRPr="00B435D2">
              <w:rPr>
                <w:sz w:val="20"/>
                <w:szCs w:val="20"/>
              </w:rPr>
              <w:t>199</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7D3CCC2C"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2071A547" w14:textId="77777777">
            <w:pPr>
              <w:jc w:val="right"/>
              <w:rPr>
                <w:sz w:val="20"/>
                <w:szCs w:val="20"/>
              </w:rPr>
            </w:pPr>
            <w:r w:rsidRPr="00B435D2">
              <w:rPr>
                <w:sz w:val="20"/>
                <w:szCs w:val="20"/>
              </w:rPr>
              <w:t xml:space="preserve">    $</w:t>
            </w:r>
            <w:r w:rsidRPr="00B435D2" w:rsidR="00EE0C03">
              <w:rPr>
                <w:sz w:val="20"/>
                <w:szCs w:val="20"/>
              </w:rPr>
              <w:t>5</w:t>
            </w:r>
            <w:r w:rsidRPr="00B435D2">
              <w:rPr>
                <w:sz w:val="20"/>
                <w:szCs w:val="20"/>
              </w:rPr>
              <w:t>,</w:t>
            </w:r>
            <w:r w:rsidRPr="00B435D2" w:rsidR="00EE0C03">
              <w:rPr>
                <w:sz w:val="20"/>
                <w:szCs w:val="20"/>
              </w:rPr>
              <w:t>386</w:t>
            </w:r>
            <w:r w:rsidRPr="00B435D2">
              <w:rPr>
                <w:sz w:val="20"/>
                <w:szCs w:val="20"/>
              </w:rPr>
              <w:t>.</w:t>
            </w:r>
            <w:r w:rsidRPr="00B435D2" w:rsidR="00EE0C03">
              <w:rPr>
                <w:sz w:val="20"/>
                <w:szCs w:val="20"/>
              </w:rPr>
              <w:t>93</w:t>
            </w:r>
          </w:p>
        </w:tc>
      </w:tr>
      <w:tr w:rsidRPr="00B435D2" w:rsidR="00E26998" w:rsidTr="00B435D2" w14:paraId="69235095" w14:textId="77777777">
        <w:trPr>
          <w:trHeight w:val="260"/>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68362651" w14:textId="77777777">
            <w:pPr>
              <w:rPr>
                <w:sz w:val="20"/>
                <w:szCs w:val="20"/>
              </w:rPr>
            </w:pPr>
            <w:r w:rsidRPr="00B435D2">
              <w:rPr>
                <w:sz w:val="20"/>
                <w:szCs w:val="20"/>
              </w:rPr>
              <w:t>Pre-</w:t>
            </w:r>
            <w:r w:rsidR="00AC5CE2">
              <w:rPr>
                <w:sz w:val="20"/>
                <w:szCs w:val="20"/>
              </w:rPr>
              <w:t>T</w:t>
            </w:r>
            <w:r w:rsidRPr="00B435D2">
              <w:rPr>
                <w:sz w:val="20"/>
                <w:szCs w:val="20"/>
              </w:rPr>
              <w:t xml:space="preserve">est </w:t>
            </w:r>
            <w:r w:rsidR="00AC5CE2">
              <w:rPr>
                <w:sz w:val="20"/>
                <w:szCs w:val="20"/>
              </w:rPr>
              <w:t>S</w:t>
            </w:r>
            <w:r w:rsidRPr="00B435D2">
              <w:rPr>
                <w:sz w:val="20"/>
                <w:szCs w:val="20"/>
              </w:rPr>
              <w:t>tudy</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0068E831" w14:textId="77777777">
            <w:pPr>
              <w:jc w:val="center"/>
              <w:rPr>
                <w:sz w:val="20"/>
                <w:szCs w:val="20"/>
              </w:rPr>
            </w:pPr>
            <w:r w:rsidRPr="00B435D2">
              <w:rPr>
                <w:sz w:val="20"/>
                <w:szCs w:val="20"/>
              </w:rPr>
              <w:t>120</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3A04F74"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48150310" w14:textId="77777777">
            <w:pPr>
              <w:jc w:val="right"/>
              <w:rPr>
                <w:sz w:val="20"/>
                <w:szCs w:val="20"/>
              </w:rPr>
            </w:pPr>
            <w:r w:rsidRPr="00B435D2">
              <w:rPr>
                <w:sz w:val="20"/>
                <w:szCs w:val="20"/>
              </w:rPr>
              <w:t xml:space="preserve">    $</w:t>
            </w:r>
            <w:r w:rsidRPr="00B435D2" w:rsidR="00EE0C03">
              <w:rPr>
                <w:sz w:val="20"/>
                <w:szCs w:val="20"/>
              </w:rPr>
              <w:t>3</w:t>
            </w:r>
            <w:r w:rsidRPr="00B435D2">
              <w:rPr>
                <w:sz w:val="20"/>
                <w:szCs w:val="20"/>
              </w:rPr>
              <w:t>,</w:t>
            </w:r>
            <w:r w:rsidRPr="00B435D2" w:rsidR="00EE0C03">
              <w:rPr>
                <w:sz w:val="20"/>
                <w:szCs w:val="20"/>
              </w:rPr>
              <w:t>248</w:t>
            </w:r>
            <w:r w:rsidRPr="00B435D2">
              <w:rPr>
                <w:sz w:val="20"/>
                <w:szCs w:val="20"/>
              </w:rPr>
              <w:t>.</w:t>
            </w:r>
            <w:r w:rsidRPr="00B435D2" w:rsidR="00EE0C03">
              <w:rPr>
                <w:sz w:val="20"/>
                <w:szCs w:val="20"/>
              </w:rPr>
              <w:t>4</w:t>
            </w:r>
            <w:r w:rsidRPr="00B435D2">
              <w:rPr>
                <w:sz w:val="20"/>
                <w:szCs w:val="20"/>
              </w:rPr>
              <w:t>0</w:t>
            </w:r>
          </w:p>
        </w:tc>
      </w:tr>
      <w:tr w:rsidRPr="00B435D2" w:rsidR="00E26998" w:rsidTr="00B435D2" w14:paraId="0ADF8610" w14:textId="77777777">
        <w:trPr>
          <w:trHeight w:val="710"/>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0AD740D2" w14:textId="77777777">
            <w:pPr>
              <w:rPr>
                <w:sz w:val="20"/>
                <w:szCs w:val="20"/>
              </w:rPr>
            </w:pPr>
            <w:r w:rsidRPr="00B435D2">
              <w:rPr>
                <w:sz w:val="20"/>
                <w:szCs w:val="20"/>
              </w:rPr>
              <w:t>Self-</w:t>
            </w:r>
            <w:r w:rsidR="00AC5CE2">
              <w:rPr>
                <w:sz w:val="20"/>
                <w:szCs w:val="20"/>
              </w:rPr>
              <w:t>A</w:t>
            </w:r>
            <w:r w:rsidRPr="00B435D2">
              <w:rPr>
                <w:sz w:val="20"/>
                <w:szCs w:val="20"/>
              </w:rPr>
              <w:t xml:space="preserve">dministered </w:t>
            </w:r>
            <w:r w:rsidR="00AC5CE2">
              <w:rPr>
                <w:sz w:val="20"/>
                <w:szCs w:val="20"/>
              </w:rPr>
              <w:t>S</w:t>
            </w:r>
            <w:r w:rsidRPr="00B435D2">
              <w:rPr>
                <w:sz w:val="20"/>
                <w:szCs w:val="20"/>
              </w:rPr>
              <w:t>urveys/</w:t>
            </w:r>
            <w:r w:rsidR="00AC5CE2">
              <w:rPr>
                <w:sz w:val="20"/>
                <w:szCs w:val="20"/>
              </w:rPr>
              <w:t>E</w:t>
            </w:r>
            <w:r w:rsidRPr="00B435D2">
              <w:rPr>
                <w:sz w:val="20"/>
                <w:szCs w:val="20"/>
              </w:rPr>
              <w:t>xperimental Studies Screener</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7EDE5FD9" w14:textId="77777777">
            <w:pPr>
              <w:jc w:val="center"/>
              <w:rPr>
                <w:sz w:val="20"/>
                <w:szCs w:val="20"/>
              </w:rPr>
            </w:pPr>
            <w:r w:rsidRPr="00B435D2">
              <w:rPr>
                <w:sz w:val="20"/>
                <w:szCs w:val="20"/>
              </w:rPr>
              <w:t>6,225</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34100470"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65871939" w14:textId="77777777">
            <w:pPr>
              <w:jc w:val="right"/>
              <w:rPr>
                <w:sz w:val="20"/>
                <w:szCs w:val="20"/>
              </w:rPr>
            </w:pPr>
            <w:r w:rsidRPr="00B435D2">
              <w:rPr>
                <w:sz w:val="20"/>
                <w:szCs w:val="20"/>
              </w:rPr>
              <w:t>$1</w:t>
            </w:r>
            <w:r w:rsidRPr="00B435D2" w:rsidR="00EE0C03">
              <w:rPr>
                <w:sz w:val="20"/>
                <w:szCs w:val="20"/>
              </w:rPr>
              <w:t>68</w:t>
            </w:r>
            <w:r w:rsidRPr="00B435D2">
              <w:rPr>
                <w:sz w:val="20"/>
                <w:szCs w:val="20"/>
              </w:rPr>
              <w:t>,</w:t>
            </w:r>
            <w:r w:rsidRPr="00B435D2" w:rsidR="00EE0C03">
              <w:rPr>
                <w:sz w:val="20"/>
                <w:szCs w:val="20"/>
              </w:rPr>
              <w:t>510</w:t>
            </w:r>
            <w:r w:rsidRPr="00B435D2">
              <w:rPr>
                <w:sz w:val="20"/>
                <w:szCs w:val="20"/>
              </w:rPr>
              <w:t>.</w:t>
            </w:r>
            <w:r w:rsidRPr="00B435D2" w:rsidR="00EE0C03">
              <w:rPr>
                <w:sz w:val="20"/>
                <w:szCs w:val="20"/>
              </w:rPr>
              <w:t>75</w:t>
            </w:r>
          </w:p>
        </w:tc>
      </w:tr>
      <w:tr w:rsidRPr="00B435D2" w:rsidR="00E26998" w:rsidTr="00B435D2" w14:paraId="6F5FF0FD" w14:textId="77777777">
        <w:trPr>
          <w:trHeight w:val="530"/>
        </w:trPr>
        <w:tc>
          <w:tcPr>
            <w:tcW w:w="28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3C26CBEF" w14:textId="77777777">
            <w:pPr>
              <w:rPr>
                <w:sz w:val="20"/>
                <w:szCs w:val="20"/>
              </w:rPr>
            </w:pPr>
            <w:r w:rsidRPr="00B435D2">
              <w:rPr>
                <w:sz w:val="20"/>
                <w:szCs w:val="20"/>
              </w:rPr>
              <w:t>Self-Administered Surveys/Experimental Studies</w:t>
            </w:r>
          </w:p>
        </w:tc>
        <w:tc>
          <w:tcPr>
            <w:tcW w:w="160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376A6B8A" w14:textId="77777777">
            <w:pPr>
              <w:jc w:val="center"/>
              <w:rPr>
                <w:sz w:val="20"/>
                <w:szCs w:val="20"/>
              </w:rPr>
            </w:pPr>
            <w:r w:rsidRPr="00B435D2">
              <w:rPr>
                <w:sz w:val="20"/>
                <w:szCs w:val="20"/>
              </w:rPr>
              <w:t>3,750</w:t>
            </w:r>
          </w:p>
        </w:tc>
        <w:tc>
          <w:tcPr>
            <w:tcW w:w="2005"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08AC4D33" w14:textId="77777777">
            <w:pPr>
              <w:jc w:val="center"/>
              <w:rPr>
                <w:sz w:val="20"/>
                <w:szCs w:val="20"/>
              </w:rPr>
            </w:pPr>
            <w:r w:rsidRPr="00B435D2">
              <w:rPr>
                <w:sz w:val="20"/>
                <w:szCs w:val="20"/>
              </w:rPr>
              <w:t>$2</w:t>
            </w:r>
            <w:r w:rsidRPr="00B435D2" w:rsidR="00EE0C03">
              <w:rPr>
                <w:sz w:val="20"/>
                <w:szCs w:val="20"/>
              </w:rPr>
              <w:t>7</w:t>
            </w:r>
            <w:r w:rsidRPr="00B435D2">
              <w:rPr>
                <w:sz w:val="20"/>
                <w:szCs w:val="20"/>
              </w:rPr>
              <w:t>.</w:t>
            </w:r>
            <w:r w:rsidRPr="00B435D2" w:rsidR="00EE0C03">
              <w:rPr>
                <w:sz w:val="20"/>
                <w:szCs w:val="20"/>
              </w:rPr>
              <w:t>07</w:t>
            </w:r>
          </w:p>
        </w:tc>
        <w:tc>
          <w:tcPr>
            <w:tcW w:w="2657" w:type="dxa"/>
            <w:tcBorders>
              <w:top w:val="single" w:color="auto" w:sz="4" w:space="0"/>
              <w:left w:val="single" w:color="auto" w:sz="4" w:space="0"/>
              <w:bottom w:val="single" w:color="auto" w:sz="4" w:space="0"/>
              <w:right w:val="single" w:color="auto" w:sz="4" w:space="0"/>
            </w:tcBorders>
            <w:hideMark/>
          </w:tcPr>
          <w:p w:rsidRPr="00B435D2" w:rsidR="00E26998" w:rsidP="007A5E89" w:rsidRDefault="00E26998" w14:paraId="551A5C9E" w14:textId="77777777">
            <w:pPr>
              <w:jc w:val="right"/>
              <w:rPr>
                <w:sz w:val="20"/>
                <w:szCs w:val="20"/>
              </w:rPr>
            </w:pPr>
            <w:r w:rsidRPr="00B435D2">
              <w:rPr>
                <w:sz w:val="20"/>
                <w:szCs w:val="20"/>
              </w:rPr>
              <w:t xml:space="preserve"> $</w:t>
            </w:r>
            <w:r w:rsidRPr="00B435D2" w:rsidR="00EE0C03">
              <w:rPr>
                <w:sz w:val="20"/>
                <w:szCs w:val="20"/>
              </w:rPr>
              <w:t>101</w:t>
            </w:r>
            <w:r w:rsidRPr="00B435D2">
              <w:rPr>
                <w:sz w:val="20"/>
                <w:szCs w:val="20"/>
              </w:rPr>
              <w:t>,</w:t>
            </w:r>
            <w:r w:rsidRPr="00B435D2" w:rsidR="00EE0C03">
              <w:rPr>
                <w:sz w:val="20"/>
                <w:szCs w:val="20"/>
              </w:rPr>
              <w:t>512</w:t>
            </w:r>
            <w:r w:rsidRPr="00B435D2">
              <w:rPr>
                <w:sz w:val="20"/>
                <w:szCs w:val="20"/>
              </w:rPr>
              <w:t>.</w:t>
            </w:r>
            <w:r w:rsidRPr="00B435D2" w:rsidR="00EE0C03">
              <w:rPr>
                <w:sz w:val="20"/>
                <w:szCs w:val="20"/>
              </w:rPr>
              <w:t>5</w:t>
            </w:r>
            <w:r w:rsidRPr="00B435D2">
              <w:rPr>
                <w:sz w:val="20"/>
                <w:szCs w:val="20"/>
              </w:rPr>
              <w:t>0</w:t>
            </w:r>
          </w:p>
        </w:tc>
      </w:tr>
      <w:tr w:rsidRPr="00B435D2" w:rsidR="004D5293" w:rsidTr="003C385D" w14:paraId="6D6A3DB5" w14:textId="77777777">
        <w:trPr>
          <w:trHeight w:val="54"/>
        </w:trPr>
        <w:tc>
          <w:tcPr>
            <w:tcW w:w="6469" w:type="dxa"/>
            <w:gridSpan w:val="3"/>
            <w:tcBorders>
              <w:top w:val="single" w:color="auto" w:sz="4" w:space="0"/>
              <w:left w:val="single" w:color="auto" w:sz="4" w:space="0"/>
              <w:bottom w:val="single" w:color="auto" w:sz="4" w:space="0"/>
              <w:right w:val="single" w:color="auto" w:sz="4" w:space="0"/>
            </w:tcBorders>
          </w:tcPr>
          <w:p w:rsidRPr="00B435D2" w:rsidR="004D5293" w:rsidP="007A5E89" w:rsidRDefault="004D5293" w14:paraId="4EAD00B6" w14:textId="77777777">
            <w:pPr>
              <w:rPr>
                <w:sz w:val="20"/>
                <w:szCs w:val="20"/>
              </w:rPr>
            </w:pPr>
            <w:r w:rsidRPr="00B435D2">
              <w:rPr>
                <w:sz w:val="20"/>
                <w:szCs w:val="20"/>
              </w:rPr>
              <w:t>Total</w:t>
            </w:r>
          </w:p>
        </w:tc>
        <w:tc>
          <w:tcPr>
            <w:tcW w:w="2657" w:type="dxa"/>
            <w:tcBorders>
              <w:top w:val="single" w:color="auto" w:sz="4" w:space="0"/>
              <w:left w:val="single" w:color="auto" w:sz="4" w:space="0"/>
              <w:bottom w:val="single" w:color="auto" w:sz="4" w:space="0"/>
              <w:right w:val="single" w:color="auto" w:sz="4" w:space="0"/>
            </w:tcBorders>
          </w:tcPr>
          <w:p w:rsidRPr="00B435D2" w:rsidR="004D5293" w:rsidP="007A5E89" w:rsidRDefault="004D5293" w14:paraId="5E01280C" w14:textId="77777777">
            <w:pPr>
              <w:jc w:val="right"/>
              <w:rPr>
                <w:sz w:val="20"/>
                <w:szCs w:val="20"/>
              </w:rPr>
            </w:pPr>
            <w:r w:rsidRPr="00B435D2">
              <w:rPr>
                <w:sz w:val="20"/>
                <w:szCs w:val="20"/>
              </w:rPr>
              <w:t>$284,180.86</w:t>
            </w:r>
          </w:p>
        </w:tc>
      </w:tr>
    </w:tbl>
    <w:p w:rsidR="00B34071" w:rsidP="007A5E89" w:rsidRDefault="00B34071" w14:paraId="30526A88" w14:textId="77777777"/>
    <w:p w:rsidR="00357C8A" w:rsidP="007A5E89" w:rsidRDefault="00B34071" w14:paraId="1FCE316E" w14:textId="4B147046">
      <w:r>
        <w:t>As respondents to the information collection are private individuals from among a range of categories, we assume wage rates attributable to those across “</w:t>
      </w:r>
      <w:r w:rsidRPr="00016713">
        <w:rPr>
          <w:i/>
          <w:iCs/>
        </w:rPr>
        <w:t>all occupations</w:t>
      </w:r>
      <w:r>
        <w:t>” and multiply that figure by the annualized number of burden hours.  [$27.07</w:t>
      </w:r>
      <w:r>
        <w:rPr>
          <w:vertAlign w:val="superscript"/>
        </w:rPr>
        <w:footnoteReference w:id="3"/>
      </w:r>
      <w:r>
        <w:t xml:space="preserve"> x 10,498 hours = $284,180.86</w:t>
      </w:r>
      <w:r w:rsidR="00F36C5C">
        <w:t>.</w:t>
      </w:r>
      <w:r>
        <w:t xml:space="preserve">]  The number of participants and </w:t>
      </w:r>
      <w:r w:rsidR="00016713">
        <w:t xml:space="preserve">time needed for </w:t>
      </w:r>
      <w:r>
        <w:t>response was based on our prior experience with communications testing and an estimate of the communication needs of CFSAN.  The actual numbers will vary depending upon the topic of interest.</w:t>
      </w:r>
    </w:p>
    <w:p w:rsidRPr="00357C8A" w:rsidR="00B34071" w:rsidP="007A5E89" w:rsidRDefault="00B34071" w14:paraId="399CF9C6" w14:textId="77777777">
      <w:pPr>
        <w:rPr>
          <w:rFonts w:eastAsia="Calibri"/>
        </w:rPr>
      </w:pPr>
    </w:p>
    <w:p w:rsidRPr="00357C8A" w:rsidR="00357C8A" w:rsidP="007A5E89" w:rsidRDefault="00357C8A" w14:paraId="444B195C"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7A5E89" w:rsidRDefault="00C275C3" w14:paraId="1018B471" w14:textId="77777777">
      <w:pPr>
        <w:spacing w:after="200" w:line="276" w:lineRule="auto"/>
        <w:rPr>
          <w:rFonts w:eastAsia="Calibri"/>
          <w:u w:val="single"/>
        </w:rPr>
      </w:pPr>
      <w:r w:rsidRPr="00C275C3">
        <w:rPr>
          <w:rFonts w:eastAsia="Calibri"/>
        </w:rPr>
        <w:t>There are no capital, start-up, operating, or maintenance costs associated with this information collection.</w:t>
      </w:r>
    </w:p>
    <w:p w:rsidRPr="00357C8A" w:rsidR="00357C8A" w:rsidP="007A5E89" w:rsidRDefault="00357C8A" w14:paraId="1ECF1A9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C275C3" w:rsidR="00C275C3" w:rsidP="007A5E89" w:rsidRDefault="00C275C3" w14:paraId="0A3C980F" w14:textId="61762516">
      <w:pPr>
        <w:spacing w:after="200"/>
        <w:rPr>
          <w:rFonts w:eastAsia="Calibri"/>
        </w:rPr>
      </w:pPr>
      <w:r w:rsidRPr="00C275C3">
        <w:rPr>
          <w:rFonts w:eastAsia="Calibri"/>
        </w:rPr>
        <w:t xml:space="preserve">Costs </w:t>
      </w:r>
      <w:r w:rsidR="00FD69AE">
        <w:rPr>
          <w:rFonts w:eastAsia="Calibri"/>
        </w:rPr>
        <w:t xml:space="preserve">to the Federal government </w:t>
      </w:r>
      <w:r w:rsidRPr="00C275C3">
        <w:rPr>
          <w:rFonts w:eastAsia="Calibri"/>
        </w:rPr>
        <w:t>include contractor expenses for designing and conducting information collection</w:t>
      </w:r>
      <w:r w:rsidR="00903B55">
        <w:rPr>
          <w:rFonts w:eastAsia="Calibri"/>
        </w:rPr>
        <w:t xml:space="preserve"> activities</w:t>
      </w:r>
      <w:r w:rsidRPr="00C275C3">
        <w:rPr>
          <w:rFonts w:eastAsia="Calibri"/>
        </w:rPr>
        <w:t xml:space="preserve">, specifically, drawing samples, training interviewers, collecting and analyzing information, and reporting findings.  Contractor expenses will vary from $40,000 to $110,000 depending on the size of the study.  </w:t>
      </w:r>
      <w:r w:rsidR="00903B55">
        <w:rPr>
          <w:rFonts w:eastAsia="Calibri"/>
        </w:rPr>
        <w:t>W</w:t>
      </w:r>
      <w:r w:rsidR="003B0213">
        <w:rPr>
          <w:rFonts w:eastAsia="Calibri"/>
        </w:rPr>
        <w:t xml:space="preserve">e </w:t>
      </w:r>
      <w:r w:rsidRPr="00C275C3">
        <w:rPr>
          <w:rFonts w:eastAsia="Calibri"/>
        </w:rPr>
        <w:t>anticipate</w:t>
      </w:r>
      <w:r w:rsidR="007B3F21">
        <w:rPr>
          <w:rFonts w:eastAsia="Calibri"/>
        </w:rPr>
        <w:t xml:space="preserve"> allocating</w:t>
      </w:r>
      <w:r w:rsidRPr="00C275C3">
        <w:rPr>
          <w:rFonts w:eastAsia="Calibri"/>
        </w:rPr>
        <w:t xml:space="preserve"> $900,000 in contractor expenses</w:t>
      </w:r>
      <w:r w:rsidR="00464C4E">
        <w:rPr>
          <w:rFonts w:eastAsia="Calibri"/>
        </w:rPr>
        <w:t xml:space="preserve"> </w:t>
      </w:r>
      <w:r w:rsidRPr="00C275C3">
        <w:rPr>
          <w:rFonts w:eastAsia="Calibri"/>
        </w:rPr>
        <w:t>to fund at least two large scale study and eight smaller scale studies</w:t>
      </w:r>
      <w:r w:rsidR="00B3733F">
        <w:rPr>
          <w:rFonts w:eastAsia="Calibri"/>
        </w:rPr>
        <w:t xml:space="preserve"> annually</w:t>
      </w:r>
      <w:r w:rsidRPr="00C275C3">
        <w:rPr>
          <w:rFonts w:eastAsia="Calibri"/>
        </w:rPr>
        <w:t>.</w:t>
      </w:r>
    </w:p>
    <w:p w:rsidR="00C275C3" w:rsidP="007A5E89" w:rsidRDefault="00C275C3" w14:paraId="51A23291" w14:textId="389D0C60">
      <w:pPr>
        <w:spacing w:after="200"/>
        <w:rPr>
          <w:rFonts w:eastAsia="Calibri"/>
        </w:rPr>
      </w:pPr>
      <w:r w:rsidRPr="00C275C3">
        <w:rPr>
          <w:rFonts w:eastAsia="Calibri"/>
        </w:rPr>
        <w:t>In addition,</w:t>
      </w:r>
      <w:r w:rsidR="00464C4E">
        <w:rPr>
          <w:rFonts w:eastAsia="Calibri"/>
        </w:rPr>
        <w:t xml:space="preserve"> </w:t>
      </w:r>
      <w:r w:rsidR="006B3BF9">
        <w:rPr>
          <w:rFonts w:eastAsia="Calibri"/>
        </w:rPr>
        <w:t xml:space="preserve">we assume </w:t>
      </w:r>
      <w:r w:rsidR="00464C4E">
        <w:rPr>
          <w:rFonts w:eastAsia="Calibri"/>
        </w:rPr>
        <w:t>administrative</w:t>
      </w:r>
      <w:r w:rsidRPr="00C275C3">
        <w:rPr>
          <w:rFonts w:eastAsia="Calibri"/>
        </w:rPr>
        <w:t xml:space="preserve"> costs for monitoring by</w:t>
      </w:r>
      <w:r w:rsidR="00C4611A">
        <w:rPr>
          <w:rFonts w:eastAsia="Calibri"/>
        </w:rPr>
        <w:t xml:space="preserve"> a</w:t>
      </w:r>
      <w:r w:rsidRPr="00C275C3">
        <w:rPr>
          <w:rFonts w:eastAsia="Calibri"/>
        </w:rPr>
        <w:t xml:space="preserve"> government Project Officer and Senior Analyst, </w:t>
      </w:r>
      <w:r w:rsidR="00C4611A">
        <w:rPr>
          <w:rFonts w:eastAsia="Calibri"/>
        </w:rPr>
        <w:t xml:space="preserve">or </w:t>
      </w:r>
      <w:r w:rsidR="00F04BC4">
        <w:rPr>
          <w:rFonts w:eastAsia="Calibri"/>
        </w:rPr>
        <w:t xml:space="preserve">approximately ¼ </w:t>
      </w:r>
      <w:r w:rsidRPr="00C275C3">
        <w:rPr>
          <w:rFonts w:eastAsia="Calibri"/>
        </w:rPr>
        <w:t xml:space="preserve">25 FTE’s per year (522 hours).  </w:t>
      </w:r>
      <w:r w:rsidR="00F04BC4">
        <w:rPr>
          <w:rFonts w:eastAsia="Calibri"/>
        </w:rPr>
        <w:t xml:space="preserve">Assuming </w:t>
      </w:r>
      <w:r w:rsidR="00363C17">
        <w:rPr>
          <w:rFonts w:eastAsia="Calibri"/>
        </w:rPr>
        <w:t xml:space="preserve">2022 </w:t>
      </w:r>
      <w:r w:rsidR="00F04BC4">
        <w:rPr>
          <w:rFonts w:eastAsia="Calibri"/>
        </w:rPr>
        <w:t xml:space="preserve">wage rates of a </w:t>
      </w:r>
      <w:r w:rsidRPr="00C275C3">
        <w:rPr>
          <w:rFonts w:eastAsia="Calibri"/>
        </w:rPr>
        <w:t>GS-13</w:t>
      </w:r>
      <w:r w:rsidR="00F04BC4">
        <w:rPr>
          <w:rFonts w:eastAsia="Calibri"/>
        </w:rPr>
        <w:t>/</w:t>
      </w:r>
      <w:r w:rsidRPr="00C275C3">
        <w:rPr>
          <w:rFonts w:eastAsia="Calibri"/>
        </w:rPr>
        <w:t>Step 1</w:t>
      </w:r>
      <w:r w:rsidR="00F04BC4">
        <w:rPr>
          <w:rFonts w:eastAsia="Calibri"/>
        </w:rPr>
        <w:t xml:space="preserve"> employee</w:t>
      </w:r>
      <w:r w:rsidRPr="00C275C3">
        <w:rPr>
          <w:rFonts w:eastAsia="Calibri"/>
        </w:rPr>
        <w:t xml:space="preserve"> </w:t>
      </w:r>
      <w:r w:rsidR="00D71D43">
        <w:rPr>
          <w:rFonts w:eastAsia="Calibri"/>
        </w:rPr>
        <w:t xml:space="preserve">in the Baltimore-Washington </w:t>
      </w:r>
      <w:r w:rsidR="00F04BC4">
        <w:rPr>
          <w:rFonts w:eastAsia="Calibri"/>
        </w:rPr>
        <w:t>ar</w:t>
      </w:r>
      <w:r w:rsidR="00F74038">
        <w:rPr>
          <w:rFonts w:eastAsia="Calibri"/>
        </w:rPr>
        <w:t>ea</w:t>
      </w:r>
      <w:r w:rsidR="00363C17">
        <w:rPr>
          <w:rFonts w:eastAsia="Calibri"/>
        </w:rPr>
        <w:t>,</w:t>
      </w:r>
      <w:r w:rsidRPr="00C275C3">
        <w:rPr>
          <w:rFonts w:eastAsia="Calibri"/>
        </w:rPr>
        <w:t xml:space="preserve"> </w:t>
      </w:r>
      <w:r w:rsidR="00FD1CAC">
        <w:rPr>
          <w:rFonts w:eastAsia="Calibri"/>
        </w:rPr>
        <w:t>(</w:t>
      </w:r>
      <w:r w:rsidRPr="00C275C3">
        <w:rPr>
          <w:rFonts w:eastAsia="Calibri"/>
        </w:rPr>
        <w:t>$</w:t>
      </w:r>
      <w:r w:rsidR="00FA66E5">
        <w:rPr>
          <w:rFonts w:eastAsia="Calibri"/>
        </w:rPr>
        <w:t>51</w:t>
      </w:r>
      <w:r w:rsidRPr="00C275C3">
        <w:rPr>
          <w:rFonts w:eastAsia="Calibri"/>
        </w:rPr>
        <w:t>.</w:t>
      </w:r>
      <w:r w:rsidR="00FA66E5">
        <w:rPr>
          <w:rFonts w:eastAsia="Calibri"/>
        </w:rPr>
        <w:t>18</w:t>
      </w:r>
      <w:r w:rsidRPr="00C275C3">
        <w:rPr>
          <w:rFonts w:eastAsia="Calibri"/>
        </w:rPr>
        <w:t xml:space="preserve"> per </w:t>
      </w:r>
      <w:r w:rsidRPr="00C275C3" w:rsidR="00D1784E">
        <w:rPr>
          <w:rFonts w:eastAsia="Calibri"/>
        </w:rPr>
        <w:t>hour</w:t>
      </w:r>
      <w:r w:rsidR="00FD1CAC">
        <w:rPr>
          <w:rFonts w:eastAsia="Calibri"/>
        </w:rPr>
        <w:t>),</w:t>
      </w:r>
      <w:r w:rsidRPr="00C275C3" w:rsidR="00D1784E">
        <w:rPr>
          <w:rFonts w:eastAsia="Calibri"/>
        </w:rPr>
        <w:t xml:space="preserve"> and</w:t>
      </w:r>
      <w:r w:rsidRPr="00C275C3">
        <w:rPr>
          <w:rFonts w:eastAsia="Calibri"/>
        </w:rPr>
        <w:t xml:space="preserve"> doubling this to </w:t>
      </w:r>
      <w:r w:rsidR="00FD1CAC">
        <w:rPr>
          <w:rFonts w:eastAsia="Calibri"/>
        </w:rPr>
        <w:t>account for overhead (</w:t>
      </w:r>
      <w:r w:rsidRPr="00C275C3">
        <w:rPr>
          <w:rFonts w:eastAsia="Calibri"/>
        </w:rPr>
        <w:t>$</w:t>
      </w:r>
      <w:r w:rsidR="00FA66E5">
        <w:rPr>
          <w:rFonts w:eastAsia="Calibri"/>
        </w:rPr>
        <w:t>102.36</w:t>
      </w:r>
      <w:r w:rsidRPr="00C275C3">
        <w:rPr>
          <w:rFonts w:eastAsia="Calibri"/>
        </w:rPr>
        <w:t xml:space="preserve"> </w:t>
      </w:r>
      <w:r w:rsidR="00D71D43">
        <w:rPr>
          <w:rFonts w:eastAsia="Calibri"/>
        </w:rPr>
        <w:t>per</w:t>
      </w:r>
      <w:r w:rsidRPr="00C275C3">
        <w:rPr>
          <w:rFonts w:eastAsia="Calibri"/>
        </w:rPr>
        <w:t xml:space="preserve"> hour</w:t>
      </w:r>
      <w:r w:rsidR="00DF16D2">
        <w:rPr>
          <w:rFonts w:eastAsia="Calibri"/>
        </w:rPr>
        <w:t>), we calculate a</w:t>
      </w:r>
      <w:r w:rsidR="00C97477">
        <w:rPr>
          <w:rFonts w:eastAsia="Calibri"/>
        </w:rPr>
        <w:t xml:space="preserve">dministrative </w:t>
      </w:r>
      <w:r w:rsidR="00DF16D2">
        <w:rPr>
          <w:rFonts w:eastAsia="Calibri"/>
        </w:rPr>
        <w:t>cost</w:t>
      </w:r>
      <w:r w:rsidR="00C97477">
        <w:rPr>
          <w:rFonts w:eastAsia="Calibri"/>
        </w:rPr>
        <w:t>s</w:t>
      </w:r>
      <w:r w:rsidR="00DF16D2">
        <w:rPr>
          <w:rFonts w:eastAsia="Calibri"/>
        </w:rPr>
        <w:t xml:space="preserve"> of </w:t>
      </w:r>
      <w:r w:rsidRPr="00C275C3">
        <w:rPr>
          <w:rFonts w:eastAsia="Calibri"/>
        </w:rPr>
        <w:t>$</w:t>
      </w:r>
      <w:r w:rsidR="00FA66E5">
        <w:rPr>
          <w:rFonts w:eastAsia="Calibri"/>
        </w:rPr>
        <w:t>53</w:t>
      </w:r>
      <w:r w:rsidRPr="00C275C3">
        <w:rPr>
          <w:rFonts w:eastAsia="Calibri"/>
        </w:rPr>
        <w:t>,</w:t>
      </w:r>
      <w:r w:rsidR="00FA66E5">
        <w:rPr>
          <w:rFonts w:eastAsia="Calibri"/>
        </w:rPr>
        <w:t>432</w:t>
      </w:r>
      <w:r w:rsidRPr="00C275C3">
        <w:rPr>
          <w:rFonts w:eastAsia="Calibri"/>
        </w:rPr>
        <w:t>.</w:t>
      </w:r>
    </w:p>
    <w:p w:rsidRPr="00C275C3" w:rsidR="00C97477" w:rsidP="007A5E89" w:rsidRDefault="00C97477" w14:paraId="0EFEB0C9" w14:textId="009D0D9F">
      <w:pPr>
        <w:spacing w:after="200"/>
        <w:rPr>
          <w:rFonts w:eastAsia="Calibri"/>
        </w:rPr>
      </w:pPr>
      <w:r>
        <w:rPr>
          <w:rFonts w:eastAsia="Calibri"/>
        </w:rPr>
        <w:t xml:space="preserve">Cumulatively, therefore, we </w:t>
      </w:r>
      <w:r w:rsidR="00AE4179">
        <w:rPr>
          <w:rFonts w:eastAsia="Calibri"/>
        </w:rPr>
        <w:t>estimate a total of $953,432 annually</w:t>
      </w:r>
      <w:r w:rsidR="005B1EA6">
        <w:rPr>
          <w:rFonts w:eastAsia="Calibri"/>
        </w:rPr>
        <w:t>.</w:t>
      </w:r>
    </w:p>
    <w:p w:rsidR="0028643C" w:rsidRDefault="0028643C" w14:paraId="05E4373D" w14:textId="77777777">
      <w:pPr>
        <w:rPr>
          <w:rFonts w:eastAsia="Calibri"/>
          <w:u w:val="single"/>
        </w:rPr>
      </w:pPr>
      <w:r>
        <w:rPr>
          <w:rFonts w:eastAsia="Calibri"/>
          <w:u w:val="single"/>
        </w:rPr>
        <w:br w:type="page"/>
      </w:r>
    </w:p>
    <w:p w:rsidR="00357C8A" w:rsidP="007A5E89" w:rsidRDefault="00357C8A" w14:paraId="3FBA6ACE" w14:textId="154B540D">
      <w:pPr>
        <w:numPr>
          <w:ilvl w:val="0"/>
          <w:numId w:val="6"/>
        </w:numPr>
        <w:spacing w:after="200" w:line="276" w:lineRule="auto"/>
        <w:rPr>
          <w:rFonts w:eastAsia="Calibri"/>
          <w:u w:val="single"/>
        </w:rPr>
      </w:pPr>
      <w:r w:rsidRPr="00357C8A">
        <w:rPr>
          <w:rFonts w:eastAsia="Calibri"/>
          <w:u w:val="single"/>
        </w:rPr>
        <w:lastRenderedPageBreak/>
        <w:t>Explanation for Program Changes or Adjustments</w:t>
      </w:r>
    </w:p>
    <w:p w:rsidRPr="003C385D" w:rsidR="00357C8A" w:rsidP="007A5E89" w:rsidRDefault="00FA66E5" w14:paraId="6DA02EE9" w14:textId="6B6645E9">
      <w:pPr>
        <w:spacing w:after="200"/>
        <w:rPr>
          <w:rFonts w:eastAsia="Calibri"/>
          <w:color w:val="000000"/>
        </w:rPr>
      </w:pPr>
      <w:r w:rsidRPr="00FA66E5">
        <w:rPr>
          <w:rFonts w:eastAsia="Calibri"/>
        </w:rPr>
        <w:t xml:space="preserve">Based on </w:t>
      </w:r>
      <w:r w:rsidR="00ED6339">
        <w:rPr>
          <w:rFonts w:eastAsia="Calibri"/>
        </w:rPr>
        <w:t xml:space="preserve">an evaluation </w:t>
      </w:r>
      <w:r w:rsidRPr="00FA66E5">
        <w:rPr>
          <w:rFonts w:eastAsia="Calibri"/>
        </w:rPr>
        <w:t xml:space="preserve">of the information collection since </w:t>
      </w:r>
      <w:r w:rsidR="00851BAF">
        <w:rPr>
          <w:rFonts w:eastAsia="Calibri"/>
        </w:rPr>
        <w:t xml:space="preserve">last </w:t>
      </w:r>
      <w:r w:rsidRPr="00FA66E5">
        <w:rPr>
          <w:rFonts w:eastAsia="Calibri"/>
        </w:rPr>
        <w:t xml:space="preserve">OMB </w:t>
      </w:r>
      <w:r w:rsidR="00851BAF">
        <w:rPr>
          <w:rFonts w:eastAsia="Calibri"/>
        </w:rPr>
        <w:t xml:space="preserve">review and </w:t>
      </w:r>
      <w:r w:rsidRPr="00FA66E5">
        <w:rPr>
          <w:rFonts w:eastAsia="Calibri"/>
        </w:rPr>
        <w:t xml:space="preserve">approval, we have made no adjustments to our burden estimate.  </w:t>
      </w:r>
      <w:r w:rsidR="006E6498">
        <w:rPr>
          <w:rFonts w:eastAsia="Calibri"/>
        </w:rPr>
        <w:t xml:space="preserve">This relatively new generic clearance continues to be utilized.  </w:t>
      </w:r>
      <w:r w:rsidRPr="00FA66E5">
        <w:rPr>
          <w:rFonts w:eastAsia="Calibri"/>
        </w:rPr>
        <w:t>Current estimates are based on both historical numbers of participants from past projects as well as estimates for projects to be conducted in the next 3 years.  The number of participants to be included in each new survey will vary, depending on the nature of the compliance efforts and the target audience.</w:t>
      </w:r>
    </w:p>
    <w:p w:rsidRPr="00357C8A" w:rsidR="00357C8A" w:rsidP="007A5E89" w:rsidRDefault="00357C8A" w14:paraId="353484D3"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493B78" w:rsidP="007A5E89" w:rsidRDefault="00493B78" w14:paraId="3AD866F3" w14:textId="50F3A3FA">
      <w:pPr>
        <w:numPr>
          <w:ilvl w:val="12"/>
          <w:numId w:val="6"/>
        </w:numPr>
        <w:tabs>
          <w:tab w:val="clear" w:pos="360"/>
        </w:tabs>
      </w:pPr>
      <w:r w:rsidRPr="002051D8">
        <w:t xml:space="preserve">The analyses conducted for each </w:t>
      </w:r>
      <w:r>
        <w:t>quantitative study</w:t>
      </w:r>
      <w:r w:rsidRPr="002051D8">
        <w:t xml:space="preserve"> will be determined by the objectives, the </w:t>
      </w:r>
      <w:r>
        <w:t>data being collected</w:t>
      </w:r>
      <w:r w:rsidRPr="002051D8">
        <w:t xml:space="preserve">, and the </w:t>
      </w:r>
      <w:r>
        <w:t>characteristics of the participants</w:t>
      </w:r>
      <w:r w:rsidRPr="002051D8">
        <w:t xml:space="preserve">.  Specifics of the analyses cannot be determined </w:t>
      </w:r>
      <w:r>
        <w:t>until the survey instrument is developed</w:t>
      </w:r>
      <w:r w:rsidR="00096DFD">
        <w:t xml:space="preserve">, however we </w:t>
      </w:r>
      <w:r w:rsidR="004F1B57">
        <w:t>project the following schedule of activities:</w:t>
      </w:r>
    </w:p>
    <w:p w:rsidR="00493B78" w:rsidP="007A5E89" w:rsidRDefault="00493B78" w14:paraId="1AF23905" w14:textId="3344A109">
      <w:pPr>
        <w:numPr>
          <w:ilvl w:val="12"/>
          <w:numId w:val="6"/>
        </w:numPr>
        <w:tabs>
          <w:tab w:val="clear" w:pos="360"/>
        </w:tabs>
      </w:pPr>
    </w:p>
    <w:tbl>
      <w:tblPr>
        <w:tblStyle w:val="TableGrid"/>
        <w:tblW w:w="0" w:type="auto"/>
        <w:tblLook w:val="04A0" w:firstRow="1" w:lastRow="0" w:firstColumn="1" w:lastColumn="0" w:noHBand="0" w:noVBand="1"/>
      </w:tblPr>
      <w:tblGrid>
        <w:gridCol w:w="4675"/>
        <w:gridCol w:w="4675"/>
      </w:tblGrid>
      <w:tr w:rsidR="007245C7" w:rsidTr="007245C7" w14:paraId="2CECFD1E" w14:textId="77777777">
        <w:tc>
          <w:tcPr>
            <w:tcW w:w="4675" w:type="dxa"/>
          </w:tcPr>
          <w:p w:rsidRPr="00BB26DC" w:rsidR="007245C7" w:rsidP="00BB26DC" w:rsidRDefault="00825CBC" w14:paraId="620B57F8" w14:textId="6377AE45">
            <w:pPr>
              <w:numPr>
                <w:ilvl w:val="12"/>
                <w:numId w:val="6"/>
              </w:numPr>
              <w:tabs>
                <w:tab w:val="clear" w:pos="360"/>
              </w:tabs>
              <w:jc w:val="center"/>
              <w:rPr>
                <w:b/>
                <w:bCs/>
                <w:sz w:val="22"/>
                <w:szCs w:val="22"/>
              </w:rPr>
            </w:pPr>
            <w:r w:rsidRPr="00BB26DC">
              <w:rPr>
                <w:b/>
                <w:bCs/>
                <w:sz w:val="22"/>
                <w:szCs w:val="22"/>
              </w:rPr>
              <w:t>Activity</w:t>
            </w:r>
          </w:p>
        </w:tc>
        <w:tc>
          <w:tcPr>
            <w:tcW w:w="4675" w:type="dxa"/>
          </w:tcPr>
          <w:p w:rsidRPr="00BB26DC" w:rsidR="007245C7" w:rsidP="00BB26DC" w:rsidRDefault="00825CBC" w14:paraId="683AA586" w14:textId="0C8F8629">
            <w:pPr>
              <w:numPr>
                <w:ilvl w:val="12"/>
                <w:numId w:val="6"/>
              </w:numPr>
              <w:tabs>
                <w:tab w:val="clear" w:pos="360"/>
              </w:tabs>
              <w:jc w:val="center"/>
              <w:rPr>
                <w:b/>
                <w:bCs/>
                <w:sz w:val="22"/>
                <w:szCs w:val="22"/>
              </w:rPr>
            </w:pPr>
            <w:r w:rsidRPr="00BB26DC">
              <w:rPr>
                <w:b/>
                <w:bCs/>
                <w:sz w:val="22"/>
                <w:szCs w:val="22"/>
              </w:rPr>
              <w:t>Time Schedule</w:t>
            </w:r>
          </w:p>
        </w:tc>
      </w:tr>
      <w:tr w:rsidR="007245C7" w:rsidTr="007245C7" w14:paraId="52CC414A" w14:textId="77777777">
        <w:tc>
          <w:tcPr>
            <w:tcW w:w="4675" w:type="dxa"/>
          </w:tcPr>
          <w:p w:rsidRPr="00BB26DC" w:rsidR="007245C7" w:rsidP="007A5E89" w:rsidRDefault="00825CBC" w14:paraId="1AB72FE8" w14:textId="2124C3AD">
            <w:pPr>
              <w:numPr>
                <w:ilvl w:val="12"/>
                <w:numId w:val="6"/>
              </w:numPr>
              <w:tabs>
                <w:tab w:val="clear" w:pos="360"/>
              </w:tabs>
              <w:rPr>
                <w:sz w:val="22"/>
                <w:szCs w:val="22"/>
              </w:rPr>
            </w:pPr>
            <w:r w:rsidRPr="00BB26DC">
              <w:rPr>
                <w:sz w:val="22"/>
                <w:szCs w:val="22"/>
              </w:rPr>
              <w:t>Finalize materials</w:t>
            </w:r>
          </w:p>
        </w:tc>
        <w:tc>
          <w:tcPr>
            <w:tcW w:w="4675" w:type="dxa"/>
          </w:tcPr>
          <w:p w:rsidRPr="00BB26DC" w:rsidR="007245C7" w:rsidP="007A5E89" w:rsidRDefault="00825CBC" w14:paraId="00B5A01E" w14:textId="1DF24455">
            <w:pPr>
              <w:numPr>
                <w:ilvl w:val="12"/>
                <w:numId w:val="6"/>
              </w:numPr>
              <w:tabs>
                <w:tab w:val="clear" w:pos="360"/>
              </w:tabs>
              <w:rPr>
                <w:sz w:val="22"/>
                <w:szCs w:val="22"/>
              </w:rPr>
            </w:pPr>
            <w:r w:rsidRPr="00BB26DC">
              <w:rPr>
                <w:sz w:val="22"/>
                <w:szCs w:val="22"/>
              </w:rPr>
              <w:t>1 week after OMB approval</w:t>
            </w:r>
          </w:p>
        </w:tc>
      </w:tr>
      <w:tr w:rsidR="007245C7" w:rsidTr="007245C7" w14:paraId="0B663576" w14:textId="77777777">
        <w:tc>
          <w:tcPr>
            <w:tcW w:w="4675" w:type="dxa"/>
          </w:tcPr>
          <w:p w:rsidRPr="00BB26DC" w:rsidR="007245C7" w:rsidP="007A5E89" w:rsidRDefault="00825CBC" w14:paraId="00F19C0A" w14:textId="5A44576E">
            <w:pPr>
              <w:numPr>
                <w:ilvl w:val="12"/>
                <w:numId w:val="6"/>
              </w:numPr>
              <w:tabs>
                <w:tab w:val="clear" w:pos="360"/>
              </w:tabs>
              <w:rPr>
                <w:sz w:val="22"/>
                <w:szCs w:val="22"/>
              </w:rPr>
            </w:pPr>
            <w:r w:rsidRPr="00BB26DC">
              <w:rPr>
                <w:sz w:val="22"/>
                <w:szCs w:val="22"/>
              </w:rPr>
              <w:t>Finalize design</w:t>
            </w:r>
          </w:p>
        </w:tc>
        <w:tc>
          <w:tcPr>
            <w:tcW w:w="4675" w:type="dxa"/>
          </w:tcPr>
          <w:p w:rsidRPr="00BB26DC" w:rsidR="007245C7" w:rsidP="007A5E89" w:rsidRDefault="00825CBC" w14:paraId="4FFBD6A4" w14:textId="329DC9CD">
            <w:pPr>
              <w:numPr>
                <w:ilvl w:val="12"/>
                <w:numId w:val="6"/>
              </w:numPr>
              <w:tabs>
                <w:tab w:val="clear" w:pos="360"/>
              </w:tabs>
              <w:rPr>
                <w:sz w:val="22"/>
                <w:szCs w:val="22"/>
              </w:rPr>
            </w:pPr>
            <w:r w:rsidRPr="00BB26DC">
              <w:rPr>
                <w:sz w:val="22"/>
                <w:szCs w:val="22"/>
              </w:rPr>
              <w:t>3 weeks after OMB approval</w:t>
            </w:r>
          </w:p>
        </w:tc>
      </w:tr>
      <w:tr w:rsidR="007245C7" w:rsidTr="007245C7" w14:paraId="504FF122" w14:textId="77777777">
        <w:tc>
          <w:tcPr>
            <w:tcW w:w="4675" w:type="dxa"/>
          </w:tcPr>
          <w:p w:rsidRPr="00BB26DC" w:rsidR="007245C7" w:rsidP="007A5E89" w:rsidRDefault="00825CBC" w14:paraId="6B1DB3AD" w14:textId="6F14A5B6">
            <w:pPr>
              <w:numPr>
                <w:ilvl w:val="12"/>
                <w:numId w:val="6"/>
              </w:numPr>
              <w:tabs>
                <w:tab w:val="clear" w:pos="360"/>
              </w:tabs>
              <w:rPr>
                <w:sz w:val="22"/>
                <w:szCs w:val="22"/>
              </w:rPr>
            </w:pPr>
            <w:r w:rsidRPr="00BB26DC">
              <w:rPr>
                <w:sz w:val="22"/>
                <w:szCs w:val="22"/>
              </w:rPr>
              <w:t>Collection data</w:t>
            </w:r>
          </w:p>
        </w:tc>
        <w:tc>
          <w:tcPr>
            <w:tcW w:w="4675" w:type="dxa"/>
          </w:tcPr>
          <w:p w:rsidRPr="00BB26DC" w:rsidR="007245C7" w:rsidP="007A5E89" w:rsidRDefault="00D44A08" w14:paraId="6D82DC72" w14:textId="65BFB076">
            <w:pPr>
              <w:numPr>
                <w:ilvl w:val="12"/>
                <w:numId w:val="6"/>
              </w:numPr>
              <w:tabs>
                <w:tab w:val="clear" w:pos="360"/>
              </w:tabs>
              <w:rPr>
                <w:sz w:val="22"/>
                <w:szCs w:val="22"/>
              </w:rPr>
            </w:pPr>
            <w:r w:rsidRPr="00BB26DC">
              <w:rPr>
                <w:sz w:val="22"/>
                <w:szCs w:val="22"/>
              </w:rPr>
              <w:t>5 weeks after OMB approval</w:t>
            </w:r>
          </w:p>
        </w:tc>
      </w:tr>
      <w:tr w:rsidR="007245C7" w:rsidTr="007245C7" w14:paraId="3EEC30F8" w14:textId="77777777">
        <w:tc>
          <w:tcPr>
            <w:tcW w:w="4675" w:type="dxa"/>
          </w:tcPr>
          <w:p w:rsidRPr="00BB26DC" w:rsidR="007245C7" w:rsidP="007A5E89" w:rsidRDefault="00D44A08" w14:paraId="25E27899" w14:textId="1A8DA0C0">
            <w:pPr>
              <w:numPr>
                <w:ilvl w:val="12"/>
                <w:numId w:val="6"/>
              </w:numPr>
              <w:tabs>
                <w:tab w:val="clear" w:pos="360"/>
              </w:tabs>
              <w:rPr>
                <w:sz w:val="22"/>
                <w:szCs w:val="22"/>
              </w:rPr>
            </w:pPr>
            <w:r w:rsidRPr="00BB26DC">
              <w:rPr>
                <w:sz w:val="22"/>
                <w:szCs w:val="22"/>
              </w:rPr>
              <w:t>Analysis of data</w:t>
            </w:r>
          </w:p>
        </w:tc>
        <w:tc>
          <w:tcPr>
            <w:tcW w:w="4675" w:type="dxa"/>
          </w:tcPr>
          <w:p w:rsidRPr="00BB26DC" w:rsidR="007245C7" w:rsidP="007A5E89" w:rsidRDefault="00D44A08" w14:paraId="7C3957DA" w14:textId="67692FDA">
            <w:pPr>
              <w:numPr>
                <w:ilvl w:val="12"/>
                <w:numId w:val="6"/>
              </w:numPr>
              <w:tabs>
                <w:tab w:val="clear" w:pos="360"/>
              </w:tabs>
              <w:rPr>
                <w:sz w:val="22"/>
                <w:szCs w:val="22"/>
              </w:rPr>
            </w:pPr>
            <w:r w:rsidRPr="00BB26DC">
              <w:rPr>
                <w:sz w:val="22"/>
                <w:szCs w:val="22"/>
              </w:rPr>
              <w:t>10 weeks after OMB approval</w:t>
            </w:r>
          </w:p>
        </w:tc>
      </w:tr>
      <w:tr w:rsidR="007245C7" w:rsidTr="007245C7" w14:paraId="34E11B7E" w14:textId="77777777">
        <w:tc>
          <w:tcPr>
            <w:tcW w:w="4675" w:type="dxa"/>
          </w:tcPr>
          <w:p w:rsidRPr="00BB26DC" w:rsidR="007245C7" w:rsidP="007A5E89" w:rsidRDefault="00D44A08" w14:paraId="061F6DCB" w14:textId="49AB4818">
            <w:pPr>
              <w:numPr>
                <w:ilvl w:val="12"/>
                <w:numId w:val="6"/>
              </w:numPr>
              <w:tabs>
                <w:tab w:val="clear" w:pos="360"/>
              </w:tabs>
              <w:rPr>
                <w:sz w:val="22"/>
                <w:szCs w:val="22"/>
              </w:rPr>
            </w:pPr>
            <w:r w:rsidRPr="00BB26DC">
              <w:rPr>
                <w:sz w:val="22"/>
                <w:szCs w:val="22"/>
              </w:rPr>
              <w:t>Report</w:t>
            </w:r>
          </w:p>
        </w:tc>
        <w:tc>
          <w:tcPr>
            <w:tcW w:w="4675" w:type="dxa"/>
          </w:tcPr>
          <w:p w:rsidRPr="00BB26DC" w:rsidR="007245C7" w:rsidP="007A5E89" w:rsidRDefault="00D44A08" w14:paraId="7EC3B419" w14:textId="07928D2F">
            <w:pPr>
              <w:numPr>
                <w:ilvl w:val="12"/>
                <w:numId w:val="6"/>
              </w:numPr>
              <w:tabs>
                <w:tab w:val="clear" w:pos="360"/>
              </w:tabs>
              <w:rPr>
                <w:sz w:val="22"/>
                <w:szCs w:val="22"/>
              </w:rPr>
            </w:pPr>
            <w:r w:rsidRPr="00BB26DC">
              <w:rPr>
                <w:sz w:val="22"/>
                <w:szCs w:val="22"/>
              </w:rPr>
              <w:t>12 weeks after OMB approval</w:t>
            </w:r>
          </w:p>
        </w:tc>
      </w:tr>
    </w:tbl>
    <w:p w:rsidR="007245C7" w:rsidP="007A5E89" w:rsidRDefault="007245C7" w14:paraId="2BFBE03D" w14:textId="78D65395">
      <w:pPr>
        <w:numPr>
          <w:ilvl w:val="12"/>
          <w:numId w:val="6"/>
        </w:numPr>
        <w:tabs>
          <w:tab w:val="clear" w:pos="360"/>
        </w:tabs>
      </w:pPr>
    </w:p>
    <w:p w:rsidRPr="002051D8" w:rsidR="00493B78" w:rsidP="007A5E89" w:rsidRDefault="00493B78" w14:paraId="598225E5" w14:textId="77777777">
      <w:pPr>
        <w:numPr>
          <w:ilvl w:val="12"/>
          <w:numId w:val="6"/>
        </w:numPr>
        <w:tabs>
          <w:tab w:val="clear" w:pos="360"/>
        </w:tabs>
      </w:pPr>
      <w:r>
        <w:t>Te</w:t>
      </w:r>
      <w:r w:rsidRPr="002051D8">
        <w:t xml:space="preserve">chniques include primarily </w:t>
      </w:r>
      <w:r>
        <w:t>quantitative</w:t>
      </w:r>
      <w:r w:rsidRPr="002051D8">
        <w:t xml:space="preserve"> analyses using descriptive statistics</w:t>
      </w:r>
      <w:r>
        <w:t>.  D</w:t>
      </w:r>
      <w:r w:rsidRPr="002051D8">
        <w:t>escriptive statistics</w:t>
      </w:r>
      <w:r>
        <w:t xml:space="preserve"> </w:t>
      </w:r>
      <w:r w:rsidRPr="002051D8">
        <w:t>—</w:t>
      </w:r>
      <w:r>
        <w:t xml:space="preserve"> including percentages, cross-</w:t>
      </w:r>
      <w:r w:rsidRPr="002051D8">
        <w:t>tabulations, and averages</w:t>
      </w:r>
      <w:r>
        <w:t xml:space="preserve"> </w:t>
      </w:r>
      <w:r w:rsidRPr="002051D8">
        <w:t>—</w:t>
      </w:r>
      <w:r>
        <w:t xml:space="preserve"> </w:t>
      </w:r>
      <w:r w:rsidRPr="002051D8">
        <w:t xml:space="preserve">will be calculated and presented, along with demographic descriptions of study </w:t>
      </w:r>
      <w:r>
        <w:t>participants</w:t>
      </w:r>
      <w:r w:rsidRPr="002051D8">
        <w:t xml:space="preserve">.  Information collected from study participants </w:t>
      </w:r>
      <w:r>
        <w:t>may</w:t>
      </w:r>
      <w:r w:rsidRPr="002051D8">
        <w:t xml:space="preserve"> be subjected to subgroup analyses to uncover potential differences among key groups (defined by gender, age, race/ethnicity, etc.).  </w:t>
      </w:r>
      <w:r>
        <w:t>Inferential s</w:t>
      </w:r>
      <w:r w:rsidRPr="002051D8">
        <w:t xml:space="preserve">tatistical analyses may </w:t>
      </w:r>
      <w:r>
        <w:t xml:space="preserve">also </w:t>
      </w:r>
      <w:r w:rsidRPr="002051D8">
        <w:t>be conducted using cross-tabulation procedures with categorical variables (e.g., chi-square) and between-group procedures with continuous variables (e.g., ANOVA and t</w:t>
      </w:r>
      <w:r>
        <w:t>-</w:t>
      </w:r>
      <w:r w:rsidRPr="002051D8">
        <w:t>tests).  Parametric statistical tests will be used in the case of sufficient sample sizes, normal distributions, and continuous or interval data; nonparametric procedures will be used otherwise.</w:t>
      </w:r>
      <w:r>
        <w:t xml:space="preserve">  All of the analyses will be done in the context of understanding the limitations of the data with respect to their not representing population parameters.</w:t>
      </w:r>
    </w:p>
    <w:p w:rsidRPr="002051D8" w:rsidR="00493B78" w:rsidP="007A5E89" w:rsidRDefault="00493B78" w14:paraId="70F49B0E" w14:textId="77777777">
      <w:pPr>
        <w:numPr>
          <w:ilvl w:val="12"/>
          <w:numId w:val="6"/>
        </w:numPr>
        <w:tabs>
          <w:tab w:val="clear" w:pos="360"/>
        </w:tabs>
      </w:pPr>
    </w:p>
    <w:p w:rsidR="00493B78" w:rsidP="007A5E89" w:rsidRDefault="00493B78" w14:paraId="72ED5242" w14:textId="775B5381">
      <w:pPr>
        <w:numPr>
          <w:ilvl w:val="12"/>
          <w:numId w:val="6"/>
        </w:numPr>
        <w:tabs>
          <w:tab w:val="clear" w:pos="360"/>
        </w:tabs>
      </w:pPr>
      <w:r w:rsidRPr="002051D8">
        <w:t xml:space="preserve">While the primary purpose of </w:t>
      </w:r>
      <w:r>
        <w:t>quantitative research</w:t>
      </w:r>
      <w:r w:rsidRPr="002051D8">
        <w:t xml:space="preserve"> is to </w:t>
      </w:r>
      <w:r w:rsidR="00DE7E80">
        <w:t>gather information in support of agency initiatives</w:t>
      </w:r>
      <w:r w:rsidRPr="002051D8">
        <w:t xml:space="preserve">, FDA </w:t>
      </w:r>
      <w:r>
        <w:t>may make</w:t>
      </w:r>
      <w:r w:rsidR="00CC132D">
        <w:t xml:space="preserve"> study</w:t>
      </w:r>
      <w:r>
        <w:t xml:space="preserve"> results avai</w:t>
      </w:r>
      <w:r w:rsidRPr="002051D8">
        <w:t xml:space="preserve">lable to a variety of health </w:t>
      </w:r>
      <w:r>
        <w:t>educators</w:t>
      </w:r>
      <w:r w:rsidRPr="002051D8">
        <w:t xml:space="preserve">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A037C8">
        <w:rPr>
          <w:i/>
        </w:rPr>
        <w:t>Journal of Public Policy and Marketing</w:t>
      </w:r>
      <w:r w:rsidRPr="002051D8">
        <w:t>.  In any findings presented at professional association meetings or in professional journals, FDA will state the limitations of the data by recognizing the nonrepresentative nature of its pretests.</w:t>
      </w:r>
    </w:p>
    <w:p w:rsidR="004A3D2F" w:rsidP="007A5E89" w:rsidRDefault="004A3D2F" w14:paraId="157996A8" w14:textId="77777777">
      <w:pPr>
        <w:numPr>
          <w:ilvl w:val="12"/>
          <w:numId w:val="6"/>
        </w:numPr>
        <w:tabs>
          <w:tab w:val="clear" w:pos="360"/>
        </w:tabs>
      </w:pPr>
    </w:p>
    <w:p w:rsidRPr="00357C8A" w:rsidR="00357C8A" w:rsidP="007A5E89" w:rsidRDefault="00357C8A" w14:paraId="2CB025D8"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C385D" w:rsidR="00357C8A" w:rsidP="007A5E89" w:rsidRDefault="004A3D2F" w14:paraId="7CA895C0" w14:textId="2D283D62">
      <w:pPr>
        <w:spacing w:after="200"/>
        <w:rPr>
          <w:rFonts w:eastAsia="Calibri"/>
          <w:color w:val="000000"/>
        </w:rPr>
      </w:pPr>
      <w:r w:rsidRPr="004A3D2F">
        <w:rPr>
          <w:rFonts w:eastAsia="Calibri"/>
        </w:rPr>
        <w:t>The OMB expiration date will be displaye</w:t>
      </w:r>
      <w:r>
        <w:rPr>
          <w:rFonts w:eastAsia="Calibri"/>
        </w:rPr>
        <w:t>d</w:t>
      </w:r>
      <w:r w:rsidR="001D3FAF">
        <w:rPr>
          <w:rFonts w:eastAsia="Calibri"/>
        </w:rPr>
        <w:t xml:space="preserve"> as required</w:t>
      </w:r>
      <w:r>
        <w:rPr>
          <w:rFonts w:eastAsia="Calibri"/>
        </w:rPr>
        <w:t>.</w:t>
      </w:r>
      <w:r w:rsidRPr="00357C8A" w:rsidR="00357C8A">
        <w:rPr>
          <w:rFonts w:eastAsia="Calibri"/>
          <w:color w:val="FF0000"/>
        </w:rPr>
        <w:t xml:space="preserve"> </w:t>
      </w:r>
    </w:p>
    <w:p w:rsidRPr="00357C8A" w:rsidR="00357C8A" w:rsidP="007A5E89" w:rsidRDefault="00357C8A" w14:paraId="6A85CF1F" w14:textId="059F6956">
      <w:pPr>
        <w:numPr>
          <w:ilvl w:val="0"/>
          <w:numId w:val="6"/>
        </w:numPr>
        <w:spacing w:after="200" w:line="276" w:lineRule="auto"/>
        <w:rPr>
          <w:rFonts w:eastAsia="Calibri"/>
          <w:u w:val="single"/>
        </w:rPr>
      </w:pPr>
      <w:r w:rsidRPr="00357C8A">
        <w:rPr>
          <w:rFonts w:eastAsia="Calibri"/>
          <w:u w:val="single"/>
        </w:rPr>
        <w:lastRenderedPageBreak/>
        <w:t>Exceptions to Certification for Paperwork Reduction Act Submissions</w:t>
      </w:r>
    </w:p>
    <w:p w:rsidRPr="00C20690" w:rsidR="00544138" w:rsidP="007A5E89" w:rsidRDefault="004A3D2F" w14:paraId="2A67D984" w14:textId="77777777">
      <w:pPr>
        <w:spacing w:after="200"/>
        <w:rPr>
          <w:rFonts w:eastAsia="Calibri"/>
        </w:rPr>
      </w:pPr>
      <w:r w:rsidRPr="004A3D2F">
        <w:rPr>
          <w:rFonts w:eastAsia="Calibri"/>
        </w:rPr>
        <w:t>There are no exceptions to the certification.</w:t>
      </w:r>
    </w:p>
    <w:sectPr w:rsidRPr="00C20690" w:rsidR="00544138" w:rsidSect="006908D1">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2E290" w14:textId="77777777" w:rsidR="00486CCA" w:rsidRDefault="00486CCA">
      <w:r>
        <w:separator/>
      </w:r>
    </w:p>
  </w:endnote>
  <w:endnote w:type="continuationSeparator" w:id="0">
    <w:p w14:paraId="37231704" w14:textId="77777777" w:rsidR="00486CCA" w:rsidRDefault="0048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24C5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071977"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D244"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282644BC"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3AACB" w14:textId="77777777" w:rsidR="00486CCA" w:rsidRDefault="00486CCA">
      <w:r>
        <w:separator/>
      </w:r>
    </w:p>
  </w:footnote>
  <w:footnote w:type="continuationSeparator" w:id="0">
    <w:p w14:paraId="3E0D4C4D" w14:textId="77777777" w:rsidR="00486CCA" w:rsidRDefault="00486CCA">
      <w:r>
        <w:continuationSeparator/>
      </w:r>
    </w:p>
  </w:footnote>
  <w:footnote w:id="1">
    <w:p w14:paraId="70D1DE93" w14:textId="77777777" w:rsidR="0005558D" w:rsidRPr="00B435D2" w:rsidRDefault="0005558D" w:rsidP="0005558D">
      <w:pPr>
        <w:pStyle w:val="FootnoteText"/>
        <w:rPr>
          <w:sz w:val="20"/>
          <w:szCs w:val="20"/>
        </w:rPr>
      </w:pPr>
      <w:r w:rsidRPr="00B435D2">
        <w:rPr>
          <w:rStyle w:val="FootnoteReference"/>
          <w:sz w:val="20"/>
          <w:szCs w:val="20"/>
        </w:rPr>
        <w:footnoteRef/>
      </w:r>
      <w:r w:rsidRPr="00B435D2">
        <w:rPr>
          <w:sz w:val="20"/>
          <w:szCs w:val="20"/>
        </w:rPr>
        <w:t>Food and Drug Administration. About Science &amp; Research at FDA. Silver Spring, MD: U.S. Department of Health and Human Services (HHS), July 2013.  Accessed from</w:t>
      </w:r>
      <w:r>
        <w:rPr>
          <w:sz w:val="20"/>
          <w:szCs w:val="20"/>
        </w:rPr>
        <w:t xml:space="preserve"> </w:t>
      </w:r>
      <w:hyperlink r:id="rId1" w:history="1">
        <w:r w:rsidRPr="00043DCD">
          <w:rPr>
            <w:rStyle w:val="Hyperlink"/>
            <w:sz w:val="20"/>
            <w:szCs w:val="20"/>
          </w:rPr>
          <w:t>https://www.fda.gov/science-research/advancing-regulatory-science/strategic-plan-regulatory-science</w:t>
        </w:r>
      </w:hyperlink>
      <w:r w:rsidRPr="00B435D2">
        <w:rPr>
          <w:sz w:val="20"/>
          <w:szCs w:val="20"/>
        </w:rPr>
        <w:t>.</w:t>
      </w:r>
    </w:p>
  </w:footnote>
  <w:footnote w:id="2">
    <w:p w14:paraId="776F5677" w14:textId="40FB03D3" w:rsidR="00093EF4" w:rsidRDefault="00093EF4" w:rsidP="00093EF4">
      <w:pPr>
        <w:pStyle w:val="FootnoteText"/>
      </w:pPr>
      <w:r>
        <w:rPr>
          <w:rStyle w:val="FootnoteReference"/>
        </w:rPr>
        <w:footnoteRef/>
      </w:r>
      <w:r>
        <w:t xml:space="preserve"> </w:t>
      </w:r>
      <w:hyperlink r:id="rId2" w:history="1">
        <w:r w:rsidRPr="00C6379E">
          <w:rPr>
            <w:rStyle w:val="Hyperlink"/>
            <w:sz w:val="20"/>
            <w:szCs w:val="20"/>
          </w:rPr>
          <w:t xml:space="preserve">Memorandum for the Heads of Executive Departments and Agencies </w:t>
        </w:r>
        <w:r w:rsidR="0046588C" w:rsidRPr="00C6379E">
          <w:rPr>
            <w:rStyle w:val="Hyperlink"/>
            <w:sz w:val="20"/>
            <w:szCs w:val="20"/>
          </w:rPr>
          <w:t xml:space="preserve">and </w:t>
        </w:r>
        <w:r w:rsidRPr="00C6379E">
          <w:rPr>
            <w:rStyle w:val="Hyperlink"/>
            <w:sz w:val="20"/>
            <w:szCs w:val="20"/>
          </w:rPr>
          <w:t>Independent Regulatory Agencies</w:t>
        </w:r>
        <w:r w:rsidR="0046588C" w:rsidRPr="00C6379E">
          <w:rPr>
            <w:rStyle w:val="Hyperlink"/>
            <w:sz w:val="20"/>
            <w:szCs w:val="20"/>
          </w:rPr>
          <w:t xml:space="preserve"> (July </w:t>
        </w:r>
        <w:r w:rsidR="003966FC" w:rsidRPr="00C6379E">
          <w:rPr>
            <w:rStyle w:val="Hyperlink"/>
            <w:sz w:val="20"/>
            <w:szCs w:val="20"/>
          </w:rPr>
          <w:t>22, 2016</w:t>
        </w:r>
        <w:r w:rsidR="000304BC" w:rsidRPr="00C6379E">
          <w:rPr>
            <w:rStyle w:val="Hyperlink"/>
            <w:sz w:val="20"/>
            <w:szCs w:val="20"/>
          </w:rPr>
          <w:t>).</w:t>
        </w:r>
      </w:hyperlink>
    </w:p>
  </w:footnote>
  <w:footnote w:id="3">
    <w:p w14:paraId="3AB5CA2B" w14:textId="77777777" w:rsidR="00B34071" w:rsidRPr="00B435D2" w:rsidRDefault="00B34071" w:rsidP="00B34071">
      <w:pPr>
        <w:pStyle w:val="FootnoteText"/>
        <w:rPr>
          <w:sz w:val="20"/>
          <w:szCs w:val="20"/>
        </w:rPr>
      </w:pPr>
      <w:r w:rsidRPr="00B435D2">
        <w:rPr>
          <w:rStyle w:val="FootnoteReference"/>
          <w:sz w:val="20"/>
          <w:szCs w:val="20"/>
        </w:rPr>
        <w:footnoteRef/>
      </w:r>
      <w:r w:rsidRPr="00B435D2">
        <w:rPr>
          <w:sz w:val="20"/>
          <w:szCs w:val="20"/>
        </w:rPr>
        <w:t xml:space="preserve">U.S. Bureau of Labor Statistics, </w:t>
      </w:r>
      <w:hyperlink r:id="rId3" w:tooltip="http://www.bls.gov/oes/current/oes_nat.htm" w:history="1">
        <w:r w:rsidRPr="00B435D2">
          <w:rPr>
            <w:rStyle w:val="Hyperlink"/>
            <w:color w:val="000000"/>
            <w:sz w:val="20"/>
            <w:szCs w:val="20"/>
          </w:rPr>
          <w:t>http://www.bls.gov/oes/current/oes_nat.htm</w:t>
        </w:r>
      </w:hyperlink>
      <w:r w:rsidRPr="00B435D2">
        <w:rPr>
          <w:sz w:val="20"/>
          <w:szCs w:val="20"/>
        </w:rPr>
        <w:t xml:space="preserve">, May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51823"/>
    <w:multiLevelType w:val="hybridMultilevel"/>
    <w:tmpl w:val="5DA2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0"/>
  </w:num>
  <w:num w:numId="7">
    <w:abstractNumId w:val="2"/>
  </w:num>
  <w:num w:numId="8">
    <w:abstractNumId w:val="5"/>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416"/>
    <w:rsid w:val="0000632B"/>
    <w:rsid w:val="00006404"/>
    <w:rsid w:val="00016713"/>
    <w:rsid w:val="000169F8"/>
    <w:rsid w:val="00022F8E"/>
    <w:rsid w:val="000304BC"/>
    <w:rsid w:val="00031A2C"/>
    <w:rsid w:val="00031B9B"/>
    <w:rsid w:val="00042B93"/>
    <w:rsid w:val="00043C7F"/>
    <w:rsid w:val="00046469"/>
    <w:rsid w:val="000467A8"/>
    <w:rsid w:val="0005558D"/>
    <w:rsid w:val="0006570F"/>
    <w:rsid w:val="0007090D"/>
    <w:rsid w:val="0007101F"/>
    <w:rsid w:val="00075DE8"/>
    <w:rsid w:val="00077A6C"/>
    <w:rsid w:val="0008517D"/>
    <w:rsid w:val="00087439"/>
    <w:rsid w:val="00093EF4"/>
    <w:rsid w:val="00096DFD"/>
    <w:rsid w:val="000A33C2"/>
    <w:rsid w:val="000A5E6D"/>
    <w:rsid w:val="000B0944"/>
    <w:rsid w:val="000B2285"/>
    <w:rsid w:val="000B268B"/>
    <w:rsid w:val="000B77AE"/>
    <w:rsid w:val="000C1260"/>
    <w:rsid w:val="000C130D"/>
    <w:rsid w:val="000C560C"/>
    <w:rsid w:val="000D080B"/>
    <w:rsid w:val="000D40F4"/>
    <w:rsid w:val="000D4863"/>
    <w:rsid w:val="000D48FD"/>
    <w:rsid w:val="000D79CC"/>
    <w:rsid w:val="000E1C64"/>
    <w:rsid w:val="000E6C1D"/>
    <w:rsid w:val="000E7073"/>
    <w:rsid w:val="000F0925"/>
    <w:rsid w:val="000F7119"/>
    <w:rsid w:val="00100739"/>
    <w:rsid w:val="001024DF"/>
    <w:rsid w:val="0010493E"/>
    <w:rsid w:val="0010634E"/>
    <w:rsid w:val="001075D3"/>
    <w:rsid w:val="00107885"/>
    <w:rsid w:val="00114FC4"/>
    <w:rsid w:val="0011526C"/>
    <w:rsid w:val="001165DE"/>
    <w:rsid w:val="0012213D"/>
    <w:rsid w:val="0012329C"/>
    <w:rsid w:val="00124D58"/>
    <w:rsid w:val="00134FA7"/>
    <w:rsid w:val="00137950"/>
    <w:rsid w:val="00152F29"/>
    <w:rsid w:val="00174D54"/>
    <w:rsid w:val="0017702C"/>
    <w:rsid w:val="00177288"/>
    <w:rsid w:val="00185270"/>
    <w:rsid w:val="00196AB7"/>
    <w:rsid w:val="001A02E7"/>
    <w:rsid w:val="001A058D"/>
    <w:rsid w:val="001A3B5A"/>
    <w:rsid w:val="001A5C6D"/>
    <w:rsid w:val="001A6E9E"/>
    <w:rsid w:val="001B7CE9"/>
    <w:rsid w:val="001C17BB"/>
    <w:rsid w:val="001C4A89"/>
    <w:rsid w:val="001D3FAF"/>
    <w:rsid w:val="001D495A"/>
    <w:rsid w:val="001E244C"/>
    <w:rsid w:val="001E5B33"/>
    <w:rsid w:val="001F1437"/>
    <w:rsid w:val="00202D96"/>
    <w:rsid w:val="00206799"/>
    <w:rsid w:val="002074FE"/>
    <w:rsid w:val="0021099C"/>
    <w:rsid w:val="0022425B"/>
    <w:rsid w:val="002259EF"/>
    <w:rsid w:val="002370D0"/>
    <w:rsid w:val="00242ED1"/>
    <w:rsid w:val="002444BB"/>
    <w:rsid w:val="00244BEC"/>
    <w:rsid w:val="00245A2B"/>
    <w:rsid w:val="00254069"/>
    <w:rsid w:val="002553B2"/>
    <w:rsid w:val="00257F9B"/>
    <w:rsid w:val="00260F40"/>
    <w:rsid w:val="002628D4"/>
    <w:rsid w:val="00270748"/>
    <w:rsid w:val="002734E5"/>
    <w:rsid w:val="002746DB"/>
    <w:rsid w:val="00276F32"/>
    <w:rsid w:val="00280CAF"/>
    <w:rsid w:val="00282F09"/>
    <w:rsid w:val="0028479F"/>
    <w:rsid w:val="0028643C"/>
    <w:rsid w:val="00291810"/>
    <w:rsid w:val="00294D62"/>
    <w:rsid w:val="00295288"/>
    <w:rsid w:val="00297532"/>
    <w:rsid w:val="00297FFD"/>
    <w:rsid w:val="002A1210"/>
    <w:rsid w:val="002A47D2"/>
    <w:rsid w:val="002A7FB5"/>
    <w:rsid w:val="002B2074"/>
    <w:rsid w:val="002C0E29"/>
    <w:rsid w:val="002C52E7"/>
    <w:rsid w:val="002D14D8"/>
    <w:rsid w:val="002D4799"/>
    <w:rsid w:val="002E3FA4"/>
    <w:rsid w:val="002E53A5"/>
    <w:rsid w:val="002E64B8"/>
    <w:rsid w:val="002E6834"/>
    <w:rsid w:val="00300102"/>
    <w:rsid w:val="00300947"/>
    <w:rsid w:val="003018AB"/>
    <w:rsid w:val="00304E5C"/>
    <w:rsid w:val="003077D0"/>
    <w:rsid w:val="003113FF"/>
    <w:rsid w:val="00311C8E"/>
    <w:rsid w:val="00312622"/>
    <w:rsid w:val="00313735"/>
    <w:rsid w:val="00313C26"/>
    <w:rsid w:val="00314021"/>
    <w:rsid w:val="0032277F"/>
    <w:rsid w:val="003230B1"/>
    <w:rsid w:val="003251AC"/>
    <w:rsid w:val="00336B69"/>
    <w:rsid w:val="0034302B"/>
    <w:rsid w:val="00345528"/>
    <w:rsid w:val="00350523"/>
    <w:rsid w:val="0035189D"/>
    <w:rsid w:val="00351E3D"/>
    <w:rsid w:val="00352C23"/>
    <w:rsid w:val="003557DE"/>
    <w:rsid w:val="00355B62"/>
    <w:rsid w:val="00357C8A"/>
    <w:rsid w:val="00363A48"/>
    <w:rsid w:val="00363C17"/>
    <w:rsid w:val="003651DB"/>
    <w:rsid w:val="003740BC"/>
    <w:rsid w:val="0037456B"/>
    <w:rsid w:val="00377AC3"/>
    <w:rsid w:val="003801A3"/>
    <w:rsid w:val="00381398"/>
    <w:rsid w:val="00383D90"/>
    <w:rsid w:val="003870AE"/>
    <w:rsid w:val="003966FC"/>
    <w:rsid w:val="003A1A27"/>
    <w:rsid w:val="003A1DB0"/>
    <w:rsid w:val="003A50CC"/>
    <w:rsid w:val="003B00DC"/>
    <w:rsid w:val="003B0213"/>
    <w:rsid w:val="003B40E4"/>
    <w:rsid w:val="003B42B3"/>
    <w:rsid w:val="003B6384"/>
    <w:rsid w:val="003B735B"/>
    <w:rsid w:val="003C0FE2"/>
    <w:rsid w:val="003C385D"/>
    <w:rsid w:val="003C4EBB"/>
    <w:rsid w:val="003D1531"/>
    <w:rsid w:val="003E02D2"/>
    <w:rsid w:val="003E4EC6"/>
    <w:rsid w:val="003E527E"/>
    <w:rsid w:val="003E553E"/>
    <w:rsid w:val="003E62B8"/>
    <w:rsid w:val="003E7078"/>
    <w:rsid w:val="003F3DF5"/>
    <w:rsid w:val="003F73B8"/>
    <w:rsid w:val="0040297E"/>
    <w:rsid w:val="004079E7"/>
    <w:rsid w:val="00411D11"/>
    <w:rsid w:val="00414494"/>
    <w:rsid w:val="00414F56"/>
    <w:rsid w:val="00415E23"/>
    <w:rsid w:val="0041670D"/>
    <w:rsid w:val="00423272"/>
    <w:rsid w:val="00424061"/>
    <w:rsid w:val="00433959"/>
    <w:rsid w:val="00442A3C"/>
    <w:rsid w:val="00443969"/>
    <w:rsid w:val="004466BF"/>
    <w:rsid w:val="0044687E"/>
    <w:rsid w:val="00447D74"/>
    <w:rsid w:val="00450A74"/>
    <w:rsid w:val="00450E7E"/>
    <w:rsid w:val="004546BF"/>
    <w:rsid w:val="00464C4E"/>
    <w:rsid w:val="00465350"/>
    <w:rsid w:val="0046588C"/>
    <w:rsid w:val="00466890"/>
    <w:rsid w:val="004675AA"/>
    <w:rsid w:val="00476B91"/>
    <w:rsid w:val="004846BF"/>
    <w:rsid w:val="00486CCA"/>
    <w:rsid w:val="00487A13"/>
    <w:rsid w:val="00493B78"/>
    <w:rsid w:val="00494912"/>
    <w:rsid w:val="004A3D2F"/>
    <w:rsid w:val="004A5323"/>
    <w:rsid w:val="004A5A99"/>
    <w:rsid w:val="004A6C07"/>
    <w:rsid w:val="004A6CDB"/>
    <w:rsid w:val="004B0ADB"/>
    <w:rsid w:val="004B0EF5"/>
    <w:rsid w:val="004B427F"/>
    <w:rsid w:val="004C17B3"/>
    <w:rsid w:val="004C6979"/>
    <w:rsid w:val="004D13A2"/>
    <w:rsid w:val="004D3E7A"/>
    <w:rsid w:val="004D3FC5"/>
    <w:rsid w:val="004D5293"/>
    <w:rsid w:val="004D7374"/>
    <w:rsid w:val="004E32DE"/>
    <w:rsid w:val="004F1B57"/>
    <w:rsid w:val="004F594B"/>
    <w:rsid w:val="004F61E1"/>
    <w:rsid w:val="004F7380"/>
    <w:rsid w:val="005102F7"/>
    <w:rsid w:val="00517177"/>
    <w:rsid w:val="005200B0"/>
    <w:rsid w:val="00520DEC"/>
    <w:rsid w:val="0053132C"/>
    <w:rsid w:val="0053380B"/>
    <w:rsid w:val="00543194"/>
    <w:rsid w:val="00544138"/>
    <w:rsid w:val="00554E34"/>
    <w:rsid w:val="00570A0C"/>
    <w:rsid w:val="00584583"/>
    <w:rsid w:val="0058621F"/>
    <w:rsid w:val="00590E90"/>
    <w:rsid w:val="00590EEB"/>
    <w:rsid w:val="00592FA2"/>
    <w:rsid w:val="00593FDE"/>
    <w:rsid w:val="0059418C"/>
    <w:rsid w:val="00594798"/>
    <w:rsid w:val="00595380"/>
    <w:rsid w:val="00596ABE"/>
    <w:rsid w:val="005A200A"/>
    <w:rsid w:val="005A4099"/>
    <w:rsid w:val="005B194E"/>
    <w:rsid w:val="005B1EA6"/>
    <w:rsid w:val="005C3218"/>
    <w:rsid w:val="005C38B2"/>
    <w:rsid w:val="005C5029"/>
    <w:rsid w:val="005C55C2"/>
    <w:rsid w:val="005C71CA"/>
    <w:rsid w:val="005C745C"/>
    <w:rsid w:val="005D1596"/>
    <w:rsid w:val="005D3589"/>
    <w:rsid w:val="005D3DCE"/>
    <w:rsid w:val="005D4DF5"/>
    <w:rsid w:val="005E175C"/>
    <w:rsid w:val="005E42BA"/>
    <w:rsid w:val="005E56F4"/>
    <w:rsid w:val="005F1556"/>
    <w:rsid w:val="005F3FE0"/>
    <w:rsid w:val="005F636B"/>
    <w:rsid w:val="0060119B"/>
    <w:rsid w:val="00607516"/>
    <w:rsid w:val="00611D6B"/>
    <w:rsid w:val="00622F0E"/>
    <w:rsid w:val="00630151"/>
    <w:rsid w:val="006326EC"/>
    <w:rsid w:val="00655BEF"/>
    <w:rsid w:val="006573FD"/>
    <w:rsid w:val="006603CF"/>
    <w:rsid w:val="00663A42"/>
    <w:rsid w:val="006641C7"/>
    <w:rsid w:val="006705EA"/>
    <w:rsid w:val="00670BE2"/>
    <w:rsid w:val="006908D1"/>
    <w:rsid w:val="006916D9"/>
    <w:rsid w:val="006940BA"/>
    <w:rsid w:val="00697524"/>
    <w:rsid w:val="006A0E05"/>
    <w:rsid w:val="006A26C6"/>
    <w:rsid w:val="006A465A"/>
    <w:rsid w:val="006A639A"/>
    <w:rsid w:val="006A7D5D"/>
    <w:rsid w:val="006B3BF9"/>
    <w:rsid w:val="006C3A68"/>
    <w:rsid w:val="006D0C12"/>
    <w:rsid w:val="006D5D57"/>
    <w:rsid w:val="006E2538"/>
    <w:rsid w:val="006E302F"/>
    <w:rsid w:val="006E6498"/>
    <w:rsid w:val="006F3891"/>
    <w:rsid w:val="006F4D6D"/>
    <w:rsid w:val="00705086"/>
    <w:rsid w:val="00705894"/>
    <w:rsid w:val="00722001"/>
    <w:rsid w:val="007245C7"/>
    <w:rsid w:val="00735B87"/>
    <w:rsid w:val="00751E66"/>
    <w:rsid w:val="00754497"/>
    <w:rsid w:val="00766930"/>
    <w:rsid w:val="007773AE"/>
    <w:rsid w:val="0078743B"/>
    <w:rsid w:val="00787C39"/>
    <w:rsid w:val="00792947"/>
    <w:rsid w:val="007933A0"/>
    <w:rsid w:val="00795DF3"/>
    <w:rsid w:val="007A373C"/>
    <w:rsid w:val="007A3B4F"/>
    <w:rsid w:val="007A5559"/>
    <w:rsid w:val="007A5BF4"/>
    <w:rsid w:val="007A5E89"/>
    <w:rsid w:val="007A77CF"/>
    <w:rsid w:val="007B225C"/>
    <w:rsid w:val="007B3F21"/>
    <w:rsid w:val="007B794D"/>
    <w:rsid w:val="007C5719"/>
    <w:rsid w:val="007C75B1"/>
    <w:rsid w:val="007D1AD0"/>
    <w:rsid w:val="007D3DFC"/>
    <w:rsid w:val="007E18E3"/>
    <w:rsid w:val="007E19AA"/>
    <w:rsid w:val="007E2F07"/>
    <w:rsid w:val="007E59A8"/>
    <w:rsid w:val="007F49AA"/>
    <w:rsid w:val="00805A56"/>
    <w:rsid w:val="0080776D"/>
    <w:rsid w:val="00810145"/>
    <w:rsid w:val="008108FA"/>
    <w:rsid w:val="00810FF1"/>
    <w:rsid w:val="008136E6"/>
    <w:rsid w:val="00813D58"/>
    <w:rsid w:val="00817045"/>
    <w:rsid w:val="00821991"/>
    <w:rsid w:val="00822336"/>
    <w:rsid w:val="00823DFA"/>
    <w:rsid w:val="00825CBC"/>
    <w:rsid w:val="00825E2F"/>
    <w:rsid w:val="00830FDC"/>
    <w:rsid w:val="00833A39"/>
    <w:rsid w:val="00842DB7"/>
    <w:rsid w:val="00843752"/>
    <w:rsid w:val="0084479F"/>
    <w:rsid w:val="00847964"/>
    <w:rsid w:val="00851BAF"/>
    <w:rsid w:val="0085725E"/>
    <w:rsid w:val="0086379F"/>
    <w:rsid w:val="00870153"/>
    <w:rsid w:val="008723D7"/>
    <w:rsid w:val="008736B5"/>
    <w:rsid w:val="00873D4F"/>
    <w:rsid w:val="0087509F"/>
    <w:rsid w:val="00880033"/>
    <w:rsid w:val="00883C73"/>
    <w:rsid w:val="0088529F"/>
    <w:rsid w:val="00885B09"/>
    <w:rsid w:val="00892400"/>
    <w:rsid w:val="0089348D"/>
    <w:rsid w:val="008948E3"/>
    <w:rsid w:val="00896BE7"/>
    <w:rsid w:val="008A209D"/>
    <w:rsid w:val="008A22BB"/>
    <w:rsid w:val="008A2A19"/>
    <w:rsid w:val="008B035D"/>
    <w:rsid w:val="008B0E29"/>
    <w:rsid w:val="008B0EFA"/>
    <w:rsid w:val="008B30AB"/>
    <w:rsid w:val="008C3BB8"/>
    <w:rsid w:val="008C4B65"/>
    <w:rsid w:val="008D46D3"/>
    <w:rsid w:val="008E0EFE"/>
    <w:rsid w:val="008E5F55"/>
    <w:rsid w:val="008F6546"/>
    <w:rsid w:val="009009E7"/>
    <w:rsid w:val="00903B55"/>
    <w:rsid w:val="00905DEF"/>
    <w:rsid w:val="00906056"/>
    <w:rsid w:val="009122AE"/>
    <w:rsid w:val="00913B43"/>
    <w:rsid w:val="009161A6"/>
    <w:rsid w:val="00927575"/>
    <w:rsid w:val="00927B00"/>
    <w:rsid w:val="00930203"/>
    <w:rsid w:val="009311D2"/>
    <w:rsid w:val="009311E6"/>
    <w:rsid w:val="00931275"/>
    <w:rsid w:val="00936AC7"/>
    <w:rsid w:val="00944CF9"/>
    <w:rsid w:val="009505B6"/>
    <w:rsid w:val="00953B64"/>
    <w:rsid w:val="00953E38"/>
    <w:rsid w:val="0095656E"/>
    <w:rsid w:val="00963A1A"/>
    <w:rsid w:val="009646A7"/>
    <w:rsid w:val="00970A88"/>
    <w:rsid w:val="0097204F"/>
    <w:rsid w:val="009735ED"/>
    <w:rsid w:val="009745D4"/>
    <w:rsid w:val="00974C6E"/>
    <w:rsid w:val="009756EB"/>
    <w:rsid w:val="00976887"/>
    <w:rsid w:val="009818A1"/>
    <w:rsid w:val="0098630A"/>
    <w:rsid w:val="00996ACA"/>
    <w:rsid w:val="009A1674"/>
    <w:rsid w:val="009A172E"/>
    <w:rsid w:val="009A3390"/>
    <w:rsid w:val="009A3C47"/>
    <w:rsid w:val="009A4189"/>
    <w:rsid w:val="009A4FBE"/>
    <w:rsid w:val="009B38BE"/>
    <w:rsid w:val="009B4333"/>
    <w:rsid w:val="009B4DF2"/>
    <w:rsid w:val="009C3939"/>
    <w:rsid w:val="009C4142"/>
    <w:rsid w:val="009C684F"/>
    <w:rsid w:val="009D074C"/>
    <w:rsid w:val="009D5098"/>
    <w:rsid w:val="009D6E73"/>
    <w:rsid w:val="009E0A11"/>
    <w:rsid w:val="009F0DB4"/>
    <w:rsid w:val="009F1F1D"/>
    <w:rsid w:val="009F2B4F"/>
    <w:rsid w:val="009F3C63"/>
    <w:rsid w:val="009F66B5"/>
    <w:rsid w:val="00A02F10"/>
    <w:rsid w:val="00A13265"/>
    <w:rsid w:val="00A137EA"/>
    <w:rsid w:val="00A16221"/>
    <w:rsid w:val="00A16948"/>
    <w:rsid w:val="00A20A7D"/>
    <w:rsid w:val="00A20F2A"/>
    <w:rsid w:val="00A21D29"/>
    <w:rsid w:val="00A221E6"/>
    <w:rsid w:val="00A25182"/>
    <w:rsid w:val="00A311EB"/>
    <w:rsid w:val="00A35D42"/>
    <w:rsid w:val="00A36ED6"/>
    <w:rsid w:val="00A434C0"/>
    <w:rsid w:val="00A46CCF"/>
    <w:rsid w:val="00A506DE"/>
    <w:rsid w:val="00A53451"/>
    <w:rsid w:val="00A5592A"/>
    <w:rsid w:val="00A608DA"/>
    <w:rsid w:val="00A60BCF"/>
    <w:rsid w:val="00A643D1"/>
    <w:rsid w:val="00A70426"/>
    <w:rsid w:val="00A707CC"/>
    <w:rsid w:val="00A71410"/>
    <w:rsid w:val="00A84A23"/>
    <w:rsid w:val="00A91E9A"/>
    <w:rsid w:val="00A93ED9"/>
    <w:rsid w:val="00A941FF"/>
    <w:rsid w:val="00A9426D"/>
    <w:rsid w:val="00A96221"/>
    <w:rsid w:val="00A974E1"/>
    <w:rsid w:val="00A97F04"/>
    <w:rsid w:val="00AA2835"/>
    <w:rsid w:val="00AB6908"/>
    <w:rsid w:val="00AB74FF"/>
    <w:rsid w:val="00AC2DBB"/>
    <w:rsid w:val="00AC5CE2"/>
    <w:rsid w:val="00AC613B"/>
    <w:rsid w:val="00AC67FE"/>
    <w:rsid w:val="00AC6A99"/>
    <w:rsid w:val="00AD6048"/>
    <w:rsid w:val="00AE4179"/>
    <w:rsid w:val="00AF5E93"/>
    <w:rsid w:val="00B03498"/>
    <w:rsid w:val="00B055EF"/>
    <w:rsid w:val="00B06B5B"/>
    <w:rsid w:val="00B07A89"/>
    <w:rsid w:val="00B23769"/>
    <w:rsid w:val="00B32A62"/>
    <w:rsid w:val="00B34071"/>
    <w:rsid w:val="00B3733F"/>
    <w:rsid w:val="00B375DB"/>
    <w:rsid w:val="00B41789"/>
    <w:rsid w:val="00B435D2"/>
    <w:rsid w:val="00B62AC1"/>
    <w:rsid w:val="00B732BF"/>
    <w:rsid w:val="00B767B4"/>
    <w:rsid w:val="00B77885"/>
    <w:rsid w:val="00B81808"/>
    <w:rsid w:val="00B82960"/>
    <w:rsid w:val="00B86DFA"/>
    <w:rsid w:val="00B936D0"/>
    <w:rsid w:val="00BB15FB"/>
    <w:rsid w:val="00BB26DC"/>
    <w:rsid w:val="00BB334B"/>
    <w:rsid w:val="00BC3A3B"/>
    <w:rsid w:val="00BC47AA"/>
    <w:rsid w:val="00BC5EA3"/>
    <w:rsid w:val="00BD1E03"/>
    <w:rsid w:val="00BD27E1"/>
    <w:rsid w:val="00BD3D5B"/>
    <w:rsid w:val="00BD60B3"/>
    <w:rsid w:val="00BE2B88"/>
    <w:rsid w:val="00BE3600"/>
    <w:rsid w:val="00BE4AA4"/>
    <w:rsid w:val="00BF2EDA"/>
    <w:rsid w:val="00BF65CA"/>
    <w:rsid w:val="00C01F6F"/>
    <w:rsid w:val="00C041EA"/>
    <w:rsid w:val="00C13BBD"/>
    <w:rsid w:val="00C149AB"/>
    <w:rsid w:val="00C14C80"/>
    <w:rsid w:val="00C16929"/>
    <w:rsid w:val="00C20690"/>
    <w:rsid w:val="00C26FD6"/>
    <w:rsid w:val="00C275C3"/>
    <w:rsid w:val="00C3575B"/>
    <w:rsid w:val="00C36020"/>
    <w:rsid w:val="00C37F93"/>
    <w:rsid w:val="00C40694"/>
    <w:rsid w:val="00C4611A"/>
    <w:rsid w:val="00C479BF"/>
    <w:rsid w:val="00C5124B"/>
    <w:rsid w:val="00C54E18"/>
    <w:rsid w:val="00C57CDC"/>
    <w:rsid w:val="00C618C8"/>
    <w:rsid w:val="00C62F75"/>
    <w:rsid w:val="00C6379E"/>
    <w:rsid w:val="00C66DC3"/>
    <w:rsid w:val="00C70542"/>
    <w:rsid w:val="00C73008"/>
    <w:rsid w:val="00C737D1"/>
    <w:rsid w:val="00C75CBF"/>
    <w:rsid w:val="00C802BF"/>
    <w:rsid w:val="00C97477"/>
    <w:rsid w:val="00CA18D9"/>
    <w:rsid w:val="00CC132D"/>
    <w:rsid w:val="00CC2894"/>
    <w:rsid w:val="00CC766F"/>
    <w:rsid w:val="00CD77C3"/>
    <w:rsid w:val="00CE080D"/>
    <w:rsid w:val="00CE112C"/>
    <w:rsid w:val="00CF42E7"/>
    <w:rsid w:val="00CF55D4"/>
    <w:rsid w:val="00D001F8"/>
    <w:rsid w:val="00D1784E"/>
    <w:rsid w:val="00D17DE3"/>
    <w:rsid w:val="00D31CB4"/>
    <w:rsid w:val="00D44A08"/>
    <w:rsid w:val="00D50838"/>
    <w:rsid w:val="00D608DA"/>
    <w:rsid w:val="00D61085"/>
    <w:rsid w:val="00D67DEA"/>
    <w:rsid w:val="00D71D43"/>
    <w:rsid w:val="00D72ABA"/>
    <w:rsid w:val="00D730BF"/>
    <w:rsid w:val="00D838A3"/>
    <w:rsid w:val="00D852F4"/>
    <w:rsid w:val="00D97EF4"/>
    <w:rsid w:val="00DA34BC"/>
    <w:rsid w:val="00DA7883"/>
    <w:rsid w:val="00DB1110"/>
    <w:rsid w:val="00DB3730"/>
    <w:rsid w:val="00DC2174"/>
    <w:rsid w:val="00DC371B"/>
    <w:rsid w:val="00DC3788"/>
    <w:rsid w:val="00DC76C7"/>
    <w:rsid w:val="00DD0373"/>
    <w:rsid w:val="00DD09F5"/>
    <w:rsid w:val="00DD0E02"/>
    <w:rsid w:val="00DD1F5B"/>
    <w:rsid w:val="00DD4201"/>
    <w:rsid w:val="00DD5E9F"/>
    <w:rsid w:val="00DE0DA2"/>
    <w:rsid w:val="00DE5711"/>
    <w:rsid w:val="00DE7E80"/>
    <w:rsid w:val="00DF16D2"/>
    <w:rsid w:val="00DF4079"/>
    <w:rsid w:val="00E00EA0"/>
    <w:rsid w:val="00E021CB"/>
    <w:rsid w:val="00E138F1"/>
    <w:rsid w:val="00E13AED"/>
    <w:rsid w:val="00E209AB"/>
    <w:rsid w:val="00E2309D"/>
    <w:rsid w:val="00E26758"/>
    <w:rsid w:val="00E26998"/>
    <w:rsid w:val="00E352BD"/>
    <w:rsid w:val="00E40DFC"/>
    <w:rsid w:val="00E4357B"/>
    <w:rsid w:val="00E443A7"/>
    <w:rsid w:val="00E45904"/>
    <w:rsid w:val="00E45AE8"/>
    <w:rsid w:val="00E50BAC"/>
    <w:rsid w:val="00E61F10"/>
    <w:rsid w:val="00E63DE5"/>
    <w:rsid w:val="00E647AF"/>
    <w:rsid w:val="00E647C7"/>
    <w:rsid w:val="00E65966"/>
    <w:rsid w:val="00E65A37"/>
    <w:rsid w:val="00E65EF7"/>
    <w:rsid w:val="00E71393"/>
    <w:rsid w:val="00E74F84"/>
    <w:rsid w:val="00E77B48"/>
    <w:rsid w:val="00E80EFB"/>
    <w:rsid w:val="00E81E00"/>
    <w:rsid w:val="00E855EC"/>
    <w:rsid w:val="00E857FB"/>
    <w:rsid w:val="00E86C3A"/>
    <w:rsid w:val="00E91799"/>
    <w:rsid w:val="00E96C7F"/>
    <w:rsid w:val="00E97DF8"/>
    <w:rsid w:val="00EA21FE"/>
    <w:rsid w:val="00EA34E3"/>
    <w:rsid w:val="00EA482D"/>
    <w:rsid w:val="00EB7538"/>
    <w:rsid w:val="00EC1868"/>
    <w:rsid w:val="00EC43C3"/>
    <w:rsid w:val="00ED6339"/>
    <w:rsid w:val="00EE0C03"/>
    <w:rsid w:val="00EE10A2"/>
    <w:rsid w:val="00EE6468"/>
    <w:rsid w:val="00EF53C6"/>
    <w:rsid w:val="00EF5FBA"/>
    <w:rsid w:val="00EF78D6"/>
    <w:rsid w:val="00F0288F"/>
    <w:rsid w:val="00F04BC4"/>
    <w:rsid w:val="00F1299B"/>
    <w:rsid w:val="00F207A4"/>
    <w:rsid w:val="00F23172"/>
    <w:rsid w:val="00F25173"/>
    <w:rsid w:val="00F32735"/>
    <w:rsid w:val="00F355AC"/>
    <w:rsid w:val="00F36BB9"/>
    <w:rsid w:val="00F36C5C"/>
    <w:rsid w:val="00F40CF7"/>
    <w:rsid w:val="00F44194"/>
    <w:rsid w:val="00F4790F"/>
    <w:rsid w:val="00F47CE6"/>
    <w:rsid w:val="00F628E6"/>
    <w:rsid w:val="00F6571E"/>
    <w:rsid w:val="00F71A5A"/>
    <w:rsid w:val="00F73A1A"/>
    <w:rsid w:val="00F74038"/>
    <w:rsid w:val="00F769E0"/>
    <w:rsid w:val="00F846ED"/>
    <w:rsid w:val="00F94B4C"/>
    <w:rsid w:val="00FA30BF"/>
    <w:rsid w:val="00FA4A46"/>
    <w:rsid w:val="00FA5770"/>
    <w:rsid w:val="00FA66E5"/>
    <w:rsid w:val="00FA75FE"/>
    <w:rsid w:val="00FA7F76"/>
    <w:rsid w:val="00FB1032"/>
    <w:rsid w:val="00FB39BC"/>
    <w:rsid w:val="00FB6A53"/>
    <w:rsid w:val="00FC0ED3"/>
    <w:rsid w:val="00FC11CA"/>
    <w:rsid w:val="00FC3EF6"/>
    <w:rsid w:val="00FC6BDE"/>
    <w:rsid w:val="00FD0894"/>
    <w:rsid w:val="00FD1CAC"/>
    <w:rsid w:val="00FD2557"/>
    <w:rsid w:val="00FD3894"/>
    <w:rsid w:val="00FD69AE"/>
    <w:rsid w:val="00FE7215"/>
    <w:rsid w:val="00FF53BA"/>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A7C1A"/>
  <w15:chartTrackingRefBased/>
  <w15:docId w15:val="{8A4821DC-782A-423C-A1C8-B4CF1244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iPriority w:val="99"/>
    <w:rsid w:val="000C130D"/>
    <w:pPr>
      <w:autoSpaceDE w:val="0"/>
      <w:autoSpaceDN w:val="0"/>
      <w:adjustRightInd w:val="0"/>
    </w:pPr>
    <w:rPr>
      <w:lang w:bidi="he-IL"/>
    </w:rPr>
  </w:style>
  <w:style w:type="character" w:customStyle="1" w:styleId="FootnoteTextChar">
    <w:name w:val="Footnote Text Char"/>
    <w:link w:val="FootnoteText"/>
    <w:uiPriority w:val="99"/>
    <w:rsid w:val="000C130D"/>
    <w:rPr>
      <w:sz w:val="24"/>
      <w:szCs w:val="24"/>
      <w:lang w:bidi="he-IL"/>
    </w:rPr>
  </w:style>
  <w:style w:type="character" w:styleId="FootnoteReference">
    <w:name w:val="footnote reference"/>
    <w:uiPriority w:val="99"/>
    <w:rsid w:val="000C130D"/>
    <w:rPr>
      <w:vertAlign w:val="superscript"/>
    </w:rPr>
  </w:style>
  <w:style w:type="paragraph" w:styleId="NoSpacing">
    <w:name w:val="No Spacing"/>
    <w:uiPriority w:val="1"/>
    <w:qFormat/>
    <w:rsid w:val="000B0944"/>
    <w:rPr>
      <w:rFonts w:ascii="Calibri" w:eastAsia="Calibri" w:hAnsi="Calibri"/>
      <w:sz w:val="22"/>
      <w:szCs w:val="22"/>
    </w:rPr>
  </w:style>
  <w:style w:type="character" w:styleId="CommentReference">
    <w:name w:val="annotation reference"/>
    <w:rsid w:val="002C0E29"/>
    <w:rPr>
      <w:sz w:val="16"/>
      <w:szCs w:val="16"/>
    </w:rPr>
  </w:style>
  <w:style w:type="paragraph" w:styleId="CommentText">
    <w:name w:val="annotation text"/>
    <w:basedOn w:val="Normal"/>
    <w:link w:val="CommentTextChar"/>
    <w:rsid w:val="002C0E29"/>
    <w:rPr>
      <w:sz w:val="20"/>
      <w:szCs w:val="20"/>
    </w:rPr>
  </w:style>
  <w:style w:type="character" w:customStyle="1" w:styleId="CommentTextChar">
    <w:name w:val="Comment Text Char"/>
    <w:basedOn w:val="DefaultParagraphFont"/>
    <w:link w:val="CommentText"/>
    <w:rsid w:val="002C0E29"/>
  </w:style>
  <w:style w:type="paragraph" w:styleId="CommentSubject">
    <w:name w:val="annotation subject"/>
    <w:basedOn w:val="CommentText"/>
    <w:next w:val="CommentText"/>
    <w:link w:val="CommentSubjectChar"/>
    <w:rsid w:val="002C0E29"/>
    <w:rPr>
      <w:b/>
      <w:bCs/>
    </w:rPr>
  </w:style>
  <w:style w:type="character" w:customStyle="1" w:styleId="CommentSubjectChar">
    <w:name w:val="Comment Subject Char"/>
    <w:link w:val="CommentSubject"/>
    <w:rsid w:val="002C0E29"/>
    <w:rPr>
      <w:b/>
      <w:bCs/>
    </w:rPr>
  </w:style>
  <w:style w:type="paragraph" w:styleId="Revision">
    <w:name w:val="Revision"/>
    <w:hidden/>
    <w:uiPriority w:val="99"/>
    <w:semiHidden/>
    <w:rsid w:val="001A058D"/>
    <w:rPr>
      <w:sz w:val="24"/>
      <w:szCs w:val="24"/>
    </w:rPr>
  </w:style>
  <w:style w:type="paragraph" w:styleId="BodyTextIndent3">
    <w:name w:val="Body Text Indent 3"/>
    <w:basedOn w:val="Normal"/>
    <w:link w:val="BodyTextIndent3Char"/>
    <w:rsid w:val="00B32A62"/>
    <w:pPr>
      <w:spacing w:after="120"/>
      <w:ind w:left="360"/>
    </w:pPr>
    <w:rPr>
      <w:sz w:val="16"/>
      <w:szCs w:val="16"/>
    </w:rPr>
  </w:style>
  <w:style w:type="character" w:customStyle="1" w:styleId="BodyTextIndent3Char">
    <w:name w:val="Body Text Indent 3 Char"/>
    <w:basedOn w:val="DefaultParagraphFont"/>
    <w:link w:val="BodyTextIndent3"/>
    <w:rsid w:val="00B32A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food/cfsan-constituent-updates/fda-commissioner-addresses-state-agriculture-commissioners-announces-new-steps-enhance-collabor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da.gov/food/outbreaks-foodborne-illness/about-core-network%20" TargetMode="External"/><Relationship Id="rId4" Type="http://schemas.openxmlformats.org/officeDocument/2006/relationships/settings" Target="settings.xml"/><Relationship Id="rId9" Type="http://schemas.openxmlformats.org/officeDocument/2006/relationships/hyperlink" Target="https://fda-my.sharepoint.com/personal/dhc_fda_gov/Documents/Documents/www.fda.gov/food/agricultural-biotechnology/agricultural-biotechnology-education-and-outreach-initiativ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s://www.whitehouse.gov/sites/whitehouse.gov/files/omb/inforeg/inforeg/pra_flexibilities_memo_7_22_16_finalI.pdf" TargetMode="External"/><Relationship Id="rId1" Type="http://schemas.openxmlformats.org/officeDocument/2006/relationships/hyperlink" Target="https://www.fda.gov/science-research/advancing-regulatory-science/strategic-plan-regulatory-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D4E7-F6B4-40AC-8F3F-B45C9A4E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2562</Words>
  <Characters>16353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18878</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8257638</vt:i4>
      </vt:variant>
      <vt:variant>
        <vt:i4>0</vt:i4>
      </vt:variant>
      <vt:variant>
        <vt:i4>0</vt:i4>
      </vt:variant>
      <vt:variant>
        <vt:i4>5</vt:i4>
      </vt:variant>
      <vt:variant>
        <vt:lpwstr>https://www.fda.gov/science-research/advancing-regulatory-science/strategic-plan-regulatory-science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2022-02-02T15:35:00Z</dcterms:created>
  <dcterms:modified xsi:type="dcterms:W3CDTF">2022-02-02T16:45:00Z</dcterms:modified>
</cp:coreProperties>
</file>