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968" w:rsidP="00185968" w:rsidRDefault="00185968" w14:paraId="10759D91" w14:textId="77777777">
      <w:pPr>
        <w:jc w:val="center"/>
        <w:rPr>
          <w:bCs/>
        </w:rPr>
      </w:pPr>
      <w:r>
        <w:rPr>
          <w:bCs/>
        </w:rPr>
        <w:t>UNITED STATES FOOD &amp; DRUG ADMINISTRATION</w:t>
      </w:r>
    </w:p>
    <w:p w:rsidR="0009252F" w:rsidP="00B82C30" w:rsidRDefault="0009252F" w14:paraId="41C35CAB" w14:textId="41905C01">
      <w:pPr>
        <w:rPr>
          <w:b/>
          <w:color w:val="000000"/>
        </w:rPr>
      </w:pPr>
    </w:p>
    <w:p w:rsidRPr="00B82C30" w:rsidR="00FB7637" w:rsidP="0009252F" w:rsidRDefault="00D0521B" w14:paraId="7EC6E043" w14:textId="77777777">
      <w:pPr>
        <w:jc w:val="center"/>
        <w:rPr>
          <w:bCs/>
          <w:color w:val="000000"/>
        </w:rPr>
      </w:pPr>
      <w:r w:rsidRPr="00B82C30">
        <w:rPr>
          <w:bCs/>
          <w:color w:val="000000"/>
        </w:rPr>
        <w:t>Environmental Impact Considerations</w:t>
      </w:r>
    </w:p>
    <w:p w:rsidR="00B23769" w:rsidP="0009252F" w:rsidRDefault="00D0521B" w14:paraId="2E9669DF" w14:textId="64761C35">
      <w:pPr>
        <w:jc w:val="center"/>
        <w:rPr>
          <w:bCs/>
          <w:color w:val="000000"/>
        </w:rPr>
      </w:pPr>
      <w:r w:rsidRPr="00B82C30">
        <w:rPr>
          <w:bCs/>
          <w:color w:val="000000"/>
        </w:rPr>
        <w:t xml:space="preserve"> 21 CFR Part 25</w:t>
      </w:r>
    </w:p>
    <w:p w:rsidRPr="00B82C30" w:rsidR="00B82C30" w:rsidP="0009252F" w:rsidRDefault="00B82C30" w14:paraId="2224FC6A" w14:textId="77777777">
      <w:pPr>
        <w:jc w:val="center"/>
        <w:rPr>
          <w:bCs/>
          <w:color w:val="000000"/>
        </w:rPr>
      </w:pPr>
    </w:p>
    <w:p w:rsidRPr="00B82C30" w:rsidR="00EB7538" w:rsidP="0009252F" w:rsidRDefault="0009252F" w14:paraId="5B68497B" w14:textId="77777777">
      <w:pPr>
        <w:jc w:val="center"/>
        <w:rPr>
          <w:bCs/>
          <w:color w:val="000000"/>
        </w:rPr>
      </w:pPr>
      <w:r w:rsidRPr="00B82C30">
        <w:rPr>
          <w:bCs/>
          <w:color w:val="000000"/>
        </w:rPr>
        <w:t xml:space="preserve">OMB Control No. </w:t>
      </w:r>
      <w:r w:rsidRPr="00B82C30" w:rsidR="00EB7538">
        <w:rPr>
          <w:bCs/>
          <w:color w:val="000000"/>
        </w:rPr>
        <w:t>0910-</w:t>
      </w:r>
      <w:r w:rsidRPr="00B82C30" w:rsidR="00D0521B">
        <w:rPr>
          <w:bCs/>
          <w:color w:val="000000"/>
        </w:rPr>
        <w:t>0322</w:t>
      </w:r>
    </w:p>
    <w:p w:rsidR="00EC7077" w:rsidP="0009252F" w:rsidRDefault="00EC7077" w14:paraId="1BC07824" w14:textId="77777777">
      <w:pPr>
        <w:jc w:val="center"/>
        <w:rPr>
          <w:b/>
          <w:color w:val="000000"/>
        </w:rPr>
      </w:pPr>
    </w:p>
    <w:p w:rsidR="00EC7077" w:rsidP="00EC7077" w:rsidRDefault="00EC7077" w14:paraId="7CF108FA" w14:textId="77777777">
      <w:pPr>
        <w:rPr>
          <w:bCs/>
          <w:color w:val="000000"/>
        </w:rPr>
      </w:pPr>
    </w:p>
    <w:p w:rsidRPr="00EC7077" w:rsidR="00EB7538" w:rsidP="00EC7077" w:rsidRDefault="00EB7538" w14:paraId="4AD7D9BC" w14:textId="3E37C799">
      <w:pPr>
        <w:ind w:firstLine="360"/>
        <w:rPr>
          <w:b/>
          <w:color w:val="000000"/>
        </w:rPr>
      </w:pPr>
      <w:r w:rsidRPr="00EC7077">
        <w:rPr>
          <w:bCs/>
          <w:color w:val="000000"/>
        </w:rPr>
        <w:t>SUPPORTING STATEMENT</w:t>
      </w:r>
      <w:r w:rsidR="00EC7077">
        <w:rPr>
          <w:bCs/>
          <w:color w:val="000000"/>
        </w:rPr>
        <w:t xml:space="preserve"> </w:t>
      </w:r>
      <w:r w:rsidR="00EC7077">
        <w:rPr>
          <w:b/>
          <w:color w:val="000000"/>
        </w:rPr>
        <w:t xml:space="preserve">Part A:  Justification </w:t>
      </w:r>
    </w:p>
    <w:p w:rsidRPr="00290E45" w:rsidR="008B30AB" w:rsidP="008B30AB" w:rsidRDefault="00EB7538" w14:paraId="4A5D243E" w14:textId="77777777">
      <w:pPr>
        <w:numPr>
          <w:ilvl w:val="0"/>
          <w:numId w:val="1"/>
        </w:numPr>
        <w:spacing w:before="100" w:beforeAutospacing="1" w:after="100" w:afterAutospacing="1"/>
        <w:rPr>
          <w:color w:val="000000"/>
          <w:u w:val="single"/>
        </w:rPr>
      </w:pPr>
      <w:r w:rsidRPr="00290E45">
        <w:rPr>
          <w:color w:val="000000"/>
          <w:u w:val="single"/>
        </w:rPr>
        <w:t>Circumstances Making the Collection of Information Necessary</w:t>
      </w:r>
    </w:p>
    <w:p w:rsidRPr="00290E45" w:rsidR="00D0521B" w:rsidP="008C7FA1" w:rsidRDefault="00543AEF" w14:paraId="1A0B7DDE" w14:textId="505781C4">
      <w:pPr>
        <w:spacing w:before="100" w:beforeAutospacing="1" w:after="100" w:afterAutospacing="1" w:line="360" w:lineRule="auto"/>
        <w:ind w:left="720"/>
        <w:rPr>
          <w:color w:val="000000"/>
        </w:rPr>
      </w:pPr>
      <w:r>
        <w:rPr>
          <w:color w:val="000000"/>
        </w:rPr>
        <w:t xml:space="preserve">This information </w:t>
      </w:r>
      <w:r w:rsidR="00C13CB9">
        <w:rPr>
          <w:color w:val="000000"/>
        </w:rPr>
        <w:t>collection supports Food and Drug Administration (</w:t>
      </w:r>
      <w:r w:rsidRPr="00290E45" w:rsidR="00D0521B">
        <w:rPr>
          <w:color w:val="000000"/>
        </w:rPr>
        <w:t>FDA</w:t>
      </w:r>
      <w:r w:rsidR="00C13CB9">
        <w:rPr>
          <w:color w:val="000000"/>
        </w:rPr>
        <w:t>, us or we) regulation</w:t>
      </w:r>
      <w:r w:rsidR="000E1A29">
        <w:rPr>
          <w:color w:val="000000"/>
        </w:rPr>
        <w:t>s.</w:t>
      </w:r>
      <w:r w:rsidR="008C7FA1">
        <w:rPr>
          <w:color w:val="000000"/>
        </w:rPr>
        <w:t xml:space="preserve"> </w:t>
      </w:r>
      <w:r w:rsidRPr="00290E45" w:rsidR="00D0521B">
        <w:rPr>
          <w:color w:val="000000"/>
        </w:rPr>
        <w:t xml:space="preserve"> The National Environmental Policy Act (NEPA) (42 U.S.C. 4321-4347), states national environmental objectives and imposes upon each Federal </w:t>
      </w:r>
      <w:r w:rsidR="00A6312E">
        <w:rPr>
          <w:color w:val="000000"/>
        </w:rPr>
        <w:t>A</w:t>
      </w:r>
      <w:r w:rsidRPr="00290E45" w:rsidR="00D0521B">
        <w:rPr>
          <w:color w:val="000000"/>
        </w:rPr>
        <w:t>gency the duty to consider the environmental effects of its actions.  Section 102(2)(C) of NEPA requires the preparation of an environmental impact statement (EIS) for every major Federal action that will significantly affect the quality of the human environment.</w:t>
      </w:r>
      <w:r w:rsidR="008C7FA1">
        <w:rPr>
          <w:color w:val="000000"/>
        </w:rPr>
        <w:t xml:space="preserve">  </w:t>
      </w:r>
      <w:r w:rsidRPr="00290E45" w:rsidR="00D0521B">
        <w:rPr>
          <w:color w:val="000000"/>
        </w:rPr>
        <w:t xml:space="preserve">The FDA NEPA regulations are </w:t>
      </w:r>
      <w:r w:rsidRPr="00290E45" w:rsidR="00DA1795">
        <w:rPr>
          <w:color w:val="000000"/>
        </w:rPr>
        <w:t xml:space="preserve">contained in </w:t>
      </w:r>
      <w:r w:rsidRPr="00290E45" w:rsidR="00D0521B">
        <w:rPr>
          <w:color w:val="000000"/>
        </w:rPr>
        <w:t>21 CFR part 25.  All applications or petitions requesting agency action require the submission of a claim for a categorical exclusion or an environmental assessment (EA).  A categorical exclusion applies to certain classes of FDA-regulated actions that usually have little or no potential to cause significant environmental effects and are excluded from the requirements to prepare an EA or EIS.  Section 25.15(a) and (d) specifies the procedures for submitting to FDA a claim for a categorical exclusion.  Extraordinary circumstances (§ 25.21), which may result in significant environmental impacts, may exist for some actions that are usually categorically excluded.  An EA provides information that is used to determine whether an FDA action could result in a significant environmental impact.  Sections 25.40(a) and (c) specifies the content requirements for EAs for non</w:t>
      </w:r>
      <w:r w:rsidR="00C6432A">
        <w:rPr>
          <w:color w:val="000000"/>
        </w:rPr>
        <w:t>-</w:t>
      </w:r>
      <w:r w:rsidRPr="00290E45" w:rsidR="00D0521B">
        <w:rPr>
          <w:color w:val="000000"/>
        </w:rPr>
        <w:t>excluded actions.</w:t>
      </w:r>
    </w:p>
    <w:p w:rsidRPr="00290E45" w:rsidR="00D0521B" w:rsidP="00166043" w:rsidRDefault="00D0521B" w14:paraId="45E866BE" w14:textId="77777777">
      <w:pPr>
        <w:spacing w:before="100" w:beforeAutospacing="1" w:after="100" w:afterAutospacing="1" w:line="360" w:lineRule="auto"/>
        <w:ind w:left="720"/>
        <w:rPr>
          <w:color w:val="000000"/>
        </w:rPr>
      </w:pPr>
      <w:r w:rsidRPr="00290E45">
        <w:rPr>
          <w:color w:val="000000"/>
        </w:rPr>
        <w:t>This collection of information is used by FDA to assess the environmental impact of agency actions</w:t>
      </w:r>
      <w:r w:rsidRPr="00290E45" w:rsidR="00AC25D3">
        <w:rPr>
          <w:color w:val="000000"/>
        </w:rPr>
        <w:t xml:space="preserve">.  </w:t>
      </w:r>
      <w:r w:rsidRPr="00290E45">
        <w:rPr>
          <w:color w:val="000000"/>
        </w:rPr>
        <w:t>The final EIS, including the comments received, is reviewed by the agency to weigh environmental costs and benefits in determining whether to pursue the proposed action or some alternative that would reduce expected environmental impact.</w:t>
      </w:r>
    </w:p>
    <w:p w:rsidR="00D0521B" w:rsidP="00166043" w:rsidRDefault="00D0521B" w14:paraId="7FBA7098" w14:textId="0F137942">
      <w:pPr>
        <w:spacing w:before="100" w:beforeAutospacing="1" w:after="100" w:afterAutospacing="1" w:line="360" w:lineRule="auto"/>
        <w:ind w:left="720"/>
        <w:rPr>
          <w:color w:val="000000"/>
        </w:rPr>
      </w:pPr>
      <w:r w:rsidRPr="00290E45">
        <w:rPr>
          <w:color w:val="000000"/>
        </w:rPr>
        <w:lastRenderedPageBreak/>
        <w:t xml:space="preserve">Any final EIS would contain additional information gathered by the </w:t>
      </w:r>
      <w:r w:rsidR="00A6312E">
        <w:rPr>
          <w:color w:val="000000"/>
        </w:rPr>
        <w:t>A</w:t>
      </w:r>
      <w:r w:rsidRPr="00290E45">
        <w:rPr>
          <w:color w:val="000000"/>
        </w:rPr>
        <w:t xml:space="preserve">gency after the publication of the draft EIS, a copy of or a summary of the comments received on the draft EIS, and the </w:t>
      </w:r>
      <w:r w:rsidR="00955115">
        <w:rPr>
          <w:color w:val="000000"/>
        </w:rPr>
        <w:t>A</w:t>
      </w:r>
      <w:r w:rsidRPr="00290E45">
        <w:rPr>
          <w:color w:val="000000"/>
        </w:rPr>
        <w:t>gency</w:t>
      </w:r>
      <w:r w:rsidRPr="00290E45" w:rsidR="00DA1795">
        <w:rPr>
          <w:color w:val="000000"/>
        </w:rPr>
        <w:t>’</w:t>
      </w:r>
      <w:r w:rsidRPr="00290E45">
        <w:rPr>
          <w:color w:val="000000"/>
        </w:rPr>
        <w:t xml:space="preserve">s responses to the comments, including any revisions resulting from the comments or other information.  When the </w:t>
      </w:r>
      <w:r w:rsidR="00A6312E">
        <w:rPr>
          <w:color w:val="000000"/>
        </w:rPr>
        <w:t>A</w:t>
      </w:r>
      <w:r w:rsidRPr="00290E45">
        <w:rPr>
          <w:color w:val="000000"/>
        </w:rPr>
        <w:t xml:space="preserve">gency finds that no significant environmental effects are expected, the </w:t>
      </w:r>
      <w:r w:rsidR="00955115">
        <w:rPr>
          <w:color w:val="000000"/>
        </w:rPr>
        <w:t>A</w:t>
      </w:r>
      <w:r w:rsidRPr="00290E45">
        <w:rPr>
          <w:color w:val="000000"/>
        </w:rPr>
        <w:t>gency prepares a finding of no significant impact (FONSI).</w:t>
      </w:r>
    </w:p>
    <w:p w:rsidR="00A67A7D" w:rsidP="00166043" w:rsidRDefault="00ED0CF8" w14:paraId="791F9DD5" w14:textId="70F45E4A">
      <w:pPr>
        <w:spacing w:before="100" w:beforeAutospacing="1" w:after="100" w:afterAutospacing="1" w:line="360" w:lineRule="auto"/>
        <w:ind w:left="720"/>
        <w:rPr>
          <w:color w:val="000000"/>
        </w:rPr>
      </w:pPr>
      <w:r>
        <w:rPr>
          <w:color w:val="000000"/>
        </w:rPr>
        <w:t xml:space="preserve">We therefore </w:t>
      </w:r>
      <w:r w:rsidRPr="00290E45" w:rsidR="00A67A7D">
        <w:rPr>
          <w:color w:val="000000"/>
        </w:rPr>
        <w:t xml:space="preserve">request OMB approval for the </w:t>
      </w:r>
      <w:r w:rsidR="00BD77E6">
        <w:rPr>
          <w:color w:val="000000"/>
        </w:rPr>
        <w:t xml:space="preserve">information collection </w:t>
      </w:r>
      <w:r w:rsidR="000822BA">
        <w:rPr>
          <w:color w:val="000000"/>
        </w:rPr>
        <w:t>associated with</w:t>
      </w:r>
      <w:r w:rsidRPr="00290E45" w:rsidR="00A67A7D">
        <w:rPr>
          <w:color w:val="000000"/>
        </w:rPr>
        <w:t xml:space="preserve"> </w:t>
      </w:r>
      <w:r w:rsidR="002553EF">
        <w:rPr>
          <w:color w:val="000000"/>
        </w:rPr>
        <w:t>reporting</w:t>
      </w:r>
      <w:r w:rsidR="004E5CC1">
        <w:rPr>
          <w:color w:val="000000"/>
        </w:rPr>
        <w:t xml:space="preserve"> of </w:t>
      </w:r>
      <w:r w:rsidR="002553EF">
        <w:rPr>
          <w:color w:val="000000"/>
        </w:rPr>
        <w:t>e</w:t>
      </w:r>
      <w:r w:rsidRPr="00290E45" w:rsidR="00A67A7D">
        <w:rPr>
          <w:color w:val="000000"/>
        </w:rPr>
        <w:t xml:space="preserve">nvironmental </w:t>
      </w:r>
      <w:r w:rsidR="002553EF">
        <w:rPr>
          <w:color w:val="000000"/>
        </w:rPr>
        <w:t>i</w:t>
      </w:r>
      <w:r w:rsidRPr="00290E45" w:rsidR="00A67A7D">
        <w:rPr>
          <w:color w:val="000000"/>
        </w:rPr>
        <w:t xml:space="preserve">mpact </w:t>
      </w:r>
      <w:r w:rsidR="002553EF">
        <w:rPr>
          <w:color w:val="000000"/>
        </w:rPr>
        <w:t>c</w:t>
      </w:r>
      <w:r w:rsidRPr="00290E45" w:rsidR="00A67A7D">
        <w:rPr>
          <w:color w:val="000000"/>
        </w:rPr>
        <w:t>onsiderations</w:t>
      </w:r>
      <w:r w:rsidR="004E5CC1">
        <w:rPr>
          <w:color w:val="000000"/>
        </w:rPr>
        <w:t>, as discussed in this supporting statement</w:t>
      </w:r>
      <w:r w:rsidR="00041175">
        <w:rPr>
          <w:color w:val="000000"/>
        </w:rPr>
        <w:t>.</w:t>
      </w:r>
      <w:r w:rsidR="000822BA">
        <w:rPr>
          <w:color w:val="000000"/>
        </w:rPr>
        <w:t xml:space="preserve"> </w:t>
      </w:r>
    </w:p>
    <w:p w:rsidRPr="00290E45" w:rsidR="008B30AB" w:rsidP="008B30AB" w:rsidRDefault="00EB7538" w14:paraId="2E7E74CD" w14:textId="77777777">
      <w:pPr>
        <w:numPr>
          <w:ilvl w:val="0"/>
          <w:numId w:val="1"/>
        </w:numPr>
        <w:spacing w:before="100" w:beforeAutospacing="1" w:after="100" w:afterAutospacing="1"/>
        <w:rPr>
          <w:color w:val="000000"/>
          <w:u w:val="single"/>
        </w:rPr>
      </w:pPr>
      <w:r w:rsidRPr="00290E45">
        <w:rPr>
          <w:color w:val="000000"/>
          <w:u w:val="single"/>
        </w:rPr>
        <w:t xml:space="preserve">Purpose and Use of the Information Collection </w:t>
      </w:r>
    </w:p>
    <w:p w:rsidRPr="00290E45" w:rsidR="00E44FB3" w:rsidP="00166043" w:rsidRDefault="00E44FB3" w14:paraId="1686F99E" w14:textId="30F2A012">
      <w:pPr>
        <w:spacing w:line="360" w:lineRule="auto"/>
        <w:ind w:left="720"/>
        <w:rPr>
          <w:color w:val="000000"/>
        </w:rPr>
      </w:pPr>
      <w:r w:rsidRPr="00290E45">
        <w:rPr>
          <w:color w:val="000000"/>
        </w:rPr>
        <w:t xml:space="preserve">This collection of information is used by FDA to assess the environmental impact of </w:t>
      </w:r>
      <w:r w:rsidR="00A6312E">
        <w:rPr>
          <w:color w:val="000000"/>
        </w:rPr>
        <w:t>A</w:t>
      </w:r>
      <w:r w:rsidRPr="00290E45">
        <w:rPr>
          <w:color w:val="000000"/>
        </w:rPr>
        <w:t xml:space="preserve">gency actions and to ensure that the public is informed of environmental analyses.  Firms wishing to </w:t>
      </w:r>
      <w:r w:rsidRPr="00290E45" w:rsidR="009E3210">
        <w:rPr>
          <w:color w:val="000000"/>
        </w:rPr>
        <w:t>manufacture,</w:t>
      </w:r>
      <w:r w:rsidRPr="00290E45">
        <w:rPr>
          <w:color w:val="000000"/>
        </w:rPr>
        <w:t xml:space="preserve"> and market substances regulated under statutes for which FDA is responsible must, in most instances, submit applications requesting approval.  Environmental information must be included in such applications </w:t>
      </w:r>
      <w:r w:rsidRPr="00290E45" w:rsidR="009E3210">
        <w:rPr>
          <w:color w:val="000000"/>
        </w:rPr>
        <w:t>for</w:t>
      </w:r>
      <w:r w:rsidRPr="00290E45">
        <w:rPr>
          <w:color w:val="000000"/>
        </w:rPr>
        <w:t xml:space="preserve"> determining whether the proposed action may have a significant impact on the environment.  Where significant adverse effects cannot be avoided, the </w:t>
      </w:r>
      <w:r w:rsidR="00A6312E">
        <w:rPr>
          <w:color w:val="000000"/>
        </w:rPr>
        <w:t>A</w:t>
      </w:r>
      <w:r w:rsidRPr="00290E45">
        <w:rPr>
          <w:color w:val="000000"/>
        </w:rPr>
        <w:t xml:space="preserve">gency uses the submitted information as the basis for preparing and circulating to the public an EIS, made available through a Federal Register notices also filed for comment at the Environmental Protection Agency (EPA).  If the </w:t>
      </w:r>
      <w:r w:rsidR="00A6312E">
        <w:rPr>
          <w:color w:val="000000"/>
        </w:rPr>
        <w:t>A</w:t>
      </w:r>
      <w:r w:rsidRPr="00290E45">
        <w:rPr>
          <w:color w:val="000000"/>
        </w:rPr>
        <w:t>gency finds that no significant environmental effects are expected, the agency prepares a finding of no significant impact (FONSI).</w:t>
      </w:r>
    </w:p>
    <w:p w:rsidRPr="00290E45" w:rsidR="002746DB" w:rsidP="00EB7538" w:rsidRDefault="00EB7538" w14:paraId="5322CFF4" w14:textId="77777777">
      <w:pPr>
        <w:numPr>
          <w:ilvl w:val="0"/>
          <w:numId w:val="1"/>
        </w:numPr>
        <w:spacing w:before="100" w:beforeAutospacing="1" w:after="100" w:afterAutospacing="1"/>
        <w:ind w:right="-1440"/>
        <w:rPr>
          <w:color w:val="000000"/>
          <w:u w:val="single"/>
        </w:rPr>
      </w:pPr>
      <w:r w:rsidRPr="00290E45">
        <w:rPr>
          <w:color w:val="000000"/>
          <w:u w:val="single"/>
        </w:rPr>
        <w:t xml:space="preserve">Use of Improved Information Technology and Burden Reduction </w:t>
      </w:r>
    </w:p>
    <w:p w:rsidR="007E35DF" w:rsidP="009B0810" w:rsidRDefault="007E35DF" w14:paraId="7990AE43" w14:textId="5D2A127A">
      <w:pPr>
        <w:spacing w:line="360" w:lineRule="auto"/>
        <w:ind w:left="720"/>
        <w:rPr>
          <w:color w:val="000000"/>
        </w:rPr>
      </w:pPr>
      <w:r w:rsidRPr="00290E45">
        <w:rPr>
          <w:color w:val="000000"/>
        </w:rPr>
        <w:t xml:space="preserve">FDA estimates that approximately 95% of the respondents to this collection of information will use electronic means to fulfill the </w:t>
      </w:r>
      <w:r w:rsidR="00A6312E">
        <w:rPr>
          <w:color w:val="000000"/>
        </w:rPr>
        <w:t>A</w:t>
      </w:r>
      <w:r w:rsidRPr="00290E45">
        <w:rPr>
          <w:color w:val="000000"/>
        </w:rPr>
        <w:t>gency’s requirements or request for information.</w:t>
      </w:r>
    </w:p>
    <w:p w:rsidR="00B16DA8" w:rsidP="009B0810" w:rsidRDefault="00B16DA8" w14:paraId="3213B18E" w14:textId="388F6941">
      <w:pPr>
        <w:spacing w:line="360" w:lineRule="auto"/>
        <w:ind w:left="720"/>
        <w:rPr>
          <w:color w:val="000000"/>
        </w:rPr>
      </w:pPr>
    </w:p>
    <w:p w:rsidR="00B16DA8" w:rsidP="009B0810" w:rsidRDefault="00B16DA8" w14:paraId="70C5C631" w14:textId="6E512EFF">
      <w:pPr>
        <w:spacing w:line="360" w:lineRule="auto"/>
        <w:ind w:left="720"/>
        <w:rPr>
          <w:color w:val="000000"/>
        </w:rPr>
      </w:pPr>
    </w:p>
    <w:p w:rsidR="00B16DA8" w:rsidP="009B0810" w:rsidRDefault="00B16DA8" w14:paraId="3B84EDBD" w14:textId="77777777">
      <w:pPr>
        <w:spacing w:line="360" w:lineRule="auto"/>
        <w:ind w:left="720"/>
        <w:rPr>
          <w:color w:val="000000"/>
        </w:rPr>
      </w:pPr>
    </w:p>
    <w:p w:rsidRPr="00290E45" w:rsidR="002746DB" w:rsidP="00EB7538" w:rsidRDefault="00EB7538" w14:paraId="3E7A2C63" w14:textId="77777777">
      <w:pPr>
        <w:numPr>
          <w:ilvl w:val="0"/>
          <w:numId w:val="1"/>
        </w:numPr>
        <w:spacing w:before="100" w:beforeAutospacing="1" w:after="100" w:afterAutospacing="1"/>
        <w:rPr>
          <w:color w:val="000000"/>
          <w:u w:val="single"/>
        </w:rPr>
      </w:pPr>
      <w:r w:rsidRPr="00290E45">
        <w:rPr>
          <w:color w:val="000000"/>
          <w:u w:val="single"/>
        </w:rPr>
        <w:t xml:space="preserve">Efforts to Identify Duplication and Use of Similar Information </w:t>
      </w:r>
    </w:p>
    <w:p w:rsidR="00717CF6" w:rsidP="00166043" w:rsidRDefault="00717CF6" w14:paraId="7005A91B" w14:textId="77777777">
      <w:pPr>
        <w:spacing w:line="360" w:lineRule="auto"/>
        <w:ind w:left="720"/>
        <w:rPr>
          <w:color w:val="000000"/>
        </w:rPr>
      </w:pPr>
      <w:r w:rsidRPr="00290E45">
        <w:rPr>
          <w:color w:val="000000"/>
        </w:rPr>
        <w:t xml:space="preserve">FDA avoids duplication by encouraging applicants to reference in their environmental documents data and information presented in other documents that are available to FDA and the public (21 CFR 25.40(d)).  FDA intends to focus environmental reviews on the use and disposal from use of FDA regulated articles.  Because FDA actively works to ensure the consistency of its protocols with those prescribed by EPA, the American Society for Testing and Materials (ASTM), and Organization for Economic Co-operation and Development (OECD), FDA avoids unnecessary duplication of environmental testing.  Thus, environmental testing that has already been performed will not have to be repeated by a different protocol when applicants move from one regulatory </w:t>
      </w:r>
      <w:r w:rsidR="00A6312E">
        <w:rPr>
          <w:color w:val="000000"/>
        </w:rPr>
        <w:t>A</w:t>
      </w:r>
      <w:r w:rsidRPr="00290E45">
        <w:rPr>
          <w:color w:val="000000"/>
        </w:rPr>
        <w:t>gency to another and from one country to another for approvals of the same chemical substance.</w:t>
      </w:r>
    </w:p>
    <w:p w:rsidRPr="00290E45" w:rsidR="00166043" w:rsidP="00166043" w:rsidRDefault="00166043" w14:paraId="2435542A" w14:textId="77777777">
      <w:pPr>
        <w:spacing w:line="360" w:lineRule="auto"/>
        <w:ind w:left="720"/>
        <w:rPr>
          <w:color w:val="000000"/>
        </w:rPr>
      </w:pPr>
    </w:p>
    <w:p w:rsidR="00717CF6" w:rsidP="00166043" w:rsidRDefault="00717CF6" w14:paraId="2CEAA3B4" w14:textId="77777777">
      <w:pPr>
        <w:spacing w:line="360" w:lineRule="auto"/>
        <w:ind w:left="720"/>
        <w:rPr>
          <w:color w:val="000000"/>
        </w:rPr>
      </w:pPr>
      <w:r w:rsidRPr="00290E45">
        <w:rPr>
          <w:color w:val="000000"/>
        </w:rPr>
        <w:t xml:space="preserve">Where possible, existing data are used by FDA in evaluating the environmental impact of an industry-sponsored application or petition.  To the extent publicly available, data in FDA files may be cross-referenced, data available in the scientific literature may be submitted, and data gathered for other government </w:t>
      </w:r>
      <w:r w:rsidR="00A6312E">
        <w:rPr>
          <w:color w:val="000000"/>
        </w:rPr>
        <w:t>A</w:t>
      </w:r>
      <w:r w:rsidRPr="00290E45">
        <w:rPr>
          <w:color w:val="000000"/>
        </w:rPr>
        <w:t xml:space="preserve">gencies, such as EPA, may be used in support of the environmental review of an application to FDA.  </w:t>
      </w:r>
    </w:p>
    <w:p w:rsidRPr="00290E45" w:rsidR="00166043" w:rsidP="00166043" w:rsidRDefault="00166043" w14:paraId="4096FF11" w14:textId="77777777">
      <w:pPr>
        <w:spacing w:line="360" w:lineRule="auto"/>
        <w:ind w:left="720"/>
        <w:rPr>
          <w:color w:val="000000"/>
        </w:rPr>
      </w:pPr>
    </w:p>
    <w:p w:rsidR="00717CF6" w:rsidP="00166043" w:rsidRDefault="00717CF6" w14:paraId="7BC3FE5F" w14:textId="75A1444C">
      <w:pPr>
        <w:spacing w:line="360" w:lineRule="auto"/>
        <w:ind w:left="720"/>
        <w:rPr>
          <w:color w:val="000000"/>
        </w:rPr>
      </w:pPr>
      <w:r w:rsidRPr="00290E45">
        <w:rPr>
          <w:color w:val="000000"/>
        </w:rPr>
        <w:t xml:space="preserve">FDA recognizes that there are instances where the same substance may be the subject of separate environmental analyses by another </w:t>
      </w:r>
      <w:r w:rsidR="00A6312E">
        <w:rPr>
          <w:color w:val="000000"/>
        </w:rPr>
        <w:t>A</w:t>
      </w:r>
      <w:r w:rsidRPr="00290E45">
        <w:rPr>
          <w:color w:val="000000"/>
        </w:rPr>
        <w:t xml:space="preserve">gency, for example by EPA.  FDA has determined that separate environmental review is not necessary for FDA approval of a food additive petition or FDA granting a request for an exemption from regulations as a food additive if the substance is already registered by EPA under the Federal Insecticide, Fungicide, and Rodenticide Act (FIFRA) for the same use requested in the petition.  Although both agencies have worked to eliminate duplication of effort, applications submitted to FDA sometimes involve a different use of a chemical substance than the use(s) reviewed by EPA and the patterns of environmental introduction often vary.  Therefore, in some circumstances, a document prepared by FDA or another </w:t>
      </w:r>
      <w:r w:rsidR="00A6312E">
        <w:rPr>
          <w:color w:val="000000"/>
        </w:rPr>
        <w:t>A</w:t>
      </w:r>
      <w:r w:rsidRPr="00290E45">
        <w:rPr>
          <w:color w:val="000000"/>
        </w:rPr>
        <w:t>gency may not suffice as the NEPA document.</w:t>
      </w:r>
    </w:p>
    <w:p w:rsidRPr="00290E45" w:rsidR="00B16DA8" w:rsidP="00166043" w:rsidRDefault="00B16DA8" w14:paraId="46C6133E" w14:textId="77777777">
      <w:pPr>
        <w:spacing w:line="360" w:lineRule="auto"/>
        <w:ind w:left="720"/>
        <w:rPr>
          <w:color w:val="000000"/>
        </w:rPr>
      </w:pPr>
    </w:p>
    <w:p w:rsidRPr="00290E45" w:rsidR="002746DB" w:rsidP="00EB7538" w:rsidRDefault="00EB7538" w14:paraId="2902827E" w14:textId="77777777">
      <w:pPr>
        <w:numPr>
          <w:ilvl w:val="0"/>
          <w:numId w:val="1"/>
        </w:numPr>
        <w:spacing w:before="100" w:beforeAutospacing="1" w:after="100" w:afterAutospacing="1"/>
        <w:rPr>
          <w:color w:val="000000"/>
          <w:u w:val="single"/>
        </w:rPr>
      </w:pPr>
      <w:r w:rsidRPr="00290E45">
        <w:rPr>
          <w:color w:val="000000"/>
          <w:u w:val="single"/>
        </w:rPr>
        <w:t>Impact on Small Businesses or Other Small Entities</w:t>
      </w:r>
    </w:p>
    <w:p w:rsidRPr="00290E45" w:rsidR="00717CF6" w:rsidP="00166043" w:rsidRDefault="00717CF6" w14:paraId="6054D88A" w14:textId="77777777">
      <w:pPr>
        <w:spacing w:line="360" w:lineRule="auto"/>
        <w:ind w:left="720"/>
        <w:rPr>
          <w:color w:val="000000"/>
          <w:highlight w:val="yellow"/>
        </w:rPr>
      </w:pPr>
      <w:r w:rsidRPr="00290E45">
        <w:rPr>
          <w:color w:val="000000"/>
        </w:rPr>
        <w:lastRenderedPageBreak/>
        <w:t>For both large and small entities, FDA has identified the types of information necessary to review the environmental impact of a new product and, where possible, provides case-by case guidance on the specific types of information required for a particular action.  FDA does not have the resources to perform a firm’s environmental studies and the information gathering necessary for the evaluation of a new product.  However, small manufacturers may request help in applying for approval from the FDA office that works with small manufacturers.  Because FDA has identified categories of actions that are categorically excluded from the requirement to prepare an EA and EIS, fewer EA's and EIS's are likely to be required from small businesses.</w:t>
      </w:r>
    </w:p>
    <w:p w:rsidRPr="00290E45" w:rsidR="00CD77C3" w:rsidP="00EB7538" w:rsidRDefault="00EB7538" w14:paraId="32040BE3" w14:textId="77777777">
      <w:pPr>
        <w:numPr>
          <w:ilvl w:val="0"/>
          <w:numId w:val="1"/>
        </w:numPr>
        <w:spacing w:before="100" w:beforeAutospacing="1" w:after="100" w:afterAutospacing="1"/>
        <w:rPr>
          <w:color w:val="000000"/>
          <w:u w:val="single"/>
        </w:rPr>
      </w:pPr>
      <w:r w:rsidRPr="00290E45">
        <w:rPr>
          <w:color w:val="000000"/>
          <w:u w:val="single"/>
        </w:rPr>
        <w:t>Consequences of Collecting the Information Less Frequently</w:t>
      </w:r>
    </w:p>
    <w:p w:rsidRPr="00290E45" w:rsidR="00F74935" w:rsidP="00166043" w:rsidRDefault="00F74935" w14:paraId="6048D090" w14:textId="77777777">
      <w:pPr>
        <w:spacing w:line="360" w:lineRule="auto"/>
        <w:ind w:left="720"/>
        <w:rPr>
          <w:color w:val="000000"/>
          <w:highlight w:val="yellow"/>
        </w:rPr>
      </w:pPr>
      <w:r w:rsidRPr="00290E45">
        <w:rPr>
          <w:color w:val="000000"/>
        </w:rPr>
        <w:t xml:space="preserve">Industry-sponsored applications and petitions are submitted on an occasional basis to obtain permission to market a new product or to expand the usage of a currently regulated product.  If the frequency of collection for environmental impact data were reduced, the agency could not assess the environmental impact of approving applications.  Failure to take environmental factors into account in the </w:t>
      </w:r>
      <w:r w:rsidR="00A6312E">
        <w:rPr>
          <w:color w:val="000000"/>
        </w:rPr>
        <w:t>A</w:t>
      </w:r>
      <w:r w:rsidRPr="00290E45">
        <w:rPr>
          <w:color w:val="000000"/>
        </w:rPr>
        <w:t xml:space="preserve">gency decision making would leave the </w:t>
      </w:r>
      <w:r w:rsidR="00955115">
        <w:rPr>
          <w:color w:val="000000"/>
        </w:rPr>
        <w:t>A</w:t>
      </w:r>
      <w:r w:rsidRPr="00290E45">
        <w:rPr>
          <w:color w:val="000000"/>
        </w:rPr>
        <w:t>gency susceptible to court challenge and may result in unnecessary delays in the approval for marketing of products.  There are no legal obstacles to reduce the burden for this collection of information.</w:t>
      </w:r>
    </w:p>
    <w:p w:rsidRPr="00290E45" w:rsidR="00CD77C3" w:rsidP="00EB7538" w:rsidRDefault="00EB7538" w14:paraId="647620FE" w14:textId="77777777">
      <w:pPr>
        <w:numPr>
          <w:ilvl w:val="0"/>
          <w:numId w:val="1"/>
        </w:numPr>
        <w:spacing w:before="100" w:beforeAutospacing="1" w:after="100" w:afterAutospacing="1"/>
        <w:rPr>
          <w:color w:val="000000"/>
          <w:u w:val="single"/>
        </w:rPr>
      </w:pPr>
      <w:r w:rsidRPr="00290E45">
        <w:rPr>
          <w:color w:val="000000"/>
          <w:u w:val="single"/>
        </w:rPr>
        <w:t>Special Circumstances Relating to the Guidelines of 5 CFR 1320.5</w:t>
      </w:r>
    </w:p>
    <w:p w:rsidRPr="00290E45" w:rsidR="008108FA" w:rsidP="00166043" w:rsidRDefault="00F74935" w14:paraId="22DC93B5" w14:textId="66F3A4CF">
      <w:pPr>
        <w:spacing w:line="360" w:lineRule="auto"/>
        <w:ind w:left="720"/>
        <w:rPr>
          <w:color w:val="000000"/>
        </w:rPr>
      </w:pPr>
      <w:r w:rsidRPr="00290E45">
        <w:rPr>
          <w:color w:val="000000"/>
        </w:rPr>
        <w:t xml:space="preserve">Data collection for applications is consistent with these guidelines.  </w:t>
      </w:r>
      <w:r w:rsidRPr="00290E45" w:rsidR="008108FA">
        <w:rPr>
          <w:color w:val="000000"/>
        </w:rPr>
        <w:t>There are no special circumstances for this collection of information.</w:t>
      </w:r>
    </w:p>
    <w:p w:rsidRPr="00290E45" w:rsidR="00F44EDA" w:rsidP="00F44EDA" w:rsidRDefault="00EB7538" w14:paraId="031B3BA8" w14:textId="77777777">
      <w:pPr>
        <w:numPr>
          <w:ilvl w:val="0"/>
          <w:numId w:val="1"/>
        </w:numPr>
        <w:spacing w:before="100" w:beforeAutospacing="1" w:after="100" w:afterAutospacing="1"/>
        <w:rPr>
          <w:color w:val="000000"/>
          <w:u w:val="single"/>
        </w:rPr>
      </w:pPr>
      <w:r w:rsidRPr="00290E45">
        <w:rPr>
          <w:color w:val="000000"/>
          <w:u w:val="single"/>
        </w:rPr>
        <w:t>Comments in Response to the Federal Register Notice and Efforts to Consult Outside the Agency</w:t>
      </w:r>
    </w:p>
    <w:p w:rsidR="008F6856" w:rsidP="008F6856" w:rsidRDefault="00CD77C3" w14:paraId="6E0005D6" w14:textId="1A72E701">
      <w:pPr>
        <w:spacing w:line="360" w:lineRule="auto"/>
        <w:ind w:left="720"/>
      </w:pPr>
      <w:r w:rsidRPr="00290E45">
        <w:rPr>
          <w:color w:val="000000"/>
        </w:rPr>
        <w:t>In accordance with 5 CFR 1320.8(d), FDA published a 60 day notice for public</w:t>
      </w:r>
      <w:r w:rsidRPr="00290E45" w:rsidR="00DD09F5">
        <w:rPr>
          <w:color w:val="000000"/>
        </w:rPr>
        <w:t xml:space="preserve"> comment in the FEDERAL REGISTER of</w:t>
      </w:r>
      <w:r w:rsidR="00FF3211">
        <w:rPr>
          <w:color w:val="000000"/>
        </w:rPr>
        <w:t xml:space="preserve"> August 25, 2021</w:t>
      </w:r>
      <w:r w:rsidR="009E3210">
        <w:rPr>
          <w:color w:val="000000"/>
        </w:rPr>
        <w:t>(</w:t>
      </w:r>
      <w:r w:rsidR="00FF3211">
        <w:rPr>
          <w:color w:val="000000"/>
        </w:rPr>
        <w:t>86</w:t>
      </w:r>
      <w:r w:rsidR="00FF3211">
        <w:rPr>
          <w:color w:val="000000"/>
        </w:rPr>
        <w:t xml:space="preserve"> </w:t>
      </w:r>
      <w:r w:rsidR="009E3210">
        <w:rPr>
          <w:color w:val="000000"/>
        </w:rPr>
        <w:t xml:space="preserve">FR </w:t>
      </w:r>
      <w:r w:rsidR="00FF3211">
        <w:rPr>
          <w:color w:val="000000"/>
        </w:rPr>
        <w:t>47501</w:t>
      </w:r>
      <w:r w:rsidR="009E3210">
        <w:rPr>
          <w:color w:val="000000"/>
        </w:rPr>
        <w:t xml:space="preserve">). </w:t>
      </w:r>
      <w:r w:rsidR="008F6856">
        <w:rPr>
          <w:color w:val="000000"/>
        </w:rPr>
        <w:t xml:space="preserve"> </w:t>
      </w:r>
      <w:r w:rsidR="008F6856">
        <w:t xml:space="preserve">Although one comment was received, it was not responsive to the four collection of information topics solicited. </w:t>
      </w:r>
    </w:p>
    <w:p w:rsidR="008F6856" w:rsidP="00166043" w:rsidRDefault="008F6856" w14:paraId="478C575A" w14:textId="77777777">
      <w:pPr>
        <w:spacing w:line="360" w:lineRule="auto"/>
        <w:ind w:left="720"/>
        <w:rPr>
          <w:color w:val="000000"/>
        </w:rPr>
      </w:pPr>
    </w:p>
    <w:p w:rsidR="00EE503E" w:rsidP="00166043" w:rsidRDefault="00EE503E" w14:paraId="2871B020" w14:textId="77777777">
      <w:pPr>
        <w:spacing w:line="360" w:lineRule="auto"/>
        <w:ind w:left="720"/>
        <w:rPr>
          <w:color w:val="000000"/>
        </w:rPr>
      </w:pPr>
    </w:p>
    <w:p w:rsidRPr="00290E45" w:rsidR="00CD77C3" w:rsidP="00726D40" w:rsidRDefault="00EB7538" w14:paraId="69762548" w14:textId="015CDC85">
      <w:pPr>
        <w:numPr>
          <w:ilvl w:val="0"/>
          <w:numId w:val="1"/>
        </w:numPr>
        <w:spacing w:before="100" w:beforeAutospacing="1" w:after="100" w:afterAutospacing="1"/>
        <w:rPr>
          <w:color w:val="000000"/>
          <w:u w:val="single"/>
        </w:rPr>
      </w:pPr>
      <w:r w:rsidRPr="00290E45">
        <w:rPr>
          <w:color w:val="000000"/>
          <w:u w:val="single"/>
        </w:rPr>
        <w:t>Explanation of Any Payment or Gift to Respondents</w:t>
      </w:r>
    </w:p>
    <w:p w:rsidRPr="00290E45" w:rsidR="00CD77C3" w:rsidP="00166043" w:rsidRDefault="00F74935" w14:paraId="74811930" w14:textId="77777777">
      <w:pPr>
        <w:spacing w:line="360" w:lineRule="auto"/>
        <w:ind w:left="720"/>
        <w:rPr>
          <w:color w:val="000000"/>
        </w:rPr>
      </w:pPr>
      <w:r w:rsidRPr="00290E45">
        <w:rPr>
          <w:color w:val="000000"/>
        </w:rPr>
        <w:t>FDA has not provided and has no intention to provide any payment or gift to respondents under the revisions of part 25.</w:t>
      </w:r>
    </w:p>
    <w:p w:rsidRPr="00290E45" w:rsidR="00CD77C3" w:rsidP="00EB7538" w:rsidRDefault="00EB7538" w14:paraId="17B04512" w14:textId="77777777">
      <w:pPr>
        <w:numPr>
          <w:ilvl w:val="0"/>
          <w:numId w:val="1"/>
        </w:numPr>
        <w:spacing w:before="100" w:beforeAutospacing="1" w:after="100" w:afterAutospacing="1"/>
        <w:rPr>
          <w:color w:val="000000"/>
          <w:u w:val="single"/>
        </w:rPr>
      </w:pPr>
      <w:r w:rsidRPr="00290E45">
        <w:rPr>
          <w:color w:val="000000"/>
          <w:u w:val="single"/>
        </w:rPr>
        <w:t>Assurance of Confidentiality Provided to Respondents</w:t>
      </w:r>
    </w:p>
    <w:p w:rsidRPr="00290E45" w:rsidR="006433ED" w:rsidP="00166043" w:rsidRDefault="006433ED" w14:paraId="6056761D" w14:textId="77777777">
      <w:pPr>
        <w:spacing w:line="360" w:lineRule="auto"/>
        <w:ind w:left="720"/>
        <w:rPr>
          <w:color w:val="000000"/>
        </w:rPr>
      </w:pPr>
      <w:r w:rsidRPr="00290E45">
        <w:rPr>
          <w:color w:val="000000"/>
        </w:rPr>
        <w:t>NEPA requires that EA's and EIS's be made available for public review.  However, 21 CFR 25.50(b) recognizes that FDA actions involving investigations, review, and approval of applications and premarket notifications for human drugs, animal drugs, biologic products, devices, and tobacco products are protected from disclosure under the Trade Secret Act (TSA), the Federal Food, Drug, and Cosmetic Act (FFDCA), and 21 CFR part 20.  Additionally, under 21 CFR 25.51 (a), data constituting trade secrets or confidential information under the TSA or the FFDCA must not be included in the portion of environmental documents that is made public.  Thus, environmental information will be made available to the public to the extent permitted.</w:t>
      </w:r>
    </w:p>
    <w:p w:rsidRPr="00290E45" w:rsidR="004C6979" w:rsidP="00EB7538" w:rsidRDefault="00EB7538" w14:paraId="6FFE27AD" w14:textId="77777777">
      <w:pPr>
        <w:numPr>
          <w:ilvl w:val="0"/>
          <w:numId w:val="1"/>
        </w:numPr>
        <w:spacing w:before="100" w:beforeAutospacing="1" w:after="100" w:afterAutospacing="1"/>
        <w:rPr>
          <w:color w:val="000000"/>
          <w:u w:val="single"/>
        </w:rPr>
      </w:pPr>
      <w:r w:rsidRPr="00290E45">
        <w:rPr>
          <w:color w:val="000000"/>
          <w:u w:val="single"/>
        </w:rPr>
        <w:t>Justification for Sensitive Questions</w:t>
      </w:r>
    </w:p>
    <w:p w:rsidRPr="00290E45" w:rsidR="004C6979" w:rsidP="006433ED" w:rsidRDefault="006433ED" w14:paraId="0444FC55" w14:textId="77777777">
      <w:pPr>
        <w:ind w:left="720"/>
        <w:rPr>
          <w:color w:val="000000"/>
        </w:rPr>
      </w:pPr>
      <w:r w:rsidRPr="00290E45">
        <w:rPr>
          <w:color w:val="000000"/>
        </w:rPr>
        <w:t>There are no questions of a sensitive nature in the environmental impact requirements.</w:t>
      </w:r>
    </w:p>
    <w:p w:rsidRPr="00290E45" w:rsidR="004C6979" w:rsidP="00EB7538" w:rsidRDefault="00EB7538" w14:paraId="6590EC51" w14:textId="77777777">
      <w:pPr>
        <w:numPr>
          <w:ilvl w:val="0"/>
          <w:numId w:val="1"/>
        </w:numPr>
        <w:spacing w:before="100" w:beforeAutospacing="1" w:after="100" w:afterAutospacing="1"/>
        <w:rPr>
          <w:color w:val="000000"/>
          <w:u w:val="single"/>
        </w:rPr>
      </w:pPr>
      <w:r w:rsidRPr="00290E45">
        <w:rPr>
          <w:color w:val="000000"/>
          <w:u w:val="single"/>
        </w:rPr>
        <w:t>Estimates of Annualized Burden Hours and Costs</w:t>
      </w:r>
    </w:p>
    <w:p w:rsidRPr="00290E45" w:rsidR="004C6979" w:rsidP="004C6979" w:rsidRDefault="004C6979" w14:paraId="03C6DC69" w14:textId="77777777">
      <w:pPr>
        <w:rPr>
          <w:color w:val="000000"/>
        </w:rPr>
      </w:pPr>
    </w:p>
    <w:p w:rsidRPr="00290E45" w:rsidR="004C6979" w:rsidP="00AC6A99" w:rsidRDefault="008B0E29" w14:paraId="7F025AB8" w14:textId="77777777">
      <w:pPr>
        <w:ind w:left="720"/>
        <w:rPr>
          <w:color w:val="000000"/>
        </w:rPr>
      </w:pPr>
      <w:r w:rsidRPr="00290E45">
        <w:rPr>
          <w:color w:val="000000"/>
          <w:u w:val="single"/>
        </w:rPr>
        <w:t xml:space="preserve">12 a. </w:t>
      </w:r>
      <w:r w:rsidRPr="00290E45" w:rsidR="00411D11">
        <w:rPr>
          <w:color w:val="000000"/>
          <w:u w:val="single"/>
        </w:rPr>
        <w:t xml:space="preserve">Annualized </w:t>
      </w:r>
      <w:r w:rsidRPr="00290E45" w:rsidR="004C6979">
        <w:rPr>
          <w:color w:val="000000"/>
          <w:u w:val="single"/>
        </w:rPr>
        <w:t>Hour Burden Estimate</w:t>
      </w:r>
    </w:p>
    <w:p w:rsidR="004C6979" w:rsidP="004C6979" w:rsidRDefault="004C6979" w14:paraId="185F35FD" w14:textId="77777777">
      <w:pPr>
        <w:rPr>
          <w:color w:val="000000"/>
        </w:rPr>
      </w:pPr>
    </w:p>
    <w:p w:rsidRPr="00290E45" w:rsidR="00166043" w:rsidP="004C6979" w:rsidRDefault="00166043" w14:paraId="17A6E92E" w14:textId="77777777">
      <w:pPr>
        <w:rPr>
          <w:color w:val="000000"/>
        </w:rPr>
      </w:pPr>
    </w:p>
    <w:p w:rsidRPr="00166043" w:rsidR="00166043" w:rsidP="00166043" w:rsidRDefault="006433ED" w14:paraId="794C3B03" w14:textId="77777777">
      <w:pPr>
        <w:pStyle w:val="BodyText2"/>
        <w:ind w:left="720"/>
        <w:jc w:val="center"/>
        <w:rPr>
          <w:color w:val="000000"/>
          <w:u w:val="single"/>
        </w:rPr>
      </w:pPr>
      <w:r w:rsidRPr="00290E45">
        <w:rPr>
          <w:color w:val="000000"/>
          <w:u w:val="single"/>
        </w:rPr>
        <w:t>Estimated Annual Reporting Burden for Human Drugs (Including Biologics in CDER)</w:t>
      </w:r>
    </w:p>
    <w:p w:rsidR="00166043" w:rsidP="00166043" w:rsidRDefault="00166043" w14:paraId="7C80CFDB" w14:textId="77777777">
      <w:pPr>
        <w:spacing w:line="480" w:lineRule="auto"/>
        <w:ind w:firstLine="720"/>
        <w:contextualSpacing/>
      </w:pPr>
    </w:p>
    <w:p w:rsidRPr="00B44A21" w:rsidR="00B44A21" w:rsidP="00166043" w:rsidRDefault="00B44A21" w14:paraId="74B308CE" w14:textId="1DDD6DD9">
      <w:pPr>
        <w:spacing w:line="360" w:lineRule="auto"/>
        <w:ind w:firstLine="720"/>
        <w:contextualSpacing/>
      </w:pPr>
      <w:r w:rsidRPr="00B44A21">
        <w:t xml:space="preserve">Under §§ 312.23(a)(7)(iv)(e), 314.50(d)(1)(iii), and 314.94(a)(9)(i) (21 CFR 312.23(a)(7)(iv)(e), </w:t>
      </w:r>
      <w:hyperlink w:history="1" r:id="rId8">
        <w:r w:rsidRPr="00B44A21">
          <w:t>314.50</w:t>
        </w:r>
      </w:hyperlink>
      <w:r w:rsidRPr="00B44A21">
        <w:t xml:space="preserve">(d)(1)(iii), and </w:t>
      </w:r>
      <w:hyperlink w:history="1" r:id="rId9">
        <w:r w:rsidRPr="00B44A21">
          <w:t>314.94</w:t>
        </w:r>
      </w:hyperlink>
      <w:r w:rsidRPr="00B44A21">
        <w:t xml:space="preserve">(a)(9)(i)), each investigational new drug application (IND), new drug application (NDA), and abbreviated new drug application (ANDA) must contain a claim for categorical exclusion under </w:t>
      </w:r>
      <w:r w:rsidRPr="00B44A21">
        <w:rPr>
          <w:rFonts w:eastAsia="MS Mincho"/>
          <w:lang w:eastAsia="ja-JP" w:bidi="sa-IN"/>
        </w:rPr>
        <w:t xml:space="preserve">§ </w:t>
      </w:r>
      <w:r w:rsidRPr="00B44A21">
        <w:t xml:space="preserve">25.30 or </w:t>
      </w:r>
      <w:r w:rsidRPr="00B44A21">
        <w:rPr>
          <w:rFonts w:eastAsia="MS Mincho"/>
          <w:lang w:eastAsia="ja-JP" w:bidi="sa-IN"/>
        </w:rPr>
        <w:t>§ </w:t>
      </w:r>
      <w:r w:rsidRPr="00B44A21">
        <w:t xml:space="preserve">25.31, or an EA under </w:t>
      </w:r>
      <w:r w:rsidRPr="00B44A21">
        <w:rPr>
          <w:rFonts w:eastAsia="MS Mincho"/>
          <w:lang w:eastAsia="ja-JP" w:bidi="sa-IN"/>
        </w:rPr>
        <w:t xml:space="preserve">§ </w:t>
      </w:r>
      <w:r w:rsidRPr="00B44A21">
        <w:t xml:space="preserve">25.40.  Annually, FDA receives approximately </w:t>
      </w:r>
      <w:r w:rsidR="00DF7A90">
        <w:t>5,503</w:t>
      </w:r>
      <w:r w:rsidRPr="00B44A21">
        <w:t xml:space="preserve"> INDs from </w:t>
      </w:r>
      <w:r w:rsidR="00DF7A90">
        <w:t>3,717</w:t>
      </w:r>
      <w:r w:rsidRPr="00B44A21">
        <w:t xml:space="preserve"> sponsors; 14</w:t>
      </w:r>
      <w:r w:rsidR="00DF7A90">
        <w:t>2</w:t>
      </w:r>
      <w:r w:rsidRPr="00B44A21">
        <w:t xml:space="preserve"> NDAs from 11</w:t>
      </w:r>
      <w:r w:rsidR="00DF7A90">
        <w:t>1</w:t>
      </w:r>
      <w:r w:rsidRPr="00B44A21">
        <w:t xml:space="preserve"> applicants; 3,</w:t>
      </w:r>
      <w:r w:rsidR="00DF7A90">
        <w:t>285</w:t>
      </w:r>
      <w:r w:rsidRPr="00B44A21">
        <w:t xml:space="preserve"> supplements to NDAs from </w:t>
      </w:r>
      <w:r w:rsidR="000D4F8C">
        <w:t>516</w:t>
      </w:r>
      <w:r w:rsidRPr="00B44A21">
        <w:t xml:space="preserve"> applicants; </w:t>
      </w:r>
      <w:r w:rsidR="00807FAC">
        <w:t>35</w:t>
      </w:r>
      <w:r w:rsidRPr="00B44A21">
        <w:t xml:space="preserve"> biologic license applications </w:t>
      </w:r>
      <w:r w:rsidRPr="00B44A21">
        <w:lastRenderedPageBreak/>
        <w:t xml:space="preserve">(BLAs) from </w:t>
      </w:r>
      <w:r w:rsidR="00807FAC">
        <w:t>3</w:t>
      </w:r>
      <w:r w:rsidRPr="00B44A21">
        <w:t xml:space="preserve">2 applicants; </w:t>
      </w:r>
      <w:r w:rsidR="00807FAC">
        <w:t>777</w:t>
      </w:r>
      <w:r w:rsidRPr="00B44A21">
        <w:t xml:space="preserve"> supplements to BLAs from </w:t>
      </w:r>
      <w:r w:rsidR="00807FAC">
        <w:t>89</w:t>
      </w:r>
      <w:r w:rsidRPr="00B44A21">
        <w:t xml:space="preserve"> applicants; </w:t>
      </w:r>
      <w:r w:rsidR="007666F3">
        <w:t>743</w:t>
      </w:r>
      <w:r w:rsidRPr="00B44A21">
        <w:t xml:space="preserve"> ANDAs from 2</w:t>
      </w:r>
      <w:r w:rsidR="007666F3">
        <w:t>39</w:t>
      </w:r>
      <w:r w:rsidRPr="00B44A21">
        <w:t xml:space="preserve"> applicants; and </w:t>
      </w:r>
      <w:r w:rsidR="007666F3">
        <w:t>11,438</w:t>
      </w:r>
      <w:r w:rsidRPr="00B44A21">
        <w:t xml:space="preserve"> supplements to ANDAs from </w:t>
      </w:r>
      <w:r w:rsidR="007666F3">
        <w:t>482</w:t>
      </w:r>
      <w:r w:rsidRPr="00B44A21">
        <w:t xml:space="preserve"> applicants.  </w:t>
      </w:r>
      <w:r w:rsidRPr="00B44A21">
        <w:rPr>
          <w:rFonts w:eastAsia="Calibri"/>
        </w:rPr>
        <w:t xml:space="preserve"> FDA estimates that it receives approximately </w:t>
      </w:r>
      <w:r w:rsidR="004F449C">
        <w:rPr>
          <w:rFonts w:eastAsia="Calibri"/>
        </w:rPr>
        <w:t>21,923</w:t>
      </w:r>
      <w:r w:rsidRPr="00B44A21">
        <w:rPr>
          <w:rFonts w:eastAsia="Calibri"/>
        </w:rPr>
        <w:t xml:space="preserve"> claims for categorical exclusions as required under § 25.15(a) and (d) and 10 EAs as required under § 25.40(a) and (c).</w:t>
      </w:r>
      <w:r w:rsidRPr="00B44A21">
        <w:t xml:space="preserve">  Based on information provided by the pharmaceutical industry, FDA estimates that it takes sponsors or applicants approximately 8 hours to prepare a claim for a categorical exclusion and approximately 3,400 hours to prepare an EA.</w:t>
      </w:r>
    </w:p>
    <w:tbl>
      <w:tblPr>
        <w:tblW w:w="48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29"/>
        <w:gridCol w:w="1544"/>
        <w:gridCol w:w="1597"/>
        <w:gridCol w:w="1412"/>
        <w:gridCol w:w="1318"/>
        <w:gridCol w:w="1366"/>
      </w:tblGrid>
      <w:tr w:rsidRPr="00B44A21" w:rsidR="00B44A21" w:rsidTr="00B44A21" w14:paraId="40417705" w14:textId="77777777">
        <w:trPr>
          <w:cantSplit/>
          <w:trHeight w:val="20"/>
          <w:tblHeader/>
          <w:jc w:val="center"/>
        </w:trPr>
        <w:tc>
          <w:tcPr>
            <w:tcW w:w="5000" w:type="pct"/>
            <w:gridSpan w:val="6"/>
            <w:tcBorders>
              <w:top w:val="nil"/>
              <w:left w:val="nil"/>
              <w:right w:val="nil"/>
            </w:tcBorders>
            <w:shd w:val="clear" w:color="auto" w:fill="auto"/>
          </w:tcPr>
          <w:p w:rsidRPr="00B44A21" w:rsidR="00B44A21" w:rsidP="00B44A21" w:rsidRDefault="00B44A21" w14:paraId="1365B79B" w14:textId="77777777">
            <w:pPr>
              <w:jc w:val="center"/>
              <w:rPr>
                <w:rFonts w:eastAsia="Calibri"/>
              </w:rPr>
            </w:pPr>
            <w:r w:rsidRPr="00B44A21">
              <w:rPr>
                <w:rFonts w:eastAsia="Calibri"/>
              </w:rPr>
              <w:t>Table 1.--Estimated Annual Reporting Burden for Human Drugs</w:t>
            </w:r>
          </w:p>
        </w:tc>
      </w:tr>
      <w:tr w:rsidRPr="00B44A21" w:rsidR="00B44A21" w:rsidTr="00B44A21" w14:paraId="080C8E2E" w14:textId="77777777">
        <w:trPr>
          <w:cantSplit/>
          <w:trHeight w:val="20"/>
          <w:tblHeader/>
          <w:jc w:val="center"/>
        </w:trPr>
        <w:tc>
          <w:tcPr>
            <w:tcW w:w="1095" w:type="pct"/>
            <w:shd w:val="clear" w:color="auto" w:fill="auto"/>
          </w:tcPr>
          <w:p w:rsidRPr="00B44A21" w:rsidR="00B44A21" w:rsidP="00B44A21" w:rsidRDefault="00B44A21" w14:paraId="2A7FE01F" w14:textId="77777777">
            <w:pPr>
              <w:jc w:val="center"/>
              <w:rPr>
                <w:rFonts w:eastAsia="Calibri"/>
              </w:rPr>
            </w:pPr>
            <w:r w:rsidRPr="00B44A21">
              <w:rPr>
                <w:rFonts w:eastAsia="Calibri"/>
              </w:rPr>
              <w:t>21 CFR Section</w:t>
            </w:r>
          </w:p>
        </w:tc>
        <w:tc>
          <w:tcPr>
            <w:tcW w:w="833" w:type="pct"/>
            <w:shd w:val="clear" w:color="auto" w:fill="auto"/>
          </w:tcPr>
          <w:p w:rsidRPr="00B44A21" w:rsidR="00B44A21" w:rsidP="00B44A21" w:rsidRDefault="00B44A21" w14:paraId="06C5CEEC" w14:textId="77777777">
            <w:pPr>
              <w:jc w:val="center"/>
              <w:rPr>
                <w:rFonts w:eastAsia="Calibri"/>
              </w:rPr>
            </w:pPr>
            <w:r w:rsidRPr="00B44A21">
              <w:rPr>
                <w:rFonts w:eastAsia="Calibri"/>
              </w:rPr>
              <w:t>No. of Respondents</w:t>
            </w:r>
          </w:p>
        </w:tc>
        <w:tc>
          <w:tcPr>
            <w:tcW w:w="862" w:type="pct"/>
            <w:shd w:val="clear" w:color="auto" w:fill="auto"/>
          </w:tcPr>
          <w:p w:rsidRPr="00B44A21" w:rsidR="00B44A21" w:rsidP="00B44A21" w:rsidRDefault="00B44A21" w14:paraId="6D9FD60D" w14:textId="77777777">
            <w:pPr>
              <w:jc w:val="center"/>
              <w:rPr>
                <w:rFonts w:eastAsia="Calibri"/>
              </w:rPr>
            </w:pPr>
            <w:r w:rsidRPr="00B44A21">
              <w:rPr>
                <w:rFonts w:eastAsia="Calibri"/>
                <w:bCs/>
              </w:rPr>
              <w:t>No. of Responses per Respondent</w:t>
            </w:r>
          </w:p>
        </w:tc>
        <w:tc>
          <w:tcPr>
            <w:tcW w:w="762" w:type="pct"/>
            <w:shd w:val="clear" w:color="auto" w:fill="auto"/>
          </w:tcPr>
          <w:p w:rsidRPr="00B44A21" w:rsidR="00B44A21" w:rsidP="00B44A21" w:rsidRDefault="00B44A21" w14:paraId="27E391E8" w14:textId="77777777">
            <w:pPr>
              <w:jc w:val="center"/>
              <w:rPr>
                <w:rFonts w:eastAsia="Calibri"/>
              </w:rPr>
            </w:pPr>
            <w:r w:rsidRPr="00B44A21">
              <w:rPr>
                <w:rFonts w:eastAsia="Calibri"/>
              </w:rPr>
              <w:t>Total Annual Responses</w:t>
            </w:r>
          </w:p>
        </w:tc>
        <w:tc>
          <w:tcPr>
            <w:tcW w:w="710" w:type="pct"/>
            <w:shd w:val="clear" w:color="auto" w:fill="auto"/>
          </w:tcPr>
          <w:p w:rsidRPr="00B44A21" w:rsidR="00B44A21" w:rsidP="00B44A21" w:rsidRDefault="00B44A21" w14:paraId="60613B62" w14:textId="77777777">
            <w:pPr>
              <w:jc w:val="center"/>
              <w:rPr>
                <w:rFonts w:eastAsia="Calibri"/>
              </w:rPr>
            </w:pPr>
            <w:r w:rsidRPr="00B44A21">
              <w:rPr>
                <w:rFonts w:eastAsia="Calibri"/>
                <w:bCs/>
              </w:rPr>
              <w:t>Average Burden per Response</w:t>
            </w:r>
          </w:p>
        </w:tc>
        <w:tc>
          <w:tcPr>
            <w:tcW w:w="737" w:type="pct"/>
            <w:shd w:val="clear" w:color="auto" w:fill="auto"/>
          </w:tcPr>
          <w:p w:rsidRPr="00B44A21" w:rsidR="00B44A21" w:rsidP="00B44A21" w:rsidRDefault="00B44A21" w14:paraId="0D301118" w14:textId="77777777">
            <w:pPr>
              <w:jc w:val="center"/>
              <w:rPr>
                <w:rFonts w:eastAsia="Calibri"/>
              </w:rPr>
            </w:pPr>
            <w:r w:rsidRPr="00B44A21">
              <w:rPr>
                <w:rFonts w:eastAsia="Calibri"/>
              </w:rPr>
              <w:t>Total Hours</w:t>
            </w:r>
          </w:p>
        </w:tc>
      </w:tr>
      <w:tr w:rsidRPr="00B44A21" w:rsidR="00B44A21" w:rsidTr="00B44A21" w14:paraId="1081AEFB" w14:textId="77777777">
        <w:trPr>
          <w:cantSplit/>
          <w:trHeight w:val="20"/>
          <w:jc w:val="center"/>
        </w:trPr>
        <w:tc>
          <w:tcPr>
            <w:tcW w:w="1095" w:type="pct"/>
            <w:shd w:val="clear" w:color="auto" w:fill="auto"/>
          </w:tcPr>
          <w:p w:rsidRPr="00B44A21" w:rsidR="00B44A21" w:rsidP="00B44A21" w:rsidRDefault="00B44A21" w14:paraId="64B7209F" w14:textId="77777777">
            <w:pPr>
              <w:rPr>
                <w:rFonts w:eastAsia="Calibri"/>
              </w:rPr>
            </w:pPr>
            <w:r w:rsidRPr="00B44A21">
              <w:rPr>
                <w:rFonts w:eastAsia="Calibri"/>
              </w:rPr>
              <w:t>25.15(a) and(d)</w:t>
            </w:r>
          </w:p>
        </w:tc>
        <w:tc>
          <w:tcPr>
            <w:tcW w:w="833" w:type="pct"/>
            <w:shd w:val="clear" w:color="auto" w:fill="auto"/>
          </w:tcPr>
          <w:p w:rsidRPr="00B44A21" w:rsidR="00B44A21" w:rsidP="00B44A21" w:rsidRDefault="00FB4963" w14:paraId="606B7084" w14:textId="52CBD162">
            <w:pPr>
              <w:jc w:val="right"/>
              <w:rPr>
                <w:rFonts w:eastAsia="Calibri"/>
              </w:rPr>
            </w:pPr>
            <w:r>
              <w:rPr>
                <w:rFonts w:eastAsia="Calibri"/>
              </w:rPr>
              <w:t>5,186</w:t>
            </w:r>
          </w:p>
        </w:tc>
        <w:tc>
          <w:tcPr>
            <w:tcW w:w="862" w:type="pct"/>
            <w:shd w:val="clear" w:color="auto" w:fill="auto"/>
          </w:tcPr>
          <w:p w:rsidRPr="00B44A21" w:rsidR="00B44A21" w:rsidP="00B44A21" w:rsidRDefault="00FB4963" w14:paraId="14C8625B" w14:textId="702C753D">
            <w:pPr>
              <w:jc w:val="right"/>
              <w:rPr>
                <w:rFonts w:eastAsia="Calibri"/>
              </w:rPr>
            </w:pPr>
            <w:r>
              <w:rPr>
                <w:rFonts w:eastAsia="Calibri"/>
              </w:rPr>
              <w:t>4.2273</w:t>
            </w:r>
          </w:p>
        </w:tc>
        <w:tc>
          <w:tcPr>
            <w:tcW w:w="762" w:type="pct"/>
            <w:shd w:val="clear" w:color="auto" w:fill="auto"/>
          </w:tcPr>
          <w:p w:rsidRPr="00B44A21" w:rsidR="00B44A21" w:rsidP="00B44A21" w:rsidRDefault="00FB4963" w14:paraId="6671EDD6" w14:textId="749AA0CA">
            <w:pPr>
              <w:jc w:val="right"/>
              <w:rPr>
                <w:rFonts w:eastAsia="Calibri"/>
              </w:rPr>
            </w:pPr>
            <w:r>
              <w:rPr>
                <w:rFonts w:eastAsia="Calibri"/>
              </w:rPr>
              <w:t>21,923</w:t>
            </w:r>
          </w:p>
        </w:tc>
        <w:tc>
          <w:tcPr>
            <w:tcW w:w="710" w:type="pct"/>
            <w:shd w:val="clear" w:color="auto" w:fill="auto"/>
          </w:tcPr>
          <w:p w:rsidRPr="00B44A21" w:rsidR="00B44A21" w:rsidP="00B44A21" w:rsidRDefault="00B44A21" w14:paraId="3BBE0E19" w14:textId="77777777">
            <w:pPr>
              <w:jc w:val="right"/>
              <w:rPr>
                <w:rFonts w:eastAsia="Calibri"/>
              </w:rPr>
            </w:pPr>
            <w:r w:rsidRPr="00B44A21">
              <w:rPr>
                <w:rFonts w:eastAsia="Calibri"/>
              </w:rPr>
              <w:t>8</w:t>
            </w:r>
          </w:p>
        </w:tc>
        <w:tc>
          <w:tcPr>
            <w:tcW w:w="737" w:type="pct"/>
            <w:shd w:val="clear" w:color="auto" w:fill="auto"/>
          </w:tcPr>
          <w:p w:rsidRPr="00B44A21" w:rsidR="00B44A21" w:rsidP="00B44A21" w:rsidRDefault="00FB4963" w14:paraId="052FA961" w14:textId="6B175A7E">
            <w:pPr>
              <w:jc w:val="right"/>
              <w:rPr>
                <w:rFonts w:eastAsia="Calibri"/>
              </w:rPr>
            </w:pPr>
            <w:r>
              <w:rPr>
                <w:rFonts w:eastAsia="Calibri"/>
              </w:rPr>
              <w:t>175,384</w:t>
            </w:r>
          </w:p>
        </w:tc>
      </w:tr>
      <w:tr w:rsidRPr="00B44A21" w:rsidR="00B44A21" w:rsidTr="00B44A21" w14:paraId="491CCA02" w14:textId="77777777">
        <w:trPr>
          <w:cantSplit/>
          <w:trHeight w:val="20"/>
          <w:jc w:val="center"/>
        </w:trPr>
        <w:tc>
          <w:tcPr>
            <w:tcW w:w="1095" w:type="pct"/>
            <w:shd w:val="clear" w:color="auto" w:fill="auto"/>
          </w:tcPr>
          <w:p w:rsidRPr="00B44A21" w:rsidR="00B44A21" w:rsidDel="00215B02" w:rsidP="00B44A21" w:rsidRDefault="00B44A21" w14:paraId="5A228443" w14:textId="77777777">
            <w:pPr>
              <w:rPr>
                <w:rFonts w:eastAsia="Calibri"/>
              </w:rPr>
            </w:pPr>
            <w:r w:rsidRPr="00B44A21">
              <w:rPr>
                <w:rFonts w:eastAsia="Calibri"/>
              </w:rPr>
              <w:t>25.40(a) and (c)</w:t>
            </w:r>
          </w:p>
        </w:tc>
        <w:tc>
          <w:tcPr>
            <w:tcW w:w="833" w:type="pct"/>
            <w:shd w:val="clear" w:color="auto" w:fill="auto"/>
          </w:tcPr>
          <w:p w:rsidRPr="00B44A21" w:rsidR="00B44A21" w:rsidDel="00215B02" w:rsidP="00B44A21" w:rsidRDefault="00FB4963" w14:paraId="7938D734" w14:textId="79F79060">
            <w:pPr>
              <w:jc w:val="right"/>
              <w:rPr>
                <w:rFonts w:eastAsia="Calibri"/>
              </w:rPr>
            </w:pPr>
            <w:r>
              <w:rPr>
                <w:rFonts w:eastAsia="Calibri"/>
              </w:rPr>
              <w:t>14</w:t>
            </w:r>
          </w:p>
        </w:tc>
        <w:tc>
          <w:tcPr>
            <w:tcW w:w="862" w:type="pct"/>
            <w:shd w:val="clear" w:color="auto" w:fill="auto"/>
          </w:tcPr>
          <w:p w:rsidRPr="00B44A21" w:rsidR="00B44A21" w:rsidDel="00215B02" w:rsidP="00B44A21" w:rsidRDefault="00FB4963" w14:paraId="14A4D011" w14:textId="296AB5C7">
            <w:pPr>
              <w:jc w:val="right"/>
              <w:rPr>
                <w:rFonts w:eastAsia="Calibri"/>
              </w:rPr>
            </w:pPr>
            <w:r>
              <w:rPr>
                <w:rFonts w:eastAsia="Calibri"/>
              </w:rPr>
              <w:t>0.9285</w:t>
            </w:r>
          </w:p>
        </w:tc>
        <w:tc>
          <w:tcPr>
            <w:tcW w:w="762" w:type="pct"/>
            <w:shd w:val="clear" w:color="auto" w:fill="auto"/>
          </w:tcPr>
          <w:p w:rsidRPr="00B44A21" w:rsidR="00B44A21" w:rsidDel="00215B02" w:rsidP="00B44A21" w:rsidRDefault="00FB4963" w14:paraId="11CEDE7E" w14:textId="7DCC535A">
            <w:pPr>
              <w:jc w:val="right"/>
              <w:rPr>
                <w:rFonts w:eastAsia="Calibri"/>
              </w:rPr>
            </w:pPr>
            <w:r>
              <w:rPr>
                <w:rFonts w:eastAsia="Calibri"/>
              </w:rPr>
              <w:t>13</w:t>
            </w:r>
          </w:p>
        </w:tc>
        <w:tc>
          <w:tcPr>
            <w:tcW w:w="710" w:type="pct"/>
            <w:shd w:val="clear" w:color="auto" w:fill="auto"/>
          </w:tcPr>
          <w:p w:rsidRPr="00B44A21" w:rsidR="00B44A21" w:rsidDel="000B746A" w:rsidP="00B44A21" w:rsidRDefault="00B44A21" w14:paraId="483A31BC" w14:textId="77777777">
            <w:pPr>
              <w:jc w:val="right"/>
              <w:rPr>
                <w:rFonts w:eastAsia="Calibri"/>
              </w:rPr>
            </w:pPr>
            <w:r w:rsidRPr="00B44A21">
              <w:rPr>
                <w:rFonts w:eastAsia="Calibri"/>
              </w:rPr>
              <w:t>3,400</w:t>
            </w:r>
          </w:p>
        </w:tc>
        <w:tc>
          <w:tcPr>
            <w:tcW w:w="737" w:type="pct"/>
            <w:shd w:val="clear" w:color="auto" w:fill="auto"/>
          </w:tcPr>
          <w:p w:rsidRPr="00B44A21" w:rsidR="00B44A21" w:rsidDel="00215B02" w:rsidP="00B44A21" w:rsidRDefault="00FB4963" w14:paraId="7B92C858" w14:textId="22A6AF83">
            <w:pPr>
              <w:jc w:val="right"/>
              <w:rPr>
                <w:rFonts w:eastAsia="Calibri"/>
                <w:highlight w:val="yellow"/>
              </w:rPr>
            </w:pPr>
            <w:r>
              <w:rPr>
                <w:rFonts w:eastAsia="Calibri"/>
              </w:rPr>
              <w:t>44,200</w:t>
            </w:r>
          </w:p>
        </w:tc>
      </w:tr>
      <w:tr w:rsidRPr="00B44A21" w:rsidR="00B44A21" w:rsidTr="00B44A21" w14:paraId="76197211" w14:textId="77777777">
        <w:trPr>
          <w:cantSplit/>
          <w:trHeight w:val="20"/>
          <w:jc w:val="center"/>
        </w:trPr>
        <w:tc>
          <w:tcPr>
            <w:tcW w:w="4263" w:type="pct"/>
            <w:gridSpan w:val="5"/>
            <w:shd w:val="clear" w:color="auto" w:fill="auto"/>
          </w:tcPr>
          <w:p w:rsidRPr="00B44A21" w:rsidR="00B44A21" w:rsidP="00B44A21" w:rsidRDefault="00B44A21" w14:paraId="707E9A3F" w14:textId="77777777">
            <w:pPr>
              <w:rPr>
                <w:rFonts w:eastAsia="Calibri"/>
              </w:rPr>
            </w:pPr>
            <w:r w:rsidRPr="00B44A21">
              <w:rPr>
                <w:rFonts w:eastAsia="Calibri"/>
              </w:rPr>
              <w:t>Total</w:t>
            </w:r>
          </w:p>
        </w:tc>
        <w:tc>
          <w:tcPr>
            <w:tcW w:w="737" w:type="pct"/>
            <w:shd w:val="clear" w:color="auto" w:fill="auto"/>
          </w:tcPr>
          <w:p w:rsidRPr="00B44A21" w:rsidR="00B44A21" w:rsidP="00B44A21" w:rsidRDefault="00FB4963" w14:paraId="43F055D4" w14:textId="6FA80C54">
            <w:pPr>
              <w:jc w:val="right"/>
              <w:rPr>
                <w:rFonts w:eastAsia="Calibri"/>
              </w:rPr>
            </w:pPr>
            <w:r>
              <w:rPr>
                <w:rFonts w:eastAsia="Calibri"/>
              </w:rPr>
              <w:t>219,</w:t>
            </w:r>
            <w:r w:rsidR="007C5088">
              <w:rPr>
                <w:rFonts w:eastAsia="Calibri"/>
              </w:rPr>
              <w:t>584</w:t>
            </w:r>
          </w:p>
        </w:tc>
      </w:tr>
    </w:tbl>
    <w:p w:rsidRPr="00B44A21" w:rsidR="00B44A21" w:rsidP="00B44A21" w:rsidRDefault="00B44A21" w14:paraId="4939DE07" w14:textId="77777777">
      <w:pPr>
        <w:jc w:val="center"/>
        <w:rPr>
          <w:rFonts w:eastAsia="Calibri"/>
          <w:sz w:val="20"/>
          <w:szCs w:val="20"/>
        </w:rPr>
      </w:pPr>
    </w:p>
    <w:p w:rsidRPr="00B44A21" w:rsidR="00B44A21" w:rsidP="00B44A21" w:rsidRDefault="00B44A21" w14:paraId="4C078317" w14:textId="77777777">
      <w:pPr>
        <w:jc w:val="center"/>
        <w:rPr>
          <w:rFonts w:eastAsia="Calibri"/>
          <w:sz w:val="20"/>
          <w:szCs w:val="20"/>
        </w:rPr>
      </w:pPr>
    </w:p>
    <w:p w:rsidRPr="00B44A21" w:rsidR="00B44A21" w:rsidP="00B44A21" w:rsidRDefault="00B44A21" w14:paraId="573CED4F" w14:textId="77777777">
      <w:pPr>
        <w:spacing w:line="480" w:lineRule="auto"/>
        <w:contextualSpacing/>
        <w:jc w:val="center"/>
        <w:rPr>
          <w:u w:val="single"/>
        </w:rPr>
      </w:pPr>
      <w:r w:rsidRPr="00B44A21">
        <w:rPr>
          <w:u w:val="single"/>
        </w:rPr>
        <w:t>Estimated Annual Reporting Burden for Medical Devices</w:t>
      </w:r>
    </w:p>
    <w:p w:rsidRPr="00B44A21" w:rsidR="00B44A21" w:rsidP="00166043" w:rsidRDefault="00B44A21" w14:paraId="5768D560" w14:textId="17E6B357">
      <w:pPr>
        <w:spacing w:line="360" w:lineRule="auto"/>
        <w:ind w:firstLine="720"/>
        <w:contextualSpacing/>
      </w:pPr>
      <w:r w:rsidRPr="00B44A21">
        <w:t xml:space="preserve">Under § 814.20(b)(11) (21 CFR 814.20(b)(11)), premarket approvals (PMAs) (original PMAs and supplements) must contain a claim for categorical exclusion under § 25.30 or § 25.34 or an EA under § 25.40.  </w:t>
      </w:r>
      <w:r w:rsidRPr="005609BE" w:rsidR="005609BE">
        <w:t xml:space="preserve"> </w:t>
      </w:r>
      <w:r w:rsidRPr="00B44A21" w:rsidR="00911C7E">
        <w:t>FDA has received approximately</w:t>
      </w:r>
      <w:r w:rsidR="00FE2EB2">
        <w:t xml:space="preserve"> </w:t>
      </w:r>
      <w:r w:rsidR="00246A77">
        <w:t>62</w:t>
      </w:r>
      <w:r w:rsidRPr="00B44A21">
        <w:t xml:space="preserve"> claims (original PMAs and supplements) for categorical exclusions as required under § 25.15(a) and (d), and 0 EAs as required under § 25.40(a) and (c).  FDA estimates that approximately </w:t>
      </w:r>
      <w:r w:rsidR="005E1E68">
        <w:t>62</w:t>
      </w:r>
      <w:r w:rsidRPr="00B44A21">
        <w:t xml:space="preserve"> respondents will submit an average of 1 application for categorical exclusion annually.  Based on information provided by sponsors, FDA estimates that it takes approximately 6 hours to prepare a claim for a categorical exclusion.</w:t>
      </w:r>
    </w:p>
    <w:tbl>
      <w:tblPr>
        <w:tblW w:w="46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32"/>
        <w:gridCol w:w="1642"/>
        <w:gridCol w:w="1488"/>
        <w:gridCol w:w="1310"/>
        <w:gridCol w:w="1312"/>
        <w:gridCol w:w="1291"/>
      </w:tblGrid>
      <w:tr w:rsidRPr="00B44A21" w:rsidR="00B44A21" w:rsidTr="00B44A21" w14:paraId="735106F3" w14:textId="77777777">
        <w:trPr>
          <w:cantSplit/>
          <w:trHeight w:val="21"/>
          <w:tblHeader/>
          <w:jc w:val="center"/>
        </w:trPr>
        <w:tc>
          <w:tcPr>
            <w:tcW w:w="5000" w:type="pct"/>
            <w:gridSpan w:val="6"/>
            <w:tcBorders>
              <w:top w:val="nil"/>
              <w:left w:val="nil"/>
              <w:bottom w:val="single" w:color="auto" w:sz="4" w:space="0"/>
              <w:right w:val="nil"/>
            </w:tcBorders>
            <w:hideMark/>
          </w:tcPr>
          <w:p w:rsidRPr="00B44A21" w:rsidR="00B44A21" w:rsidP="00B44A21" w:rsidRDefault="00B44A21" w14:paraId="6BCEB05E" w14:textId="77777777">
            <w:pPr>
              <w:jc w:val="center"/>
              <w:rPr>
                <w:rFonts w:eastAsia="Calibri"/>
              </w:rPr>
            </w:pPr>
            <w:r w:rsidRPr="00B44A21">
              <w:rPr>
                <w:rFonts w:eastAsia="Calibri"/>
              </w:rPr>
              <w:t>Table 2.--Estimated Annual Reporting Burden for Medical Devices</w:t>
            </w:r>
          </w:p>
        </w:tc>
      </w:tr>
      <w:tr w:rsidRPr="00B44A21" w:rsidR="00B44A21" w:rsidTr="00B44A21" w14:paraId="0383E33D" w14:textId="77777777">
        <w:trPr>
          <w:cantSplit/>
          <w:trHeight w:val="21"/>
          <w:tblHeader/>
          <w:jc w:val="center"/>
        </w:trPr>
        <w:tc>
          <w:tcPr>
            <w:tcW w:w="1076" w:type="pct"/>
            <w:tcBorders>
              <w:top w:val="single" w:color="auto" w:sz="4" w:space="0"/>
              <w:left w:val="single" w:color="auto" w:sz="4" w:space="0"/>
              <w:bottom w:val="single" w:color="auto" w:sz="4" w:space="0"/>
              <w:right w:val="single" w:color="auto" w:sz="4" w:space="0"/>
            </w:tcBorders>
            <w:hideMark/>
          </w:tcPr>
          <w:p w:rsidRPr="00B44A21" w:rsidR="00B44A21" w:rsidP="00B44A21" w:rsidRDefault="00B44A21" w14:paraId="06847B69" w14:textId="77777777">
            <w:pPr>
              <w:jc w:val="center"/>
              <w:rPr>
                <w:rFonts w:eastAsia="Calibri"/>
              </w:rPr>
            </w:pPr>
            <w:r w:rsidRPr="00B44A21">
              <w:rPr>
                <w:rFonts w:eastAsia="Calibri"/>
              </w:rPr>
              <w:t>21 CFR Section</w:t>
            </w:r>
          </w:p>
        </w:tc>
        <w:tc>
          <w:tcPr>
            <w:tcW w:w="915" w:type="pct"/>
            <w:tcBorders>
              <w:top w:val="single" w:color="auto" w:sz="4" w:space="0"/>
              <w:left w:val="single" w:color="auto" w:sz="4" w:space="0"/>
              <w:bottom w:val="single" w:color="auto" w:sz="4" w:space="0"/>
              <w:right w:val="single" w:color="auto" w:sz="4" w:space="0"/>
            </w:tcBorders>
            <w:hideMark/>
          </w:tcPr>
          <w:p w:rsidRPr="00B44A21" w:rsidR="00B44A21" w:rsidP="00B44A21" w:rsidRDefault="00B44A21" w14:paraId="237F2A9C" w14:textId="77777777">
            <w:pPr>
              <w:jc w:val="center"/>
              <w:rPr>
                <w:rFonts w:eastAsia="Calibri"/>
              </w:rPr>
            </w:pPr>
            <w:r w:rsidRPr="00B44A21">
              <w:rPr>
                <w:rFonts w:eastAsia="Calibri"/>
              </w:rPr>
              <w:t>No. of Respondents</w:t>
            </w:r>
          </w:p>
        </w:tc>
        <w:tc>
          <w:tcPr>
            <w:tcW w:w="829" w:type="pct"/>
            <w:tcBorders>
              <w:top w:val="single" w:color="auto" w:sz="4" w:space="0"/>
              <w:left w:val="single" w:color="auto" w:sz="4" w:space="0"/>
              <w:bottom w:val="single" w:color="auto" w:sz="4" w:space="0"/>
              <w:right w:val="single" w:color="auto" w:sz="4" w:space="0"/>
            </w:tcBorders>
            <w:hideMark/>
          </w:tcPr>
          <w:p w:rsidRPr="00B44A21" w:rsidR="00B44A21" w:rsidP="00B44A21" w:rsidRDefault="00B44A21" w14:paraId="609276BD" w14:textId="77777777">
            <w:pPr>
              <w:jc w:val="center"/>
              <w:rPr>
                <w:rFonts w:eastAsia="Calibri"/>
              </w:rPr>
            </w:pPr>
            <w:r w:rsidRPr="00B44A21">
              <w:rPr>
                <w:rFonts w:eastAsia="Calibri"/>
                <w:bCs/>
              </w:rPr>
              <w:t>No. of Responses per Respondent</w:t>
            </w:r>
          </w:p>
        </w:tc>
        <w:tc>
          <w:tcPr>
            <w:tcW w:w="730" w:type="pct"/>
            <w:tcBorders>
              <w:top w:val="single" w:color="auto" w:sz="4" w:space="0"/>
              <w:left w:val="single" w:color="auto" w:sz="4" w:space="0"/>
              <w:bottom w:val="single" w:color="auto" w:sz="4" w:space="0"/>
              <w:right w:val="single" w:color="auto" w:sz="4" w:space="0"/>
            </w:tcBorders>
            <w:hideMark/>
          </w:tcPr>
          <w:p w:rsidRPr="00B44A21" w:rsidR="00B44A21" w:rsidP="00B44A21" w:rsidRDefault="00B44A21" w14:paraId="6DE22938" w14:textId="77777777">
            <w:pPr>
              <w:jc w:val="center"/>
              <w:rPr>
                <w:rFonts w:eastAsia="Calibri"/>
              </w:rPr>
            </w:pPr>
            <w:r w:rsidRPr="00B44A21">
              <w:rPr>
                <w:rFonts w:eastAsia="Calibri"/>
              </w:rPr>
              <w:t>Total Annual Responses</w:t>
            </w:r>
          </w:p>
        </w:tc>
        <w:tc>
          <w:tcPr>
            <w:tcW w:w="731" w:type="pct"/>
            <w:tcBorders>
              <w:top w:val="single" w:color="auto" w:sz="4" w:space="0"/>
              <w:left w:val="single" w:color="auto" w:sz="4" w:space="0"/>
              <w:bottom w:val="single" w:color="auto" w:sz="4" w:space="0"/>
              <w:right w:val="single" w:color="auto" w:sz="4" w:space="0"/>
            </w:tcBorders>
            <w:hideMark/>
          </w:tcPr>
          <w:p w:rsidRPr="00B44A21" w:rsidR="00B44A21" w:rsidP="00B44A21" w:rsidRDefault="00B44A21" w14:paraId="18542D27" w14:textId="77777777">
            <w:pPr>
              <w:jc w:val="center"/>
              <w:rPr>
                <w:rFonts w:eastAsia="Calibri"/>
              </w:rPr>
            </w:pPr>
            <w:r w:rsidRPr="00B44A21">
              <w:rPr>
                <w:rFonts w:eastAsia="Calibri"/>
                <w:bCs/>
              </w:rPr>
              <w:t>Average Burden per Response</w:t>
            </w:r>
          </w:p>
        </w:tc>
        <w:tc>
          <w:tcPr>
            <w:tcW w:w="720" w:type="pct"/>
            <w:tcBorders>
              <w:top w:val="single" w:color="auto" w:sz="4" w:space="0"/>
              <w:left w:val="single" w:color="auto" w:sz="4" w:space="0"/>
              <w:bottom w:val="single" w:color="auto" w:sz="4" w:space="0"/>
              <w:right w:val="single" w:color="auto" w:sz="4" w:space="0"/>
            </w:tcBorders>
          </w:tcPr>
          <w:p w:rsidRPr="00B44A21" w:rsidR="00B44A21" w:rsidP="00B44A21" w:rsidRDefault="00B44A21" w14:paraId="7054E28B" w14:textId="77777777">
            <w:pPr>
              <w:jc w:val="center"/>
              <w:rPr>
                <w:rFonts w:eastAsia="Calibri"/>
                <w:highlight w:val="yellow"/>
              </w:rPr>
            </w:pPr>
            <w:r w:rsidRPr="00B44A21">
              <w:rPr>
                <w:rFonts w:eastAsia="Calibri"/>
              </w:rPr>
              <w:t>Total Hours</w:t>
            </w:r>
          </w:p>
        </w:tc>
      </w:tr>
      <w:tr w:rsidRPr="00B44A21" w:rsidR="00B44A21" w:rsidTr="00B44A21" w14:paraId="6285A8AE" w14:textId="77777777">
        <w:trPr>
          <w:cantSplit/>
          <w:trHeight w:val="21"/>
          <w:jc w:val="center"/>
        </w:trPr>
        <w:tc>
          <w:tcPr>
            <w:tcW w:w="1076" w:type="pct"/>
            <w:tcBorders>
              <w:top w:val="single" w:color="auto" w:sz="4" w:space="0"/>
              <w:left w:val="single" w:color="auto" w:sz="4" w:space="0"/>
              <w:bottom w:val="single" w:color="auto" w:sz="4" w:space="0"/>
              <w:right w:val="single" w:color="auto" w:sz="4" w:space="0"/>
            </w:tcBorders>
            <w:hideMark/>
          </w:tcPr>
          <w:p w:rsidRPr="00B44A21" w:rsidR="00B44A21" w:rsidP="00B44A21" w:rsidRDefault="00B44A21" w14:paraId="75B14EA2" w14:textId="77777777">
            <w:pPr>
              <w:rPr>
                <w:rFonts w:eastAsia="Calibri"/>
              </w:rPr>
            </w:pPr>
            <w:r w:rsidRPr="00B44A21">
              <w:rPr>
                <w:rFonts w:eastAsia="Calibri"/>
              </w:rPr>
              <w:t>25.15(a) and (d)</w:t>
            </w:r>
          </w:p>
        </w:tc>
        <w:tc>
          <w:tcPr>
            <w:tcW w:w="915" w:type="pct"/>
            <w:tcBorders>
              <w:top w:val="single" w:color="auto" w:sz="4" w:space="0"/>
              <w:left w:val="single" w:color="auto" w:sz="4" w:space="0"/>
              <w:bottom w:val="single" w:color="auto" w:sz="4" w:space="0"/>
              <w:right w:val="single" w:color="auto" w:sz="4" w:space="0"/>
            </w:tcBorders>
            <w:hideMark/>
          </w:tcPr>
          <w:p w:rsidRPr="00B44A21" w:rsidR="00B44A21" w:rsidP="00B44A21" w:rsidRDefault="007C5088" w14:paraId="2E2294E3" w14:textId="087ADC49">
            <w:pPr>
              <w:jc w:val="right"/>
              <w:rPr>
                <w:rFonts w:eastAsia="Calibri"/>
              </w:rPr>
            </w:pPr>
            <w:r>
              <w:rPr>
                <w:rFonts w:eastAsia="Calibri"/>
              </w:rPr>
              <w:t>62</w:t>
            </w:r>
          </w:p>
        </w:tc>
        <w:tc>
          <w:tcPr>
            <w:tcW w:w="829" w:type="pct"/>
            <w:tcBorders>
              <w:top w:val="single" w:color="auto" w:sz="4" w:space="0"/>
              <w:left w:val="single" w:color="auto" w:sz="4" w:space="0"/>
              <w:bottom w:val="single" w:color="auto" w:sz="4" w:space="0"/>
              <w:right w:val="single" w:color="auto" w:sz="4" w:space="0"/>
            </w:tcBorders>
            <w:hideMark/>
          </w:tcPr>
          <w:p w:rsidRPr="00B44A21" w:rsidR="00B44A21" w:rsidP="00B44A21" w:rsidRDefault="00B44A21" w14:paraId="7FB6A200" w14:textId="77777777">
            <w:pPr>
              <w:jc w:val="right"/>
              <w:rPr>
                <w:rFonts w:eastAsia="Calibri"/>
              </w:rPr>
            </w:pPr>
            <w:r w:rsidRPr="00B44A21">
              <w:rPr>
                <w:rFonts w:eastAsia="Calibri"/>
              </w:rPr>
              <w:t>1</w:t>
            </w:r>
          </w:p>
        </w:tc>
        <w:tc>
          <w:tcPr>
            <w:tcW w:w="730" w:type="pct"/>
            <w:tcBorders>
              <w:top w:val="single" w:color="auto" w:sz="4" w:space="0"/>
              <w:left w:val="single" w:color="auto" w:sz="4" w:space="0"/>
              <w:bottom w:val="single" w:color="auto" w:sz="4" w:space="0"/>
              <w:right w:val="single" w:color="auto" w:sz="4" w:space="0"/>
            </w:tcBorders>
            <w:hideMark/>
          </w:tcPr>
          <w:p w:rsidRPr="00B44A21" w:rsidR="00B44A21" w:rsidP="00B44A21" w:rsidRDefault="007C5088" w14:paraId="1C71DC87" w14:textId="6C61A187">
            <w:pPr>
              <w:jc w:val="right"/>
              <w:rPr>
                <w:rFonts w:eastAsia="Calibri"/>
              </w:rPr>
            </w:pPr>
            <w:r>
              <w:rPr>
                <w:rFonts w:eastAsia="Calibri"/>
              </w:rPr>
              <w:t>62</w:t>
            </w:r>
          </w:p>
        </w:tc>
        <w:tc>
          <w:tcPr>
            <w:tcW w:w="731" w:type="pct"/>
            <w:tcBorders>
              <w:top w:val="single" w:color="auto" w:sz="4" w:space="0"/>
              <w:left w:val="single" w:color="auto" w:sz="4" w:space="0"/>
              <w:bottom w:val="single" w:color="auto" w:sz="4" w:space="0"/>
              <w:right w:val="single" w:color="auto" w:sz="4" w:space="0"/>
            </w:tcBorders>
            <w:hideMark/>
          </w:tcPr>
          <w:p w:rsidRPr="00B44A21" w:rsidR="00B44A21" w:rsidP="00B44A21" w:rsidRDefault="00B44A21" w14:paraId="5725EAB4" w14:textId="77777777">
            <w:pPr>
              <w:jc w:val="right"/>
              <w:rPr>
                <w:rFonts w:eastAsia="Calibri"/>
              </w:rPr>
            </w:pPr>
            <w:r w:rsidRPr="00B44A21">
              <w:rPr>
                <w:rFonts w:eastAsia="Calibri"/>
              </w:rPr>
              <w:t>6</w:t>
            </w:r>
          </w:p>
        </w:tc>
        <w:tc>
          <w:tcPr>
            <w:tcW w:w="720" w:type="pct"/>
            <w:tcBorders>
              <w:top w:val="single" w:color="auto" w:sz="4" w:space="0"/>
              <w:left w:val="single" w:color="auto" w:sz="4" w:space="0"/>
              <w:bottom w:val="single" w:color="auto" w:sz="4" w:space="0"/>
              <w:right w:val="single" w:color="auto" w:sz="4" w:space="0"/>
            </w:tcBorders>
          </w:tcPr>
          <w:p w:rsidRPr="00B44A21" w:rsidR="00B44A21" w:rsidP="00B44A21" w:rsidRDefault="007C5088" w14:paraId="64A9D60D" w14:textId="787E9D0B">
            <w:pPr>
              <w:jc w:val="right"/>
              <w:rPr>
                <w:rFonts w:eastAsia="Calibri"/>
                <w:highlight w:val="yellow"/>
              </w:rPr>
            </w:pPr>
            <w:r>
              <w:rPr>
                <w:rFonts w:eastAsia="Calibri"/>
              </w:rPr>
              <w:t>372</w:t>
            </w:r>
          </w:p>
        </w:tc>
      </w:tr>
    </w:tbl>
    <w:p w:rsidR="00B44A21" w:rsidP="00B44A21" w:rsidRDefault="00B44A21" w14:paraId="3CA513FF" w14:textId="2F4C663A">
      <w:pPr>
        <w:spacing w:line="480" w:lineRule="auto"/>
        <w:rPr>
          <w:szCs w:val="20"/>
        </w:rPr>
      </w:pPr>
    </w:p>
    <w:p w:rsidRPr="00B44A21" w:rsidR="00F94249" w:rsidP="00B44A21" w:rsidRDefault="00F94249" w14:paraId="20FA9D1C" w14:textId="77777777">
      <w:pPr>
        <w:spacing w:line="480" w:lineRule="auto"/>
        <w:rPr>
          <w:szCs w:val="20"/>
        </w:rPr>
      </w:pPr>
    </w:p>
    <w:p w:rsidRPr="00B44A21" w:rsidR="00B44A21" w:rsidP="00166043" w:rsidRDefault="00B44A21" w14:paraId="23FCEFFC" w14:textId="77777777">
      <w:pPr>
        <w:spacing w:line="360" w:lineRule="auto"/>
        <w:contextualSpacing/>
        <w:jc w:val="center"/>
        <w:rPr>
          <w:u w:val="single"/>
        </w:rPr>
      </w:pPr>
      <w:r w:rsidRPr="00B44A21">
        <w:rPr>
          <w:u w:val="single"/>
        </w:rPr>
        <w:t>Estimated Annual Reporting Burden for Biological Products, Drugs, and Medical Devices in the Center for Biologics Evaluation and Research</w:t>
      </w:r>
    </w:p>
    <w:p w:rsidRPr="00B44A21" w:rsidR="00B44A21" w:rsidP="00166043" w:rsidRDefault="00B44A21" w14:paraId="398F61ED" w14:textId="77B141F8">
      <w:pPr>
        <w:spacing w:line="360" w:lineRule="auto"/>
        <w:ind w:firstLine="720"/>
        <w:contextualSpacing/>
      </w:pPr>
      <w:r w:rsidRPr="00B44A21">
        <w:lastRenderedPageBreak/>
        <w:t>Under 21 CFR 601.2(a), BLAs as well as INDs (</w:t>
      </w:r>
      <w:hyperlink w:history="1" r:id="rId10">
        <w:r w:rsidRPr="00B44A21">
          <w:t>§ 312.23</w:t>
        </w:r>
      </w:hyperlink>
      <w:r w:rsidRPr="00B44A21">
        <w:t>), NDAs (</w:t>
      </w:r>
      <w:hyperlink w:history="1" r:id="rId11">
        <w:r w:rsidRPr="00B44A21">
          <w:t>§ 314.50</w:t>
        </w:r>
      </w:hyperlink>
      <w:r w:rsidRPr="00B44A21">
        <w:t>), ANDAs (</w:t>
      </w:r>
      <w:hyperlink w:history="1" r:id="rId12">
        <w:r w:rsidRPr="00B44A21">
          <w:t>§ 314.94</w:t>
        </w:r>
      </w:hyperlink>
      <w:r w:rsidRPr="00B44A21">
        <w:t>), and PMAs (</w:t>
      </w:r>
      <w:hyperlink w:history="1" r:id="rId13">
        <w:r w:rsidRPr="00B44A21">
          <w:t>§ 814.20</w:t>
        </w:r>
      </w:hyperlink>
      <w:r w:rsidRPr="00B44A21">
        <w:t xml:space="preserve">) must contain either a claim of categorical exclusion under </w:t>
      </w:r>
      <w:r w:rsidRPr="00B44A21">
        <w:rPr>
          <w:rFonts w:eastAsia="Calibri"/>
        </w:rPr>
        <w:t>§ </w:t>
      </w:r>
      <w:r w:rsidRPr="00B44A21">
        <w:t xml:space="preserve">25.30 or § 25.32 or an EA under </w:t>
      </w:r>
      <w:r w:rsidRPr="00B44A21">
        <w:rPr>
          <w:rFonts w:eastAsia="Calibri"/>
        </w:rPr>
        <w:t xml:space="preserve">§ </w:t>
      </w:r>
      <w:r w:rsidRPr="00B44A21">
        <w:t xml:space="preserve">25.40.  Annually, FDA receives approximately </w:t>
      </w:r>
      <w:r w:rsidR="009A7D2C">
        <w:t>11</w:t>
      </w:r>
      <w:r w:rsidRPr="00B44A21">
        <w:t xml:space="preserve"> BLAs from </w:t>
      </w:r>
      <w:r w:rsidR="009A7D2C">
        <w:t>11</w:t>
      </w:r>
      <w:r w:rsidRPr="00B44A21">
        <w:t xml:space="preserve"> applicants, </w:t>
      </w:r>
      <w:r w:rsidR="00E91983">
        <w:t>1,080</w:t>
      </w:r>
      <w:r w:rsidRPr="00B44A21">
        <w:t xml:space="preserve"> BLA supplements to license applications from </w:t>
      </w:r>
      <w:r w:rsidR="00771893">
        <w:t>160</w:t>
      </w:r>
      <w:r w:rsidRPr="00B44A21">
        <w:t xml:space="preserve"> applicants, </w:t>
      </w:r>
      <w:r w:rsidR="00771893">
        <w:t>7,017</w:t>
      </w:r>
      <w:r w:rsidRPr="00B44A21">
        <w:t xml:space="preserve"> INDs from </w:t>
      </w:r>
      <w:r w:rsidR="00771893">
        <w:t>2,087</w:t>
      </w:r>
      <w:r w:rsidRPr="00B44A21">
        <w:t xml:space="preserve"> sponsors, 1 NDA from 1 applicant, </w:t>
      </w:r>
      <w:r w:rsidR="00771893">
        <w:t>16</w:t>
      </w:r>
      <w:r w:rsidRPr="00B44A21">
        <w:t xml:space="preserve"> supplements to NDAs from </w:t>
      </w:r>
      <w:r w:rsidR="00771893">
        <w:t>6</w:t>
      </w:r>
      <w:r w:rsidRPr="00B44A21">
        <w:t xml:space="preserve"> applicants, 1 ANDA from 1 applicant, </w:t>
      </w:r>
      <w:r w:rsidR="005E1F6E">
        <w:t>3</w:t>
      </w:r>
      <w:r w:rsidRPr="00B44A21">
        <w:t xml:space="preserve"> supplement</w:t>
      </w:r>
      <w:r w:rsidR="005E1F6E">
        <w:t>s</w:t>
      </w:r>
      <w:r w:rsidRPr="00B44A21">
        <w:t xml:space="preserve"> to ANDAs from </w:t>
      </w:r>
      <w:r w:rsidR="005E1F6E">
        <w:t>2</w:t>
      </w:r>
      <w:r w:rsidRPr="00B44A21">
        <w:t xml:space="preserve"> applicant</w:t>
      </w:r>
      <w:r w:rsidR="00F045E9">
        <w:t>s</w:t>
      </w:r>
      <w:r w:rsidRPr="00B44A21">
        <w:t xml:space="preserve">, </w:t>
      </w:r>
      <w:r w:rsidR="005E1F6E">
        <w:t>1</w:t>
      </w:r>
      <w:r w:rsidRPr="00B44A21">
        <w:t xml:space="preserve"> PMA from </w:t>
      </w:r>
      <w:r w:rsidR="005E1F6E">
        <w:t>1</w:t>
      </w:r>
      <w:r w:rsidRPr="00B44A21">
        <w:t xml:space="preserve"> applicant, and </w:t>
      </w:r>
      <w:r w:rsidR="005E1F6E">
        <w:t>79</w:t>
      </w:r>
      <w:r w:rsidRPr="00B44A21">
        <w:t xml:space="preserve"> PMA supplements from </w:t>
      </w:r>
      <w:r w:rsidR="005E1F6E">
        <w:t>19</w:t>
      </w:r>
      <w:r w:rsidRPr="00B44A21">
        <w:t xml:space="preserve"> applicants.  FDA estimates that approximately 10 percent of these supplements would be submitted with a claim for categorical exclusion or an EA.</w:t>
      </w:r>
    </w:p>
    <w:p w:rsidRPr="00B44A21" w:rsidR="00B44A21" w:rsidP="00166043" w:rsidRDefault="00B44A21" w14:paraId="4CAC9099" w14:textId="5E90C2C7">
      <w:pPr>
        <w:spacing w:line="360" w:lineRule="auto"/>
        <w:ind w:firstLine="720"/>
        <w:contextualSpacing/>
      </w:pPr>
      <w:r w:rsidRPr="00B44A21">
        <w:t xml:space="preserve">FDA has received approximately </w:t>
      </w:r>
      <w:r w:rsidR="00084FF1">
        <w:t>7,150</w:t>
      </w:r>
      <w:r w:rsidRPr="00B44A21">
        <w:t xml:space="preserve"> claims for categorical exclusion as required under </w:t>
      </w:r>
      <w:r w:rsidRPr="00B44A21">
        <w:rPr>
          <w:rFonts w:eastAsia="Calibri"/>
        </w:rPr>
        <w:t>§ </w:t>
      </w:r>
      <w:r w:rsidRPr="00B44A21">
        <w:t xml:space="preserve">25.15(a) and (d) annually and 2 EAs as required under </w:t>
      </w:r>
      <w:r w:rsidRPr="00B44A21">
        <w:rPr>
          <w:rFonts w:eastAsia="Calibri"/>
        </w:rPr>
        <w:t>§</w:t>
      </w:r>
      <w:r w:rsidRPr="00B44A21">
        <w:t xml:space="preserve"> 25.40(a) and (c) annually.  Therefore, FDA estimates that approximately </w:t>
      </w:r>
      <w:r w:rsidR="00084FF1">
        <w:t>3,575</w:t>
      </w:r>
      <w:r w:rsidRPr="00B44A21">
        <w:t xml:space="preserve"> respondents will submit an average of 2 applications for categorical exclusion and </w:t>
      </w:r>
      <w:r w:rsidR="0033180A">
        <w:t>4</w:t>
      </w:r>
      <w:r w:rsidRPr="00B44A21">
        <w:t xml:space="preserve"> respondents will submit an average of 1 EA.  Based on information provided by industry, FDA estimates that it takes sponsors and applicants approximately 8 hours to prepare a claim of categorical exclusion and approximately 3,400 hours to prepare an EA for a biological product.</w:t>
      </w:r>
    </w:p>
    <w:tbl>
      <w:tblPr>
        <w:tblW w:w="48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05"/>
        <w:gridCol w:w="1638"/>
        <w:gridCol w:w="1555"/>
        <w:gridCol w:w="1397"/>
        <w:gridCol w:w="1365"/>
        <w:gridCol w:w="1538"/>
      </w:tblGrid>
      <w:tr w:rsidRPr="00B44A21" w:rsidR="00B44A21" w:rsidTr="00B44A21" w14:paraId="4ED84E66" w14:textId="77777777">
        <w:trPr>
          <w:cantSplit/>
          <w:trHeight w:val="18"/>
          <w:tblHeader/>
          <w:jc w:val="center"/>
        </w:trPr>
        <w:tc>
          <w:tcPr>
            <w:tcW w:w="5000" w:type="pct"/>
            <w:gridSpan w:val="6"/>
            <w:tcBorders>
              <w:top w:val="nil"/>
              <w:left w:val="nil"/>
              <w:right w:val="nil"/>
            </w:tcBorders>
            <w:shd w:val="clear" w:color="auto" w:fill="auto"/>
          </w:tcPr>
          <w:p w:rsidRPr="00B44A21" w:rsidR="00B44A21" w:rsidP="00B44A21" w:rsidRDefault="00B44A21" w14:paraId="13340CB6" w14:textId="77777777">
            <w:pPr>
              <w:keepNext/>
              <w:jc w:val="center"/>
              <w:rPr>
                <w:rFonts w:eastAsia="Calibri"/>
              </w:rPr>
            </w:pPr>
            <w:r w:rsidRPr="00B44A21">
              <w:rPr>
                <w:rFonts w:eastAsia="Calibri"/>
              </w:rPr>
              <w:t>Table 3.--Estimated Annual Reporting Burden for Biological Products</w:t>
            </w:r>
          </w:p>
        </w:tc>
      </w:tr>
      <w:tr w:rsidRPr="00B44A21" w:rsidR="00B44A21" w:rsidTr="00B44A21" w14:paraId="12384243" w14:textId="77777777">
        <w:trPr>
          <w:cantSplit/>
          <w:trHeight w:val="18"/>
          <w:tblHeader/>
          <w:jc w:val="center"/>
        </w:trPr>
        <w:tc>
          <w:tcPr>
            <w:tcW w:w="971" w:type="pct"/>
            <w:shd w:val="clear" w:color="auto" w:fill="auto"/>
          </w:tcPr>
          <w:p w:rsidRPr="00B44A21" w:rsidR="00B44A21" w:rsidP="00B44A21" w:rsidRDefault="00B44A21" w14:paraId="5B44864E" w14:textId="77777777">
            <w:pPr>
              <w:keepNext/>
              <w:jc w:val="center"/>
              <w:rPr>
                <w:rFonts w:eastAsia="Calibri"/>
              </w:rPr>
            </w:pPr>
            <w:r w:rsidRPr="00B44A21">
              <w:rPr>
                <w:rFonts w:eastAsia="Calibri"/>
              </w:rPr>
              <w:t>21 CFR Section</w:t>
            </w:r>
          </w:p>
        </w:tc>
        <w:tc>
          <w:tcPr>
            <w:tcW w:w="881" w:type="pct"/>
            <w:shd w:val="clear" w:color="auto" w:fill="auto"/>
          </w:tcPr>
          <w:p w:rsidRPr="00B44A21" w:rsidR="00B44A21" w:rsidP="00B44A21" w:rsidRDefault="00B44A21" w14:paraId="6EE143B6" w14:textId="77777777">
            <w:pPr>
              <w:keepNext/>
              <w:jc w:val="center"/>
              <w:rPr>
                <w:rFonts w:eastAsia="Calibri"/>
              </w:rPr>
            </w:pPr>
            <w:r w:rsidRPr="00B44A21">
              <w:rPr>
                <w:rFonts w:eastAsia="Calibri"/>
              </w:rPr>
              <w:t>No. of Respondents</w:t>
            </w:r>
          </w:p>
        </w:tc>
        <w:tc>
          <w:tcPr>
            <w:tcW w:w="836" w:type="pct"/>
            <w:shd w:val="clear" w:color="auto" w:fill="auto"/>
          </w:tcPr>
          <w:p w:rsidRPr="00B44A21" w:rsidR="00B44A21" w:rsidP="00B44A21" w:rsidRDefault="00B44A21" w14:paraId="52EF941A" w14:textId="77777777">
            <w:pPr>
              <w:keepNext/>
              <w:jc w:val="center"/>
              <w:rPr>
                <w:rFonts w:eastAsia="Calibri"/>
              </w:rPr>
            </w:pPr>
            <w:r w:rsidRPr="00B44A21">
              <w:rPr>
                <w:rFonts w:eastAsia="Calibri"/>
                <w:bCs/>
              </w:rPr>
              <w:t>No. of Responses per Respondent</w:t>
            </w:r>
          </w:p>
        </w:tc>
        <w:tc>
          <w:tcPr>
            <w:tcW w:w="751" w:type="pct"/>
            <w:shd w:val="clear" w:color="auto" w:fill="auto"/>
          </w:tcPr>
          <w:p w:rsidRPr="00B44A21" w:rsidR="00B44A21" w:rsidP="00B44A21" w:rsidRDefault="00B44A21" w14:paraId="4C11945E" w14:textId="77777777">
            <w:pPr>
              <w:keepNext/>
              <w:jc w:val="center"/>
              <w:rPr>
                <w:rFonts w:eastAsia="Calibri"/>
              </w:rPr>
            </w:pPr>
            <w:r w:rsidRPr="00B44A21">
              <w:rPr>
                <w:rFonts w:eastAsia="Calibri"/>
              </w:rPr>
              <w:t>Total Annual Responses</w:t>
            </w:r>
          </w:p>
        </w:tc>
        <w:tc>
          <w:tcPr>
            <w:tcW w:w="734" w:type="pct"/>
            <w:shd w:val="clear" w:color="auto" w:fill="auto"/>
          </w:tcPr>
          <w:p w:rsidRPr="00B44A21" w:rsidR="00B44A21" w:rsidP="00B44A21" w:rsidRDefault="00B44A21" w14:paraId="5975BBB4" w14:textId="77777777">
            <w:pPr>
              <w:keepNext/>
              <w:jc w:val="center"/>
              <w:rPr>
                <w:rFonts w:eastAsia="Calibri"/>
              </w:rPr>
            </w:pPr>
            <w:r w:rsidRPr="00B44A21">
              <w:rPr>
                <w:rFonts w:eastAsia="Calibri"/>
                <w:bCs/>
              </w:rPr>
              <w:t>Average Burden per Response</w:t>
            </w:r>
          </w:p>
        </w:tc>
        <w:tc>
          <w:tcPr>
            <w:tcW w:w="827" w:type="pct"/>
            <w:shd w:val="clear" w:color="auto" w:fill="auto"/>
          </w:tcPr>
          <w:p w:rsidRPr="00B44A21" w:rsidR="00B44A21" w:rsidP="00B44A21" w:rsidRDefault="00B44A21" w14:paraId="14AED544" w14:textId="77777777">
            <w:pPr>
              <w:keepNext/>
              <w:jc w:val="center"/>
              <w:rPr>
                <w:rFonts w:eastAsia="Calibri"/>
              </w:rPr>
            </w:pPr>
            <w:r w:rsidRPr="00B44A21">
              <w:rPr>
                <w:rFonts w:eastAsia="Calibri"/>
              </w:rPr>
              <w:t>Total Hours</w:t>
            </w:r>
          </w:p>
        </w:tc>
      </w:tr>
      <w:tr w:rsidRPr="00B44A21" w:rsidR="00B44A21" w:rsidTr="00B44A21" w14:paraId="3B83B42E" w14:textId="77777777">
        <w:trPr>
          <w:cantSplit/>
          <w:trHeight w:val="18"/>
          <w:jc w:val="center"/>
        </w:trPr>
        <w:tc>
          <w:tcPr>
            <w:tcW w:w="971" w:type="pct"/>
            <w:shd w:val="clear" w:color="auto" w:fill="auto"/>
          </w:tcPr>
          <w:p w:rsidRPr="00B44A21" w:rsidR="00B44A21" w:rsidP="00B44A21" w:rsidRDefault="00B44A21" w14:paraId="1352AC6E" w14:textId="77777777">
            <w:pPr>
              <w:keepNext/>
              <w:rPr>
                <w:rFonts w:eastAsia="Calibri"/>
              </w:rPr>
            </w:pPr>
            <w:r w:rsidRPr="00B44A21">
              <w:rPr>
                <w:rFonts w:eastAsia="Calibri"/>
              </w:rPr>
              <w:t>25.15(a) and (d)</w:t>
            </w:r>
          </w:p>
        </w:tc>
        <w:tc>
          <w:tcPr>
            <w:tcW w:w="881" w:type="pct"/>
            <w:shd w:val="clear" w:color="auto" w:fill="auto"/>
          </w:tcPr>
          <w:p w:rsidRPr="00B44A21" w:rsidR="00B44A21" w:rsidP="00B44A21" w:rsidRDefault="007C5088" w14:paraId="65ADB241" w14:textId="728D2AB3">
            <w:pPr>
              <w:keepNext/>
              <w:jc w:val="right"/>
              <w:rPr>
                <w:rFonts w:eastAsia="Calibri"/>
              </w:rPr>
            </w:pPr>
            <w:r>
              <w:rPr>
                <w:rFonts w:eastAsia="Calibri"/>
              </w:rPr>
              <w:t>3,575</w:t>
            </w:r>
          </w:p>
        </w:tc>
        <w:tc>
          <w:tcPr>
            <w:tcW w:w="836" w:type="pct"/>
            <w:shd w:val="clear" w:color="auto" w:fill="auto"/>
          </w:tcPr>
          <w:p w:rsidRPr="00B44A21" w:rsidR="00B44A21" w:rsidP="00B44A21" w:rsidRDefault="00B44A21" w14:paraId="539C4D97" w14:textId="77777777">
            <w:pPr>
              <w:keepNext/>
              <w:jc w:val="right"/>
              <w:rPr>
                <w:rFonts w:eastAsia="Calibri"/>
              </w:rPr>
            </w:pPr>
            <w:r w:rsidRPr="00B44A21">
              <w:rPr>
                <w:rFonts w:eastAsia="Calibri"/>
              </w:rPr>
              <w:t>2</w:t>
            </w:r>
          </w:p>
        </w:tc>
        <w:tc>
          <w:tcPr>
            <w:tcW w:w="751" w:type="pct"/>
            <w:shd w:val="clear" w:color="auto" w:fill="auto"/>
          </w:tcPr>
          <w:p w:rsidRPr="00B44A21" w:rsidR="00B44A21" w:rsidP="00B44A21" w:rsidRDefault="005A35AB" w14:paraId="2E597BDD" w14:textId="2CAC1023">
            <w:pPr>
              <w:keepNext/>
              <w:jc w:val="right"/>
              <w:rPr>
                <w:rFonts w:eastAsia="Calibri"/>
              </w:rPr>
            </w:pPr>
            <w:r>
              <w:rPr>
                <w:rFonts w:eastAsia="Calibri"/>
              </w:rPr>
              <w:t>7,150</w:t>
            </w:r>
          </w:p>
        </w:tc>
        <w:tc>
          <w:tcPr>
            <w:tcW w:w="734" w:type="pct"/>
            <w:shd w:val="clear" w:color="auto" w:fill="auto"/>
          </w:tcPr>
          <w:p w:rsidRPr="00B44A21" w:rsidR="00B44A21" w:rsidP="00B44A21" w:rsidRDefault="00B44A21" w14:paraId="39F1973D" w14:textId="77777777">
            <w:pPr>
              <w:keepNext/>
              <w:jc w:val="right"/>
              <w:rPr>
                <w:rFonts w:eastAsia="Calibri"/>
              </w:rPr>
            </w:pPr>
            <w:r w:rsidRPr="00B44A21">
              <w:rPr>
                <w:rFonts w:eastAsia="Calibri"/>
              </w:rPr>
              <w:t>8</w:t>
            </w:r>
          </w:p>
        </w:tc>
        <w:tc>
          <w:tcPr>
            <w:tcW w:w="827" w:type="pct"/>
            <w:shd w:val="clear" w:color="auto" w:fill="auto"/>
          </w:tcPr>
          <w:p w:rsidRPr="00B44A21" w:rsidR="00B44A21" w:rsidP="00B44A21" w:rsidRDefault="005A35AB" w14:paraId="0443E3B8" w14:textId="5FF3D2F9">
            <w:pPr>
              <w:keepNext/>
              <w:jc w:val="right"/>
              <w:rPr>
                <w:rFonts w:eastAsia="Calibri"/>
              </w:rPr>
            </w:pPr>
            <w:r>
              <w:rPr>
                <w:rFonts w:eastAsia="Calibri"/>
              </w:rPr>
              <w:t>57,200</w:t>
            </w:r>
          </w:p>
        </w:tc>
      </w:tr>
      <w:tr w:rsidRPr="00B44A21" w:rsidR="00B44A21" w:rsidTr="00B44A21" w14:paraId="68B29A83" w14:textId="77777777">
        <w:trPr>
          <w:cantSplit/>
          <w:trHeight w:val="18"/>
          <w:jc w:val="center"/>
        </w:trPr>
        <w:tc>
          <w:tcPr>
            <w:tcW w:w="971" w:type="pct"/>
            <w:shd w:val="clear" w:color="auto" w:fill="auto"/>
          </w:tcPr>
          <w:p w:rsidRPr="00B44A21" w:rsidR="00B44A21" w:rsidDel="00215B02" w:rsidP="00B44A21" w:rsidRDefault="00B44A21" w14:paraId="46A4143D" w14:textId="77777777">
            <w:pPr>
              <w:keepNext/>
              <w:rPr>
                <w:rFonts w:eastAsia="Calibri"/>
              </w:rPr>
            </w:pPr>
            <w:r w:rsidRPr="00B44A21">
              <w:rPr>
                <w:rFonts w:eastAsia="Calibri"/>
              </w:rPr>
              <w:t>25.40(a) and(c)</w:t>
            </w:r>
          </w:p>
        </w:tc>
        <w:tc>
          <w:tcPr>
            <w:tcW w:w="881" w:type="pct"/>
            <w:shd w:val="clear" w:color="auto" w:fill="auto"/>
          </w:tcPr>
          <w:p w:rsidRPr="00B44A21" w:rsidR="00B44A21" w:rsidDel="00215B02" w:rsidP="00B44A21" w:rsidRDefault="005A35AB" w14:paraId="1FA94599" w14:textId="27F18681">
            <w:pPr>
              <w:keepNext/>
              <w:jc w:val="right"/>
              <w:rPr>
                <w:rFonts w:eastAsia="Calibri"/>
              </w:rPr>
            </w:pPr>
            <w:r>
              <w:rPr>
                <w:rFonts w:eastAsia="Calibri"/>
              </w:rPr>
              <w:t>4</w:t>
            </w:r>
          </w:p>
        </w:tc>
        <w:tc>
          <w:tcPr>
            <w:tcW w:w="836" w:type="pct"/>
            <w:shd w:val="clear" w:color="auto" w:fill="auto"/>
          </w:tcPr>
          <w:p w:rsidRPr="00B44A21" w:rsidR="00B44A21" w:rsidDel="00215B02" w:rsidP="00B44A21" w:rsidRDefault="00B44A21" w14:paraId="3BDFC577" w14:textId="77777777">
            <w:pPr>
              <w:keepNext/>
              <w:jc w:val="right"/>
              <w:rPr>
                <w:rFonts w:eastAsia="Calibri"/>
              </w:rPr>
            </w:pPr>
            <w:r w:rsidRPr="00B44A21">
              <w:rPr>
                <w:rFonts w:eastAsia="Calibri"/>
              </w:rPr>
              <w:t>1</w:t>
            </w:r>
          </w:p>
        </w:tc>
        <w:tc>
          <w:tcPr>
            <w:tcW w:w="751" w:type="pct"/>
            <w:shd w:val="clear" w:color="auto" w:fill="auto"/>
          </w:tcPr>
          <w:p w:rsidRPr="00B44A21" w:rsidR="00B44A21" w:rsidDel="00215B02" w:rsidP="00B44A21" w:rsidRDefault="005A35AB" w14:paraId="12A739A1" w14:textId="77C1D9DA">
            <w:pPr>
              <w:keepNext/>
              <w:jc w:val="right"/>
              <w:rPr>
                <w:rFonts w:eastAsia="Calibri"/>
              </w:rPr>
            </w:pPr>
            <w:r>
              <w:rPr>
                <w:rFonts w:eastAsia="Calibri"/>
              </w:rPr>
              <w:t>4</w:t>
            </w:r>
          </w:p>
        </w:tc>
        <w:tc>
          <w:tcPr>
            <w:tcW w:w="734" w:type="pct"/>
            <w:shd w:val="clear" w:color="auto" w:fill="auto"/>
          </w:tcPr>
          <w:p w:rsidRPr="00B44A21" w:rsidR="00B44A21" w:rsidDel="000B746A" w:rsidP="00B44A21" w:rsidRDefault="00B44A21" w14:paraId="345A8F55" w14:textId="77777777">
            <w:pPr>
              <w:keepNext/>
              <w:jc w:val="right"/>
              <w:rPr>
                <w:rFonts w:eastAsia="Calibri"/>
              </w:rPr>
            </w:pPr>
            <w:r w:rsidRPr="00B44A21">
              <w:rPr>
                <w:rFonts w:eastAsia="Calibri"/>
              </w:rPr>
              <w:t>3,400</w:t>
            </w:r>
          </w:p>
        </w:tc>
        <w:tc>
          <w:tcPr>
            <w:tcW w:w="827" w:type="pct"/>
            <w:shd w:val="clear" w:color="auto" w:fill="auto"/>
          </w:tcPr>
          <w:p w:rsidRPr="00B44A21" w:rsidR="00B44A21" w:rsidDel="00215B02" w:rsidP="00B44A21" w:rsidRDefault="005A35AB" w14:paraId="1139926A" w14:textId="62CF7BFA">
            <w:pPr>
              <w:keepNext/>
              <w:jc w:val="right"/>
              <w:rPr>
                <w:rFonts w:eastAsia="Calibri"/>
              </w:rPr>
            </w:pPr>
            <w:r>
              <w:rPr>
                <w:rFonts w:eastAsia="Calibri"/>
              </w:rPr>
              <w:t>13,600</w:t>
            </w:r>
          </w:p>
        </w:tc>
      </w:tr>
      <w:tr w:rsidRPr="00B44A21" w:rsidR="00B44A21" w:rsidTr="00B44A21" w14:paraId="2A985CB9" w14:textId="77777777">
        <w:trPr>
          <w:cantSplit/>
          <w:trHeight w:val="18"/>
          <w:jc w:val="center"/>
        </w:trPr>
        <w:tc>
          <w:tcPr>
            <w:tcW w:w="4173" w:type="pct"/>
            <w:gridSpan w:val="5"/>
            <w:shd w:val="clear" w:color="auto" w:fill="auto"/>
          </w:tcPr>
          <w:p w:rsidRPr="00B44A21" w:rsidR="00B44A21" w:rsidP="00B44A21" w:rsidRDefault="00B44A21" w14:paraId="26DE81A9" w14:textId="77777777">
            <w:pPr>
              <w:rPr>
                <w:rFonts w:eastAsia="Calibri"/>
              </w:rPr>
            </w:pPr>
            <w:r w:rsidRPr="00B44A21">
              <w:rPr>
                <w:rFonts w:eastAsia="Calibri"/>
              </w:rPr>
              <w:t>Total</w:t>
            </w:r>
          </w:p>
        </w:tc>
        <w:tc>
          <w:tcPr>
            <w:tcW w:w="827" w:type="pct"/>
            <w:shd w:val="clear" w:color="auto" w:fill="auto"/>
          </w:tcPr>
          <w:p w:rsidRPr="00B44A21" w:rsidR="00B44A21" w:rsidP="00B44A21" w:rsidRDefault="005A35AB" w14:paraId="412103B7" w14:textId="4CD4025B">
            <w:pPr>
              <w:jc w:val="right"/>
              <w:rPr>
                <w:rFonts w:eastAsia="Calibri"/>
              </w:rPr>
            </w:pPr>
            <w:r>
              <w:rPr>
                <w:rFonts w:eastAsia="Calibri"/>
              </w:rPr>
              <w:t>70,800</w:t>
            </w:r>
          </w:p>
        </w:tc>
      </w:tr>
    </w:tbl>
    <w:p w:rsidRPr="00B44A21" w:rsidR="00B44A21" w:rsidP="00166043" w:rsidRDefault="00B44A21" w14:paraId="3229E57F" w14:textId="77777777">
      <w:pPr>
        <w:spacing w:line="360" w:lineRule="auto"/>
        <w:rPr>
          <w:rFonts w:eastAsia="Calibri"/>
        </w:rPr>
      </w:pPr>
    </w:p>
    <w:p w:rsidRPr="00B44A21" w:rsidR="00B44A21" w:rsidP="00166043" w:rsidRDefault="00B44A21" w14:paraId="0C560D23" w14:textId="77777777">
      <w:pPr>
        <w:spacing w:line="360" w:lineRule="auto"/>
        <w:contextualSpacing/>
        <w:jc w:val="center"/>
        <w:rPr>
          <w:u w:val="single"/>
        </w:rPr>
      </w:pPr>
      <w:r w:rsidRPr="00B44A21">
        <w:rPr>
          <w:u w:val="single"/>
        </w:rPr>
        <w:t>Estimated Annual Reporting Burden for Animal Drugs</w:t>
      </w:r>
    </w:p>
    <w:p w:rsidRPr="00B44A21" w:rsidR="00B44A21" w:rsidP="00166043" w:rsidRDefault="00B44A21" w14:paraId="5C429C94" w14:textId="2D527915">
      <w:pPr>
        <w:spacing w:line="360" w:lineRule="auto"/>
        <w:ind w:firstLine="720"/>
        <w:contextualSpacing/>
      </w:pPr>
      <w:r w:rsidRPr="00B44A21">
        <w:t xml:space="preserve">Under </w:t>
      </w:r>
      <w:hyperlink w:history="1" r:id="rId14">
        <w:r w:rsidRPr="00B44A21">
          <w:t>21 CFR 514.1</w:t>
        </w:r>
      </w:hyperlink>
      <w:r w:rsidRPr="00B44A21">
        <w:t xml:space="preserve">(b)(14), new animal drug applications (NADAs) and abbreviated new animal drug applications (ANADAs); </w:t>
      </w:r>
      <w:hyperlink w:history="1" r:id="rId15">
        <w:r w:rsidRPr="00B44A21">
          <w:t>21 CFR 514.8</w:t>
        </w:r>
      </w:hyperlink>
      <w:r w:rsidRPr="00B44A21">
        <w:t xml:space="preserve">(a)(1) supplemental NADAs and ANADAs; </w:t>
      </w:r>
      <w:hyperlink w:history="1" r:id="rId16">
        <w:r w:rsidRPr="00B44A21">
          <w:t>21 CFR 511.1</w:t>
        </w:r>
      </w:hyperlink>
      <w:r w:rsidRPr="00B44A21">
        <w:t>(b)(10) investigational new animal drug applications (INADs) and generic investigational new animal drug applications (JINADs), and 21 CFR</w:t>
      </w:r>
      <w:hyperlink w:history="1" r:id="rId17">
        <w:r w:rsidRPr="00B44A21">
          <w:t xml:space="preserve"> 571.1</w:t>
        </w:r>
      </w:hyperlink>
      <w:r w:rsidRPr="00B44A21">
        <w:t xml:space="preserve">(c) food additive petitions must contain a claim for categorical exclusion under </w:t>
      </w:r>
      <w:r w:rsidRPr="00B44A21">
        <w:rPr>
          <w:rFonts w:eastAsia="Calibri"/>
        </w:rPr>
        <w:t>§</w:t>
      </w:r>
      <w:r w:rsidRPr="00B44A21">
        <w:t xml:space="preserve"> 25.30 or § 25.32 or an EA under </w:t>
      </w:r>
      <w:r w:rsidRPr="00B44A21">
        <w:rPr>
          <w:rFonts w:eastAsia="Calibri"/>
        </w:rPr>
        <w:t xml:space="preserve">§ </w:t>
      </w:r>
      <w:r w:rsidRPr="00B44A21">
        <w:t xml:space="preserve">25.40.  Annually, </w:t>
      </w:r>
      <w:r w:rsidRPr="00B44A21" w:rsidR="00362EE2">
        <w:t>FDA received</w:t>
      </w:r>
      <w:r w:rsidRPr="00B44A21">
        <w:t xml:space="preserve"> approximately </w:t>
      </w:r>
      <w:r w:rsidR="00E10FC0">
        <w:t>1,140</w:t>
      </w:r>
      <w:r w:rsidRPr="00B44A21">
        <w:t xml:space="preserve"> claims for categorical exclusion as required under </w:t>
      </w:r>
      <w:r w:rsidRPr="00B44A21">
        <w:rPr>
          <w:rFonts w:eastAsia="Calibri"/>
        </w:rPr>
        <w:t xml:space="preserve">§ </w:t>
      </w:r>
      <w:r w:rsidRPr="00B44A21">
        <w:t xml:space="preserve">25.15(a) and (d) and 22 EAs as required under </w:t>
      </w:r>
      <w:r w:rsidRPr="00B44A21">
        <w:rPr>
          <w:rFonts w:eastAsia="Calibri"/>
        </w:rPr>
        <w:t xml:space="preserve">§ </w:t>
      </w:r>
      <w:r w:rsidRPr="00B44A21">
        <w:t xml:space="preserve">25.40(a) and (c).  Assuming an average of 10 claims per respondent, FDA estimates that approximately </w:t>
      </w:r>
      <w:r w:rsidR="0099295B">
        <w:t>114</w:t>
      </w:r>
      <w:r w:rsidRPr="00B44A21">
        <w:t xml:space="preserve"> </w:t>
      </w:r>
      <w:r w:rsidRPr="00B44A21">
        <w:lastRenderedPageBreak/>
        <w:t xml:space="preserve">respondents will submit an average of 10 claims for categorical exclusion. FDA further estimates that </w:t>
      </w:r>
      <w:r w:rsidR="0099295B">
        <w:t>9</w:t>
      </w:r>
      <w:r w:rsidRPr="00B44A21">
        <w:t xml:space="preserve"> respondents will submit an average of 1 EA.  FDA estimates that it takes sponsors/applicants approximately 3 hours to prepare a claim of categorical exclusion and an average of 2,160 hours to prepare an EA. </w:t>
      </w:r>
    </w:p>
    <w:tbl>
      <w:tblPr>
        <w:tblW w:w="4886" w:type="pc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52"/>
        <w:gridCol w:w="1683"/>
        <w:gridCol w:w="1598"/>
        <w:gridCol w:w="1434"/>
        <w:gridCol w:w="1406"/>
        <w:gridCol w:w="1385"/>
      </w:tblGrid>
      <w:tr w:rsidRPr="00B44A21" w:rsidR="00B44A21" w:rsidTr="009B0810" w14:paraId="2D7C7AAB" w14:textId="77777777">
        <w:trPr>
          <w:cantSplit/>
          <w:trHeight w:val="20"/>
          <w:tblHeader/>
        </w:trPr>
        <w:tc>
          <w:tcPr>
            <w:tcW w:w="5000" w:type="pct"/>
            <w:gridSpan w:val="6"/>
            <w:tcBorders>
              <w:top w:val="nil"/>
              <w:left w:val="nil"/>
              <w:right w:val="nil"/>
            </w:tcBorders>
            <w:shd w:val="clear" w:color="auto" w:fill="auto"/>
          </w:tcPr>
          <w:p w:rsidRPr="00B44A21" w:rsidR="00B44A21" w:rsidP="00B44A21" w:rsidRDefault="00B44A21" w14:paraId="027DC1B2" w14:textId="77777777">
            <w:pPr>
              <w:keepNext/>
              <w:jc w:val="center"/>
              <w:rPr>
                <w:rFonts w:eastAsia="Calibri"/>
              </w:rPr>
            </w:pPr>
            <w:r w:rsidRPr="00B44A21">
              <w:rPr>
                <w:rFonts w:eastAsia="Calibri"/>
              </w:rPr>
              <w:t>Table 4.--Estimated Annual Reporting Burden for Animal Drugs</w:t>
            </w:r>
          </w:p>
        </w:tc>
      </w:tr>
      <w:tr w:rsidRPr="00B44A21" w:rsidR="00B44A21" w:rsidTr="009B0810" w14:paraId="7B617F2C" w14:textId="77777777">
        <w:trPr>
          <w:cantSplit/>
          <w:trHeight w:val="728"/>
          <w:tblHeader/>
        </w:trPr>
        <w:tc>
          <w:tcPr>
            <w:tcW w:w="990" w:type="pct"/>
            <w:shd w:val="clear" w:color="auto" w:fill="auto"/>
          </w:tcPr>
          <w:p w:rsidRPr="00B44A21" w:rsidR="00B44A21" w:rsidP="00B44A21" w:rsidRDefault="00B44A21" w14:paraId="1B7AC406" w14:textId="77777777">
            <w:pPr>
              <w:keepNext/>
              <w:jc w:val="center"/>
              <w:rPr>
                <w:rFonts w:eastAsia="Calibri"/>
              </w:rPr>
            </w:pPr>
            <w:r w:rsidRPr="00B44A21">
              <w:rPr>
                <w:rFonts w:eastAsia="Calibri"/>
              </w:rPr>
              <w:t>21 CFR Section</w:t>
            </w:r>
          </w:p>
        </w:tc>
        <w:tc>
          <w:tcPr>
            <w:tcW w:w="899" w:type="pct"/>
            <w:shd w:val="clear" w:color="auto" w:fill="auto"/>
          </w:tcPr>
          <w:p w:rsidRPr="00B44A21" w:rsidR="00B44A21" w:rsidP="00B44A21" w:rsidRDefault="00B44A21" w14:paraId="4FBED2C0" w14:textId="77777777">
            <w:pPr>
              <w:keepNext/>
              <w:jc w:val="center"/>
              <w:rPr>
                <w:rFonts w:eastAsia="Calibri"/>
              </w:rPr>
            </w:pPr>
            <w:r w:rsidRPr="00B44A21">
              <w:rPr>
                <w:rFonts w:eastAsia="Calibri"/>
              </w:rPr>
              <w:t>No. of Respondents</w:t>
            </w:r>
          </w:p>
        </w:tc>
        <w:tc>
          <w:tcPr>
            <w:tcW w:w="854" w:type="pct"/>
            <w:shd w:val="clear" w:color="auto" w:fill="auto"/>
          </w:tcPr>
          <w:p w:rsidRPr="00B44A21" w:rsidR="00B44A21" w:rsidP="00B44A21" w:rsidRDefault="00B44A21" w14:paraId="66A7EEE8" w14:textId="77777777">
            <w:pPr>
              <w:keepNext/>
              <w:jc w:val="center"/>
              <w:rPr>
                <w:rFonts w:eastAsia="Calibri"/>
              </w:rPr>
            </w:pPr>
            <w:r w:rsidRPr="00B44A21">
              <w:rPr>
                <w:rFonts w:eastAsia="Calibri"/>
                <w:bCs/>
              </w:rPr>
              <w:t>No. of Responses per Respondent</w:t>
            </w:r>
          </w:p>
        </w:tc>
        <w:tc>
          <w:tcPr>
            <w:tcW w:w="766" w:type="pct"/>
            <w:shd w:val="clear" w:color="auto" w:fill="auto"/>
          </w:tcPr>
          <w:p w:rsidRPr="00B44A21" w:rsidR="00B44A21" w:rsidP="00B44A21" w:rsidRDefault="00B44A21" w14:paraId="53852E58" w14:textId="77777777">
            <w:pPr>
              <w:keepNext/>
              <w:jc w:val="center"/>
              <w:rPr>
                <w:rFonts w:eastAsia="Calibri"/>
              </w:rPr>
            </w:pPr>
            <w:r w:rsidRPr="00B44A21">
              <w:rPr>
                <w:rFonts w:eastAsia="Calibri"/>
              </w:rPr>
              <w:t>Total Annual Responses</w:t>
            </w:r>
          </w:p>
        </w:tc>
        <w:tc>
          <w:tcPr>
            <w:tcW w:w="751" w:type="pct"/>
            <w:shd w:val="clear" w:color="auto" w:fill="auto"/>
          </w:tcPr>
          <w:p w:rsidRPr="00B44A21" w:rsidR="00B44A21" w:rsidP="00B44A21" w:rsidRDefault="00B44A21" w14:paraId="374FCDAC" w14:textId="77777777">
            <w:pPr>
              <w:keepNext/>
              <w:jc w:val="center"/>
              <w:rPr>
                <w:rFonts w:eastAsia="Calibri"/>
              </w:rPr>
            </w:pPr>
            <w:r w:rsidRPr="00B44A21">
              <w:rPr>
                <w:rFonts w:eastAsia="Calibri"/>
                <w:bCs/>
              </w:rPr>
              <w:t>Average Burden per Response</w:t>
            </w:r>
          </w:p>
        </w:tc>
        <w:tc>
          <w:tcPr>
            <w:tcW w:w="740" w:type="pct"/>
            <w:shd w:val="clear" w:color="auto" w:fill="auto"/>
          </w:tcPr>
          <w:p w:rsidRPr="00B44A21" w:rsidR="00B44A21" w:rsidP="00B44A21" w:rsidRDefault="00B44A21" w14:paraId="0B9201F3" w14:textId="77777777">
            <w:pPr>
              <w:keepNext/>
              <w:jc w:val="center"/>
              <w:rPr>
                <w:rFonts w:eastAsia="Calibri"/>
              </w:rPr>
            </w:pPr>
            <w:r w:rsidRPr="00B44A21">
              <w:rPr>
                <w:rFonts w:eastAsia="Calibri"/>
              </w:rPr>
              <w:t>Total Hours</w:t>
            </w:r>
          </w:p>
        </w:tc>
      </w:tr>
      <w:tr w:rsidRPr="00B44A21" w:rsidR="00B44A21" w:rsidTr="009B0810" w14:paraId="6C53EB9B" w14:textId="77777777">
        <w:trPr>
          <w:cantSplit/>
          <w:trHeight w:val="20"/>
        </w:trPr>
        <w:tc>
          <w:tcPr>
            <w:tcW w:w="990" w:type="pct"/>
            <w:shd w:val="clear" w:color="auto" w:fill="auto"/>
          </w:tcPr>
          <w:p w:rsidRPr="00B44A21" w:rsidR="00B44A21" w:rsidP="00B44A21" w:rsidRDefault="00B44A21" w14:paraId="6658A827" w14:textId="77777777">
            <w:pPr>
              <w:rPr>
                <w:rFonts w:eastAsia="Calibri"/>
              </w:rPr>
            </w:pPr>
            <w:r w:rsidRPr="00B44A21">
              <w:rPr>
                <w:rFonts w:eastAsia="Calibri"/>
              </w:rPr>
              <w:t>25.15(a) and (d)</w:t>
            </w:r>
          </w:p>
        </w:tc>
        <w:tc>
          <w:tcPr>
            <w:tcW w:w="899" w:type="pct"/>
            <w:shd w:val="clear" w:color="auto" w:fill="auto"/>
          </w:tcPr>
          <w:p w:rsidRPr="00B44A21" w:rsidR="00B44A21" w:rsidP="00B44A21" w:rsidRDefault="005A35AB" w14:paraId="7237D308" w14:textId="4FFBD73F">
            <w:pPr>
              <w:jc w:val="right"/>
              <w:rPr>
                <w:rFonts w:eastAsia="Calibri"/>
              </w:rPr>
            </w:pPr>
            <w:r>
              <w:rPr>
                <w:rFonts w:eastAsia="Calibri"/>
              </w:rPr>
              <w:t>114</w:t>
            </w:r>
          </w:p>
        </w:tc>
        <w:tc>
          <w:tcPr>
            <w:tcW w:w="854" w:type="pct"/>
            <w:shd w:val="clear" w:color="auto" w:fill="auto"/>
          </w:tcPr>
          <w:p w:rsidRPr="00B44A21" w:rsidR="00B44A21" w:rsidP="00B44A21" w:rsidRDefault="00B44A21" w14:paraId="62A7C534" w14:textId="77777777">
            <w:pPr>
              <w:jc w:val="right"/>
              <w:rPr>
                <w:rFonts w:eastAsia="Calibri"/>
              </w:rPr>
            </w:pPr>
            <w:r w:rsidRPr="00B44A21">
              <w:rPr>
                <w:rFonts w:eastAsia="Calibri"/>
              </w:rPr>
              <w:t>10</w:t>
            </w:r>
          </w:p>
        </w:tc>
        <w:tc>
          <w:tcPr>
            <w:tcW w:w="766" w:type="pct"/>
            <w:shd w:val="clear" w:color="auto" w:fill="auto"/>
          </w:tcPr>
          <w:p w:rsidRPr="00B44A21" w:rsidR="00B44A21" w:rsidP="00B44A21" w:rsidRDefault="005A35AB" w14:paraId="594539ED" w14:textId="0B7D63B5">
            <w:pPr>
              <w:jc w:val="right"/>
              <w:rPr>
                <w:rFonts w:eastAsia="Calibri"/>
              </w:rPr>
            </w:pPr>
            <w:r>
              <w:rPr>
                <w:rFonts w:eastAsia="Calibri"/>
              </w:rPr>
              <w:t>1,140</w:t>
            </w:r>
          </w:p>
        </w:tc>
        <w:tc>
          <w:tcPr>
            <w:tcW w:w="751" w:type="pct"/>
            <w:shd w:val="clear" w:color="auto" w:fill="auto"/>
          </w:tcPr>
          <w:p w:rsidRPr="00B44A21" w:rsidR="00B44A21" w:rsidP="00B44A21" w:rsidRDefault="00B44A21" w14:paraId="4FCC115D" w14:textId="77777777">
            <w:pPr>
              <w:jc w:val="right"/>
              <w:rPr>
                <w:rFonts w:eastAsia="Calibri"/>
              </w:rPr>
            </w:pPr>
            <w:r w:rsidRPr="00B44A21">
              <w:rPr>
                <w:rFonts w:eastAsia="Calibri"/>
              </w:rPr>
              <w:t>3</w:t>
            </w:r>
          </w:p>
        </w:tc>
        <w:tc>
          <w:tcPr>
            <w:tcW w:w="740" w:type="pct"/>
            <w:shd w:val="clear" w:color="auto" w:fill="auto"/>
          </w:tcPr>
          <w:p w:rsidRPr="00B44A21" w:rsidR="00B44A21" w:rsidP="00B44A21" w:rsidRDefault="00AA7018" w14:paraId="62C2F593" w14:textId="6466C5BB">
            <w:pPr>
              <w:jc w:val="right"/>
              <w:rPr>
                <w:rFonts w:eastAsia="Calibri"/>
              </w:rPr>
            </w:pPr>
            <w:r>
              <w:rPr>
                <w:rFonts w:eastAsia="Calibri"/>
              </w:rPr>
              <w:t>3,420</w:t>
            </w:r>
          </w:p>
        </w:tc>
      </w:tr>
      <w:tr w:rsidRPr="00B44A21" w:rsidR="00B44A21" w:rsidTr="009B0810" w14:paraId="09F6FAAE" w14:textId="77777777">
        <w:trPr>
          <w:cantSplit/>
          <w:trHeight w:val="20"/>
        </w:trPr>
        <w:tc>
          <w:tcPr>
            <w:tcW w:w="990" w:type="pct"/>
            <w:shd w:val="clear" w:color="auto" w:fill="auto"/>
          </w:tcPr>
          <w:p w:rsidRPr="00B44A21" w:rsidR="00B44A21" w:rsidDel="00215B02" w:rsidP="00B44A21" w:rsidRDefault="00B44A21" w14:paraId="6A828607" w14:textId="77777777">
            <w:pPr>
              <w:rPr>
                <w:rFonts w:eastAsia="Calibri"/>
              </w:rPr>
            </w:pPr>
            <w:r w:rsidRPr="00B44A21">
              <w:rPr>
                <w:rFonts w:eastAsia="Calibri"/>
              </w:rPr>
              <w:t>25.40(a) and (c)</w:t>
            </w:r>
          </w:p>
        </w:tc>
        <w:tc>
          <w:tcPr>
            <w:tcW w:w="899" w:type="pct"/>
            <w:shd w:val="clear" w:color="auto" w:fill="auto"/>
          </w:tcPr>
          <w:p w:rsidRPr="00B44A21" w:rsidR="00B44A21" w:rsidDel="00215B02" w:rsidP="00B44A21" w:rsidRDefault="00AA7018" w14:paraId="2C5CA9F6" w14:textId="55BC92DD">
            <w:pPr>
              <w:jc w:val="right"/>
              <w:rPr>
                <w:rFonts w:eastAsia="Calibri"/>
              </w:rPr>
            </w:pPr>
            <w:r>
              <w:rPr>
                <w:rFonts w:eastAsia="Calibri"/>
              </w:rPr>
              <w:t>9</w:t>
            </w:r>
          </w:p>
        </w:tc>
        <w:tc>
          <w:tcPr>
            <w:tcW w:w="854" w:type="pct"/>
            <w:shd w:val="clear" w:color="auto" w:fill="auto"/>
          </w:tcPr>
          <w:p w:rsidRPr="00B44A21" w:rsidR="00B44A21" w:rsidDel="00215B02" w:rsidP="00B44A21" w:rsidRDefault="00B44A21" w14:paraId="79F12006" w14:textId="77777777">
            <w:pPr>
              <w:jc w:val="right"/>
              <w:rPr>
                <w:rFonts w:eastAsia="Calibri"/>
              </w:rPr>
            </w:pPr>
            <w:r w:rsidRPr="00B44A21">
              <w:rPr>
                <w:rFonts w:eastAsia="Calibri"/>
              </w:rPr>
              <w:t>1</w:t>
            </w:r>
          </w:p>
        </w:tc>
        <w:tc>
          <w:tcPr>
            <w:tcW w:w="766" w:type="pct"/>
            <w:shd w:val="clear" w:color="auto" w:fill="auto"/>
          </w:tcPr>
          <w:p w:rsidRPr="00B44A21" w:rsidR="00B44A21" w:rsidDel="00215B02" w:rsidP="00B44A21" w:rsidRDefault="00AA7018" w14:paraId="32668855" w14:textId="3E5B12C2">
            <w:pPr>
              <w:jc w:val="right"/>
              <w:rPr>
                <w:rFonts w:eastAsia="Calibri"/>
              </w:rPr>
            </w:pPr>
            <w:r>
              <w:rPr>
                <w:rFonts w:eastAsia="Calibri"/>
              </w:rPr>
              <w:t>9</w:t>
            </w:r>
          </w:p>
        </w:tc>
        <w:tc>
          <w:tcPr>
            <w:tcW w:w="751" w:type="pct"/>
            <w:shd w:val="clear" w:color="auto" w:fill="auto"/>
          </w:tcPr>
          <w:p w:rsidRPr="00B44A21" w:rsidR="00B44A21" w:rsidDel="000B746A" w:rsidP="00B44A21" w:rsidRDefault="00B44A21" w14:paraId="2288EBFD" w14:textId="77777777">
            <w:pPr>
              <w:jc w:val="right"/>
              <w:rPr>
                <w:rFonts w:eastAsia="Calibri"/>
              </w:rPr>
            </w:pPr>
            <w:r w:rsidRPr="00B44A21">
              <w:rPr>
                <w:rFonts w:eastAsia="Calibri"/>
              </w:rPr>
              <w:t>2,160</w:t>
            </w:r>
          </w:p>
        </w:tc>
        <w:tc>
          <w:tcPr>
            <w:tcW w:w="740" w:type="pct"/>
            <w:shd w:val="clear" w:color="auto" w:fill="auto"/>
          </w:tcPr>
          <w:p w:rsidRPr="00B44A21" w:rsidR="00B44A21" w:rsidDel="00215B02" w:rsidP="00B44A21" w:rsidRDefault="00AA7018" w14:paraId="79D20AD8" w14:textId="46EB7A96">
            <w:pPr>
              <w:jc w:val="right"/>
              <w:rPr>
                <w:rFonts w:eastAsia="Calibri"/>
              </w:rPr>
            </w:pPr>
            <w:r>
              <w:rPr>
                <w:rFonts w:eastAsia="Calibri"/>
              </w:rPr>
              <w:t>19,440</w:t>
            </w:r>
          </w:p>
        </w:tc>
      </w:tr>
      <w:tr w:rsidRPr="00B44A21" w:rsidR="00B44A21" w:rsidTr="009B0810" w14:paraId="04B7F8A2" w14:textId="77777777">
        <w:trPr>
          <w:cantSplit/>
          <w:trHeight w:val="20"/>
        </w:trPr>
        <w:tc>
          <w:tcPr>
            <w:tcW w:w="4260" w:type="pct"/>
            <w:gridSpan w:val="5"/>
            <w:shd w:val="clear" w:color="auto" w:fill="auto"/>
          </w:tcPr>
          <w:p w:rsidRPr="00B44A21" w:rsidR="00B44A21" w:rsidP="00B44A21" w:rsidRDefault="00B44A21" w14:paraId="62FBA293" w14:textId="77777777">
            <w:pPr>
              <w:rPr>
                <w:rFonts w:eastAsia="Calibri"/>
              </w:rPr>
            </w:pPr>
            <w:r w:rsidRPr="00B44A21">
              <w:rPr>
                <w:rFonts w:eastAsia="Calibri"/>
              </w:rPr>
              <w:t>Total</w:t>
            </w:r>
          </w:p>
        </w:tc>
        <w:tc>
          <w:tcPr>
            <w:tcW w:w="740" w:type="pct"/>
            <w:shd w:val="clear" w:color="auto" w:fill="auto"/>
          </w:tcPr>
          <w:p w:rsidRPr="00B44A21" w:rsidR="00B44A21" w:rsidP="00B44A21" w:rsidRDefault="00AA7018" w14:paraId="6A98D889" w14:textId="52CAABBA">
            <w:pPr>
              <w:jc w:val="right"/>
              <w:rPr>
                <w:rFonts w:eastAsia="Calibri"/>
              </w:rPr>
            </w:pPr>
            <w:r>
              <w:rPr>
                <w:rFonts w:eastAsia="Calibri"/>
              </w:rPr>
              <w:t>22,860</w:t>
            </w:r>
          </w:p>
        </w:tc>
      </w:tr>
    </w:tbl>
    <w:p w:rsidRPr="00B44A21" w:rsidR="00B44A21" w:rsidP="009B0810" w:rsidRDefault="00B44A21" w14:paraId="20CA11CE" w14:textId="77777777">
      <w:pPr>
        <w:spacing w:line="480" w:lineRule="auto"/>
        <w:outlineLvl w:val="2"/>
        <w:rPr>
          <w:bCs/>
          <w:u w:val="single"/>
        </w:rPr>
      </w:pPr>
    </w:p>
    <w:p w:rsidRPr="00B44A21" w:rsidR="00B44A21" w:rsidP="009B0810" w:rsidRDefault="00B44A21" w14:paraId="0319D319" w14:textId="77777777">
      <w:pPr>
        <w:spacing w:line="360" w:lineRule="auto"/>
        <w:contextualSpacing/>
        <w:jc w:val="center"/>
        <w:rPr>
          <w:u w:val="single"/>
        </w:rPr>
      </w:pPr>
      <w:r w:rsidRPr="00B44A21">
        <w:rPr>
          <w:u w:val="single"/>
        </w:rPr>
        <w:t>Estimated Annual Reporting Burden for Tobacco Products</w:t>
      </w:r>
    </w:p>
    <w:p w:rsidRPr="00B44A21" w:rsidR="00B44A21" w:rsidP="009B0810" w:rsidRDefault="00B44A21" w14:paraId="10C40F98" w14:textId="442AD33D">
      <w:pPr>
        <w:spacing w:line="360" w:lineRule="auto"/>
        <w:ind w:firstLine="720"/>
        <w:contextualSpacing/>
        <w:rPr>
          <w:bCs/>
        </w:rPr>
      </w:pPr>
      <w:r w:rsidRPr="00B44A21">
        <w:t xml:space="preserve">Under sections 905, 910, and 911 of the Federal Food, Drug, and Cosmetic Act (21 U.S.C. 387e, 387j, and 387k), product applications and supplements (PMTAs), </w:t>
      </w:r>
      <w:r w:rsidR="00E6727A">
        <w:t>substantial equivalences (</w:t>
      </w:r>
      <w:r w:rsidRPr="00B44A21">
        <w:t>SEs</w:t>
      </w:r>
      <w:r w:rsidR="00E6727A">
        <w:t>)</w:t>
      </w:r>
      <w:r w:rsidRPr="00B44A21">
        <w:t>, Exemption from SEs, and modified risk tobacco product</w:t>
      </w:r>
      <w:r w:rsidR="00662FFF">
        <w:t xml:space="preserve"> applications (MRTPA</w:t>
      </w:r>
      <w:r w:rsidR="00A644BF">
        <w:t>s</w:t>
      </w:r>
      <w:r w:rsidR="00662FFF">
        <w:t>)</w:t>
      </w:r>
      <w:r w:rsidRPr="00B44A21">
        <w:t xml:space="preserve"> must contain a claim for categorical exclusion or an EA</w:t>
      </w:r>
      <w:r w:rsidRPr="00B44A21">
        <w:rPr>
          <w:bCs/>
        </w:rPr>
        <w:t xml:space="preserve">.  After further review, the agency has concluded that the majority of the EA burden for tobacco products is covered under already existing information collections. To avoid double counting, the agency has removed the burden which is approved under other FDA information collections. The burden for SEs are currently approved under OMB control number 0910-0673; the burden for PMTAs are currently approved under OMB control number 0910-0768; the burden for SE exemptions are currently approved under OMB control number 0910-0684. </w:t>
      </w:r>
    </w:p>
    <w:p w:rsidRPr="00B44A21" w:rsidR="00B44A21" w:rsidP="009B0810" w:rsidRDefault="00B44A21" w14:paraId="4C9705D3" w14:textId="560C8669">
      <w:pPr>
        <w:spacing w:line="360" w:lineRule="auto"/>
        <w:ind w:firstLine="720"/>
        <w:contextualSpacing/>
      </w:pPr>
      <w:r w:rsidRPr="00B44A21">
        <w:rPr>
          <w:bCs/>
        </w:rPr>
        <w:t xml:space="preserve">FDA’s estimates are based on actual report data from fiscal year (FY) </w:t>
      </w:r>
      <w:r w:rsidR="006936EE">
        <w:rPr>
          <w:bCs/>
        </w:rPr>
        <w:t>2018</w:t>
      </w:r>
      <w:r w:rsidRPr="00B44A21" w:rsidR="006936EE">
        <w:rPr>
          <w:bCs/>
        </w:rPr>
        <w:t xml:space="preserve"> </w:t>
      </w:r>
      <w:r w:rsidRPr="00B44A21">
        <w:rPr>
          <w:bCs/>
        </w:rPr>
        <w:t xml:space="preserve">to FY </w:t>
      </w:r>
      <w:r w:rsidR="006936EE">
        <w:rPr>
          <w:bCs/>
        </w:rPr>
        <w:t>2020</w:t>
      </w:r>
      <w:r w:rsidRPr="00B44A21">
        <w:t xml:space="preserve">, on average FDA estimated it received approximately </w:t>
      </w:r>
      <w:r w:rsidR="00D70670">
        <w:t>14 MRT</w:t>
      </w:r>
      <w:r w:rsidR="00662FFF">
        <w:t>PSA</w:t>
      </w:r>
      <w:r w:rsidR="00A644BF">
        <w:t>s</w:t>
      </w:r>
      <w:r w:rsidRPr="00B44A21">
        <w:t xml:space="preserve"> from </w:t>
      </w:r>
      <w:r w:rsidR="000467D3">
        <w:t>14</w:t>
      </w:r>
      <w:r w:rsidRPr="00B44A21">
        <w:t xml:space="preserve"> respondents.  Based on updated data for this collection, FDA estimates </w:t>
      </w:r>
      <w:r w:rsidR="000467D3">
        <w:t>14</w:t>
      </w:r>
      <w:r w:rsidRPr="00B44A21">
        <w:t xml:space="preserve"> EAs from </w:t>
      </w:r>
      <w:r w:rsidR="000467D3">
        <w:t>14</w:t>
      </w:r>
      <w:r w:rsidRPr="00B44A21">
        <w:t xml:space="preserve"> respondents.  A total of </w:t>
      </w:r>
      <w:r w:rsidR="000467D3">
        <w:t>14</w:t>
      </w:r>
      <w:r w:rsidRPr="00B44A21">
        <w:t xml:space="preserve"> respondents will submit an average of 1 application for environmental assessment. Based on FDA’s experience, previous information provided by potential sponsors and knowledge that part of the EA information has already been produced in one of the tobacco product applications, FDA estimates that it takes approximately 80 hours to prepare an EA.</w:t>
      </w:r>
    </w:p>
    <w:tbl>
      <w:tblPr>
        <w:tblW w:w="4653" w:type="pct"/>
        <w:jc w:val="center"/>
        <w:tblCellMar>
          <w:left w:w="0" w:type="dxa"/>
          <w:right w:w="0" w:type="dxa"/>
        </w:tblCellMar>
        <w:tblLook w:val="04A0" w:firstRow="1" w:lastRow="0" w:firstColumn="1" w:lastColumn="0" w:noHBand="0" w:noVBand="1"/>
      </w:tblPr>
      <w:tblGrid>
        <w:gridCol w:w="1755"/>
        <w:gridCol w:w="1567"/>
        <w:gridCol w:w="1613"/>
        <w:gridCol w:w="1337"/>
        <w:gridCol w:w="1424"/>
        <w:gridCol w:w="1215"/>
      </w:tblGrid>
      <w:tr w:rsidRPr="00B44A21" w:rsidR="00B44A21" w:rsidTr="009B0810" w14:paraId="6FA340B8" w14:textId="77777777">
        <w:trPr>
          <w:cantSplit/>
          <w:trHeight w:val="23"/>
          <w:tblHeader/>
          <w:jc w:val="center"/>
        </w:trPr>
        <w:tc>
          <w:tcPr>
            <w:tcW w:w="5000" w:type="pct"/>
            <w:gridSpan w:val="6"/>
            <w:tcBorders>
              <w:top w:val="nil"/>
              <w:left w:val="nil"/>
              <w:bottom w:val="single" w:color="auto" w:sz="2" w:space="0"/>
              <w:right w:val="nil"/>
            </w:tcBorders>
            <w:tcMar>
              <w:top w:w="0" w:type="dxa"/>
              <w:left w:w="108" w:type="dxa"/>
              <w:bottom w:w="0" w:type="dxa"/>
              <w:right w:w="108" w:type="dxa"/>
            </w:tcMar>
            <w:hideMark/>
          </w:tcPr>
          <w:p w:rsidRPr="00B44A21" w:rsidR="00B44A21" w:rsidP="00B44A21" w:rsidRDefault="00B44A21" w14:paraId="58C744B2" w14:textId="77777777">
            <w:pPr>
              <w:keepNext/>
              <w:jc w:val="center"/>
              <w:rPr>
                <w:rFonts w:eastAsia="Calibri"/>
              </w:rPr>
            </w:pPr>
            <w:r w:rsidRPr="00B44A21">
              <w:rPr>
                <w:rFonts w:eastAsia="Calibri"/>
              </w:rPr>
              <w:t>Table 5.--Estimated Annual Reporting Burden for Tobacco Products</w:t>
            </w:r>
          </w:p>
        </w:tc>
      </w:tr>
      <w:tr w:rsidRPr="00B44A21" w:rsidR="009B0810" w:rsidTr="009B0810" w14:paraId="695D1C82" w14:textId="77777777">
        <w:trPr>
          <w:cantSplit/>
          <w:trHeight w:val="23"/>
          <w:tblHeader/>
          <w:jc w:val="center"/>
        </w:trPr>
        <w:tc>
          <w:tcPr>
            <w:tcW w:w="985" w:type="pct"/>
            <w:tcBorders>
              <w:top w:val="single" w:color="auto" w:sz="2" w:space="0"/>
              <w:left w:val="single" w:color="auto" w:sz="8" w:space="0"/>
              <w:bottom w:val="single" w:color="auto" w:sz="2" w:space="0"/>
              <w:right w:val="single" w:color="auto" w:sz="8" w:space="0"/>
            </w:tcBorders>
            <w:tcMar>
              <w:top w:w="0" w:type="dxa"/>
              <w:left w:w="108" w:type="dxa"/>
              <w:bottom w:w="0" w:type="dxa"/>
              <w:right w:w="108" w:type="dxa"/>
            </w:tcMar>
            <w:hideMark/>
          </w:tcPr>
          <w:p w:rsidRPr="00B44A21" w:rsidR="00B44A21" w:rsidP="00B44A21" w:rsidRDefault="00B44A21" w14:paraId="64F6CDCD" w14:textId="77777777">
            <w:pPr>
              <w:keepNext/>
              <w:jc w:val="center"/>
              <w:rPr>
                <w:rFonts w:eastAsia="Calibri"/>
              </w:rPr>
            </w:pPr>
            <w:r w:rsidRPr="00B44A21">
              <w:rPr>
                <w:rFonts w:eastAsia="Calibri"/>
              </w:rPr>
              <w:t>21 CFR Section</w:t>
            </w:r>
          </w:p>
        </w:tc>
        <w:tc>
          <w:tcPr>
            <w:tcW w:w="879" w:type="pct"/>
            <w:tcBorders>
              <w:top w:val="single" w:color="auto" w:sz="2" w:space="0"/>
              <w:left w:val="nil"/>
              <w:bottom w:val="single" w:color="auto" w:sz="2" w:space="0"/>
              <w:right w:val="single" w:color="auto" w:sz="8" w:space="0"/>
            </w:tcBorders>
            <w:tcMar>
              <w:top w:w="0" w:type="dxa"/>
              <w:left w:w="108" w:type="dxa"/>
              <w:bottom w:w="0" w:type="dxa"/>
              <w:right w:w="108" w:type="dxa"/>
            </w:tcMar>
            <w:hideMark/>
          </w:tcPr>
          <w:p w:rsidRPr="00B44A21" w:rsidR="00B44A21" w:rsidP="00B44A21" w:rsidRDefault="00B44A21" w14:paraId="6B420E28" w14:textId="77777777">
            <w:pPr>
              <w:keepNext/>
              <w:jc w:val="center"/>
              <w:rPr>
                <w:rFonts w:eastAsia="Calibri"/>
              </w:rPr>
            </w:pPr>
            <w:r w:rsidRPr="00B44A21">
              <w:rPr>
                <w:rFonts w:eastAsia="Calibri"/>
              </w:rPr>
              <w:t>No. of Respondents</w:t>
            </w:r>
          </w:p>
        </w:tc>
        <w:tc>
          <w:tcPr>
            <w:tcW w:w="905" w:type="pct"/>
            <w:tcBorders>
              <w:top w:val="single" w:color="auto" w:sz="2" w:space="0"/>
              <w:left w:val="nil"/>
              <w:bottom w:val="single" w:color="auto" w:sz="2" w:space="0"/>
              <w:right w:val="single" w:color="auto" w:sz="8" w:space="0"/>
            </w:tcBorders>
            <w:tcMar>
              <w:top w:w="0" w:type="dxa"/>
              <w:left w:w="108" w:type="dxa"/>
              <w:bottom w:w="0" w:type="dxa"/>
              <w:right w:w="108" w:type="dxa"/>
            </w:tcMar>
            <w:hideMark/>
          </w:tcPr>
          <w:p w:rsidRPr="00B44A21" w:rsidR="00B44A21" w:rsidP="00B44A21" w:rsidRDefault="00B44A21" w14:paraId="602608D1" w14:textId="77777777">
            <w:pPr>
              <w:keepNext/>
              <w:jc w:val="center"/>
              <w:rPr>
                <w:rFonts w:eastAsia="Calibri"/>
              </w:rPr>
            </w:pPr>
            <w:r w:rsidRPr="00B44A21">
              <w:rPr>
                <w:rFonts w:eastAsia="Calibri"/>
              </w:rPr>
              <w:t>No. of Responses per Respondent</w:t>
            </w:r>
          </w:p>
        </w:tc>
        <w:tc>
          <w:tcPr>
            <w:tcW w:w="750" w:type="pct"/>
            <w:tcBorders>
              <w:top w:val="single" w:color="auto" w:sz="2" w:space="0"/>
              <w:left w:val="nil"/>
              <w:bottom w:val="single" w:color="auto" w:sz="2" w:space="0"/>
              <w:right w:val="single" w:color="auto" w:sz="8" w:space="0"/>
            </w:tcBorders>
            <w:tcMar>
              <w:top w:w="0" w:type="dxa"/>
              <w:left w:w="108" w:type="dxa"/>
              <w:bottom w:w="0" w:type="dxa"/>
              <w:right w:w="108" w:type="dxa"/>
            </w:tcMar>
            <w:hideMark/>
          </w:tcPr>
          <w:p w:rsidRPr="00B44A21" w:rsidR="00B44A21" w:rsidP="00B44A21" w:rsidRDefault="00B44A21" w14:paraId="2E2D3688" w14:textId="77777777">
            <w:pPr>
              <w:keepNext/>
              <w:jc w:val="center"/>
              <w:rPr>
                <w:rFonts w:eastAsia="Calibri"/>
              </w:rPr>
            </w:pPr>
            <w:r w:rsidRPr="00B44A21">
              <w:rPr>
                <w:rFonts w:eastAsia="Calibri"/>
              </w:rPr>
              <w:t>Total Annual Responses</w:t>
            </w:r>
          </w:p>
        </w:tc>
        <w:tc>
          <w:tcPr>
            <w:tcW w:w="799" w:type="pct"/>
            <w:tcBorders>
              <w:top w:val="single" w:color="auto" w:sz="2" w:space="0"/>
              <w:left w:val="nil"/>
              <w:bottom w:val="single" w:color="auto" w:sz="2" w:space="0"/>
              <w:right w:val="single" w:color="auto" w:sz="8" w:space="0"/>
            </w:tcBorders>
            <w:tcMar>
              <w:top w:w="0" w:type="dxa"/>
              <w:left w:w="108" w:type="dxa"/>
              <w:bottom w:w="0" w:type="dxa"/>
              <w:right w:w="108" w:type="dxa"/>
            </w:tcMar>
            <w:hideMark/>
          </w:tcPr>
          <w:p w:rsidRPr="00B44A21" w:rsidR="00B44A21" w:rsidP="00B44A21" w:rsidRDefault="00B44A21" w14:paraId="1791DBDF" w14:textId="77777777">
            <w:pPr>
              <w:keepNext/>
              <w:jc w:val="center"/>
              <w:rPr>
                <w:rFonts w:eastAsia="Calibri"/>
              </w:rPr>
            </w:pPr>
            <w:r w:rsidRPr="00B44A21">
              <w:rPr>
                <w:rFonts w:eastAsia="Calibri"/>
              </w:rPr>
              <w:t>Average Burden per Response</w:t>
            </w:r>
          </w:p>
        </w:tc>
        <w:tc>
          <w:tcPr>
            <w:tcW w:w="681" w:type="pct"/>
            <w:tcBorders>
              <w:top w:val="single" w:color="auto" w:sz="2" w:space="0"/>
              <w:left w:val="nil"/>
              <w:bottom w:val="single" w:color="auto" w:sz="2" w:space="0"/>
              <w:right w:val="single" w:color="auto" w:sz="8" w:space="0"/>
            </w:tcBorders>
            <w:tcMar>
              <w:top w:w="0" w:type="dxa"/>
              <w:left w:w="108" w:type="dxa"/>
              <w:bottom w:w="0" w:type="dxa"/>
              <w:right w:w="108" w:type="dxa"/>
            </w:tcMar>
          </w:tcPr>
          <w:p w:rsidRPr="00B44A21" w:rsidR="00B44A21" w:rsidP="00B44A21" w:rsidRDefault="00B44A21" w14:paraId="51ACB308" w14:textId="77777777">
            <w:pPr>
              <w:keepNext/>
              <w:jc w:val="center"/>
              <w:rPr>
                <w:rFonts w:eastAsia="Calibri"/>
                <w:highlight w:val="yellow"/>
              </w:rPr>
            </w:pPr>
            <w:r w:rsidRPr="00B44A21">
              <w:rPr>
                <w:rFonts w:eastAsia="Calibri"/>
              </w:rPr>
              <w:t>Total Hours</w:t>
            </w:r>
          </w:p>
        </w:tc>
      </w:tr>
      <w:tr w:rsidRPr="00B44A21" w:rsidR="009B0810" w:rsidTr="009B0810" w14:paraId="7C54C513" w14:textId="77777777">
        <w:trPr>
          <w:cantSplit/>
          <w:trHeight w:val="23"/>
          <w:jc w:val="center"/>
        </w:trPr>
        <w:tc>
          <w:tcPr>
            <w:tcW w:w="985" w:type="pct"/>
            <w:tcBorders>
              <w:top w:val="single" w:color="auto" w:sz="2" w:space="0"/>
              <w:left w:val="single" w:color="auto" w:sz="8" w:space="0"/>
              <w:bottom w:val="single" w:color="auto" w:sz="8" w:space="0"/>
              <w:right w:val="single" w:color="auto" w:sz="8" w:space="0"/>
            </w:tcBorders>
            <w:tcMar>
              <w:top w:w="0" w:type="dxa"/>
              <w:left w:w="108" w:type="dxa"/>
              <w:bottom w:w="0" w:type="dxa"/>
              <w:right w:w="108" w:type="dxa"/>
            </w:tcMar>
            <w:hideMark/>
          </w:tcPr>
          <w:p w:rsidRPr="00B44A21" w:rsidR="00B44A21" w:rsidP="00B44A21" w:rsidRDefault="00B44A21" w14:paraId="341BA8EE" w14:textId="77777777">
            <w:pPr>
              <w:keepNext/>
              <w:rPr>
                <w:rFonts w:eastAsia="Calibri"/>
              </w:rPr>
            </w:pPr>
            <w:r w:rsidRPr="00B44A21">
              <w:rPr>
                <w:rFonts w:eastAsia="Calibri"/>
              </w:rPr>
              <w:t>25.40(a) and (c)</w:t>
            </w:r>
          </w:p>
        </w:tc>
        <w:tc>
          <w:tcPr>
            <w:tcW w:w="879" w:type="pct"/>
            <w:tcBorders>
              <w:top w:val="single" w:color="auto" w:sz="2" w:space="0"/>
              <w:left w:val="nil"/>
              <w:bottom w:val="single" w:color="auto" w:sz="8" w:space="0"/>
              <w:right w:val="single" w:color="auto" w:sz="8" w:space="0"/>
            </w:tcBorders>
            <w:tcMar>
              <w:top w:w="0" w:type="dxa"/>
              <w:left w:w="108" w:type="dxa"/>
              <w:bottom w:w="0" w:type="dxa"/>
              <w:right w:w="108" w:type="dxa"/>
            </w:tcMar>
            <w:hideMark/>
          </w:tcPr>
          <w:p w:rsidRPr="00B44A21" w:rsidR="00B44A21" w:rsidP="00B44A21" w:rsidRDefault="00890927" w14:paraId="242C760C" w14:textId="398D3B4B">
            <w:pPr>
              <w:keepNext/>
              <w:jc w:val="right"/>
              <w:rPr>
                <w:rFonts w:eastAsia="Calibri"/>
              </w:rPr>
            </w:pPr>
            <w:r>
              <w:rPr>
                <w:rFonts w:eastAsia="Calibri"/>
              </w:rPr>
              <w:t>14</w:t>
            </w:r>
          </w:p>
        </w:tc>
        <w:tc>
          <w:tcPr>
            <w:tcW w:w="905" w:type="pct"/>
            <w:tcBorders>
              <w:top w:val="single" w:color="auto" w:sz="2" w:space="0"/>
              <w:left w:val="nil"/>
              <w:bottom w:val="single" w:color="auto" w:sz="8" w:space="0"/>
              <w:right w:val="single" w:color="auto" w:sz="8" w:space="0"/>
            </w:tcBorders>
            <w:tcMar>
              <w:top w:w="0" w:type="dxa"/>
              <w:left w:w="108" w:type="dxa"/>
              <w:bottom w:w="0" w:type="dxa"/>
              <w:right w:w="108" w:type="dxa"/>
            </w:tcMar>
            <w:hideMark/>
          </w:tcPr>
          <w:p w:rsidRPr="00B44A21" w:rsidR="00B44A21" w:rsidP="00B44A21" w:rsidRDefault="00B44A21" w14:paraId="58B97E0E" w14:textId="77777777">
            <w:pPr>
              <w:keepNext/>
              <w:jc w:val="right"/>
              <w:rPr>
                <w:rFonts w:eastAsia="Calibri"/>
              </w:rPr>
            </w:pPr>
            <w:r w:rsidRPr="00B44A21">
              <w:rPr>
                <w:rFonts w:eastAsia="Calibri"/>
              </w:rPr>
              <w:t>1</w:t>
            </w:r>
          </w:p>
        </w:tc>
        <w:tc>
          <w:tcPr>
            <w:tcW w:w="750" w:type="pct"/>
            <w:tcBorders>
              <w:top w:val="single" w:color="auto" w:sz="2" w:space="0"/>
              <w:left w:val="nil"/>
              <w:bottom w:val="single" w:color="auto" w:sz="8" w:space="0"/>
              <w:right w:val="single" w:color="auto" w:sz="8" w:space="0"/>
            </w:tcBorders>
            <w:tcMar>
              <w:top w:w="0" w:type="dxa"/>
              <w:left w:w="108" w:type="dxa"/>
              <w:bottom w:w="0" w:type="dxa"/>
              <w:right w:w="108" w:type="dxa"/>
            </w:tcMar>
            <w:hideMark/>
          </w:tcPr>
          <w:p w:rsidRPr="00B44A21" w:rsidR="00B44A21" w:rsidP="00B44A21" w:rsidRDefault="00890927" w14:paraId="5F25B4CD" w14:textId="7A287B38">
            <w:pPr>
              <w:keepNext/>
              <w:jc w:val="right"/>
              <w:rPr>
                <w:rFonts w:eastAsia="Calibri"/>
              </w:rPr>
            </w:pPr>
            <w:r>
              <w:rPr>
                <w:rFonts w:eastAsia="Calibri"/>
              </w:rPr>
              <w:t>14</w:t>
            </w:r>
          </w:p>
        </w:tc>
        <w:tc>
          <w:tcPr>
            <w:tcW w:w="799" w:type="pct"/>
            <w:tcBorders>
              <w:top w:val="single" w:color="auto" w:sz="2" w:space="0"/>
              <w:left w:val="nil"/>
              <w:bottom w:val="single" w:color="auto" w:sz="8" w:space="0"/>
              <w:right w:val="single" w:color="auto" w:sz="8" w:space="0"/>
            </w:tcBorders>
            <w:tcMar>
              <w:top w:w="0" w:type="dxa"/>
              <w:left w:w="108" w:type="dxa"/>
              <w:bottom w:w="0" w:type="dxa"/>
              <w:right w:w="108" w:type="dxa"/>
            </w:tcMar>
            <w:hideMark/>
          </w:tcPr>
          <w:p w:rsidRPr="00B44A21" w:rsidR="00B44A21" w:rsidP="00B44A21" w:rsidRDefault="00B44A21" w14:paraId="449614E2" w14:textId="77777777">
            <w:pPr>
              <w:keepNext/>
              <w:jc w:val="right"/>
              <w:rPr>
                <w:rFonts w:eastAsia="Calibri"/>
              </w:rPr>
            </w:pPr>
            <w:r w:rsidRPr="00B44A21">
              <w:rPr>
                <w:rFonts w:eastAsia="Calibri"/>
              </w:rPr>
              <w:t>80</w:t>
            </w:r>
          </w:p>
        </w:tc>
        <w:tc>
          <w:tcPr>
            <w:tcW w:w="681" w:type="pct"/>
            <w:tcBorders>
              <w:top w:val="single" w:color="auto" w:sz="2" w:space="0"/>
              <w:left w:val="nil"/>
              <w:bottom w:val="single" w:color="auto" w:sz="8" w:space="0"/>
              <w:right w:val="single" w:color="auto" w:sz="8" w:space="0"/>
            </w:tcBorders>
            <w:tcMar>
              <w:top w:w="0" w:type="dxa"/>
              <w:left w:w="108" w:type="dxa"/>
              <w:bottom w:w="0" w:type="dxa"/>
              <w:right w:w="108" w:type="dxa"/>
            </w:tcMar>
            <w:hideMark/>
          </w:tcPr>
          <w:p w:rsidRPr="00B44A21" w:rsidR="00B44A21" w:rsidP="00B44A21" w:rsidRDefault="00890927" w14:paraId="4CABF7F8" w14:textId="7E0BFE6A">
            <w:pPr>
              <w:keepNext/>
              <w:jc w:val="right"/>
              <w:rPr>
                <w:rFonts w:eastAsia="Calibri"/>
                <w:highlight w:val="yellow"/>
              </w:rPr>
            </w:pPr>
            <w:r>
              <w:rPr>
                <w:rFonts w:eastAsia="Calibri"/>
              </w:rPr>
              <w:t>1,120</w:t>
            </w:r>
          </w:p>
        </w:tc>
      </w:tr>
    </w:tbl>
    <w:p w:rsidR="00CC1982" w:rsidP="009B0810" w:rsidRDefault="00CC1982" w14:paraId="5B195DE4" w14:textId="77777777">
      <w:pPr>
        <w:pStyle w:val="BodyText2"/>
      </w:pPr>
    </w:p>
    <w:p w:rsidR="009B0810" w:rsidP="009B0810" w:rsidRDefault="009B0810" w14:paraId="7733D48F" w14:textId="77777777">
      <w:pPr>
        <w:pStyle w:val="BodyText2"/>
      </w:pPr>
    </w:p>
    <w:p w:rsidRPr="00290E45" w:rsidR="009B0810" w:rsidP="009B0810" w:rsidRDefault="009B0810" w14:paraId="1A6E5EE6" w14:textId="77777777">
      <w:pPr>
        <w:pStyle w:val="BodyText2"/>
        <w:rPr>
          <w:color w:val="000000"/>
        </w:rPr>
      </w:pPr>
    </w:p>
    <w:tbl>
      <w:tblPr>
        <w:tblW w:w="4748" w:type="pct"/>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9"/>
        <w:gridCol w:w="1706"/>
        <w:gridCol w:w="1495"/>
        <w:gridCol w:w="1429"/>
        <w:gridCol w:w="1257"/>
        <w:gridCol w:w="1657"/>
      </w:tblGrid>
      <w:tr w:rsidRPr="009B0810" w:rsidR="00E800DE" w:rsidTr="009B0810" w14:paraId="5A416A56" w14:textId="77777777">
        <w:trPr>
          <w:cantSplit/>
          <w:trHeight w:val="21"/>
          <w:tblHeader/>
        </w:trPr>
        <w:tc>
          <w:tcPr>
            <w:tcW w:w="5000" w:type="pct"/>
            <w:gridSpan w:val="6"/>
            <w:tcBorders>
              <w:top w:val="nil"/>
              <w:left w:val="nil"/>
              <w:right w:val="nil"/>
            </w:tcBorders>
            <w:shd w:val="clear" w:color="auto" w:fill="auto"/>
          </w:tcPr>
          <w:p w:rsidRPr="009B0810" w:rsidR="00E23A9A" w:rsidP="00E23A9A" w:rsidRDefault="00601886" w14:paraId="173B553B" w14:textId="77777777">
            <w:pPr>
              <w:jc w:val="center"/>
              <w:rPr>
                <w:color w:val="000000"/>
              </w:rPr>
            </w:pPr>
            <w:r>
              <w:rPr>
                <w:color w:val="000000"/>
              </w:rPr>
              <w:t>Table 6</w:t>
            </w:r>
            <w:r w:rsidRPr="009B0810" w:rsidR="00E23A9A">
              <w:rPr>
                <w:color w:val="000000"/>
              </w:rPr>
              <w:t>.--Estimated Annual Total Reporting Burden for All Centers</w:t>
            </w:r>
          </w:p>
        </w:tc>
      </w:tr>
      <w:tr w:rsidRPr="009B0810" w:rsidR="009B0810" w:rsidTr="009B0810" w14:paraId="19DD9777" w14:textId="77777777">
        <w:trPr>
          <w:cantSplit/>
          <w:trHeight w:val="21"/>
          <w:tblHeader/>
        </w:trPr>
        <w:tc>
          <w:tcPr>
            <w:tcW w:w="852" w:type="pct"/>
            <w:shd w:val="clear" w:color="auto" w:fill="auto"/>
          </w:tcPr>
          <w:p w:rsidRPr="009B0810" w:rsidR="00E23A9A" w:rsidP="00E23A9A" w:rsidRDefault="00E23A9A" w14:paraId="1A993E09" w14:textId="77777777">
            <w:pPr>
              <w:jc w:val="center"/>
              <w:rPr>
                <w:color w:val="000000"/>
              </w:rPr>
            </w:pPr>
            <w:r w:rsidRPr="009B0810">
              <w:rPr>
                <w:color w:val="000000"/>
              </w:rPr>
              <w:t>CFR Section</w:t>
            </w:r>
          </w:p>
        </w:tc>
        <w:tc>
          <w:tcPr>
            <w:tcW w:w="938" w:type="pct"/>
            <w:shd w:val="clear" w:color="auto" w:fill="auto"/>
          </w:tcPr>
          <w:p w:rsidRPr="009B0810" w:rsidR="00E23A9A" w:rsidP="00E23A9A" w:rsidRDefault="00E23A9A" w14:paraId="03ED9C1E" w14:textId="77777777">
            <w:pPr>
              <w:jc w:val="center"/>
              <w:rPr>
                <w:color w:val="000000"/>
              </w:rPr>
            </w:pPr>
            <w:r w:rsidRPr="009B0810">
              <w:rPr>
                <w:color w:val="000000"/>
              </w:rPr>
              <w:t>No. of Respondents</w:t>
            </w:r>
          </w:p>
        </w:tc>
        <w:tc>
          <w:tcPr>
            <w:tcW w:w="822" w:type="pct"/>
            <w:shd w:val="clear" w:color="auto" w:fill="auto"/>
          </w:tcPr>
          <w:p w:rsidRPr="009B0810" w:rsidR="00E23A9A" w:rsidP="00E23A9A" w:rsidRDefault="00E23A9A" w14:paraId="4D8ACAE4" w14:textId="77777777">
            <w:pPr>
              <w:jc w:val="center"/>
              <w:rPr>
                <w:color w:val="000000"/>
              </w:rPr>
            </w:pPr>
            <w:r w:rsidRPr="009B0810">
              <w:rPr>
                <w:bCs/>
                <w:color w:val="000000"/>
              </w:rPr>
              <w:t>No. of Responses per Respondent</w:t>
            </w:r>
          </w:p>
        </w:tc>
        <w:tc>
          <w:tcPr>
            <w:tcW w:w="786" w:type="pct"/>
            <w:shd w:val="clear" w:color="auto" w:fill="auto"/>
          </w:tcPr>
          <w:p w:rsidRPr="009B0810" w:rsidR="00E23A9A" w:rsidP="00E23A9A" w:rsidRDefault="00E23A9A" w14:paraId="60967C2B" w14:textId="77777777">
            <w:pPr>
              <w:jc w:val="center"/>
              <w:rPr>
                <w:color w:val="000000"/>
              </w:rPr>
            </w:pPr>
            <w:r w:rsidRPr="009B0810">
              <w:rPr>
                <w:color w:val="000000"/>
              </w:rPr>
              <w:t>Total Annual Responses</w:t>
            </w:r>
          </w:p>
        </w:tc>
        <w:tc>
          <w:tcPr>
            <w:tcW w:w="691" w:type="pct"/>
            <w:shd w:val="clear" w:color="auto" w:fill="auto"/>
          </w:tcPr>
          <w:p w:rsidRPr="009B0810" w:rsidR="00E23A9A" w:rsidP="00E23A9A" w:rsidRDefault="00E23A9A" w14:paraId="08267AAE" w14:textId="77777777">
            <w:pPr>
              <w:jc w:val="center"/>
              <w:rPr>
                <w:color w:val="000000"/>
              </w:rPr>
            </w:pPr>
            <w:r w:rsidRPr="009B0810">
              <w:rPr>
                <w:bCs/>
                <w:color w:val="000000"/>
              </w:rPr>
              <w:t>Average Burden per Response</w:t>
            </w:r>
          </w:p>
        </w:tc>
        <w:tc>
          <w:tcPr>
            <w:tcW w:w="910" w:type="pct"/>
            <w:shd w:val="clear" w:color="auto" w:fill="auto"/>
          </w:tcPr>
          <w:p w:rsidRPr="009B0810" w:rsidR="00E23A9A" w:rsidP="00E23A9A" w:rsidRDefault="00E23A9A" w14:paraId="473D1EC1" w14:textId="77777777">
            <w:pPr>
              <w:jc w:val="center"/>
              <w:rPr>
                <w:color w:val="000000"/>
              </w:rPr>
            </w:pPr>
            <w:r w:rsidRPr="009B0810">
              <w:rPr>
                <w:color w:val="000000"/>
              </w:rPr>
              <w:t>Total Hours</w:t>
            </w:r>
          </w:p>
          <w:p w:rsidRPr="009B0810" w:rsidR="00E23A9A" w:rsidP="00E23A9A" w:rsidRDefault="00E23A9A" w14:paraId="0ED1BF23" w14:textId="77777777">
            <w:pPr>
              <w:jc w:val="center"/>
              <w:rPr>
                <w:color w:val="000000"/>
              </w:rPr>
            </w:pPr>
          </w:p>
          <w:p w:rsidRPr="009B0810" w:rsidR="00E23A9A" w:rsidP="00E23A9A" w:rsidRDefault="00E23A9A" w14:paraId="1F9E6035" w14:textId="77777777">
            <w:pPr>
              <w:jc w:val="center"/>
              <w:rPr>
                <w:color w:val="000000"/>
              </w:rPr>
            </w:pPr>
          </w:p>
        </w:tc>
      </w:tr>
      <w:tr w:rsidRPr="009B0810" w:rsidR="009B0810" w:rsidTr="009B0810" w14:paraId="2F146F7D" w14:textId="77777777">
        <w:trPr>
          <w:cantSplit/>
          <w:trHeight w:val="21"/>
        </w:trPr>
        <w:tc>
          <w:tcPr>
            <w:tcW w:w="852" w:type="pct"/>
            <w:shd w:val="clear" w:color="auto" w:fill="auto"/>
          </w:tcPr>
          <w:p w:rsidRPr="009B0810" w:rsidR="00E23A9A" w:rsidP="00E23A9A" w:rsidRDefault="00E23A9A" w14:paraId="65086B46" w14:textId="77777777">
            <w:pPr>
              <w:jc w:val="center"/>
              <w:rPr>
                <w:color w:val="000000"/>
              </w:rPr>
            </w:pPr>
            <w:r w:rsidRPr="009B0810">
              <w:rPr>
                <w:color w:val="000000"/>
              </w:rPr>
              <w:t xml:space="preserve">25.15 </w:t>
            </w:r>
          </w:p>
          <w:p w:rsidRPr="009B0810" w:rsidR="00E23A9A" w:rsidP="00337BF1" w:rsidRDefault="00E23A9A" w14:paraId="0F083B5E" w14:textId="77777777">
            <w:pPr>
              <w:jc w:val="center"/>
              <w:rPr>
                <w:color w:val="000000"/>
              </w:rPr>
            </w:pPr>
            <w:r w:rsidRPr="009B0810">
              <w:rPr>
                <w:color w:val="000000"/>
              </w:rPr>
              <w:t>(a) &amp; (</w:t>
            </w:r>
            <w:r w:rsidRPr="009B0810" w:rsidR="00337BF1">
              <w:rPr>
                <w:color w:val="000000"/>
              </w:rPr>
              <w:t>d</w:t>
            </w:r>
            <w:r w:rsidRPr="009B0810">
              <w:rPr>
                <w:color w:val="000000"/>
              </w:rPr>
              <w:t>)</w:t>
            </w:r>
          </w:p>
        </w:tc>
        <w:tc>
          <w:tcPr>
            <w:tcW w:w="938" w:type="pct"/>
            <w:shd w:val="clear" w:color="auto" w:fill="auto"/>
          </w:tcPr>
          <w:p w:rsidRPr="009B0810" w:rsidR="00E23A9A" w:rsidP="00E23A9A" w:rsidRDefault="00F311BD" w14:paraId="49DA3DF2" w14:textId="2D2C1814">
            <w:pPr>
              <w:jc w:val="center"/>
              <w:rPr>
                <w:color w:val="000000"/>
              </w:rPr>
            </w:pPr>
            <w:r>
              <w:rPr>
                <w:color w:val="000000"/>
              </w:rPr>
              <w:t>8,937</w:t>
            </w:r>
          </w:p>
        </w:tc>
        <w:tc>
          <w:tcPr>
            <w:tcW w:w="822" w:type="pct"/>
            <w:shd w:val="clear" w:color="auto" w:fill="auto"/>
          </w:tcPr>
          <w:p w:rsidRPr="009B0810" w:rsidR="00E23A9A" w:rsidP="00E23A9A" w:rsidRDefault="00357C32" w14:paraId="54873A9D" w14:textId="77777777">
            <w:pPr>
              <w:jc w:val="center"/>
              <w:rPr>
                <w:color w:val="000000"/>
              </w:rPr>
            </w:pPr>
            <w:r w:rsidRPr="009B0810">
              <w:rPr>
                <w:color w:val="000000"/>
              </w:rPr>
              <w:t>-</w:t>
            </w:r>
            <w:r w:rsidRPr="009B0810" w:rsidR="00E23A9A">
              <w:rPr>
                <w:color w:val="000000"/>
              </w:rPr>
              <w:t xml:space="preserve"> </w:t>
            </w:r>
          </w:p>
        </w:tc>
        <w:tc>
          <w:tcPr>
            <w:tcW w:w="786" w:type="pct"/>
            <w:shd w:val="clear" w:color="auto" w:fill="auto"/>
          </w:tcPr>
          <w:p w:rsidRPr="009B0810" w:rsidR="00E23A9A" w:rsidP="00105ED8" w:rsidRDefault="00F311BD" w14:paraId="62E080BC" w14:textId="0FA47C94">
            <w:pPr>
              <w:jc w:val="center"/>
              <w:rPr>
                <w:color w:val="000000"/>
              </w:rPr>
            </w:pPr>
            <w:r>
              <w:rPr>
                <w:color w:val="000000"/>
              </w:rPr>
              <w:t>39,212</w:t>
            </w:r>
          </w:p>
        </w:tc>
        <w:tc>
          <w:tcPr>
            <w:tcW w:w="691" w:type="pct"/>
            <w:shd w:val="clear" w:color="auto" w:fill="auto"/>
          </w:tcPr>
          <w:p w:rsidRPr="009B0810" w:rsidR="00E23A9A" w:rsidP="00105ED8" w:rsidRDefault="00357C32" w14:paraId="59B7951F" w14:textId="77777777">
            <w:pPr>
              <w:jc w:val="center"/>
              <w:rPr>
                <w:color w:val="000000"/>
              </w:rPr>
            </w:pPr>
            <w:r w:rsidRPr="009B0810">
              <w:rPr>
                <w:color w:val="000000"/>
              </w:rPr>
              <w:t>-</w:t>
            </w:r>
          </w:p>
        </w:tc>
        <w:tc>
          <w:tcPr>
            <w:tcW w:w="910" w:type="pct"/>
            <w:shd w:val="clear" w:color="auto" w:fill="auto"/>
          </w:tcPr>
          <w:p w:rsidRPr="009B0810" w:rsidR="00E23A9A" w:rsidP="00E23A9A" w:rsidRDefault="00F311BD" w14:paraId="72E0A485" w14:textId="344BEDEB">
            <w:pPr>
              <w:jc w:val="center"/>
              <w:rPr>
                <w:color w:val="000000"/>
              </w:rPr>
            </w:pPr>
            <w:r>
              <w:rPr>
                <w:color w:val="000000"/>
              </w:rPr>
              <w:t>236,376</w:t>
            </w:r>
          </w:p>
        </w:tc>
      </w:tr>
      <w:tr w:rsidRPr="009B0810" w:rsidR="009B0810" w:rsidTr="009B0810" w14:paraId="66B5EC97" w14:textId="77777777">
        <w:trPr>
          <w:cantSplit/>
          <w:trHeight w:val="21"/>
        </w:trPr>
        <w:tc>
          <w:tcPr>
            <w:tcW w:w="852" w:type="pct"/>
            <w:shd w:val="clear" w:color="auto" w:fill="auto"/>
          </w:tcPr>
          <w:p w:rsidRPr="009B0810" w:rsidR="00E23A9A" w:rsidP="00E23A9A" w:rsidRDefault="00E23A9A" w14:paraId="3E05DAEA" w14:textId="77777777">
            <w:pPr>
              <w:jc w:val="center"/>
              <w:rPr>
                <w:color w:val="000000"/>
              </w:rPr>
            </w:pPr>
            <w:r w:rsidRPr="009B0810">
              <w:rPr>
                <w:color w:val="000000"/>
              </w:rPr>
              <w:t xml:space="preserve">25.40 </w:t>
            </w:r>
          </w:p>
          <w:p w:rsidRPr="009B0810" w:rsidR="00E23A9A" w:rsidDel="00215B02" w:rsidP="00E23A9A" w:rsidRDefault="00E23A9A" w14:paraId="01AC07F2" w14:textId="77777777">
            <w:pPr>
              <w:jc w:val="center"/>
              <w:rPr>
                <w:color w:val="000000"/>
              </w:rPr>
            </w:pPr>
            <w:r w:rsidRPr="009B0810">
              <w:rPr>
                <w:color w:val="000000"/>
              </w:rPr>
              <w:t>(a) &amp; (c)</w:t>
            </w:r>
          </w:p>
        </w:tc>
        <w:tc>
          <w:tcPr>
            <w:tcW w:w="938" w:type="pct"/>
            <w:shd w:val="clear" w:color="auto" w:fill="auto"/>
          </w:tcPr>
          <w:p w:rsidRPr="009B0810" w:rsidR="00E23A9A" w:rsidDel="00215B02" w:rsidP="00E23A9A" w:rsidRDefault="00C670CA" w14:paraId="3FB98696" w14:textId="5FF31408">
            <w:pPr>
              <w:jc w:val="center"/>
              <w:rPr>
                <w:color w:val="000000"/>
              </w:rPr>
            </w:pPr>
            <w:r>
              <w:rPr>
                <w:color w:val="000000"/>
              </w:rPr>
              <w:t>41</w:t>
            </w:r>
          </w:p>
        </w:tc>
        <w:tc>
          <w:tcPr>
            <w:tcW w:w="822" w:type="pct"/>
            <w:shd w:val="clear" w:color="auto" w:fill="auto"/>
          </w:tcPr>
          <w:p w:rsidRPr="009B0810" w:rsidR="00E23A9A" w:rsidDel="00215B02" w:rsidP="00E23A9A" w:rsidRDefault="00357C32" w14:paraId="4B6D00C2" w14:textId="77777777">
            <w:pPr>
              <w:jc w:val="center"/>
              <w:rPr>
                <w:color w:val="000000"/>
              </w:rPr>
            </w:pPr>
            <w:r w:rsidRPr="009B0810">
              <w:rPr>
                <w:color w:val="000000"/>
              </w:rPr>
              <w:t>-</w:t>
            </w:r>
            <w:r w:rsidRPr="009B0810" w:rsidR="00E23A9A">
              <w:rPr>
                <w:color w:val="000000"/>
              </w:rPr>
              <w:t xml:space="preserve"> </w:t>
            </w:r>
          </w:p>
        </w:tc>
        <w:tc>
          <w:tcPr>
            <w:tcW w:w="786" w:type="pct"/>
            <w:shd w:val="clear" w:color="auto" w:fill="auto"/>
          </w:tcPr>
          <w:p w:rsidRPr="009B0810" w:rsidR="00E23A9A" w:rsidDel="00215B02" w:rsidP="00E23A9A" w:rsidRDefault="00C670CA" w14:paraId="2FC30245" w14:textId="0B545193">
            <w:pPr>
              <w:jc w:val="center"/>
              <w:rPr>
                <w:color w:val="000000"/>
              </w:rPr>
            </w:pPr>
            <w:r>
              <w:rPr>
                <w:color w:val="000000"/>
              </w:rPr>
              <w:t>40</w:t>
            </w:r>
          </w:p>
        </w:tc>
        <w:tc>
          <w:tcPr>
            <w:tcW w:w="691" w:type="pct"/>
            <w:shd w:val="clear" w:color="auto" w:fill="auto"/>
          </w:tcPr>
          <w:p w:rsidRPr="009B0810" w:rsidR="00E23A9A" w:rsidDel="000B746A" w:rsidP="00E23A9A" w:rsidRDefault="00357C32" w14:paraId="673AEB34" w14:textId="77777777">
            <w:pPr>
              <w:jc w:val="center"/>
              <w:rPr>
                <w:color w:val="000000"/>
              </w:rPr>
            </w:pPr>
            <w:r w:rsidRPr="009B0810">
              <w:rPr>
                <w:color w:val="000000"/>
              </w:rPr>
              <w:t>-</w:t>
            </w:r>
            <w:r w:rsidRPr="009B0810" w:rsidR="00E23A9A">
              <w:rPr>
                <w:color w:val="000000"/>
              </w:rPr>
              <w:t xml:space="preserve"> </w:t>
            </w:r>
          </w:p>
        </w:tc>
        <w:tc>
          <w:tcPr>
            <w:tcW w:w="910" w:type="pct"/>
            <w:shd w:val="clear" w:color="auto" w:fill="auto"/>
          </w:tcPr>
          <w:p w:rsidRPr="009B0810" w:rsidR="00E23A9A" w:rsidDel="00215B02" w:rsidP="00E23A9A" w:rsidRDefault="00C670CA" w14:paraId="5A5E176F" w14:textId="3CCA1FA3">
            <w:pPr>
              <w:jc w:val="center"/>
              <w:rPr>
                <w:color w:val="000000"/>
              </w:rPr>
            </w:pPr>
            <w:r>
              <w:rPr>
                <w:color w:val="000000"/>
              </w:rPr>
              <w:t>78,360</w:t>
            </w:r>
          </w:p>
        </w:tc>
      </w:tr>
      <w:tr w:rsidRPr="009B0810" w:rsidR="009B0810" w:rsidTr="009B0810" w14:paraId="1567B11A" w14:textId="77777777">
        <w:trPr>
          <w:cantSplit/>
          <w:trHeight w:val="21"/>
        </w:trPr>
        <w:tc>
          <w:tcPr>
            <w:tcW w:w="852" w:type="pct"/>
            <w:shd w:val="clear" w:color="auto" w:fill="auto"/>
          </w:tcPr>
          <w:p w:rsidRPr="009B0810" w:rsidR="00E800DE" w:rsidP="00E23A9A" w:rsidRDefault="00E800DE" w14:paraId="6C4252F1" w14:textId="77777777">
            <w:pPr>
              <w:jc w:val="center"/>
              <w:rPr>
                <w:color w:val="000000"/>
              </w:rPr>
            </w:pPr>
            <w:r w:rsidRPr="009B0810">
              <w:rPr>
                <w:color w:val="000000"/>
              </w:rPr>
              <w:t>Total</w:t>
            </w:r>
          </w:p>
        </w:tc>
        <w:tc>
          <w:tcPr>
            <w:tcW w:w="938" w:type="pct"/>
            <w:shd w:val="clear" w:color="auto" w:fill="auto"/>
          </w:tcPr>
          <w:p w:rsidRPr="009B0810" w:rsidR="00E800DE" w:rsidP="00E23A9A" w:rsidRDefault="00F112B1" w14:paraId="4774CB94" w14:textId="312C82A3">
            <w:pPr>
              <w:jc w:val="center"/>
              <w:rPr>
                <w:color w:val="000000"/>
              </w:rPr>
            </w:pPr>
            <w:r>
              <w:rPr>
                <w:color w:val="000000"/>
              </w:rPr>
              <w:t>8,978</w:t>
            </w:r>
          </w:p>
        </w:tc>
        <w:tc>
          <w:tcPr>
            <w:tcW w:w="822" w:type="pct"/>
            <w:shd w:val="clear" w:color="auto" w:fill="auto"/>
          </w:tcPr>
          <w:p w:rsidRPr="009B0810" w:rsidR="00E800DE" w:rsidP="00E23A9A" w:rsidRDefault="00E800DE" w14:paraId="66B2D97C" w14:textId="77777777">
            <w:pPr>
              <w:jc w:val="center"/>
              <w:rPr>
                <w:color w:val="000000"/>
              </w:rPr>
            </w:pPr>
            <w:r w:rsidRPr="009B0810">
              <w:rPr>
                <w:color w:val="000000"/>
              </w:rPr>
              <w:t>-</w:t>
            </w:r>
          </w:p>
        </w:tc>
        <w:tc>
          <w:tcPr>
            <w:tcW w:w="786" w:type="pct"/>
            <w:shd w:val="clear" w:color="auto" w:fill="auto"/>
          </w:tcPr>
          <w:p w:rsidRPr="009B0810" w:rsidR="00E800DE" w:rsidP="00E23A9A" w:rsidRDefault="00F112B1" w14:paraId="764E5963" w14:textId="139C7990">
            <w:pPr>
              <w:jc w:val="center"/>
              <w:rPr>
                <w:color w:val="000000"/>
              </w:rPr>
            </w:pPr>
            <w:r>
              <w:rPr>
                <w:color w:val="000000"/>
              </w:rPr>
              <w:t>39,252</w:t>
            </w:r>
          </w:p>
        </w:tc>
        <w:tc>
          <w:tcPr>
            <w:tcW w:w="691" w:type="pct"/>
            <w:shd w:val="clear" w:color="auto" w:fill="auto"/>
          </w:tcPr>
          <w:p w:rsidRPr="009B0810" w:rsidR="00E800DE" w:rsidP="00E23A9A" w:rsidRDefault="00E800DE" w14:paraId="36C82805" w14:textId="77777777">
            <w:pPr>
              <w:jc w:val="center"/>
              <w:rPr>
                <w:color w:val="000000"/>
              </w:rPr>
            </w:pPr>
            <w:r w:rsidRPr="009B0810">
              <w:rPr>
                <w:color w:val="000000"/>
              </w:rPr>
              <w:t>-</w:t>
            </w:r>
          </w:p>
        </w:tc>
        <w:tc>
          <w:tcPr>
            <w:tcW w:w="910" w:type="pct"/>
            <w:shd w:val="clear" w:color="auto" w:fill="auto"/>
          </w:tcPr>
          <w:p w:rsidRPr="009B0810" w:rsidR="00E800DE" w:rsidP="00E23A9A" w:rsidRDefault="00B73C2C" w14:paraId="37B427CD" w14:textId="42EDD9CD">
            <w:pPr>
              <w:jc w:val="center"/>
              <w:rPr>
                <w:color w:val="000000"/>
              </w:rPr>
            </w:pPr>
            <w:r>
              <w:rPr>
                <w:color w:val="000000"/>
              </w:rPr>
              <w:fldChar w:fldCharType="begin"/>
            </w:r>
            <w:r>
              <w:rPr>
                <w:color w:val="000000"/>
              </w:rPr>
              <w:instrText xml:space="preserve"> =SUM(ABOVE) </w:instrText>
            </w:r>
            <w:r>
              <w:rPr>
                <w:color w:val="000000"/>
              </w:rPr>
              <w:fldChar w:fldCharType="separate"/>
            </w:r>
            <w:r w:rsidR="00F112B1">
              <w:rPr>
                <w:noProof/>
                <w:color w:val="000000"/>
              </w:rPr>
              <w:t>314,736</w:t>
            </w:r>
            <w:r>
              <w:rPr>
                <w:color w:val="000000"/>
              </w:rPr>
              <w:fldChar w:fldCharType="end"/>
            </w:r>
          </w:p>
        </w:tc>
      </w:tr>
    </w:tbl>
    <w:p w:rsidR="00CC1982" w:rsidP="00B92F7C" w:rsidRDefault="00CC1982" w14:paraId="4601ECD0" w14:textId="77777777">
      <w:pPr>
        <w:pStyle w:val="BodyText2"/>
        <w:ind w:left="720"/>
        <w:jc w:val="center"/>
        <w:rPr>
          <w:color w:val="000000"/>
        </w:rPr>
      </w:pPr>
    </w:p>
    <w:p w:rsidR="009B0810" w:rsidP="00B92F7C" w:rsidRDefault="009B0810" w14:paraId="52E6D482" w14:textId="77777777">
      <w:pPr>
        <w:pStyle w:val="BodyText2"/>
        <w:ind w:left="720"/>
        <w:jc w:val="center"/>
        <w:rPr>
          <w:color w:val="000000"/>
        </w:rPr>
      </w:pPr>
    </w:p>
    <w:p w:rsidRPr="00290E45" w:rsidR="009B0810" w:rsidP="00B92F7C" w:rsidRDefault="009B0810" w14:paraId="70C7EBDD" w14:textId="77777777">
      <w:pPr>
        <w:pStyle w:val="BodyText2"/>
        <w:ind w:left="720"/>
        <w:jc w:val="center"/>
        <w:rPr>
          <w:color w:val="000000"/>
        </w:rPr>
      </w:pPr>
    </w:p>
    <w:p w:rsidRPr="00290E45" w:rsidR="00A93ED9" w:rsidP="00A93ED9" w:rsidRDefault="00A93ED9" w14:paraId="40B05E51" w14:textId="77777777">
      <w:pPr>
        <w:pStyle w:val="BodyText2"/>
        <w:ind w:left="360"/>
        <w:rPr>
          <w:color w:val="000000"/>
        </w:rPr>
      </w:pPr>
      <w:r w:rsidRPr="00290E45">
        <w:rPr>
          <w:color w:val="000000"/>
        </w:rPr>
        <w:t xml:space="preserve">12b. </w:t>
      </w:r>
      <w:r w:rsidRPr="00290E45" w:rsidR="00411D11">
        <w:rPr>
          <w:color w:val="000000"/>
          <w:u w:val="single"/>
        </w:rPr>
        <w:t>Annualized Cost Burden Estimate</w:t>
      </w:r>
    </w:p>
    <w:p w:rsidRPr="00290E45" w:rsidR="00A93ED9" w:rsidP="001D495A" w:rsidRDefault="00A93ED9" w14:paraId="491F2BF5" w14:textId="77777777">
      <w:pPr>
        <w:pStyle w:val="BodyText2"/>
        <w:ind w:left="720"/>
        <w:rPr>
          <w:color w:val="000000"/>
        </w:rPr>
      </w:pPr>
    </w:p>
    <w:p w:rsidR="00FD428A" w:rsidP="00FD428A" w:rsidRDefault="00E23A9A" w14:paraId="4BE62A5F" w14:textId="4E669B62">
      <w:pPr>
        <w:pStyle w:val="BodyText2"/>
        <w:spacing w:line="360" w:lineRule="auto"/>
        <w:ind w:left="720"/>
        <w:rPr>
          <w:color w:val="000000"/>
        </w:rPr>
      </w:pPr>
      <w:r w:rsidRPr="00290E45">
        <w:rPr>
          <w:color w:val="000000"/>
        </w:rPr>
        <w:t>FDA's Economics Staff estimates the average industry wage rate of $</w:t>
      </w:r>
      <w:r w:rsidR="00E56581">
        <w:rPr>
          <w:color w:val="000000"/>
        </w:rPr>
        <w:t>84</w:t>
      </w:r>
      <w:r w:rsidRPr="00290E45">
        <w:rPr>
          <w:color w:val="000000"/>
        </w:rPr>
        <w:t xml:space="preserve">.00 per hour for preparing and submitting the information collection requirements associated with marketing applications.  Based on a total industry burden of </w:t>
      </w:r>
      <w:r w:rsidR="00ED6A68">
        <w:rPr>
          <w:color w:val="000000"/>
        </w:rPr>
        <w:t>314,736</w:t>
      </w:r>
      <w:r w:rsidRPr="00290E45" w:rsidR="00E800DE">
        <w:rPr>
          <w:color w:val="000000"/>
        </w:rPr>
        <w:t xml:space="preserve"> </w:t>
      </w:r>
      <w:r w:rsidRPr="00290E45">
        <w:rPr>
          <w:color w:val="000000"/>
        </w:rPr>
        <w:t>hours, the annualized cost burden to respondents would be $</w:t>
      </w:r>
      <w:r w:rsidR="00E56581">
        <w:rPr>
          <w:color w:val="000000"/>
        </w:rPr>
        <w:t>26,437,824</w:t>
      </w:r>
      <w:r w:rsidRPr="00290E45">
        <w:rPr>
          <w:color w:val="000000"/>
        </w:rPr>
        <w:t>.</w:t>
      </w:r>
    </w:p>
    <w:p w:rsidRPr="00290E45" w:rsidR="00FD428A" w:rsidP="00FD428A" w:rsidRDefault="00BF52A5" w14:paraId="57F46C95" w14:textId="77777777">
      <w:pPr>
        <w:pStyle w:val="BodyText2"/>
        <w:spacing w:line="360" w:lineRule="auto"/>
        <w:ind w:left="720"/>
        <w:rPr>
          <w:color w:val="000000"/>
        </w:rPr>
      </w:pPr>
      <w:r>
        <w:rPr>
          <w:color w:val="000000"/>
        </w:rPr>
        <w:t xml:space="preserve">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800"/>
        <w:gridCol w:w="2394"/>
        <w:gridCol w:w="1926"/>
      </w:tblGrid>
      <w:tr w:rsidRPr="00FD428A" w:rsidR="00E800DE" w:rsidTr="00112E99" w14:paraId="7E7A6923" w14:textId="77777777">
        <w:tc>
          <w:tcPr>
            <w:tcW w:w="2160" w:type="dxa"/>
            <w:shd w:val="clear" w:color="auto" w:fill="auto"/>
          </w:tcPr>
          <w:p w:rsidRPr="00FD428A" w:rsidR="003740BC" w:rsidP="00FD428A" w:rsidRDefault="003740BC" w14:paraId="56F66373" w14:textId="77777777">
            <w:pPr>
              <w:spacing w:line="360" w:lineRule="auto"/>
              <w:rPr>
                <w:color w:val="000000"/>
              </w:rPr>
            </w:pPr>
            <w:r w:rsidRPr="00FD428A">
              <w:rPr>
                <w:color w:val="000000"/>
              </w:rPr>
              <w:t>Type of Respondent</w:t>
            </w:r>
            <w:r w:rsidRPr="00FD428A" w:rsidR="0026396D">
              <w:rPr>
                <w:color w:val="000000"/>
              </w:rPr>
              <w:t>s</w:t>
            </w:r>
          </w:p>
        </w:tc>
        <w:tc>
          <w:tcPr>
            <w:tcW w:w="1800" w:type="dxa"/>
            <w:shd w:val="clear" w:color="auto" w:fill="auto"/>
          </w:tcPr>
          <w:p w:rsidRPr="00FD428A" w:rsidR="003740BC" w:rsidP="00FD428A" w:rsidRDefault="003740BC" w14:paraId="45520C04" w14:textId="77777777">
            <w:pPr>
              <w:spacing w:line="360" w:lineRule="auto"/>
              <w:rPr>
                <w:color w:val="000000"/>
              </w:rPr>
            </w:pPr>
            <w:r w:rsidRPr="00FD428A">
              <w:rPr>
                <w:color w:val="000000"/>
              </w:rPr>
              <w:t>Total Burden Hours</w:t>
            </w:r>
          </w:p>
        </w:tc>
        <w:tc>
          <w:tcPr>
            <w:tcW w:w="2394" w:type="dxa"/>
            <w:shd w:val="clear" w:color="auto" w:fill="auto"/>
          </w:tcPr>
          <w:p w:rsidRPr="00FD428A" w:rsidR="003740BC" w:rsidP="00FD428A" w:rsidRDefault="003740BC" w14:paraId="77A3DC1A" w14:textId="77777777">
            <w:pPr>
              <w:spacing w:line="360" w:lineRule="auto"/>
              <w:rPr>
                <w:color w:val="000000"/>
              </w:rPr>
            </w:pPr>
            <w:r w:rsidRPr="00FD428A">
              <w:rPr>
                <w:color w:val="000000"/>
              </w:rPr>
              <w:t>Hourly Wage Rate</w:t>
            </w:r>
          </w:p>
        </w:tc>
        <w:tc>
          <w:tcPr>
            <w:tcW w:w="1926" w:type="dxa"/>
            <w:shd w:val="clear" w:color="auto" w:fill="auto"/>
          </w:tcPr>
          <w:p w:rsidRPr="00FD428A" w:rsidR="003740BC" w:rsidP="00FD428A" w:rsidRDefault="003740BC" w14:paraId="643FCBCD" w14:textId="77777777">
            <w:pPr>
              <w:spacing w:line="360" w:lineRule="auto"/>
              <w:rPr>
                <w:color w:val="000000"/>
              </w:rPr>
            </w:pPr>
            <w:r w:rsidRPr="00FD428A">
              <w:rPr>
                <w:color w:val="000000"/>
              </w:rPr>
              <w:t>Total Respondent Costs</w:t>
            </w:r>
          </w:p>
        </w:tc>
      </w:tr>
      <w:tr w:rsidRPr="00FD428A" w:rsidR="00E800DE" w:rsidTr="00112E99" w14:paraId="4BB71851" w14:textId="77777777">
        <w:tc>
          <w:tcPr>
            <w:tcW w:w="2160" w:type="dxa"/>
            <w:shd w:val="clear" w:color="auto" w:fill="auto"/>
          </w:tcPr>
          <w:p w:rsidRPr="00FD428A" w:rsidR="003740BC" w:rsidP="00FD428A" w:rsidRDefault="00E23A9A" w14:paraId="3920529C" w14:textId="77777777">
            <w:pPr>
              <w:spacing w:line="360" w:lineRule="auto"/>
              <w:rPr>
                <w:color w:val="000000"/>
              </w:rPr>
            </w:pPr>
            <w:r w:rsidRPr="00FD428A">
              <w:rPr>
                <w:color w:val="000000"/>
              </w:rPr>
              <w:t>Businesses</w:t>
            </w:r>
          </w:p>
        </w:tc>
        <w:tc>
          <w:tcPr>
            <w:tcW w:w="1800" w:type="dxa"/>
            <w:shd w:val="clear" w:color="auto" w:fill="auto"/>
          </w:tcPr>
          <w:p w:rsidRPr="00FD428A" w:rsidR="003740BC" w:rsidP="00FD428A" w:rsidRDefault="00ED6A68" w14:paraId="280DFDEB" w14:textId="5163E8B3">
            <w:pPr>
              <w:spacing w:line="360" w:lineRule="auto"/>
              <w:rPr>
                <w:color w:val="000000"/>
              </w:rPr>
            </w:pPr>
            <w:r>
              <w:rPr>
                <w:color w:val="000000"/>
              </w:rPr>
              <w:t>314,736</w:t>
            </w:r>
          </w:p>
        </w:tc>
        <w:tc>
          <w:tcPr>
            <w:tcW w:w="2394" w:type="dxa"/>
            <w:shd w:val="clear" w:color="auto" w:fill="auto"/>
          </w:tcPr>
          <w:p w:rsidRPr="00FD428A" w:rsidR="003740BC" w:rsidP="00FD428A" w:rsidRDefault="003740BC" w14:paraId="3BD2F2A5" w14:textId="1F03ACDF">
            <w:pPr>
              <w:spacing w:line="360" w:lineRule="auto"/>
              <w:rPr>
                <w:color w:val="000000"/>
              </w:rPr>
            </w:pPr>
            <w:r w:rsidRPr="00FD428A">
              <w:rPr>
                <w:color w:val="000000"/>
              </w:rPr>
              <w:t>$</w:t>
            </w:r>
            <w:r w:rsidR="00E56581">
              <w:rPr>
                <w:color w:val="000000"/>
              </w:rPr>
              <w:t>84</w:t>
            </w:r>
            <w:r w:rsidRPr="00FD428A">
              <w:rPr>
                <w:color w:val="000000"/>
              </w:rPr>
              <w:t>.00</w:t>
            </w:r>
          </w:p>
        </w:tc>
        <w:tc>
          <w:tcPr>
            <w:tcW w:w="1926" w:type="dxa"/>
            <w:shd w:val="clear" w:color="auto" w:fill="auto"/>
          </w:tcPr>
          <w:p w:rsidRPr="00FD428A" w:rsidR="003740BC" w:rsidP="00FD428A" w:rsidRDefault="005C5258" w14:paraId="26B3685A" w14:textId="6B0BB9CE">
            <w:pPr>
              <w:spacing w:line="360" w:lineRule="auto"/>
              <w:rPr>
                <w:color w:val="000000"/>
              </w:rPr>
            </w:pPr>
            <w:r>
              <w:rPr>
                <w:color w:val="000000"/>
              </w:rPr>
              <w:t>$</w:t>
            </w:r>
            <w:r w:rsidR="00E56581">
              <w:rPr>
                <w:color w:val="000000"/>
              </w:rPr>
              <w:t>26,437,824</w:t>
            </w:r>
          </w:p>
        </w:tc>
      </w:tr>
    </w:tbl>
    <w:p w:rsidRPr="00290E45" w:rsidR="003740BC" w:rsidP="001D495A" w:rsidRDefault="003740BC" w14:paraId="4A2CAA2D" w14:textId="77777777">
      <w:pPr>
        <w:pStyle w:val="BodyText2"/>
        <w:ind w:left="720"/>
        <w:rPr>
          <w:color w:val="000000"/>
        </w:rPr>
      </w:pPr>
    </w:p>
    <w:p w:rsidRPr="00290E45" w:rsidR="004C6979" w:rsidP="00EB7538" w:rsidRDefault="00EB7538" w14:paraId="2E895684" w14:textId="77777777">
      <w:pPr>
        <w:numPr>
          <w:ilvl w:val="0"/>
          <w:numId w:val="1"/>
        </w:numPr>
        <w:spacing w:before="100" w:beforeAutospacing="1" w:after="100" w:afterAutospacing="1"/>
        <w:rPr>
          <w:color w:val="000000"/>
          <w:u w:val="single"/>
        </w:rPr>
      </w:pPr>
      <w:r w:rsidRPr="00290E45">
        <w:rPr>
          <w:color w:val="000000"/>
          <w:u w:val="single"/>
        </w:rPr>
        <w:t>Estimates of Other Total Annual Cost</w:t>
      </w:r>
      <w:r w:rsidRPr="00290E45" w:rsidR="007C75B1">
        <w:rPr>
          <w:color w:val="000000"/>
          <w:u w:val="single"/>
        </w:rPr>
        <w:t>s</w:t>
      </w:r>
      <w:r w:rsidRPr="00290E45">
        <w:rPr>
          <w:color w:val="000000"/>
          <w:u w:val="single"/>
        </w:rPr>
        <w:t xml:space="preserve"> to Respondents and</w:t>
      </w:r>
      <w:r w:rsidRPr="00290E45" w:rsidR="00350523">
        <w:rPr>
          <w:color w:val="000000"/>
          <w:u w:val="single"/>
        </w:rPr>
        <w:t>/or Recordkeepers/Capital Costs</w:t>
      </w:r>
    </w:p>
    <w:p w:rsidR="00350523" w:rsidP="003E553E" w:rsidRDefault="00E23A9A" w14:paraId="65C8DB72" w14:textId="37DD0046">
      <w:pPr>
        <w:ind w:left="720"/>
        <w:rPr>
          <w:color w:val="000000"/>
        </w:rPr>
      </w:pPr>
      <w:r w:rsidRPr="00290E45">
        <w:rPr>
          <w:color w:val="000000"/>
        </w:rPr>
        <w:t>There are no capital</w:t>
      </w:r>
      <w:r w:rsidR="00A6312E">
        <w:rPr>
          <w:color w:val="000000"/>
        </w:rPr>
        <w:t xml:space="preserve">, start-up, </w:t>
      </w:r>
      <w:r w:rsidRPr="00290E45">
        <w:rPr>
          <w:color w:val="000000"/>
        </w:rPr>
        <w:t xml:space="preserve">operating </w:t>
      </w:r>
      <w:r w:rsidR="00A6312E">
        <w:rPr>
          <w:color w:val="000000"/>
        </w:rPr>
        <w:t xml:space="preserve">or </w:t>
      </w:r>
      <w:r w:rsidRPr="00290E45">
        <w:rPr>
          <w:color w:val="000000"/>
        </w:rPr>
        <w:t xml:space="preserve">maintenance costs associated with this </w:t>
      </w:r>
      <w:r w:rsidR="00A6312E">
        <w:rPr>
          <w:color w:val="000000"/>
        </w:rPr>
        <w:t xml:space="preserve">information </w:t>
      </w:r>
      <w:r w:rsidRPr="00290E45">
        <w:rPr>
          <w:color w:val="000000"/>
        </w:rPr>
        <w:t>collection.</w:t>
      </w:r>
    </w:p>
    <w:p w:rsidR="00B16DA8" w:rsidP="003E553E" w:rsidRDefault="00B16DA8" w14:paraId="34605399" w14:textId="6E73EA13">
      <w:pPr>
        <w:ind w:left="720"/>
        <w:rPr>
          <w:color w:val="000000"/>
        </w:rPr>
      </w:pPr>
    </w:p>
    <w:p w:rsidRPr="00290E45" w:rsidR="00B16DA8" w:rsidP="003E553E" w:rsidRDefault="00B16DA8" w14:paraId="6FE7BE68" w14:textId="77777777">
      <w:pPr>
        <w:ind w:left="720"/>
        <w:rPr>
          <w:color w:val="000000"/>
        </w:rPr>
      </w:pPr>
    </w:p>
    <w:p w:rsidRPr="00290E45" w:rsidR="004C6979" w:rsidP="00EB7538" w:rsidRDefault="00EB7538" w14:paraId="659787EB" w14:textId="77777777">
      <w:pPr>
        <w:numPr>
          <w:ilvl w:val="0"/>
          <w:numId w:val="1"/>
        </w:numPr>
        <w:spacing w:before="100" w:beforeAutospacing="1" w:after="100" w:afterAutospacing="1"/>
        <w:rPr>
          <w:color w:val="000000"/>
          <w:u w:val="single"/>
        </w:rPr>
      </w:pPr>
      <w:r w:rsidRPr="00290E45">
        <w:rPr>
          <w:color w:val="000000"/>
          <w:u w:val="single"/>
        </w:rPr>
        <w:t>Annualized Cost to the Federal Government</w:t>
      </w:r>
    </w:p>
    <w:p w:rsidRPr="00290E45" w:rsidR="00A70426" w:rsidP="00E23A9A" w:rsidRDefault="00E23A9A" w14:paraId="0146249B" w14:textId="37F44481">
      <w:pPr>
        <w:pStyle w:val="BodyText2"/>
        <w:ind w:left="720"/>
        <w:rPr>
          <w:color w:val="000000"/>
          <w:szCs w:val="24"/>
        </w:rPr>
      </w:pPr>
      <w:r w:rsidRPr="00290E45">
        <w:rPr>
          <w:color w:val="000000"/>
          <w:szCs w:val="24"/>
        </w:rPr>
        <w:lastRenderedPageBreak/>
        <w:t xml:space="preserve">FDA estimates that a total of approximately 8 FTEs are devoted to the review of submissions associated with 21 CFR part 25.  Based on an estimate of </w:t>
      </w:r>
      <w:r w:rsidRPr="00290E45" w:rsidR="003C535F">
        <w:rPr>
          <w:color w:val="000000"/>
          <w:szCs w:val="24"/>
        </w:rPr>
        <w:t>$</w:t>
      </w:r>
      <w:r w:rsidR="007310B5">
        <w:rPr>
          <w:color w:val="000000"/>
          <w:szCs w:val="24"/>
        </w:rPr>
        <w:t>180</w:t>
      </w:r>
      <w:r w:rsidRPr="00290E45" w:rsidR="003C535F">
        <w:rPr>
          <w:color w:val="000000"/>
          <w:szCs w:val="24"/>
        </w:rPr>
        <w:t>,000</w:t>
      </w:r>
      <w:r w:rsidRPr="00290E45">
        <w:rPr>
          <w:color w:val="000000"/>
          <w:szCs w:val="24"/>
        </w:rPr>
        <w:t xml:space="preserve"> per FTE, the annualized cost burden to FDA would be approximately</w:t>
      </w:r>
      <w:r w:rsidRPr="00290E45" w:rsidR="003C535F">
        <w:rPr>
          <w:color w:val="000000"/>
          <w:szCs w:val="24"/>
        </w:rPr>
        <w:t xml:space="preserve"> $</w:t>
      </w:r>
      <w:r w:rsidR="007310B5">
        <w:rPr>
          <w:color w:val="000000"/>
          <w:szCs w:val="24"/>
        </w:rPr>
        <w:t>1,440,000</w:t>
      </w:r>
      <w:r w:rsidRPr="00290E45">
        <w:rPr>
          <w:color w:val="000000"/>
          <w:szCs w:val="24"/>
        </w:rPr>
        <w:t>.</w:t>
      </w:r>
    </w:p>
    <w:p w:rsidRPr="00290E45" w:rsidR="004C6979" w:rsidP="00EB7538" w:rsidRDefault="00EB7538" w14:paraId="7AF706CD" w14:textId="77777777">
      <w:pPr>
        <w:numPr>
          <w:ilvl w:val="0"/>
          <w:numId w:val="1"/>
        </w:numPr>
        <w:spacing w:before="100" w:beforeAutospacing="1" w:after="100" w:afterAutospacing="1"/>
        <w:rPr>
          <w:color w:val="000000"/>
          <w:u w:val="single"/>
        </w:rPr>
      </w:pPr>
      <w:r w:rsidRPr="00290E45">
        <w:rPr>
          <w:color w:val="000000"/>
          <w:u w:val="single"/>
        </w:rPr>
        <w:t>Explanation for Program Changes or Adjustments</w:t>
      </w:r>
    </w:p>
    <w:p w:rsidR="005B700D" w:rsidP="005B700D" w:rsidRDefault="00EA222F" w14:paraId="71CCE506" w14:textId="2730C317">
      <w:pPr>
        <w:ind w:left="720"/>
        <w:rPr>
          <w:color w:val="000000"/>
        </w:rPr>
      </w:pPr>
      <w:r w:rsidRPr="00EA222F">
        <w:rPr>
          <w:color w:val="000000"/>
        </w:rPr>
        <w:t xml:space="preserve">Our estimated burden for the information collection reflects an overall </w:t>
      </w:r>
      <w:r w:rsidR="008E41F6">
        <w:rPr>
          <w:color w:val="000000"/>
        </w:rPr>
        <w:t xml:space="preserve">increase </w:t>
      </w:r>
      <w:r w:rsidRPr="00EA222F">
        <w:rPr>
          <w:color w:val="000000"/>
        </w:rPr>
        <w:t xml:space="preserve">of </w:t>
      </w:r>
      <w:r w:rsidR="008E41F6">
        <w:rPr>
          <w:color w:val="000000"/>
        </w:rPr>
        <w:t>94,078</w:t>
      </w:r>
      <w:r w:rsidRPr="00EA222F">
        <w:rPr>
          <w:color w:val="000000"/>
        </w:rPr>
        <w:t xml:space="preserve"> hours (currently approved </w:t>
      </w:r>
      <w:r w:rsidR="008E41F6">
        <w:rPr>
          <w:color w:val="000000"/>
        </w:rPr>
        <w:t>220,658</w:t>
      </w:r>
      <w:r w:rsidR="00B14B61">
        <w:rPr>
          <w:color w:val="000000"/>
        </w:rPr>
        <w:t xml:space="preserve">) and a corresponding increase of </w:t>
      </w:r>
      <w:r w:rsidR="00771094">
        <w:rPr>
          <w:color w:val="000000"/>
        </w:rPr>
        <w:t xml:space="preserve">22,400 </w:t>
      </w:r>
      <w:r w:rsidRPr="00EA222F">
        <w:rPr>
          <w:color w:val="000000"/>
        </w:rPr>
        <w:t xml:space="preserve">annual responses (currently approved </w:t>
      </w:r>
      <w:r w:rsidR="00771094">
        <w:rPr>
          <w:color w:val="000000"/>
        </w:rPr>
        <w:t>16,852</w:t>
      </w:r>
      <w:r w:rsidRPr="00EA222F">
        <w:rPr>
          <w:color w:val="000000"/>
        </w:rPr>
        <w:t xml:space="preserve">).  The new estimated totals are </w:t>
      </w:r>
      <w:r w:rsidR="00771094">
        <w:rPr>
          <w:color w:val="000000"/>
        </w:rPr>
        <w:t>314,736</w:t>
      </w:r>
      <w:r w:rsidRPr="00EA222F">
        <w:rPr>
          <w:color w:val="000000"/>
        </w:rPr>
        <w:t xml:space="preserve"> hours and </w:t>
      </w:r>
      <w:r w:rsidR="00771094">
        <w:rPr>
          <w:color w:val="000000"/>
        </w:rPr>
        <w:t>39,252</w:t>
      </w:r>
      <w:r w:rsidRPr="00EA222F">
        <w:rPr>
          <w:color w:val="000000"/>
        </w:rPr>
        <w:t xml:space="preserve"> annual responses</w:t>
      </w:r>
      <w:r w:rsidR="00AE7A14">
        <w:rPr>
          <w:color w:val="000000"/>
        </w:rPr>
        <w:t xml:space="preserve"> (as shown in table 6)</w:t>
      </w:r>
      <w:r w:rsidRPr="00EA222F">
        <w:rPr>
          <w:color w:val="000000"/>
        </w:rPr>
        <w:t>. We attribute this adjustment to the</w:t>
      </w:r>
      <w:r w:rsidRPr="00EA222F" w:rsidR="00AC4A03">
        <w:rPr>
          <w:color w:val="000000"/>
        </w:rPr>
        <w:t xml:space="preserve"> number of EA submissions</w:t>
      </w:r>
      <w:r w:rsidR="00AC4A03">
        <w:rPr>
          <w:color w:val="000000"/>
        </w:rPr>
        <w:t>, and categorical exclusions</w:t>
      </w:r>
      <w:r w:rsidRPr="00EA222F" w:rsidR="00AC4A03">
        <w:rPr>
          <w:color w:val="000000"/>
        </w:rPr>
        <w:t xml:space="preserve"> we re</w:t>
      </w:r>
      <w:r w:rsidR="00AC4A03">
        <w:rPr>
          <w:color w:val="000000"/>
        </w:rPr>
        <w:t xml:space="preserve">ceived since the last extension, and the </w:t>
      </w:r>
      <w:r w:rsidR="00601886">
        <w:rPr>
          <w:color w:val="000000"/>
        </w:rPr>
        <w:t>adjustment of burden for the agencies centers.</w:t>
      </w:r>
    </w:p>
    <w:p w:rsidRPr="00290E45" w:rsidR="00A17042" w:rsidP="005B700D" w:rsidRDefault="00A17042" w14:paraId="5C7B1AFA" w14:textId="77777777">
      <w:pPr>
        <w:ind w:left="720"/>
        <w:rPr>
          <w:color w:val="000000"/>
        </w:rPr>
      </w:pPr>
    </w:p>
    <w:p w:rsidRPr="00290E45" w:rsidR="005B700D" w:rsidP="005B700D" w:rsidRDefault="005B700D" w14:paraId="79C6D623" w14:textId="77777777">
      <w:pPr>
        <w:ind w:left="720"/>
        <w:rPr>
          <w:color w:val="000000"/>
        </w:rPr>
      </w:pPr>
      <w:r w:rsidRPr="00290E45">
        <w:rPr>
          <w:color w:val="000000"/>
        </w:rPr>
        <w:t>A summary of changes to burden is as follows:</w:t>
      </w:r>
    </w:p>
    <w:p w:rsidRPr="00290E45" w:rsidR="005B700D" w:rsidP="005B700D" w:rsidRDefault="005B700D" w14:paraId="5C11FD71" w14:textId="77777777">
      <w:pPr>
        <w:ind w:left="720"/>
        <w:rPr>
          <w:color w:val="000000"/>
        </w:rPr>
      </w:pPr>
    </w:p>
    <w:p w:rsidRPr="00290E45" w:rsidR="005B700D" w:rsidP="005B700D" w:rsidRDefault="005B700D" w14:paraId="3934B44A" w14:textId="33E2F834">
      <w:pPr>
        <w:ind w:left="720"/>
        <w:rPr>
          <w:color w:val="000000"/>
        </w:rPr>
      </w:pPr>
      <w:r w:rsidRPr="00290E45">
        <w:rPr>
          <w:color w:val="000000"/>
        </w:rPr>
        <w:t xml:space="preserve">In reporting burden for Human Drugs, table 1, the net </w:t>
      </w:r>
      <w:r w:rsidRPr="00290E45" w:rsidR="00A22280">
        <w:rPr>
          <w:color w:val="000000"/>
        </w:rPr>
        <w:t xml:space="preserve">increase </w:t>
      </w:r>
      <w:r w:rsidRPr="00290E45">
        <w:rPr>
          <w:color w:val="000000"/>
        </w:rPr>
        <w:t>in burden is</w:t>
      </w:r>
      <w:r w:rsidR="000C12A6">
        <w:rPr>
          <w:color w:val="000000"/>
        </w:rPr>
        <w:t xml:space="preserve"> </w:t>
      </w:r>
      <w:r w:rsidR="00FB38F8">
        <w:rPr>
          <w:color w:val="000000"/>
        </w:rPr>
        <w:t>62,088</w:t>
      </w:r>
      <w:r w:rsidRPr="00290E45">
        <w:rPr>
          <w:color w:val="000000"/>
        </w:rPr>
        <w:t xml:space="preserve"> hours.  The number of respondents submitting categorical exclusions is expected to </w:t>
      </w:r>
      <w:r w:rsidR="00FB38F8">
        <w:rPr>
          <w:color w:val="000000"/>
        </w:rPr>
        <w:t>increase</w:t>
      </w:r>
      <w:r w:rsidRPr="00290E45">
        <w:rPr>
          <w:color w:val="000000"/>
        </w:rPr>
        <w:t xml:space="preserve"> by </w:t>
      </w:r>
      <w:r w:rsidR="002574FD">
        <w:rPr>
          <w:color w:val="000000"/>
        </w:rPr>
        <w:t>1,462</w:t>
      </w:r>
      <w:r w:rsidRPr="00290E45" w:rsidR="00A22280">
        <w:rPr>
          <w:color w:val="000000"/>
        </w:rPr>
        <w:t>,</w:t>
      </w:r>
      <w:r w:rsidRPr="00290E45">
        <w:rPr>
          <w:color w:val="000000"/>
        </w:rPr>
        <w:t xml:space="preserve"> and </w:t>
      </w:r>
      <w:r w:rsidR="00C9338A">
        <w:rPr>
          <w:color w:val="000000"/>
        </w:rPr>
        <w:t>the responses per respondent has increase slightly</w:t>
      </w:r>
      <w:r w:rsidRPr="00290E45">
        <w:rPr>
          <w:color w:val="000000"/>
        </w:rPr>
        <w:t xml:space="preserve">, resulting in an increase of </w:t>
      </w:r>
      <w:r w:rsidR="002574FD">
        <w:rPr>
          <w:color w:val="000000"/>
        </w:rPr>
        <w:t>51,888</w:t>
      </w:r>
      <w:r w:rsidRPr="00290E45">
        <w:rPr>
          <w:color w:val="000000"/>
        </w:rPr>
        <w:t xml:space="preserve"> burden hours.</w:t>
      </w:r>
      <w:r w:rsidRPr="00290E45" w:rsidR="00A22280">
        <w:rPr>
          <w:color w:val="000000"/>
        </w:rPr>
        <w:t xml:space="preserve"> In addition, </w:t>
      </w:r>
      <w:r w:rsidRPr="00290E45">
        <w:rPr>
          <w:color w:val="000000"/>
        </w:rPr>
        <w:t>the number of</w:t>
      </w:r>
      <w:r w:rsidR="00E62D27">
        <w:rPr>
          <w:color w:val="000000"/>
        </w:rPr>
        <w:t xml:space="preserve"> EAs</w:t>
      </w:r>
      <w:r w:rsidRPr="00290E45">
        <w:rPr>
          <w:color w:val="000000"/>
        </w:rPr>
        <w:t xml:space="preserve"> is expected to </w:t>
      </w:r>
      <w:r w:rsidR="007B2AD4">
        <w:rPr>
          <w:color w:val="000000"/>
        </w:rPr>
        <w:t xml:space="preserve">increase by 4, and the responses per respondent has decreased </w:t>
      </w:r>
      <w:r w:rsidR="008A76FD">
        <w:rPr>
          <w:color w:val="000000"/>
        </w:rPr>
        <w:t>slightly</w:t>
      </w:r>
      <w:r w:rsidR="007B2AD4">
        <w:rPr>
          <w:color w:val="000000"/>
        </w:rPr>
        <w:t>, re</w:t>
      </w:r>
      <w:r w:rsidR="00392830">
        <w:rPr>
          <w:color w:val="000000"/>
        </w:rPr>
        <w:t>sulting in an increase o</w:t>
      </w:r>
      <w:r w:rsidR="00125932">
        <w:rPr>
          <w:color w:val="000000"/>
        </w:rPr>
        <w:t>f 10,200 burden hours.</w:t>
      </w:r>
      <w:r w:rsidR="00392830">
        <w:rPr>
          <w:color w:val="000000"/>
        </w:rPr>
        <w:t xml:space="preserve"> </w:t>
      </w:r>
      <w:r w:rsidRPr="00290E45">
        <w:rPr>
          <w:color w:val="000000"/>
        </w:rPr>
        <w:t xml:space="preserve"> </w:t>
      </w:r>
    </w:p>
    <w:p w:rsidRPr="00290E45" w:rsidR="00910F52" w:rsidP="00BE5841" w:rsidRDefault="00910F52" w14:paraId="35F5455D" w14:textId="77777777">
      <w:pPr>
        <w:rPr>
          <w:color w:val="000000"/>
        </w:rPr>
      </w:pPr>
    </w:p>
    <w:p w:rsidRPr="00290E45" w:rsidR="005B700D" w:rsidP="005B700D" w:rsidRDefault="005B700D" w14:paraId="1D72C965" w14:textId="3B809470">
      <w:pPr>
        <w:ind w:left="720"/>
        <w:rPr>
          <w:color w:val="000000"/>
        </w:rPr>
      </w:pPr>
      <w:r w:rsidRPr="00290E45">
        <w:rPr>
          <w:color w:val="000000"/>
        </w:rPr>
        <w:t>In reporting bur</w:t>
      </w:r>
      <w:r w:rsidR="00910F52">
        <w:rPr>
          <w:color w:val="000000"/>
        </w:rPr>
        <w:t>den for Medical Devices, table 2</w:t>
      </w:r>
      <w:r w:rsidR="002924D0">
        <w:rPr>
          <w:color w:val="000000"/>
        </w:rPr>
        <w:t>,</w:t>
      </w:r>
      <w:r w:rsidR="00AF54CA">
        <w:rPr>
          <w:color w:val="000000"/>
        </w:rPr>
        <w:t xml:space="preserve"> </w:t>
      </w:r>
      <w:r w:rsidRPr="00290E45" w:rsidR="00AF54CA">
        <w:rPr>
          <w:color w:val="000000"/>
        </w:rPr>
        <w:t>the net increase in burden is</w:t>
      </w:r>
      <w:r w:rsidR="00AF54CA">
        <w:rPr>
          <w:color w:val="000000"/>
        </w:rPr>
        <w:t xml:space="preserve"> 72</w:t>
      </w:r>
      <w:r w:rsidRPr="00290E45" w:rsidR="00AF54CA">
        <w:rPr>
          <w:color w:val="000000"/>
        </w:rPr>
        <w:t xml:space="preserve"> hours.</w:t>
      </w:r>
      <w:r w:rsidR="002924D0">
        <w:rPr>
          <w:color w:val="000000"/>
        </w:rPr>
        <w:t xml:space="preserve"> </w:t>
      </w:r>
      <w:r w:rsidR="004F6AEF">
        <w:rPr>
          <w:color w:val="000000"/>
        </w:rPr>
        <w:t>The</w:t>
      </w:r>
      <w:r w:rsidRPr="00290E45">
        <w:rPr>
          <w:color w:val="000000"/>
        </w:rPr>
        <w:t xml:space="preserve"> number of respondents submitting categorical exclusions is expected </w:t>
      </w:r>
      <w:r w:rsidRPr="00290E45" w:rsidR="00A22280">
        <w:rPr>
          <w:color w:val="000000"/>
        </w:rPr>
        <w:t xml:space="preserve">to </w:t>
      </w:r>
      <w:r w:rsidR="002924D0">
        <w:rPr>
          <w:color w:val="000000"/>
        </w:rPr>
        <w:t>increase</w:t>
      </w:r>
      <w:r w:rsidRPr="00290E45" w:rsidR="00A22280">
        <w:rPr>
          <w:color w:val="000000"/>
        </w:rPr>
        <w:t xml:space="preserve"> </w:t>
      </w:r>
      <w:r w:rsidRPr="00290E45">
        <w:rPr>
          <w:color w:val="000000"/>
        </w:rPr>
        <w:t xml:space="preserve">by </w:t>
      </w:r>
      <w:r w:rsidR="00AF54CA">
        <w:rPr>
          <w:color w:val="000000"/>
        </w:rPr>
        <w:t>12</w:t>
      </w:r>
      <w:r w:rsidRPr="00290E45">
        <w:rPr>
          <w:color w:val="000000"/>
        </w:rPr>
        <w:t xml:space="preserve">, resulting in </w:t>
      </w:r>
      <w:r w:rsidRPr="00290E45" w:rsidR="002924D0">
        <w:rPr>
          <w:color w:val="000000"/>
        </w:rPr>
        <w:t>an</w:t>
      </w:r>
      <w:r w:rsidRPr="00290E45" w:rsidR="00A22280">
        <w:rPr>
          <w:color w:val="000000"/>
        </w:rPr>
        <w:t xml:space="preserve"> </w:t>
      </w:r>
      <w:r w:rsidR="002924D0">
        <w:rPr>
          <w:color w:val="000000"/>
        </w:rPr>
        <w:t>increase</w:t>
      </w:r>
      <w:r w:rsidRPr="00290E45" w:rsidR="002924D0">
        <w:rPr>
          <w:color w:val="000000"/>
        </w:rPr>
        <w:t xml:space="preserve"> </w:t>
      </w:r>
      <w:r w:rsidR="002924D0">
        <w:rPr>
          <w:color w:val="000000"/>
        </w:rPr>
        <w:t xml:space="preserve">of </w:t>
      </w:r>
      <w:r w:rsidR="00AF54CA">
        <w:rPr>
          <w:color w:val="000000"/>
        </w:rPr>
        <w:t>72</w:t>
      </w:r>
      <w:r w:rsidRPr="00290E45" w:rsidR="00AF54CA">
        <w:rPr>
          <w:color w:val="000000"/>
        </w:rPr>
        <w:t xml:space="preserve"> </w:t>
      </w:r>
      <w:r w:rsidR="0030059C">
        <w:rPr>
          <w:color w:val="000000"/>
        </w:rPr>
        <w:t xml:space="preserve">burden </w:t>
      </w:r>
      <w:r w:rsidRPr="00290E45" w:rsidR="002924D0">
        <w:rPr>
          <w:color w:val="000000"/>
        </w:rPr>
        <w:t>hours</w:t>
      </w:r>
      <w:r w:rsidR="002924D0">
        <w:rPr>
          <w:color w:val="000000"/>
        </w:rPr>
        <w:t>.</w:t>
      </w:r>
    </w:p>
    <w:p w:rsidRPr="00290E45" w:rsidR="005B700D" w:rsidP="005B700D" w:rsidRDefault="005B700D" w14:paraId="57A4DB8A" w14:textId="77777777">
      <w:pPr>
        <w:ind w:left="720"/>
        <w:rPr>
          <w:color w:val="000000"/>
        </w:rPr>
      </w:pPr>
    </w:p>
    <w:p w:rsidR="00B31B1F" w:rsidP="00AC4A03" w:rsidRDefault="00B31B1F" w14:paraId="6A8731A5" w14:textId="087CED24">
      <w:pPr>
        <w:ind w:left="720"/>
        <w:rPr>
          <w:color w:val="000000"/>
        </w:rPr>
      </w:pPr>
      <w:r w:rsidRPr="00B31B1F">
        <w:rPr>
          <w:color w:val="000000"/>
        </w:rPr>
        <w:t xml:space="preserve">In reporting burden </w:t>
      </w:r>
      <w:r>
        <w:rPr>
          <w:color w:val="000000"/>
        </w:rPr>
        <w:t>for Biological Products, table 3</w:t>
      </w:r>
      <w:r w:rsidRPr="00B31B1F">
        <w:rPr>
          <w:color w:val="000000"/>
        </w:rPr>
        <w:t xml:space="preserve">, the </w:t>
      </w:r>
      <w:r w:rsidR="004F6AEF">
        <w:rPr>
          <w:color w:val="000000"/>
        </w:rPr>
        <w:t>net increase is 60,048</w:t>
      </w:r>
      <w:r w:rsidRPr="00B31B1F">
        <w:rPr>
          <w:color w:val="000000"/>
        </w:rPr>
        <w:t xml:space="preserve"> burden hours. The number of respondents submitting categorical exclusions</w:t>
      </w:r>
      <w:r w:rsidR="004F6AEF">
        <w:rPr>
          <w:color w:val="000000"/>
        </w:rPr>
        <w:t xml:space="preserve"> is expected to increase by</w:t>
      </w:r>
      <w:r w:rsidR="00A5606F">
        <w:rPr>
          <w:color w:val="000000"/>
        </w:rPr>
        <w:t xml:space="preserve"> 3,328, resulting in an increase</w:t>
      </w:r>
      <w:r w:rsidR="008D43DB">
        <w:rPr>
          <w:color w:val="000000"/>
        </w:rPr>
        <w:t xml:space="preserve"> of 53,248 burden hours.</w:t>
      </w:r>
      <w:r w:rsidRPr="00B31B1F">
        <w:rPr>
          <w:color w:val="000000"/>
        </w:rPr>
        <w:t xml:space="preserve"> </w:t>
      </w:r>
      <w:r w:rsidR="008D43DB">
        <w:rPr>
          <w:color w:val="000000"/>
        </w:rPr>
        <w:t xml:space="preserve">In addition, </w:t>
      </w:r>
      <w:r w:rsidR="00663F3E">
        <w:rPr>
          <w:color w:val="000000"/>
        </w:rPr>
        <w:t>the</w:t>
      </w:r>
      <w:r w:rsidRPr="00B31B1F" w:rsidR="00663F3E">
        <w:rPr>
          <w:color w:val="000000"/>
        </w:rPr>
        <w:t xml:space="preserve"> number</w:t>
      </w:r>
      <w:r w:rsidRPr="00B31B1F">
        <w:rPr>
          <w:color w:val="000000"/>
        </w:rPr>
        <w:t xml:space="preserve"> of </w:t>
      </w:r>
      <w:r w:rsidR="008D43DB">
        <w:rPr>
          <w:color w:val="000000"/>
        </w:rPr>
        <w:t>EA</w:t>
      </w:r>
      <w:r w:rsidRPr="00B31B1F">
        <w:rPr>
          <w:color w:val="000000"/>
        </w:rPr>
        <w:t>s</w:t>
      </w:r>
      <w:r w:rsidR="004927B6">
        <w:rPr>
          <w:color w:val="000000"/>
        </w:rPr>
        <w:t xml:space="preserve"> is expected</w:t>
      </w:r>
      <w:r w:rsidR="00FB118E">
        <w:rPr>
          <w:color w:val="000000"/>
        </w:rPr>
        <w:t xml:space="preserve"> to increase</w:t>
      </w:r>
      <w:r w:rsidR="005E3C62">
        <w:rPr>
          <w:color w:val="000000"/>
        </w:rPr>
        <w:t xml:space="preserve"> by</w:t>
      </w:r>
      <w:r w:rsidR="0030059C">
        <w:rPr>
          <w:color w:val="000000"/>
        </w:rPr>
        <w:t xml:space="preserve"> </w:t>
      </w:r>
      <w:r w:rsidR="005E3C62">
        <w:rPr>
          <w:color w:val="000000"/>
        </w:rPr>
        <w:t>2, resulting in an increase of 6,800 burden hours.</w:t>
      </w:r>
    </w:p>
    <w:p w:rsidR="00AC4A03" w:rsidP="00AC4A03" w:rsidRDefault="00AC4A03" w14:paraId="5F887216" w14:textId="77777777">
      <w:pPr>
        <w:ind w:left="720"/>
        <w:rPr>
          <w:color w:val="000000"/>
        </w:rPr>
      </w:pPr>
    </w:p>
    <w:p w:rsidRPr="00290E45" w:rsidR="005B700D" w:rsidP="00F81B91" w:rsidRDefault="005B700D" w14:paraId="108DAC75" w14:textId="579CF0EB">
      <w:pPr>
        <w:ind w:left="720"/>
        <w:rPr>
          <w:color w:val="000000"/>
        </w:rPr>
      </w:pPr>
      <w:r w:rsidRPr="00290E45">
        <w:rPr>
          <w:color w:val="000000"/>
        </w:rPr>
        <w:t xml:space="preserve">In reporting </w:t>
      </w:r>
      <w:r w:rsidR="00B31B1F">
        <w:rPr>
          <w:color w:val="000000"/>
        </w:rPr>
        <w:t>burden for Animal Drugs, table 4</w:t>
      </w:r>
      <w:r w:rsidRPr="00290E45">
        <w:rPr>
          <w:color w:val="000000"/>
        </w:rPr>
        <w:t>,</w:t>
      </w:r>
      <w:r w:rsidR="00177979">
        <w:rPr>
          <w:color w:val="000000"/>
        </w:rPr>
        <w:t xml:space="preserve"> the net </w:t>
      </w:r>
      <w:r w:rsidR="00905191">
        <w:rPr>
          <w:color w:val="000000"/>
        </w:rPr>
        <w:t>decrease in burden is 27,090.</w:t>
      </w:r>
      <w:r w:rsidRPr="00290E45">
        <w:rPr>
          <w:color w:val="000000"/>
        </w:rPr>
        <w:t xml:space="preserve"> </w:t>
      </w:r>
      <w:r w:rsidR="00905191">
        <w:rPr>
          <w:color w:val="000000"/>
        </w:rPr>
        <w:t>The</w:t>
      </w:r>
      <w:r w:rsidRPr="00290E45" w:rsidR="00F81B91">
        <w:rPr>
          <w:color w:val="000000"/>
        </w:rPr>
        <w:t xml:space="preserve"> number of respondents submitting categorical exclusions</w:t>
      </w:r>
      <w:r w:rsidR="00AC4A03">
        <w:rPr>
          <w:color w:val="000000"/>
        </w:rPr>
        <w:t xml:space="preserve"> has increased by </w:t>
      </w:r>
      <w:r w:rsidR="00B10F84">
        <w:rPr>
          <w:color w:val="000000"/>
        </w:rPr>
        <w:t>33, resulting in an increase of 990 burden hours</w:t>
      </w:r>
      <w:r w:rsidR="007E473D">
        <w:rPr>
          <w:color w:val="000000"/>
        </w:rPr>
        <w:t>.</w:t>
      </w:r>
      <w:r w:rsidR="00B10F84">
        <w:rPr>
          <w:color w:val="000000"/>
        </w:rPr>
        <w:t xml:space="preserve"> T</w:t>
      </w:r>
      <w:r w:rsidRPr="00290E45" w:rsidR="00F81B91">
        <w:rPr>
          <w:color w:val="000000"/>
        </w:rPr>
        <w:t xml:space="preserve">he numbers of </w:t>
      </w:r>
      <w:r w:rsidR="00B10F84">
        <w:rPr>
          <w:color w:val="000000"/>
        </w:rPr>
        <w:t>EAs</w:t>
      </w:r>
      <w:r w:rsidR="00AC4A03">
        <w:rPr>
          <w:color w:val="000000"/>
        </w:rPr>
        <w:t xml:space="preserve"> </w:t>
      </w:r>
      <w:r w:rsidR="00601886">
        <w:rPr>
          <w:color w:val="000000"/>
        </w:rPr>
        <w:t>have</w:t>
      </w:r>
      <w:r w:rsidR="00AC4A03">
        <w:rPr>
          <w:color w:val="000000"/>
        </w:rPr>
        <w:t xml:space="preserve"> </w:t>
      </w:r>
      <w:r w:rsidR="00B10F84">
        <w:rPr>
          <w:color w:val="000000"/>
        </w:rPr>
        <w:t xml:space="preserve">decreased </w:t>
      </w:r>
      <w:r w:rsidR="00AC4A03">
        <w:rPr>
          <w:color w:val="000000"/>
        </w:rPr>
        <w:t>by 1</w:t>
      </w:r>
      <w:r w:rsidR="00B10F84">
        <w:rPr>
          <w:color w:val="000000"/>
        </w:rPr>
        <w:t>3</w:t>
      </w:r>
      <w:r w:rsidR="00AC4A03">
        <w:rPr>
          <w:color w:val="000000"/>
        </w:rPr>
        <w:t xml:space="preserve"> respondent</w:t>
      </w:r>
      <w:r w:rsidR="002E6E73">
        <w:rPr>
          <w:color w:val="000000"/>
        </w:rPr>
        <w:t xml:space="preserve">, resulting </w:t>
      </w:r>
      <w:r w:rsidR="00C8253B">
        <w:rPr>
          <w:color w:val="000000"/>
        </w:rPr>
        <w:t>in a decrease of</w:t>
      </w:r>
      <w:r w:rsidR="007E473D">
        <w:rPr>
          <w:color w:val="000000"/>
        </w:rPr>
        <w:t xml:space="preserve"> </w:t>
      </w:r>
      <w:r w:rsidR="00C8253B">
        <w:rPr>
          <w:color w:val="000000"/>
        </w:rPr>
        <w:t>28,080 burden</w:t>
      </w:r>
      <w:r w:rsidR="00AC4A03">
        <w:rPr>
          <w:color w:val="000000"/>
        </w:rPr>
        <w:t xml:space="preserve"> hours. </w:t>
      </w:r>
    </w:p>
    <w:p w:rsidRPr="00290E45" w:rsidR="005B700D" w:rsidP="005B700D" w:rsidRDefault="005B700D" w14:paraId="261DBEA6" w14:textId="77777777">
      <w:pPr>
        <w:ind w:left="720"/>
        <w:rPr>
          <w:color w:val="000000"/>
        </w:rPr>
      </w:pPr>
    </w:p>
    <w:p w:rsidR="005B700D" w:rsidP="005B700D" w:rsidRDefault="005B700D" w14:paraId="35BE2038" w14:textId="4969ED13">
      <w:pPr>
        <w:ind w:left="720"/>
        <w:rPr>
          <w:color w:val="000000"/>
        </w:rPr>
      </w:pPr>
      <w:r w:rsidRPr="00290E45">
        <w:rPr>
          <w:color w:val="000000"/>
        </w:rPr>
        <w:t>In reporting for Tobacco Produc</w:t>
      </w:r>
      <w:r w:rsidR="00AC4A03">
        <w:rPr>
          <w:color w:val="000000"/>
        </w:rPr>
        <w:t>ts, table 5</w:t>
      </w:r>
      <w:r w:rsidRPr="00290E45">
        <w:rPr>
          <w:color w:val="000000"/>
        </w:rPr>
        <w:t xml:space="preserve">, </w:t>
      </w:r>
      <w:r w:rsidR="001E52CC">
        <w:rPr>
          <w:color w:val="000000"/>
        </w:rPr>
        <w:t xml:space="preserve">the net decrease </w:t>
      </w:r>
      <w:r w:rsidR="00EF467F">
        <w:rPr>
          <w:color w:val="000000"/>
        </w:rPr>
        <w:t>in burden is</w:t>
      </w:r>
      <w:r w:rsidR="001E52CC">
        <w:rPr>
          <w:color w:val="000000"/>
        </w:rPr>
        <w:t xml:space="preserve"> 1,040</w:t>
      </w:r>
      <w:r w:rsidR="00EF467F">
        <w:rPr>
          <w:color w:val="000000"/>
        </w:rPr>
        <w:t>.</w:t>
      </w:r>
      <w:r w:rsidR="001E52CC">
        <w:rPr>
          <w:color w:val="000000"/>
        </w:rPr>
        <w:t xml:space="preserve"> </w:t>
      </w:r>
      <w:r w:rsidR="00EF467F">
        <w:rPr>
          <w:color w:val="000000"/>
        </w:rPr>
        <w:t>The</w:t>
      </w:r>
      <w:r w:rsidRPr="00290E45">
        <w:rPr>
          <w:color w:val="000000"/>
        </w:rPr>
        <w:t xml:space="preserve"> number of respondents submitting environmental assessments</w:t>
      </w:r>
      <w:r w:rsidRPr="00290E45" w:rsidR="00F81B91">
        <w:rPr>
          <w:color w:val="000000"/>
        </w:rPr>
        <w:t xml:space="preserve"> is expected to</w:t>
      </w:r>
      <w:r w:rsidRPr="00E171A0" w:rsidR="0069676B">
        <w:rPr>
          <w:color w:val="000000"/>
        </w:rPr>
        <w:t xml:space="preserve"> </w:t>
      </w:r>
      <w:r w:rsidR="00AC4A03">
        <w:rPr>
          <w:color w:val="000000"/>
        </w:rPr>
        <w:t xml:space="preserve">decrease by </w:t>
      </w:r>
      <w:r w:rsidR="00EF467F">
        <w:rPr>
          <w:color w:val="000000"/>
        </w:rPr>
        <w:t>13</w:t>
      </w:r>
      <w:r w:rsidRPr="00290E45">
        <w:rPr>
          <w:color w:val="000000"/>
        </w:rPr>
        <w:t>, res</w:t>
      </w:r>
      <w:r w:rsidR="00AC4A03">
        <w:rPr>
          <w:color w:val="000000"/>
        </w:rPr>
        <w:t>ulting in a burden hour decrease of</w:t>
      </w:r>
      <w:r w:rsidRPr="00290E45">
        <w:rPr>
          <w:color w:val="000000"/>
        </w:rPr>
        <w:t xml:space="preserve"> </w:t>
      </w:r>
      <w:r w:rsidR="00EF467F">
        <w:rPr>
          <w:color w:val="000000"/>
        </w:rPr>
        <w:t xml:space="preserve">1,040 burden </w:t>
      </w:r>
      <w:r w:rsidRPr="00290E45">
        <w:rPr>
          <w:color w:val="000000"/>
        </w:rPr>
        <w:t xml:space="preserve">hours. </w:t>
      </w:r>
    </w:p>
    <w:p w:rsidR="00F94249" w:rsidP="005B700D" w:rsidRDefault="00F94249" w14:paraId="7FB8CAB0" w14:textId="6F44CB81">
      <w:pPr>
        <w:ind w:left="720"/>
        <w:rPr>
          <w:color w:val="000000"/>
        </w:rPr>
      </w:pPr>
    </w:p>
    <w:p w:rsidR="00F94249" w:rsidP="005B700D" w:rsidRDefault="00F94249" w14:paraId="3D400096" w14:textId="5B63438C">
      <w:pPr>
        <w:ind w:left="720"/>
        <w:rPr>
          <w:color w:val="000000"/>
        </w:rPr>
      </w:pPr>
    </w:p>
    <w:p w:rsidR="00F94249" w:rsidP="005B700D" w:rsidRDefault="00F94249" w14:paraId="0A232F86" w14:textId="77777777">
      <w:pPr>
        <w:ind w:left="720"/>
        <w:rPr>
          <w:color w:val="000000"/>
        </w:rPr>
      </w:pPr>
    </w:p>
    <w:p w:rsidRPr="00290E45" w:rsidR="004C6979" w:rsidP="00EB7538" w:rsidRDefault="00EB7538" w14:paraId="06685F76" w14:textId="77777777">
      <w:pPr>
        <w:numPr>
          <w:ilvl w:val="0"/>
          <w:numId w:val="1"/>
        </w:numPr>
        <w:spacing w:before="100" w:beforeAutospacing="1" w:after="100" w:afterAutospacing="1"/>
        <w:rPr>
          <w:color w:val="000000"/>
          <w:u w:val="single"/>
        </w:rPr>
      </w:pPr>
      <w:r w:rsidRPr="00290E45">
        <w:rPr>
          <w:color w:val="000000"/>
          <w:u w:val="single"/>
        </w:rPr>
        <w:t>Plans for Tabulation and Publication and Project Time Schedule</w:t>
      </w:r>
    </w:p>
    <w:p w:rsidRPr="00290E45" w:rsidR="003C4EBB" w:rsidP="003C4EBB" w:rsidRDefault="00E333D2" w14:paraId="6D22DF0C" w14:textId="77777777">
      <w:pPr>
        <w:ind w:left="720"/>
        <w:rPr>
          <w:color w:val="000000"/>
        </w:rPr>
      </w:pPr>
      <w:r w:rsidRPr="00290E45">
        <w:rPr>
          <w:color w:val="000000"/>
        </w:rPr>
        <w:t>FDA does not intend to publish tabulated results of the information collection requirements that are imposed by 21 CFR part 25.</w:t>
      </w:r>
    </w:p>
    <w:p w:rsidRPr="00290E45" w:rsidR="004C6979" w:rsidP="00EB7538" w:rsidRDefault="00EB7538" w14:paraId="6DD3BD80" w14:textId="77777777">
      <w:pPr>
        <w:numPr>
          <w:ilvl w:val="0"/>
          <w:numId w:val="1"/>
        </w:numPr>
        <w:spacing w:before="100" w:beforeAutospacing="1" w:after="100" w:afterAutospacing="1"/>
        <w:rPr>
          <w:color w:val="000000"/>
          <w:u w:val="single"/>
        </w:rPr>
      </w:pPr>
      <w:r w:rsidRPr="00290E45">
        <w:rPr>
          <w:color w:val="000000"/>
          <w:u w:val="single"/>
        </w:rPr>
        <w:lastRenderedPageBreak/>
        <w:t>Reason(s) Display of OMB Expiration Date is Inappropriate</w:t>
      </w:r>
    </w:p>
    <w:p w:rsidRPr="00290E45" w:rsidR="004C6979" w:rsidP="00D730BF" w:rsidRDefault="00E333D2" w14:paraId="6F19D84D" w14:textId="77777777">
      <w:pPr>
        <w:ind w:left="720"/>
        <w:rPr>
          <w:color w:val="000000"/>
        </w:rPr>
      </w:pPr>
      <w:r w:rsidRPr="00290E45">
        <w:rPr>
          <w:color w:val="000000"/>
        </w:rPr>
        <w:t>There are no forms associated with this collection.</w:t>
      </w:r>
    </w:p>
    <w:p w:rsidRPr="00290E45" w:rsidR="00EB7538" w:rsidP="00EB7538" w:rsidRDefault="00EB7538" w14:paraId="4D8BE51A" w14:textId="77777777">
      <w:pPr>
        <w:numPr>
          <w:ilvl w:val="0"/>
          <w:numId w:val="1"/>
        </w:numPr>
        <w:spacing w:before="100" w:beforeAutospacing="1" w:after="100" w:afterAutospacing="1"/>
        <w:rPr>
          <w:color w:val="000000"/>
          <w:u w:val="single"/>
        </w:rPr>
      </w:pPr>
      <w:r w:rsidRPr="00290E45">
        <w:rPr>
          <w:color w:val="000000"/>
          <w:u w:val="single"/>
        </w:rPr>
        <w:t>Exceptions to Certification for Paperwork Reduction Act Submissions</w:t>
      </w:r>
    </w:p>
    <w:p w:rsidRPr="00290E45" w:rsidR="002746DB" w:rsidP="00E333D2" w:rsidRDefault="00E333D2" w14:paraId="0AE0FC47" w14:textId="77777777">
      <w:pPr>
        <w:spacing w:before="100" w:beforeAutospacing="1" w:after="100" w:afterAutospacing="1"/>
        <w:ind w:left="720"/>
        <w:rPr>
          <w:color w:val="000000"/>
        </w:rPr>
      </w:pPr>
      <w:r w:rsidRPr="00290E45">
        <w:rPr>
          <w:color w:val="000000"/>
        </w:rPr>
        <w:t>T</w:t>
      </w:r>
      <w:r w:rsidRPr="00290E45" w:rsidR="00754497">
        <w:rPr>
          <w:color w:val="000000"/>
        </w:rPr>
        <w:t>here are no exceptions to the certification.</w:t>
      </w:r>
      <w:r w:rsidRPr="00290E45" w:rsidR="004C6979">
        <w:rPr>
          <w:color w:val="000000"/>
        </w:rPr>
        <w:t xml:space="preserve"> </w:t>
      </w:r>
    </w:p>
    <w:sectPr w:rsidRPr="00290E45" w:rsidR="002746DB" w:rsidSect="00EB753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E3F82" w14:textId="77777777" w:rsidR="005C5EAA" w:rsidRDefault="005C5EAA" w:rsidP="00154114">
      <w:r>
        <w:separator/>
      </w:r>
    </w:p>
  </w:endnote>
  <w:endnote w:type="continuationSeparator" w:id="0">
    <w:p w14:paraId="6E775575" w14:textId="77777777" w:rsidR="005C5EAA" w:rsidRDefault="005C5EAA" w:rsidP="0015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ADD7F" w14:textId="77777777" w:rsidR="005C5EAA" w:rsidRDefault="005C5EAA" w:rsidP="00154114">
      <w:r>
        <w:separator/>
      </w:r>
    </w:p>
  </w:footnote>
  <w:footnote w:type="continuationSeparator" w:id="0">
    <w:p w14:paraId="5028158B" w14:textId="77777777" w:rsidR="005C5EAA" w:rsidRDefault="005C5EAA" w:rsidP="00154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8C53C7D"/>
    <w:multiLevelType w:val="hybridMultilevel"/>
    <w:tmpl w:val="44664CAC"/>
    <w:lvl w:ilvl="0" w:tplc="D91C8E58">
      <w:start w:val="91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B8A3015"/>
    <w:multiLevelType w:val="hybridMultilevel"/>
    <w:tmpl w:val="A0F6A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4"/>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8"/>
  </w:num>
  <w:num w:numId="5">
    <w:abstractNumId w:val="6"/>
  </w:num>
  <w:num w:numId="6">
    <w:abstractNumId w:val="20"/>
  </w:num>
  <w:num w:numId="7">
    <w:abstractNumId w:val="25"/>
  </w:num>
  <w:num w:numId="8">
    <w:abstractNumId w:val="2"/>
  </w:num>
  <w:num w:numId="9">
    <w:abstractNumId w:val="21"/>
  </w:num>
  <w:num w:numId="10">
    <w:abstractNumId w:val="17"/>
  </w:num>
  <w:num w:numId="11">
    <w:abstractNumId w:val="8"/>
  </w:num>
  <w:num w:numId="12">
    <w:abstractNumId w:val="28"/>
  </w:num>
  <w:num w:numId="13">
    <w:abstractNumId w:val="16"/>
  </w:num>
  <w:num w:numId="14">
    <w:abstractNumId w:val="7"/>
  </w:num>
  <w:num w:numId="15">
    <w:abstractNumId w:val="13"/>
  </w:num>
  <w:num w:numId="16">
    <w:abstractNumId w:val="12"/>
  </w:num>
  <w:num w:numId="17">
    <w:abstractNumId w:val="24"/>
  </w:num>
  <w:num w:numId="18">
    <w:abstractNumId w:val="27"/>
  </w:num>
  <w:num w:numId="19">
    <w:abstractNumId w:val="26"/>
  </w:num>
  <w:num w:numId="20">
    <w:abstractNumId w:val="15"/>
  </w:num>
  <w:num w:numId="21">
    <w:abstractNumId w:val="11"/>
  </w:num>
  <w:num w:numId="22">
    <w:abstractNumId w:val="1"/>
  </w:num>
  <w:num w:numId="23">
    <w:abstractNumId w:val="22"/>
  </w:num>
  <w:num w:numId="24">
    <w:abstractNumId w:val="19"/>
  </w:num>
  <w:num w:numId="25">
    <w:abstractNumId w:val="10"/>
  </w:num>
  <w:num w:numId="26">
    <w:abstractNumId w:val="5"/>
  </w:num>
  <w:num w:numId="27">
    <w:abstractNumId w:val="30"/>
  </w:num>
  <w:num w:numId="28">
    <w:abstractNumId w:val="23"/>
  </w:num>
  <w:num w:numId="29">
    <w:abstractNumId w:val="4"/>
  </w:num>
  <w:num w:numId="30">
    <w:abstractNumId w:val="29"/>
  </w:num>
  <w:num w:numId="3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538"/>
    <w:rsid w:val="00022DF2"/>
    <w:rsid w:val="00030C67"/>
    <w:rsid w:val="00041175"/>
    <w:rsid w:val="00041FBE"/>
    <w:rsid w:val="000467D3"/>
    <w:rsid w:val="000570BB"/>
    <w:rsid w:val="0006570F"/>
    <w:rsid w:val="000721FE"/>
    <w:rsid w:val="000822BA"/>
    <w:rsid w:val="00084FF1"/>
    <w:rsid w:val="0009252F"/>
    <w:rsid w:val="000B523E"/>
    <w:rsid w:val="000C12A6"/>
    <w:rsid w:val="000C1C98"/>
    <w:rsid w:val="000D4F8C"/>
    <w:rsid w:val="000E1A29"/>
    <w:rsid w:val="000E1C64"/>
    <w:rsid w:val="000E26AD"/>
    <w:rsid w:val="000F04DA"/>
    <w:rsid w:val="00105ED8"/>
    <w:rsid w:val="00107885"/>
    <w:rsid w:val="00112E99"/>
    <w:rsid w:val="0012329C"/>
    <w:rsid w:val="00125932"/>
    <w:rsid w:val="001305FC"/>
    <w:rsid w:val="00135AD7"/>
    <w:rsid w:val="00137950"/>
    <w:rsid w:val="00154114"/>
    <w:rsid w:val="00166043"/>
    <w:rsid w:val="00177976"/>
    <w:rsid w:val="00177979"/>
    <w:rsid w:val="00177F20"/>
    <w:rsid w:val="00185968"/>
    <w:rsid w:val="001A2158"/>
    <w:rsid w:val="001A3B5A"/>
    <w:rsid w:val="001C0BAB"/>
    <w:rsid w:val="001C1E29"/>
    <w:rsid w:val="001D495A"/>
    <w:rsid w:val="001E0AF8"/>
    <w:rsid w:val="001E52CC"/>
    <w:rsid w:val="001F5813"/>
    <w:rsid w:val="002259EF"/>
    <w:rsid w:val="00231049"/>
    <w:rsid w:val="00242ED1"/>
    <w:rsid w:val="00245188"/>
    <w:rsid w:val="00246A77"/>
    <w:rsid w:val="00252B81"/>
    <w:rsid w:val="00254069"/>
    <w:rsid w:val="002553EF"/>
    <w:rsid w:val="002574FD"/>
    <w:rsid w:val="0026396D"/>
    <w:rsid w:val="002734E5"/>
    <w:rsid w:val="002746DB"/>
    <w:rsid w:val="00290E45"/>
    <w:rsid w:val="002924D0"/>
    <w:rsid w:val="002938B3"/>
    <w:rsid w:val="00297CA6"/>
    <w:rsid w:val="002C292A"/>
    <w:rsid w:val="002D1299"/>
    <w:rsid w:val="002D4799"/>
    <w:rsid w:val="002E3FA4"/>
    <w:rsid w:val="002E6E73"/>
    <w:rsid w:val="0030059C"/>
    <w:rsid w:val="003178DD"/>
    <w:rsid w:val="00317C4A"/>
    <w:rsid w:val="0032277F"/>
    <w:rsid w:val="0033180A"/>
    <w:rsid w:val="00337BF1"/>
    <w:rsid w:val="003419FF"/>
    <w:rsid w:val="00350523"/>
    <w:rsid w:val="00351D76"/>
    <w:rsid w:val="00357C32"/>
    <w:rsid w:val="00362EE2"/>
    <w:rsid w:val="003631B3"/>
    <w:rsid w:val="00364110"/>
    <w:rsid w:val="003740BC"/>
    <w:rsid w:val="003801A3"/>
    <w:rsid w:val="00392830"/>
    <w:rsid w:val="003946DE"/>
    <w:rsid w:val="00394B0A"/>
    <w:rsid w:val="003A76C1"/>
    <w:rsid w:val="003B42B3"/>
    <w:rsid w:val="003B6384"/>
    <w:rsid w:val="003C4EBB"/>
    <w:rsid w:val="003C535F"/>
    <w:rsid w:val="003D1531"/>
    <w:rsid w:val="003E4EC6"/>
    <w:rsid w:val="003E553E"/>
    <w:rsid w:val="00411D11"/>
    <w:rsid w:val="00411E50"/>
    <w:rsid w:val="00415E23"/>
    <w:rsid w:val="004203D3"/>
    <w:rsid w:val="00424061"/>
    <w:rsid w:val="00432A70"/>
    <w:rsid w:val="00447D74"/>
    <w:rsid w:val="0046224C"/>
    <w:rsid w:val="00462888"/>
    <w:rsid w:val="00465350"/>
    <w:rsid w:val="004754DE"/>
    <w:rsid w:val="004846BF"/>
    <w:rsid w:val="004927B6"/>
    <w:rsid w:val="004B22FA"/>
    <w:rsid w:val="004C6979"/>
    <w:rsid w:val="004E2BB2"/>
    <w:rsid w:val="004E5CC1"/>
    <w:rsid w:val="004F449C"/>
    <w:rsid w:val="004F6AEF"/>
    <w:rsid w:val="00543AEF"/>
    <w:rsid w:val="00544138"/>
    <w:rsid w:val="0054671D"/>
    <w:rsid w:val="005609BE"/>
    <w:rsid w:val="005617B6"/>
    <w:rsid w:val="005748A3"/>
    <w:rsid w:val="00584583"/>
    <w:rsid w:val="00584E99"/>
    <w:rsid w:val="005A16B7"/>
    <w:rsid w:val="005A339D"/>
    <w:rsid w:val="005A35AB"/>
    <w:rsid w:val="005A4099"/>
    <w:rsid w:val="005A7BCF"/>
    <w:rsid w:val="005A7E72"/>
    <w:rsid w:val="005B23B6"/>
    <w:rsid w:val="005B700D"/>
    <w:rsid w:val="005C38B2"/>
    <w:rsid w:val="005C5029"/>
    <w:rsid w:val="005C5258"/>
    <w:rsid w:val="005C5EAA"/>
    <w:rsid w:val="005D1F87"/>
    <w:rsid w:val="005D4DF5"/>
    <w:rsid w:val="005E1E68"/>
    <w:rsid w:val="005E1F6E"/>
    <w:rsid w:val="005E3C62"/>
    <w:rsid w:val="00601886"/>
    <w:rsid w:val="006207CD"/>
    <w:rsid w:val="00620EF0"/>
    <w:rsid w:val="00626F1F"/>
    <w:rsid w:val="00641C0B"/>
    <w:rsid w:val="006433ED"/>
    <w:rsid w:val="00662FFF"/>
    <w:rsid w:val="00663A02"/>
    <w:rsid w:val="00663F3E"/>
    <w:rsid w:val="006722AC"/>
    <w:rsid w:val="00682810"/>
    <w:rsid w:val="006936EE"/>
    <w:rsid w:val="0069676B"/>
    <w:rsid w:val="006967FE"/>
    <w:rsid w:val="006A1F51"/>
    <w:rsid w:val="006A7D5D"/>
    <w:rsid w:val="006F4D6D"/>
    <w:rsid w:val="00711D44"/>
    <w:rsid w:val="00715F1D"/>
    <w:rsid w:val="00717CF6"/>
    <w:rsid w:val="00720257"/>
    <w:rsid w:val="00726D40"/>
    <w:rsid w:val="007310B5"/>
    <w:rsid w:val="0073502B"/>
    <w:rsid w:val="00754497"/>
    <w:rsid w:val="007666F3"/>
    <w:rsid w:val="00771094"/>
    <w:rsid w:val="00771893"/>
    <w:rsid w:val="00772A58"/>
    <w:rsid w:val="00775E8A"/>
    <w:rsid w:val="00786D00"/>
    <w:rsid w:val="0079512E"/>
    <w:rsid w:val="007B2AD4"/>
    <w:rsid w:val="007B2DD3"/>
    <w:rsid w:val="007C5088"/>
    <w:rsid w:val="007C75B1"/>
    <w:rsid w:val="007D1AF2"/>
    <w:rsid w:val="007E1D56"/>
    <w:rsid w:val="007E35DF"/>
    <w:rsid w:val="007E473D"/>
    <w:rsid w:val="007F7420"/>
    <w:rsid w:val="0080776D"/>
    <w:rsid w:val="00807FAC"/>
    <w:rsid w:val="00810145"/>
    <w:rsid w:val="008108FA"/>
    <w:rsid w:val="00816CF6"/>
    <w:rsid w:val="00822336"/>
    <w:rsid w:val="00823DFA"/>
    <w:rsid w:val="00843752"/>
    <w:rsid w:val="00850A0B"/>
    <w:rsid w:val="00890927"/>
    <w:rsid w:val="00892400"/>
    <w:rsid w:val="008A209D"/>
    <w:rsid w:val="008A76FD"/>
    <w:rsid w:val="008B0E29"/>
    <w:rsid w:val="008B0EFA"/>
    <w:rsid w:val="008B30AB"/>
    <w:rsid w:val="008C15F9"/>
    <w:rsid w:val="008C7FA1"/>
    <w:rsid w:val="008D43DB"/>
    <w:rsid w:val="008E41F6"/>
    <w:rsid w:val="008F6856"/>
    <w:rsid w:val="009039C4"/>
    <w:rsid w:val="00905191"/>
    <w:rsid w:val="00905DEF"/>
    <w:rsid w:val="00910F52"/>
    <w:rsid w:val="00911C7E"/>
    <w:rsid w:val="00927B7D"/>
    <w:rsid w:val="00931275"/>
    <w:rsid w:val="00936AC7"/>
    <w:rsid w:val="009430C7"/>
    <w:rsid w:val="00955115"/>
    <w:rsid w:val="009646E8"/>
    <w:rsid w:val="00983891"/>
    <w:rsid w:val="0099295B"/>
    <w:rsid w:val="0099390D"/>
    <w:rsid w:val="009A7D2C"/>
    <w:rsid w:val="009B0810"/>
    <w:rsid w:val="009D074C"/>
    <w:rsid w:val="009E18D6"/>
    <w:rsid w:val="009E3016"/>
    <w:rsid w:val="009E3210"/>
    <w:rsid w:val="009F2B4F"/>
    <w:rsid w:val="00A014A6"/>
    <w:rsid w:val="00A17042"/>
    <w:rsid w:val="00A20A7D"/>
    <w:rsid w:val="00A22280"/>
    <w:rsid w:val="00A35D42"/>
    <w:rsid w:val="00A46CCF"/>
    <w:rsid w:val="00A5606F"/>
    <w:rsid w:val="00A6312E"/>
    <w:rsid w:val="00A644BF"/>
    <w:rsid w:val="00A6557F"/>
    <w:rsid w:val="00A67A7D"/>
    <w:rsid w:val="00A70426"/>
    <w:rsid w:val="00A7668A"/>
    <w:rsid w:val="00A91E9A"/>
    <w:rsid w:val="00A93ED9"/>
    <w:rsid w:val="00AA7018"/>
    <w:rsid w:val="00AB028C"/>
    <w:rsid w:val="00AC25D3"/>
    <w:rsid w:val="00AC4A03"/>
    <w:rsid w:val="00AC6A99"/>
    <w:rsid w:val="00AD6CB2"/>
    <w:rsid w:val="00AE115C"/>
    <w:rsid w:val="00AE7A14"/>
    <w:rsid w:val="00AF54CA"/>
    <w:rsid w:val="00B02D7D"/>
    <w:rsid w:val="00B055EF"/>
    <w:rsid w:val="00B10F84"/>
    <w:rsid w:val="00B14B61"/>
    <w:rsid w:val="00B168C0"/>
    <w:rsid w:val="00B16DA8"/>
    <w:rsid w:val="00B23769"/>
    <w:rsid w:val="00B26572"/>
    <w:rsid w:val="00B2771F"/>
    <w:rsid w:val="00B31B1F"/>
    <w:rsid w:val="00B43A43"/>
    <w:rsid w:val="00B44A21"/>
    <w:rsid w:val="00B56B09"/>
    <w:rsid w:val="00B73C2C"/>
    <w:rsid w:val="00B82C30"/>
    <w:rsid w:val="00B92F7C"/>
    <w:rsid w:val="00B936D0"/>
    <w:rsid w:val="00BA4715"/>
    <w:rsid w:val="00BC2199"/>
    <w:rsid w:val="00BD77E6"/>
    <w:rsid w:val="00BE3600"/>
    <w:rsid w:val="00BE5841"/>
    <w:rsid w:val="00BF52A5"/>
    <w:rsid w:val="00C01F6F"/>
    <w:rsid w:val="00C13CB9"/>
    <w:rsid w:val="00C149AB"/>
    <w:rsid w:val="00C234C6"/>
    <w:rsid w:val="00C40694"/>
    <w:rsid w:val="00C6432A"/>
    <w:rsid w:val="00C670CA"/>
    <w:rsid w:val="00C70542"/>
    <w:rsid w:val="00C75906"/>
    <w:rsid w:val="00C8253B"/>
    <w:rsid w:val="00C9338A"/>
    <w:rsid w:val="00CC1982"/>
    <w:rsid w:val="00CC2894"/>
    <w:rsid w:val="00CD5786"/>
    <w:rsid w:val="00CD77C3"/>
    <w:rsid w:val="00D00DE6"/>
    <w:rsid w:val="00D04A90"/>
    <w:rsid w:val="00D0521B"/>
    <w:rsid w:val="00D26AE9"/>
    <w:rsid w:val="00D35C2C"/>
    <w:rsid w:val="00D608DA"/>
    <w:rsid w:val="00D61B4E"/>
    <w:rsid w:val="00D67124"/>
    <w:rsid w:val="00D70670"/>
    <w:rsid w:val="00D730BF"/>
    <w:rsid w:val="00D74C91"/>
    <w:rsid w:val="00DA1795"/>
    <w:rsid w:val="00DC76C7"/>
    <w:rsid w:val="00DD09F5"/>
    <w:rsid w:val="00DD4201"/>
    <w:rsid w:val="00DE5711"/>
    <w:rsid w:val="00DF1415"/>
    <w:rsid w:val="00DF266E"/>
    <w:rsid w:val="00DF7A90"/>
    <w:rsid w:val="00E00EA0"/>
    <w:rsid w:val="00E10FC0"/>
    <w:rsid w:val="00E171A0"/>
    <w:rsid w:val="00E23A9A"/>
    <w:rsid w:val="00E333D2"/>
    <w:rsid w:val="00E44FB3"/>
    <w:rsid w:val="00E56581"/>
    <w:rsid w:val="00E60E5C"/>
    <w:rsid w:val="00E62D27"/>
    <w:rsid w:val="00E6727A"/>
    <w:rsid w:val="00E77B48"/>
    <w:rsid w:val="00E800DE"/>
    <w:rsid w:val="00E814D0"/>
    <w:rsid w:val="00E91799"/>
    <w:rsid w:val="00E91983"/>
    <w:rsid w:val="00EA222F"/>
    <w:rsid w:val="00EA34E3"/>
    <w:rsid w:val="00EA4222"/>
    <w:rsid w:val="00EB7538"/>
    <w:rsid w:val="00EC483A"/>
    <w:rsid w:val="00EC7077"/>
    <w:rsid w:val="00ED0CF8"/>
    <w:rsid w:val="00ED6A68"/>
    <w:rsid w:val="00EE44F6"/>
    <w:rsid w:val="00EE503E"/>
    <w:rsid w:val="00EF467F"/>
    <w:rsid w:val="00F045E9"/>
    <w:rsid w:val="00F112B1"/>
    <w:rsid w:val="00F14C99"/>
    <w:rsid w:val="00F207A4"/>
    <w:rsid w:val="00F311BD"/>
    <w:rsid w:val="00F355AC"/>
    <w:rsid w:val="00F44EDA"/>
    <w:rsid w:val="00F71A5A"/>
    <w:rsid w:val="00F74935"/>
    <w:rsid w:val="00F769E0"/>
    <w:rsid w:val="00F81B91"/>
    <w:rsid w:val="00F9001D"/>
    <w:rsid w:val="00F94249"/>
    <w:rsid w:val="00FB118E"/>
    <w:rsid w:val="00FB38F8"/>
    <w:rsid w:val="00FB4963"/>
    <w:rsid w:val="00FB7637"/>
    <w:rsid w:val="00FB7DEE"/>
    <w:rsid w:val="00FC6BDE"/>
    <w:rsid w:val="00FD428A"/>
    <w:rsid w:val="00FD716A"/>
    <w:rsid w:val="00FE2EB2"/>
    <w:rsid w:val="00FF196F"/>
    <w:rsid w:val="00FF2FB7"/>
    <w:rsid w:val="00FF3211"/>
    <w:rsid w:val="00FF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1FDBB6C"/>
  <w15:docId w15:val="{764DABC1-DE19-4E56-98C7-BCB7D5D8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35DF"/>
    <w:rPr>
      <w:color w:val="0000FF"/>
      <w:u w:val="single"/>
    </w:rPr>
  </w:style>
  <w:style w:type="paragraph" w:styleId="Header">
    <w:name w:val="header"/>
    <w:basedOn w:val="Normal"/>
    <w:link w:val="HeaderChar"/>
    <w:rsid w:val="00154114"/>
    <w:pPr>
      <w:tabs>
        <w:tab w:val="center" w:pos="4680"/>
        <w:tab w:val="right" w:pos="9360"/>
      </w:tabs>
    </w:pPr>
  </w:style>
  <w:style w:type="character" w:customStyle="1" w:styleId="HeaderChar">
    <w:name w:val="Header Char"/>
    <w:link w:val="Header"/>
    <w:rsid w:val="00154114"/>
    <w:rPr>
      <w:sz w:val="24"/>
      <w:szCs w:val="24"/>
    </w:rPr>
  </w:style>
  <w:style w:type="paragraph" w:styleId="Footer">
    <w:name w:val="footer"/>
    <w:basedOn w:val="Normal"/>
    <w:link w:val="FooterChar"/>
    <w:rsid w:val="00154114"/>
    <w:pPr>
      <w:tabs>
        <w:tab w:val="center" w:pos="4680"/>
        <w:tab w:val="right" w:pos="9360"/>
      </w:tabs>
    </w:pPr>
  </w:style>
  <w:style w:type="character" w:customStyle="1" w:styleId="FooterChar">
    <w:name w:val="Footer Char"/>
    <w:link w:val="Footer"/>
    <w:rsid w:val="00154114"/>
    <w:rPr>
      <w:sz w:val="24"/>
      <w:szCs w:val="24"/>
    </w:rPr>
  </w:style>
  <w:style w:type="paragraph" w:styleId="ListParagraph">
    <w:name w:val="List Paragraph"/>
    <w:basedOn w:val="Normal"/>
    <w:uiPriority w:val="34"/>
    <w:qFormat/>
    <w:rsid w:val="00B82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381448">
      <w:bodyDiv w:val="1"/>
      <w:marLeft w:val="0"/>
      <w:marRight w:val="0"/>
      <w:marTop w:val="0"/>
      <w:marBottom w:val="0"/>
      <w:divBdr>
        <w:top w:val="none" w:sz="0" w:space="0" w:color="auto"/>
        <w:left w:val="none" w:sz="0" w:space="0" w:color="auto"/>
        <w:bottom w:val="none" w:sz="0" w:space="0" w:color="auto"/>
        <w:right w:val="none" w:sz="0" w:space="0" w:color="auto"/>
      </w:divBdr>
    </w:div>
    <w:div w:id="896820862">
      <w:bodyDiv w:val="1"/>
      <w:marLeft w:val="0"/>
      <w:marRight w:val="0"/>
      <w:marTop w:val="0"/>
      <w:marBottom w:val="0"/>
      <w:divBdr>
        <w:top w:val="none" w:sz="0" w:space="0" w:color="auto"/>
        <w:left w:val="none" w:sz="0" w:space="0" w:color="auto"/>
        <w:bottom w:val="none" w:sz="0" w:space="0" w:color="auto"/>
        <w:right w:val="none" w:sz="0" w:space="0" w:color="auto"/>
      </w:divBdr>
    </w:div>
    <w:div w:id="987512690">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3812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select-citation/2012/09/28/21-CFR-314.50" TargetMode="External"/><Relationship Id="rId13" Type="http://schemas.openxmlformats.org/officeDocument/2006/relationships/hyperlink" Target="https://www.federalregister.gov/select-citation/2012/09/28/21-CFR-814.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select-citation/2012/09/28/21-CFR-314.94" TargetMode="External"/><Relationship Id="rId17" Type="http://schemas.openxmlformats.org/officeDocument/2006/relationships/hyperlink" Target="https://www.federalregister.gov/select-citation/2012/09/28/21-CFR-571.1" TargetMode="External"/><Relationship Id="rId2" Type="http://schemas.openxmlformats.org/officeDocument/2006/relationships/numbering" Target="numbering.xml"/><Relationship Id="rId16" Type="http://schemas.openxmlformats.org/officeDocument/2006/relationships/hyperlink" Target="https://www.federalregister.gov/select-citation/2012/09/28/21-CFR-51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select-citation/2012/09/28/21-CFR-314.50" TargetMode="External"/><Relationship Id="rId5" Type="http://schemas.openxmlformats.org/officeDocument/2006/relationships/webSettings" Target="webSettings.xml"/><Relationship Id="rId15" Type="http://schemas.openxmlformats.org/officeDocument/2006/relationships/hyperlink" Target="https://www.federalregister.gov/select-citation/2012/09/28/21-CFR-514.8" TargetMode="External"/><Relationship Id="rId10" Type="http://schemas.openxmlformats.org/officeDocument/2006/relationships/hyperlink" Target="https://www.federalregister.gov/select-citation/2012/09/28/21-CFR-312.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ederalregister.gov/select-citation/2012/09/28/21-CFR-314.94" TargetMode="External"/><Relationship Id="rId14" Type="http://schemas.openxmlformats.org/officeDocument/2006/relationships/hyperlink" Target="https://www.federalregister.gov/select-citation/2012/09/28/21-CFR-5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57551-1D86-440E-8F1F-4A008077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3173</Words>
  <Characters>18089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21220</CharactersWithSpaces>
  <SharedDoc>false</SharedDoc>
  <HLinks>
    <vt:vector size="6" baseType="variant">
      <vt:variant>
        <vt:i4>8257598</vt:i4>
      </vt:variant>
      <vt:variant>
        <vt:i4>0</vt:i4>
      </vt:variant>
      <vt:variant>
        <vt:i4>0</vt:i4>
      </vt:variant>
      <vt:variant>
        <vt:i4>5</vt:i4>
      </vt:variant>
      <vt:variant>
        <vt:lpwstr>http://www.fda.gov/cder/guidance/index.htm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Sanford, Amber</dc:creator>
  <cp:keywords/>
  <cp:lastModifiedBy>Sanford, Amber</cp:lastModifiedBy>
  <cp:revision>4</cp:revision>
  <dcterms:created xsi:type="dcterms:W3CDTF">2022-01-28T19:24:00Z</dcterms:created>
  <dcterms:modified xsi:type="dcterms:W3CDTF">2022-01-28T19:37:00Z</dcterms:modified>
</cp:coreProperties>
</file>