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42B1" w:rsidR="00674A33" w:rsidP="00674A33" w:rsidRDefault="006C123D" w14:paraId="070A71D5" w14:textId="67AC548D">
      <w:pPr>
        <w:jc w:val="center"/>
        <w:rPr>
          <w:rFonts w:eastAsiaTheme="minorEastAsia"/>
          <w:bCs/>
          <w:color w:val="000000" w:themeColor="text1"/>
        </w:rPr>
      </w:pPr>
      <w:r w:rsidRPr="008242B1">
        <w:rPr>
          <w:rFonts w:eastAsiaTheme="minorEastAsia"/>
          <w:bCs/>
          <w:color w:val="000000" w:themeColor="text1"/>
        </w:rPr>
        <w:t>U.S. FOOD AND DRUG ADMINISTRATION</w:t>
      </w:r>
    </w:p>
    <w:p w:rsidRPr="00133247" w:rsidR="00037943" w:rsidP="00037943" w:rsidRDefault="00037943" w14:paraId="5070ECC8" w14:textId="7DC12F80">
      <w:pPr>
        <w:jc w:val="center"/>
        <w:rPr>
          <w:b/>
          <w:color w:val="000000" w:themeColor="text1"/>
        </w:rPr>
      </w:pPr>
    </w:p>
    <w:p w:rsidRPr="00133247" w:rsidR="00037943" w:rsidP="00037943" w:rsidRDefault="00037943" w14:paraId="1FDCC281" w14:textId="77777777">
      <w:pPr>
        <w:jc w:val="center"/>
        <w:rPr>
          <w:b/>
          <w:color w:val="000000" w:themeColor="text1"/>
        </w:rPr>
      </w:pPr>
    </w:p>
    <w:p w:rsidRPr="008242B1" w:rsidR="00F53FA1" w:rsidP="00F53FA1" w:rsidRDefault="00AF7114" w14:paraId="74847714" w14:textId="00ED2FE4">
      <w:pPr>
        <w:jc w:val="center"/>
        <w:rPr>
          <w:rFonts w:eastAsiaTheme="minorEastAsia"/>
          <w:bCs/>
          <w:color w:val="000000" w:themeColor="text1"/>
        </w:rPr>
      </w:pPr>
      <w:r w:rsidRPr="008242B1">
        <w:rPr>
          <w:rFonts w:eastAsiaTheme="minorEastAsia"/>
          <w:bCs/>
          <w:color w:val="000000" w:themeColor="text1"/>
        </w:rPr>
        <w:t xml:space="preserve">Study </w:t>
      </w:r>
      <w:r w:rsidRPr="008242B1" w:rsidR="00037943">
        <w:rPr>
          <w:rFonts w:eastAsiaTheme="minorEastAsia"/>
          <w:bCs/>
          <w:color w:val="000000" w:themeColor="text1"/>
        </w:rPr>
        <w:t xml:space="preserve">of </w:t>
      </w:r>
      <w:r w:rsidR="006C123D">
        <w:rPr>
          <w:rFonts w:eastAsiaTheme="minorEastAsia"/>
          <w:bCs/>
          <w:color w:val="000000" w:themeColor="text1"/>
        </w:rPr>
        <w:t>H</w:t>
      </w:r>
      <w:r w:rsidRPr="008242B1" w:rsidR="00F53FA1">
        <w:rPr>
          <w:rFonts w:eastAsiaTheme="minorEastAsia"/>
          <w:bCs/>
          <w:color w:val="000000" w:themeColor="text1"/>
        </w:rPr>
        <w:t xml:space="preserve">ow </w:t>
      </w:r>
      <w:r w:rsidR="006C123D">
        <w:rPr>
          <w:rFonts w:eastAsiaTheme="minorEastAsia"/>
          <w:bCs/>
          <w:color w:val="000000" w:themeColor="text1"/>
        </w:rPr>
        <w:t>C</w:t>
      </w:r>
      <w:r w:rsidRPr="008242B1" w:rsidR="00F53FA1">
        <w:rPr>
          <w:rFonts w:eastAsiaTheme="minorEastAsia"/>
          <w:bCs/>
          <w:color w:val="000000" w:themeColor="text1"/>
        </w:rPr>
        <w:t xml:space="preserve">onsumers </w:t>
      </w:r>
      <w:r w:rsidR="006C123D">
        <w:rPr>
          <w:rFonts w:eastAsiaTheme="minorEastAsia"/>
          <w:bCs/>
          <w:color w:val="000000" w:themeColor="text1"/>
        </w:rPr>
        <w:t>U</w:t>
      </w:r>
      <w:r w:rsidRPr="008242B1" w:rsidR="00F53FA1">
        <w:rPr>
          <w:rFonts w:eastAsiaTheme="minorEastAsia"/>
          <w:bCs/>
          <w:color w:val="000000" w:themeColor="text1"/>
        </w:rPr>
        <w:t xml:space="preserve">se </w:t>
      </w:r>
      <w:r w:rsidR="006C123D">
        <w:rPr>
          <w:rFonts w:eastAsiaTheme="minorEastAsia"/>
          <w:bCs/>
          <w:color w:val="000000" w:themeColor="text1"/>
        </w:rPr>
        <w:t>F</w:t>
      </w:r>
      <w:r w:rsidRPr="008242B1" w:rsidR="00F53FA1">
        <w:rPr>
          <w:rFonts w:eastAsiaTheme="minorEastAsia"/>
          <w:bCs/>
          <w:color w:val="000000" w:themeColor="text1"/>
        </w:rPr>
        <w:t xml:space="preserve">lavors to </w:t>
      </w:r>
      <w:r w:rsidR="006C123D">
        <w:rPr>
          <w:rFonts w:eastAsiaTheme="minorEastAsia"/>
          <w:bCs/>
          <w:color w:val="000000" w:themeColor="text1"/>
        </w:rPr>
        <w:t>M</w:t>
      </w:r>
      <w:r w:rsidRPr="008242B1" w:rsidR="00F53FA1">
        <w:rPr>
          <w:rFonts w:eastAsiaTheme="minorEastAsia"/>
          <w:bCs/>
          <w:color w:val="000000" w:themeColor="text1"/>
        </w:rPr>
        <w:t xml:space="preserve">ake </w:t>
      </w:r>
      <w:r w:rsidR="006C123D">
        <w:rPr>
          <w:rFonts w:eastAsiaTheme="minorEastAsia"/>
          <w:bCs/>
          <w:color w:val="000000" w:themeColor="text1"/>
        </w:rPr>
        <w:t>I</w:t>
      </w:r>
      <w:r w:rsidRPr="008242B1" w:rsidR="00F53FA1">
        <w:rPr>
          <w:rFonts w:eastAsiaTheme="minorEastAsia"/>
          <w:bCs/>
          <w:color w:val="000000" w:themeColor="text1"/>
        </w:rPr>
        <w:t xml:space="preserve">nferences </w:t>
      </w:r>
      <w:r w:rsidR="006C123D">
        <w:rPr>
          <w:rFonts w:eastAsiaTheme="minorEastAsia"/>
          <w:bCs/>
          <w:color w:val="000000" w:themeColor="text1"/>
        </w:rPr>
        <w:t>A</w:t>
      </w:r>
      <w:r w:rsidRPr="008242B1" w:rsidR="00F53FA1">
        <w:rPr>
          <w:rFonts w:eastAsiaTheme="minorEastAsia"/>
          <w:bCs/>
          <w:color w:val="000000" w:themeColor="text1"/>
        </w:rPr>
        <w:t xml:space="preserve">bout Electronic Nicotine Delivery System (ENDS) </w:t>
      </w:r>
      <w:r w:rsidR="006C123D">
        <w:rPr>
          <w:rFonts w:eastAsiaTheme="minorEastAsia"/>
          <w:bCs/>
          <w:color w:val="000000" w:themeColor="text1"/>
        </w:rPr>
        <w:t>P</w:t>
      </w:r>
      <w:r w:rsidRPr="008242B1" w:rsidR="00F53FA1">
        <w:rPr>
          <w:rFonts w:eastAsiaTheme="minorEastAsia"/>
          <w:bCs/>
          <w:color w:val="000000" w:themeColor="text1"/>
        </w:rPr>
        <w:t xml:space="preserve">roduct </w:t>
      </w:r>
      <w:r w:rsidR="006C123D">
        <w:rPr>
          <w:rFonts w:eastAsiaTheme="minorEastAsia"/>
          <w:bCs/>
          <w:color w:val="000000" w:themeColor="text1"/>
        </w:rPr>
        <w:t>Q</w:t>
      </w:r>
      <w:r w:rsidRPr="008242B1" w:rsidR="00F53FA1">
        <w:rPr>
          <w:rFonts w:eastAsiaTheme="minorEastAsia"/>
          <w:bCs/>
          <w:color w:val="000000" w:themeColor="text1"/>
        </w:rPr>
        <w:t xml:space="preserve">ualities and </w:t>
      </w:r>
      <w:r w:rsidR="006C123D">
        <w:rPr>
          <w:rFonts w:eastAsiaTheme="minorEastAsia"/>
          <w:bCs/>
          <w:color w:val="000000" w:themeColor="text1"/>
        </w:rPr>
        <w:t>I</w:t>
      </w:r>
      <w:r w:rsidRPr="008242B1" w:rsidR="00F53FA1">
        <w:rPr>
          <w:rFonts w:eastAsiaTheme="minorEastAsia"/>
          <w:bCs/>
          <w:color w:val="000000" w:themeColor="text1"/>
        </w:rPr>
        <w:t xml:space="preserve">ntentions to </w:t>
      </w:r>
      <w:r w:rsidR="006C123D">
        <w:rPr>
          <w:rFonts w:eastAsiaTheme="minorEastAsia"/>
          <w:bCs/>
          <w:color w:val="000000" w:themeColor="text1"/>
        </w:rPr>
        <w:t>U</w:t>
      </w:r>
      <w:r w:rsidRPr="008242B1" w:rsidR="00F53FA1">
        <w:rPr>
          <w:rFonts w:eastAsiaTheme="minorEastAsia"/>
          <w:bCs/>
          <w:color w:val="000000" w:themeColor="text1"/>
        </w:rPr>
        <w:t>se (Phase 2)</w:t>
      </w:r>
    </w:p>
    <w:p w:rsidRPr="00133247" w:rsidR="007B225C" w:rsidP="00133247" w:rsidRDefault="007B225C" w14:paraId="50421BC7" w14:textId="77777777">
      <w:pPr>
        <w:rPr>
          <w:rFonts w:ascii="Arial" w:hAnsi="Arial"/>
          <w:sz w:val="22"/>
        </w:rPr>
      </w:pPr>
    </w:p>
    <w:p w:rsidRPr="00114D58" w:rsidR="007B225C" w:rsidP="007B225C" w:rsidRDefault="008242B1" w14:paraId="454700A7" w14:textId="16B749D7">
      <w:pPr>
        <w:jc w:val="center"/>
        <w:rPr>
          <w:rFonts w:ascii="Arial" w:hAnsi="Arial" w:cs="Arial"/>
          <w:sz w:val="22"/>
          <w:szCs w:val="22"/>
        </w:rPr>
      </w:pPr>
      <w:r>
        <w:rPr>
          <w:rFonts w:ascii="Arial" w:hAnsi="Arial" w:cs="Arial"/>
          <w:sz w:val="22"/>
          <w:szCs w:val="22"/>
        </w:rPr>
        <w:t>OMB Control No. 0910-NEW</w:t>
      </w:r>
    </w:p>
    <w:p w:rsidRPr="005D44B4" w:rsidR="005D44B4" w:rsidP="00795DF3" w:rsidRDefault="005D44B4" w14:paraId="6D9ED456" w14:textId="7E1DB42F">
      <w:pPr>
        <w:rPr>
          <w:rFonts w:ascii="Arial" w:hAnsi="Arial" w:cs="Arial"/>
          <w:b/>
          <w:sz w:val="22"/>
          <w:szCs w:val="22"/>
        </w:rPr>
      </w:pPr>
    </w:p>
    <w:p w:rsidRPr="00114D58" w:rsidR="00037943" w:rsidP="0038612E" w:rsidRDefault="00A35D42" w14:paraId="14F15D02" w14:textId="1FF88DAF">
      <w:pPr>
        <w:jc w:val="center"/>
        <w:rPr>
          <w:rFonts w:ascii="Arial" w:hAnsi="Arial" w:cs="Arial"/>
          <w:sz w:val="22"/>
          <w:szCs w:val="22"/>
        </w:rPr>
      </w:pPr>
      <w:r w:rsidRPr="00114D58">
        <w:rPr>
          <w:rFonts w:ascii="Arial" w:hAnsi="Arial" w:cs="Arial"/>
          <w:sz w:val="22"/>
          <w:szCs w:val="22"/>
        </w:rPr>
        <w:br/>
      </w:r>
    </w:p>
    <w:p w:rsidR="00EB7538" w:rsidP="00037943" w:rsidRDefault="006C123D" w14:paraId="4FAA1CF9" w14:textId="1B711F72">
      <w:pPr>
        <w:rPr>
          <w:rFonts w:eastAsiaTheme="minorEastAsia"/>
          <w:color w:val="000000" w:themeColor="text1"/>
        </w:rPr>
      </w:pPr>
      <w:r>
        <w:rPr>
          <w:rFonts w:eastAsiaTheme="minorEastAsia"/>
          <w:color w:val="000000" w:themeColor="text1"/>
        </w:rPr>
        <w:t xml:space="preserve">SUPPORTING STATEMENT </w:t>
      </w:r>
      <w:r w:rsidRPr="006C123D">
        <w:rPr>
          <w:rFonts w:eastAsiaTheme="minorEastAsia"/>
          <w:b/>
          <w:bCs/>
          <w:color w:val="000000" w:themeColor="text1"/>
        </w:rPr>
        <w:t xml:space="preserve">Part </w:t>
      </w:r>
      <w:r w:rsidRPr="008242B1" w:rsidR="00EB7538">
        <w:rPr>
          <w:rFonts w:eastAsiaTheme="minorEastAsia"/>
          <w:b/>
          <w:bCs/>
          <w:color w:val="000000" w:themeColor="text1"/>
        </w:rPr>
        <w:t>A. Justification</w:t>
      </w:r>
    </w:p>
    <w:p w:rsidRPr="00037943" w:rsidR="00037943" w:rsidP="00037943" w:rsidRDefault="00037943" w14:paraId="72766B6A" w14:textId="77777777">
      <w:pPr>
        <w:rPr>
          <w:rFonts w:eastAsiaTheme="minorEastAsia"/>
          <w:color w:val="000000" w:themeColor="text1"/>
        </w:rPr>
      </w:pPr>
    </w:p>
    <w:p w:rsidR="00C56822" w:rsidP="00037943" w:rsidRDefault="00EB7538" w14:paraId="1FB3736D" w14:textId="4403BAF7">
      <w:pPr>
        <w:pStyle w:val="ListParagraph"/>
        <w:numPr>
          <w:ilvl w:val="0"/>
          <w:numId w:val="1"/>
        </w:numPr>
        <w:tabs>
          <w:tab w:val="clear" w:pos="720"/>
        </w:tabs>
        <w:spacing w:before="0" w:beforeAutospacing="0" w:after="0" w:afterAutospacing="0"/>
        <w:ind w:left="360"/>
        <w:contextualSpacing/>
        <w:rPr>
          <w:rFonts w:eastAsiaTheme="minorEastAsia"/>
          <w:color w:val="000000" w:themeColor="text1"/>
          <w:u w:val="single"/>
        </w:rPr>
      </w:pPr>
      <w:r w:rsidRPr="00037943">
        <w:rPr>
          <w:rFonts w:eastAsiaTheme="minorEastAsia"/>
          <w:color w:val="000000" w:themeColor="text1"/>
          <w:u w:val="single"/>
        </w:rPr>
        <w:t>Circumstances Making the Collection of Information Necessary</w:t>
      </w:r>
    </w:p>
    <w:p w:rsidRPr="00037943" w:rsidR="00037943" w:rsidP="00037943" w:rsidRDefault="00037943" w14:paraId="5E288080" w14:textId="77777777">
      <w:pPr>
        <w:pStyle w:val="ListParagraph"/>
        <w:spacing w:before="0" w:beforeAutospacing="0" w:after="0" w:afterAutospacing="0"/>
        <w:ind w:left="360"/>
        <w:contextualSpacing/>
        <w:rPr>
          <w:rFonts w:eastAsiaTheme="minorEastAsia"/>
          <w:color w:val="000000" w:themeColor="text1"/>
          <w:u w:val="single"/>
        </w:rPr>
      </w:pPr>
    </w:p>
    <w:p w:rsidR="00B93964" w:rsidP="00C3619B" w:rsidRDefault="00C56822" w14:paraId="5651C352" w14:textId="45156545">
      <w:pPr>
        <w:ind w:left="360"/>
        <w:rPr>
          <w:b/>
        </w:rPr>
      </w:pPr>
      <w:r w:rsidRPr="00037943">
        <w:t>Electronic nicotine delivery systems (ENDS), also called electronic cigarettes, e-cigarettes, and vaporizers are deemed tobacco products and fall under the U</w:t>
      </w:r>
      <w:r w:rsidR="00EA28B5">
        <w:t>.</w:t>
      </w:r>
      <w:r w:rsidRPr="00037943">
        <w:t>S</w:t>
      </w:r>
      <w:r w:rsidR="00EA28B5">
        <w:t>.</w:t>
      </w:r>
      <w:r w:rsidRPr="00037943">
        <w:t xml:space="preserve"> Food and Drug Administration’s regulatory scope. FDA has the authority under the Family Smoking Prevention and Tobacco Control Act</w:t>
      </w:r>
      <w:r w:rsidR="00530A63">
        <w:t xml:space="preserve"> </w:t>
      </w:r>
      <w:r w:rsidRPr="00F1412A" w:rsidR="00530A63">
        <w:rPr>
          <w:color w:val="000000" w:themeColor="text1"/>
        </w:rPr>
        <w:t>(Pub.</w:t>
      </w:r>
      <w:r w:rsidR="003F1EDE">
        <w:rPr>
          <w:color w:val="000000" w:themeColor="text1"/>
        </w:rPr>
        <w:t xml:space="preserve"> </w:t>
      </w:r>
      <w:r w:rsidRPr="00F1412A" w:rsidR="00530A63">
        <w:rPr>
          <w:color w:val="000000" w:themeColor="text1"/>
        </w:rPr>
        <w:t>L. 111–31, H.R. 1256)</w:t>
      </w:r>
      <w:r w:rsidR="00530A63">
        <w:rPr>
          <w:color w:val="000000" w:themeColor="text1"/>
        </w:rPr>
        <w:t>,</w:t>
      </w:r>
      <w:r w:rsidRPr="00C753FA" w:rsidR="00530A63">
        <w:rPr>
          <w:color w:val="000000" w:themeColor="text1"/>
        </w:rPr>
        <w:t xml:space="preserve"> </w:t>
      </w:r>
      <w:r w:rsidRPr="00037943">
        <w:t xml:space="preserve">to regulate and restrict the marketing of tobacco products. However, given the recency of ENDS products to the market, limited research exists to inform the regulation of </w:t>
      </w:r>
      <w:r w:rsidRPr="00037943" w:rsidR="00CD1DF1">
        <w:t xml:space="preserve">certain aspects of </w:t>
      </w:r>
      <w:r w:rsidRPr="00037943">
        <w:t>their marketing. Research to understand “marketing influences on youth experimentation, initiation, use and cessation of tobacco products” is a regulatory priority for the FDA Center for Tobacco Products (CTP).</w:t>
      </w:r>
      <w:r w:rsidRPr="00037943">
        <w:rPr>
          <w:b/>
        </w:rPr>
        <w:t xml:space="preserve"> </w:t>
      </w:r>
      <w:r w:rsidR="0038612E">
        <w:rPr>
          <w:rStyle w:val="FootnoteReference"/>
          <w:b/>
        </w:rPr>
        <w:footnoteReference w:id="2"/>
      </w:r>
    </w:p>
    <w:p w:rsidR="00B93964" w:rsidP="00C56822" w:rsidRDefault="00B93964" w14:paraId="50E38A2A" w14:textId="77777777">
      <w:pPr>
        <w:rPr>
          <w:b/>
        </w:rPr>
      </w:pPr>
    </w:p>
    <w:p w:rsidR="00B93964" w:rsidP="00C3619B" w:rsidRDefault="00C56822" w14:paraId="4053E180" w14:textId="48C2EB53">
      <w:pPr>
        <w:ind w:left="360"/>
        <w:rPr>
          <w:color w:val="000000"/>
        </w:rPr>
      </w:pPr>
      <w:r w:rsidRPr="00037943">
        <w:t>Flavors are a unique and important aspect of ENDS. ENDS use a liquid (‘e-liquid’ or ‘e-</w:t>
      </w:r>
      <w:r w:rsidR="003F1EDE">
        <w:t>j</w:t>
      </w:r>
      <w:r w:rsidRPr="00037943">
        <w:t xml:space="preserve">uice’) that can span a diverse range of flavors, from </w:t>
      </w:r>
      <w:r w:rsidRPr="00037943">
        <w:rPr>
          <w:color w:val="000000"/>
        </w:rPr>
        <w:t>tobacco flavor, menthol, mint, fruit flavors, non-fruit sweet flavors (e.g., crème brulee, gummi bears), spices (e.g., cinnamon, vanilla), alcohol (e.g., strawberry daiquiri, bourbon, irish crème), and ‘concept’ flavors.</w:t>
      </w:r>
      <w:r w:rsidRPr="00037943">
        <w:rPr>
          <w:b/>
          <w:color w:val="000000"/>
        </w:rPr>
        <w:t xml:space="preserve"> </w:t>
      </w:r>
      <w:r w:rsidRPr="00037943">
        <w:rPr>
          <w:color w:val="000000"/>
        </w:rPr>
        <w:t>Flavors are a regulatory area of interest, and FDA has issued an advance notice of proposed rulemaking (ANPRM;</w:t>
      </w:r>
      <w:r w:rsidRPr="00037943">
        <w:t xml:space="preserve"> </w:t>
      </w:r>
      <w:r w:rsidRPr="00037943">
        <w:rPr>
          <w:color w:val="000000"/>
        </w:rPr>
        <w:t xml:space="preserve">Docket No. FDA-2017-N-6565) “to obtain information related to the role that flavors play in tobacco products”, with a specific interest in how flavors spur youth product initiation. </w:t>
      </w:r>
    </w:p>
    <w:p w:rsidR="00B93964" w:rsidP="00C56822" w:rsidRDefault="00B93964" w14:paraId="05F0C041" w14:textId="77777777">
      <w:pPr>
        <w:rPr>
          <w:color w:val="000000"/>
        </w:rPr>
      </w:pPr>
    </w:p>
    <w:p w:rsidR="00133247" w:rsidP="00133247" w:rsidRDefault="00C56822" w14:paraId="4ED68B0F" w14:textId="472CAD8D">
      <w:pPr>
        <w:ind w:left="360"/>
        <w:rPr>
          <w:color w:val="000000"/>
        </w:rPr>
      </w:pPr>
      <w:r w:rsidRPr="00037943">
        <w:rPr>
          <w:color w:val="000000"/>
        </w:rPr>
        <w:t>This project addresses FDA’s “high-priority” topic of tobacco</w:t>
      </w:r>
      <w:r w:rsidR="00B93964">
        <w:rPr>
          <w:color w:val="000000"/>
        </w:rPr>
        <w:t xml:space="preserve"> products</w:t>
      </w:r>
      <w:r w:rsidRPr="00037943">
        <w:rPr>
          <w:color w:val="000000"/>
        </w:rPr>
        <w:t>, which includes tobacco-related communications, and specifically addresses CTP</w:t>
      </w:r>
      <w:r w:rsidR="00B93964">
        <w:rPr>
          <w:color w:val="000000"/>
        </w:rPr>
        <w:t>’</w:t>
      </w:r>
      <w:r w:rsidRPr="00037943">
        <w:rPr>
          <w:color w:val="000000"/>
        </w:rPr>
        <w:t>s research priority of understanding marketing influences and the “impact of potential marketing restrictions on youth experimentation, initiation, and use</w:t>
      </w:r>
      <w:r w:rsidRPr="0038612E">
        <w:rPr>
          <w:color w:val="000000"/>
        </w:rPr>
        <w:t xml:space="preserve">.” The primary goal of the current study is to understand whether flavor-related imagery, descriptors and flavor name modifiers affect product appeal, curiosity about the product, interest in using the product, and product perceptions among youth and young adults. </w:t>
      </w:r>
      <w:r w:rsidRPr="0038612E" w:rsidR="00B93964">
        <w:rPr>
          <w:color w:val="000000"/>
        </w:rPr>
        <w:t>FDA expects that t</w:t>
      </w:r>
      <w:r w:rsidRPr="0038612E">
        <w:rPr>
          <w:color w:val="000000"/>
        </w:rPr>
        <w:t>he results of this research will produce evidence regarding the potent</w:t>
      </w:r>
      <w:r w:rsidRPr="00037943">
        <w:rPr>
          <w:color w:val="000000"/>
        </w:rPr>
        <w:t xml:space="preserve">ial effect of restricting use of flavor-related imagery, descriptors and flavor name modifiers on youth ENDS use. </w:t>
      </w:r>
      <w:r w:rsidRPr="00037943" w:rsidR="00133247">
        <w:rPr>
          <w:color w:val="000000"/>
        </w:rPr>
        <w:t xml:space="preserve">This project’s results </w:t>
      </w:r>
      <w:r w:rsidRPr="007B035B" w:rsidR="00133247">
        <w:rPr>
          <w:color w:val="000000"/>
        </w:rPr>
        <w:t>might inform FDA’s thinking regarding possible rulemaking, but it will not provide sole support for any rulemaking.</w:t>
      </w:r>
    </w:p>
    <w:p w:rsidRPr="00C47353" w:rsidR="000C0C17" w:rsidP="00133247" w:rsidRDefault="000C0C17" w14:paraId="03756531" w14:textId="77777777"/>
    <w:p w:rsidR="00B6138D" w:rsidP="00C47353" w:rsidRDefault="00C56822" w14:paraId="2BC9D5CD" w14:textId="21A8410F">
      <w:pPr>
        <w:pStyle w:val="ListParagraph"/>
        <w:numPr>
          <w:ilvl w:val="0"/>
          <w:numId w:val="1"/>
        </w:numPr>
        <w:tabs>
          <w:tab w:val="clear" w:pos="720"/>
        </w:tabs>
        <w:spacing w:before="0" w:beforeAutospacing="0" w:after="0" w:afterAutospacing="0"/>
        <w:ind w:left="360"/>
        <w:contextualSpacing/>
        <w:rPr>
          <w:rFonts w:eastAsiaTheme="minorEastAsia"/>
          <w:color w:val="000000" w:themeColor="text1"/>
          <w:u w:val="single"/>
        </w:rPr>
      </w:pPr>
      <w:r w:rsidRPr="00C47353">
        <w:rPr>
          <w:rFonts w:eastAsiaTheme="minorEastAsia"/>
          <w:color w:val="000000" w:themeColor="text1"/>
          <w:u w:val="single"/>
        </w:rPr>
        <w:lastRenderedPageBreak/>
        <w:t xml:space="preserve">Purpose and Use of the Information Collection </w:t>
      </w:r>
    </w:p>
    <w:p w:rsidRPr="00C47353" w:rsidR="00C47353" w:rsidP="00C47353" w:rsidRDefault="00C47353" w14:paraId="4ED4ACB2" w14:textId="77777777">
      <w:pPr>
        <w:pStyle w:val="ListParagraph"/>
        <w:spacing w:before="0" w:beforeAutospacing="0" w:after="0" w:afterAutospacing="0"/>
        <w:ind w:left="360"/>
        <w:contextualSpacing/>
        <w:rPr>
          <w:rFonts w:eastAsiaTheme="minorEastAsia"/>
          <w:color w:val="000000" w:themeColor="text1"/>
          <w:u w:val="single"/>
        </w:rPr>
      </w:pPr>
    </w:p>
    <w:p w:rsidRPr="00C47353" w:rsidR="00E07BA1" w:rsidP="00C3619B" w:rsidRDefault="00E07BA1" w14:paraId="5651AA19" w14:textId="275E00F6">
      <w:pPr>
        <w:ind w:left="360"/>
        <w:rPr>
          <w:color w:val="000000"/>
        </w:rPr>
      </w:pPr>
      <w:r w:rsidRPr="00C47353">
        <w:rPr>
          <w:color w:val="000000"/>
        </w:rPr>
        <w:t xml:space="preserve">The information collected in this study is relevant to CTP’s </w:t>
      </w:r>
      <w:r w:rsidR="00B93964">
        <w:rPr>
          <w:color w:val="000000"/>
        </w:rPr>
        <w:t xml:space="preserve">potential future </w:t>
      </w:r>
      <w:r w:rsidRPr="00C47353">
        <w:rPr>
          <w:color w:val="000000"/>
        </w:rPr>
        <w:t xml:space="preserve">rulemaking regarding the marketing and presence of flavor features in ENDS. CTP will review the final report produced by Johns Hopkins University </w:t>
      </w:r>
      <w:r w:rsidR="0082519A">
        <w:rPr>
          <w:color w:val="000000"/>
        </w:rPr>
        <w:t xml:space="preserve">(JHU) </w:t>
      </w:r>
      <w:r w:rsidRPr="00C47353">
        <w:rPr>
          <w:color w:val="000000"/>
        </w:rPr>
        <w:t>and take findings into consideration for the potential development of regulations. For example, if we find that the inclusion of flavor imagery significantly increases appeal, curiosity and interest in using the product among youth, CTP could consider implementing a rule restricting use of this marketing tactic on the grounds that it is a form of youth targeting.</w:t>
      </w:r>
    </w:p>
    <w:p w:rsidRPr="00114D58" w:rsidR="00CC2894" w:rsidP="00F207A4" w:rsidRDefault="00CC2894" w14:paraId="55AB7F7B" w14:textId="65ED8BE9">
      <w:pPr>
        <w:ind w:left="720"/>
        <w:rPr>
          <w:rFonts w:ascii="Arial" w:hAnsi="Arial" w:cs="Arial"/>
          <w:i/>
          <w:sz w:val="22"/>
          <w:szCs w:val="22"/>
        </w:rPr>
      </w:pPr>
    </w:p>
    <w:p w:rsidRPr="00C47353" w:rsidR="002A1210" w:rsidP="00C47353" w:rsidRDefault="00EB7538" w14:paraId="31211CC2" w14:textId="59F5FA62">
      <w:pPr>
        <w:pStyle w:val="ListParagraph"/>
        <w:numPr>
          <w:ilvl w:val="0"/>
          <w:numId w:val="1"/>
        </w:numPr>
        <w:tabs>
          <w:tab w:val="clear" w:pos="720"/>
        </w:tabs>
        <w:spacing w:before="0" w:beforeAutospacing="0" w:after="0" w:afterAutospacing="0"/>
        <w:ind w:left="360"/>
        <w:contextualSpacing/>
        <w:rPr>
          <w:rFonts w:eastAsiaTheme="minorEastAsia"/>
          <w:color w:val="000000" w:themeColor="text1"/>
          <w:u w:val="single"/>
        </w:rPr>
      </w:pPr>
      <w:r w:rsidRPr="00C47353">
        <w:rPr>
          <w:rFonts w:eastAsiaTheme="minorEastAsia"/>
          <w:color w:val="000000" w:themeColor="text1"/>
          <w:u w:val="single"/>
        </w:rPr>
        <w:t xml:space="preserve">Use of Improved Information Technology and Burden Reduction </w:t>
      </w:r>
    </w:p>
    <w:p w:rsidRPr="00C47353" w:rsidR="001B6FB1" w:rsidP="00C3619B" w:rsidRDefault="001B6FB1" w14:paraId="4C935D63" w14:textId="180ACB39">
      <w:pPr>
        <w:spacing w:before="100" w:beforeAutospacing="1" w:after="100" w:afterAutospacing="1"/>
        <w:ind w:left="360"/>
      </w:pPr>
      <w:r w:rsidRPr="00C47353">
        <w:t>Automated information technology will be used in the collection of information for this study.</w:t>
      </w:r>
      <w:r w:rsidRPr="00C47353" w:rsidR="00DB16A4">
        <w:t xml:space="preserve"> One hundred percent (100%) of participants will self-administer the </w:t>
      </w:r>
      <w:r w:rsidR="007D3F72">
        <w:t xml:space="preserve">online </w:t>
      </w:r>
      <w:r w:rsidRPr="00C47353" w:rsidR="00DB16A4">
        <w:t xml:space="preserve">survey, which will record </w:t>
      </w:r>
      <w:r w:rsidRPr="00C47353" w:rsidR="00D848C3">
        <w:t>responses,</w:t>
      </w:r>
      <w:r w:rsidRPr="00C47353" w:rsidR="00DB16A4">
        <w:t xml:space="preserve"> and which has skip patterns for questions already programmed in so that the appropriate question set will be automatically displayed to participants. Burden will be reduced by recording data on a one-time basis for each participant and by not containing any written responses (all responses are multiple choice).</w:t>
      </w:r>
      <w:r w:rsidRPr="00C47353" w:rsidR="00C00427">
        <w:t xml:space="preserve"> Administration of the survey using web methods will help to contain costs, allowing for a sample that is geographically diverse without driving up interviewer costs for travel during data collection. The online screener and survey permit greater expediency with respect to data processing and analysis</w:t>
      </w:r>
      <w:r w:rsidRPr="00C47353" w:rsidR="008636DE">
        <w:t>, minimizing back-end steps such as coding and data entry. These efficiencies save time due to the speed of data transmission, as well as receipt in a format suitable for analysis. Finally, this technology permits respondents to complete the survey questions in private. Providing the respondent with a methodology that improves privacy reduces the potential for experiencing embarrassment or stigmatization when reporting on tobacco use behaviors and enhances response validity and response rates.</w:t>
      </w:r>
    </w:p>
    <w:p w:rsidRPr="00CD37B8" w:rsidR="002746DB" w:rsidP="00081417" w:rsidRDefault="00EB7538" w14:paraId="46A9DF18" w14:textId="54FCB034">
      <w:pPr>
        <w:numPr>
          <w:ilvl w:val="0"/>
          <w:numId w:val="1"/>
        </w:numPr>
        <w:spacing w:before="100" w:beforeAutospacing="1" w:after="100" w:afterAutospacing="1"/>
        <w:ind w:left="360"/>
        <w:rPr>
          <w:rFonts w:eastAsiaTheme="minorEastAsia"/>
          <w:color w:val="000000" w:themeColor="text1"/>
          <w:u w:val="single"/>
        </w:rPr>
      </w:pPr>
      <w:r w:rsidRPr="00CD37B8">
        <w:rPr>
          <w:rFonts w:eastAsiaTheme="minorEastAsia"/>
          <w:color w:val="000000" w:themeColor="text1"/>
          <w:u w:val="single"/>
        </w:rPr>
        <w:t xml:space="preserve">Efforts to Identify Duplication and Use of Similar Information </w:t>
      </w:r>
    </w:p>
    <w:p w:rsidRPr="00D848C3" w:rsidR="00BA1C53" w:rsidP="00242A94" w:rsidRDefault="00BA1C53" w14:paraId="7D00AFC6" w14:textId="5AA9C564">
      <w:pPr>
        <w:spacing w:before="100" w:beforeAutospacing="1" w:after="100" w:afterAutospacing="1"/>
        <w:ind w:left="360"/>
      </w:pPr>
      <w:r w:rsidRPr="00D848C3">
        <w:t>This study contributes to literature on the use of flavor</w:t>
      </w:r>
      <w:r w:rsidR="00B93964">
        <w:t>s</w:t>
      </w:r>
      <w:r w:rsidRPr="00D848C3">
        <w:t xml:space="preserve"> in ENDS </w:t>
      </w:r>
      <w:r w:rsidRPr="00D848C3" w:rsidR="00D848C3">
        <w:t>marketing and</w:t>
      </w:r>
      <w:r w:rsidRPr="00D848C3" w:rsidR="00656EBB">
        <w:t xml:space="preserve"> contributes to FDA’s </w:t>
      </w:r>
      <w:r w:rsidRPr="00D848C3" w:rsidR="006C530D">
        <w:t xml:space="preserve">ability to regulate ENDS marketing tactics – specifically, the use of flavor name modifiers, imagery, and descriptors </w:t>
      </w:r>
      <w:r w:rsidRPr="00D848C3" w:rsidR="00D848C3">
        <w:t>– that</w:t>
      </w:r>
      <w:r w:rsidRPr="00D848C3" w:rsidR="006C530D">
        <w:t xml:space="preserve"> target youth. </w:t>
      </w:r>
      <w:r w:rsidRPr="00D848C3" w:rsidR="008D3D6A">
        <w:t>Our prior work</w:t>
      </w:r>
      <w:r w:rsidR="00090389">
        <w:rPr>
          <w:rStyle w:val="FootnoteReference"/>
        </w:rPr>
        <w:footnoteReference w:id="3"/>
      </w:r>
      <w:r w:rsidRPr="002B27CA" w:rsidR="00090389">
        <w:rPr>
          <w:vertAlign w:val="superscript"/>
        </w:rPr>
        <w:t>,</w:t>
      </w:r>
      <w:r w:rsidR="00090389">
        <w:rPr>
          <w:rStyle w:val="FootnoteReference"/>
        </w:rPr>
        <w:footnoteReference w:id="4"/>
      </w:r>
      <w:r w:rsidRPr="00D848C3" w:rsidR="008D3D6A">
        <w:t xml:space="preserve"> analyzed three </w:t>
      </w:r>
      <w:r w:rsidRPr="00D848C3" w:rsidR="00D848C3">
        <w:t>years’ worth</w:t>
      </w:r>
      <w:r w:rsidRPr="00D848C3" w:rsidR="008D3D6A">
        <w:t xml:space="preserve"> of ENDS advertisements to identify the key ways that flavor was communicated in the ads. The current study uses the results of that work to test the effect of three key ways flavor is communicated. </w:t>
      </w:r>
      <w:r w:rsidRPr="00D848C3" w:rsidR="006C530D">
        <w:t xml:space="preserve">No existing data could have been used to address this </w:t>
      </w:r>
      <w:r w:rsidRPr="00D848C3" w:rsidR="00943792">
        <w:t>need. We have conducted a literature review of the use of flavor</w:t>
      </w:r>
      <w:r w:rsidR="00B93964">
        <w:t>s</w:t>
      </w:r>
      <w:r w:rsidRPr="00D848C3" w:rsidR="00943792">
        <w:t xml:space="preserve"> in ENDS marketing via searches on PubMed and Google Scholar. No studies have produced information similar to that which will be obtained in the current data collection.</w:t>
      </w:r>
      <w:r w:rsidRPr="00D848C3" w:rsidR="000E5B33">
        <w:t xml:space="preserve"> No prior or currently on-going FDA data </w:t>
      </w:r>
      <w:r w:rsidRPr="00D848C3" w:rsidR="000E5B33">
        <w:lastRenderedPageBreak/>
        <w:t>collection has focused on this topic.</w:t>
      </w:r>
      <w:r w:rsidRPr="00D848C3" w:rsidR="0060620D">
        <w:t xml:space="preserve"> The current data collection is not duplicative of efforts on-going in other government agencies (i.e., CDC, NIH).</w:t>
      </w:r>
    </w:p>
    <w:p w:rsidRPr="00D848C3" w:rsidR="002746DB" w:rsidP="00081417" w:rsidRDefault="00EB7538" w14:paraId="1178BE1E" w14:textId="6590CD76">
      <w:pPr>
        <w:numPr>
          <w:ilvl w:val="0"/>
          <w:numId w:val="1"/>
        </w:numPr>
        <w:spacing w:before="100" w:beforeAutospacing="1" w:after="100" w:afterAutospacing="1"/>
        <w:ind w:left="360"/>
        <w:rPr>
          <w:rFonts w:eastAsiaTheme="minorEastAsia"/>
          <w:color w:val="000000" w:themeColor="text1"/>
          <w:u w:val="single"/>
        </w:rPr>
      </w:pPr>
      <w:r w:rsidRPr="00D848C3">
        <w:rPr>
          <w:rFonts w:eastAsiaTheme="minorEastAsia"/>
          <w:color w:val="000000" w:themeColor="text1"/>
          <w:u w:val="single"/>
        </w:rPr>
        <w:t>Impact on Small Businesses or Other Small Entities</w:t>
      </w:r>
    </w:p>
    <w:p w:rsidRPr="00C61BC1" w:rsidR="00C61BC1" w:rsidP="00081417" w:rsidRDefault="00C61BC1" w14:paraId="7F271AA7" w14:textId="483C6CB1">
      <w:pPr>
        <w:spacing w:before="100" w:beforeAutospacing="1" w:after="100" w:afterAutospacing="1"/>
        <w:ind w:left="360"/>
        <w:rPr>
          <w:rFonts w:ascii="Arial" w:hAnsi="Arial" w:cs="Arial"/>
          <w:sz w:val="22"/>
          <w:szCs w:val="22"/>
        </w:rPr>
      </w:pPr>
      <w:r w:rsidRPr="00D848C3">
        <w:t xml:space="preserve">No small businesses are involved in this data collection. All respondents are individuals. We do not anticipate any impact on small businesses or other small entities in terms of </w:t>
      </w:r>
      <w:r w:rsidRPr="00D848C3" w:rsidR="00306ED9">
        <w:t>data collection burden</w:t>
      </w:r>
      <w:r w:rsidR="00306ED9">
        <w:rPr>
          <w:rFonts w:ascii="Arial" w:hAnsi="Arial" w:cs="Arial"/>
          <w:sz w:val="22"/>
          <w:szCs w:val="22"/>
        </w:rPr>
        <w:t xml:space="preserve">. </w:t>
      </w:r>
    </w:p>
    <w:p w:rsidRPr="00D848C3" w:rsidR="00CD77C3" w:rsidP="00081417" w:rsidRDefault="00EB7538" w14:paraId="4956038C" w14:textId="77777777">
      <w:pPr>
        <w:numPr>
          <w:ilvl w:val="0"/>
          <w:numId w:val="1"/>
        </w:numPr>
        <w:spacing w:before="100" w:beforeAutospacing="1" w:after="100" w:afterAutospacing="1"/>
        <w:ind w:left="360"/>
        <w:rPr>
          <w:rFonts w:eastAsiaTheme="minorEastAsia"/>
          <w:color w:val="000000" w:themeColor="text1"/>
          <w:u w:val="single"/>
        </w:rPr>
      </w:pPr>
      <w:r w:rsidRPr="00D848C3">
        <w:rPr>
          <w:rFonts w:eastAsiaTheme="minorEastAsia"/>
          <w:color w:val="000000" w:themeColor="text1"/>
          <w:u w:val="single"/>
        </w:rPr>
        <w:t>Consequences of Collecting the Information Less Frequently</w:t>
      </w:r>
    </w:p>
    <w:p w:rsidRPr="00D848C3" w:rsidR="006A762C" w:rsidP="00081417" w:rsidRDefault="00DD7B45" w14:paraId="5A68BDD4" w14:textId="6D08F3E0">
      <w:pPr>
        <w:ind w:firstLine="360"/>
      </w:pPr>
      <w:r w:rsidRPr="00D848C3">
        <w:t>This is a one-time data collection.</w:t>
      </w:r>
      <w:r w:rsidRPr="00D848C3" w:rsidR="009675FF">
        <w:t xml:space="preserve"> </w:t>
      </w:r>
    </w:p>
    <w:p w:rsidRPr="00D848C3" w:rsidR="00CD77C3" w:rsidP="00081417" w:rsidRDefault="00EB7538" w14:paraId="522FB73D" w14:textId="3B6EF052">
      <w:pPr>
        <w:numPr>
          <w:ilvl w:val="0"/>
          <w:numId w:val="1"/>
        </w:numPr>
        <w:spacing w:before="100" w:beforeAutospacing="1" w:after="100" w:afterAutospacing="1"/>
        <w:ind w:left="360"/>
        <w:rPr>
          <w:rFonts w:eastAsiaTheme="minorEastAsia"/>
          <w:color w:val="000000" w:themeColor="text1"/>
          <w:u w:val="single"/>
        </w:rPr>
      </w:pPr>
      <w:r w:rsidRPr="00D848C3">
        <w:rPr>
          <w:rFonts w:eastAsiaTheme="minorEastAsia"/>
          <w:color w:val="000000" w:themeColor="text1"/>
          <w:u w:val="single"/>
        </w:rPr>
        <w:t>Special Circumstances Relating to the Guidelines of 5 CFR 1320.5</w:t>
      </w:r>
    </w:p>
    <w:p w:rsidRPr="00D848C3" w:rsidR="009675FF" w:rsidP="00081417" w:rsidRDefault="009675FF" w14:paraId="2A0659C6" w14:textId="1593D68C">
      <w:pPr>
        <w:spacing w:before="100" w:beforeAutospacing="1" w:after="100" w:afterAutospacing="1"/>
        <w:ind w:left="360"/>
      </w:pPr>
      <w:r w:rsidRPr="00D848C3">
        <w:t xml:space="preserve">There are no special circumstances for this </w:t>
      </w:r>
      <w:r w:rsidRPr="00D848C3" w:rsidR="000526EC">
        <w:t xml:space="preserve">collection of information that require the data collection to be conducted in a </w:t>
      </w:r>
      <w:r w:rsidRPr="00D848C3" w:rsidR="008428AF">
        <w:t xml:space="preserve">manner </w:t>
      </w:r>
      <w:r w:rsidRPr="00D848C3" w:rsidR="008428AF">
        <w:rPr>
          <w:color w:val="000000" w:themeColor="text1"/>
        </w:rPr>
        <w:t>inconsistent with 5 CFR 1320.5(d)(2). The research activities fully comply with the guidelines in 5 CFR 1320.5.</w:t>
      </w:r>
    </w:p>
    <w:p w:rsidR="00CD77C3" w:rsidP="00081417" w:rsidRDefault="00EB7538" w14:paraId="327DCA6E" w14:textId="06DAAB9B">
      <w:pPr>
        <w:numPr>
          <w:ilvl w:val="0"/>
          <w:numId w:val="1"/>
        </w:numPr>
        <w:spacing w:before="100" w:beforeAutospacing="1" w:after="100" w:afterAutospacing="1"/>
        <w:ind w:left="360"/>
        <w:rPr>
          <w:rFonts w:eastAsiaTheme="minorEastAsia"/>
          <w:color w:val="000000" w:themeColor="text1"/>
          <w:u w:val="single"/>
        </w:rPr>
      </w:pPr>
      <w:r w:rsidRPr="00D848C3">
        <w:rPr>
          <w:rFonts w:eastAsiaTheme="minorEastAsia"/>
          <w:color w:val="000000" w:themeColor="text1"/>
          <w:u w:val="single"/>
        </w:rPr>
        <w:t>Comments in Response to the Federal Register Notice and Efforts to Consult Outside the Agency</w:t>
      </w:r>
    </w:p>
    <w:p w:rsidR="00081417" w:rsidP="00081417" w:rsidRDefault="00081417" w14:paraId="0DF6072B" w14:textId="185D7A18">
      <w:pPr>
        <w:spacing w:before="100" w:beforeAutospacing="1" w:after="100" w:afterAutospacing="1"/>
        <w:ind w:left="360"/>
        <w:rPr>
          <w:rFonts w:eastAsiaTheme="minorEastAsia"/>
          <w:color w:val="000000" w:themeColor="text1"/>
        </w:rPr>
      </w:pPr>
      <w:r w:rsidRPr="00081417">
        <w:rPr>
          <w:rFonts w:eastAsiaTheme="minorEastAsia"/>
          <w:color w:val="000000" w:themeColor="text1"/>
        </w:rPr>
        <w:t xml:space="preserve">In accordance with 5 CFR 1320.8(d), FDA published a 60 day notice for public comment in the FEDERAL REGISTER of </w:t>
      </w:r>
      <w:r w:rsidR="006C123D">
        <w:rPr>
          <w:rFonts w:eastAsiaTheme="minorEastAsia"/>
          <w:color w:val="000000" w:themeColor="text1"/>
        </w:rPr>
        <w:t xml:space="preserve">March </w:t>
      </w:r>
      <w:r w:rsidR="00242A94">
        <w:rPr>
          <w:rFonts w:eastAsiaTheme="minorEastAsia"/>
          <w:color w:val="000000" w:themeColor="text1"/>
        </w:rPr>
        <w:t>3</w:t>
      </w:r>
      <w:r w:rsidR="006C123D">
        <w:rPr>
          <w:rFonts w:eastAsiaTheme="minorEastAsia"/>
          <w:color w:val="000000" w:themeColor="text1"/>
        </w:rPr>
        <w:t xml:space="preserve">,  </w:t>
      </w:r>
      <w:r w:rsidR="00242A94">
        <w:rPr>
          <w:rFonts w:eastAsiaTheme="minorEastAsia"/>
          <w:color w:val="000000" w:themeColor="text1"/>
        </w:rPr>
        <w:t>2021</w:t>
      </w:r>
      <w:r w:rsidRPr="00081417">
        <w:rPr>
          <w:rFonts w:eastAsiaTheme="minorEastAsia"/>
          <w:color w:val="000000" w:themeColor="text1"/>
        </w:rPr>
        <w:t xml:space="preserve"> (</w:t>
      </w:r>
      <w:r w:rsidRPr="00242A94" w:rsidR="00242A94">
        <w:rPr>
          <w:rFonts w:eastAsiaTheme="minorEastAsia"/>
          <w:color w:val="000000" w:themeColor="text1"/>
        </w:rPr>
        <w:t>86 FR 12468</w:t>
      </w:r>
      <w:r w:rsidRPr="00081417">
        <w:rPr>
          <w:rFonts w:eastAsiaTheme="minorEastAsia"/>
          <w:color w:val="000000" w:themeColor="text1"/>
        </w:rPr>
        <w:t xml:space="preserve">).  </w:t>
      </w:r>
      <w:bookmarkStart w:name="_Hlk83126012" w:id="0"/>
      <w:r w:rsidR="001E615D">
        <w:rPr>
          <w:rFonts w:eastAsiaTheme="minorEastAsia"/>
          <w:color w:val="000000" w:themeColor="text1"/>
        </w:rPr>
        <w:t>FDA received nine comments</w:t>
      </w:r>
      <w:r w:rsidR="00AD4D1B">
        <w:rPr>
          <w:rFonts w:eastAsiaTheme="minorEastAsia"/>
          <w:color w:val="000000" w:themeColor="text1"/>
        </w:rPr>
        <w:t xml:space="preserve">, </w:t>
      </w:r>
      <w:r w:rsidR="001E615D">
        <w:rPr>
          <w:rFonts w:eastAsiaTheme="minorEastAsia"/>
          <w:color w:val="000000" w:themeColor="text1"/>
        </w:rPr>
        <w:t xml:space="preserve">four </w:t>
      </w:r>
      <w:r w:rsidR="00AD4D1B">
        <w:rPr>
          <w:rFonts w:eastAsiaTheme="minorEastAsia"/>
          <w:color w:val="000000" w:themeColor="text1"/>
        </w:rPr>
        <w:t xml:space="preserve">of which </w:t>
      </w:r>
      <w:r w:rsidR="001E615D">
        <w:rPr>
          <w:rFonts w:eastAsiaTheme="minorEastAsia"/>
          <w:color w:val="000000" w:themeColor="text1"/>
        </w:rPr>
        <w:t xml:space="preserve">were PRA related. </w:t>
      </w:r>
    </w:p>
    <w:bookmarkEnd w:id="0"/>
    <w:p w:rsidRPr="001E615D" w:rsidR="001E615D" w:rsidP="001E615D" w:rsidRDefault="001E615D" w14:paraId="1E3E37E1" w14:textId="340A68E5">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Pr>
          <w:rFonts w:eastAsiaTheme="minorEastAsia"/>
          <w:color w:val="000000" w:themeColor="text1"/>
        </w:rPr>
        <w:t>Comment</w:t>
      </w:r>
      <w:r>
        <w:rPr>
          <w:rFonts w:eastAsiaTheme="minorEastAsia"/>
          <w:color w:val="000000" w:themeColor="text1"/>
        </w:rPr>
        <w:t>)</w:t>
      </w:r>
      <w:r w:rsidRPr="001E615D">
        <w:rPr>
          <w:rFonts w:eastAsiaTheme="minorEastAsia"/>
          <w:color w:val="000000" w:themeColor="text1"/>
        </w:rPr>
        <w:t xml:space="preserve"> One commenter supports FDA’s proposed collection of information and stated that research on the advertising of flavored e-cigarettes and its impact on the perceptions of nonusers, e-cigarette users, cigarette smokers, and dual users is important. The commenter also noted that the proposed study length is acceptable and comprises typical burden for respondents in this type of research.</w:t>
      </w:r>
    </w:p>
    <w:p w:rsidRPr="001E615D" w:rsidR="001E615D" w:rsidP="001E615D" w:rsidRDefault="001E615D" w14:paraId="1775C491" w14:textId="5385714A">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Pr>
          <w:rFonts w:eastAsiaTheme="minorEastAsia"/>
          <w:color w:val="000000" w:themeColor="text1"/>
        </w:rPr>
        <w:t>Response</w:t>
      </w:r>
      <w:r>
        <w:rPr>
          <w:rFonts w:eastAsiaTheme="minorEastAsia"/>
          <w:color w:val="000000" w:themeColor="text1"/>
        </w:rPr>
        <w:t>)</w:t>
      </w:r>
      <w:r w:rsidRPr="001E615D">
        <w:rPr>
          <w:rFonts w:eastAsiaTheme="minorEastAsia"/>
          <w:color w:val="000000" w:themeColor="text1"/>
        </w:rPr>
        <w:t xml:space="preserve"> FDA agrees with this comment and believes the study will contribute to our understanding of how consumers interpret flavor features on product labeling to make inferences about ENDS product qualities and intentions to use. We also believe the study’s burden estimate aligns with previous research studies of this kind</w:t>
      </w:r>
      <w:r w:rsidR="000F7A93">
        <w:rPr>
          <w:rFonts w:eastAsiaTheme="minorEastAsia"/>
          <w:color w:val="000000" w:themeColor="text1"/>
        </w:rPr>
        <w:t>.</w:t>
      </w:r>
    </w:p>
    <w:p w:rsidRPr="001E615D" w:rsidR="001E615D" w:rsidP="001E615D" w:rsidRDefault="001E615D" w14:paraId="2CEDFA03" w14:textId="6157A4AC">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Pr>
          <w:rFonts w:eastAsiaTheme="minorEastAsia"/>
          <w:color w:val="000000" w:themeColor="text1"/>
        </w:rPr>
        <w:t>Comment</w:t>
      </w:r>
      <w:r>
        <w:rPr>
          <w:rFonts w:eastAsiaTheme="minorEastAsia"/>
          <w:color w:val="000000" w:themeColor="text1"/>
        </w:rPr>
        <w:t>)</w:t>
      </w:r>
      <w:r w:rsidRPr="001E615D">
        <w:rPr>
          <w:rFonts w:eastAsiaTheme="minorEastAsia"/>
          <w:color w:val="000000" w:themeColor="text1"/>
        </w:rPr>
        <w:t xml:space="preserve"> One commenter stated that the FDA should research the role of flavored non-combustible tobacco products in converting adult smokers from cigarettes. </w:t>
      </w:r>
    </w:p>
    <w:p w:rsidRPr="001E615D" w:rsidR="001E615D" w:rsidP="001E615D" w:rsidRDefault="001E615D" w14:paraId="65B5ADC5" w14:textId="6BD941CF">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Pr>
          <w:rFonts w:eastAsiaTheme="minorEastAsia"/>
          <w:color w:val="000000" w:themeColor="text1"/>
        </w:rPr>
        <w:t>Response</w:t>
      </w:r>
      <w:r>
        <w:rPr>
          <w:rFonts w:eastAsiaTheme="minorEastAsia"/>
          <w:color w:val="000000" w:themeColor="text1"/>
        </w:rPr>
        <w:t>)</w:t>
      </w:r>
      <w:r w:rsidRPr="001E615D">
        <w:rPr>
          <w:rFonts w:eastAsiaTheme="minorEastAsia"/>
          <w:color w:val="000000" w:themeColor="text1"/>
        </w:rPr>
        <w:t xml:space="preserve"> This study focuses on appeal of the selected advertising tactics on youth and young adults. Expanding the sample to include older adults (or all adults) is beyond the scope of the study.</w:t>
      </w:r>
    </w:p>
    <w:p w:rsidRPr="001E615D" w:rsidR="001E615D" w:rsidP="007B2E11" w:rsidRDefault="001E615D" w14:paraId="56BE9400" w14:textId="093478CA">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Pr>
          <w:rFonts w:eastAsiaTheme="minorEastAsia"/>
          <w:color w:val="000000" w:themeColor="text1"/>
        </w:rPr>
        <w:t>Comment</w:t>
      </w:r>
      <w:r>
        <w:rPr>
          <w:rFonts w:eastAsiaTheme="minorEastAsia"/>
          <w:color w:val="000000" w:themeColor="text1"/>
        </w:rPr>
        <w:t>)</w:t>
      </w:r>
      <w:r w:rsidRPr="001E615D">
        <w:rPr>
          <w:rFonts w:eastAsiaTheme="minorEastAsia"/>
          <w:color w:val="000000" w:themeColor="text1"/>
        </w:rPr>
        <w:t xml:space="preserve"> FDA received a comment suggesting they consider separating underage individuals from those who are of legal age to purchase tobacco products. </w:t>
      </w:r>
    </w:p>
    <w:p w:rsidRPr="001E615D" w:rsidR="001E615D" w:rsidP="007B2E11" w:rsidRDefault="007B2E11" w14:paraId="1158D9C4" w14:textId="2D4B8108">
      <w:pPr>
        <w:spacing w:before="100" w:beforeAutospacing="1" w:after="100" w:afterAutospacing="1"/>
        <w:ind w:left="360"/>
        <w:rPr>
          <w:rFonts w:eastAsiaTheme="minorEastAsia"/>
          <w:color w:val="000000" w:themeColor="text1"/>
        </w:rPr>
      </w:pPr>
      <w:r>
        <w:rPr>
          <w:rFonts w:eastAsiaTheme="minorEastAsia"/>
          <w:color w:val="000000" w:themeColor="text1"/>
        </w:rPr>
        <w:lastRenderedPageBreak/>
        <w:t>(</w:t>
      </w:r>
      <w:r w:rsidRPr="001E615D" w:rsidR="001E615D">
        <w:rPr>
          <w:rFonts w:eastAsiaTheme="minorEastAsia"/>
          <w:color w:val="000000" w:themeColor="text1"/>
        </w:rPr>
        <w:t>Response</w:t>
      </w:r>
      <w:r>
        <w:rPr>
          <w:rFonts w:eastAsiaTheme="minorEastAsia"/>
          <w:color w:val="000000" w:themeColor="text1"/>
        </w:rPr>
        <w:t>)</w:t>
      </w:r>
      <w:r w:rsidRPr="001E615D" w:rsidR="001E615D">
        <w:rPr>
          <w:rFonts w:eastAsiaTheme="minorEastAsia"/>
          <w:color w:val="000000" w:themeColor="text1"/>
        </w:rPr>
        <w:t xml:space="preserve"> The aim of this study centers around appeal of the selected advertising tactics on youth and young adults. The selection of the advertising tactics to be studied was grounded in research conducted when the federal legal age to purchase tobacco was 18 years of age. Thus, we intend to sample youth aged 13-17 and young adults aged 18-24. However, as resources allow, we will plan to conduct supplementary analyses to account for the new federal legal age (e.g., under 21 years vs. 21+ years)</w:t>
      </w:r>
      <w:r>
        <w:rPr>
          <w:rFonts w:eastAsiaTheme="minorEastAsia"/>
          <w:color w:val="000000" w:themeColor="text1"/>
        </w:rPr>
        <w:t>.</w:t>
      </w:r>
    </w:p>
    <w:p w:rsidRPr="001E615D" w:rsidR="001E615D" w:rsidP="00AD4D1B" w:rsidRDefault="007B2E11" w14:paraId="54DC5DD9" w14:textId="5A9715B4">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Comment</w:t>
      </w:r>
      <w:r>
        <w:rPr>
          <w:rFonts w:eastAsiaTheme="minorEastAsia"/>
          <w:color w:val="000000" w:themeColor="text1"/>
        </w:rPr>
        <w:t xml:space="preserve">) </w:t>
      </w:r>
      <w:r w:rsidRPr="001E615D" w:rsidR="001E615D">
        <w:rPr>
          <w:rFonts w:eastAsiaTheme="minorEastAsia"/>
          <w:color w:val="000000" w:themeColor="text1"/>
        </w:rPr>
        <w:t>FDA received a comment suggesting they expand the sample to include tobacco users aged 25 and older.</w:t>
      </w:r>
    </w:p>
    <w:p w:rsidRPr="001E615D" w:rsidR="001E615D" w:rsidP="001E615D" w:rsidRDefault="007B2E11" w14:paraId="25093E4D" w14:textId="5DD0E045">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Response</w:t>
      </w:r>
      <w:r>
        <w:rPr>
          <w:rFonts w:eastAsiaTheme="minorEastAsia"/>
          <w:color w:val="000000" w:themeColor="text1"/>
        </w:rPr>
        <w:t>)</w:t>
      </w:r>
      <w:r w:rsidRPr="001E615D" w:rsidR="001E615D">
        <w:rPr>
          <w:rFonts w:eastAsiaTheme="minorEastAsia"/>
          <w:color w:val="000000" w:themeColor="text1"/>
        </w:rPr>
        <w:t xml:space="preserve"> This study focuses on appeal of the selected advertising tactics on youth and young adults. Expanding the sample to include older adults is beyond the scope of the study.</w:t>
      </w:r>
    </w:p>
    <w:p w:rsidRPr="001E615D" w:rsidR="001E615D" w:rsidP="007B2E11" w:rsidRDefault="007B2E11" w14:paraId="5D23FF45" w14:textId="29B9F784">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Comment</w:t>
      </w:r>
      <w:r>
        <w:rPr>
          <w:rFonts w:eastAsiaTheme="minorEastAsia"/>
          <w:color w:val="000000" w:themeColor="text1"/>
        </w:rPr>
        <w:t xml:space="preserve">) </w:t>
      </w:r>
      <w:r w:rsidRPr="001E615D" w:rsidR="001E615D">
        <w:rPr>
          <w:rFonts w:eastAsiaTheme="minorEastAsia"/>
          <w:color w:val="000000" w:themeColor="text1"/>
        </w:rPr>
        <w:t>FDA received a comment suggesting they include a range of flavor name modifiers.</w:t>
      </w:r>
    </w:p>
    <w:p w:rsidRPr="001E615D" w:rsidR="001E615D" w:rsidP="001E615D" w:rsidRDefault="007B2E11" w14:paraId="4904D76D" w14:textId="3DF0EA40">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Response</w:t>
      </w:r>
      <w:r>
        <w:rPr>
          <w:rFonts w:eastAsiaTheme="minorEastAsia"/>
          <w:color w:val="000000" w:themeColor="text1"/>
        </w:rPr>
        <w:t>)</w:t>
      </w:r>
      <w:r w:rsidRPr="001E615D" w:rsidR="001E615D">
        <w:rPr>
          <w:rFonts w:eastAsiaTheme="minorEastAsia"/>
          <w:color w:val="000000" w:themeColor="text1"/>
        </w:rPr>
        <w:t xml:space="preserve"> The flavor name modifiers used in the study were selected based upon careful review of prior research analyzing the tactics that ENDS companies use to advertise flavor. Our assessment is that the selected name modifiers are consistent with that research.</w:t>
      </w:r>
    </w:p>
    <w:p w:rsidRPr="001E615D" w:rsidR="001E615D" w:rsidP="007B2E11" w:rsidRDefault="007B2E11" w14:paraId="2C0D58AA" w14:textId="2FABA52A">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Comment</w:t>
      </w:r>
      <w:r>
        <w:rPr>
          <w:rFonts w:eastAsiaTheme="minorEastAsia"/>
          <w:color w:val="000000" w:themeColor="text1"/>
        </w:rPr>
        <w:t>)</w:t>
      </w:r>
      <w:r w:rsidRPr="001E615D" w:rsidR="001E615D">
        <w:rPr>
          <w:rFonts w:eastAsiaTheme="minorEastAsia"/>
          <w:color w:val="000000" w:themeColor="text1"/>
        </w:rPr>
        <w:t xml:space="preserve"> One commenter </w:t>
      </w:r>
      <w:r w:rsidRPr="00B97F50" w:rsidR="00B97F50">
        <w:rPr>
          <w:rFonts w:eastAsiaTheme="minorEastAsia"/>
          <w:color w:val="000000" w:themeColor="text1"/>
        </w:rPr>
        <w:t xml:space="preserve">stated that using generalized data to support </w:t>
      </w:r>
      <w:r w:rsidRPr="001E615D" w:rsidR="001E615D">
        <w:rPr>
          <w:rFonts w:eastAsiaTheme="minorEastAsia"/>
          <w:color w:val="000000" w:themeColor="text1"/>
        </w:rPr>
        <w:t xml:space="preserve">premarket </w:t>
      </w:r>
      <w:r w:rsidRPr="00B97F50" w:rsidR="00B97F50">
        <w:rPr>
          <w:rFonts w:eastAsiaTheme="minorEastAsia"/>
          <w:color w:val="000000" w:themeColor="text1"/>
        </w:rPr>
        <w:t xml:space="preserve">determinations for specific products on specific </w:t>
      </w:r>
      <w:r w:rsidRPr="001E615D" w:rsidR="001E615D">
        <w:rPr>
          <w:rFonts w:eastAsiaTheme="minorEastAsia"/>
          <w:color w:val="000000" w:themeColor="text1"/>
        </w:rPr>
        <w:t>applications</w:t>
      </w:r>
      <w:r w:rsidRPr="00B97F50" w:rsidR="00B97F50">
        <w:rPr>
          <w:rFonts w:eastAsiaTheme="minorEastAsia"/>
          <w:color w:val="000000" w:themeColor="text1"/>
        </w:rPr>
        <w:t xml:space="preserve"> is scientifically inappropriate. The commenter stated that the public should have the opportunity to provide comment on any proposed</w:t>
      </w:r>
      <w:r w:rsidRPr="001E615D" w:rsidR="001E615D">
        <w:rPr>
          <w:rFonts w:eastAsiaTheme="minorEastAsia"/>
          <w:color w:val="000000" w:themeColor="text1"/>
        </w:rPr>
        <w:t xml:space="preserve"> regulations</w:t>
      </w:r>
      <w:r w:rsidRPr="00B97F50" w:rsidR="00B97F50">
        <w:rPr>
          <w:rFonts w:eastAsiaTheme="minorEastAsia"/>
          <w:color w:val="000000" w:themeColor="text1"/>
        </w:rPr>
        <w:t>. Additionally, the commenter stated any proposed de facto category-wide restriction on the manufacture, marketing</w:t>
      </w:r>
      <w:r w:rsidRPr="001E615D" w:rsidR="001E615D">
        <w:rPr>
          <w:rFonts w:eastAsiaTheme="minorEastAsia"/>
          <w:color w:val="000000" w:themeColor="text1"/>
        </w:rPr>
        <w:t xml:space="preserve">, and </w:t>
      </w:r>
      <w:r w:rsidRPr="00B97F50" w:rsidR="00B97F50">
        <w:rPr>
          <w:rFonts w:eastAsiaTheme="minorEastAsia"/>
          <w:color w:val="000000" w:themeColor="text1"/>
        </w:rPr>
        <w:t xml:space="preserve">distribution of tobacco products should undergo the appropriate notice and comment </w:t>
      </w:r>
      <w:r w:rsidRPr="001E615D" w:rsidR="001E615D">
        <w:rPr>
          <w:rFonts w:eastAsiaTheme="minorEastAsia"/>
          <w:color w:val="000000" w:themeColor="text1"/>
        </w:rPr>
        <w:t>rulemaking</w:t>
      </w:r>
      <w:r w:rsidRPr="00B97F50" w:rsidR="00B97F50">
        <w:rPr>
          <w:rFonts w:eastAsiaTheme="minorEastAsia"/>
          <w:color w:val="000000" w:themeColor="text1"/>
        </w:rPr>
        <w:t xml:space="preserve"> procedures. </w:t>
      </w:r>
      <w:r w:rsidRPr="001E615D" w:rsidR="001E615D">
        <w:rPr>
          <w:rFonts w:eastAsiaTheme="minorEastAsia"/>
          <w:color w:val="000000" w:themeColor="text1"/>
        </w:rPr>
        <w:t xml:space="preserve"> </w:t>
      </w:r>
    </w:p>
    <w:p w:rsidRPr="001E615D" w:rsidR="001E615D" w:rsidP="001E615D" w:rsidRDefault="007B2E11" w14:paraId="170F3173" w14:textId="66EBF93F">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33247" w:rsidR="001E615D">
        <w:rPr>
          <w:rFonts w:eastAsiaTheme="minorEastAsia"/>
          <w:color w:val="000000" w:themeColor="text1"/>
        </w:rPr>
        <w:t>Response</w:t>
      </w:r>
      <w:r w:rsidRPr="00133247">
        <w:rPr>
          <w:rFonts w:eastAsiaTheme="minorEastAsia"/>
          <w:color w:val="000000" w:themeColor="text1"/>
        </w:rPr>
        <w:t xml:space="preserve">) </w:t>
      </w:r>
      <w:r w:rsidRPr="00133247" w:rsidR="00B97F50">
        <w:rPr>
          <w:rFonts w:eastAsiaTheme="minorEastAsia"/>
          <w:color w:val="000000" w:themeColor="text1"/>
        </w:rPr>
        <w:t xml:space="preserve">The primary goal of the study is to understand whether flavor-related imagery, descriptors, and flavor name modifiers affect product appeal, curiosity about the product, interest in using the product, and product perceptions among youth and young adults. </w:t>
      </w:r>
      <w:r w:rsidRPr="00133247" w:rsidR="00133247">
        <w:rPr>
          <w:rFonts w:eastAsiaTheme="minorEastAsia"/>
          <w:color w:val="000000" w:themeColor="text1"/>
        </w:rPr>
        <w:t xml:space="preserve">This study will not produce product-specific data; thus, </w:t>
      </w:r>
      <w:r w:rsidR="00133247">
        <w:rPr>
          <w:rFonts w:eastAsiaTheme="minorEastAsia"/>
          <w:color w:val="000000" w:themeColor="text1"/>
        </w:rPr>
        <w:t xml:space="preserve">it </w:t>
      </w:r>
      <w:r w:rsidRPr="00133247" w:rsidR="00133247">
        <w:rPr>
          <w:rFonts w:eastAsiaTheme="minorEastAsia"/>
          <w:color w:val="000000" w:themeColor="text1"/>
        </w:rPr>
        <w:t>would not form the sole basis for any premarket determinations, but the results could be taken into consideration more broadly as part of premarket review. Additionally, this study might inform FDA’s thinking regarding possible rulemaking but it will not provide sole support for any rulemaking. FDA’s consideration of any future rulemaking would follow the appropriate notice and comment rulemaking procedures, which would include an explanation of the scientific basis for the proposed rule. The scientific basis would consider all relevant science, not just the results of this one study. Lastly, this study does not indicate FDA’s intent to propose such a rule. The intent is to advance scientific knowledge broadly regarding the use of flavors in ENDS marketing.</w:t>
      </w:r>
    </w:p>
    <w:p w:rsidRPr="001E615D" w:rsidR="001E615D" w:rsidP="007B2E11" w:rsidRDefault="007B2E11" w14:paraId="389AE6D3" w14:textId="4B67665B">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Comment</w:t>
      </w:r>
      <w:r>
        <w:rPr>
          <w:rFonts w:eastAsiaTheme="minorEastAsia"/>
          <w:color w:val="000000" w:themeColor="text1"/>
        </w:rPr>
        <w:t xml:space="preserve">) </w:t>
      </w:r>
      <w:r w:rsidRPr="001E615D" w:rsidR="001E615D">
        <w:rPr>
          <w:rFonts w:eastAsiaTheme="minorEastAsia"/>
          <w:color w:val="000000" w:themeColor="text1"/>
        </w:rPr>
        <w:t xml:space="preserve">FDA received a comment expressing concern about exposing youth to ENDS advertisements. </w:t>
      </w:r>
    </w:p>
    <w:p w:rsidRPr="001E615D" w:rsidR="001E615D" w:rsidP="007B2E11" w:rsidRDefault="007B2E11" w14:paraId="799E174C" w14:textId="6D2540FC">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Response</w:t>
      </w:r>
      <w:r>
        <w:rPr>
          <w:rFonts w:eastAsiaTheme="minorEastAsia"/>
          <w:color w:val="000000" w:themeColor="text1"/>
        </w:rPr>
        <w:t>)</w:t>
      </w:r>
      <w:r w:rsidRPr="00133247" w:rsidR="001E615D">
        <w:rPr>
          <w:rFonts w:eastAsiaTheme="minorEastAsia"/>
          <w:color w:val="000000" w:themeColor="text1"/>
        </w:rPr>
        <w:t xml:space="preserve"> Our study protocol includes measures to minimize risk of youth exposure to ENDS advertisements. Before participating in the study, participants are informed that they </w:t>
      </w:r>
      <w:r w:rsidRPr="00133247" w:rsidR="001E615D">
        <w:rPr>
          <w:rFonts w:eastAsiaTheme="minorEastAsia"/>
          <w:color w:val="000000" w:themeColor="text1"/>
        </w:rPr>
        <w:lastRenderedPageBreak/>
        <w:t xml:space="preserve">will be shown five </w:t>
      </w:r>
      <w:r w:rsidR="00A92EE9">
        <w:t>ENDS advertisements. All</w:t>
      </w:r>
      <w:r w:rsidRPr="00133247" w:rsidR="001E615D">
        <w:rPr>
          <w:rFonts w:eastAsiaTheme="minorEastAsia"/>
          <w:color w:val="000000" w:themeColor="text1"/>
        </w:rPr>
        <w:t xml:space="preserve"> participants are free to </w:t>
      </w:r>
      <w:r w:rsidR="00A92EE9">
        <w:t>stop participation at any time and for any reason.</w:t>
      </w:r>
      <w:r w:rsidRPr="00133247" w:rsidR="001E615D">
        <w:rPr>
          <w:rFonts w:eastAsiaTheme="minorEastAsia"/>
          <w:color w:val="000000" w:themeColor="text1"/>
        </w:rPr>
        <w:t xml:space="preserve"> At the end of the survey, participants will view a </w:t>
      </w:r>
      <w:r w:rsidR="00A92EE9">
        <w:t>“debrief”</w:t>
      </w:r>
      <w:r w:rsidRPr="00133247" w:rsidR="001E615D">
        <w:rPr>
          <w:rFonts w:eastAsiaTheme="minorEastAsia"/>
          <w:color w:val="000000" w:themeColor="text1"/>
        </w:rPr>
        <w:t xml:space="preserve"> screen containing information about the risks of ENDS and references to FDA and others’ ENDS education and prevention campaigns.</w:t>
      </w:r>
    </w:p>
    <w:p w:rsidRPr="001E615D" w:rsidR="001E615D" w:rsidP="001E615D" w:rsidRDefault="001E615D" w14:paraId="40F0C448" w14:textId="77777777">
      <w:pPr>
        <w:spacing w:before="100" w:beforeAutospacing="1" w:after="100" w:afterAutospacing="1"/>
        <w:ind w:left="360"/>
        <w:rPr>
          <w:rFonts w:eastAsiaTheme="minorEastAsia"/>
          <w:color w:val="000000" w:themeColor="text1"/>
        </w:rPr>
      </w:pPr>
      <w:r w:rsidRPr="001E615D">
        <w:rPr>
          <w:rFonts w:eastAsiaTheme="minorEastAsia"/>
          <w:color w:val="000000" w:themeColor="text1"/>
        </w:rPr>
        <w:t>The Johns Hopkins Bloomberg School of Public Health’s Institutional Review Board reviewed and approved this study. We amended our recruitment process to further address this concern. We will also recruit youth aged 13-17 through their parent panelists (parents who are members of an existing online panel). Recruitment emails will be sent to parent panelists inviting them to have their child aged 13-17 participate in the study. Parents who are interested in having their child participate can have their child click the survey link in the recruitment email. This means that youth will be recruited to participate through two ways. First, we will recruit current youth panel members. Second, we will recruit youth through their parent panelists (parents who are members of the existing online panel).</w:t>
      </w:r>
    </w:p>
    <w:p w:rsidRPr="001E615D" w:rsidR="001E615D" w:rsidP="007B2E11" w:rsidRDefault="007B2E11" w14:paraId="2626549E" w14:textId="18F9790C">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Comment</w:t>
      </w:r>
      <w:r>
        <w:rPr>
          <w:rFonts w:eastAsiaTheme="minorEastAsia"/>
          <w:color w:val="000000" w:themeColor="text1"/>
        </w:rPr>
        <w:t>)</w:t>
      </w:r>
      <w:r w:rsidRPr="001E615D" w:rsidR="001E615D">
        <w:rPr>
          <w:rFonts w:eastAsiaTheme="minorEastAsia"/>
          <w:color w:val="000000" w:themeColor="text1"/>
        </w:rPr>
        <w:t xml:space="preserve"> FDA received a comment expressing that the study does not provide data that would inform “conclusions regarding the role of flavors in youth attractiveness” and that the study does not distinguish between characterizing and non-characterizing flavors. </w:t>
      </w:r>
    </w:p>
    <w:p w:rsidRPr="001E615D" w:rsidR="001E615D" w:rsidP="00AD4D1B" w:rsidRDefault="007B2E11" w14:paraId="4B762364" w14:textId="295B2696">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Response</w:t>
      </w:r>
      <w:r>
        <w:rPr>
          <w:rFonts w:eastAsiaTheme="minorEastAsia"/>
          <w:color w:val="000000" w:themeColor="text1"/>
        </w:rPr>
        <w:t>)</w:t>
      </w:r>
      <w:r w:rsidRPr="001E615D" w:rsidR="001E615D">
        <w:rPr>
          <w:rFonts w:eastAsiaTheme="minorEastAsia"/>
          <w:color w:val="000000" w:themeColor="text1"/>
        </w:rPr>
        <w:t xml:space="preserve"> The objective of this study is to examine the effect of flavor advertising tactics on consumer product perceptions and intentions to use, not the effect of actual flavors and flavor use. Therefore, this comment is out of scope for the proposed study.</w:t>
      </w:r>
    </w:p>
    <w:p w:rsidRPr="001E615D" w:rsidR="001E615D" w:rsidP="007B2E11" w:rsidRDefault="007B2E11" w14:paraId="289852CC" w14:textId="02584972">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Comment</w:t>
      </w:r>
      <w:r>
        <w:rPr>
          <w:rFonts w:eastAsiaTheme="minorEastAsia"/>
          <w:color w:val="000000" w:themeColor="text1"/>
        </w:rPr>
        <w:t>)</w:t>
      </w:r>
      <w:r w:rsidRPr="001E615D" w:rsidR="001E615D">
        <w:rPr>
          <w:rFonts w:eastAsiaTheme="minorEastAsia"/>
          <w:color w:val="000000" w:themeColor="text1"/>
        </w:rPr>
        <w:t xml:space="preserve"> FDA received a comment inquiring about whether “the survey will representatively sample/oversample for certain subpopulations – with a particular lens on race/ethnicity and other priority populations.” </w:t>
      </w:r>
    </w:p>
    <w:p w:rsidRPr="007B2E11" w:rsidR="00081417" w:rsidP="007B2E11" w:rsidRDefault="007B2E11" w14:paraId="1BCAF5E5" w14:textId="58215CF4">
      <w:pPr>
        <w:spacing w:before="100" w:beforeAutospacing="1" w:after="100" w:afterAutospacing="1"/>
        <w:ind w:left="360"/>
        <w:rPr>
          <w:rFonts w:eastAsiaTheme="minorEastAsia"/>
          <w:color w:val="000000" w:themeColor="text1"/>
        </w:rPr>
      </w:pPr>
      <w:r>
        <w:rPr>
          <w:rFonts w:eastAsiaTheme="minorEastAsia"/>
          <w:color w:val="000000" w:themeColor="text1"/>
        </w:rPr>
        <w:t>(</w:t>
      </w:r>
      <w:r w:rsidRPr="001E615D" w:rsidR="001E615D">
        <w:rPr>
          <w:rFonts w:eastAsiaTheme="minorEastAsia"/>
          <w:color w:val="000000" w:themeColor="text1"/>
        </w:rPr>
        <w:t>Response</w:t>
      </w:r>
      <w:r>
        <w:rPr>
          <w:rFonts w:eastAsiaTheme="minorEastAsia"/>
          <w:color w:val="000000" w:themeColor="text1"/>
        </w:rPr>
        <w:t>)</w:t>
      </w:r>
      <w:r w:rsidRPr="001E615D" w:rsidR="001E615D">
        <w:rPr>
          <w:rFonts w:eastAsiaTheme="minorEastAsia"/>
          <w:color w:val="000000" w:themeColor="text1"/>
        </w:rPr>
        <w:t xml:space="preserve"> The current sample was designed with a primary focus of sampling adequate numbers of youth and young adults across a variety of cigarette and ENDS use statuses (non-cigarette and non-ENDS users; cigarette users only; ENDS users only; dual ENDS and cigarette users)</w:t>
      </w:r>
      <w:r w:rsidR="00273A56">
        <w:rPr>
          <w:rFonts w:eastAsiaTheme="minorEastAsia"/>
          <w:color w:val="000000" w:themeColor="text1"/>
        </w:rPr>
        <w:t>, and we are not able to do additional oversampling given that some of these groups are of low frequency in the general population</w:t>
      </w:r>
      <w:r w:rsidRPr="001E615D" w:rsidR="001E615D">
        <w:rPr>
          <w:rFonts w:eastAsiaTheme="minorEastAsia"/>
          <w:color w:val="000000" w:themeColor="text1"/>
        </w:rPr>
        <w:t xml:space="preserve">. </w:t>
      </w:r>
      <w:r w:rsidR="00273A56">
        <w:rPr>
          <w:rFonts w:eastAsiaTheme="minorEastAsia"/>
          <w:color w:val="000000" w:themeColor="text1"/>
        </w:rPr>
        <w:t xml:space="preserve"> </w:t>
      </w:r>
      <w:r w:rsidRPr="001E615D" w:rsidR="001E615D">
        <w:rPr>
          <w:rFonts w:eastAsiaTheme="minorEastAsia"/>
          <w:color w:val="000000" w:themeColor="text1"/>
        </w:rPr>
        <w:t>However, we will be able to identify how our sample compares to national data, and our data will be weighted to be proportionally reflective of the U.S. population by race/ethnicity.</w:t>
      </w:r>
    </w:p>
    <w:p w:rsidR="006362DF" w:rsidP="00D848C3" w:rsidRDefault="006362DF" w14:paraId="72085272" w14:textId="4438CE8E">
      <w:pPr>
        <w:contextualSpacing/>
      </w:pPr>
      <w:r w:rsidRPr="00D848C3">
        <w:t>The following individuals inside the agency have been consulted on the study design and questionnaire development:</w:t>
      </w:r>
    </w:p>
    <w:p w:rsidRPr="00D848C3" w:rsidR="0071136D" w:rsidP="00D848C3" w:rsidRDefault="0071136D" w14:paraId="5258F5B3" w14:textId="77777777">
      <w:pPr>
        <w:contextualSpacing/>
      </w:pPr>
    </w:p>
    <w:p w:rsidRPr="00D848C3" w:rsidR="00D848C3" w:rsidP="006362DF" w:rsidRDefault="006362DF" w14:paraId="2D9BFC2B" w14:textId="03ECCE40">
      <w:pPr>
        <w:contextualSpacing/>
      </w:pPr>
      <w:r>
        <w:rPr>
          <w:rFonts w:ascii="Arial" w:hAnsi="Arial" w:cs="Arial"/>
          <w:sz w:val="22"/>
          <w:szCs w:val="22"/>
        </w:rPr>
        <w:tab/>
      </w:r>
      <w:r w:rsidRPr="00D848C3">
        <w:t>Izabella Zandberg</w:t>
      </w:r>
      <w:r w:rsidR="00D848C3">
        <w:t>, PhD</w:t>
      </w:r>
    </w:p>
    <w:p w:rsidRPr="0071136D" w:rsidR="00D848C3" w:rsidP="006362DF" w:rsidRDefault="00D848C3" w14:paraId="413CE532" w14:textId="180A78F1">
      <w:pPr>
        <w:contextualSpacing/>
      </w:pPr>
      <w:r w:rsidRPr="0071136D">
        <w:tab/>
        <w:t>Social Scientist, Office of Science</w:t>
      </w:r>
    </w:p>
    <w:p w:rsidR="00D848C3" w:rsidP="00D848C3" w:rsidRDefault="00D848C3" w14:paraId="659F66E0" w14:textId="3D214E73">
      <w:pPr>
        <w:ind w:firstLine="720"/>
      </w:pPr>
      <w:r w:rsidRPr="004024E4">
        <w:t>Center for Tobacco Products</w:t>
      </w:r>
    </w:p>
    <w:p w:rsidR="00D848C3" w:rsidP="00D848C3" w:rsidRDefault="00D848C3" w14:paraId="2F3A7DF0" w14:textId="330F0808">
      <w:pPr>
        <w:ind w:firstLine="720"/>
      </w:pPr>
      <w:r w:rsidRPr="004024E4">
        <w:t>U.S. Food and Drug Administration</w:t>
      </w:r>
    </w:p>
    <w:p w:rsidR="00D848C3" w:rsidP="00D848C3" w:rsidRDefault="00D848C3" w14:paraId="583B2CDC" w14:textId="77777777">
      <w:pPr>
        <w:ind w:left="720"/>
      </w:pPr>
      <w:r w:rsidRPr="00D848C3">
        <w:t>11785 Beltsville Drive</w:t>
      </w:r>
      <w:r w:rsidRPr="0083593E">
        <w:br/>
      </w:r>
      <w:r>
        <w:t>Beltsville</w:t>
      </w:r>
      <w:r w:rsidRPr="0083593E">
        <w:t>, MD 20</w:t>
      </w:r>
      <w:r>
        <w:t>705</w:t>
      </w:r>
    </w:p>
    <w:p w:rsidR="00D848C3" w:rsidP="00D848C3" w:rsidRDefault="00FF42B5" w14:paraId="287FA613" w14:textId="51F942CB">
      <w:pPr>
        <w:ind w:left="720"/>
      </w:pPr>
      <w:hyperlink w:history="1" r:id="rId8">
        <w:r w:rsidRPr="0071370F" w:rsidR="00185E55">
          <w:rPr>
            <w:rStyle w:val="Hyperlink"/>
          </w:rPr>
          <w:t>Izabella.Zandberg@fda.hhs.gov</w:t>
        </w:r>
      </w:hyperlink>
      <w:r w:rsidR="00185E55">
        <w:t xml:space="preserve"> </w:t>
      </w:r>
    </w:p>
    <w:p w:rsidR="0071136D" w:rsidP="00D848C3" w:rsidRDefault="0071136D" w14:paraId="2F0C98EE" w14:textId="3125AFB9">
      <w:pPr>
        <w:ind w:left="720"/>
      </w:pPr>
      <w:r>
        <w:t>240-402-2527</w:t>
      </w:r>
    </w:p>
    <w:p w:rsidR="006362DF" w:rsidP="006362DF" w:rsidRDefault="006362DF" w14:paraId="3F29550D" w14:textId="24ED5E06">
      <w:pPr>
        <w:contextualSpacing/>
        <w:rPr>
          <w:rFonts w:ascii="Arial" w:hAnsi="Arial" w:cs="Arial"/>
          <w:sz w:val="22"/>
          <w:szCs w:val="22"/>
        </w:rPr>
      </w:pPr>
    </w:p>
    <w:p w:rsidRPr="00D848C3" w:rsidR="006362DF" w:rsidP="006362DF" w:rsidRDefault="006362DF" w14:paraId="1E00354F" w14:textId="39D6C53F">
      <w:pPr>
        <w:contextualSpacing/>
      </w:pPr>
      <w:r>
        <w:rPr>
          <w:rFonts w:ascii="Arial" w:hAnsi="Arial" w:cs="Arial"/>
          <w:sz w:val="22"/>
          <w:szCs w:val="22"/>
        </w:rPr>
        <w:tab/>
      </w:r>
      <w:r w:rsidRPr="00D848C3">
        <w:t>Mi</w:t>
      </w:r>
      <w:r w:rsidR="00D848C3">
        <w:t>chael</w:t>
      </w:r>
      <w:r w:rsidRPr="00D848C3">
        <w:t xml:space="preserve"> Sawdey</w:t>
      </w:r>
      <w:r w:rsidR="00D848C3">
        <w:t>, PhD</w:t>
      </w:r>
    </w:p>
    <w:p w:rsidRPr="00D848C3" w:rsidR="00D848C3" w:rsidP="00D848C3" w:rsidRDefault="00D848C3" w14:paraId="73C3CCFD" w14:textId="6033729A">
      <w:pPr>
        <w:ind w:firstLine="720"/>
        <w:contextualSpacing/>
      </w:pPr>
      <w:r w:rsidRPr="00D848C3">
        <w:t>Epidemiologist, Office of Science</w:t>
      </w:r>
    </w:p>
    <w:p w:rsidR="00D848C3" w:rsidP="00D848C3" w:rsidRDefault="00D848C3" w14:paraId="399BEC30" w14:textId="77777777">
      <w:pPr>
        <w:ind w:firstLine="720"/>
      </w:pPr>
      <w:r w:rsidRPr="004024E4">
        <w:t>Center for Tobacco Products</w:t>
      </w:r>
    </w:p>
    <w:p w:rsidR="00D848C3" w:rsidP="00D848C3" w:rsidRDefault="00D848C3" w14:paraId="2DC0C508" w14:textId="77777777">
      <w:pPr>
        <w:ind w:firstLine="720"/>
      </w:pPr>
      <w:r w:rsidRPr="004024E4">
        <w:t>U.S. Food and Drug Administration</w:t>
      </w:r>
    </w:p>
    <w:p w:rsidR="00D848C3" w:rsidP="00D848C3" w:rsidRDefault="00D848C3" w14:paraId="57538458" w14:textId="273B606A">
      <w:pPr>
        <w:ind w:left="720"/>
      </w:pPr>
      <w:r w:rsidRPr="00D848C3">
        <w:t>11785 Beltsville Drive</w:t>
      </w:r>
      <w:r w:rsidRPr="0083593E">
        <w:br/>
      </w:r>
      <w:r>
        <w:t>Beltsville</w:t>
      </w:r>
      <w:r w:rsidRPr="0083593E">
        <w:t>, MD 20</w:t>
      </w:r>
      <w:r>
        <w:t>705</w:t>
      </w:r>
    </w:p>
    <w:p w:rsidR="00D848C3" w:rsidP="00D848C3" w:rsidRDefault="00FF42B5" w14:paraId="15AFDE76" w14:textId="65F85D66">
      <w:pPr>
        <w:ind w:left="720"/>
      </w:pPr>
      <w:hyperlink w:history="1" r:id="rId9">
        <w:r w:rsidRPr="00FE2403" w:rsidR="00D848C3">
          <w:rPr>
            <w:rStyle w:val="Hyperlink"/>
          </w:rPr>
          <w:t>Michael.Sawdey@fda.hhs.gov</w:t>
        </w:r>
      </w:hyperlink>
    </w:p>
    <w:p w:rsidR="00D848C3" w:rsidP="00D848C3" w:rsidRDefault="00D848C3" w14:paraId="39AEE7CA" w14:textId="3AEF6780">
      <w:pPr>
        <w:ind w:left="720"/>
      </w:pPr>
      <w:r>
        <w:t>301-796-3452</w:t>
      </w:r>
    </w:p>
    <w:p w:rsidR="00D848C3" w:rsidP="006362DF" w:rsidRDefault="00D848C3" w14:paraId="23725216" w14:textId="77777777">
      <w:pPr>
        <w:contextualSpacing/>
        <w:rPr>
          <w:rFonts w:ascii="Arial" w:hAnsi="Arial" w:cs="Arial"/>
          <w:sz w:val="22"/>
          <w:szCs w:val="22"/>
        </w:rPr>
      </w:pPr>
    </w:p>
    <w:p w:rsidR="006362DF" w:rsidP="006362DF" w:rsidRDefault="006362DF" w14:paraId="67FB5D56" w14:textId="5DF5A13A">
      <w:pPr>
        <w:contextualSpacing/>
      </w:pPr>
      <w:r>
        <w:rPr>
          <w:rFonts w:ascii="Arial" w:hAnsi="Arial" w:cs="Arial"/>
          <w:sz w:val="22"/>
          <w:szCs w:val="22"/>
        </w:rPr>
        <w:tab/>
      </w:r>
      <w:r w:rsidRPr="00D848C3">
        <w:t>Sarah Trigger</w:t>
      </w:r>
    </w:p>
    <w:p w:rsidRPr="00D848C3" w:rsidR="00D848C3" w:rsidP="00D848C3" w:rsidRDefault="00D848C3" w14:paraId="6308F25D" w14:textId="22DD89B0">
      <w:pPr>
        <w:ind w:firstLine="720"/>
        <w:contextualSpacing/>
      </w:pPr>
      <w:r>
        <w:t>Social Scientist</w:t>
      </w:r>
      <w:r w:rsidRPr="00D848C3">
        <w:t>, Office of Science</w:t>
      </w:r>
    </w:p>
    <w:p w:rsidR="00D848C3" w:rsidP="00D848C3" w:rsidRDefault="00D848C3" w14:paraId="6946CA1A" w14:textId="77777777">
      <w:pPr>
        <w:ind w:firstLine="720"/>
      </w:pPr>
      <w:r w:rsidRPr="004024E4">
        <w:t>Center for Tobacco Products</w:t>
      </w:r>
    </w:p>
    <w:p w:rsidR="00D848C3" w:rsidP="00D848C3" w:rsidRDefault="00D848C3" w14:paraId="5BC42BFF" w14:textId="77777777">
      <w:pPr>
        <w:ind w:firstLine="720"/>
      </w:pPr>
      <w:r w:rsidRPr="004024E4">
        <w:t>U.S. Food and Drug Administration</w:t>
      </w:r>
    </w:p>
    <w:p w:rsidR="00D848C3" w:rsidP="00D848C3" w:rsidRDefault="00D848C3" w14:paraId="1139A9DA" w14:textId="77777777">
      <w:pPr>
        <w:ind w:left="720"/>
      </w:pPr>
      <w:r w:rsidRPr="00D848C3">
        <w:t>11785 Beltsville Drive</w:t>
      </w:r>
      <w:r w:rsidRPr="0083593E">
        <w:br/>
      </w:r>
      <w:r>
        <w:t>Beltsville</w:t>
      </w:r>
      <w:r w:rsidRPr="0083593E">
        <w:t>, MD 20</w:t>
      </w:r>
      <w:r>
        <w:t>705</w:t>
      </w:r>
    </w:p>
    <w:p w:rsidR="00D848C3" w:rsidP="00D848C3" w:rsidRDefault="00FF42B5" w14:paraId="6DAB8458" w14:textId="579F46B2">
      <w:pPr>
        <w:ind w:left="720"/>
      </w:pPr>
      <w:hyperlink w:history="1" r:id="rId10">
        <w:r w:rsidRPr="00FE2403" w:rsidR="00D848C3">
          <w:rPr>
            <w:rStyle w:val="Hyperlink"/>
          </w:rPr>
          <w:t>Sarah.Trigger@fda.hhs.gov</w:t>
        </w:r>
      </w:hyperlink>
    </w:p>
    <w:p w:rsidR="00D848C3" w:rsidP="00D848C3" w:rsidRDefault="0071136D" w14:paraId="67161E57" w14:textId="7A9F7521">
      <w:pPr>
        <w:ind w:left="720"/>
      </w:pPr>
      <w:r>
        <w:t>240-402-8140</w:t>
      </w:r>
    </w:p>
    <w:p w:rsidR="00AF7114" w:rsidP="00D848C3" w:rsidRDefault="00AF7114" w14:paraId="525D73F0" w14:textId="6635AF41">
      <w:pPr>
        <w:ind w:left="720"/>
      </w:pPr>
    </w:p>
    <w:p w:rsidR="00AF7114" w:rsidP="00AF7114" w:rsidRDefault="00AF7114" w14:paraId="6448A3CD" w14:textId="77777777">
      <w:pPr>
        <w:ind w:left="720"/>
      </w:pPr>
      <w:r>
        <w:t>Lexie Perreras, MPH</w:t>
      </w:r>
    </w:p>
    <w:p w:rsidR="00AF7114" w:rsidP="00AF7114" w:rsidRDefault="00AF7114" w14:paraId="51C0E243" w14:textId="77777777">
      <w:pPr>
        <w:ind w:left="720"/>
      </w:pPr>
      <w:r>
        <w:t>Social Scientist, Office of Science</w:t>
      </w:r>
    </w:p>
    <w:p w:rsidR="00AF7114" w:rsidP="00AF7114" w:rsidRDefault="00AF7114" w14:paraId="6FB508AB" w14:textId="77777777">
      <w:pPr>
        <w:ind w:left="720"/>
      </w:pPr>
      <w:r>
        <w:t>Center for Tobacco Products</w:t>
      </w:r>
    </w:p>
    <w:p w:rsidR="00AF7114" w:rsidP="00AF7114" w:rsidRDefault="00AF7114" w14:paraId="0F1A6A48" w14:textId="77777777">
      <w:pPr>
        <w:ind w:left="720"/>
      </w:pPr>
      <w:r>
        <w:t>U.S. Food and Drug Administration</w:t>
      </w:r>
    </w:p>
    <w:p w:rsidR="00AF7114" w:rsidP="00AF7114" w:rsidRDefault="00AF7114" w14:paraId="036BFDD6" w14:textId="77777777">
      <w:pPr>
        <w:ind w:left="720"/>
      </w:pPr>
      <w:r>
        <w:t>11785 Beltsville Drive</w:t>
      </w:r>
    </w:p>
    <w:p w:rsidR="00AF7114" w:rsidP="00AF7114" w:rsidRDefault="00AF7114" w14:paraId="60F5BEA0" w14:textId="77777777">
      <w:pPr>
        <w:ind w:left="720"/>
      </w:pPr>
      <w:r>
        <w:t>Beltsville, MD 20705</w:t>
      </w:r>
    </w:p>
    <w:p w:rsidR="00AF7114" w:rsidP="00AF7114" w:rsidRDefault="00FF42B5" w14:paraId="4E9EEFB1" w14:textId="176E967C">
      <w:pPr>
        <w:ind w:left="720"/>
      </w:pPr>
      <w:hyperlink w:history="1" r:id="rId11">
        <w:r w:rsidRPr="0071370F" w:rsidR="00185E55">
          <w:rPr>
            <w:rStyle w:val="Hyperlink"/>
          </w:rPr>
          <w:t>Lexie.Perreras@fda.hhs.gov</w:t>
        </w:r>
      </w:hyperlink>
      <w:r w:rsidR="00185E55">
        <w:t xml:space="preserve"> </w:t>
      </w:r>
    </w:p>
    <w:p w:rsidR="00AF7114" w:rsidP="00AF7114" w:rsidRDefault="00AF7114" w14:paraId="34912E20" w14:textId="425E44E6">
      <w:pPr>
        <w:ind w:left="720"/>
      </w:pPr>
      <w:r>
        <w:t>301-796-4985</w:t>
      </w:r>
    </w:p>
    <w:p w:rsidRPr="00117D50" w:rsidR="00A85858" w:rsidP="00A85858" w:rsidRDefault="00A85858" w14:paraId="5BF3E288" w14:textId="77953EFE">
      <w:pPr>
        <w:spacing w:before="100" w:beforeAutospacing="1" w:after="100" w:afterAutospacing="1"/>
      </w:pPr>
      <w:r w:rsidRPr="00117D50">
        <w:t>The following individuals outside the agency have been consulted on the study design and questionnaire development:</w:t>
      </w:r>
    </w:p>
    <w:p w:rsidRPr="00117D50" w:rsidR="00B46D16" w:rsidP="00B46D16" w:rsidRDefault="00A85858" w14:paraId="0B4329AF" w14:textId="0CF22652">
      <w:pPr>
        <w:contextualSpacing/>
      </w:pPr>
      <w:r w:rsidRPr="002B27CA">
        <w:tab/>
      </w:r>
      <w:r w:rsidRPr="00117D50">
        <w:t>Meghan Moran</w:t>
      </w:r>
    </w:p>
    <w:p w:rsidRPr="00117D50" w:rsidR="00B46D16" w:rsidP="00B46D16" w:rsidRDefault="00B46D16" w14:paraId="40B4C9D7" w14:textId="20B4698D">
      <w:pPr>
        <w:contextualSpacing/>
      </w:pPr>
      <w:r w:rsidRPr="00117D50">
        <w:tab/>
        <w:t>Associate Professor</w:t>
      </w:r>
    </w:p>
    <w:p w:rsidRPr="00117D50" w:rsidR="00B46D16" w:rsidP="00B46D16" w:rsidRDefault="00B46D16" w14:paraId="44420769" w14:textId="1C1A3A6D">
      <w:pPr>
        <w:contextualSpacing/>
      </w:pPr>
      <w:r w:rsidRPr="00117D50">
        <w:tab/>
        <w:t>Department of Health, Behavior &amp; Society</w:t>
      </w:r>
    </w:p>
    <w:p w:rsidRPr="00117D50" w:rsidR="00B46D16" w:rsidP="00B46D16" w:rsidRDefault="00B46D16" w14:paraId="3540221E" w14:textId="3A476A66">
      <w:pPr>
        <w:contextualSpacing/>
      </w:pPr>
      <w:r w:rsidRPr="00117D50">
        <w:tab/>
        <w:t>Johns Hopkins Bloomberg School of Public Health</w:t>
      </w:r>
    </w:p>
    <w:p w:rsidRPr="00117D50" w:rsidR="00005C86" w:rsidP="00117D50" w:rsidRDefault="00005C86" w14:paraId="60C99CBA" w14:textId="3D50F295">
      <w:pPr>
        <w:ind w:firstLine="720"/>
        <w:contextualSpacing/>
      </w:pPr>
      <w:r w:rsidRPr="00117D50">
        <w:t>624 North Broadway</w:t>
      </w:r>
    </w:p>
    <w:p w:rsidRPr="00117D50" w:rsidR="00005C86" w:rsidP="00117D50" w:rsidRDefault="00005C86" w14:paraId="65771A24" w14:textId="029D33B8">
      <w:pPr>
        <w:ind w:firstLine="720"/>
        <w:contextualSpacing/>
      </w:pPr>
      <w:r w:rsidRPr="00117D50">
        <w:t>Hampton House, Room 729</w:t>
      </w:r>
    </w:p>
    <w:p w:rsidRPr="00117D50" w:rsidR="00005C86" w:rsidP="00117D50" w:rsidRDefault="00005C86" w14:paraId="63D5C886" w14:textId="359A6DF6">
      <w:pPr>
        <w:ind w:firstLine="720"/>
        <w:contextualSpacing/>
      </w:pPr>
      <w:r w:rsidRPr="00117D50">
        <w:t>Baltimore, MD 21205</w:t>
      </w:r>
    </w:p>
    <w:p w:rsidRPr="00117D50" w:rsidR="00005C86" w:rsidP="00117D50" w:rsidRDefault="00FF42B5" w14:paraId="00793623" w14:textId="661DB6D9">
      <w:pPr>
        <w:ind w:firstLine="720"/>
        <w:contextualSpacing/>
      </w:pPr>
      <w:hyperlink w:history="1" r:id="rId12">
        <w:r w:rsidRPr="0071370F" w:rsidR="004B2299">
          <w:rPr>
            <w:rStyle w:val="Hyperlink"/>
          </w:rPr>
          <w:t>mmoran22@jhu.edu</w:t>
        </w:r>
      </w:hyperlink>
      <w:r w:rsidR="004B2299">
        <w:t xml:space="preserve"> </w:t>
      </w:r>
    </w:p>
    <w:p w:rsidRPr="00117D50" w:rsidR="00005C86" w:rsidP="00117D50" w:rsidRDefault="00005C86" w14:paraId="254A85B9" w14:textId="5EAA2C8B">
      <w:pPr>
        <w:ind w:firstLine="720"/>
        <w:contextualSpacing/>
      </w:pPr>
      <w:r w:rsidRPr="00117D50">
        <w:t>410-614-6872</w:t>
      </w:r>
    </w:p>
    <w:p w:rsidRPr="00073CD4" w:rsidR="00005C86" w:rsidP="00005C86" w:rsidRDefault="00005C86" w14:paraId="417BB9C5" w14:textId="42929C46">
      <w:pPr>
        <w:ind w:left="720"/>
        <w:contextualSpacing/>
        <w:rPr>
          <w:rFonts w:ascii="Arial" w:hAnsi="Arial" w:cs="Arial"/>
          <w:color w:val="000000" w:themeColor="text1"/>
          <w:sz w:val="22"/>
          <w:szCs w:val="22"/>
        </w:rPr>
      </w:pPr>
    </w:p>
    <w:p w:rsidRPr="00117D50" w:rsidR="00005C86" w:rsidP="00117D50" w:rsidRDefault="00005C86" w14:paraId="0D81FDE1" w14:textId="72B4B21C">
      <w:pPr>
        <w:ind w:firstLine="720"/>
        <w:contextualSpacing/>
      </w:pPr>
      <w:r w:rsidRPr="00117D50">
        <w:t>Ryan Kennedy</w:t>
      </w:r>
    </w:p>
    <w:p w:rsidRPr="00117D50" w:rsidR="00005C86" w:rsidP="00117D50" w:rsidRDefault="00005C86" w14:paraId="1921C6A6" w14:textId="23CF099D">
      <w:pPr>
        <w:ind w:firstLine="720"/>
        <w:contextualSpacing/>
      </w:pPr>
      <w:r w:rsidRPr="00117D50">
        <w:t>Assistant Professor</w:t>
      </w:r>
    </w:p>
    <w:p w:rsidRPr="00117D50" w:rsidR="00005C86" w:rsidP="00005C86" w:rsidRDefault="00005C86" w14:paraId="4BCE2236" w14:textId="6D531EB2">
      <w:pPr>
        <w:ind w:firstLine="720"/>
        <w:contextualSpacing/>
      </w:pPr>
      <w:r w:rsidRPr="00117D50">
        <w:t>Department of Health, Behavior &amp; Society</w:t>
      </w:r>
    </w:p>
    <w:p w:rsidRPr="00117D50" w:rsidR="00005C86" w:rsidP="00005C86" w:rsidRDefault="00005C86" w14:paraId="28CD96FD" w14:textId="40AE238F">
      <w:pPr>
        <w:ind w:firstLine="720"/>
        <w:contextualSpacing/>
      </w:pPr>
      <w:r w:rsidRPr="00117D50">
        <w:t>Institute for Global Tobacco Control</w:t>
      </w:r>
    </w:p>
    <w:p w:rsidRPr="00117D50" w:rsidR="00005C86" w:rsidP="00117D50" w:rsidRDefault="00005C86" w14:paraId="3E033ECB" w14:textId="0D4982C5">
      <w:pPr>
        <w:ind w:firstLine="720"/>
        <w:contextualSpacing/>
      </w:pPr>
      <w:r w:rsidRPr="00117D50">
        <w:t>Johns Hopkins Bloomberg School of Public Health</w:t>
      </w:r>
    </w:p>
    <w:p w:rsidRPr="00117D50" w:rsidR="00F97119" w:rsidP="00117D50" w:rsidRDefault="00F97119" w14:paraId="15C4BD07" w14:textId="4D4B6FE9">
      <w:pPr>
        <w:ind w:left="720"/>
        <w:contextualSpacing/>
      </w:pPr>
      <w:r w:rsidRPr="00117D50">
        <w:lastRenderedPageBreak/>
        <w:t>2213 McElderry Street</w:t>
      </w:r>
      <w:r w:rsidRPr="00117D50">
        <w:br/>
        <w:t>4th Floor</w:t>
      </w:r>
      <w:r w:rsidRPr="00117D50">
        <w:br/>
        <w:t>Baltimore, Maryland 21205</w:t>
      </w:r>
    </w:p>
    <w:p w:rsidRPr="00117D50" w:rsidR="00990FEC" w:rsidP="00990FEC" w:rsidRDefault="00FF42B5" w14:paraId="3E668F9D" w14:textId="6F1918A9">
      <w:pPr>
        <w:ind w:firstLine="720"/>
        <w:contextualSpacing/>
      </w:pPr>
      <w:hyperlink w:history="1" r:id="rId13">
        <w:r w:rsidRPr="0071370F" w:rsidR="004B2299">
          <w:rPr>
            <w:rStyle w:val="Hyperlink"/>
          </w:rPr>
          <w:t>rdkennedy@jhu.edu</w:t>
        </w:r>
      </w:hyperlink>
      <w:r w:rsidR="004B2299">
        <w:t xml:space="preserve"> </w:t>
      </w:r>
    </w:p>
    <w:p w:rsidRPr="00117D50" w:rsidR="00990FEC" w:rsidP="00990FEC" w:rsidRDefault="00990FEC" w14:paraId="7165E470" w14:textId="01FD1BC1">
      <w:pPr>
        <w:ind w:firstLine="720"/>
        <w:contextualSpacing/>
      </w:pPr>
      <w:r w:rsidRPr="00117D50">
        <w:t>410-955-3435</w:t>
      </w:r>
    </w:p>
    <w:p w:rsidRPr="00073CD4" w:rsidR="00990FEC" w:rsidP="00990FEC" w:rsidRDefault="00990FEC" w14:paraId="661E70FC" w14:textId="38E16464">
      <w:pPr>
        <w:ind w:firstLine="720"/>
        <w:rPr>
          <w:rFonts w:ascii="Arial" w:hAnsi="Arial" w:cs="Arial"/>
          <w:color w:val="000000" w:themeColor="text1"/>
          <w:sz w:val="22"/>
          <w:szCs w:val="22"/>
        </w:rPr>
      </w:pPr>
    </w:p>
    <w:p w:rsidRPr="00117D50" w:rsidR="00990FEC" w:rsidP="00990FEC" w:rsidRDefault="00990FEC" w14:paraId="39D52FF0" w14:textId="408912F0">
      <w:pPr>
        <w:ind w:firstLine="720"/>
      </w:pPr>
      <w:r w:rsidRPr="00117D50">
        <w:t>Lauren Czaplicki</w:t>
      </w:r>
    </w:p>
    <w:p w:rsidRPr="00117D50" w:rsidR="00990FEC" w:rsidP="00990FEC" w:rsidRDefault="00990FEC" w14:paraId="65A851F5" w14:textId="13B2E54A">
      <w:pPr>
        <w:ind w:firstLine="720"/>
      </w:pPr>
      <w:r w:rsidRPr="00117D50">
        <w:t>Assistant Scientist</w:t>
      </w:r>
    </w:p>
    <w:p w:rsidRPr="00117D50" w:rsidR="00F97119" w:rsidP="00F97119" w:rsidRDefault="00F97119" w14:paraId="61589D8C" w14:textId="77777777">
      <w:pPr>
        <w:ind w:firstLine="720"/>
        <w:contextualSpacing/>
      </w:pPr>
      <w:r w:rsidRPr="00117D50">
        <w:t>Department of Health, Behavior &amp; Society</w:t>
      </w:r>
    </w:p>
    <w:p w:rsidRPr="00117D50" w:rsidR="00F97119" w:rsidP="00F97119" w:rsidRDefault="00F97119" w14:paraId="1FA0F381" w14:textId="77777777">
      <w:pPr>
        <w:ind w:firstLine="720"/>
        <w:contextualSpacing/>
      </w:pPr>
      <w:r w:rsidRPr="00117D50">
        <w:t>Institute for Global Tobacco Control</w:t>
      </w:r>
    </w:p>
    <w:p w:rsidRPr="00117D50" w:rsidR="00F97119" w:rsidP="00F97119" w:rsidRDefault="00F97119" w14:paraId="7CAA6810" w14:textId="77777777">
      <w:pPr>
        <w:contextualSpacing/>
      </w:pPr>
      <w:r w:rsidRPr="00117D50">
        <w:tab/>
        <w:t>Johns Hopkins Bloomberg School of Public Health</w:t>
      </w:r>
    </w:p>
    <w:p w:rsidRPr="00117D50" w:rsidR="00F97119" w:rsidP="00F97119" w:rsidRDefault="00F97119" w14:paraId="3067239A" w14:textId="77777777">
      <w:pPr>
        <w:ind w:left="720"/>
      </w:pPr>
      <w:r w:rsidRPr="00117D50">
        <w:t>2213 McElderry Street</w:t>
      </w:r>
      <w:r w:rsidRPr="00117D50">
        <w:br/>
        <w:t>4th Floor</w:t>
      </w:r>
      <w:r w:rsidRPr="00117D50">
        <w:br/>
        <w:t>Baltimore, Maryland 21205</w:t>
      </w:r>
    </w:p>
    <w:p w:rsidRPr="00117D50" w:rsidR="00144A7F" w:rsidP="00144A7F" w:rsidRDefault="00FF42B5" w14:paraId="1E422AD6" w14:textId="2BF54062">
      <w:pPr>
        <w:ind w:firstLine="720"/>
      </w:pPr>
      <w:hyperlink w:history="1" r:id="rId14">
        <w:r w:rsidRPr="0071370F" w:rsidR="004B2299">
          <w:rPr>
            <w:rStyle w:val="Hyperlink"/>
          </w:rPr>
          <w:t>lczapli1@jhu.edu</w:t>
        </w:r>
      </w:hyperlink>
      <w:r w:rsidR="004B2299">
        <w:t xml:space="preserve"> </w:t>
      </w:r>
    </w:p>
    <w:p w:rsidRPr="00117D50" w:rsidR="00073CD4" w:rsidP="00073CD4" w:rsidRDefault="00073CD4" w14:paraId="14B76791" w14:textId="77777777">
      <w:pPr>
        <w:ind w:firstLine="720"/>
      </w:pPr>
      <w:r w:rsidRPr="00117D50">
        <w:t>410-614-5378</w:t>
      </w:r>
    </w:p>
    <w:p w:rsidRPr="00117D50" w:rsidR="00CD77C3" w:rsidP="00081417" w:rsidRDefault="00EB7538" w14:paraId="7FF5CD20" w14:textId="48AF9588">
      <w:pPr>
        <w:numPr>
          <w:ilvl w:val="0"/>
          <w:numId w:val="1"/>
        </w:numPr>
        <w:spacing w:before="100" w:beforeAutospacing="1" w:after="100" w:afterAutospacing="1"/>
        <w:ind w:left="360"/>
        <w:rPr>
          <w:rFonts w:eastAsiaTheme="minorEastAsia"/>
          <w:color w:val="000000" w:themeColor="text1"/>
          <w:u w:val="single"/>
        </w:rPr>
      </w:pPr>
      <w:r w:rsidRPr="00117D50">
        <w:rPr>
          <w:rFonts w:eastAsiaTheme="minorEastAsia"/>
          <w:color w:val="000000" w:themeColor="text1"/>
          <w:u w:val="single"/>
        </w:rPr>
        <w:t>Explanation of Any Payment or Gift to Respondents</w:t>
      </w:r>
    </w:p>
    <w:p w:rsidRPr="00117D50" w:rsidR="00AC1452" w:rsidP="008242B1" w:rsidRDefault="00AC1452" w14:paraId="4540121B" w14:textId="4D8CCD5E">
      <w:pPr>
        <w:ind w:left="432"/>
      </w:pPr>
      <w:r w:rsidRPr="00117D50">
        <w:t>Respondents are compensated by having a cash equivalent in the form of</w:t>
      </w:r>
      <w:r w:rsidRPr="00117D50" w:rsidR="00643CCD">
        <w:t xml:space="preserve"> </w:t>
      </w:r>
      <w:r w:rsidRPr="00117D50">
        <w:t xml:space="preserve">points deposited into their accounts. </w:t>
      </w:r>
      <w:r w:rsidRPr="00117D50" w:rsidR="00EC4509">
        <w:t>These points can then later be redeemed</w:t>
      </w:r>
      <w:r w:rsidRPr="00117D50" w:rsidR="00F678E0">
        <w:t xml:space="preserve"> </w:t>
      </w:r>
      <w:r w:rsidRPr="00117D50" w:rsidR="000033B3">
        <w:t xml:space="preserve">for gift cards or can be cashed out for equivalent dollar amounts. </w:t>
      </w:r>
      <w:r w:rsidRPr="00117D50">
        <w:t xml:space="preserve">Participants will receive points equal to ~ $1.50 for completing the survey. </w:t>
      </w:r>
      <w:r w:rsidRPr="00117D50" w:rsidR="00D5797C">
        <w:t xml:space="preserve">The vendor, SSRS, set the incentive rate. </w:t>
      </w:r>
      <w:r w:rsidRPr="00117D50">
        <w:t>This amount is</w:t>
      </w:r>
      <w:r w:rsidRPr="00117D50" w:rsidR="00D5797C">
        <w:t xml:space="preserve"> driven primarily by the length and burden of the survey and is</w:t>
      </w:r>
      <w:r w:rsidRPr="00117D50">
        <w:t xml:space="preserve"> in line with what panelists are typically compensated to complete surveys. The JHU team has compensated participants with this amount for similar studies and has encountered no issues regarding response rates.</w:t>
      </w:r>
      <w:r w:rsidRPr="00117D50" w:rsidR="00B20744">
        <w:t xml:space="preserve"> We have carefully considered this incentive rate and believe it is high enough to recruit the participants needed without being coercive.</w:t>
      </w:r>
    </w:p>
    <w:p w:rsidRPr="00117D50" w:rsidR="002E3FA4" w:rsidP="00081417" w:rsidRDefault="00EB7538" w14:paraId="2CE17C74" w14:textId="77A1EF05">
      <w:pPr>
        <w:numPr>
          <w:ilvl w:val="0"/>
          <w:numId w:val="1"/>
        </w:numPr>
        <w:spacing w:before="100" w:beforeAutospacing="1" w:after="100" w:afterAutospacing="1"/>
        <w:ind w:left="360"/>
        <w:rPr>
          <w:rFonts w:eastAsiaTheme="minorEastAsia"/>
          <w:color w:val="000000" w:themeColor="text1"/>
          <w:u w:val="single"/>
        </w:rPr>
      </w:pPr>
      <w:r w:rsidRPr="00117D50">
        <w:rPr>
          <w:rFonts w:eastAsiaTheme="minorEastAsia"/>
          <w:color w:val="000000" w:themeColor="text1"/>
          <w:u w:val="single"/>
        </w:rPr>
        <w:t>Assurance of Confidentiality Provided to Respondents</w:t>
      </w:r>
    </w:p>
    <w:p w:rsidRPr="00117D50" w:rsidR="00EE0250" w:rsidP="008242B1" w:rsidRDefault="00EE0250" w14:paraId="6170479A" w14:textId="77777777">
      <w:pPr>
        <w:pStyle w:val="BodyText2"/>
        <w:ind w:left="432"/>
        <w:rPr>
          <w:szCs w:val="24"/>
          <w:u w:val="single"/>
        </w:rPr>
      </w:pPr>
      <w:r w:rsidRPr="00117D50">
        <w:rPr>
          <w:szCs w:val="24"/>
          <w:u w:val="single"/>
        </w:rPr>
        <w:t>Privacy Analysis &amp; Design</w:t>
      </w:r>
    </w:p>
    <w:p w:rsidR="00687AFC" w:rsidP="00687AFC" w:rsidRDefault="00687AFC" w14:paraId="380922BF" w14:textId="77777777">
      <w:pPr>
        <w:pStyle w:val="BodyText2"/>
        <w:ind w:left="432"/>
        <w:rPr>
          <w:szCs w:val="24"/>
        </w:rPr>
      </w:pPr>
    </w:p>
    <w:p w:rsidR="003F6EBC" w:rsidP="008242B1" w:rsidRDefault="00EE0250" w14:paraId="7D4617EC" w14:textId="3C26D012">
      <w:pPr>
        <w:pStyle w:val="BodyText2"/>
        <w:ind w:left="432"/>
        <w:rPr>
          <w:szCs w:val="24"/>
        </w:rPr>
      </w:pPr>
      <w:r w:rsidRPr="00117D50">
        <w:rPr>
          <w:szCs w:val="24"/>
        </w:rPr>
        <w:t>In developing this study, CTP consulted the agency Privacy Officer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Security and Privacy Controls for Federal Information Systems and Organizations. CTP also identified privacy compliance requirements and coordinated with FDA’s Privacy Officer to ensure responsible offices in CTP satisfy all in accordance with law and policy.</w:t>
      </w:r>
      <w:r w:rsidR="003F6EBC">
        <w:rPr>
          <w:szCs w:val="24"/>
        </w:rPr>
        <w:t xml:space="preserve"> </w:t>
      </w:r>
      <w:r w:rsidRPr="000B3AE1" w:rsidR="003F6EBC">
        <w:rPr>
          <w:szCs w:val="24"/>
        </w:rPr>
        <w:t xml:space="preserve">FDA submitted a Privacy Impact </w:t>
      </w:r>
      <w:r w:rsidR="00EC537B">
        <w:rPr>
          <w:szCs w:val="24"/>
        </w:rPr>
        <w:t>A</w:t>
      </w:r>
      <w:r w:rsidRPr="000B3AE1" w:rsidR="003F6EBC">
        <w:rPr>
          <w:szCs w:val="24"/>
        </w:rPr>
        <w:t>ssessment to the privacy office that has been approved by the Department of Health and Human Services</w:t>
      </w:r>
      <w:r w:rsidR="00EC537B">
        <w:rPr>
          <w:szCs w:val="24"/>
        </w:rPr>
        <w:t xml:space="preserve"> (PIA Unique Identifier: P-5981280-768484)</w:t>
      </w:r>
      <w:r w:rsidRPr="000B3AE1" w:rsidR="003F6EBC">
        <w:rPr>
          <w:szCs w:val="24"/>
        </w:rPr>
        <w:t>.</w:t>
      </w:r>
    </w:p>
    <w:p w:rsidRPr="00117D50" w:rsidR="00A078DA" w:rsidP="008242B1" w:rsidRDefault="00A078DA" w14:paraId="4F262D9C" w14:textId="77777777">
      <w:pPr>
        <w:pStyle w:val="BodyText2"/>
        <w:ind w:left="432"/>
        <w:rPr>
          <w:szCs w:val="24"/>
        </w:rPr>
      </w:pPr>
    </w:p>
    <w:p w:rsidRPr="00117D50" w:rsidR="00AF7114" w:rsidP="008242B1" w:rsidRDefault="00AF7114" w14:paraId="0DCF72A0" w14:textId="77777777">
      <w:pPr>
        <w:pStyle w:val="BodyText2"/>
        <w:ind w:left="432"/>
        <w:rPr>
          <w:szCs w:val="24"/>
          <w:u w:val="single"/>
        </w:rPr>
      </w:pPr>
      <w:r w:rsidRPr="00117D50">
        <w:rPr>
          <w:szCs w:val="24"/>
          <w:u w:val="single"/>
        </w:rPr>
        <w:t>Privacy Act Applicability</w:t>
      </w:r>
    </w:p>
    <w:p w:rsidR="00687AFC" w:rsidP="00687AFC" w:rsidRDefault="00687AFC" w14:paraId="3DAF9ABE" w14:textId="77777777">
      <w:pPr>
        <w:pStyle w:val="BodyText2"/>
        <w:ind w:left="432"/>
        <w:rPr>
          <w:szCs w:val="24"/>
        </w:rPr>
      </w:pPr>
    </w:p>
    <w:p w:rsidRPr="00C21F70" w:rsidR="00AF7114" w:rsidP="008242B1" w:rsidRDefault="00AF7114" w14:paraId="6A6D0D8F" w14:textId="5186DBEB">
      <w:pPr>
        <w:pStyle w:val="BodyText2"/>
        <w:ind w:left="432"/>
        <w:rPr>
          <w:szCs w:val="24"/>
        </w:rPr>
      </w:pPr>
      <w:r w:rsidRPr="00C21F70">
        <w:rPr>
          <w:szCs w:val="24"/>
        </w:rPr>
        <w:t xml:space="preserve">The information collection is not subject to the Privacy Act of 1974. Hence, no Privacy Act Statement is required to be displayed on the form, website, mobile application or other point at which individuals submit their information. </w:t>
      </w:r>
    </w:p>
    <w:p w:rsidRPr="00EE0250" w:rsidR="00EE0250" w:rsidP="00EE0250" w:rsidRDefault="00EE0250" w14:paraId="30064E7F" w14:textId="77777777">
      <w:pPr>
        <w:pStyle w:val="BodyText2"/>
        <w:ind w:left="720"/>
        <w:rPr>
          <w:rFonts w:ascii="Arial" w:hAnsi="Arial" w:cs="Arial"/>
          <w:sz w:val="22"/>
          <w:szCs w:val="22"/>
        </w:rPr>
      </w:pPr>
    </w:p>
    <w:p w:rsidRPr="00662AB3" w:rsidR="007F27B8" w:rsidP="008242B1" w:rsidRDefault="00EE0250" w14:paraId="64141766" w14:textId="77777777">
      <w:pPr>
        <w:pStyle w:val="BodyText2"/>
        <w:ind w:left="432"/>
        <w:rPr>
          <w:szCs w:val="24"/>
          <w:u w:val="single"/>
        </w:rPr>
      </w:pPr>
      <w:r w:rsidRPr="00117D50">
        <w:rPr>
          <w:szCs w:val="24"/>
          <w:u w:val="single"/>
        </w:rPr>
        <w:t>PII Collection</w:t>
      </w:r>
      <w:r w:rsidRPr="00662AB3" w:rsidR="007F27B8">
        <w:rPr>
          <w:szCs w:val="24"/>
          <w:u w:val="single"/>
        </w:rPr>
        <w:t xml:space="preserve"> </w:t>
      </w:r>
    </w:p>
    <w:p w:rsidRPr="00EE0250" w:rsidR="00EE0250" w:rsidP="008242B1" w:rsidRDefault="00774731" w14:paraId="44C59DFE" w14:textId="45710220">
      <w:pPr>
        <w:ind w:left="432"/>
        <w:rPr>
          <w:rFonts w:ascii="Arial" w:hAnsi="Arial" w:cs="Arial"/>
          <w:i/>
          <w:sz w:val="22"/>
          <w:szCs w:val="22"/>
        </w:rPr>
      </w:pPr>
      <w:r w:rsidRPr="00774731">
        <w:t xml:space="preserve">As part of this study, neither FDA nor </w:t>
      </w:r>
      <w:r w:rsidR="0082519A">
        <w:t>JHU</w:t>
      </w:r>
      <w:r w:rsidRPr="00774731">
        <w:t xml:space="preserve"> will </w:t>
      </w:r>
      <w:r w:rsidR="00A078DA">
        <w:t xml:space="preserve">directly </w:t>
      </w:r>
      <w:r w:rsidRPr="00774731">
        <w:t xml:space="preserve">collect or maintain personally identifiable information (PII). A third-party vendor, SSRS, </w:t>
      </w:r>
      <w:r w:rsidR="00D42C9F">
        <w:t>and their opt-in non-</w:t>
      </w:r>
      <w:r w:rsidRPr="00F337CC" w:rsidR="00D42C9F">
        <w:t xml:space="preserve">probability panel partner </w:t>
      </w:r>
      <w:r w:rsidRPr="00F337CC">
        <w:t>will collect PII for respondent enrollment</w:t>
      </w:r>
      <w:r w:rsidRPr="00F337CC" w:rsidR="005A2761">
        <w:t xml:space="preserve"> and compensation</w:t>
      </w:r>
      <w:r w:rsidRPr="00F337CC">
        <w:t xml:space="preserve"> purposes. </w:t>
      </w:r>
      <w:r w:rsidRPr="00F337CC" w:rsidR="00F337CC">
        <w:rPr>
          <w:color w:val="201F1E"/>
        </w:rPr>
        <w:t>SS</w:t>
      </w:r>
      <w:r w:rsidR="00F337CC">
        <w:rPr>
          <w:color w:val="201F1E"/>
        </w:rPr>
        <w:t xml:space="preserve">RS and its panel provider </w:t>
      </w:r>
      <w:r w:rsidRPr="00F337CC" w:rsidR="00F337CC">
        <w:rPr>
          <w:color w:val="201F1E"/>
        </w:rPr>
        <w:t>will</w:t>
      </w:r>
      <w:r w:rsidR="00F337CC">
        <w:rPr>
          <w:color w:val="201F1E"/>
        </w:rPr>
        <w:t xml:space="preserve"> not share PII with JHU or FDA.</w:t>
      </w:r>
    </w:p>
    <w:p w:rsidR="004327C1" w:rsidP="008242B1" w:rsidRDefault="004327C1" w14:paraId="156DD508" w14:textId="77777777">
      <w:pPr>
        <w:pStyle w:val="BodyText2"/>
        <w:ind w:left="432"/>
        <w:rPr>
          <w:rFonts w:ascii="Arial" w:hAnsi="Arial" w:cs="Arial"/>
          <w:sz w:val="22"/>
          <w:szCs w:val="22"/>
        </w:rPr>
      </w:pPr>
    </w:p>
    <w:p w:rsidRPr="00C21F70" w:rsidR="005708EB" w:rsidP="008242B1" w:rsidRDefault="005708EB" w14:paraId="6647EB45" w14:textId="44F95E28">
      <w:pPr>
        <w:pStyle w:val="BodyText2"/>
        <w:ind w:left="432"/>
        <w:rPr>
          <w:szCs w:val="24"/>
        </w:rPr>
      </w:pPr>
      <w:r w:rsidRPr="00C21F70">
        <w:rPr>
          <w:szCs w:val="24"/>
        </w:rPr>
        <w:t>PII will be collected on an as needed basis during the enrollment process</w:t>
      </w:r>
      <w:r w:rsidR="005A2761">
        <w:rPr>
          <w:szCs w:val="24"/>
        </w:rPr>
        <w:t xml:space="preserve"> and to compensate individuals for participation</w:t>
      </w:r>
      <w:r w:rsidRPr="00C21F70">
        <w:rPr>
          <w:szCs w:val="24"/>
        </w:rPr>
        <w:t xml:space="preserve">. </w:t>
      </w:r>
      <w:r w:rsidR="005A2761">
        <w:rPr>
          <w:szCs w:val="24"/>
        </w:rPr>
        <w:t>For example, e</w:t>
      </w:r>
      <w:r w:rsidRPr="00C21F70">
        <w:rPr>
          <w:szCs w:val="24"/>
        </w:rPr>
        <w:t>-mail addresses may be collected for contacting responden</w:t>
      </w:r>
      <w:r w:rsidR="00462040">
        <w:rPr>
          <w:szCs w:val="24"/>
        </w:rPr>
        <w:t xml:space="preserve">ts </w:t>
      </w:r>
      <w:r w:rsidRPr="00C21F70">
        <w:rPr>
          <w:szCs w:val="24"/>
        </w:rPr>
        <w:t xml:space="preserve">regarding enrollment details (e.g., </w:t>
      </w:r>
      <w:r w:rsidR="00462040">
        <w:rPr>
          <w:szCs w:val="24"/>
        </w:rPr>
        <w:t xml:space="preserve">providing the </w:t>
      </w:r>
      <w:r w:rsidRPr="00C21F70">
        <w:rPr>
          <w:szCs w:val="24"/>
        </w:rPr>
        <w:t>survey link). PII collected as part of respondent enrollment</w:t>
      </w:r>
      <w:r w:rsidR="00D42C9F">
        <w:rPr>
          <w:szCs w:val="24"/>
        </w:rPr>
        <w:t xml:space="preserve"> and compensation </w:t>
      </w:r>
      <w:r w:rsidRPr="00C21F70">
        <w:rPr>
          <w:szCs w:val="24"/>
        </w:rPr>
        <w:t xml:space="preserve">will not be maintained or linked to other study information. Contractors and subcontractors that collect data </w:t>
      </w:r>
      <w:r w:rsidR="00D42C9F">
        <w:rPr>
          <w:szCs w:val="24"/>
        </w:rPr>
        <w:t>will not</w:t>
      </w:r>
      <w:r w:rsidRPr="00C21F70">
        <w:rPr>
          <w:szCs w:val="24"/>
        </w:rPr>
        <w:t xml:space="preserve"> pass along any PII to FDA</w:t>
      </w:r>
      <w:r w:rsidR="00F337CC">
        <w:rPr>
          <w:szCs w:val="24"/>
        </w:rPr>
        <w:t xml:space="preserve"> or JHU</w:t>
      </w:r>
      <w:r w:rsidRPr="00C21F70">
        <w:rPr>
          <w:szCs w:val="24"/>
        </w:rPr>
        <w:t xml:space="preserve">. For </w:t>
      </w:r>
      <w:r w:rsidR="00F12E1D">
        <w:rPr>
          <w:szCs w:val="24"/>
        </w:rPr>
        <w:t>this</w:t>
      </w:r>
      <w:r w:rsidRPr="00C21F70" w:rsidR="00F12E1D">
        <w:rPr>
          <w:szCs w:val="24"/>
        </w:rPr>
        <w:t xml:space="preserve"> </w:t>
      </w:r>
      <w:r w:rsidRPr="00C21F70">
        <w:rPr>
          <w:szCs w:val="24"/>
        </w:rPr>
        <w:t xml:space="preserve">collection, </w:t>
      </w:r>
      <w:r w:rsidR="0082519A">
        <w:rPr>
          <w:szCs w:val="24"/>
        </w:rPr>
        <w:t>FDA doesn’t</w:t>
      </w:r>
      <w:r w:rsidRPr="00C21F70">
        <w:rPr>
          <w:szCs w:val="24"/>
        </w:rPr>
        <w:t xml:space="preserve"> have any systems where </w:t>
      </w:r>
      <w:r w:rsidR="0082519A">
        <w:rPr>
          <w:szCs w:val="24"/>
        </w:rPr>
        <w:t xml:space="preserve">PII is </w:t>
      </w:r>
      <w:r w:rsidRPr="00C21F70">
        <w:rPr>
          <w:szCs w:val="24"/>
        </w:rPr>
        <w:t>maintain</w:t>
      </w:r>
      <w:r w:rsidR="0082519A">
        <w:rPr>
          <w:szCs w:val="24"/>
        </w:rPr>
        <w:t>ed</w:t>
      </w:r>
      <w:r w:rsidRPr="00C21F70">
        <w:rPr>
          <w:szCs w:val="24"/>
        </w:rPr>
        <w:t xml:space="preserve"> or retrieve</w:t>
      </w:r>
      <w:r w:rsidR="0082519A">
        <w:rPr>
          <w:szCs w:val="24"/>
        </w:rPr>
        <w:t>d</w:t>
      </w:r>
      <w:r w:rsidRPr="00C21F70">
        <w:rPr>
          <w:szCs w:val="24"/>
        </w:rPr>
        <w:t xml:space="preserve">.  </w:t>
      </w:r>
    </w:p>
    <w:p w:rsidR="00EE0250" w:rsidP="008242B1" w:rsidRDefault="00EE0250" w14:paraId="54D1527B" w14:textId="77777777">
      <w:pPr>
        <w:pStyle w:val="BodyText2"/>
        <w:ind w:left="432"/>
        <w:rPr>
          <w:rFonts w:ascii="Arial" w:hAnsi="Arial" w:cs="Arial"/>
          <w:sz w:val="22"/>
          <w:szCs w:val="22"/>
        </w:rPr>
      </w:pPr>
    </w:p>
    <w:p w:rsidRPr="00117D50" w:rsidR="00EE0250" w:rsidP="008242B1" w:rsidRDefault="00EE0250" w14:paraId="1798A1AE" w14:textId="568CA1F6">
      <w:pPr>
        <w:pStyle w:val="BodyText2"/>
        <w:ind w:left="432"/>
        <w:rPr>
          <w:szCs w:val="24"/>
          <w:u w:val="single"/>
        </w:rPr>
      </w:pPr>
      <w:r w:rsidRPr="00117D50">
        <w:rPr>
          <w:szCs w:val="24"/>
          <w:u w:val="single"/>
        </w:rPr>
        <w:t>Notice and Transparency</w:t>
      </w:r>
      <w:r w:rsidRPr="00117D50" w:rsidR="00FF30B1">
        <w:rPr>
          <w:szCs w:val="24"/>
          <w:u w:val="single"/>
        </w:rPr>
        <w:t xml:space="preserve"> </w:t>
      </w:r>
    </w:p>
    <w:p w:rsidR="00687AFC" w:rsidP="00687AFC" w:rsidRDefault="00687AFC" w14:paraId="0B5EAC57" w14:textId="77777777">
      <w:pPr>
        <w:pStyle w:val="BodyText2"/>
        <w:ind w:left="432"/>
        <w:rPr>
          <w:szCs w:val="24"/>
        </w:rPr>
      </w:pPr>
    </w:p>
    <w:p w:rsidRPr="00C21F70" w:rsidR="00B27F30" w:rsidP="008242B1" w:rsidRDefault="00B27F30" w14:paraId="5678D544" w14:textId="7F195F01">
      <w:pPr>
        <w:pStyle w:val="BodyText2"/>
        <w:ind w:left="432"/>
        <w:rPr>
          <w:szCs w:val="24"/>
        </w:rPr>
      </w:pPr>
      <w:r w:rsidRPr="00C21F70">
        <w:rPr>
          <w:szCs w:val="24"/>
        </w:rPr>
        <w:t xml:space="preserve">Neither FDA nor direct contractors, including </w:t>
      </w:r>
      <w:r w:rsidR="00774731">
        <w:rPr>
          <w:szCs w:val="24"/>
        </w:rPr>
        <w:t>third</w:t>
      </w:r>
      <w:r w:rsidRPr="00C21F70" w:rsidR="00774731">
        <w:rPr>
          <w:szCs w:val="24"/>
        </w:rPr>
        <w:t xml:space="preserve"> </w:t>
      </w:r>
      <w:r w:rsidRPr="00C21F70">
        <w:rPr>
          <w:szCs w:val="24"/>
        </w:rPr>
        <w:t xml:space="preserve">parties, </w:t>
      </w:r>
      <w:r w:rsidR="00B96458">
        <w:rPr>
          <w:szCs w:val="24"/>
        </w:rPr>
        <w:t xml:space="preserve">will </w:t>
      </w:r>
      <w:r w:rsidRPr="00C21F70">
        <w:rPr>
          <w:szCs w:val="24"/>
        </w:rPr>
        <w:t>share PII gathered via this collection with any other individuals or entities.</w:t>
      </w:r>
    </w:p>
    <w:p w:rsidRPr="00C21F70" w:rsidR="00B27F30" w:rsidP="008242B1" w:rsidRDefault="00B27F30" w14:paraId="63C33DAA" w14:textId="77777777">
      <w:pPr>
        <w:pStyle w:val="BodyText2"/>
        <w:ind w:left="432"/>
        <w:rPr>
          <w:szCs w:val="24"/>
        </w:rPr>
      </w:pPr>
    </w:p>
    <w:p w:rsidRPr="00C21F70" w:rsidR="00B27F30" w:rsidP="008242B1" w:rsidRDefault="00B27F30" w14:paraId="5DF4C976" w14:textId="0AB8F1DF">
      <w:pPr>
        <w:pStyle w:val="BodyText2"/>
        <w:ind w:left="432"/>
        <w:rPr>
          <w:szCs w:val="24"/>
        </w:rPr>
      </w:pPr>
      <w:r w:rsidRPr="00C21F70">
        <w:rPr>
          <w:szCs w:val="24"/>
        </w:rPr>
        <w:t xml:space="preserve">All subjects are provided notice regarding the collection and use of the information they submit. </w:t>
      </w:r>
      <w:r w:rsidR="00D42C9F">
        <w:rPr>
          <w:szCs w:val="24"/>
        </w:rPr>
        <w:t>SSR</w:t>
      </w:r>
      <w:r w:rsidR="007A0A77">
        <w:rPr>
          <w:szCs w:val="24"/>
        </w:rPr>
        <w:t xml:space="preserve">S’s </w:t>
      </w:r>
      <w:r w:rsidR="00D42C9F">
        <w:rPr>
          <w:szCs w:val="24"/>
        </w:rPr>
        <w:t>panel provide</w:t>
      </w:r>
      <w:r w:rsidR="00F337CC">
        <w:rPr>
          <w:szCs w:val="24"/>
        </w:rPr>
        <w:t>r</w:t>
      </w:r>
      <w:r w:rsidR="00D42C9F">
        <w:rPr>
          <w:szCs w:val="24"/>
        </w:rPr>
        <w:t xml:space="preserve"> </w:t>
      </w:r>
      <w:r w:rsidRPr="00C21F70">
        <w:rPr>
          <w:szCs w:val="24"/>
        </w:rPr>
        <w:t xml:space="preserve">may collect IP addresses when participants register for the panel, but FDA </w:t>
      </w:r>
      <w:r w:rsidR="007A0A77">
        <w:rPr>
          <w:szCs w:val="24"/>
        </w:rPr>
        <w:t xml:space="preserve">nor JHU will </w:t>
      </w:r>
      <w:r w:rsidRPr="00C21F70">
        <w:rPr>
          <w:szCs w:val="24"/>
        </w:rPr>
        <w:t xml:space="preserve">receive IP addresses. </w:t>
      </w:r>
      <w:r w:rsidR="00B96458">
        <w:rPr>
          <w:szCs w:val="24"/>
        </w:rPr>
        <w:t>SSRS</w:t>
      </w:r>
      <w:r w:rsidRPr="00C21F70">
        <w:rPr>
          <w:szCs w:val="24"/>
        </w:rPr>
        <w:t xml:space="preserve"> will notify participants if IP addresses are recorded. FDA sponsorship is explained to participants when appropriate (in some cases, FDA sponsorship will not be made known to respondents prior to data collection out of concern for the potential introduction of bias to study results; in such cases, FDA sponsorship will be made known after the data are collected.). Participants will be informed that their participation is voluntary at all times.</w:t>
      </w:r>
    </w:p>
    <w:p w:rsidRPr="00C21F70" w:rsidR="00B27F30" w:rsidP="008242B1" w:rsidRDefault="00B27F30" w14:paraId="769535EB" w14:textId="77777777">
      <w:pPr>
        <w:pStyle w:val="BodyText2"/>
        <w:ind w:left="432"/>
        <w:rPr>
          <w:szCs w:val="24"/>
        </w:rPr>
      </w:pPr>
    </w:p>
    <w:p w:rsidRPr="00C21F70" w:rsidR="00B27F30" w:rsidP="008242B1" w:rsidRDefault="00B27F30" w14:paraId="707C04FA" w14:textId="7423AAF6">
      <w:pPr>
        <w:pStyle w:val="BodyText2"/>
        <w:ind w:left="432"/>
        <w:rPr>
          <w:szCs w:val="24"/>
        </w:rPr>
      </w:pPr>
      <w:r w:rsidRPr="00C21F70">
        <w:rPr>
          <w:szCs w:val="24"/>
        </w:rPr>
        <w:t xml:space="preserve">Prior to collecting any information, these methods will all be approved by FDA’s Research Involving Human Subjects Committee (RIHSC) and Johns Hopkins Bloomberg School </w:t>
      </w:r>
      <w:r w:rsidR="00F11771">
        <w:rPr>
          <w:szCs w:val="24"/>
        </w:rPr>
        <w:t>of</w:t>
      </w:r>
      <w:r w:rsidRPr="00C21F70">
        <w:rPr>
          <w:szCs w:val="24"/>
        </w:rPr>
        <w:t xml:space="preserve"> Public Health’s Institutional Review Board (</w:t>
      </w:r>
      <w:r w:rsidR="00F11771">
        <w:rPr>
          <w:szCs w:val="24"/>
        </w:rPr>
        <w:t xml:space="preserve">JHSPH </w:t>
      </w:r>
      <w:r w:rsidRPr="00C21F70">
        <w:rPr>
          <w:szCs w:val="24"/>
        </w:rPr>
        <w:t xml:space="preserve">IRB). The primary concern of the RIHSC and </w:t>
      </w:r>
      <w:r w:rsidR="00EA7204">
        <w:rPr>
          <w:szCs w:val="24"/>
        </w:rPr>
        <w:t xml:space="preserve">JHSPH </w:t>
      </w:r>
      <w:r w:rsidRPr="00C21F70">
        <w:rPr>
          <w:szCs w:val="24"/>
        </w:rPr>
        <w:t>IRB are to protect participants’ rights, one of which is maintaining the privacy of participant information to the fullest extent of the law.</w:t>
      </w:r>
    </w:p>
    <w:p w:rsidRPr="00117D50" w:rsidR="00EE0250" w:rsidP="00117D50" w:rsidRDefault="00EE0250" w14:paraId="557F5645" w14:textId="77777777">
      <w:pPr>
        <w:pStyle w:val="BodyText2"/>
        <w:ind w:left="720"/>
        <w:rPr>
          <w:szCs w:val="24"/>
          <w:u w:val="single"/>
        </w:rPr>
      </w:pPr>
    </w:p>
    <w:p w:rsidRPr="00117D50" w:rsidR="00E15645" w:rsidP="008242B1" w:rsidRDefault="00EE0250" w14:paraId="18399193" w14:textId="77777777">
      <w:pPr>
        <w:pStyle w:val="BodyText2"/>
        <w:ind w:left="432"/>
        <w:rPr>
          <w:szCs w:val="24"/>
          <w:u w:val="single"/>
        </w:rPr>
      </w:pPr>
      <w:r w:rsidRPr="00117D50">
        <w:rPr>
          <w:szCs w:val="24"/>
          <w:u w:val="single"/>
        </w:rPr>
        <w:t>Individual Participation and Control</w:t>
      </w:r>
    </w:p>
    <w:p w:rsidR="00117D50" w:rsidP="008242B1" w:rsidRDefault="00EF5213" w14:paraId="775D2180" w14:textId="713142AA">
      <w:pPr>
        <w:pStyle w:val="BodyText2"/>
        <w:ind w:left="432"/>
        <w:rPr>
          <w:szCs w:val="24"/>
        </w:rPr>
      </w:pPr>
      <w:r w:rsidRPr="00117D50">
        <w:rPr>
          <w:szCs w:val="24"/>
        </w:rPr>
        <w:t xml:space="preserve">Participation in this study is completely voluntary. </w:t>
      </w:r>
      <w:r w:rsidRPr="00117D50" w:rsidR="00E15645">
        <w:rPr>
          <w:szCs w:val="24"/>
        </w:rPr>
        <w:t xml:space="preserve">Respondents will be informed of this in the study’s </w:t>
      </w:r>
      <w:r w:rsidR="00CB65E1">
        <w:rPr>
          <w:szCs w:val="24"/>
        </w:rPr>
        <w:t>assent/</w:t>
      </w:r>
      <w:r w:rsidRPr="00117D50" w:rsidR="00E15645">
        <w:rPr>
          <w:szCs w:val="24"/>
        </w:rPr>
        <w:t xml:space="preserve">consent form. </w:t>
      </w:r>
      <w:r w:rsidRPr="00117D50" w:rsidR="00FD3073">
        <w:rPr>
          <w:szCs w:val="24"/>
        </w:rPr>
        <w:t>Respondents also will be advised of the following: the nature of the activity; the purpose and use of the data collected; FDA sponsorship (when appropriate); and the fact that participation is voluntary at all times. Because responses are voluntary, respondents will be assured that there will be no penalties if they decide not to respond, either to the information collection or to any particular questions.</w:t>
      </w:r>
      <w:r w:rsidRPr="00117D50" w:rsidR="00E15645">
        <w:rPr>
          <w:szCs w:val="24"/>
        </w:rPr>
        <w:t xml:space="preserve"> </w:t>
      </w:r>
    </w:p>
    <w:p w:rsidR="00117D50" w:rsidP="008242B1" w:rsidRDefault="00117D50" w14:paraId="5103B9EF" w14:textId="77777777">
      <w:pPr>
        <w:pStyle w:val="BodyText2"/>
        <w:ind w:left="432"/>
        <w:rPr>
          <w:szCs w:val="24"/>
        </w:rPr>
      </w:pPr>
    </w:p>
    <w:p w:rsidRPr="00FF1796" w:rsidR="00EF5213" w:rsidP="008242B1" w:rsidRDefault="005B201F" w14:paraId="07D9C7AA" w14:textId="1B557981">
      <w:pPr>
        <w:pStyle w:val="BodyText2"/>
        <w:ind w:left="432"/>
      </w:pPr>
      <w:r w:rsidRPr="00117D50">
        <w:rPr>
          <w:szCs w:val="24"/>
        </w:rPr>
        <w:lastRenderedPageBreak/>
        <w:t xml:space="preserve">Affirmative </w:t>
      </w:r>
      <w:r w:rsidR="00CB65E1">
        <w:rPr>
          <w:szCs w:val="24"/>
        </w:rPr>
        <w:t>assent/</w:t>
      </w:r>
      <w:r w:rsidRPr="00117D50">
        <w:rPr>
          <w:szCs w:val="24"/>
        </w:rPr>
        <w:t xml:space="preserve">consent will be obtained by having participants click “I agree to participate” at the bottom of a text box containing our </w:t>
      </w:r>
      <w:r w:rsidR="00CB65E1">
        <w:rPr>
          <w:szCs w:val="24"/>
        </w:rPr>
        <w:t>assent/</w:t>
      </w:r>
      <w:r w:rsidRPr="00117D50">
        <w:rPr>
          <w:szCs w:val="24"/>
        </w:rPr>
        <w:t>consent form, which is approved by the JHSPH IRB.</w:t>
      </w:r>
      <w:r w:rsidRPr="00117D50" w:rsidR="00F06C0B">
        <w:rPr>
          <w:szCs w:val="24"/>
        </w:rPr>
        <w:t xml:space="preserve"> Individuals have the opportunity to not participate in the study at all, by not clicking the link to the survey they receive or by not agreeing to participate after reading the </w:t>
      </w:r>
      <w:r w:rsidR="00CB65E1">
        <w:rPr>
          <w:szCs w:val="24"/>
        </w:rPr>
        <w:t>assent/</w:t>
      </w:r>
      <w:r w:rsidRPr="00117D50" w:rsidR="00F06C0B">
        <w:rPr>
          <w:szCs w:val="24"/>
        </w:rPr>
        <w:t xml:space="preserve">consent form. Participants may also discontinue participation at any time by closing the browser window to the survey. </w:t>
      </w:r>
    </w:p>
    <w:p w:rsidR="00E15645" w:rsidP="008242B1" w:rsidRDefault="00E15645" w14:paraId="48581126" w14:textId="77777777">
      <w:pPr>
        <w:pStyle w:val="BodyText2"/>
        <w:ind w:left="432"/>
        <w:rPr>
          <w:rFonts w:ascii="Arial" w:hAnsi="Arial" w:cs="Arial"/>
          <w:sz w:val="22"/>
          <w:szCs w:val="22"/>
        </w:rPr>
      </w:pPr>
    </w:p>
    <w:p w:rsidRPr="00117D50" w:rsidR="00D609B8" w:rsidP="008242B1" w:rsidRDefault="00EE0250" w14:paraId="734F9F51" w14:textId="7D6DD97F">
      <w:pPr>
        <w:pStyle w:val="BodyText2"/>
        <w:ind w:left="432"/>
        <w:rPr>
          <w:szCs w:val="24"/>
          <w:u w:val="single"/>
        </w:rPr>
      </w:pPr>
      <w:r w:rsidRPr="00117D50">
        <w:rPr>
          <w:szCs w:val="24"/>
          <w:u w:val="single"/>
        </w:rPr>
        <w:t>Third-Party Accountability</w:t>
      </w:r>
      <w:r w:rsidRPr="00117D50" w:rsidR="00FF30B1">
        <w:rPr>
          <w:szCs w:val="24"/>
          <w:u w:val="single"/>
        </w:rPr>
        <w:t xml:space="preserve"> </w:t>
      </w:r>
    </w:p>
    <w:p w:rsidR="00687AFC" w:rsidP="00687AFC" w:rsidRDefault="00687AFC" w14:paraId="6EB40AAC" w14:textId="77777777">
      <w:pPr>
        <w:pStyle w:val="BodyText2"/>
        <w:ind w:left="432"/>
        <w:rPr>
          <w:szCs w:val="24"/>
        </w:rPr>
      </w:pPr>
    </w:p>
    <w:p w:rsidRPr="00117D50" w:rsidR="003F6EBC" w:rsidP="008242B1" w:rsidRDefault="003F6EBC" w14:paraId="5BA99BC0" w14:textId="4A064C90">
      <w:pPr>
        <w:pStyle w:val="BodyText2"/>
        <w:ind w:left="432"/>
        <w:rPr>
          <w:szCs w:val="24"/>
        </w:rPr>
      </w:pPr>
      <w:r w:rsidRPr="00940E4F">
        <w:rPr>
          <w:szCs w:val="24"/>
        </w:rPr>
        <w:t>Contract agreements include clauses that hold prime and their service providers to federal standards and the laws and policies specifically applicable to this study. FDA reviewed the privacy policies of all third parties to confirm that it does not conflict with HHS/FDA and/or is superseded by contract content.</w:t>
      </w:r>
    </w:p>
    <w:p w:rsidR="00C627D4" w:rsidP="008242B1" w:rsidRDefault="00C627D4" w14:paraId="63523BF4" w14:textId="77777777">
      <w:pPr>
        <w:pStyle w:val="BodyText2"/>
        <w:ind w:left="432"/>
        <w:rPr>
          <w:rFonts w:ascii="Arial" w:hAnsi="Arial" w:cs="Arial"/>
          <w:sz w:val="22"/>
          <w:szCs w:val="22"/>
        </w:rPr>
      </w:pPr>
    </w:p>
    <w:p w:rsidRPr="00117D50" w:rsidR="00826263" w:rsidP="008242B1" w:rsidRDefault="00EE0250" w14:paraId="489896D8" w14:textId="068DCDC3">
      <w:pPr>
        <w:pStyle w:val="BodyText2"/>
        <w:ind w:left="432"/>
        <w:rPr>
          <w:szCs w:val="24"/>
          <w:u w:val="single"/>
        </w:rPr>
      </w:pPr>
      <w:r w:rsidRPr="00117D50">
        <w:rPr>
          <w:szCs w:val="24"/>
          <w:u w:val="single"/>
        </w:rPr>
        <w:t>Data Security</w:t>
      </w:r>
      <w:r w:rsidRPr="00117D50" w:rsidR="00826263">
        <w:rPr>
          <w:szCs w:val="24"/>
          <w:u w:val="single"/>
        </w:rPr>
        <w:t xml:space="preserve"> </w:t>
      </w:r>
    </w:p>
    <w:p w:rsidR="00687AFC" w:rsidP="00687AFC" w:rsidRDefault="00687AFC" w14:paraId="06B535CF" w14:textId="77777777">
      <w:pPr>
        <w:pStyle w:val="BodyText2"/>
        <w:ind w:left="432"/>
        <w:rPr>
          <w:szCs w:val="24"/>
        </w:rPr>
      </w:pPr>
    </w:p>
    <w:p w:rsidR="00826263" w:rsidP="008242B1" w:rsidRDefault="00826263" w14:paraId="26C957C3" w14:textId="0C0A6AF0">
      <w:pPr>
        <w:pStyle w:val="BodyText2"/>
        <w:ind w:left="432"/>
        <w:rPr>
          <w:szCs w:val="24"/>
        </w:rPr>
      </w:pPr>
      <w:r w:rsidRPr="00117D50">
        <w:rPr>
          <w:szCs w:val="24"/>
        </w:rPr>
        <w:t xml:space="preserve">Contractors </w:t>
      </w:r>
      <w:r w:rsidR="00B96458">
        <w:rPr>
          <w:szCs w:val="24"/>
        </w:rPr>
        <w:t xml:space="preserve">and third-party vendors </w:t>
      </w:r>
      <w:r w:rsidRPr="00117D50">
        <w:rPr>
          <w:szCs w:val="24"/>
        </w:rPr>
        <w:t xml:space="preserve">are required to maintain appropriate administrative, technical, and physical safeguards to ensure the security and confidentiality of records. User roles and responsibilities will determine the type and content of data and information necessary for job function (both PII and non-PII). Role-based access will determine and control who will have access to PII on an as-needed basis. Only personnel from the </w:t>
      </w:r>
      <w:r w:rsidR="00774731">
        <w:rPr>
          <w:szCs w:val="24"/>
        </w:rPr>
        <w:t xml:space="preserve">third-party vendor </w:t>
      </w:r>
      <w:r w:rsidRPr="00117D50">
        <w:rPr>
          <w:szCs w:val="24"/>
        </w:rPr>
        <w:t xml:space="preserve">conducting the information collection will have access to PII. All project staff from </w:t>
      </w:r>
      <w:r w:rsidR="00774731">
        <w:rPr>
          <w:szCs w:val="24"/>
        </w:rPr>
        <w:t>the third-party vendor</w:t>
      </w:r>
      <w:r w:rsidRPr="00117D50">
        <w:rPr>
          <w:szCs w:val="24"/>
        </w:rPr>
        <w:t xml:space="preserve"> conducting the information collection must take required measures to ensure the privacy and anonymity of data. PII will be limited to information that may be required in the process of respondent enrollment</w:t>
      </w:r>
      <w:r w:rsidR="0033434B">
        <w:rPr>
          <w:szCs w:val="24"/>
        </w:rPr>
        <w:t xml:space="preserve"> and compensation</w:t>
      </w:r>
      <w:r w:rsidRPr="00117D50">
        <w:rPr>
          <w:szCs w:val="24"/>
        </w:rPr>
        <w:t xml:space="preserve">. PII will not be linked to study data. All PII </w:t>
      </w:r>
      <w:r w:rsidRPr="00117D50" w:rsidR="005F526D">
        <w:rPr>
          <w:szCs w:val="24"/>
        </w:rPr>
        <w:t xml:space="preserve">collected </w:t>
      </w:r>
      <w:r w:rsidRPr="00117D50">
        <w:rPr>
          <w:szCs w:val="24"/>
        </w:rPr>
        <w:t xml:space="preserve">will be destroyed following data collection at the completion of the study.  </w:t>
      </w:r>
    </w:p>
    <w:p w:rsidRPr="00117D50" w:rsidR="00117D50" w:rsidP="008242B1" w:rsidRDefault="00117D50" w14:paraId="56212CF5" w14:textId="77777777">
      <w:pPr>
        <w:pStyle w:val="BodyText2"/>
        <w:ind w:left="432"/>
        <w:rPr>
          <w:szCs w:val="24"/>
        </w:rPr>
      </w:pPr>
    </w:p>
    <w:p w:rsidR="00826263" w:rsidP="008242B1" w:rsidRDefault="00826263" w14:paraId="35587857" w14:textId="587A3944">
      <w:pPr>
        <w:pStyle w:val="BodyText2"/>
        <w:ind w:left="432"/>
        <w:rPr>
          <w:szCs w:val="24"/>
        </w:rPr>
      </w:pPr>
      <w:r w:rsidRPr="00117D50">
        <w:rPr>
          <w:szCs w:val="24"/>
        </w:rPr>
        <w:t xml:space="preserve">Neither FDA employees nor any Federal employee of any other agency will have access to this information. </w:t>
      </w:r>
    </w:p>
    <w:p w:rsidRPr="00117D50" w:rsidR="00117D50" w:rsidP="008242B1" w:rsidRDefault="00117D50" w14:paraId="63F3B859" w14:textId="77777777">
      <w:pPr>
        <w:pStyle w:val="BodyText2"/>
        <w:ind w:left="432"/>
        <w:rPr>
          <w:szCs w:val="24"/>
        </w:rPr>
      </w:pPr>
    </w:p>
    <w:p w:rsidRPr="00117D50" w:rsidR="00826263" w:rsidP="008242B1" w:rsidRDefault="00826263" w14:paraId="1E0D69EA" w14:textId="783C6139">
      <w:pPr>
        <w:pStyle w:val="BodyText2"/>
        <w:ind w:left="432"/>
        <w:rPr>
          <w:szCs w:val="24"/>
        </w:rPr>
      </w:pPr>
      <w:r w:rsidRPr="00117D50">
        <w:rPr>
          <w:szCs w:val="24"/>
        </w:rPr>
        <w:t>All electronic data will be maintained securely throughout the information collection and data processing phases. While under review, electronic data will be stored in locked files on secured computer</w:t>
      </w:r>
      <w:r w:rsidRPr="00117D50" w:rsidR="006761D2">
        <w:rPr>
          <w:szCs w:val="24"/>
        </w:rPr>
        <w:t>. No hard copy data will be collected</w:t>
      </w:r>
      <w:r w:rsidRPr="00117D50">
        <w:rPr>
          <w:szCs w:val="24"/>
        </w:rPr>
        <w:t>. As a further guarantee of privacy and anonymity, all presentations of data in reports will be in aggregate form, with no links to individuals. Reports will be used only for research purposes and for the development of communication messages.</w:t>
      </w:r>
    </w:p>
    <w:p w:rsidR="00117D50" w:rsidP="008242B1" w:rsidRDefault="00117D50" w14:paraId="0FC7B303" w14:textId="77777777">
      <w:pPr>
        <w:pStyle w:val="BodyText2"/>
        <w:ind w:left="432"/>
        <w:rPr>
          <w:szCs w:val="24"/>
        </w:rPr>
      </w:pPr>
    </w:p>
    <w:p w:rsidR="00826263" w:rsidP="008242B1" w:rsidRDefault="00826263" w14:paraId="6A3ED8F7" w14:textId="61415A1A">
      <w:pPr>
        <w:pStyle w:val="BodyText2"/>
        <w:ind w:left="432"/>
        <w:rPr>
          <w:szCs w:val="24"/>
        </w:rPr>
      </w:pPr>
      <w:r w:rsidRPr="00117D50">
        <w:rPr>
          <w:szCs w:val="24"/>
        </w:rPr>
        <w:t>Before data are collected, FDA researchers will obtain an exemption for all research from FDA’s</w:t>
      </w:r>
      <w:r w:rsidR="0082519A">
        <w:rPr>
          <w:szCs w:val="24"/>
        </w:rPr>
        <w:t xml:space="preserve"> </w:t>
      </w:r>
      <w:r w:rsidR="00F11771">
        <w:rPr>
          <w:szCs w:val="24"/>
        </w:rPr>
        <w:t>RIHSC</w:t>
      </w:r>
      <w:r w:rsidRPr="00117D50">
        <w:rPr>
          <w:szCs w:val="24"/>
        </w:rPr>
        <w:t>.</w:t>
      </w:r>
    </w:p>
    <w:p w:rsidRPr="00117D50" w:rsidR="00117D50" w:rsidP="008242B1" w:rsidRDefault="00117D50" w14:paraId="388ED8E8" w14:textId="77777777">
      <w:pPr>
        <w:pStyle w:val="BodyText2"/>
        <w:ind w:left="432"/>
        <w:rPr>
          <w:szCs w:val="24"/>
        </w:rPr>
      </w:pPr>
    </w:p>
    <w:p w:rsidR="00826263" w:rsidP="008242B1" w:rsidRDefault="00826263" w14:paraId="4281CD70" w14:textId="53422BBD">
      <w:pPr>
        <w:pStyle w:val="BodyText2"/>
        <w:ind w:left="432"/>
        <w:rPr>
          <w:szCs w:val="24"/>
        </w:rPr>
      </w:pPr>
      <w:r w:rsidRPr="00117D50">
        <w:rPr>
          <w:szCs w:val="24"/>
        </w:rPr>
        <w:t xml:space="preserve">The research team understands that the security of online transmissions is not guaranteed due to the risk of interception by third parties or the possibility of monitoring software installed on research participants’ electronic devices. All participants will be assured that the information will be used only for research purposes and will be kept private to the extent allowable by law and the technology used. The survey </w:t>
      </w:r>
      <w:r w:rsidR="00CB65E1">
        <w:rPr>
          <w:szCs w:val="24"/>
        </w:rPr>
        <w:t>assent/</w:t>
      </w:r>
      <w:r w:rsidRPr="00117D50">
        <w:rPr>
          <w:szCs w:val="24"/>
        </w:rPr>
        <w:t xml:space="preserve">consent form will include information explaining this to respondents. Participants will be assured that their names and </w:t>
      </w:r>
      <w:r w:rsidRPr="00117D50">
        <w:rPr>
          <w:szCs w:val="24"/>
        </w:rPr>
        <w:lastRenderedPageBreak/>
        <w:t>e</w:t>
      </w:r>
      <w:r w:rsidRPr="00117D50">
        <w:rPr>
          <w:szCs w:val="24"/>
        </w:rPr>
        <w:noBreakHyphen/>
        <w:t>mail addresses will not be shared outside of the vendor (</w:t>
      </w:r>
      <w:r w:rsidRPr="00117D50" w:rsidR="006761D2">
        <w:rPr>
          <w:szCs w:val="24"/>
        </w:rPr>
        <w:t>SSRS</w:t>
      </w:r>
      <w:r w:rsidRPr="00117D50">
        <w:rPr>
          <w:szCs w:val="24"/>
        </w:rPr>
        <w:t>)</w:t>
      </w:r>
      <w:r w:rsidR="002454D1">
        <w:rPr>
          <w:szCs w:val="24"/>
        </w:rPr>
        <w:t xml:space="preserve"> </w:t>
      </w:r>
      <w:r w:rsidRPr="00117D50">
        <w:rPr>
          <w:szCs w:val="24"/>
        </w:rPr>
        <w:t xml:space="preserve">and identifying information will not be associated with any response data. Participants will be told that the information obtained from all the surveys will be combined into a summary report so that details of individual questionnaires cannot be linked to a specific participant. </w:t>
      </w:r>
    </w:p>
    <w:p w:rsidRPr="00117D50" w:rsidR="009A2CFC" w:rsidP="008242B1" w:rsidRDefault="009A2CFC" w14:paraId="780F9FE1" w14:textId="77777777">
      <w:pPr>
        <w:pStyle w:val="BodyText2"/>
        <w:ind w:left="432"/>
        <w:rPr>
          <w:szCs w:val="24"/>
        </w:rPr>
      </w:pPr>
    </w:p>
    <w:p w:rsidR="00826263" w:rsidP="008242B1" w:rsidRDefault="00826263" w14:paraId="58CF6BC0" w14:textId="5B2419A4">
      <w:pPr>
        <w:pStyle w:val="BodyText2"/>
        <w:ind w:left="432"/>
        <w:rPr>
          <w:szCs w:val="24"/>
        </w:rPr>
      </w:pPr>
      <w:r w:rsidRPr="00117D50">
        <w:rPr>
          <w:szCs w:val="24"/>
        </w:rPr>
        <w:t xml:space="preserve">The Internet panel includes a privacy policy that is easily accessible from any page on the site. A link to the privacy policy will be included on all survey invitations. The panel complies with established industry guidelines and states that members’ personally identifiable information will never be rented, sold, or revealed to third parties except in cases where required by law or with the consent of the panel members. These standards and codes of conduct comply with those set forth by American Marketing Association, the Council of American Survey Research Organizations, and others. All </w:t>
      </w:r>
      <w:r w:rsidRPr="00117D50" w:rsidR="00260385">
        <w:rPr>
          <w:szCs w:val="24"/>
        </w:rPr>
        <w:t>SSRS</w:t>
      </w:r>
      <w:r w:rsidRPr="00117D50">
        <w:rPr>
          <w:szCs w:val="24"/>
        </w:rPr>
        <w:t xml:space="preserve"> employees and contractors are required to take yearly security awareness and ethics training, which is based on these standards.</w:t>
      </w:r>
    </w:p>
    <w:p w:rsidRPr="00117D50" w:rsidR="00117D50" w:rsidP="008242B1" w:rsidRDefault="00117D50" w14:paraId="12F88EDC" w14:textId="77777777">
      <w:pPr>
        <w:pStyle w:val="BodyText2"/>
        <w:ind w:left="432"/>
        <w:rPr>
          <w:szCs w:val="24"/>
        </w:rPr>
      </w:pPr>
    </w:p>
    <w:p w:rsidR="00826263" w:rsidP="00687AFC" w:rsidRDefault="00826263" w14:paraId="28658A6E" w14:textId="70DDF7A6">
      <w:pPr>
        <w:pStyle w:val="BodyText2"/>
        <w:ind w:left="432"/>
        <w:rPr>
          <w:szCs w:val="24"/>
        </w:rPr>
      </w:pPr>
      <w:r w:rsidRPr="00461AE5">
        <w:rPr>
          <w:szCs w:val="24"/>
        </w:rPr>
        <w:t>Data security provisions will involve the following:</w:t>
      </w:r>
    </w:p>
    <w:p w:rsidRPr="00461AE5" w:rsidR="00687AFC" w:rsidP="008242B1" w:rsidRDefault="00687AFC" w14:paraId="0E729704" w14:textId="77777777">
      <w:pPr>
        <w:pStyle w:val="BodyText2"/>
        <w:ind w:left="432"/>
        <w:rPr>
          <w:szCs w:val="24"/>
        </w:rPr>
      </w:pPr>
    </w:p>
    <w:p w:rsidRPr="00826263" w:rsidR="00826263" w:rsidP="00FC1F02" w:rsidRDefault="00826263" w14:paraId="5A7C6418" w14:textId="1D59C3F2">
      <w:pPr>
        <w:ind w:left="1440" w:hanging="360"/>
        <w:rPr>
          <w:rFonts w:ascii="Arial" w:hAnsi="Arial" w:cs="Arial"/>
          <w:sz w:val="22"/>
          <w:szCs w:val="22"/>
        </w:rPr>
      </w:pPr>
      <w:r w:rsidRPr="00826263">
        <w:rPr>
          <w:rFonts w:ascii="Arial" w:hAnsi="Arial" w:cs="Arial"/>
          <w:sz w:val="22"/>
          <w:szCs w:val="22"/>
        </w:rPr>
        <w:t>•</w:t>
      </w:r>
      <w:r w:rsidRPr="00826263">
        <w:rPr>
          <w:rFonts w:ascii="Arial" w:hAnsi="Arial" w:cs="Arial"/>
          <w:sz w:val="22"/>
          <w:szCs w:val="22"/>
        </w:rPr>
        <w:tab/>
      </w:r>
      <w:r w:rsidRPr="00461AE5">
        <w:t xml:space="preserve">All data collection activities will be conducted in full compliance with FDA regulations to maintain the privacy of data obtained from participants and to protect the rights and welfare of human research participants as contained in their regulations. Participants will receive information about privacy protections as part of the informed </w:t>
      </w:r>
      <w:r w:rsidR="00CB65E1">
        <w:t>assent/</w:t>
      </w:r>
      <w:r w:rsidRPr="00461AE5">
        <w:t>consent process.</w:t>
      </w:r>
    </w:p>
    <w:p w:rsidRPr="00826263" w:rsidR="00826263" w:rsidP="00FC1F02" w:rsidRDefault="00826263" w14:paraId="7118C728" w14:textId="0579AE1B">
      <w:pPr>
        <w:ind w:left="1440" w:hanging="360"/>
        <w:rPr>
          <w:rFonts w:ascii="Arial" w:hAnsi="Arial" w:cs="Arial"/>
          <w:sz w:val="22"/>
          <w:szCs w:val="22"/>
        </w:rPr>
      </w:pPr>
      <w:r w:rsidRPr="00826263">
        <w:rPr>
          <w:rFonts w:ascii="Arial" w:hAnsi="Arial" w:cs="Arial"/>
          <w:sz w:val="22"/>
          <w:szCs w:val="22"/>
        </w:rPr>
        <w:t>•</w:t>
      </w:r>
      <w:r w:rsidRPr="00826263">
        <w:rPr>
          <w:rFonts w:ascii="Arial" w:hAnsi="Arial" w:cs="Arial"/>
          <w:sz w:val="22"/>
          <w:szCs w:val="22"/>
        </w:rPr>
        <w:tab/>
      </w:r>
      <w:r w:rsidRPr="00461AE5" w:rsidR="00DE7E4A">
        <w:t>All data</w:t>
      </w:r>
      <w:r w:rsidRPr="00461AE5" w:rsidR="008519A8">
        <w:t xml:space="preserve"> is encrypted at rest on the Web-based survey system, as well as encrypted during transmission to and from the Web-based survey system with the use of an SSL certificate.</w:t>
      </w:r>
      <w:r w:rsidRPr="00293510" w:rsidR="008519A8">
        <w:rPr>
          <w:rFonts w:ascii="Arial" w:hAnsi="Arial" w:cs="Arial"/>
          <w:sz w:val="22"/>
          <w:szCs w:val="22"/>
        </w:rPr>
        <w:t xml:space="preserve"> </w:t>
      </w:r>
    </w:p>
    <w:p w:rsidRPr="00461AE5" w:rsidR="00826263" w:rsidP="00FC1F02" w:rsidRDefault="00826263" w14:paraId="5E9D2C96" w14:textId="65C8FBC6">
      <w:pPr>
        <w:ind w:left="1440" w:hanging="360"/>
      </w:pPr>
      <w:r w:rsidRPr="00826263">
        <w:rPr>
          <w:rFonts w:ascii="Arial" w:hAnsi="Arial" w:cs="Arial"/>
          <w:sz w:val="22"/>
          <w:szCs w:val="22"/>
        </w:rPr>
        <w:t>•</w:t>
      </w:r>
      <w:r w:rsidRPr="00826263">
        <w:rPr>
          <w:rFonts w:ascii="Arial" w:hAnsi="Arial" w:cs="Arial"/>
          <w:sz w:val="22"/>
          <w:szCs w:val="22"/>
        </w:rPr>
        <w:tab/>
      </w:r>
      <w:r w:rsidRPr="00461AE5">
        <w:t>Participants will be given a unique alphanumeric variable</w:t>
      </w:r>
      <w:r w:rsidRPr="00461AE5" w:rsidR="009F5099">
        <w:t>, and no identifiable information will be collected from participants in the survey.</w:t>
      </w:r>
    </w:p>
    <w:p w:rsidR="00826263" w:rsidP="00FC1F02" w:rsidRDefault="00826263" w14:paraId="4EC4556D" w14:textId="231A6652">
      <w:pPr>
        <w:ind w:left="1440" w:hanging="360"/>
        <w:rPr>
          <w:rFonts w:ascii="Arial" w:hAnsi="Arial" w:cs="Arial"/>
          <w:sz w:val="22"/>
          <w:szCs w:val="22"/>
        </w:rPr>
      </w:pPr>
      <w:r w:rsidRPr="00826263">
        <w:rPr>
          <w:rFonts w:ascii="Arial" w:hAnsi="Arial" w:cs="Arial"/>
          <w:sz w:val="22"/>
          <w:szCs w:val="22"/>
        </w:rPr>
        <w:t>•</w:t>
      </w:r>
      <w:r w:rsidRPr="00826263">
        <w:rPr>
          <w:rFonts w:ascii="Arial" w:hAnsi="Arial" w:cs="Arial"/>
          <w:sz w:val="22"/>
          <w:szCs w:val="22"/>
        </w:rPr>
        <w:tab/>
      </w:r>
      <w:r w:rsidRPr="00461AE5">
        <w:t>All participants will be assured that the information they provide will be maintained in a secure manner and will be used only for the purpose of this research. Participants will be assured that their answers will not be shared with family members and that their names will not be reported with responses provided. Participants will be told that the information obtained from all of the surveys will be combined into a summary report so that details of individual questionnaires cannot be linked to a specific participant.</w:t>
      </w:r>
    </w:p>
    <w:p w:rsidR="00FF733C" w:rsidP="00FC1F02" w:rsidRDefault="00FF733C" w14:paraId="46D4165B" w14:textId="77777777">
      <w:pPr>
        <w:ind w:left="1440" w:hanging="360"/>
        <w:rPr>
          <w:rFonts w:ascii="Arial" w:hAnsi="Arial" w:cs="Arial"/>
          <w:sz w:val="22"/>
          <w:szCs w:val="22"/>
        </w:rPr>
      </w:pPr>
    </w:p>
    <w:p w:rsidRPr="00461AE5" w:rsidR="00A70C31" w:rsidP="00081417" w:rsidRDefault="00A70C31" w14:paraId="2D7E9510" w14:textId="232A8D9C">
      <w:pPr>
        <w:pStyle w:val="BodyText2"/>
        <w:ind w:left="360"/>
        <w:rPr>
          <w:szCs w:val="24"/>
        </w:rPr>
      </w:pPr>
      <w:r w:rsidRPr="00461AE5">
        <w:rPr>
          <w:szCs w:val="24"/>
        </w:rPr>
        <w:t xml:space="preserve">The </w:t>
      </w:r>
      <w:r w:rsidR="00B96458">
        <w:rPr>
          <w:szCs w:val="24"/>
        </w:rPr>
        <w:t xml:space="preserve">JHSPH </w:t>
      </w:r>
      <w:r w:rsidRPr="00C21F70" w:rsidR="00B96458">
        <w:rPr>
          <w:szCs w:val="24"/>
        </w:rPr>
        <w:t>IRB</w:t>
      </w:r>
      <w:r w:rsidRPr="00461AE5" w:rsidDel="00B96458" w:rsidR="00B96458">
        <w:rPr>
          <w:szCs w:val="24"/>
        </w:rPr>
        <w:t xml:space="preserve"> </w:t>
      </w:r>
      <w:r w:rsidRPr="00461AE5">
        <w:rPr>
          <w:szCs w:val="24"/>
        </w:rPr>
        <w:t>has approved this study, including its procedures to protect the privacy of participants.</w:t>
      </w:r>
    </w:p>
    <w:p w:rsidRPr="00114D58" w:rsidR="00C72C50" w:rsidP="00DD09F5" w:rsidRDefault="00C72C50" w14:paraId="5E51810B" w14:textId="77D06214">
      <w:pPr>
        <w:ind w:left="720"/>
        <w:rPr>
          <w:rFonts w:ascii="Arial" w:hAnsi="Arial" w:cs="Arial"/>
          <w:sz w:val="22"/>
          <w:szCs w:val="22"/>
        </w:rPr>
      </w:pPr>
    </w:p>
    <w:p w:rsidRPr="00117D50" w:rsidR="00204CFC" w:rsidP="00081417" w:rsidRDefault="00EB7538" w14:paraId="5C97A6FF" w14:textId="77777777">
      <w:pPr>
        <w:numPr>
          <w:ilvl w:val="0"/>
          <w:numId w:val="1"/>
        </w:numPr>
        <w:spacing w:before="100" w:beforeAutospacing="1" w:after="100" w:afterAutospacing="1"/>
        <w:ind w:left="360"/>
        <w:rPr>
          <w:rFonts w:eastAsiaTheme="minorEastAsia"/>
          <w:color w:val="000000" w:themeColor="text1"/>
          <w:u w:val="single"/>
        </w:rPr>
      </w:pPr>
      <w:r w:rsidRPr="00117D50">
        <w:rPr>
          <w:rFonts w:eastAsiaTheme="minorEastAsia"/>
          <w:color w:val="000000" w:themeColor="text1"/>
          <w:u w:val="single"/>
        </w:rPr>
        <w:t>Justification for Sensitive Questions</w:t>
      </w:r>
    </w:p>
    <w:p w:rsidRPr="00461AE5" w:rsidR="006F6546" w:rsidP="00081417" w:rsidRDefault="005F6E1F" w14:paraId="7DED0F55" w14:textId="1A6C0A77">
      <w:pPr>
        <w:ind w:left="360"/>
      </w:pPr>
      <w:r w:rsidRPr="00461AE5">
        <w:t>The majority of questions are not sensitive.</w:t>
      </w:r>
      <w:r w:rsidRPr="00461AE5" w:rsidR="00E07973">
        <w:t xml:space="preserve"> We will not ask for a participant’s Social Security Number (SSN).</w:t>
      </w:r>
      <w:r w:rsidRPr="00461AE5" w:rsidR="00204CFC">
        <w:t xml:space="preserve"> It is necessary to ask some questions that may be sensitive in nature, specifically questions regarding tobacco use. It is necessary to ask these questions</w:t>
      </w:r>
      <w:r w:rsidRPr="00461AE5" w:rsidR="00DF76BB">
        <w:t xml:space="preserve"> in</w:t>
      </w:r>
      <w:r w:rsidRPr="00461AE5" w:rsidR="00204CFC">
        <w:t xml:space="preserve"> order to meet the objectives of the study, i.e., to understand whether ENDS advertising affects tobacco users and non-users differently and to ensure the sample contains sufficient numbers of users and non-users.</w:t>
      </w:r>
      <w:r w:rsidRPr="00461AE5" w:rsidR="003F3A73">
        <w:t xml:space="preserve"> Questions about demographic information, e.g., race, education and </w:t>
      </w:r>
      <w:r w:rsidRPr="00461AE5" w:rsidR="003F3A73">
        <w:lastRenderedPageBreak/>
        <w:t xml:space="preserve">income level, could be considered sensitive but are not highly sensitive. These questions are necessary to assess the diversity of the sample and to ensure participants are effectively randomized across </w:t>
      </w:r>
      <w:r w:rsidRPr="00461AE5" w:rsidR="00956F97">
        <w:t>conditions.</w:t>
      </w:r>
      <w:r w:rsidRPr="00461AE5" w:rsidR="006F6546">
        <w:t xml:space="preserve"> </w:t>
      </w:r>
    </w:p>
    <w:p w:rsidRPr="00461AE5" w:rsidR="006F6546" w:rsidP="006F6546" w:rsidRDefault="006F6546" w14:paraId="588074D3" w14:textId="77777777"/>
    <w:p w:rsidRPr="00461AE5" w:rsidR="006F6546" w:rsidP="00081417" w:rsidRDefault="006F6546" w14:paraId="5653C925" w14:textId="4C767E67">
      <w:pPr>
        <w:ind w:left="360"/>
      </w:pPr>
      <w:r w:rsidRPr="00461AE5">
        <w:t xml:space="preserve">If a respondent does not take precautions to keep his or her answers confidential when completing the survey, it is possible that someone else in the household or other space within viewing distance of the respondent’s computer could view the respondent’s answers on the computer while the survey is in progress (e.g., if the participant walks away from the computer while completing the survey), which may make some participants feel uncomfortable. </w:t>
      </w:r>
    </w:p>
    <w:p w:rsidRPr="00461AE5" w:rsidR="006F6546" w:rsidP="006F6546" w:rsidRDefault="006F6546" w14:paraId="675868EE" w14:textId="77777777"/>
    <w:p w:rsidRPr="00461AE5" w:rsidR="006F6546" w:rsidP="00081417" w:rsidRDefault="006F6546" w14:paraId="45BE6028" w14:textId="77777777">
      <w:pPr>
        <w:ind w:left="360"/>
      </w:pPr>
      <w:r w:rsidRPr="00461AE5">
        <w:t>To address other concerns about inadvertent disclosure of sensitive information, potential participants will be fully informed of the applicable privacy safeguards. This study includes a number of procedures and methodological characteristics designed to minimize potential negative reactions to these types of questions, including the following:</w:t>
      </w:r>
    </w:p>
    <w:p w:rsidRPr="007A5F19" w:rsidR="006F6546" w:rsidP="006F6546" w:rsidRDefault="006F6546" w14:paraId="337BB560" w14:textId="77777777">
      <w:pPr>
        <w:ind w:left="1080"/>
        <w:rPr>
          <w:rFonts w:ascii="Arial" w:hAnsi="Arial" w:cs="Arial"/>
          <w:color w:val="000000" w:themeColor="text1"/>
          <w:sz w:val="22"/>
          <w:szCs w:val="22"/>
        </w:rPr>
      </w:pPr>
    </w:p>
    <w:p w:rsidRPr="00461AE5" w:rsidR="006F6546" w:rsidP="006F6546" w:rsidRDefault="006F6546" w14:paraId="2BE9EB5C" w14:textId="32875E4F">
      <w:pPr>
        <w:numPr>
          <w:ilvl w:val="1"/>
          <w:numId w:val="1"/>
        </w:numPr>
        <w:tabs>
          <w:tab w:val="clear" w:pos="1440"/>
        </w:tabs>
        <w:ind w:left="720"/>
      </w:pPr>
      <w:r w:rsidRPr="00461AE5">
        <w:t xml:space="preserve">Participants will be informed that they </w:t>
      </w:r>
      <w:r w:rsidR="0033434B">
        <w:t>do</w:t>
      </w:r>
      <w:r w:rsidRPr="00461AE5" w:rsidR="0033434B">
        <w:t xml:space="preserve"> </w:t>
      </w:r>
      <w:r w:rsidRPr="00461AE5">
        <w:t xml:space="preserve">not </w:t>
      </w:r>
      <w:r w:rsidR="0033434B">
        <w:t xml:space="preserve">need to </w:t>
      </w:r>
      <w:r w:rsidRPr="00461AE5">
        <w:t>answer any question that makes them feel uncomfortable</w:t>
      </w:r>
      <w:r w:rsidR="00A6382E">
        <w:t>,</w:t>
      </w:r>
      <w:r w:rsidRPr="00461AE5">
        <w:t xml:space="preserve"> or that they do not wish to answer.</w:t>
      </w:r>
    </w:p>
    <w:p w:rsidRPr="00461AE5" w:rsidR="006F6546" w:rsidP="006F6546" w:rsidRDefault="006F6546" w14:paraId="47F6E6D6" w14:textId="77777777">
      <w:pPr>
        <w:numPr>
          <w:ilvl w:val="1"/>
          <w:numId w:val="1"/>
        </w:numPr>
        <w:tabs>
          <w:tab w:val="clear" w:pos="1440"/>
        </w:tabs>
        <w:ind w:left="720"/>
      </w:pPr>
      <w:r w:rsidRPr="00461AE5">
        <w:t>Web surveys are entirely self-administered and maximize respondent privacy without the need to verbalize responses.</w:t>
      </w:r>
    </w:p>
    <w:p w:rsidRPr="00461AE5" w:rsidR="006F6546" w:rsidP="006F6546" w:rsidRDefault="006F6546" w14:paraId="66028558" w14:textId="585BE6AC">
      <w:pPr>
        <w:numPr>
          <w:ilvl w:val="1"/>
          <w:numId w:val="1"/>
        </w:numPr>
        <w:tabs>
          <w:tab w:val="clear" w:pos="1440"/>
        </w:tabs>
        <w:ind w:left="720"/>
      </w:pPr>
      <w:r w:rsidRPr="00461AE5">
        <w:t xml:space="preserve">In the Informed </w:t>
      </w:r>
      <w:r w:rsidR="00CB65E1">
        <w:t>Assent/</w:t>
      </w:r>
      <w:r w:rsidRPr="00461AE5">
        <w:t xml:space="preserve">Consent, participants will be provided with a phone number </w:t>
      </w:r>
      <w:r w:rsidR="00BB0733">
        <w:t xml:space="preserve">and email address </w:t>
      </w:r>
      <w:r w:rsidRPr="00461AE5">
        <w:t xml:space="preserve">(linking directly to the </w:t>
      </w:r>
      <w:r w:rsidRPr="00461AE5" w:rsidR="002F484F">
        <w:t>JHSPH</w:t>
      </w:r>
      <w:r w:rsidRPr="00461AE5">
        <w:t xml:space="preserve"> IRB Office) to </w:t>
      </w:r>
      <w:r w:rsidR="00BB0733">
        <w:t>contact</w:t>
      </w:r>
      <w:r w:rsidRPr="00461AE5" w:rsidR="00BB0733">
        <w:t xml:space="preserve"> </w:t>
      </w:r>
      <w:r w:rsidRPr="00461AE5">
        <w:t xml:space="preserve">if they have a question or concern about the sensitive issue. In the debriefing at the end of the survey, participants will </w:t>
      </w:r>
      <w:r w:rsidR="00BB0733">
        <w:t xml:space="preserve">also </w:t>
      </w:r>
      <w:r w:rsidRPr="00461AE5">
        <w:t xml:space="preserve">be provided with a phone number and an email address through which they can contact </w:t>
      </w:r>
      <w:r w:rsidR="005E0948">
        <w:t>the</w:t>
      </w:r>
      <w:r w:rsidR="00002968">
        <w:t xml:space="preserve"> J</w:t>
      </w:r>
      <w:r w:rsidR="005E0948">
        <w:t>HSPH IRB Office.</w:t>
      </w:r>
      <w:r w:rsidRPr="00461AE5">
        <w:t xml:space="preserve"> </w:t>
      </w:r>
    </w:p>
    <w:p w:rsidRPr="007A5F19" w:rsidR="006F6546" w:rsidP="006F6546" w:rsidRDefault="006F6546" w14:paraId="09C26680" w14:textId="77777777">
      <w:pPr>
        <w:ind w:left="1080"/>
        <w:rPr>
          <w:rFonts w:ascii="Arial" w:hAnsi="Arial" w:cs="Arial"/>
          <w:color w:val="000000" w:themeColor="text1"/>
          <w:sz w:val="22"/>
          <w:szCs w:val="22"/>
        </w:rPr>
      </w:pPr>
    </w:p>
    <w:p w:rsidRPr="00461AE5" w:rsidR="005F6E1F" w:rsidP="00081417" w:rsidRDefault="006F6546" w14:paraId="2517B5F6" w14:textId="75B5389B">
      <w:pPr>
        <w:ind w:left="360"/>
      </w:pPr>
      <w:r w:rsidRPr="00461AE5">
        <w:t>Finally, as with all information collected, these data will be presented with all identifiers removed.</w:t>
      </w:r>
    </w:p>
    <w:p w:rsidRPr="00461AE5" w:rsidR="004C6979" w:rsidP="00081417" w:rsidRDefault="00EB7538" w14:paraId="53377451" w14:textId="77777777">
      <w:pPr>
        <w:numPr>
          <w:ilvl w:val="0"/>
          <w:numId w:val="1"/>
        </w:numPr>
        <w:spacing w:before="100" w:beforeAutospacing="1" w:after="100" w:afterAutospacing="1"/>
        <w:ind w:left="360"/>
        <w:rPr>
          <w:rFonts w:eastAsiaTheme="minorEastAsia"/>
          <w:color w:val="000000" w:themeColor="text1"/>
          <w:u w:val="single"/>
        </w:rPr>
      </w:pPr>
      <w:r w:rsidRPr="00461AE5">
        <w:rPr>
          <w:rFonts w:eastAsiaTheme="minorEastAsia"/>
          <w:color w:val="000000" w:themeColor="text1"/>
          <w:u w:val="single"/>
        </w:rPr>
        <w:t>Estimates of Annualized Burden Hours and Costs</w:t>
      </w:r>
    </w:p>
    <w:p w:rsidR="003F6EBC" w:rsidP="00081417" w:rsidRDefault="003F6EBC" w14:paraId="285655AD" w14:textId="71C7298F">
      <w:pPr>
        <w:ind w:left="360"/>
      </w:pPr>
      <w:r>
        <w:t>Approximately 250,000 respondents from an in</w:t>
      </w:r>
      <w:r w:rsidR="005636C4">
        <w:t>ternet</w:t>
      </w:r>
      <w:r>
        <w:t xml:space="preserve"> panel will be recruited via</w:t>
      </w:r>
      <w:r w:rsidRPr="00240B88">
        <w:t xml:space="preserve"> an email invitation</w:t>
      </w:r>
      <w:r>
        <w:t xml:space="preserve">, </w:t>
      </w:r>
      <w:r w:rsidRPr="00985998">
        <w:t>which is estimated to take</w:t>
      </w:r>
      <w:r>
        <w:t xml:space="preserve"> 1</w:t>
      </w:r>
      <w:r w:rsidRPr="00985998">
        <w:t xml:space="preserve"> minute</w:t>
      </w:r>
      <w:r>
        <w:t xml:space="preserve"> to read and respond</w:t>
      </w:r>
      <w:r w:rsidRPr="00240B88">
        <w:t xml:space="preserve">.  </w:t>
      </w:r>
      <w:r>
        <w:t xml:space="preserve">An estimated </w:t>
      </w:r>
      <w:r w:rsidRPr="00240B88">
        <w:t xml:space="preserve">7,500 (3,750 youth and 3,750 young adults) </w:t>
      </w:r>
      <w:r>
        <w:t>respondents will provide</w:t>
      </w:r>
      <w:r w:rsidR="00CB65E1">
        <w:t xml:space="preserve"> assent and</w:t>
      </w:r>
      <w:r>
        <w:t xml:space="preserve"> consent</w:t>
      </w:r>
      <w:r w:rsidRPr="00240B88">
        <w:t xml:space="preserve"> and </w:t>
      </w:r>
      <w:r>
        <w:t>be screened</w:t>
      </w:r>
      <w:r w:rsidRPr="00240B88">
        <w:t xml:space="preserve"> to yield the desired sample size of 5,000 total (2,500 youth and 2,500 young adults) participants.  </w:t>
      </w:r>
      <w:r>
        <w:t xml:space="preserve">The consent/screening process is estimated to take an </w:t>
      </w:r>
      <w:r w:rsidRPr="00240B88">
        <w:t xml:space="preserve">average of 7 minutes per respondent.  </w:t>
      </w:r>
      <w:r>
        <w:t>P</w:t>
      </w:r>
      <w:r w:rsidRPr="00240B88">
        <w:t xml:space="preserve">articipants </w:t>
      </w:r>
      <w:r>
        <w:t xml:space="preserve">that </w:t>
      </w:r>
      <w:r w:rsidRPr="00240B88">
        <w:t>qualify for the study will be automatically directed to begin the online survey</w:t>
      </w:r>
      <w:r>
        <w:t xml:space="preserve"> </w:t>
      </w:r>
      <w:r w:rsidR="005636C4">
        <w:t>which is</w:t>
      </w:r>
      <w:r w:rsidRPr="00240B88">
        <w:t xml:space="preserve"> estimated </w:t>
      </w:r>
      <w:r>
        <w:t xml:space="preserve">to take an </w:t>
      </w:r>
      <w:r w:rsidRPr="00240B88">
        <w:t xml:space="preserve">average of 20 minutes per respondent.  </w:t>
      </w:r>
    </w:p>
    <w:p w:rsidR="003F6EBC" w:rsidP="003F6EBC" w:rsidRDefault="003F6EBC" w14:paraId="13219ACD" w14:textId="77777777"/>
    <w:p w:rsidR="003F6EBC" w:rsidP="00081417" w:rsidRDefault="003F6EBC" w14:paraId="0B3C72DB" w14:textId="77777777">
      <w:pPr>
        <w:ind w:firstLine="360"/>
        <w:rPr>
          <w:rFonts w:ascii="Arial" w:hAnsi="Arial" w:cs="Arial"/>
          <w:sz w:val="22"/>
          <w:szCs w:val="22"/>
        </w:rPr>
      </w:pPr>
      <w:r w:rsidRPr="00985998">
        <w:t>The total estimated burden to respondents is 6,712</w:t>
      </w:r>
      <w:r>
        <w:t xml:space="preserve"> </w:t>
      </w:r>
      <w:r w:rsidRPr="00985998">
        <w:t xml:space="preserve">hours, as summarized in </w:t>
      </w:r>
      <w:r>
        <w:t>Exhibit</w:t>
      </w:r>
      <w:r w:rsidRPr="00985998">
        <w:t xml:space="preserve"> 1.</w:t>
      </w:r>
    </w:p>
    <w:p w:rsidR="003F6EBC" w:rsidP="003F6EBC" w:rsidRDefault="003F6EBC" w14:paraId="233551EC" w14:textId="77777777">
      <w:pPr>
        <w:rPr>
          <w:rFonts w:ascii="Arial" w:hAnsi="Arial" w:cs="Arial"/>
          <w:sz w:val="22"/>
          <w:szCs w:val="22"/>
        </w:rPr>
      </w:pPr>
    </w:p>
    <w:p w:rsidR="003F6EBC" w:rsidP="003F6EBC" w:rsidRDefault="0070213E" w14:paraId="4F947F09" w14:textId="12F7EE03">
      <w:pPr>
        <w:spacing w:before="120" w:after="120" w:line="360" w:lineRule="auto"/>
        <w:rPr>
          <w:b/>
          <w:color w:val="000000" w:themeColor="text1"/>
        </w:rPr>
      </w:pPr>
      <w:r>
        <w:rPr>
          <w:b/>
          <w:color w:val="000000" w:themeColor="text1"/>
        </w:rPr>
        <w:t>12</w:t>
      </w:r>
      <w:r w:rsidR="00687AFC">
        <w:rPr>
          <w:b/>
          <w:color w:val="000000" w:themeColor="text1"/>
        </w:rPr>
        <w:t>a</w:t>
      </w:r>
      <w:r>
        <w:rPr>
          <w:b/>
          <w:color w:val="000000" w:themeColor="text1"/>
        </w:rPr>
        <w:t xml:space="preserve">. </w:t>
      </w:r>
      <w:r w:rsidR="003F6EBC">
        <w:rPr>
          <w:b/>
          <w:color w:val="000000" w:themeColor="text1"/>
        </w:rPr>
        <w:t>Exhibit 1. Estimated Annual Burden Hours</w:t>
      </w:r>
    </w:p>
    <w:tbl>
      <w:tblPr>
        <w:tblW w:w="9712" w:type="dxa"/>
        <w:jc w:val="center"/>
        <w:tblCellMar>
          <w:left w:w="0" w:type="dxa"/>
          <w:right w:w="0" w:type="dxa"/>
        </w:tblCellMar>
        <w:tblLook w:val="04A0" w:firstRow="1" w:lastRow="0" w:firstColumn="1" w:lastColumn="0" w:noHBand="0" w:noVBand="1"/>
      </w:tblPr>
      <w:tblGrid>
        <w:gridCol w:w="3198"/>
        <w:gridCol w:w="1510"/>
        <w:gridCol w:w="1414"/>
        <w:gridCol w:w="1225"/>
        <w:gridCol w:w="1324"/>
        <w:gridCol w:w="1041"/>
      </w:tblGrid>
      <w:tr w:rsidR="003F6EBC" w:rsidTr="00EC537B" w14:paraId="67EA1011" w14:textId="77777777">
        <w:trPr>
          <w:trHeight w:val="216"/>
          <w:jc w:val="center"/>
        </w:trPr>
        <w:tc>
          <w:tcPr>
            <w:tcW w:w="9712" w:type="dxa"/>
            <w:gridSpan w:val="6"/>
            <w:tcBorders>
              <w:top w:val="single" w:color="auto" w:sz="8" w:space="0"/>
              <w:left w:val="single" w:color="auto" w:sz="8" w:space="0"/>
              <w:bottom w:val="single" w:color="auto" w:sz="12" w:space="0"/>
              <w:right w:val="single" w:color="auto" w:sz="4" w:space="0"/>
            </w:tcBorders>
            <w:shd w:val="clear" w:color="auto" w:fill="E0E0E0"/>
            <w:tcMar>
              <w:top w:w="0" w:type="dxa"/>
              <w:left w:w="108" w:type="dxa"/>
              <w:bottom w:w="0" w:type="dxa"/>
              <w:right w:w="108" w:type="dxa"/>
            </w:tcMar>
            <w:vAlign w:val="bottom"/>
          </w:tcPr>
          <w:p w:rsidR="003F6EBC" w:rsidP="00EC537B" w:rsidRDefault="003F6EBC" w14:paraId="0EDA4DDF" w14:textId="173C4997">
            <w:pPr>
              <w:ind w:right="78"/>
              <w:jc w:val="center"/>
              <w:rPr>
                <w:color w:val="000000" w:themeColor="text1"/>
                <w:lang w:bidi="he-IL"/>
              </w:rPr>
            </w:pPr>
            <w:r>
              <w:rPr>
                <w:color w:val="000000" w:themeColor="text1"/>
                <w:lang w:bidi="he-IL"/>
              </w:rPr>
              <w:t>Exhibit</w:t>
            </w:r>
            <w:r w:rsidRPr="008322B5">
              <w:rPr>
                <w:color w:val="000000" w:themeColor="text1"/>
                <w:lang w:bidi="he-IL"/>
              </w:rPr>
              <w:t xml:space="preserve"> 1. Estimated Annual Reporting Burden</w:t>
            </w:r>
          </w:p>
        </w:tc>
      </w:tr>
      <w:tr w:rsidR="003F6EBC" w:rsidTr="00EC537B" w14:paraId="59D6AE24" w14:textId="77777777">
        <w:trPr>
          <w:trHeight w:val="216"/>
          <w:jc w:val="center"/>
        </w:trPr>
        <w:tc>
          <w:tcPr>
            <w:tcW w:w="3198" w:type="dxa"/>
            <w:tcBorders>
              <w:top w:val="single" w:color="auto" w:sz="8" w:space="0"/>
              <w:left w:val="single" w:color="auto" w:sz="8" w:space="0"/>
              <w:bottom w:val="single" w:color="auto" w:sz="12" w:space="0"/>
              <w:right w:val="single" w:color="auto" w:sz="4" w:space="0"/>
            </w:tcBorders>
            <w:shd w:val="clear" w:color="auto" w:fill="E0E0E0"/>
            <w:tcMar>
              <w:top w:w="0" w:type="dxa"/>
              <w:left w:w="108" w:type="dxa"/>
              <w:bottom w:w="0" w:type="dxa"/>
              <w:right w:w="108" w:type="dxa"/>
            </w:tcMar>
            <w:vAlign w:val="bottom"/>
            <w:hideMark/>
          </w:tcPr>
          <w:p w:rsidR="003F6EBC" w:rsidP="00EC537B" w:rsidRDefault="003F6EBC" w14:paraId="197754E3" w14:textId="77777777">
            <w:pPr>
              <w:jc w:val="center"/>
              <w:rPr>
                <w:b/>
                <w:bCs/>
                <w:lang w:bidi="he-IL"/>
              </w:rPr>
            </w:pPr>
            <w:r>
              <w:rPr>
                <w:b/>
                <w:bCs/>
                <w:lang w:bidi="he-IL"/>
              </w:rPr>
              <w:lastRenderedPageBreak/>
              <w:t>Participant Subgroup</w:t>
            </w:r>
          </w:p>
        </w:tc>
        <w:tc>
          <w:tcPr>
            <w:tcW w:w="1510" w:type="dxa"/>
            <w:tcBorders>
              <w:top w:val="single" w:color="auto" w:sz="4" w:space="0"/>
              <w:left w:val="single" w:color="auto" w:sz="4" w:space="0"/>
              <w:bottom w:val="single" w:color="auto" w:sz="12" w:space="0"/>
              <w:right w:val="single" w:color="auto" w:sz="4" w:space="0"/>
            </w:tcBorders>
            <w:shd w:val="clear" w:color="auto" w:fill="E0E0E0"/>
            <w:tcMar>
              <w:top w:w="0" w:type="dxa"/>
              <w:left w:w="108" w:type="dxa"/>
              <w:bottom w:w="0" w:type="dxa"/>
              <w:right w:w="108" w:type="dxa"/>
            </w:tcMar>
            <w:hideMark/>
          </w:tcPr>
          <w:p w:rsidR="003F6EBC" w:rsidP="00EC537B" w:rsidRDefault="003F6EBC" w14:paraId="120053D9" w14:textId="77777777">
            <w:pPr>
              <w:ind w:right="-16"/>
              <w:jc w:val="center"/>
              <w:rPr>
                <w:color w:val="000000" w:themeColor="text1"/>
                <w:lang w:bidi="he-IL"/>
              </w:rPr>
            </w:pPr>
            <w:r>
              <w:rPr>
                <w:color w:val="000000" w:themeColor="text1"/>
                <w:lang w:bidi="he-IL"/>
              </w:rPr>
              <w:t>No. of Respondents</w:t>
            </w:r>
          </w:p>
        </w:tc>
        <w:tc>
          <w:tcPr>
            <w:tcW w:w="1414" w:type="dxa"/>
            <w:tcBorders>
              <w:top w:val="single" w:color="auto" w:sz="4" w:space="0"/>
              <w:left w:val="single" w:color="auto" w:sz="4" w:space="0"/>
              <w:bottom w:val="single" w:color="auto" w:sz="12" w:space="0"/>
              <w:right w:val="single" w:color="auto" w:sz="4" w:space="0"/>
            </w:tcBorders>
            <w:shd w:val="clear" w:color="auto" w:fill="E0E0E0"/>
            <w:hideMark/>
          </w:tcPr>
          <w:p w:rsidR="003F6EBC" w:rsidP="00EC537B" w:rsidRDefault="003F6EBC" w14:paraId="319D54F8" w14:textId="77777777">
            <w:pPr>
              <w:ind w:right="78"/>
              <w:jc w:val="center"/>
              <w:rPr>
                <w:color w:val="000000" w:themeColor="text1"/>
                <w:lang w:bidi="he-IL"/>
              </w:rPr>
            </w:pPr>
            <w:r>
              <w:rPr>
                <w:color w:val="000000" w:themeColor="text1"/>
                <w:lang w:bidi="he-IL"/>
              </w:rPr>
              <w:t>No. of Responses per Respondent</w:t>
            </w:r>
          </w:p>
        </w:tc>
        <w:tc>
          <w:tcPr>
            <w:tcW w:w="1225" w:type="dxa"/>
            <w:tcBorders>
              <w:top w:val="single" w:color="auto" w:sz="4" w:space="0"/>
              <w:left w:val="single" w:color="auto" w:sz="4" w:space="0"/>
              <w:bottom w:val="single" w:color="auto" w:sz="12" w:space="0"/>
              <w:right w:val="single" w:color="auto" w:sz="4" w:space="0"/>
            </w:tcBorders>
            <w:shd w:val="clear" w:color="auto" w:fill="E0E0E0"/>
            <w:hideMark/>
          </w:tcPr>
          <w:p w:rsidR="003F6EBC" w:rsidP="00EC537B" w:rsidRDefault="003F6EBC" w14:paraId="7BD17D37" w14:textId="77777777">
            <w:pPr>
              <w:ind w:right="78"/>
              <w:jc w:val="center"/>
              <w:rPr>
                <w:color w:val="000000" w:themeColor="text1"/>
                <w:lang w:bidi="he-IL"/>
              </w:rPr>
            </w:pPr>
            <w:r>
              <w:rPr>
                <w:color w:val="000000" w:themeColor="text1"/>
                <w:lang w:bidi="he-IL"/>
              </w:rPr>
              <w:t>Total Annual Responses</w:t>
            </w:r>
          </w:p>
        </w:tc>
        <w:tc>
          <w:tcPr>
            <w:tcW w:w="1324" w:type="dxa"/>
            <w:tcBorders>
              <w:top w:val="single" w:color="auto" w:sz="4" w:space="0"/>
              <w:left w:val="single" w:color="auto" w:sz="4" w:space="0"/>
              <w:bottom w:val="single" w:color="auto" w:sz="12" w:space="0"/>
              <w:right w:val="single" w:color="auto" w:sz="4" w:space="0"/>
            </w:tcBorders>
            <w:shd w:val="clear" w:color="auto" w:fill="E0E0E0"/>
            <w:tcMar>
              <w:top w:w="0" w:type="dxa"/>
              <w:left w:w="108" w:type="dxa"/>
              <w:bottom w:w="0" w:type="dxa"/>
              <w:right w:w="108" w:type="dxa"/>
            </w:tcMar>
            <w:hideMark/>
          </w:tcPr>
          <w:p w:rsidR="003F6EBC" w:rsidP="00EC537B" w:rsidRDefault="003F6EBC" w14:paraId="2EBD9FFE" w14:textId="77777777">
            <w:pPr>
              <w:ind w:right="78"/>
              <w:jc w:val="center"/>
              <w:rPr>
                <w:color w:val="000000" w:themeColor="text1"/>
                <w:lang w:bidi="he-IL"/>
              </w:rPr>
            </w:pPr>
            <w:r>
              <w:rPr>
                <w:color w:val="000000" w:themeColor="text1"/>
                <w:lang w:bidi="he-IL"/>
              </w:rPr>
              <w:t>Average Burden per Response</w:t>
            </w:r>
          </w:p>
        </w:tc>
        <w:tc>
          <w:tcPr>
            <w:tcW w:w="1041" w:type="dxa"/>
            <w:tcBorders>
              <w:top w:val="single" w:color="auto" w:sz="4" w:space="0"/>
              <w:left w:val="single" w:color="auto" w:sz="4" w:space="0"/>
              <w:bottom w:val="single" w:color="auto" w:sz="12" w:space="0"/>
              <w:right w:val="single" w:color="auto" w:sz="4" w:space="0"/>
            </w:tcBorders>
            <w:shd w:val="clear" w:color="auto" w:fill="E0E0E0"/>
            <w:tcMar>
              <w:top w:w="0" w:type="dxa"/>
              <w:left w:w="108" w:type="dxa"/>
              <w:bottom w:w="0" w:type="dxa"/>
              <w:right w:w="108" w:type="dxa"/>
            </w:tcMar>
            <w:hideMark/>
          </w:tcPr>
          <w:p w:rsidR="003F6EBC" w:rsidP="00EC537B" w:rsidRDefault="003F6EBC" w14:paraId="3BAF943D" w14:textId="77777777">
            <w:pPr>
              <w:ind w:right="78"/>
              <w:jc w:val="center"/>
              <w:rPr>
                <w:color w:val="000000" w:themeColor="text1"/>
                <w:lang w:bidi="he-IL"/>
              </w:rPr>
            </w:pPr>
            <w:r>
              <w:rPr>
                <w:color w:val="000000" w:themeColor="text1"/>
                <w:lang w:bidi="he-IL"/>
              </w:rPr>
              <w:t>Total Hours</w:t>
            </w:r>
          </w:p>
        </w:tc>
      </w:tr>
      <w:tr w:rsidR="003F6EBC" w:rsidTr="000C0C17" w14:paraId="03C941DA" w14:textId="77777777">
        <w:trPr>
          <w:trHeight w:val="216"/>
          <w:jc w:val="center"/>
        </w:trPr>
        <w:tc>
          <w:tcPr>
            <w:tcW w:w="9712" w:type="dxa"/>
            <w:gridSpan w:val="6"/>
            <w:tcBorders>
              <w:top w:val="nil"/>
              <w:left w:val="single" w:color="auto" w:sz="8" w:space="0"/>
              <w:bottom w:val="single" w:color="auto" w:sz="8"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3F6EBC" w:rsidP="000C0C17" w:rsidRDefault="003F6EBC" w14:paraId="1BE38DF2" w14:textId="1DC58AE4">
            <w:pPr>
              <w:ind w:right="78"/>
              <w:jc w:val="center"/>
              <w:rPr>
                <w:lang w:bidi="he-IL"/>
              </w:rPr>
            </w:pPr>
            <w:r>
              <w:rPr>
                <w:b/>
                <w:lang w:bidi="he-IL"/>
              </w:rPr>
              <w:t>Number to read the survey invitation</w:t>
            </w:r>
          </w:p>
        </w:tc>
      </w:tr>
      <w:tr w:rsidR="003F6EBC" w:rsidTr="00EC537B" w14:paraId="2BB7BA36" w14:textId="77777777">
        <w:trPr>
          <w:trHeight w:val="216"/>
          <w:jc w:val="center"/>
        </w:trPr>
        <w:tc>
          <w:tcPr>
            <w:tcW w:w="319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F6EBC" w:rsidP="00EC537B" w:rsidRDefault="003F6EBC" w14:paraId="5AEFFFDE" w14:textId="25624B38">
            <w:pPr>
              <w:pStyle w:val="TableTextIndent1"/>
              <w:rPr>
                <w:rFonts w:ascii="Times New Roman" w:hAnsi="Times New Roman"/>
                <w:sz w:val="20"/>
                <w:lang w:bidi="he-IL"/>
              </w:rPr>
            </w:pPr>
            <w:r>
              <w:rPr>
                <w:rFonts w:ascii="Times New Roman" w:hAnsi="Times New Roman"/>
                <w:sz w:val="20"/>
                <w:lang w:bidi="he-IL"/>
              </w:rPr>
              <w:t>Youth (aged 13-17)</w:t>
            </w:r>
            <w:r w:rsidR="00FF42B5">
              <w:rPr>
                <w:rFonts w:ascii="Times New Roman" w:hAnsi="Times New Roman"/>
                <w:sz w:val="20"/>
                <w:lang w:bidi="he-IL"/>
              </w:rPr>
              <w:t>/Parent panelists of youth (aged 13-17)</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437BFEA" w14:textId="77777777">
            <w:pPr>
              <w:pStyle w:val="TableText"/>
              <w:spacing w:before="0" w:after="0"/>
              <w:ind w:right="78"/>
              <w:jc w:val="center"/>
              <w:rPr>
                <w:rFonts w:ascii="Times New Roman" w:hAnsi="Times New Roman"/>
                <w:sz w:val="20"/>
                <w:szCs w:val="20"/>
                <w:lang w:bidi="he-IL"/>
              </w:rPr>
            </w:pPr>
            <w:r>
              <w:rPr>
                <w:rFonts w:ascii="Times New Roman" w:hAnsi="Times New Roman"/>
                <w:sz w:val="20"/>
                <w:szCs w:val="20"/>
                <w:lang w:bidi="he-IL"/>
              </w:rPr>
              <w:t>125,000</w:t>
            </w:r>
          </w:p>
        </w:tc>
        <w:tc>
          <w:tcPr>
            <w:tcW w:w="1414"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29CA4CCD" w14:textId="77777777">
            <w:pPr>
              <w:ind w:right="78"/>
              <w:jc w:val="center"/>
              <w:rPr>
                <w:lang w:bidi="he-IL"/>
              </w:rPr>
            </w:pPr>
            <w:r>
              <w:rPr>
                <w:lang w:bidi="he-IL"/>
              </w:rPr>
              <w:t>1</w:t>
            </w:r>
          </w:p>
        </w:tc>
        <w:tc>
          <w:tcPr>
            <w:tcW w:w="1225"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50F11150" w14:textId="77777777">
            <w:pPr>
              <w:ind w:right="78"/>
              <w:jc w:val="center"/>
              <w:rPr>
                <w:lang w:bidi="he-IL"/>
              </w:rPr>
            </w:pPr>
            <w:r>
              <w:rPr>
                <w:lang w:bidi="he-IL"/>
              </w:rPr>
              <w:t>125,000</w:t>
            </w: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B3216C8" w14:textId="77777777">
            <w:pPr>
              <w:ind w:right="78"/>
              <w:jc w:val="center"/>
              <w:rPr>
                <w:color w:val="000000" w:themeColor="text1"/>
                <w:lang w:bidi="he-IL"/>
              </w:rPr>
            </w:pPr>
            <w:r>
              <w:rPr>
                <w:color w:val="000000" w:themeColor="text1"/>
                <w:lang w:bidi="he-IL"/>
              </w:rPr>
              <w:t>0.016</w:t>
            </w:r>
          </w:p>
          <w:p w:rsidR="003F6EBC" w:rsidP="00EC537B" w:rsidRDefault="003F6EBC" w14:paraId="5BA0E600" w14:textId="77777777">
            <w:pPr>
              <w:ind w:right="78"/>
              <w:jc w:val="center"/>
              <w:rPr>
                <w:color w:val="000000" w:themeColor="text1"/>
                <w:lang w:bidi="he-IL"/>
              </w:rPr>
            </w:pPr>
            <w:r>
              <w:rPr>
                <w:color w:val="000000" w:themeColor="text1"/>
                <w:lang w:bidi="he-IL"/>
              </w:rPr>
              <w:t>(1 min)</w:t>
            </w: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6A464B1" w14:textId="77777777">
            <w:pPr>
              <w:ind w:right="78"/>
              <w:jc w:val="center"/>
              <w:rPr>
                <w:lang w:bidi="he-IL"/>
              </w:rPr>
            </w:pPr>
            <w:r>
              <w:rPr>
                <w:lang w:bidi="he-IL"/>
              </w:rPr>
              <w:t>2,084</w:t>
            </w:r>
          </w:p>
        </w:tc>
      </w:tr>
      <w:tr w:rsidR="003F6EBC" w:rsidTr="00EC537B" w14:paraId="1E7A24C4" w14:textId="77777777">
        <w:trPr>
          <w:trHeight w:val="216"/>
          <w:jc w:val="center"/>
        </w:trPr>
        <w:tc>
          <w:tcPr>
            <w:tcW w:w="319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F6EBC" w:rsidP="00EC537B" w:rsidRDefault="003F6EBC" w14:paraId="426F7046" w14:textId="58AD2BC6">
            <w:pPr>
              <w:pStyle w:val="TableTextIndent1"/>
              <w:rPr>
                <w:rFonts w:ascii="Times New Roman" w:hAnsi="Times New Roman"/>
                <w:sz w:val="20"/>
                <w:lang w:bidi="he-IL"/>
              </w:rPr>
            </w:pPr>
            <w:r>
              <w:rPr>
                <w:rFonts w:ascii="Times New Roman" w:hAnsi="Times New Roman"/>
                <w:sz w:val="20"/>
                <w:lang w:bidi="he-IL"/>
              </w:rPr>
              <w:t>Young adults (aged 18-2</w:t>
            </w:r>
            <w:r w:rsidR="00231DFF">
              <w:rPr>
                <w:rFonts w:ascii="Times New Roman" w:hAnsi="Times New Roman"/>
                <w:sz w:val="20"/>
                <w:lang w:bidi="he-IL"/>
              </w:rPr>
              <w:t>4</w:t>
            </w:r>
            <w:r>
              <w:rPr>
                <w:rFonts w:ascii="Times New Roman" w:hAnsi="Times New Roman"/>
                <w:sz w:val="20"/>
                <w:lang w:bidi="he-IL"/>
              </w:rPr>
              <w:t>)</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8331248" w14:textId="77777777">
            <w:pPr>
              <w:pStyle w:val="TableText"/>
              <w:spacing w:before="0" w:after="0"/>
              <w:ind w:right="78"/>
              <w:jc w:val="center"/>
              <w:rPr>
                <w:rFonts w:ascii="Times New Roman" w:hAnsi="Times New Roman"/>
                <w:sz w:val="20"/>
                <w:szCs w:val="20"/>
                <w:lang w:bidi="he-IL"/>
              </w:rPr>
            </w:pPr>
            <w:r>
              <w:rPr>
                <w:rFonts w:ascii="Times New Roman" w:hAnsi="Times New Roman"/>
                <w:sz w:val="20"/>
                <w:szCs w:val="20"/>
                <w:lang w:bidi="he-IL"/>
              </w:rPr>
              <w:t>125,000</w:t>
            </w:r>
          </w:p>
        </w:tc>
        <w:tc>
          <w:tcPr>
            <w:tcW w:w="1414"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6A5140BA" w14:textId="77777777">
            <w:pPr>
              <w:ind w:right="78"/>
              <w:jc w:val="center"/>
              <w:rPr>
                <w:lang w:bidi="he-IL"/>
              </w:rPr>
            </w:pPr>
            <w:r>
              <w:rPr>
                <w:lang w:bidi="he-IL"/>
              </w:rPr>
              <w:t>1</w:t>
            </w:r>
          </w:p>
        </w:tc>
        <w:tc>
          <w:tcPr>
            <w:tcW w:w="1225"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4A2D00FA" w14:textId="77777777">
            <w:pPr>
              <w:ind w:right="78"/>
              <w:jc w:val="center"/>
              <w:rPr>
                <w:lang w:bidi="he-IL"/>
              </w:rPr>
            </w:pPr>
            <w:r>
              <w:rPr>
                <w:lang w:bidi="he-IL"/>
              </w:rPr>
              <w:t>125,000</w:t>
            </w: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3B8B55C1" w14:textId="77777777">
            <w:pPr>
              <w:ind w:right="78"/>
              <w:jc w:val="center"/>
              <w:rPr>
                <w:color w:val="000000" w:themeColor="text1"/>
                <w:lang w:bidi="he-IL"/>
              </w:rPr>
            </w:pPr>
            <w:r>
              <w:rPr>
                <w:color w:val="000000" w:themeColor="text1"/>
                <w:lang w:bidi="he-IL"/>
              </w:rPr>
              <w:t>0.016</w:t>
            </w:r>
          </w:p>
          <w:p w:rsidR="003F6EBC" w:rsidP="00EC537B" w:rsidRDefault="003F6EBC" w14:paraId="6B65AC45" w14:textId="77777777">
            <w:pPr>
              <w:ind w:right="78"/>
              <w:jc w:val="center"/>
              <w:rPr>
                <w:color w:val="000000" w:themeColor="text1"/>
                <w:lang w:bidi="he-IL"/>
              </w:rPr>
            </w:pPr>
            <w:r>
              <w:rPr>
                <w:color w:val="000000" w:themeColor="text1"/>
                <w:lang w:bidi="he-IL"/>
              </w:rPr>
              <w:t>(1 min)</w:t>
            </w: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368EC722" w14:textId="77777777">
            <w:pPr>
              <w:ind w:right="78"/>
              <w:jc w:val="center"/>
              <w:rPr>
                <w:lang w:bidi="he-IL"/>
              </w:rPr>
            </w:pPr>
            <w:r>
              <w:rPr>
                <w:lang w:bidi="he-IL"/>
              </w:rPr>
              <w:t>2,084</w:t>
            </w:r>
          </w:p>
        </w:tc>
      </w:tr>
      <w:tr w:rsidR="003F6EBC" w:rsidTr="00EC537B" w14:paraId="5CA98662" w14:textId="77777777">
        <w:trPr>
          <w:trHeight w:val="216"/>
          <w:jc w:val="center"/>
        </w:trPr>
        <w:tc>
          <w:tcPr>
            <w:tcW w:w="3198"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EE13CA2" w14:textId="77777777">
            <w:pPr>
              <w:pStyle w:val="TableTextIndent1"/>
              <w:rPr>
                <w:rFonts w:ascii="Times New Roman" w:hAnsi="Times New Roman"/>
                <w:sz w:val="20"/>
                <w:lang w:bidi="he-IL"/>
              </w:rPr>
            </w:pPr>
            <w:r>
              <w:rPr>
                <w:rFonts w:ascii="Times New Roman" w:hAnsi="Times New Roman"/>
                <w:b/>
                <w:i/>
                <w:sz w:val="20"/>
                <w:lang w:bidi="he-IL"/>
              </w:rPr>
              <w:t>Total</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31DFECFE" w14:textId="77777777">
            <w:pPr>
              <w:pStyle w:val="TableText"/>
              <w:spacing w:before="0" w:after="0"/>
              <w:ind w:right="78"/>
              <w:jc w:val="center"/>
              <w:rPr>
                <w:rFonts w:ascii="Times New Roman" w:hAnsi="Times New Roman"/>
                <w:i/>
                <w:sz w:val="20"/>
                <w:szCs w:val="20"/>
                <w:lang w:bidi="he-IL"/>
              </w:rPr>
            </w:pPr>
            <w:r>
              <w:rPr>
                <w:rFonts w:ascii="Times New Roman" w:hAnsi="Times New Roman"/>
                <w:i/>
                <w:sz w:val="20"/>
                <w:szCs w:val="20"/>
                <w:lang w:bidi="he-IL"/>
              </w:rPr>
              <w:t>250,000</w:t>
            </w:r>
          </w:p>
        </w:tc>
        <w:tc>
          <w:tcPr>
            <w:tcW w:w="1414" w:type="dxa"/>
            <w:tcBorders>
              <w:top w:val="single" w:color="auto" w:sz="4" w:space="0"/>
              <w:left w:val="single" w:color="auto" w:sz="4" w:space="0"/>
              <w:bottom w:val="single" w:color="auto" w:sz="4" w:space="0"/>
              <w:right w:val="single" w:color="auto" w:sz="4" w:space="0"/>
            </w:tcBorders>
            <w:vAlign w:val="center"/>
          </w:tcPr>
          <w:p w:rsidR="003F6EBC" w:rsidP="00EC537B" w:rsidRDefault="003F6EBC" w14:paraId="76939374" w14:textId="77777777">
            <w:pPr>
              <w:ind w:right="78"/>
              <w:jc w:val="center"/>
              <w:rPr>
                <w:i/>
                <w:lang w:bidi="he-IL"/>
              </w:rPr>
            </w:pPr>
          </w:p>
        </w:tc>
        <w:tc>
          <w:tcPr>
            <w:tcW w:w="1225" w:type="dxa"/>
            <w:tcBorders>
              <w:top w:val="single" w:color="auto" w:sz="4" w:space="0"/>
              <w:left w:val="single" w:color="auto" w:sz="4" w:space="0"/>
              <w:bottom w:val="single" w:color="auto" w:sz="4" w:space="0"/>
              <w:right w:val="single" w:color="auto" w:sz="4" w:space="0"/>
            </w:tcBorders>
            <w:vAlign w:val="center"/>
          </w:tcPr>
          <w:p w:rsidR="003F6EBC" w:rsidP="00EC537B" w:rsidRDefault="003F6EBC" w14:paraId="168CB869" w14:textId="77777777">
            <w:pPr>
              <w:ind w:right="78"/>
              <w:jc w:val="center"/>
              <w:rPr>
                <w:i/>
                <w:lang w:bidi="he-IL"/>
              </w:rPr>
            </w:pP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3F6EBC" w:rsidP="00EC537B" w:rsidRDefault="003F6EBC" w14:paraId="2F8B63F2" w14:textId="77777777">
            <w:pPr>
              <w:ind w:right="78"/>
              <w:jc w:val="center"/>
              <w:rPr>
                <w:i/>
                <w:color w:val="000000" w:themeColor="text1"/>
                <w:lang w:bidi="he-IL"/>
              </w:rPr>
            </w:pP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D2BC2" w:rsidR="003F6EBC" w:rsidP="00EC537B" w:rsidRDefault="003F6EBC" w14:paraId="1185FF8D" w14:textId="77777777">
            <w:pPr>
              <w:ind w:right="78"/>
              <w:jc w:val="center"/>
              <w:rPr>
                <w:b/>
                <w:lang w:bidi="he-IL"/>
              </w:rPr>
            </w:pPr>
            <w:r>
              <w:rPr>
                <w:b/>
                <w:lang w:bidi="he-IL"/>
              </w:rPr>
              <w:t>4,168</w:t>
            </w:r>
          </w:p>
        </w:tc>
      </w:tr>
      <w:tr w:rsidR="003F6EBC" w:rsidTr="00EC537B" w14:paraId="6FB8C1FC" w14:textId="77777777">
        <w:trPr>
          <w:trHeight w:val="216"/>
          <w:jc w:val="center"/>
        </w:trPr>
        <w:tc>
          <w:tcPr>
            <w:tcW w:w="9712"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3F6EBC" w:rsidP="00EC537B" w:rsidRDefault="003F6EBC" w14:paraId="6E954659" w14:textId="55498D8B">
            <w:pPr>
              <w:ind w:right="78"/>
              <w:jc w:val="center"/>
              <w:rPr>
                <w:lang w:bidi="he-IL"/>
              </w:rPr>
            </w:pPr>
            <w:r>
              <w:rPr>
                <w:b/>
                <w:lang w:bidi="he-IL"/>
              </w:rPr>
              <w:t xml:space="preserve">Number to complete the </w:t>
            </w:r>
            <w:r w:rsidR="00FF42B5">
              <w:rPr>
                <w:b/>
                <w:lang w:bidi="he-IL"/>
              </w:rPr>
              <w:t>assent/</w:t>
            </w:r>
            <w:r>
              <w:rPr>
                <w:b/>
                <w:lang w:bidi="he-IL"/>
              </w:rPr>
              <w:t>consent and s</w:t>
            </w:r>
            <w:r>
              <w:rPr>
                <w:b/>
                <w:shd w:val="clear" w:color="auto" w:fill="D9D9D9" w:themeFill="background1" w:themeFillShade="D9"/>
                <w:lang w:bidi="he-IL"/>
              </w:rPr>
              <w:t>creener</w:t>
            </w:r>
          </w:p>
        </w:tc>
      </w:tr>
      <w:tr w:rsidR="003F6EBC" w:rsidTr="00EC537B" w14:paraId="680DB277" w14:textId="77777777">
        <w:trPr>
          <w:trHeight w:val="216"/>
          <w:jc w:val="center"/>
        </w:trPr>
        <w:tc>
          <w:tcPr>
            <w:tcW w:w="3198"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F6EBC" w:rsidP="00EC537B" w:rsidRDefault="003F6EBC" w14:paraId="1DF6D1EA" w14:textId="77777777">
            <w:pPr>
              <w:pStyle w:val="TableTextIndent1"/>
              <w:rPr>
                <w:rFonts w:ascii="Times New Roman" w:hAnsi="Times New Roman"/>
                <w:sz w:val="20"/>
                <w:lang w:bidi="he-IL"/>
              </w:rPr>
            </w:pPr>
            <w:r>
              <w:rPr>
                <w:rFonts w:ascii="Times New Roman" w:hAnsi="Times New Roman"/>
                <w:sz w:val="20"/>
                <w:lang w:bidi="he-IL"/>
              </w:rPr>
              <w:t>Youth (aged 13-17)</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20DFD11B" w14:textId="77777777">
            <w:pPr>
              <w:pStyle w:val="TableText"/>
              <w:spacing w:before="0" w:after="0"/>
              <w:ind w:right="78"/>
              <w:jc w:val="center"/>
              <w:rPr>
                <w:rFonts w:ascii="Times New Roman" w:hAnsi="Times New Roman"/>
                <w:sz w:val="20"/>
                <w:szCs w:val="20"/>
                <w:lang w:bidi="he-IL"/>
              </w:rPr>
            </w:pPr>
            <w:r>
              <w:rPr>
                <w:rFonts w:ascii="Times New Roman" w:hAnsi="Times New Roman"/>
                <w:sz w:val="20"/>
                <w:szCs w:val="20"/>
                <w:lang w:bidi="he-IL"/>
              </w:rPr>
              <w:t>3,750</w:t>
            </w:r>
          </w:p>
        </w:tc>
        <w:tc>
          <w:tcPr>
            <w:tcW w:w="1414"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4565BD25" w14:textId="77777777">
            <w:pPr>
              <w:ind w:right="78"/>
              <w:jc w:val="center"/>
              <w:rPr>
                <w:lang w:bidi="he-IL"/>
              </w:rPr>
            </w:pPr>
            <w:r>
              <w:rPr>
                <w:lang w:bidi="he-IL"/>
              </w:rPr>
              <w:t>1</w:t>
            </w:r>
          </w:p>
        </w:tc>
        <w:tc>
          <w:tcPr>
            <w:tcW w:w="1225"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6B160117" w14:textId="77777777">
            <w:pPr>
              <w:ind w:right="78"/>
              <w:jc w:val="center"/>
              <w:rPr>
                <w:lang w:bidi="he-IL"/>
              </w:rPr>
            </w:pPr>
            <w:r>
              <w:rPr>
                <w:lang w:bidi="he-IL"/>
              </w:rPr>
              <w:t>3,750</w:t>
            </w: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634C897" w14:textId="77777777">
            <w:pPr>
              <w:ind w:right="78"/>
              <w:jc w:val="center"/>
              <w:rPr>
                <w:color w:val="000000" w:themeColor="text1"/>
                <w:lang w:bidi="he-IL"/>
              </w:rPr>
            </w:pPr>
            <w:r>
              <w:rPr>
                <w:color w:val="000000" w:themeColor="text1"/>
                <w:lang w:bidi="he-IL"/>
              </w:rPr>
              <w:t>0.116</w:t>
            </w:r>
          </w:p>
          <w:p w:rsidR="003F6EBC" w:rsidP="00EC537B" w:rsidRDefault="003F6EBC" w14:paraId="72001ECC" w14:textId="77777777">
            <w:pPr>
              <w:ind w:right="78"/>
              <w:jc w:val="center"/>
              <w:rPr>
                <w:color w:val="000000" w:themeColor="text1"/>
                <w:lang w:bidi="he-IL"/>
              </w:rPr>
            </w:pPr>
            <w:r>
              <w:rPr>
                <w:color w:val="000000" w:themeColor="text1"/>
                <w:lang w:bidi="he-IL"/>
              </w:rPr>
              <w:t>(7 min)</w:t>
            </w: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09AA5F11" w14:textId="77777777">
            <w:pPr>
              <w:ind w:right="78"/>
              <w:jc w:val="center"/>
              <w:rPr>
                <w:lang w:bidi="he-IL"/>
              </w:rPr>
            </w:pPr>
            <w:r>
              <w:rPr>
                <w:lang w:bidi="he-IL"/>
              </w:rPr>
              <w:t>438</w:t>
            </w:r>
          </w:p>
        </w:tc>
      </w:tr>
      <w:tr w:rsidR="003F6EBC" w:rsidTr="00EC537B" w14:paraId="1A027608" w14:textId="77777777">
        <w:trPr>
          <w:trHeight w:val="216"/>
          <w:jc w:val="center"/>
        </w:trPr>
        <w:tc>
          <w:tcPr>
            <w:tcW w:w="319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F6EBC" w:rsidP="00EC537B" w:rsidRDefault="003F6EBC" w14:paraId="70846E46" w14:textId="06753C3A">
            <w:pPr>
              <w:pStyle w:val="TableTextIndent1"/>
              <w:rPr>
                <w:rFonts w:ascii="Times New Roman" w:hAnsi="Times New Roman"/>
                <w:sz w:val="20"/>
                <w:lang w:bidi="he-IL"/>
              </w:rPr>
            </w:pPr>
            <w:r>
              <w:rPr>
                <w:rFonts w:ascii="Times New Roman" w:hAnsi="Times New Roman"/>
                <w:sz w:val="20"/>
                <w:lang w:bidi="he-IL"/>
              </w:rPr>
              <w:t>Young adults (aged 18-2</w:t>
            </w:r>
            <w:r w:rsidR="00231DFF">
              <w:rPr>
                <w:rFonts w:ascii="Times New Roman" w:hAnsi="Times New Roman"/>
                <w:sz w:val="20"/>
                <w:lang w:bidi="he-IL"/>
              </w:rPr>
              <w:t>4</w:t>
            </w:r>
            <w:r>
              <w:rPr>
                <w:rFonts w:ascii="Times New Roman" w:hAnsi="Times New Roman"/>
                <w:sz w:val="20"/>
                <w:lang w:bidi="he-IL"/>
              </w:rPr>
              <w:t>)</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2387549D" w14:textId="77777777">
            <w:pPr>
              <w:pStyle w:val="TableText"/>
              <w:spacing w:before="0" w:after="0"/>
              <w:ind w:right="78"/>
              <w:jc w:val="center"/>
              <w:rPr>
                <w:rFonts w:ascii="Times New Roman" w:hAnsi="Times New Roman"/>
                <w:sz w:val="20"/>
                <w:szCs w:val="20"/>
                <w:lang w:bidi="he-IL"/>
              </w:rPr>
            </w:pPr>
            <w:r>
              <w:rPr>
                <w:rFonts w:ascii="Times New Roman" w:hAnsi="Times New Roman"/>
                <w:sz w:val="20"/>
                <w:szCs w:val="20"/>
                <w:lang w:bidi="he-IL"/>
              </w:rPr>
              <w:t>3,750</w:t>
            </w:r>
          </w:p>
        </w:tc>
        <w:tc>
          <w:tcPr>
            <w:tcW w:w="1414"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19C5D524" w14:textId="77777777">
            <w:pPr>
              <w:ind w:right="78"/>
              <w:jc w:val="center"/>
              <w:rPr>
                <w:lang w:bidi="he-IL"/>
              </w:rPr>
            </w:pPr>
            <w:r>
              <w:rPr>
                <w:lang w:bidi="he-IL"/>
              </w:rPr>
              <w:t>1</w:t>
            </w:r>
          </w:p>
        </w:tc>
        <w:tc>
          <w:tcPr>
            <w:tcW w:w="1225"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558E9234" w14:textId="77777777">
            <w:pPr>
              <w:ind w:right="78"/>
              <w:jc w:val="center"/>
              <w:rPr>
                <w:lang w:bidi="he-IL"/>
              </w:rPr>
            </w:pPr>
            <w:r>
              <w:rPr>
                <w:lang w:bidi="he-IL"/>
              </w:rPr>
              <w:t>3,750</w:t>
            </w: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598BC3B5" w14:textId="77777777">
            <w:pPr>
              <w:ind w:right="78"/>
              <w:jc w:val="center"/>
              <w:rPr>
                <w:color w:val="000000" w:themeColor="text1"/>
                <w:lang w:bidi="he-IL"/>
              </w:rPr>
            </w:pPr>
            <w:r>
              <w:rPr>
                <w:color w:val="000000" w:themeColor="text1"/>
                <w:lang w:bidi="he-IL"/>
              </w:rPr>
              <w:t>0.116</w:t>
            </w:r>
          </w:p>
          <w:p w:rsidR="003F6EBC" w:rsidP="00EC537B" w:rsidRDefault="003F6EBC" w14:paraId="61DFE964" w14:textId="77777777">
            <w:pPr>
              <w:ind w:right="78"/>
              <w:jc w:val="center"/>
              <w:rPr>
                <w:color w:val="000000" w:themeColor="text1"/>
                <w:lang w:bidi="he-IL"/>
              </w:rPr>
            </w:pPr>
            <w:r>
              <w:rPr>
                <w:color w:val="000000" w:themeColor="text1"/>
                <w:lang w:bidi="he-IL"/>
              </w:rPr>
              <w:t>(7 min)</w:t>
            </w: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66099E15" w14:textId="77777777">
            <w:pPr>
              <w:ind w:right="78"/>
              <w:jc w:val="center"/>
              <w:rPr>
                <w:lang w:bidi="he-IL"/>
              </w:rPr>
            </w:pPr>
            <w:r>
              <w:rPr>
                <w:lang w:bidi="he-IL"/>
              </w:rPr>
              <w:t>438</w:t>
            </w:r>
          </w:p>
        </w:tc>
      </w:tr>
      <w:tr w:rsidR="003F6EBC" w:rsidTr="00EC537B" w14:paraId="073C7F00" w14:textId="77777777">
        <w:trPr>
          <w:trHeight w:val="216"/>
          <w:jc w:val="center"/>
        </w:trPr>
        <w:tc>
          <w:tcPr>
            <w:tcW w:w="3198" w:type="dxa"/>
            <w:tcBorders>
              <w:top w:val="nil"/>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F6EBC" w:rsidP="00EC537B" w:rsidRDefault="003F6EBC" w14:paraId="6B76C1AF" w14:textId="77777777">
            <w:pPr>
              <w:pStyle w:val="TableTextIndent1"/>
              <w:rPr>
                <w:rFonts w:ascii="Times New Roman" w:hAnsi="Times New Roman"/>
                <w:b/>
                <w:i/>
                <w:sz w:val="20"/>
                <w:lang w:bidi="he-IL"/>
              </w:rPr>
            </w:pPr>
            <w:r>
              <w:rPr>
                <w:rFonts w:ascii="Times New Roman" w:hAnsi="Times New Roman"/>
                <w:b/>
                <w:i/>
                <w:sz w:val="20"/>
                <w:lang w:bidi="he-IL"/>
              </w:rPr>
              <w:t>Total</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5F139EE" w14:textId="77777777">
            <w:pPr>
              <w:pStyle w:val="TableText"/>
              <w:spacing w:before="0" w:after="0"/>
              <w:ind w:right="78"/>
              <w:jc w:val="center"/>
              <w:rPr>
                <w:rFonts w:ascii="Times New Roman" w:hAnsi="Times New Roman"/>
                <w:i/>
                <w:sz w:val="20"/>
                <w:szCs w:val="20"/>
                <w:lang w:bidi="he-IL"/>
              </w:rPr>
            </w:pPr>
            <w:r>
              <w:rPr>
                <w:rFonts w:ascii="Times New Roman" w:hAnsi="Times New Roman"/>
                <w:i/>
                <w:sz w:val="20"/>
                <w:szCs w:val="20"/>
                <w:lang w:bidi="he-IL"/>
              </w:rPr>
              <w:t>7,500</w:t>
            </w:r>
          </w:p>
        </w:tc>
        <w:tc>
          <w:tcPr>
            <w:tcW w:w="1414" w:type="dxa"/>
            <w:tcBorders>
              <w:top w:val="single" w:color="auto" w:sz="4" w:space="0"/>
              <w:left w:val="single" w:color="auto" w:sz="4" w:space="0"/>
              <w:bottom w:val="single" w:color="auto" w:sz="4" w:space="0"/>
              <w:right w:val="single" w:color="auto" w:sz="4" w:space="0"/>
            </w:tcBorders>
            <w:vAlign w:val="center"/>
          </w:tcPr>
          <w:p w:rsidR="003F6EBC" w:rsidP="00EC537B" w:rsidRDefault="003F6EBC" w14:paraId="524833E8" w14:textId="77777777">
            <w:pPr>
              <w:ind w:right="78"/>
              <w:jc w:val="center"/>
              <w:rPr>
                <w:i/>
                <w:lang w:bidi="he-IL"/>
              </w:rPr>
            </w:pPr>
          </w:p>
        </w:tc>
        <w:tc>
          <w:tcPr>
            <w:tcW w:w="1225" w:type="dxa"/>
            <w:tcBorders>
              <w:top w:val="single" w:color="auto" w:sz="4" w:space="0"/>
              <w:left w:val="single" w:color="auto" w:sz="4" w:space="0"/>
              <w:bottom w:val="single" w:color="auto" w:sz="4" w:space="0"/>
              <w:right w:val="single" w:color="auto" w:sz="4" w:space="0"/>
            </w:tcBorders>
            <w:vAlign w:val="center"/>
          </w:tcPr>
          <w:p w:rsidR="003F6EBC" w:rsidP="00EC537B" w:rsidRDefault="003F6EBC" w14:paraId="36FC19F5" w14:textId="77777777">
            <w:pPr>
              <w:ind w:right="78"/>
              <w:jc w:val="center"/>
              <w:rPr>
                <w:i/>
                <w:lang w:bidi="he-IL"/>
              </w:rPr>
            </w:pP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3F6EBC" w:rsidP="00EC537B" w:rsidRDefault="003F6EBC" w14:paraId="007C9B35" w14:textId="77777777">
            <w:pPr>
              <w:ind w:right="78"/>
              <w:jc w:val="center"/>
              <w:rPr>
                <w:i/>
                <w:color w:val="000000" w:themeColor="text1"/>
                <w:lang w:bidi="he-IL"/>
              </w:rPr>
            </w:pP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D2BC2" w:rsidR="003F6EBC" w:rsidP="00EC537B" w:rsidRDefault="003F6EBC" w14:paraId="475AF381" w14:textId="77777777">
            <w:pPr>
              <w:ind w:right="78"/>
              <w:jc w:val="center"/>
              <w:rPr>
                <w:b/>
                <w:lang w:bidi="he-IL"/>
              </w:rPr>
            </w:pPr>
            <w:r w:rsidRPr="003D2BC2">
              <w:rPr>
                <w:b/>
                <w:lang w:bidi="he-IL"/>
              </w:rPr>
              <w:t>876</w:t>
            </w:r>
          </w:p>
        </w:tc>
      </w:tr>
      <w:tr w:rsidR="003F6EBC" w:rsidTr="00EC537B" w14:paraId="6851F1DB" w14:textId="77777777">
        <w:trPr>
          <w:trHeight w:val="216"/>
          <w:jc w:val="center"/>
        </w:trPr>
        <w:tc>
          <w:tcPr>
            <w:tcW w:w="9712" w:type="dxa"/>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Mar>
              <w:top w:w="0" w:type="dxa"/>
              <w:left w:w="108" w:type="dxa"/>
              <w:bottom w:w="0" w:type="dxa"/>
              <w:right w:w="108" w:type="dxa"/>
            </w:tcMar>
            <w:vAlign w:val="center"/>
            <w:hideMark/>
          </w:tcPr>
          <w:p w:rsidR="003F6EBC" w:rsidP="00EC537B" w:rsidRDefault="003F6EBC" w14:paraId="36E0C77E" w14:textId="77777777">
            <w:pPr>
              <w:ind w:right="78"/>
              <w:jc w:val="center"/>
              <w:rPr>
                <w:lang w:bidi="he-IL"/>
              </w:rPr>
            </w:pPr>
            <w:r>
              <w:rPr>
                <w:b/>
                <w:lang w:bidi="he-IL"/>
              </w:rPr>
              <w:t>Number to complete main study</w:t>
            </w:r>
          </w:p>
        </w:tc>
      </w:tr>
      <w:tr w:rsidR="003F6EBC" w:rsidTr="00EC537B" w14:paraId="15736A51" w14:textId="77777777">
        <w:trPr>
          <w:trHeight w:val="216"/>
          <w:jc w:val="center"/>
        </w:trPr>
        <w:tc>
          <w:tcPr>
            <w:tcW w:w="3198" w:type="dxa"/>
            <w:tcBorders>
              <w:top w:val="single" w:color="auto" w:sz="4" w:space="0"/>
              <w:left w:val="single" w:color="auto" w:sz="8" w:space="0"/>
              <w:bottom w:val="single" w:color="auto" w:sz="8" w:space="0"/>
              <w:right w:val="single" w:color="auto" w:sz="4" w:space="0"/>
            </w:tcBorders>
            <w:tcMar>
              <w:top w:w="0" w:type="dxa"/>
              <w:left w:w="108" w:type="dxa"/>
              <w:bottom w:w="0" w:type="dxa"/>
              <w:right w:w="108" w:type="dxa"/>
            </w:tcMar>
            <w:vAlign w:val="center"/>
            <w:hideMark/>
          </w:tcPr>
          <w:p w:rsidR="003F6EBC" w:rsidP="00EC537B" w:rsidRDefault="003F6EBC" w14:paraId="2AB84A88" w14:textId="77777777">
            <w:pPr>
              <w:pStyle w:val="TableTextIndent1"/>
              <w:rPr>
                <w:rFonts w:ascii="Times New Roman" w:hAnsi="Times New Roman"/>
                <w:sz w:val="20"/>
                <w:lang w:bidi="he-IL"/>
              </w:rPr>
            </w:pPr>
            <w:r>
              <w:rPr>
                <w:rFonts w:ascii="Times New Roman" w:hAnsi="Times New Roman"/>
                <w:sz w:val="20"/>
                <w:lang w:bidi="he-IL"/>
              </w:rPr>
              <w:t>Youth (aged 13-17)</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7B10136D" w14:textId="77777777">
            <w:pPr>
              <w:pStyle w:val="TableText"/>
              <w:spacing w:before="0" w:after="0"/>
              <w:ind w:right="78"/>
              <w:jc w:val="center"/>
              <w:rPr>
                <w:rFonts w:ascii="Times New Roman" w:hAnsi="Times New Roman"/>
                <w:sz w:val="20"/>
                <w:szCs w:val="20"/>
                <w:lang w:bidi="he-IL"/>
              </w:rPr>
            </w:pPr>
            <w:r>
              <w:rPr>
                <w:rFonts w:ascii="Times New Roman" w:hAnsi="Times New Roman"/>
                <w:sz w:val="20"/>
                <w:szCs w:val="20"/>
                <w:lang w:bidi="he-IL"/>
              </w:rPr>
              <w:t>2,500</w:t>
            </w:r>
          </w:p>
        </w:tc>
        <w:tc>
          <w:tcPr>
            <w:tcW w:w="1414"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32C63C80" w14:textId="77777777">
            <w:pPr>
              <w:ind w:right="78"/>
              <w:jc w:val="center"/>
              <w:rPr>
                <w:lang w:bidi="he-IL"/>
              </w:rPr>
            </w:pPr>
            <w:r>
              <w:rPr>
                <w:lang w:bidi="he-IL"/>
              </w:rPr>
              <w:t>1</w:t>
            </w:r>
          </w:p>
        </w:tc>
        <w:tc>
          <w:tcPr>
            <w:tcW w:w="1225"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7A0BD6BC" w14:textId="77777777">
            <w:pPr>
              <w:ind w:right="78"/>
              <w:jc w:val="center"/>
              <w:rPr>
                <w:lang w:bidi="he-IL"/>
              </w:rPr>
            </w:pPr>
            <w:r>
              <w:rPr>
                <w:lang w:bidi="he-IL"/>
              </w:rPr>
              <w:t>2,500</w:t>
            </w: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3339DB24" w14:textId="77777777">
            <w:pPr>
              <w:ind w:right="78"/>
              <w:jc w:val="center"/>
              <w:rPr>
                <w:color w:val="000000" w:themeColor="text1"/>
                <w:lang w:bidi="he-IL"/>
              </w:rPr>
            </w:pPr>
            <w:r>
              <w:rPr>
                <w:color w:val="000000" w:themeColor="text1"/>
                <w:lang w:bidi="he-IL"/>
              </w:rPr>
              <w:t>0.333</w:t>
            </w:r>
          </w:p>
          <w:p w:rsidR="003F6EBC" w:rsidP="00EC537B" w:rsidRDefault="003F6EBC" w14:paraId="4D98BCD5" w14:textId="77777777">
            <w:pPr>
              <w:ind w:right="78"/>
              <w:jc w:val="center"/>
              <w:rPr>
                <w:color w:val="000000" w:themeColor="text1"/>
                <w:lang w:bidi="he-IL"/>
              </w:rPr>
            </w:pPr>
            <w:r>
              <w:rPr>
                <w:color w:val="000000" w:themeColor="text1"/>
                <w:lang w:bidi="he-IL"/>
              </w:rPr>
              <w:t>(20 min)</w:t>
            </w: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77911F87" w14:textId="77777777">
            <w:pPr>
              <w:ind w:right="78"/>
              <w:jc w:val="center"/>
              <w:rPr>
                <w:lang w:bidi="he-IL"/>
              </w:rPr>
            </w:pPr>
            <w:r>
              <w:rPr>
                <w:lang w:bidi="he-IL"/>
              </w:rPr>
              <w:t>834</w:t>
            </w:r>
          </w:p>
        </w:tc>
      </w:tr>
      <w:tr w:rsidR="003F6EBC" w:rsidTr="00EC537B" w14:paraId="643AD926" w14:textId="77777777">
        <w:trPr>
          <w:trHeight w:val="216"/>
          <w:jc w:val="center"/>
        </w:trPr>
        <w:tc>
          <w:tcPr>
            <w:tcW w:w="3198" w:type="dxa"/>
            <w:tcBorders>
              <w:top w:val="nil"/>
              <w:left w:val="single" w:color="auto" w:sz="8"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07C26B0A" w14:textId="5A9422C2">
            <w:pPr>
              <w:pStyle w:val="TableTextIndent1"/>
              <w:rPr>
                <w:rFonts w:ascii="Times New Roman" w:hAnsi="Times New Roman"/>
                <w:sz w:val="20"/>
                <w:lang w:bidi="he-IL"/>
              </w:rPr>
            </w:pPr>
            <w:r>
              <w:rPr>
                <w:rFonts w:ascii="Times New Roman" w:hAnsi="Times New Roman"/>
                <w:sz w:val="20"/>
                <w:lang w:bidi="he-IL"/>
              </w:rPr>
              <w:t>Young adults (aged 18-2</w:t>
            </w:r>
            <w:r w:rsidR="00231DFF">
              <w:rPr>
                <w:rFonts w:ascii="Times New Roman" w:hAnsi="Times New Roman"/>
                <w:sz w:val="20"/>
                <w:lang w:bidi="he-IL"/>
              </w:rPr>
              <w:t>4</w:t>
            </w:r>
            <w:r>
              <w:rPr>
                <w:rFonts w:ascii="Times New Roman" w:hAnsi="Times New Roman"/>
                <w:sz w:val="20"/>
                <w:lang w:bidi="he-IL"/>
              </w:rPr>
              <w:t>)</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891084B" w14:textId="77777777">
            <w:pPr>
              <w:pStyle w:val="TableText"/>
              <w:spacing w:before="0" w:after="0"/>
              <w:ind w:right="78"/>
              <w:jc w:val="center"/>
              <w:rPr>
                <w:rFonts w:ascii="Times New Roman" w:hAnsi="Times New Roman"/>
                <w:sz w:val="20"/>
                <w:szCs w:val="20"/>
                <w:lang w:bidi="he-IL"/>
              </w:rPr>
            </w:pPr>
            <w:r>
              <w:rPr>
                <w:rFonts w:ascii="Times New Roman" w:hAnsi="Times New Roman"/>
                <w:sz w:val="20"/>
                <w:szCs w:val="20"/>
                <w:lang w:bidi="he-IL"/>
              </w:rPr>
              <w:t>2,500</w:t>
            </w:r>
          </w:p>
        </w:tc>
        <w:tc>
          <w:tcPr>
            <w:tcW w:w="1414"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7EF7FEC8" w14:textId="77777777">
            <w:pPr>
              <w:ind w:right="78"/>
              <w:jc w:val="center"/>
              <w:rPr>
                <w:lang w:bidi="he-IL"/>
              </w:rPr>
            </w:pPr>
            <w:r>
              <w:rPr>
                <w:lang w:bidi="he-IL"/>
              </w:rPr>
              <w:t>1</w:t>
            </w:r>
          </w:p>
        </w:tc>
        <w:tc>
          <w:tcPr>
            <w:tcW w:w="1225" w:type="dxa"/>
            <w:tcBorders>
              <w:top w:val="single" w:color="auto" w:sz="4" w:space="0"/>
              <w:left w:val="single" w:color="auto" w:sz="4" w:space="0"/>
              <w:bottom w:val="single" w:color="auto" w:sz="4" w:space="0"/>
              <w:right w:val="single" w:color="auto" w:sz="4" w:space="0"/>
            </w:tcBorders>
            <w:vAlign w:val="center"/>
            <w:hideMark/>
          </w:tcPr>
          <w:p w:rsidR="003F6EBC" w:rsidP="00EC537B" w:rsidRDefault="003F6EBC" w14:paraId="0AF6412F" w14:textId="77777777">
            <w:pPr>
              <w:ind w:right="78"/>
              <w:jc w:val="center"/>
              <w:rPr>
                <w:lang w:bidi="he-IL"/>
              </w:rPr>
            </w:pPr>
            <w:r>
              <w:rPr>
                <w:lang w:bidi="he-IL"/>
              </w:rPr>
              <w:t>2,500</w:t>
            </w: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242F6BBD" w14:textId="77777777">
            <w:pPr>
              <w:ind w:right="78"/>
              <w:jc w:val="center"/>
              <w:rPr>
                <w:color w:val="000000" w:themeColor="text1"/>
                <w:lang w:bidi="he-IL"/>
              </w:rPr>
            </w:pPr>
            <w:r>
              <w:rPr>
                <w:color w:val="000000" w:themeColor="text1"/>
                <w:lang w:bidi="he-IL"/>
              </w:rPr>
              <w:t>0.333</w:t>
            </w:r>
          </w:p>
          <w:p w:rsidR="003F6EBC" w:rsidP="00EC537B" w:rsidRDefault="003F6EBC" w14:paraId="4A44E5F6" w14:textId="77777777">
            <w:pPr>
              <w:ind w:right="78"/>
              <w:jc w:val="center"/>
              <w:rPr>
                <w:color w:val="000000" w:themeColor="text1"/>
                <w:lang w:bidi="he-IL"/>
              </w:rPr>
            </w:pPr>
            <w:r>
              <w:rPr>
                <w:color w:val="000000" w:themeColor="text1"/>
                <w:lang w:bidi="he-IL"/>
              </w:rPr>
              <w:t>(20 min)</w:t>
            </w: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5036DFF7" w14:textId="77777777">
            <w:pPr>
              <w:ind w:right="78"/>
              <w:jc w:val="center"/>
              <w:rPr>
                <w:lang w:bidi="he-IL"/>
              </w:rPr>
            </w:pPr>
            <w:r>
              <w:rPr>
                <w:lang w:bidi="he-IL"/>
              </w:rPr>
              <w:t>834</w:t>
            </w:r>
          </w:p>
        </w:tc>
      </w:tr>
      <w:tr w:rsidR="003F6EBC" w:rsidTr="00EC537B" w14:paraId="6201C7FE" w14:textId="77777777">
        <w:trPr>
          <w:trHeight w:val="216"/>
          <w:jc w:val="center"/>
        </w:trPr>
        <w:tc>
          <w:tcPr>
            <w:tcW w:w="319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0A97F84" w14:textId="77777777">
            <w:pPr>
              <w:pStyle w:val="TableTextIndent1"/>
              <w:rPr>
                <w:rFonts w:ascii="Times New Roman" w:hAnsi="Times New Roman"/>
                <w:b/>
                <w:i/>
                <w:sz w:val="20"/>
                <w:lang w:bidi="he-IL"/>
              </w:rPr>
            </w:pPr>
            <w:r>
              <w:rPr>
                <w:rFonts w:ascii="Times New Roman" w:hAnsi="Times New Roman"/>
                <w:b/>
                <w:i/>
                <w:sz w:val="20"/>
                <w:lang w:bidi="he-IL"/>
              </w:rPr>
              <w:t>Total</w:t>
            </w:r>
          </w:p>
        </w:tc>
        <w:tc>
          <w:tcPr>
            <w:tcW w:w="151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418DB655" w14:textId="77777777">
            <w:pPr>
              <w:pStyle w:val="TableText"/>
              <w:spacing w:before="0" w:after="0"/>
              <w:ind w:right="78"/>
              <w:jc w:val="center"/>
              <w:rPr>
                <w:rFonts w:ascii="Times New Roman" w:hAnsi="Times New Roman"/>
                <w:i/>
                <w:sz w:val="20"/>
                <w:szCs w:val="20"/>
                <w:lang w:bidi="he-IL"/>
              </w:rPr>
            </w:pPr>
            <w:r>
              <w:rPr>
                <w:rFonts w:ascii="Times New Roman" w:hAnsi="Times New Roman"/>
                <w:i/>
                <w:sz w:val="20"/>
                <w:szCs w:val="20"/>
                <w:lang w:bidi="he-IL"/>
              </w:rPr>
              <w:t>5,000</w:t>
            </w:r>
          </w:p>
        </w:tc>
        <w:tc>
          <w:tcPr>
            <w:tcW w:w="1414" w:type="dxa"/>
            <w:tcBorders>
              <w:top w:val="single" w:color="auto" w:sz="4" w:space="0"/>
              <w:left w:val="single" w:color="auto" w:sz="4" w:space="0"/>
              <w:bottom w:val="single" w:color="auto" w:sz="4" w:space="0"/>
              <w:right w:val="single" w:color="auto" w:sz="4" w:space="0"/>
            </w:tcBorders>
            <w:vAlign w:val="center"/>
          </w:tcPr>
          <w:p w:rsidR="003F6EBC" w:rsidP="00EC537B" w:rsidRDefault="003F6EBC" w14:paraId="7498AA60" w14:textId="77777777">
            <w:pPr>
              <w:ind w:right="78"/>
              <w:jc w:val="center"/>
              <w:rPr>
                <w:i/>
                <w:lang w:bidi="he-IL"/>
              </w:rPr>
            </w:pPr>
          </w:p>
        </w:tc>
        <w:tc>
          <w:tcPr>
            <w:tcW w:w="1225" w:type="dxa"/>
            <w:tcBorders>
              <w:top w:val="single" w:color="auto" w:sz="4" w:space="0"/>
              <w:left w:val="single" w:color="auto" w:sz="4" w:space="0"/>
              <w:bottom w:val="single" w:color="auto" w:sz="4" w:space="0"/>
              <w:right w:val="single" w:color="auto" w:sz="4" w:space="0"/>
            </w:tcBorders>
            <w:vAlign w:val="center"/>
          </w:tcPr>
          <w:p w:rsidR="003F6EBC" w:rsidP="00EC537B" w:rsidRDefault="003F6EBC" w14:paraId="1FCD1A5D" w14:textId="77777777">
            <w:pPr>
              <w:ind w:right="78"/>
              <w:jc w:val="center"/>
              <w:rPr>
                <w:i/>
                <w:lang w:bidi="he-IL"/>
              </w:rPr>
            </w:pPr>
          </w:p>
        </w:tc>
        <w:tc>
          <w:tcPr>
            <w:tcW w:w="1324"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3F6EBC" w:rsidP="00EC537B" w:rsidRDefault="003F6EBC" w14:paraId="1A79346F" w14:textId="77777777">
            <w:pPr>
              <w:ind w:right="78"/>
              <w:jc w:val="center"/>
              <w:rPr>
                <w:i/>
                <w:color w:val="000000" w:themeColor="text1"/>
                <w:lang w:bidi="he-IL"/>
              </w:rPr>
            </w:pPr>
          </w:p>
        </w:tc>
        <w:tc>
          <w:tcPr>
            <w:tcW w:w="10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3D2BC2" w:rsidR="003F6EBC" w:rsidP="00EC537B" w:rsidRDefault="003F6EBC" w14:paraId="36DD4737" w14:textId="77777777">
            <w:pPr>
              <w:ind w:right="78"/>
              <w:jc w:val="center"/>
              <w:rPr>
                <w:b/>
                <w:lang w:bidi="he-IL"/>
              </w:rPr>
            </w:pPr>
            <w:r w:rsidRPr="003D2BC2">
              <w:rPr>
                <w:b/>
                <w:lang w:bidi="he-IL"/>
              </w:rPr>
              <w:t>1</w:t>
            </w:r>
            <w:r>
              <w:rPr>
                <w:b/>
                <w:lang w:bidi="he-IL"/>
              </w:rPr>
              <w:t>,</w:t>
            </w:r>
            <w:r w:rsidRPr="003D2BC2">
              <w:rPr>
                <w:b/>
                <w:lang w:bidi="he-IL"/>
              </w:rPr>
              <w:t>6</w:t>
            </w:r>
            <w:r>
              <w:rPr>
                <w:b/>
                <w:lang w:bidi="he-IL"/>
              </w:rPr>
              <w:t>68</w:t>
            </w:r>
          </w:p>
        </w:tc>
      </w:tr>
      <w:tr w:rsidR="003F6EBC" w:rsidTr="00EC537B" w14:paraId="67C8912F" w14:textId="77777777">
        <w:trPr>
          <w:trHeight w:val="216"/>
          <w:jc w:val="center"/>
        </w:trPr>
        <w:tc>
          <w:tcPr>
            <w:tcW w:w="3198" w:type="dxa"/>
            <w:tcBorders>
              <w:top w:val="single" w:color="auto" w:sz="4" w:space="0"/>
              <w:left w:val="single" w:color="auto" w:sz="4" w:space="0"/>
              <w:right w:val="single" w:color="auto" w:sz="4" w:space="0"/>
            </w:tcBorders>
            <w:tcMar>
              <w:top w:w="0" w:type="dxa"/>
              <w:left w:w="108" w:type="dxa"/>
              <w:bottom w:w="0" w:type="dxa"/>
              <w:right w:w="108" w:type="dxa"/>
            </w:tcMar>
            <w:vAlign w:val="center"/>
            <w:hideMark/>
          </w:tcPr>
          <w:p w:rsidR="003F6EBC" w:rsidP="00EC537B" w:rsidRDefault="003F6EBC" w14:paraId="79625242" w14:textId="77777777">
            <w:pPr>
              <w:ind w:right="78"/>
              <w:jc w:val="center"/>
              <w:rPr>
                <w:b/>
                <w:lang w:bidi="he-IL"/>
              </w:rPr>
            </w:pPr>
            <w:r>
              <w:rPr>
                <w:b/>
                <w:lang w:bidi="he-IL"/>
              </w:rPr>
              <w:t xml:space="preserve">Total Hours                                                                                                                      </w:t>
            </w:r>
          </w:p>
        </w:tc>
        <w:tc>
          <w:tcPr>
            <w:tcW w:w="6514" w:type="dxa"/>
            <w:gridSpan w:val="5"/>
            <w:tcBorders>
              <w:top w:val="single" w:color="auto" w:sz="4" w:space="0"/>
              <w:left w:val="single" w:color="auto" w:sz="4" w:space="0"/>
              <w:bottom w:val="single" w:color="auto" w:sz="4" w:space="0"/>
              <w:right w:val="single" w:color="auto" w:sz="4" w:space="0"/>
            </w:tcBorders>
            <w:vAlign w:val="bottom"/>
          </w:tcPr>
          <w:p w:rsidR="003F6EBC" w:rsidP="00EC537B" w:rsidRDefault="003F6EBC" w14:paraId="4BFA98E6" w14:textId="77777777">
            <w:pPr>
              <w:ind w:left="5702" w:right="78"/>
              <w:rPr>
                <w:b/>
                <w:lang w:bidi="he-IL"/>
              </w:rPr>
            </w:pPr>
            <w:r>
              <w:rPr>
                <w:b/>
                <w:lang w:bidi="he-IL"/>
              </w:rPr>
              <w:t>6,712</w:t>
            </w:r>
          </w:p>
        </w:tc>
      </w:tr>
      <w:tr w:rsidR="003F6EBC" w:rsidTr="00EC537B" w14:paraId="27AE02CE" w14:textId="77777777">
        <w:trPr>
          <w:trHeight w:val="216"/>
          <w:jc w:val="center"/>
        </w:trPr>
        <w:tc>
          <w:tcPr>
            <w:tcW w:w="9712" w:type="dxa"/>
            <w:gridSpan w:val="6"/>
            <w:tcMar>
              <w:top w:w="0" w:type="dxa"/>
              <w:left w:w="108" w:type="dxa"/>
              <w:bottom w:w="0" w:type="dxa"/>
              <w:right w:w="108" w:type="dxa"/>
            </w:tcMar>
            <w:vAlign w:val="center"/>
          </w:tcPr>
          <w:p w:rsidRPr="00D103CF" w:rsidR="003F6EBC" w:rsidP="00EC537B" w:rsidRDefault="003F6EBC" w14:paraId="1476ABEB" w14:textId="6C1C9BF7">
            <w:pPr>
              <w:ind w:left="150" w:right="78"/>
              <w:rPr>
                <w:sz w:val="18"/>
                <w:lang w:bidi="he-IL"/>
              </w:rPr>
            </w:pPr>
          </w:p>
        </w:tc>
      </w:tr>
    </w:tbl>
    <w:p w:rsidRPr="00FF1796" w:rsidR="000C0C17" w:rsidP="00FF1796" w:rsidRDefault="000C0C17" w14:paraId="52F4B882" w14:textId="77777777">
      <w:pPr>
        <w:spacing w:before="120" w:after="120" w:line="360" w:lineRule="auto"/>
        <w:rPr>
          <w:color w:val="000000" w:themeColor="text1"/>
        </w:rPr>
      </w:pPr>
    </w:p>
    <w:p w:rsidRPr="00114D58" w:rsidR="003F6EBC" w:rsidP="00081417" w:rsidRDefault="003F6EBC" w14:paraId="6DFF746F" w14:textId="62E7A41D">
      <w:pPr>
        <w:pStyle w:val="BodyText2"/>
        <w:rPr>
          <w:rFonts w:ascii="Arial" w:hAnsi="Arial" w:cs="Arial"/>
          <w:sz w:val="22"/>
          <w:szCs w:val="22"/>
        </w:rPr>
      </w:pPr>
      <w:r w:rsidRPr="00C06E7B">
        <w:rPr>
          <w:sz w:val="22"/>
          <w:szCs w:val="22"/>
        </w:rPr>
        <w:t>12</w:t>
      </w:r>
      <w:r w:rsidR="00687AFC">
        <w:rPr>
          <w:sz w:val="22"/>
          <w:szCs w:val="22"/>
        </w:rPr>
        <w:t>b</w:t>
      </w:r>
      <w:r w:rsidRPr="00114D58">
        <w:rPr>
          <w:rFonts w:ascii="Arial" w:hAnsi="Arial" w:cs="Arial"/>
          <w:sz w:val="22"/>
          <w:szCs w:val="22"/>
        </w:rPr>
        <w:t xml:space="preserve">. </w:t>
      </w:r>
      <w:r w:rsidRPr="00C21F70">
        <w:rPr>
          <w:rFonts w:eastAsiaTheme="minorEastAsia"/>
          <w:color w:val="000000" w:themeColor="text1"/>
          <w:szCs w:val="24"/>
          <w:u w:val="single"/>
        </w:rPr>
        <w:t>Annualized Cost Burden Estimate</w:t>
      </w:r>
    </w:p>
    <w:p w:rsidR="003F6EBC" w:rsidP="003F6EBC" w:rsidRDefault="003F6EBC" w14:paraId="7C22ACE6" w14:textId="77777777">
      <w:pPr>
        <w:pStyle w:val="BodyText2"/>
        <w:ind w:left="720"/>
        <w:rPr>
          <w:rFonts w:ascii="Arial" w:hAnsi="Arial" w:cs="Arial"/>
          <w:sz w:val="22"/>
          <w:szCs w:val="22"/>
        </w:rPr>
      </w:pPr>
    </w:p>
    <w:p w:rsidR="00614A3F" w:rsidP="00FF1796" w:rsidRDefault="003F6EBC" w14:paraId="2FCDA5E6" w14:textId="00065455">
      <w:pPr>
        <w:autoSpaceDE w:val="0"/>
        <w:autoSpaceDN w:val="0"/>
        <w:adjustRightInd w:val="0"/>
        <w:ind w:left="720"/>
      </w:pPr>
      <w:r w:rsidRPr="008265FC">
        <w:t xml:space="preserve">To calculate </w:t>
      </w:r>
      <w:r w:rsidRPr="008A72B9">
        <w:t xml:space="preserve">the estimate annual </w:t>
      </w:r>
      <w:r w:rsidRPr="008265FC">
        <w:t>cost, the mean hourly wage of $7.25 was used for youth</w:t>
      </w:r>
      <w:r>
        <w:t xml:space="preserve"> and </w:t>
      </w:r>
      <w:r w:rsidRPr="00427FC4">
        <w:t>$</w:t>
      </w:r>
      <w:r w:rsidRPr="00CC46B3">
        <w:t xml:space="preserve">26.95 </w:t>
      </w:r>
      <w:r w:rsidRPr="00427FC4">
        <w:t xml:space="preserve">was used for </w:t>
      </w:r>
      <w:r>
        <w:t xml:space="preserve">young adults. </w:t>
      </w:r>
      <w:r w:rsidRPr="00C44863">
        <w:t xml:space="preserve">The youth price represents the minimum wage, and the </w:t>
      </w:r>
      <w:r>
        <w:t>young adult</w:t>
      </w:r>
      <w:r w:rsidRPr="00C44863">
        <w:t xml:space="preserve"> costs represent the mean hourly wage for </w:t>
      </w:r>
      <w:r>
        <w:t>other</w:t>
      </w:r>
      <w:r w:rsidRPr="00C44863">
        <w:t xml:space="preserve"> occupation</w:t>
      </w:r>
      <w:r>
        <w:t xml:space="preserve"> earning</w:t>
      </w:r>
      <w:r w:rsidRPr="00C44863">
        <w:t xml:space="preserve">s from the </w:t>
      </w:r>
      <w:r w:rsidRPr="005E3BBC">
        <w:t>U.S. Department of Labor Bureau of Labor Statistics</w:t>
      </w:r>
      <w:r w:rsidRPr="00C44863">
        <w:t xml:space="preserve"> (May 20</w:t>
      </w:r>
      <w:r>
        <w:t xml:space="preserve">20 </w:t>
      </w:r>
      <w:r w:rsidRPr="00C44863">
        <w:t xml:space="preserve">data). </w:t>
      </w:r>
      <w:r w:rsidRPr="008265FC">
        <w:t>There are no direct costs to respondents associated with participation i</w:t>
      </w:r>
      <w:r>
        <w:t xml:space="preserve">n this information collection. </w:t>
      </w:r>
      <w:r w:rsidRPr="008265FC">
        <w:t>Thus, assuming an average hourly wage of $7.25 and $</w:t>
      </w:r>
      <w:r w:rsidRPr="004C0C3A">
        <w:t xml:space="preserve">26.95 </w:t>
      </w:r>
      <w:r w:rsidRPr="008265FC">
        <w:t xml:space="preserve">(youth and </w:t>
      </w:r>
      <w:r>
        <w:t>young adult</w:t>
      </w:r>
      <w:r w:rsidRPr="008265FC">
        <w:t xml:space="preserve">), the estimated one-year annualized cost to participants will be </w:t>
      </w:r>
      <w:r w:rsidRPr="004F0C26">
        <w:t>$</w:t>
      </w:r>
      <w:r>
        <w:t>114,775.20</w:t>
      </w:r>
      <w:r w:rsidRPr="004F0C26">
        <w:t>.</w:t>
      </w:r>
      <w:r w:rsidRPr="008265FC">
        <w:t xml:space="preserve"> The estimated value of respondents’ time for participating in the information collection is summarized in </w:t>
      </w:r>
      <w:r>
        <w:t>Exhibit 2</w:t>
      </w:r>
      <w:r w:rsidRPr="008265FC">
        <w:t>.</w:t>
      </w:r>
      <w:r>
        <w:t xml:space="preserve"> </w:t>
      </w:r>
    </w:p>
    <w:p w:rsidR="003F6EBC" w:rsidP="003F6EBC" w:rsidRDefault="003F6EBC" w14:paraId="698FB8A6" w14:textId="5222C3E5">
      <w:pPr>
        <w:keepNext/>
        <w:keepLines/>
        <w:spacing w:before="240" w:after="240"/>
        <w:ind w:left="720"/>
        <w:rPr>
          <w:b/>
          <w:color w:val="000000" w:themeColor="text1"/>
          <w:szCs w:val="20"/>
        </w:rPr>
      </w:pPr>
      <w:r>
        <w:rPr>
          <w:b/>
          <w:color w:val="000000" w:themeColor="text1"/>
          <w:szCs w:val="20"/>
        </w:rPr>
        <w:t>Exhibit 2. Estimated Annual Cost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1926"/>
      </w:tblGrid>
      <w:tr w:rsidRPr="005A052A" w:rsidR="003F6EBC" w:rsidTr="00EC537B" w14:paraId="6F63F58B" w14:textId="77777777">
        <w:tc>
          <w:tcPr>
            <w:tcW w:w="2160" w:type="dxa"/>
            <w:shd w:val="clear" w:color="auto" w:fill="auto"/>
          </w:tcPr>
          <w:p w:rsidRPr="005A052A" w:rsidR="003F6EBC" w:rsidP="00EC537B" w:rsidRDefault="003F6EBC" w14:paraId="49ABB5CF" w14:textId="77777777">
            <w:pPr>
              <w:rPr>
                <w:sz w:val="22"/>
                <w:szCs w:val="22"/>
              </w:rPr>
            </w:pPr>
            <w:r w:rsidRPr="00CE1F05">
              <w:t>Type of Respondent</w:t>
            </w:r>
          </w:p>
        </w:tc>
        <w:tc>
          <w:tcPr>
            <w:tcW w:w="1800" w:type="dxa"/>
            <w:shd w:val="clear" w:color="auto" w:fill="auto"/>
          </w:tcPr>
          <w:p w:rsidRPr="005A052A" w:rsidR="003F6EBC" w:rsidP="00EC537B" w:rsidRDefault="003F6EBC" w14:paraId="5B6AA98E" w14:textId="77777777">
            <w:pPr>
              <w:jc w:val="center"/>
              <w:rPr>
                <w:sz w:val="22"/>
                <w:szCs w:val="22"/>
              </w:rPr>
            </w:pPr>
            <w:r w:rsidRPr="00CE1F05">
              <w:t>Total Burden Hours</w:t>
            </w:r>
          </w:p>
        </w:tc>
        <w:tc>
          <w:tcPr>
            <w:tcW w:w="2394" w:type="dxa"/>
            <w:shd w:val="clear" w:color="auto" w:fill="auto"/>
          </w:tcPr>
          <w:p w:rsidRPr="005A052A" w:rsidR="003F6EBC" w:rsidP="00EC537B" w:rsidRDefault="003F6EBC" w14:paraId="25F780E2" w14:textId="77777777">
            <w:pPr>
              <w:jc w:val="center"/>
              <w:rPr>
                <w:sz w:val="22"/>
                <w:szCs w:val="22"/>
              </w:rPr>
            </w:pPr>
            <w:r w:rsidRPr="00CE1F05">
              <w:t>Hourly Wage Rate</w:t>
            </w:r>
          </w:p>
        </w:tc>
        <w:tc>
          <w:tcPr>
            <w:tcW w:w="1926" w:type="dxa"/>
            <w:shd w:val="clear" w:color="auto" w:fill="auto"/>
          </w:tcPr>
          <w:p w:rsidRPr="005A052A" w:rsidR="003F6EBC" w:rsidP="00EC537B" w:rsidRDefault="003F6EBC" w14:paraId="23181ED7" w14:textId="77777777">
            <w:pPr>
              <w:jc w:val="center"/>
              <w:rPr>
                <w:sz w:val="22"/>
                <w:szCs w:val="22"/>
              </w:rPr>
            </w:pPr>
            <w:r w:rsidRPr="00CE1F05">
              <w:t>Total Respondent Costs</w:t>
            </w:r>
          </w:p>
        </w:tc>
      </w:tr>
      <w:tr w:rsidRPr="005A052A" w:rsidR="003F6EBC" w:rsidTr="000C0C17" w14:paraId="594A7B71" w14:textId="77777777">
        <w:tc>
          <w:tcPr>
            <w:tcW w:w="2160" w:type="dxa"/>
            <w:shd w:val="clear" w:color="auto" w:fill="auto"/>
          </w:tcPr>
          <w:p w:rsidRPr="005A052A" w:rsidR="003F6EBC" w:rsidP="00EC537B" w:rsidRDefault="003F6EBC" w14:paraId="68CFD4B9" w14:textId="77777777">
            <w:pPr>
              <w:rPr>
                <w:sz w:val="22"/>
                <w:szCs w:val="22"/>
              </w:rPr>
            </w:pPr>
            <w:r w:rsidRPr="005A052A">
              <w:rPr>
                <w:sz w:val="22"/>
                <w:szCs w:val="22"/>
              </w:rPr>
              <w:t>Youth</w:t>
            </w:r>
          </w:p>
        </w:tc>
        <w:tc>
          <w:tcPr>
            <w:tcW w:w="1800" w:type="dxa"/>
            <w:shd w:val="clear" w:color="auto" w:fill="auto"/>
            <w:vAlign w:val="center"/>
          </w:tcPr>
          <w:p w:rsidRPr="005A052A" w:rsidR="003F6EBC" w:rsidP="00EC537B" w:rsidRDefault="003F6EBC" w14:paraId="0820A789" w14:textId="77777777">
            <w:pPr>
              <w:jc w:val="center"/>
              <w:rPr>
                <w:sz w:val="22"/>
                <w:szCs w:val="22"/>
              </w:rPr>
            </w:pPr>
            <w:r>
              <w:rPr>
                <w:sz w:val="22"/>
                <w:szCs w:val="22"/>
              </w:rPr>
              <w:t>3,356</w:t>
            </w:r>
          </w:p>
        </w:tc>
        <w:tc>
          <w:tcPr>
            <w:tcW w:w="2394" w:type="dxa"/>
            <w:shd w:val="clear" w:color="auto" w:fill="auto"/>
            <w:vAlign w:val="center"/>
          </w:tcPr>
          <w:p w:rsidRPr="005A052A" w:rsidR="003F6EBC" w:rsidP="00EC537B" w:rsidRDefault="003F6EBC" w14:paraId="67C7DC94" w14:textId="77777777">
            <w:pPr>
              <w:jc w:val="center"/>
              <w:rPr>
                <w:sz w:val="22"/>
                <w:szCs w:val="22"/>
              </w:rPr>
            </w:pPr>
            <w:r w:rsidRPr="005A052A">
              <w:rPr>
                <w:sz w:val="22"/>
                <w:szCs w:val="22"/>
              </w:rPr>
              <w:t>$7.25</w:t>
            </w:r>
          </w:p>
        </w:tc>
        <w:tc>
          <w:tcPr>
            <w:tcW w:w="1926" w:type="dxa"/>
            <w:shd w:val="clear" w:color="auto" w:fill="auto"/>
          </w:tcPr>
          <w:p w:rsidRPr="005A052A" w:rsidR="003F6EBC" w:rsidP="000C0C17" w:rsidRDefault="003F6EBC" w14:paraId="7966013D" w14:textId="77777777">
            <w:pPr>
              <w:jc w:val="center"/>
              <w:rPr>
                <w:sz w:val="22"/>
                <w:szCs w:val="22"/>
              </w:rPr>
            </w:pPr>
            <w:r w:rsidRPr="005A052A">
              <w:rPr>
                <w:sz w:val="22"/>
                <w:szCs w:val="22"/>
              </w:rPr>
              <w:t>$</w:t>
            </w:r>
            <w:r>
              <w:rPr>
                <w:sz w:val="22"/>
                <w:szCs w:val="22"/>
              </w:rPr>
              <w:t xml:space="preserve"> 24,331.00</w:t>
            </w:r>
          </w:p>
        </w:tc>
      </w:tr>
      <w:tr w:rsidRPr="005A052A" w:rsidR="003F6EBC" w:rsidTr="000C0C17" w14:paraId="70FD5E7E" w14:textId="77777777">
        <w:tc>
          <w:tcPr>
            <w:tcW w:w="2160" w:type="dxa"/>
            <w:shd w:val="clear" w:color="auto" w:fill="auto"/>
          </w:tcPr>
          <w:p w:rsidRPr="005A052A" w:rsidR="003F6EBC" w:rsidP="00EC537B" w:rsidRDefault="003F6EBC" w14:paraId="196E88AD" w14:textId="77777777">
            <w:pPr>
              <w:rPr>
                <w:sz w:val="22"/>
                <w:szCs w:val="22"/>
              </w:rPr>
            </w:pPr>
            <w:r w:rsidRPr="005A052A">
              <w:rPr>
                <w:sz w:val="22"/>
                <w:szCs w:val="22"/>
              </w:rPr>
              <w:t>Young adults</w:t>
            </w:r>
          </w:p>
        </w:tc>
        <w:tc>
          <w:tcPr>
            <w:tcW w:w="1800" w:type="dxa"/>
            <w:shd w:val="clear" w:color="auto" w:fill="auto"/>
            <w:vAlign w:val="center"/>
          </w:tcPr>
          <w:p w:rsidRPr="005A052A" w:rsidR="003F6EBC" w:rsidDel="00940E4F" w:rsidP="00EC537B" w:rsidRDefault="003F6EBC" w14:paraId="407E1A88" w14:textId="77777777">
            <w:pPr>
              <w:jc w:val="center"/>
              <w:rPr>
                <w:sz w:val="22"/>
                <w:szCs w:val="22"/>
              </w:rPr>
            </w:pPr>
            <w:r>
              <w:rPr>
                <w:sz w:val="22"/>
                <w:szCs w:val="22"/>
              </w:rPr>
              <w:t>3,356</w:t>
            </w:r>
          </w:p>
        </w:tc>
        <w:tc>
          <w:tcPr>
            <w:tcW w:w="2394" w:type="dxa"/>
            <w:shd w:val="clear" w:color="auto" w:fill="auto"/>
            <w:vAlign w:val="center"/>
          </w:tcPr>
          <w:p w:rsidRPr="005A052A" w:rsidR="003F6EBC" w:rsidP="00EC537B" w:rsidRDefault="003F6EBC" w14:paraId="40CCAA66" w14:textId="77777777">
            <w:pPr>
              <w:jc w:val="center"/>
              <w:rPr>
                <w:sz w:val="22"/>
                <w:szCs w:val="22"/>
              </w:rPr>
            </w:pPr>
            <w:r>
              <w:rPr>
                <w:sz w:val="22"/>
                <w:szCs w:val="22"/>
              </w:rPr>
              <w:t>$26.95</w:t>
            </w:r>
          </w:p>
        </w:tc>
        <w:tc>
          <w:tcPr>
            <w:tcW w:w="1926" w:type="dxa"/>
            <w:shd w:val="clear" w:color="auto" w:fill="auto"/>
          </w:tcPr>
          <w:p w:rsidRPr="005A052A" w:rsidR="003F6EBC" w:rsidP="000C0C17" w:rsidRDefault="003F6EBC" w14:paraId="06B1E07A" w14:textId="77777777">
            <w:pPr>
              <w:jc w:val="center"/>
              <w:rPr>
                <w:sz w:val="22"/>
                <w:szCs w:val="22"/>
              </w:rPr>
            </w:pPr>
            <w:r>
              <w:rPr>
                <w:sz w:val="22"/>
                <w:szCs w:val="22"/>
              </w:rPr>
              <w:t>$ 90,444.20</w:t>
            </w:r>
          </w:p>
        </w:tc>
      </w:tr>
      <w:tr w:rsidRPr="005A052A" w:rsidR="003F6EBC" w:rsidTr="000C0C17" w14:paraId="2ABC6DA1" w14:textId="77777777">
        <w:tc>
          <w:tcPr>
            <w:tcW w:w="6354" w:type="dxa"/>
            <w:gridSpan w:val="3"/>
            <w:shd w:val="clear" w:color="auto" w:fill="auto"/>
          </w:tcPr>
          <w:p w:rsidRPr="005A052A" w:rsidR="003F6EBC" w:rsidP="00EC537B" w:rsidRDefault="003F6EBC" w14:paraId="431EEE20" w14:textId="18706D9B">
            <w:pPr>
              <w:rPr>
                <w:sz w:val="22"/>
                <w:szCs w:val="22"/>
              </w:rPr>
            </w:pPr>
            <w:r w:rsidRPr="005A052A">
              <w:rPr>
                <w:sz w:val="22"/>
                <w:szCs w:val="22"/>
              </w:rPr>
              <w:t>Total</w:t>
            </w:r>
          </w:p>
        </w:tc>
        <w:tc>
          <w:tcPr>
            <w:tcW w:w="1926" w:type="dxa"/>
            <w:shd w:val="clear" w:color="auto" w:fill="auto"/>
          </w:tcPr>
          <w:p w:rsidRPr="005A052A" w:rsidR="003F6EBC" w:rsidP="000C0C17" w:rsidRDefault="003F6EBC" w14:paraId="14A22043" w14:textId="77777777">
            <w:pPr>
              <w:jc w:val="center"/>
              <w:rPr>
                <w:sz w:val="22"/>
                <w:szCs w:val="22"/>
              </w:rPr>
            </w:pPr>
            <w:r w:rsidRPr="005A052A">
              <w:rPr>
                <w:sz w:val="22"/>
                <w:szCs w:val="22"/>
              </w:rPr>
              <w:t>$</w:t>
            </w:r>
            <w:r>
              <w:rPr>
                <w:sz w:val="22"/>
                <w:szCs w:val="22"/>
              </w:rPr>
              <w:t>114,775.20</w:t>
            </w:r>
          </w:p>
        </w:tc>
      </w:tr>
    </w:tbl>
    <w:p w:rsidRPr="00114D58" w:rsidR="006F4BD2" w:rsidP="001D495A" w:rsidRDefault="006F4BD2" w14:paraId="51A58113" w14:textId="77777777">
      <w:pPr>
        <w:pStyle w:val="BodyText2"/>
        <w:ind w:left="720"/>
        <w:rPr>
          <w:rFonts w:ascii="Arial" w:hAnsi="Arial" w:cs="Arial"/>
          <w:sz w:val="22"/>
          <w:szCs w:val="22"/>
        </w:rPr>
      </w:pPr>
    </w:p>
    <w:p w:rsidRPr="00C21F70" w:rsidR="004C6979" w:rsidP="00081417" w:rsidRDefault="00EB7538" w14:paraId="3677598A" w14:textId="77777777">
      <w:pPr>
        <w:numPr>
          <w:ilvl w:val="0"/>
          <w:numId w:val="1"/>
        </w:numPr>
        <w:spacing w:before="100" w:beforeAutospacing="1" w:after="100" w:afterAutospacing="1"/>
        <w:ind w:left="360"/>
        <w:rPr>
          <w:rFonts w:eastAsiaTheme="minorEastAsia"/>
          <w:color w:val="000000" w:themeColor="text1"/>
          <w:u w:val="single"/>
        </w:rPr>
      </w:pPr>
      <w:r w:rsidRPr="00C21F70">
        <w:rPr>
          <w:rFonts w:eastAsiaTheme="minorEastAsia"/>
          <w:color w:val="000000" w:themeColor="text1"/>
          <w:u w:val="single"/>
        </w:rPr>
        <w:t>Estimates of Other Total Annual Cost</w:t>
      </w:r>
      <w:r w:rsidRPr="00C21F70" w:rsidR="007C75B1">
        <w:rPr>
          <w:rFonts w:eastAsiaTheme="minorEastAsia"/>
          <w:color w:val="000000" w:themeColor="text1"/>
          <w:u w:val="single"/>
        </w:rPr>
        <w:t>s</w:t>
      </w:r>
      <w:r w:rsidRPr="00C21F70">
        <w:rPr>
          <w:rFonts w:eastAsiaTheme="minorEastAsia"/>
          <w:color w:val="000000" w:themeColor="text1"/>
          <w:u w:val="single"/>
        </w:rPr>
        <w:t xml:space="preserve"> to Respondents and</w:t>
      </w:r>
      <w:r w:rsidRPr="00C21F70" w:rsidR="00350523">
        <w:rPr>
          <w:rFonts w:eastAsiaTheme="minorEastAsia"/>
          <w:color w:val="000000" w:themeColor="text1"/>
          <w:u w:val="single"/>
        </w:rPr>
        <w:t>/or Recordkeepers/Capital Costs</w:t>
      </w:r>
    </w:p>
    <w:p w:rsidRPr="00FF1796" w:rsidR="00350523" w:rsidP="008242B1" w:rsidRDefault="005F2027" w14:paraId="24088F09" w14:textId="0A1E0FFC">
      <w:pPr>
        <w:ind w:left="432"/>
        <w:rPr>
          <w:sz w:val="22"/>
        </w:rPr>
      </w:pPr>
      <w:r w:rsidRPr="003B0BDE">
        <w:rPr>
          <w:sz w:val="22"/>
        </w:rPr>
        <w:t>There</w:t>
      </w:r>
      <w:r w:rsidRPr="003B0BDE" w:rsidR="00350523">
        <w:rPr>
          <w:sz w:val="22"/>
        </w:rPr>
        <w:t xml:space="preserve"> are </w:t>
      </w:r>
      <w:r w:rsidRPr="00FF1796" w:rsidR="00350523">
        <w:rPr>
          <w:sz w:val="22"/>
        </w:rPr>
        <w:t>no capital, start-up, operating or maintenance costs associated with this information collection.</w:t>
      </w:r>
    </w:p>
    <w:p w:rsidRPr="00C21F70" w:rsidR="004C6979" w:rsidP="00081417" w:rsidRDefault="00EB7538" w14:paraId="77640237" w14:textId="77777777">
      <w:pPr>
        <w:numPr>
          <w:ilvl w:val="0"/>
          <w:numId w:val="1"/>
        </w:numPr>
        <w:spacing w:before="100" w:beforeAutospacing="1" w:after="100" w:afterAutospacing="1"/>
        <w:ind w:left="360"/>
        <w:rPr>
          <w:rFonts w:eastAsiaTheme="minorEastAsia"/>
          <w:color w:val="000000" w:themeColor="text1"/>
          <w:u w:val="single"/>
        </w:rPr>
      </w:pPr>
      <w:r w:rsidRPr="00C21F70">
        <w:rPr>
          <w:rFonts w:eastAsiaTheme="minorEastAsia"/>
          <w:color w:val="000000" w:themeColor="text1"/>
          <w:u w:val="single"/>
        </w:rPr>
        <w:t>Annualized Cost to the Federal Government</w:t>
      </w:r>
    </w:p>
    <w:p w:rsidRPr="00FF1796" w:rsidR="005A052A" w:rsidP="00FF1796" w:rsidRDefault="007C64A9" w14:paraId="0E59978B" w14:textId="7A6249B0">
      <w:pPr>
        <w:ind w:left="720"/>
        <w:rPr>
          <w:color w:val="000000" w:themeColor="text1"/>
          <w:sz w:val="22"/>
        </w:rPr>
      </w:pPr>
      <w:r w:rsidRPr="00FF1796">
        <w:rPr>
          <w:sz w:val="22"/>
        </w:rPr>
        <w:t xml:space="preserve">This project is funded </w:t>
      </w:r>
      <w:r w:rsidRPr="00FF1796" w:rsidR="00AA3758">
        <w:rPr>
          <w:sz w:val="22"/>
        </w:rPr>
        <w:t xml:space="preserve">by FDA </w:t>
      </w:r>
      <w:r w:rsidRPr="00FF1796">
        <w:rPr>
          <w:sz w:val="22"/>
        </w:rPr>
        <w:t>through the Johns Hopkins Center for Excellence in Regulatory Science</w:t>
      </w:r>
      <w:r w:rsidRPr="00FF1796" w:rsidR="00AA3758">
        <w:rPr>
          <w:sz w:val="22"/>
        </w:rPr>
        <w:t>. The total estimated</w:t>
      </w:r>
      <w:r w:rsidRPr="00FF1796" w:rsidR="0028447D">
        <w:rPr>
          <w:sz w:val="22"/>
        </w:rPr>
        <w:t xml:space="preserve"> cost of this data collection is </w:t>
      </w:r>
      <w:r w:rsidRPr="00FF1796" w:rsidR="003A38B6">
        <w:rPr>
          <w:sz w:val="22"/>
        </w:rPr>
        <w:t>$319,393</w:t>
      </w:r>
      <w:r w:rsidRPr="00FF1796" w:rsidR="00F171CB">
        <w:rPr>
          <w:sz w:val="22"/>
        </w:rPr>
        <w:t>.</w:t>
      </w:r>
      <w:r w:rsidRPr="00FF1796" w:rsidR="00D17CE4">
        <w:rPr>
          <w:sz w:val="22"/>
        </w:rPr>
        <w:t xml:space="preserve"> This includes </w:t>
      </w:r>
      <w:r w:rsidRPr="00FF1796" w:rsidR="00417DE5">
        <w:rPr>
          <w:sz w:val="22"/>
        </w:rPr>
        <w:t xml:space="preserve">JHU’s </w:t>
      </w:r>
      <w:r w:rsidRPr="00FF1796" w:rsidR="00D17CE4">
        <w:rPr>
          <w:sz w:val="22"/>
        </w:rPr>
        <w:t>costs to develop the survey</w:t>
      </w:r>
      <w:r w:rsidRPr="00FF1796" w:rsidR="000419DB">
        <w:rPr>
          <w:sz w:val="22"/>
        </w:rPr>
        <w:t xml:space="preserve"> and stimuli</w:t>
      </w:r>
      <w:r w:rsidRPr="00FF1796" w:rsidR="00417DE5">
        <w:rPr>
          <w:sz w:val="22"/>
        </w:rPr>
        <w:t xml:space="preserve">, </w:t>
      </w:r>
      <w:r w:rsidRPr="00FF1796" w:rsidR="000419DB">
        <w:rPr>
          <w:sz w:val="22"/>
        </w:rPr>
        <w:t xml:space="preserve">obtain approval from the JHSPH IRB, </w:t>
      </w:r>
      <w:r w:rsidRPr="00FF1796" w:rsidR="00417DE5">
        <w:rPr>
          <w:sz w:val="22"/>
        </w:rPr>
        <w:t>manage the study, coordinate with FDA, analyze data</w:t>
      </w:r>
      <w:r w:rsidRPr="00FF1796" w:rsidR="003D6C75">
        <w:rPr>
          <w:sz w:val="22"/>
        </w:rPr>
        <w:t xml:space="preserve"> and write a report</w:t>
      </w:r>
      <w:r w:rsidRPr="00FF1796" w:rsidR="004B6F24">
        <w:rPr>
          <w:sz w:val="22"/>
        </w:rPr>
        <w:t xml:space="preserve">. These costs include JHU staff and student time and supplies. This amount also includes </w:t>
      </w:r>
      <w:r w:rsidRPr="00FF1796" w:rsidR="003D6C75">
        <w:rPr>
          <w:sz w:val="22"/>
        </w:rPr>
        <w:t xml:space="preserve">costs to SSRS, the survey vendor, to recruit </w:t>
      </w:r>
      <w:r w:rsidRPr="00FF1796" w:rsidR="00A618C9">
        <w:rPr>
          <w:sz w:val="22"/>
        </w:rPr>
        <w:t>participants, program the survey, and compensate participants.</w:t>
      </w:r>
      <w:r w:rsidRPr="00FF1796" w:rsidR="005A052A">
        <w:rPr>
          <w:sz w:val="22"/>
        </w:rPr>
        <w:t xml:space="preserve"> </w:t>
      </w:r>
      <w:r w:rsidRPr="00FF1796" w:rsidR="005A052A">
        <w:rPr>
          <w:color w:val="000000" w:themeColor="text1"/>
          <w:sz w:val="22"/>
        </w:rPr>
        <w:t xml:space="preserve">The cost also includes FDA staff time to design and manage the study, to analyze the resultant data, and to draft a report ($34,915; 640 hours over the life of the study).  </w:t>
      </w:r>
    </w:p>
    <w:p w:rsidR="005A052A" w:rsidP="005A052A" w:rsidRDefault="005A052A" w14:paraId="71529FA9" w14:textId="77777777">
      <w:pPr>
        <w:pStyle w:val="FigureTitle"/>
        <w:ind w:left="720"/>
        <w:rPr>
          <w:color w:val="000000" w:themeColor="text1"/>
        </w:rPr>
      </w:pPr>
      <w:bookmarkStart w:name="_Toc361824171" w:id="1"/>
      <w:r>
        <w:rPr>
          <w:color w:val="000000" w:themeColor="text1"/>
        </w:rPr>
        <w:t>Exhibit 3. Itemized Cost to the Federal Government</w:t>
      </w:r>
      <w:bookmarkEnd w:id="1"/>
    </w:p>
    <w:tbl>
      <w:tblPr>
        <w:tblW w:w="8745" w:type="dxa"/>
        <w:tblInd w:w="720" w:type="dxa"/>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2386"/>
        <w:gridCol w:w="2006"/>
        <w:gridCol w:w="2734"/>
        <w:gridCol w:w="1619"/>
      </w:tblGrid>
      <w:tr w:rsidR="005A052A" w:rsidTr="005A052A" w14:paraId="5ACB3B5B" w14:textId="77777777">
        <w:tc>
          <w:tcPr>
            <w:tcW w:w="2386" w:type="dxa"/>
            <w:tcBorders>
              <w:top w:val="single" w:color="auto" w:sz="12" w:space="0"/>
              <w:left w:val="nil"/>
              <w:bottom w:val="single" w:color="auto" w:sz="4" w:space="0"/>
              <w:right w:val="single" w:color="auto" w:sz="4" w:space="0"/>
            </w:tcBorders>
            <w:hideMark/>
          </w:tcPr>
          <w:p w:rsidR="005A052A" w:rsidRDefault="005A052A" w14:paraId="09C41926" w14:textId="77777777">
            <w:pPr>
              <w:pStyle w:val="FigureTitle"/>
              <w:spacing w:before="0" w:after="120"/>
              <w:jc w:val="center"/>
              <w:rPr>
                <w:color w:val="000000" w:themeColor="text1"/>
                <w:sz w:val="22"/>
                <w:szCs w:val="22"/>
              </w:rPr>
            </w:pPr>
            <w:r>
              <w:rPr>
                <w:color w:val="000000" w:themeColor="text1"/>
                <w:sz w:val="22"/>
                <w:szCs w:val="22"/>
              </w:rPr>
              <w:t>Government Personnel</w:t>
            </w:r>
          </w:p>
        </w:tc>
        <w:tc>
          <w:tcPr>
            <w:tcW w:w="2007" w:type="dxa"/>
            <w:tcBorders>
              <w:top w:val="single" w:color="auto" w:sz="12" w:space="0"/>
              <w:left w:val="single" w:color="auto" w:sz="4" w:space="0"/>
              <w:bottom w:val="single" w:color="auto" w:sz="4" w:space="0"/>
              <w:right w:val="single" w:color="auto" w:sz="4" w:space="0"/>
            </w:tcBorders>
            <w:hideMark/>
          </w:tcPr>
          <w:p w:rsidR="005A052A" w:rsidRDefault="005A052A" w14:paraId="430578EF" w14:textId="77777777">
            <w:pPr>
              <w:pStyle w:val="FigureTitle"/>
              <w:spacing w:before="0" w:after="120"/>
              <w:jc w:val="center"/>
              <w:rPr>
                <w:color w:val="000000" w:themeColor="text1"/>
                <w:sz w:val="22"/>
                <w:szCs w:val="22"/>
              </w:rPr>
            </w:pPr>
            <w:r>
              <w:rPr>
                <w:color w:val="000000" w:themeColor="text1"/>
                <w:sz w:val="22"/>
                <w:szCs w:val="22"/>
              </w:rPr>
              <w:t>Time Commitment</w:t>
            </w:r>
          </w:p>
        </w:tc>
        <w:tc>
          <w:tcPr>
            <w:tcW w:w="2735" w:type="dxa"/>
            <w:tcBorders>
              <w:top w:val="single" w:color="auto" w:sz="12" w:space="0"/>
              <w:left w:val="single" w:color="auto" w:sz="4" w:space="0"/>
              <w:bottom w:val="single" w:color="auto" w:sz="4" w:space="0"/>
              <w:right w:val="single" w:color="auto" w:sz="4" w:space="0"/>
            </w:tcBorders>
            <w:vAlign w:val="bottom"/>
            <w:hideMark/>
          </w:tcPr>
          <w:p w:rsidR="005A052A" w:rsidRDefault="005A052A" w14:paraId="43FD3028" w14:textId="77777777">
            <w:pPr>
              <w:pStyle w:val="FigureTitle"/>
              <w:spacing w:before="0" w:after="120"/>
              <w:jc w:val="center"/>
              <w:rPr>
                <w:color w:val="000000" w:themeColor="text1"/>
                <w:sz w:val="22"/>
                <w:szCs w:val="22"/>
              </w:rPr>
            </w:pPr>
            <w:r>
              <w:rPr>
                <w:color w:val="000000" w:themeColor="text1"/>
                <w:sz w:val="22"/>
                <w:szCs w:val="22"/>
              </w:rPr>
              <w:t>Average Annual Salary</w:t>
            </w:r>
          </w:p>
        </w:tc>
        <w:tc>
          <w:tcPr>
            <w:tcW w:w="1620" w:type="dxa"/>
            <w:tcBorders>
              <w:top w:val="single" w:color="auto" w:sz="12" w:space="0"/>
              <w:left w:val="single" w:color="auto" w:sz="4" w:space="0"/>
              <w:bottom w:val="single" w:color="auto" w:sz="4" w:space="0"/>
              <w:right w:val="nil"/>
            </w:tcBorders>
            <w:hideMark/>
          </w:tcPr>
          <w:p w:rsidR="005A052A" w:rsidRDefault="005A052A" w14:paraId="632D455F" w14:textId="77777777">
            <w:pPr>
              <w:pStyle w:val="FigureTitle"/>
              <w:spacing w:before="0" w:after="120"/>
              <w:jc w:val="center"/>
              <w:rPr>
                <w:color w:val="000000" w:themeColor="text1"/>
                <w:sz w:val="22"/>
                <w:szCs w:val="22"/>
              </w:rPr>
            </w:pPr>
            <w:r>
              <w:rPr>
                <w:color w:val="000000" w:themeColor="text1"/>
                <w:sz w:val="22"/>
                <w:szCs w:val="22"/>
              </w:rPr>
              <w:t>Total</w:t>
            </w:r>
          </w:p>
        </w:tc>
      </w:tr>
      <w:tr w:rsidR="005A052A" w:rsidTr="005A052A" w14:paraId="38294358" w14:textId="77777777">
        <w:tc>
          <w:tcPr>
            <w:tcW w:w="2386" w:type="dxa"/>
            <w:tcBorders>
              <w:top w:val="single" w:color="auto" w:sz="4" w:space="0"/>
              <w:left w:val="nil"/>
              <w:bottom w:val="single" w:color="auto" w:sz="4" w:space="0"/>
              <w:right w:val="single" w:color="auto" w:sz="4" w:space="0"/>
            </w:tcBorders>
            <w:hideMark/>
          </w:tcPr>
          <w:p w:rsidR="005A052A" w:rsidRDefault="005A052A" w14:paraId="41B0F6D6" w14:textId="77777777">
            <w:pPr>
              <w:pStyle w:val="FigureTitle"/>
              <w:spacing w:before="0" w:after="60"/>
              <w:jc w:val="center"/>
              <w:rPr>
                <w:b w:val="0"/>
                <w:color w:val="000000" w:themeColor="text1"/>
                <w:sz w:val="22"/>
                <w:szCs w:val="22"/>
              </w:rPr>
            </w:pPr>
            <w:r>
              <w:rPr>
                <w:b w:val="0"/>
                <w:color w:val="000000" w:themeColor="text1"/>
                <w:sz w:val="22"/>
                <w:szCs w:val="22"/>
              </w:rPr>
              <w:t>GS-13</w:t>
            </w:r>
          </w:p>
        </w:tc>
        <w:tc>
          <w:tcPr>
            <w:tcW w:w="2007" w:type="dxa"/>
            <w:tcBorders>
              <w:top w:val="single" w:color="auto" w:sz="4" w:space="0"/>
              <w:left w:val="single" w:color="auto" w:sz="4" w:space="0"/>
              <w:bottom w:val="single" w:color="auto" w:sz="4" w:space="0"/>
              <w:right w:val="single" w:color="auto" w:sz="4" w:space="0"/>
            </w:tcBorders>
            <w:hideMark/>
          </w:tcPr>
          <w:p w:rsidR="005A052A" w:rsidRDefault="005A052A" w14:paraId="3CFA5558" w14:textId="77777777">
            <w:pPr>
              <w:pStyle w:val="FigureTitle"/>
              <w:spacing w:before="0" w:after="60"/>
              <w:jc w:val="center"/>
              <w:rPr>
                <w:b w:val="0"/>
                <w:color w:val="000000" w:themeColor="text1"/>
                <w:sz w:val="22"/>
                <w:szCs w:val="22"/>
              </w:rPr>
            </w:pPr>
            <w:r>
              <w:rPr>
                <w:b w:val="0"/>
                <w:color w:val="000000" w:themeColor="text1"/>
                <w:sz w:val="22"/>
                <w:szCs w:val="22"/>
              </w:rPr>
              <w:t>15%</w:t>
            </w:r>
          </w:p>
        </w:tc>
        <w:tc>
          <w:tcPr>
            <w:tcW w:w="2735" w:type="dxa"/>
            <w:tcBorders>
              <w:top w:val="single" w:color="auto" w:sz="4" w:space="0"/>
              <w:left w:val="single" w:color="auto" w:sz="4" w:space="0"/>
              <w:bottom w:val="single" w:color="auto" w:sz="4" w:space="0"/>
              <w:right w:val="single" w:color="auto" w:sz="4" w:space="0"/>
            </w:tcBorders>
            <w:hideMark/>
          </w:tcPr>
          <w:p w:rsidR="005A052A" w:rsidRDefault="005A052A" w14:paraId="6AA8F67F" w14:textId="77777777">
            <w:pPr>
              <w:pStyle w:val="FigureTitle"/>
              <w:spacing w:before="0" w:after="60"/>
              <w:jc w:val="right"/>
              <w:rPr>
                <w:b w:val="0"/>
                <w:color w:val="000000" w:themeColor="text1"/>
                <w:sz w:val="22"/>
                <w:szCs w:val="22"/>
              </w:rPr>
            </w:pPr>
            <w:r>
              <w:rPr>
                <w:b w:val="0"/>
                <w:color w:val="000000" w:themeColor="text1"/>
                <w:sz w:val="22"/>
                <w:szCs w:val="22"/>
              </w:rPr>
              <w:t>$100,203</w:t>
            </w:r>
          </w:p>
        </w:tc>
        <w:tc>
          <w:tcPr>
            <w:tcW w:w="1620" w:type="dxa"/>
            <w:tcBorders>
              <w:top w:val="single" w:color="auto" w:sz="4" w:space="0"/>
              <w:left w:val="single" w:color="auto" w:sz="4" w:space="0"/>
              <w:bottom w:val="single" w:color="auto" w:sz="4" w:space="0"/>
              <w:right w:val="nil"/>
            </w:tcBorders>
            <w:hideMark/>
          </w:tcPr>
          <w:p w:rsidR="005A052A" w:rsidRDefault="005A052A" w14:paraId="6F0544B2" w14:textId="77777777">
            <w:pPr>
              <w:pStyle w:val="FigureTitle"/>
              <w:spacing w:before="0" w:after="60"/>
              <w:rPr>
                <w:b w:val="0"/>
                <w:color w:val="000000" w:themeColor="text1"/>
                <w:sz w:val="22"/>
                <w:szCs w:val="22"/>
              </w:rPr>
            </w:pPr>
            <w:r>
              <w:rPr>
                <w:b w:val="0"/>
                <w:color w:val="000000" w:themeColor="text1"/>
                <w:sz w:val="22"/>
                <w:szCs w:val="22"/>
              </w:rPr>
              <w:t>$15,030</w:t>
            </w:r>
          </w:p>
        </w:tc>
      </w:tr>
      <w:tr w:rsidR="005A052A" w:rsidTr="005A052A" w14:paraId="0CEF88C3" w14:textId="77777777">
        <w:tc>
          <w:tcPr>
            <w:tcW w:w="2386" w:type="dxa"/>
            <w:tcBorders>
              <w:top w:val="single" w:color="auto" w:sz="4" w:space="0"/>
              <w:left w:val="nil"/>
              <w:bottom w:val="single" w:color="auto" w:sz="4" w:space="0"/>
              <w:right w:val="single" w:color="auto" w:sz="4" w:space="0"/>
            </w:tcBorders>
            <w:hideMark/>
          </w:tcPr>
          <w:p w:rsidR="005A052A" w:rsidRDefault="005A052A" w14:paraId="2209695A" w14:textId="77777777">
            <w:pPr>
              <w:pStyle w:val="FigureTitle"/>
              <w:spacing w:before="0" w:after="60"/>
              <w:jc w:val="center"/>
              <w:rPr>
                <w:b w:val="0"/>
                <w:color w:val="000000" w:themeColor="text1"/>
                <w:sz w:val="22"/>
                <w:szCs w:val="22"/>
              </w:rPr>
            </w:pPr>
            <w:r>
              <w:rPr>
                <w:b w:val="0"/>
                <w:color w:val="000000" w:themeColor="text1"/>
                <w:sz w:val="22"/>
                <w:szCs w:val="22"/>
              </w:rPr>
              <w:t>GS-14</w:t>
            </w:r>
          </w:p>
        </w:tc>
        <w:tc>
          <w:tcPr>
            <w:tcW w:w="2007" w:type="dxa"/>
            <w:tcBorders>
              <w:top w:val="single" w:color="auto" w:sz="4" w:space="0"/>
              <w:left w:val="single" w:color="auto" w:sz="4" w:space="0"/>
              <w:bottom w:val="single" w:color="auto" w:sz="4" w:space="0"/>
              <w:right w:val="single" w:color="auto" w:sz="4" w:space="0"/>
            </w:tcBorders>
            <w:hideMark/>
          </w:tcPr>
          <w:p w:rsidR="005A052A" w:rsidRDefault="005A052A" w14:paraId="5E1B6820" w14:textId="77777777">
            <w:pPr>
              <w:pStyle w:val="FigureTitle"/>
              <w:spacing w:before="0" w:after="60"/>
              <w:jc w:val="center"/>
              <w:rPr>
                <w:b w:val="0"/>
                <w:color w:val="000000" w:themeColor="text1"/>
                <w:sz w:val="22"/>
                <w:szCs w:val="22"/>
              </w:rPr>
            </w:pPr>
            <w:r>
              <w:rPr>
                <w:b w:val="0"/>
                <w:color w:val="000000" w:themeColor="text1"/>
                <w:sz w:val="22"/>
                <w:szCs w:val="22"/>
              </w:rPr>
              <w:t>15%</w:t>
            </w:r>
          </w:p>
        </w:tc>
        <w:tc>
          <w:tcPr>
            <w:tcW w:w="2735" w:type="dxa"/>
            <w:tcBorders>
              <w:top w:val="single" w:color="auto" w:sz="4" w:space="0"/>
              <w:left w:val="single" w:color="auto" w:sz="4" w:space="0"/>
              <w:bottom w:val="single" w:color="auto" w:sz="4" w:space="0"/>
              <w:right w:val="single" w:color="auto" w:sz="4" w:space="0"/>
            </w:tcBorders>
            <w:hideMark/>
          </w:tcPr>
          <w:p w:rsidR="005A052A" w:rsidRDefault="005A052A" w14:paraId="5C7689EF" w14:textId="77777777">
            <w:pPr>
              <w:pStyle w:val="FigureTitle"/>
              <w:spacing w:before="0" w:after="60"/>
              <w:jc w:val="right"/>
              <w:rPr>
                <w:b w:val="0"/>
                <w:color w:val="000000" w:themeColor="text1"/>
                <w:sz w:val="22"/>
                <w:szCs w:val="22"/>
              </w:rPr>
            </w:pPr>
            <w:r>
              <w:rPr>
                <w:b w:val="0"/>
                <w:color w:val="000000" w:themeColor="text1"/>
                <w:sz w:val="22"/>
                <w:szCs w:val="22"/>
              </w:rPr>
              <w:t>$114,590</w:t>
            </w:r>
          </w:p>
        </w:tc>
        <w:tc>
          <w:tcPr>
            <w:tcW w:w="1620" w:type="dxa"/>
            <w:tcBorders>
              <w:top w:val="single" w:color="auto" w:sz="4" w:space="0"/>
              <w:left w:val="single" w:color="auto" w:sz="4" w:space="0"/>
              <w:bottom w:val="single" w:color="auto" w:sz="4" w:space="0"/>
              <w:right w:val="nil"/>
            </w:tcBorders>
            <w:hideMark/>
          </w:tcPr>
          <w:p w:rsidR="005A052A" w:rsidRDefault="005A052A" w14:paraId="4A968EC2" w14:textId="77777777">
            <w:pPr>
              <w:pStyle w:val="FigureTitle"/>
              <w:spacing w:before="0" w:after="60"/>
              <w:rPr>
                <w:b w:val="0"/>
                <w:color w:val="000000" w:themeColor="text1"/>
                <w:sz w:val="22"/>
                <w:szCs w:val="22"/>
              </w:rPr>
            </w:pPr>
            <w:r>
              <w:rPr>
                <w:b w:val="0"/>
                <w:color w:val="000000" w:themeColor="text1"/>
                <w:sz w:val="22"/>
                <w:szCs w:val="22"/>
              </w:rPr>
              <w:t>$17,189</w:t>
            </w:r>
          </w:p>
        </w:tc>
      </w:tr>
      <w:tr w:rsidR="005A052A" w:rsidTr="005A052A" w14:paraId="31338FF3" w14:textId="77777777">
        <w:tc>
          <w:tcPr>
            <w:tcW w:w="2386" w:type="dxa"/>
            <w:tcBorders>
              <w:top w:val="single" w:color="auto" w:sz="4" w:space="0"/>
              <w:left w:val="nil"/>
              <w:bottom w:val="single" w:color="auto" w:sz="4" w:space="0"/>
              <w:right w:val="single" w:color="auto" w:sz="4" w:space="0"/>
            </w:tcBorders>
            <w:hideMark/>
          </w:tcPr>
          <w:p w:rsidR="005A052A" w:rsidRDefault="005A052A" w14:paraId="5C5E63F9" w14:textId="77777777">
            <w:pPr>
              <w:pStyle w:val="FigureTitle"/>
              <w:spacing w:before="0" w:after="60"/>
              <w:jc w:val="center"/>
              <w:rPr>
                <w:b w:val="0"/>
                <w:color w:val="000000" w:themeColor="text1"/>
                <w:sz w:val="22"/>
                <w:szCs w:val="22"/>
              </w:rPr>
            </w:pPr>
            <w:r>
              <w:rPr>
                <w:b w:val="0"/>
                <w:color w:val="000000" w:themeColor="text1"/>
                <w:sz w:val="22"/>
                <w:szCs w:val="22"/>
              </w:rPr>
              <w:t>GS-15</w:t>
            </w:r>
          </w:p>
        </w:tc>
        <w:tc>
          <w:tcPr>
            <w:tcW w:w="2007" w:type="dxa"/>
            <w:tcBorders>
              <w:top w:val="single" w:color="auto" w:sz="4" w:space="0"/>
              <w:left w:val="single" w:color="auto" w:sz="4" w:space="0"/>
              <w:bottom w:val="single" w:color="auto" w:sz="4" w:space="0"/>
              <w:right w:val="single" w:color="auto" w:sz="4" w:space="0"/>
            </w:tcBorders>
            <w:hideMark/>
          </w:tcPr>
          <w:p w:rsidR="005A052A" w:rsidRDefault="005A052A" w14:paraId="2C2E3E12" w14:textId="77777777">
            <w:pPr>
              <w:pStyle w:val="FigureTitle"/>
              <w:spacing w:before="0" w:after="60"/>
              <w:jc w:val="center"/>
              <w:rPr>
                <w:b w:val="0"/>
                <w:color w:val="000000" w:themeColor="text1"/>
                <w:sz w:val="22"/>
                <w:szCs w:val="22"/>
              </w:rPr>
            </w:pPr>
            <w:r>
              <w:rPr>
                <w:b w:val="0"/>
                <w:color w:val="000000" w:themeColor="text1"/>
                <w:sz w:val="22"/>
                <w:szCs w:val="22"/>
              </w:rPr>
              <w:t>2%</w:t>
            </w:r>
          </w:p>
        </w:tc>
        <w:tc>
          <w:tcPr>
            <w:tcW w:w="2735" w:type="dxa"/>
            <w:tcBorders>
              <w:top w:val="single" w:color="auto" w:sz="4" w:space="0"/>
              <w:left w:val="single" w:color="auto" w:sz="4" w:space="0"/>
              <w:bottom w:val="single" w:color="auto" w:sz="4" w:space="0"/>
              <w:right w:val="single" w:color="auto" w:sz="4" w:space="0"/>
            </w:tcBorders>
            <w:hideMark/>
          </w:tcPr>
          <w:p w:rsidR="005A052A" w:rsidRDefault="005A052A" w14:paraId="051000A0" w14:textId="77777777">
            <w:pPr>
              <w:pStyle w:val="FigureTitle"/>
              <w:spacing w:before="0" w:after="60"/>
              <w:jc w:val="right"/>
              <w:rPr>
                <w:b w:val="0"/>
                <w:color w:val="000000" w:themeColor="text1"/>
                <w:sz w:val="22"/>
                <w:szCs w:val="22"/>
              </w:rPr>
            </w:pPr>
            <w:r>
              <w:rPr>
                <w:b w:val="0"/>
                <w:color w:val="000000" w:themeColor="text1"/>
                <w:sz w:val="22"/>
                <w:szCs w:val="22"/>
              </w:rPr>
              <w:t>$134,789</w:t>
            </w:r>
          </w:p>
        </w:tc>
        <w:tc>
          <w:tcPr>
            <w:tcW w:w="1620" w:type="dxa"/>
            <w:tcBorders>
              <w:top w:val="single" w:color="auto" w:sz="4" w:space="0"/>
              <w:left w:val="single" w:color="auto" w:sz="4" w:space="0"/>
              <w:bottom w:val="single" w:color="auto" w:sz="4" w:space="0"/>
              <w:right w:val="nil"/>
            </w:tcBorders>
            <w:hideMark/>
          </w:tcPr>
          <w:p w:rsidR="005A052A" w:rsidRDefault="005A052A" w14:paraId="51F4A38F" w14:textId="77777777">
            <w:pPr>
              <w:pStyle w:val="FigureTitle"/>
              <w:spacing w:before="0" w:after="60"/>
              <w:rPr>
                <w:b w:val="0"/>
                <w:color w:val="000000" w:themeColor="text1"/>
                <w:sz w:val="22"/>
                <w:szCs w:val="22"/>
              </w:rPr>
            </w:pPr>
            <w:r>
              <w:rPr>
                <w:b w:val="0"/>
                <w:color w:val="000000" w:themeColor="text1"/>
                <w:sz w:val="22"/>
                <w:szCs w:val="22"/>
              </w:rPr>
              <w:t>$2,696</w:t>
            </w:r>
          </w:p>
        </w:tc>
      </w:tr>
      <w:tr w:rsidR="005A052A" w:rsidTr="005A052A" w14:paraId="72FE43FA" w14:textId="77777777">
        <w:tc>
          <w:tcPr>
            <w:tcW w:w="7128" w:type="dxa"/>
            <w:gridSpan w:val="3"/>
            <w:tcBorders>
              <w:top w:val="single" w:color="auto" w:sz="4" w:space="0"/>
              <w:left w:val="nil"/>
              <w:bottom w:val="single" w:color="auto" w:sz="4" w:space="0"/>
              <w:right w:val="single" w:color="auto" w:sz="4" w:space="0"/>
            </w:tcBorders>
            <w:hideMark/>
          </w:tcPr>
          <w:p w:rsidR="005A052A" w:rsidRDefault="005A052A" w14:paraId="22261F71" w14:textId="77777777">
            <w:pPr>
              <w:pStyle w:val="FigureTitle"/>
              <w:spacing w:before="0" w:after="60"/>
              <w:jc w:val="right"/>
              <w:rPr>
                <w:b w:val="0"/>
                <w:color w:val="000000" w:themeColor="text1"/>
                <w:sz w:val="22"/>
                <w:szCs w:val="22"/>
              </w:rPr>
            </w:pPr>
            <w:r>
              <w:rPr>
                <w:b w:val="0"/>
                <w:color w:val="000000" w:themeColor="text1"/>
                <w:sz w:val="22"/>
                <w:szCs w:val="22"/>
              </w:rPr>
              <w:t>Total Salary Costs</w:t>
            </w:r>
          </w:p>
        </w:tc>
        <w:tc>
          <w:tcPr>
            <w:tcW w:w="1620" w:type="dxa"/>
            <w:tcBorders>
              <w:top w:val="single" w:color="auto" w:sz="4" w:space="0"/>
              <w:left w:val="single" w:color="auto" w:sz="4" w:space="0"/>
              <w:bottom w:val="single" w:color="auto" w:sz="4" w:space="0"/>
              <w:right w:val="nil"/>
            </w:tcBorders>
            <w:hideMark/>
          </w:tcPr>
          <w:p w:rsidR="005A052A" w:rsidRDefault="005A052A" w14:paraId="2B90F470" w14:textId="77777777">
            <w:pPr>
              <w:pStyle w:val="FigureTitle"/>
              <w:spacing w:before="0" w:after="60"/>
              <w:jc w:val="right"/>
              <w:rPr>
                <w:b w:val="0"/>
                <w:color w:val="000000" w:themeColor="text1"/>
                <w:sz w:val="22"/>
                <w:szCs w:val="22"/>
              </w:rPr>
            </w:pPr>
            <w:r>
              <w:rPr>
                <w:color w:val="000000" w:themeColor="text1"/>
                <w:sz w:val="22"/>
                <w:szCs w:val="22"/>
              </w:rPr>
              <w:t>$34,915</w:t>
            </w:r>
          </w:p>
        </w:tc>
      </w:tr>
      <w:tr w:rsidR="005A052A" w:rsidTr="005A052A" w14:paraId="41606D58" w14:textId="77777777">
        <w:tc>
          <w:tcPr>
            <w:tcW w:w="7128" w:type="dxa"/>
            <w:gridSpan w:val="3"/>
            <w:tcBorders>
              <w:top w:val="single" w:color="auto" w:sz="4" w:space="0"/>
              <w:left w:val="nil"/>
              <w:bottom w:val="single" w:color="auto" w:sz="4" w:space="0"/>
              <w:right w:val="single" w:color="auto" w:sz="4" w:space="0"/>
            </w:tcBorders>
            <w:hideMark/>
          </w:tcPr>
          <w:p w:rsidR="005A052A" w:rsidRDefault="005A052A" w14:paraId="1F82BF1D" w14:textId="77777777">
            <w:pPr>
              <w:pStyle w:val="FigureTitle"/>
              <w:spacing w:before="0" w:after="60"/>
              <w:jc w:val="right"/>
              <w:rPr>
                <w:b w:val="0"/>
                <w:color w:val="000000" w:themeColor="text1"/>
                <w:sz w:val="22"/>
                <w:szCs w:val="22"/>
              </w:rPr>
            </w:pPr>
            <w:r>
              <w:rPr>
                <w:b w:val="0"/>
                <w:color w:val="000000" w:themeColor="text1"/>
                <w:sz w:val="22"/>
                <w:szCs w:val="22"/>
              </w:rPr>
              <w:t>Contract Cost</w:t>
            </w:r>
          </w:p>
        </w:tc>
        <w:tc>
          <w:tcPr>
            <w:tcW w:w="1620" w:type="dxa"/>
            <w:tcBorders>
              <w:top w:val="single" w:color="auto" w:sz="4" w:space="0"/>
              <w:left w:val="single" w:color="auto" w:sz="4" w:space="0"/>
              <w:bottom w:val="single" w:color="auto" w:sz="4" w:space="0"/>
              <w:right w:val="nil"/>
            </w:tcBorders>
            <w:hideMark/>
          </w:tcPr>
          <w:p w:rsidR="005A052A" w:rsidRDefault="005A052A" w14:paraId="75EA8796" w14:textId="484952FF">
            <w:pPr>
              <w:pStyle w:val="FigureTitle"/>
              <w:spacing w:before="0" w:after="60"/>
              <w:jc w:val="right"/>
              <w:rPr>
                <w:color w:val="000000" w:themeColor="text1"/>
                <w:sz w:val="22"/>
                <w:szCs w:val="22"/>
              </w:rPr>
            </w:pPr>
            <w:r>
              <w:rPr>
                <w:color w:val="000000" w:themeColor="text1"/>
                <w:sz w:val="22"/>
                <w:szCs w:val="22"/>
              </w:rPr>
              <w:t>$284</w:t>
            </w:r>
            <w:r w:rsidR="003F6EBC">
              <w:rPr>
                <w:color w:val="000000" w:themeColor="text1"/>
                <w:sz w:val="22"/>
                <w:szCs w:val="22"/>
              </w:rPr>
              <w:t>,</w:t>
            </w:r>
            <w:r>
              <w:rPr>
                <w:color w:val="000000" w:themeColor="text1"/>
                <w:sz w:val="22"/>
                <w:szCs w:val="22"/>
              </w:rPr>
              <w:t>478</w:t>
            </w:r>
          </w:p>
        </w:tc>
      </w:tr>
      <w:tr w:rsidR="005A052A" w:rsidTr="005A052A" w14:paraId="3BE3E9F6" w14:textId="77777777">
        <w:tc>
          <w:tcPr>
            <w:tcW w:w="7128" w:type="dxa"/>
            <w:gridSpan w:val="3"/>
            <w:tcBorders>
              <w:top w:val="single" w:color="auto" w:sz="4" w:space="0"/>
              <w:left w:val="nil"/>
              <w:bottom w:val="single" w:color="auto" w:sz="12" w:space="0"/>
              <w:right w:val="single" w:color="auto" w:sz="4" w:space="0"/>
            </w:tcBorders>
            <w:hideMark/>
          </w:tcPr>
          <w:p w:rsidR="005A052A" w:rsidRDefault="005A052A" w14:paraId="2B4F9985" w14:textId="77777777">
            <w:pPr>
              <w:pStyle w:val="FigureTitle"/>
              <w:spacing w:before="0" w:after="60"/>
              <w:jc w:val="right"/>
              <w:rPr>
                <w:b w:val="0"/>
                <w:color w:val="000000" w:themeColor="text1"/>
                <w:sz w:val="22"/>
                <w:szCs w:val="22"/>
              </w:rPr>
            </w:pPr>
            <w:r>
              <w:rPr>
                <w:b w:val="0"/>
                <w:color w:val="000000" w:themeColor="text1"/>
                <w:sz w:val="22"/>
                <w:szCs w:val="22"/>
              </w:rPr>
              <w:t>Total</w:t>
            </w:r>
          </w:p>
        </w:tc>
        <w:tc>
          <w:tcPr>
            <w:tcW w:w="1620" w:type="dxa"/>
            <w:tcBorders>
              <w:top w:val="single" w:color="auto" w:sz="4" w:space="0"/>
              <w:left w:val="single" w:color="auto" w:sz="4" w:space="0"/>
              <w:bottom w:val="single" w:color="auto" w:sz="12" w:space="0"/>
              <w:right w:val="nil"/>
            </w:tcBorders>
            <w:hideMark/>
          </w:tcPr>
          <w:p w:rsidR="005A052A" w:rsidRDefault="005A052A" w14:paraId="27C140E9" w14:textId="63FCEA4E">
            <w:pPr>
              <w:pStyle w:val="FigureTitle"/>
              <w:spacing w:before="0" w:after="60"/>
              <w:jc w:val="right"/>
              <w:rPr>
                <w:color w:val="000000" w:themeColor="text1"/>
                <w:sz w:val="22"/>
                <w:szCs w:val="22"/>
              </w:rPr>
            </w:pPr>
            <w:r>
              <w:rPr>
                <w:color w:val="000000" w:themeColor="text1"/>
                <w:sz w:val="22"/>
                <w:szCs w:val="22"/>
              </w:rPr>
              <w:t>$319</w:t>
            </w:r>
            <w:r w:rsidR="00EC537B">
              <w:rPr>
                <w:color w:val="000000" w:themeColor="text1"/>
                <w:sz w:val="22"/>
                <w:szCs w:val="22"/>
              </w:rPr>
              <w:t>,</w:t>
            </w:r>
            <w:r>
              <w:rPr>
                <w:color w:val="000000" w:themeColor="text1"/>
                <w:sz w:val="22"/>
                <w:szCs w:val="22"/>
              </w:rPr>
              <w:t>393</w:t>
            </w:r>
          </w:p>
        </w:tc>
      </w:tr>
    </w:tbl>
    <w:p w:rsidRPr="00C21F70" w:rsidR="005A052A" w:rsidP="00D730BF" w:rsidRDefault="005A052A" w14:paraId="6C998242" w14:textId="77777777">
      <w:pPr>
        <w:ind w:left="720"/>
        <w:rPr>
          <w:sz w:val="22"/>
          <w:szCs w:val="22"/>
        </w:rPr>
      </w:pPr>
    </w:p>
    <w:p w:rsidRPr="00C21F70" w:rsidR="004C6979" w:rsidP="00081417" w:rsidRDefault="00EB7538" w14:paraId="00B12570" w14:textId="77777777">
      <w:pPr>
        <w:numPr>
          <w:ilvl w:val="0"/>
          <w:numId w:val="1"/>
        </w:numPr>
        <w:spacing w:before="100" w:beforeAutospacing="1" w:after="100" w:afterAutospacing="1"/>
        <w:ind w:left="360"/>
        <w:rPr>
          <w:rFonts w:eastAsiaTheme="minorEastAsia"/>
          <w:color w:val="000000" w:themeColor="text1"/>
          <w:u w:val="single"/>
        </w:rPr>
      </w:pPr>
      <w:r w:rsidRPr="00C21F70">
        <w:rPr>
          <w:rFonts w:eastAsiaTheme="minorEastAsia"/>
          <w:color w:val="000000" w:themeColor="text1"/>
          <w:u w:val="single"/>
        </w:rPr>
        <w:t>Explanation for Program Changes or Adjustments</w:t>
      </w:r>
    </w:p>
    <w:p w:rsidRPr="00FF1796" w:rsidR="009F66B5" w:rsidP="00081417" w:rsidRDefault="00404292" w14:paraId="0E302036" w14:textId="72C6D16A">
      <w:pPr>
        <w:ind w:firstLine="360"/>
        <w:contextualSpacing/>
        <w:rPr>
          <w:color w:val="000000"/>
          <w:sz w:val="22"/>
        </w:rPr>
      </w:pPr>
      <w:r w:rsidRPr="00FF1796">
        <w:rPr>
          <w:color w:val="000000"/>
          <w:sz w:val="22"/>
        </w:rPr>
        <w:t>This is a new data collection.</w:t>
      </w:r>
    </w:p>
    <w:p w:rsidRPr="00C21F70" w:rsidR="004C6979" w:rsidP="00081417" w:rsidRDefault="00EB7538" w14:paraId="67507A60" w14:textId="77777777">
      <w:pPr>
        <w:numPr>
          <w:ilvl w:val="0"/>
          <w:numId w:val="1"/>
        </w:numPr>
        <w:spacing w:before="100" w:beforeAutospacing="1" w:after="100" w:afterAutospacing="1"/>
        <w:ind w:left="360"/>
        <w:rPr>
          <w:rFonts w:eastAsiaTheme="minorEastAsia"/>
          <w:color w:val="000000" w:themeColor="text1"/>
          <w:u w:val="single"/>
        </w:rPr>
      </w:pPr>
      <w:r w:rsidRPr="00C21F70">
        <w:rPr>
          <w:rFonts w:eastAsiaTheme="minorEastAsia"/>
          <w:color w:val="000000" w:themeColor="text1"/>
          <w:u w:val="single"/>
        </w:rPr>
        <w:t>Plans for Tabulation and Publication and Project Time Schedule</w:t>
      </w:r>
    </w:p>
    <w:p w:rsidRPr="00FF1796" w:rsidR="00C5045F" w:rsidP="00081417" w:rsidRDefault="00C5045F" w14:paraId="4D13FEF4" w14:textId="77777777">
      <w:pPr>
        <w:ind w:left="360"/>
        <w:contextualSpacing/>
        <w:rPr>
          <w:color w:val="000000"/>
          <w:sz w:val="22"/>
        </w:rPr>
      </w:pPr>
      <w:r w:rsidRPr="00FF1796">
        <w:rPr>
          <w:color w:val="000000"/>
          <w:sz w:val="22"/>
        </w:rPr>
        <w:t>We will use repeated measures ANOVA and mixed effect regression to explore overall differences in the outcomes of interest across conditions. We will conduct similar exploratory sub-group analyses by participant ENDS/cigarette use status and other participant characteristics of interest. We will use between-subjects ANOVA and regression models to conduct analyses by flavor and brand sub-group (e.g., analyzing the effect of the flavor features among each flavor or brand individually). Exploratory analyses will probe for effect modification by flavor type and by brand, testing for interactions between ad condition x flavor and ad condition x brand.</w:t>
      </w:r>
    </w:p>
    <w:p w:rsidRPr="00C21F70" w:rsidR="00253346" w:rsidP="00253346" w:rsidRDefault="00253346" w14:paraId="098A63A4" w14:textId="77777777">
      <w:pPr>
        <w:rPr>
          <w:sz w:val="22"/>
          <w:szCs w:val="22"/>
        </w:rPr>
      </w:pPr>
    </w:p>
    <w:p w:rsidRPr="00FF1796" w:rsidR="00E01DA5" w:rsidP="00FF1796" w:rsidRDefault="00E01DA5" w14:paraId="11115466" w14:textId="54B29F69">
      <w:pPr>
        <w:ind w:left="360"/>
        <w:rPr>
          <w:sz w:val="22"/>
        </w:rPr>
      </w:pPr>
      <w:r w:rsidRPr="00FF1796">
        <w:rPr>
          <w:sz w:val="22"/>
        </w:rPr>
        <w:t xml:space="preserve">We expect data collection to commence </w:t>
      </w:r>
      <w:r w:rsidRPr="00FF1796" w:rsidR="004F3046">
        <w:rPr>
          <w:sz w:val="22"/>
        </w:rPr>
        <w:t xml:space="preserve">in </w:t>
      </w:r>
      <w:r w:rsidR="00646BBA">
        <w:t>June</w:t>
      </w:r>
      <w:r w:rsidR="00687A79">
        <w:t xml:space="preserve"> 2022</w:t>
      </w:r>
      <w:r w:rsidR="00646BBA">
        <w:t xml:space="preserve"> following OMB clearance</w:t>
      </w:r>
      <w:r w:rsidRPr="00FF1796" w:rsidR="004F3046">
        <w:rPr>
          <w:sz w:val="22"/>
        </w:rPr>
        <w:t>.</w:t>
      </w:r>
      <w:r w:rsidRPr="00FF1796">
        <w:rPr>
          <w:sz w:val="22"/>
        </w:rPr>
        <w:t xml:space="preserve"> </w:t>
      </w:r>
      <w:r w:rsidRPr="00FF1796" w:rsidR="004F3046">
        <w:rPr>
          <w:sz w:val="22"/>
        </w:rPr>
        <w:t xml:space="preserve">We expect data collection to be complete in </w:t>
      </w:r>
      <w:r w:rsidRPr="00FF1796" w:rsidR="00CD26D6">
        <w:rPr>
          <w:sz w:val="22"/>
        </w:rPr>
        <w:t xml:space="preserve">about one </w:t>
      </w:r>
      <w:r w:rsidRPr="00FF1796" w:rsidR="004F3046">
        <w:rPr>
          <w:sz w:val="22"/>
        </w:rPr>
        <w:t xml:space="preserve">month. Data </w:t>
      </w:r>
      <w:r w:rsidRPr="00FF1796" w:rsidR="00CD26D6">
        <w:rPr>
          <w:sz w:val="22"/>
        </w:rPr>
        <w:t xml:space="preserve">cleaning and </w:t>
      </w:r>
      <w:r w:rsidRPr="00FF1796" w:rsidR="004F3046">
        <w:rPr>
          <w:sz w:val="22"/>
        </w:rPr>
        <w:t xml:space="preserve">analysis will begin upon completion </w:t>
      </w:r>
      <w:r w:rsidRPr="00FF1796" w:rsidR="004F3046">
        <w:rPr>
          <w:sz w:val="22"/>
        </w:rPr>
        <w:lastRenderedPageBreak/>
        <w:t xml:space="preserve">of data collection, anticipated to start in </w:t>
      </w:r>
      <w:r w:rsidR="00646BBA">
        <w:t xml:space="preserve">August </w:t>
      </w:r>
      <w:r w:rsidR="00687A79">
        <w:t>2022</w:t>
      </w:r>
      <w:r w:rsidRPr="00FF1796" w:rsidR="004F3046">
        <w:rPr>
          <w:sz w:val="22"/>
        </w:rPr>
        <w:t xml:space="preserve"> and lasting </w:t>
      </w:r>
      <w:r w:rsidR="00646BBA">
        <w:t xml:space="preserve">about </w:t>
      </w:r>
      <w:r w:rsidRPr="00FF1796" w:rsidR="004F3046">
        <w:rPr>
          <w:sz w:val="22"/>
        </w:rPr>
        <w:t xml:space="preserve">6 weeks. Write up of findings and reporting to CTP </w:t>
      </w:r>
      <w:r w:rsidRPr="00FF1796" w:rsidR="00CD26D6">
        <w:rPr>
          <w:sz w:val="22"/>
        </w:rPr>
        <w:t xml:space="preserve">is anticipated to start by </w:t>
      </w:r>
      <w:r w:rsidR="00646BBA">
        <w:t>November</w:t>
      </w:r>
      <w:r w:rsidRPr="00FF1796" w:rsidR="00CD26D6">
        <w:rPr>
          <w:sz w:val="22"/>
        </w:rPr>
        <w:t xml:space="preserve"> 2022</w:t>
      </w:r>
      <w:r w:rsidRPr="00FF1796" w:rsidR="00526086">
        <w:rPr>
          <w:sz w:val="22"/>
        </w:rPr>
        <w:t>. See above for analysis plan.</w:t>
      </w:r>
    </w:p>
    <w:p w:rsidR="00253346" w:rsidP="00253346" w:rsidRDefault="00253346" w14:paraId="2EA89B3B" w14:textId="77777777">
      <w:pPr>
        <w:rPr>
          <w:rFonts w:ascii="Arial" w:hAnsi="Arial" w:cs="Arial"/>
          <w:sz w:val="22"/>
          <w:szCs w:val="22"/>
        </w:rPr>
      </w:pPr>
    </w:p>
    <w:tbl>
      <w:tblPr>
        <w:tblpPr w:leftFromText="180" w:rightFromText="180" w:vertAnchor="text" w:horzAnchor="page" w:tblpX="1724" w:tblpY="166"/>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72"/>
        <w:gridCol w:w="470"/>
        <w:gridCol w:w="470"/>
        <w:gridCol w:w="470"/>
        <w:gridCol w:w="471"/>
        <w:gridCol w:w="470"/>
        <w:gridCol w:w="470"/>
        <w:gridCol w:w="470"/>
        <w:gridCol w:w="462"/>
        <w:gridCol w:w="479"/>
        <w:gridCol w:w="470"/>
        <w:gridCol w:w="470"/>
        <w:gridCol w:w="471"/>
      </w:tblGrid>
      <w:tr w:rsidRPr="004862B3" w:rsidR="00C43298" w:rsidTr="008242B1" w14:paraId="13CEFF52" w14:textId="77777777">
        <w:trPr>
          <w:trHeight w:val="302"/>
        </w:trPr>
        <w:tc>
          <w:tcPr>
            <w:tcW w:w="3172" w:type="dxa"/>
            <w:shd w:val="clear" w:color="auto" w:fill="auto"/>
            <w:noWrap/>
            <w:vAlign w:val="bottom"/>
          </w:tcPr>
          <w:p w:rsidRPr="00C21F70" w:rsidR="00C43298" w:rsidP="006E2CBE" w:rsidRDefault="00C43298" w14:paraId="38AE74C4" w14:textId="77777777">
            <w:pPr>
              <w:rPr>
                <w:b/>
                <w:bCs/>
                <w:color w:val="000000" w:themeColor="text1"/>
                <w:sz w:val="20"/>
                <w:szCs w:val="20"/>
              </w:rPr>
            </w:pPr>
          </w:p>
        </w:tc>
        <w:tc>
          <w:tcPr>
            <w:tcW w:w="3753" w:type="dxa"/>
            <w:gridSpan w:val="8"/>
          </w:tcPr>
          <w:p w:rsidRPr="00CD26D6" w:rsidR="00C43298" w:rsidP="006E2CBE" w:rsidRDefault="00C43298" w14:paraId="44EB8531" w14:textId="639A5EC0">
            <w:pPr>
              <w:jc w:val="center"/>
              <w:rPr>
                <w:b/>
                <w:bCs/>
                <w:color w:val="000000" w:themeColor="text1"/>
                <w:sz w:val="20"/>
                <w:szCs w:val="20"/>
              </w:rPr>
            </w:pPr>
            <w:r w:rsidRPr="00CD26D6">
              <w:rPr>
                <w:b/>
                <w:bCs/>
                <w:color w:val="000000" w:themeColor="text1"/>
                <w:sz w:val="20"/>
                <w:szCs w:val="20"/>
              </w:rPr>
              <w:t>2022</w:t>
            </w:r>
          </w:p>
        </w:tc>
        <w:tc>
          <w:tcPr>
            <w:tcW w:w="1890" w:type="dxa"/>
            <w:gridSpan w:val="4"/>
          </w:tcPr>
          <w:p w:rsidRPr="00CD26D6" w:rsidR="00C43298" w:rsidP="006E2CBE" w:rsidRDefault="00C43298" w14:paraId="17C24B49" w14:textId="3431E343">
            <w:pPr>
              <w:jc w:val="center"/>
              <w:rPr>
                <w:b/>
                <w:bCs/>
                <w:color w:val="000000" w:themeColor="text1"/>
                <w:sz w:val="20"/>
                <w:szCs w:val="20"/>
              </w:rPr>
            </w:pPr>
            <w:r>
              <w:rPr>
                <w:b/>
                <w:bCs/>
                <w:color w:val="000000" w:themeColor="text1"/>
                <w:sz w:val="20"/>
                <w:szCs w:val="20"/>
              </w:rPr>
              <w:t>2023</w:t>
            </w:r>
          </w:p>
        </w:tc>
      </w:tr>
      <w:tr w:rsidRPr="004862B3" w:rsidR="001B16EB" w:rsidTr="00C43298" w14:paraId="3D8B4B1A" w14:textId="77777777">
        <w:trPr>
          <w:trHeight w:val="302"/>
        </w:trPr>
        <w:tc>
          <w:tcPr>
            <w:tcW w:w="3172" w:type="dxa"/>
            <w:shd w:val="clear" w:color="auto" w:fill="auto"/>
            <w:noWrap/>
            <w:vAlign w:val="bottom"/>
            <w:hideMark/>
          </w:tcPr>
          <w:p w:rsidRPr="00C21F70" w:rsidR="00C43298" w:rsidP="00C43298" w:rsidRDefault="00C43298" w14:paraId="0725B16D" w14:textId="77777777">
            <w:pPr>
              <w:rPr>
                <w:b/>
                <w:bCs/>
                <w:color w:val="000000" w:themeColor="text1"/>
                <w:sz w:val="20"/>
                <w:szCs w:val="20"/>
              </w:rPr>
            </w:pPr>
            <w:r w:rsidRPr="00C21F70">
              <w:rPr>
                <w:b/>
                <w:bCs/>
                <w:color w:val="000000" w:themeColor="text1"/>
                <w:sz w:val="20"/>
                <w:szCs w:val="20"/>
              </w:rPr>
              <w:t>Activity/deliverable</w:t>
            </w:r>
          </w:p>
        </w:tc>
        <w:tc>
          <w:tcPr>
            <w:tcW w:w="470" w:type="dxa"/>
          </w:tcPr>
          <w:p w:rsidRPr="00C21F70" w:rsidR="00C43298" w:rsidP="00C43298" w:rsidRDefault="00C43298" w14:paraId="4C1464C2" w14:textId="78E85050">
            <w:pPr>
              <w:jc w:val="center"/>
              <w:rPr>
                <w:color w:val="000000" w:themeColor="text1"/>
                <w:sz w:val="20"/>
                <w:szCs w:val="20"/>
              </w:rPr>
            </w:pPr>
            <w:r>
              <w:rPr>
                <w:color w:val="000000" w:themeColor="text1"/>
                <w:sz w:val="20"/>
                <w:szCs w:val="20"/>
              </w:rPr>
              <w:t>M</w:t>
            </w:r>
          </w:p>
        </w:tc>
        <w:tc>
          <w:tcPr>
            <w:tcW w:w="470" w:type="dxa"/>
          </w:tcPr>
          <w:p w:rsidRPr="00C21F70" w:rsidR="00C43298" w:rsidP="00C43298" w:rsidRDefault="00C43298" w14:paraId="456A4F3A" w14:textId="035DF824">
            <w:pPr>
              <w:jc w:val="center"/>
              <w:rPr>
                <w:color w:val="000000" w:themeColor="text1"/>
                <w:sz w:val="20"/>
                <w:szCs w:val="20"/>
              </w:rPr>
            </w:pPr>
            <w:r>
              <w:rPr>
                <w:color w:val="000000" w:themeColor="text1"/>
                <w:sz w:val="20"/>
                <w:szCs w:val="20"/>
              </w:rPr>
              <w:t>J</w:t>
            </w:r>
          </w:p>
        </w:tc>
        <w:tc>
          <w:tcPr>
            <w:tcW w:w="470" w:type="dxa"/>
          </w:tcPr>
          <w:p w:rsidRPr="00C21F70" w:rsidR="00C43298" w:rsidP="00C43298" w:rsidRDefault="00C43298" w14:paraId="1A6E3B5D" w14:textId="47051FEB">
            <w:pPr>
              <w:jc w:val="center"/>
              <w:rPr>
                <w:color w:val="000000" w:themeColor="text1"/>
                <w:sz w:val="20"/>
                <w:szCs w:val="20"/>
              </w:rPr>
            </w:pPr>
            <w:r>
              <w:rPr>
                <w:color w:val="000000" w:themeColor="text1"/>
                <w:sz w:val="20"/>
                <w:szCs w:val="20"/>
              </w:rPr>
              <w:t>J</w:t>
            </w:r>
          </w:p>
        </w:tc>
        <w:tc>
          <w:tcPr>
            <w:tcW w:w="471" w:type="dxa"/>
          </w:tcPr>
          <w:p w:rsidR="00C43298" w:rsidP="00C43298" w:rsidRDefault="00C43298" w14:paraId="11E829B7" w14:textId="2AA665F8">
            <w:pPr>
              <w:jc w:val="center"/>
              <w:rPr>
                <w:color w:val="000000" w:themeColor="text1"/>
                <w:sz w:val="20"/>
                <w:szCs w:val="20"/>
              </w:rPr>
            </w:pPr>
            <w:r>
              <w:rPr>
                <w:color w:val="000000" w:themeColor="text1"/>
                <w:sz w:val="20"/>
                <w:szCs w:val="20"/>
              </w:rPr>
              <w:t>A</w:t>
            </w:r>
          </w:p>
        </w:tc>
        <w:tc>
          <w:tcPr>
            <w:tcW w:w="470" w:type="dxa"/>
          </w:tcPr>
          <w:p w:rsidR="00C43298" w:rsidP="00C43298" w:rsidRDefault="00C43298" w14:paraId="12951D89" w14:textId="4CA2AEA3">
            <w:pPr>
              <w:jc w:val="center"/>
              <w:rPr>
                <w:color w:val="000000" w:themeColor="text1"/>
                <w:sz w:val="20"/>
                <w:szCs w:val="20"/>
              </w:rPr>
            </w:pPr>
            <w:r>
              <w:rPr>
                <w:color w:val="000000" w:themeColor="text1"/>
                <w:sz w:val="20"/>
                <w:szCs w:val="20"/>
              </w:rPr>
              <w:t>S</w:t>
            </w:r>
          </w:p>
        </w:tc>
        <w:tc>
          <w:tcPr>
            <w:tcW w:w="470" w:type="dxa"/>
          </w:tcPr>
          <w:p w:rsidR="00C43298" w:rsidP="00C43298" w:rsidRDefault="00C43298" w14:paraId="7D9AD241" w14:textId="1812915D">
            <w:pPr>
              <w:jc w:val="center"/>
              <w:rPr>
                <w:color w:val="000000" w:themeColor="text1"/>
                <w:sz w:val="20"/>
                <w:szCs w:val="20"/>
              </w:rPr>
            </w:pPr>
            <w:r>
              <w:rPr>
                <w:color w:val="000000" w:themeColor="text1"/>
                <w:sz w:val="20"/>
                <w:szCs w:val="20"/>
              </w:rPr>
              <w:t>O</w:t>
            </w:r>
          </w:p>
        </w:tc>
        <w:tc>
          <w:tcPr>
            <w:tcW w:w="470" w:type="dxa"/>
          </w:tcPr>
          <w:p w:rsidR="00C43298" w:rsidP="00C43298" w:rsidRDefault="00C43298" w14:paraId="3780FE60" w14:textId="1B5F50B7">
            <w:pPr>
              <w:jc w:val="center"/>
              <w:rPr>
                <w:color w:val="000000" w:themeColor="text1"/>
                <w:sz w:val="20"/>
                <w:szCs w:val="20"/>
              </w:rPr>
            </w:pPr>
            <w:r>
              <w:rPr>
                <w:color w:val="000000" w:themeColor="text1"/>
                <w:sz w:val="20"/>
                <w:szCs w:val="20"/>
              </w:rPr>
              <w:t>N</w:t>
            </w:r>
          </w:p>
        </w:tc>
        <w:tc>
          <w:tcPr>
            <w:tcW w:w="462" w:type="dxa"/>
          </w:tcPr>
          <w:p w:rsidR="00C43298" w:rsidP="00C43298" w:rsidRDefault="00C43298" w14:paraId="6AAB7EF7" w14:textId="32A82B3D">
            <w:pPr>
              <w:jc w:val="center"/>
              <w:rPr>
                <w:color w:val="000000" w:themeColor="text1"/>
                <w:sz w:val="20"/>
                <w:szCs w:val="20"/>
              </w:rPr>
            </w:pPr>
            <w:r>
              <w:rPr>
                <w:color w:val="000000" w:themeColor="text1"/>
                <w:sz w:val="20"/>
                <w:szCs w:val="20"/>
              </w:rPr>
              <w:t>D</w:t>
            </w:r>
          </w:p>
        </w:tc>
        <w:tc>
          <w:tcPr>
            <w:tcW w:w="479" w:type="dxa"/>
          </w:tcPr>
          <w:p w:rsidR="00C43298" w:rsidP="00C43298" w:rsidRDefault="00C43298" w14:paraId="5032BE9E" w14:textId="788F83D2">
            <w:pPr>
              <w:jc w:val="center"/>
              <w:rPr>
                <w:color w:val="000000" w:themeColor="text1"/>
                <w:sz w:val="20"/>
                <w:szCs w:val="20"/>
              </w:rPr>
            </w:pPr>
            <w:r>
              <w:rPr>
                <w:color w:val="000000" w:themeColor="text1"/>
                <w:sz w:val="20"/>
                <w:szCs w:val="20"/>
              </w:rPr>
              <w:t>J</w:t>
            </w:r>
          </w:p>
        </w:tc>
        <w:tc>
          <w:tcPr>
            <w:tcW w:w="470" w:type="dxa"/>
          </w:tcPr>
          <w:p w:rsidR="00C43298" w:rsidP="00C43298" w:rsidRDefault="00C43298" w14:paraId="45C79B06" w14:textId="34C10620">
            <w:pPr>
              <w:jc w:val="center"/>
              <w:rPr>
                <w:color w:val="000000" w:themeColor="text1"/>
                <w:sz w:val="20"/>
                <w:szCs w:val="20"/>
              </w:rPr>
            </w:pPr>
            <w:r>
              <w:rPr>
                <w:color w:val="000000" w:themeColor="text1"/>
                <w:sz w:val="20"/>
                <w:szCs w:val="20"/>
              </w:rPr>
              <w:t>F</w:t>
            </w:r>
          </w:p>
        </w:tc>
        <w:tc>
          <w:tcPr>
            <w:tcW w:w="470" w:type="dxa"/>
          </w:tcPr>
          <w:p w:rsidR="00C43298" w:rsidDel="00DD422C" w:rsidP="00C43298" w:rsidRDefault="00C43298" w14:paraId="1593170A" w14:textId="6C14D6C2">
            <w:pPr>
              <w:jc w:val="center"/>
              <w:rPr>
                <w:color w:val="000000" w:themeColor="text1"/>
                <w:sz w:val="20"/>
                <w:szCs w:val="20"/>
              </w:rPr>
            </w:pPr>
            <w:r>
              <w:rPr>
                <w:color w:val="000000" w:themeColor="text1"/>
                <w:sz w:val="20"/>
                <w:szCs w:val="20"/>
              </w:rPr>
              <w:t>M</w:t>
            </w:r>
          </w:p>
        </w:tc>
        <w:tc>
          <w:tcPr>
            <w:tcW w:w="471" w:type="dxa"/>
          </w:tcPr>
          <w:p w:rsidR="00C43298" w:rsidDel="00DD422C" w:rsidP="00C43298" w:rsidRDefault="00C43298" w14:paraId="46E796A6" w14:textId="49F343DF">
            <w:pPr>
              <w:jc w:val="center"/>
              <w:rPr>
                <w:color w:val="000000" w:themeColor="text1"/>
                <w:sz w:val="20"/>
                <w:szCs w:val="20"/>
              </w:rPr>
            </w:pPr>
            <w:r>
              <w:rPr>
                <w:color w:val="000000" w:themeColor="text1"/>
                <w:sz w:val="20"/>
                <w:szCs w:val="20"/>
              </w:rPr>
              <w:t>A</w:t>
            </w:r>
          </w:p>
        </w:tc>
      </w:tr>
      <w:tr w:rsidRPr="004862B3" w:rsidR="00C43298" w:rsidTr="00C43298" w14:paraId="1A96271A" w14:textId="77777777">
        <w:trPr>
          <w:trHeight w:val="302"/>
        </w:trPr>
        <w:tc>
          <w:tcPr>
            <w:tcW w:w="3172" w:type="dxa"/>
            <w:shd w:val="clear" w:color="auto" w:fill="auto"/>
            <w:noWrap/>
          </w:tcPr>
          <w:p w:rsidRPr="00CD26D6" w:rsidR="00C43298" w:rsidP="00C43298" w:rsidRDefault="00C43298" w14:paraId="0A9715C6" w14:textId="5440226F">
            <w:pPr>
              <w:rPr>
                <w:sz w:val="20"/>
                <w:szCs w:val="20"/>
              </w:rPr>
            </w:pPr>
            <w:r>
              <w:rPr>
                <w:sz w:val="20"/>
                <w:szCs w:val="20"/>
              </w:rPr>
              <w:t>OMB clearance</w:t>
            </w:r>
          </w:p>
        </w:tc>
        <w:tc>
          <w:tcPr>
            <w:tcW w:w="470" w:type="dxa"/>
          </w:tcPr>
          <w:p w:rsidRPr="00C21F70" w:rsidR="00C43298" w:rsidP="00C43298" w:rsidRDefault="00C43298" w14:paraId="612B0BCB" w14:textId="3F7B0A81">
            <w:pPr>
              <w:jc w:val="center"/>
              <w:rPr>
                <w:color w:val="000000" w:themeColor="text1"/>
                <w:sz w:val="20"/>
                <w:szCs w:val="20"/>
              </w:rPr>
            </w:pPr>
            <w:r>
              <w:rPr>
                <w:color w:val="000000" w:themeColor="text1"/>
                <w:sz w:val="20"/>
                <w:szCs w:val="20"/>
              </w:rPr>
              <w:t>X</w:t>
            </w:r>
          </w:p>
        </w:tc>
        <w:tc>
          <w:tcPr>
            <w:tcW w:w="470" w:type="dxa"/>
          </w:tcPr>
          <w:p w:rsidR="00C43298" w:rsidP="00C43298" w:rsidRDefault="00C43298" w14:paraId="4B7053CC" w14:textId="77777777">
            <w:pPr>
              <w:jc w:val="center"/>
              <w:rPr>
                <w:color w:val="000000" w:themeColor="text1"/>
                <w:sz w:val="20"/>
                <w:szCs w:val="20"/>
              </w:rPr>
            </w:pPr>
          </w:p>
        </w:tc>
        <w:tc>
          <w:tcPr>
            <w:tcW w:w="470" w:type="dxa"/>
          </w:tcPr>
          <w:p w:rsidR="00C43298" w:rsidP="00C43298" w:rsidRDefault="00C43298" w14:paraId="2F4B85EA" w14:textId="77777777">
            <w:pPr>
              <w:jc w:val="center"/>
              <w:rPr>
                <w:color w:val="000000" w:themeColor="text1"/>
                <w:sz w:val="20"/>
                <w:szCs w:val="20"/>
              </w:rPr>
            </w:pPr>
          </w:p>
        </w:tc>
        <w:tc>
          <w:tcPr>
            <w:tcW w:w="471" w:type="dxa"/>
          </w:tcPr>
          <w:p w:rsidRPr="00C21F70" w:rsidR="00C43298" w:rsidP="00C43298" w:rsidRDefault="00C43298" w14:paraId="7F5D1C73" w14:textId="77777777">
            <w:pPr>
              <w:jc w:val="center"/>
              <w:rPr>
                <w:color w:val="000000" w:themeColor="text1"/>
                <w:sz w:val="20"/>
                <w:szCs w:val="20"/>
              </w:rPr>
            </w:pPr>
          </w:p>
        </w:tc>
        <w:tc>
          <w:tcPr>
            <w:tcW w:w="470" w:type="dxa"/>
          </w:tcPr>
          <w:p w:rsidRPr="00C21F70" w:rsidR="00C43298" w:rsidP="00C43298" w:rsidRDefault="00C43298" w14:paraId="32195BB1" w14:textId="77777777">
            <w:pPr>
              <w:jc w:val="center"/>
              <w:rPr>
                <w:color w:val="000000" w:themeColor="text1"/>
                <w:sz w:val="20"/>
                <w:szCs w:val="20"/>
              </w:rPr>
            </w:pPr>
          </w:p>
        </w:tc>
        <w:tc>
          <w:tcPr>
            <w:tcW w:w="470" w:type="dxa"/>
          </w:tcPr>
          <w:p w:rsidRPr="00C21F70" w:rsidR="00C43298" w:rsidP="00C43298" w:rsidRDefault="00C43298" w14:paraId="11DF6F25" w14:textId="77777777">
            <w:pPr>
              <w:jc w:val="center"/>
              <w:rPr>
                <w:color w:val="000000" w:themeColor="text1"/>
                <w:sz w:val="20"/>
                <w:szCs w:val="20"/>
              </w:rPr>
            </w:pPr>
          </w:p>
        </w:tc>
        <w:tc>
          <w:tcPr>
            <w:tcW w:w="470" w:type="dxa"/>
          </w:tcPr>
          <w:p w:rsidRPr="00C21F70" w:rsidR="00C43298" w:rsidP="00C43298" w:rsidRDefault="00C43298" w14:paraId="43B789C0" w14:textId="77777777">
            <w:pPr>
              <w:jc w:val="center"/>
              <w:rPr>
                <w:color w:val="000000" w:themeColor="text1"/>
                <w:sz w:val="20"/>
                <w:szCs w:val="20"/>
              </w:rPr>
            </w:pPr>
          </w:p>
        </w:tc>
        <w:tc>
          <w:tcPr>
            <w:tcW w:w="462" w:type="dxa"/>
          </w:tcPr>
          <w:p w:rsidRPr="00C21F70" w:rsidR="00C43298" w:rsidP="00C43298" w:rsidRDefault="00C43298" w14:paraId="732C6423" w14:textId="77777777">
            <w:pPr>
              <w:jc w:val="center"/>
              <w:rPr>
                <w:color w:val="000000" w:themeColor="text1"/>
                <w:sz w:val="20"/>
                <w:szCs w:val="20"/>
              </w:rPr>
            </w:pPr>
          </w:p>
        </w:tc>
        <w:tc>
          <w:tcPr>
            <w:tcW w:w="479" w:type="dxa"/>
          </w:tcPr>
          <w:p w:rsidRPr="00C21F70" w:rsidR="00C43298" w:rsidP="00C43298" w:rsidRDefault="00C43298" w14:paraId="090A874F" w14:textId="77777777">
            <w:pPr>
              <w:jc w:val="center"/>
              <w:rPr>
                <w:color w:val="000000" w:themeColor="text1"/>
                <w:sz w:val="20"/>
                <w:szCs w:val="20"/>
              </w:rPr>
            </w:pPr>
          </w:p>
        </w:tc>
        <w:tc>
          <w:tcPr>
            <w:tcW w:w="470" w:type="dxa"/>
          </w:tcPr>
          <w:p w:rsidRPr="00C21F70" w:rsidR="00C43298" w:rsidP="00C43298" w:rsidRDefault="00C43298" w14:paraId="73F58716" w14:textId="77777777">
            <w:pPr>
              <w:jc w:val="center"/>
              <w:rPr>
                <w:color w:val="000000" w:themeColor="text1"/>
                <w:sz w:val="20"/>
                <w:szCs w:val="20"/>
              </w:rPr>
            </w:pPr>
          </w:p>
        </w:tc>
        <w:tc>
          <w:tcPr>
            <w:tcW w:w="470" w:type="dxa"/>
          </w:tcPr>
          <w:p w:rsidRPr="00C21F70" w:rsidR="00C43298" w:rsidP="00C43298" w:rsidRDefault="00C43298" w14:paraId="2D4C4956" w14:textId="77777777">
            <w:pPr>
              <w:jc w:val="center"/>
              <w:rPr>
                <w:color w:val="000000" w:themeColor="text1"/>
                <w:sz w:val="20"/>
                <w:szCs w:val="20"/>
              </w:rPr>
            </w:pPr>
          </w:p>
        </w:tc>
        <w:tc>
          <w:tcPr>
            <w:tcW w:w="471" w:type="dxa"/>
          </w:tcPr>
          <w:p w:rsidRPr="00C21F70" w:rsidR="00C43298" w:rsidP="00C43298" w:rsidRDefault="00C43298" w14:paraId="62A622E9" w14:textId="77777777">
            <w:pPr>
              <w:jc w:val="center"/>
              <w:rPr>
                <w:color w:val="000000" w:themeColor="text1"/>
                <w:sz w:val="20"/>
                <w:szCs w:val="20"/>
              </w:rPr>
            </w:pPr>
          </w:p>
        </w:tc>
      </w:tr>
      <w:tr w:rsidRPr="004862B3" w:rsidR="001B16EB" w:rsidTr="00C43298" w14:paraId="189B9816" w14:textId="77777777">
        <w:trPr>
          <w:trHeight w:val="302"/>
        </w:trPr>
        <w:tc>
          <w:tcPr>
            <w:tcW w:w="3172" w:type="dxa"/>
            <w:shd w:val="clear" w:color="auto" w:fill="auto"/>
            <w:noWrap/>
            <w:hideMark/>
          </w:tcPr>
          <w:p w:rsidRPr="00DD422C" w:rsidR="00C43298" w:rsidP="00C43298" w:rsidRDefault="00C43298" w14:paraId="23CCF465" w14:textId="77777777">
            <w:pPr>
              <w:rPr>
                <w:color w:val="000000" w:themeColor="text1"/>
                <w:sz w:val="20"/>
                <w:szCs w:val="20"/>
              </w:rPr>
            </w:pPr>
            <w:r w:rsidRPr="00CD26D6">
              <w:rPr>
                <w:sz w:val="20"/>
                <w:szCs w:val="20"/>
              </w:rPr>
              <w:t>Data collection</w:t>
            </w:r>
          </w:p>
        </w:tc>
        <w:tc>
          <w:tcPr>
            <w:tcW w:w="470" w:type="dxa"/>
          </w:tcPr>
          <w:p w:rsidRPr="00C21F70" w:rsidR="00C43298" w:rsidP="00C43298" w:rsidRDefault="00C43298" w14:paraId="08C89944" w14:textId="77777777">
            <w:pPr>
              <w:jc w:val="center"/>
              <w:rPr>
                <w:color w:val="000000" w:themeColor="text1"/>
                <w:sz w:val="20"/>
                <w:szCs w:val="20"/>
              </w:rPr>
            </w:pPr>
          </w:p>
        </w:tc>
        <w:tc>
          <w:tcPr>
            <w:tcW w:w="470" w:type="dxa"/>
          </w:tcPr>
          <w:p w:rsidRPr="00C21F70" w:rsidR="00C43298" w:rsidP="00C43298" w:rsidRDefault="00C43298" w14:paraId="12AC7FA0" w14:textId="77777777">
            <w:pPr>
              <w:jc w:val="center"/>
              <w:rPr>
                <w:color w:val="000000" w:themeColor="text1"/>
                <w:sz w:val="20"/>
                <w:szCs w:val="20"/>
              </w:rPr>
            </w:pPr>
            <w:r>
              <w:rPr>
                <w:color w:val="000000" w:themeColor="text1"/>
                <w:sz w:val="20"/>
                <w:szCs w:val="20"/>
              </w:rPr>
              <w:t>X</w:t>
            </w:r>
          </w:p>
        </w:tc>
        <w:tc>
          <w:tcPr>
            <w:tcW w:w="470" w:type="dxa"/>
          </w:tcPr>
          <w:p w:rsidRPr="00C21F70" w:rsidR="00C43298" w:rsidP="00C43298" w:rsidRDefault="00C43298" w14:paraId="7EA8E042" w14:textId="77777777">
            <w:pPr>
              <w:jc w:val="center"/>
              <w:rPr>
                <w:color w:val="000000" w:themeColor="text1"/>
                <w:sz w:val="20"/>
                <w:szCs w:val="20"/>
              </w:rPr>
            </w:pPr>
            <w:r>
              <w:rPr>
                <w:color w:val="000000" w:themeColor="text1"/>
                <w:sz w:val="20"/>
                <w:szCs w:val="20"/>
              </w:rPr>
              <w:t>X</w:t>
            </w:r>
          </w:p>
        </w:tc>
        <w:tc>
          <w:tcPr>
            <w:tcW w:w="471" w:type="dxa"/>
          </w:tcPr>
          <w:p w:rsidRPr="00C21F70" w:rsidR="00C43298" w:rsidP="00C43298" w:rsidRDefault="00C43298" w14:paraId="2FB03A97" w14:textId="77777777">
            <w:pPr>
              <w:jc w:val="center"/>
              <w:rPr>
                <w:color w:val="000000" w:themeColor="text1"/>
                <w:sz w:val="20"/>
                <w:szCs w:val="20"/>
              </w:rPr>
            </w:pPr>
          </w:p>
        </w:tc>
        <w:tc>
          <w:tcPr>
            <w:tcW w:w="470" w:type="dxa"/>
          </w:tcPr>
          <w:p w:rsidRPr="00C21F70" w:rsidR="00C43298" w:rsidP="00C43298" w:rsidRDefault="00C43298" w14:paraId="16C47B04" w14:textId="77777777">
            <w:pPr>
              <w:jc w:val="center"/>
              <w:rPr>
                <w:color w:val="000000" w:themeColor="text1"/>
                <w:sz w:val="20"/>
                <w:szCs w:val="20"/>
              </w:rPr>
            </w:pPr>
          </w:p>
        </w:tc>
        <w:tc>
          <w:tcPr>
            <w:tcW w:w="470" w:type="dxa"/>
          </w:tcPr>
          <w:p w:rsidRPr="00C21F70" w:rsidR="00C43298" w:rsidP="00C43298" w:rsidRDefault="00C43298" w14:paraId="0AAFF8DC" w14:textId="77777777">
            <w:pPr>
              <w:jc w:val="center"/>
              <w:rPr>
                <w:color w:val="000000" w:themeColor="text1"/>
                <w:sz w:val="20"/>
                <w:szCs w:val="20"/>
              </w:rPr>
            </w:pPr>
          </w:p>
        </w:tc>
        <w:tc>
          <w:tcPr>
            <w:tcW w:w="470" w:type="dxa"/>
          </w:tcPr>
          <w:p w:rsidRPr="00C21F70" w:rsidR="00C43298" w:rsidP="00C43298" w:rsidRDefault="00C43298" w14:paraId="1BEAD070" w14:textId="77777777">
            <w:pPr>
              <w:jc w:val="center"/>
              <w:rPr>
                <w:color w:val="000000" w:themeColor="text1"/>
                <w:sz w:val="20"/>
                <w:szCs w:val="20"/>
              </w:rPr>
            </w:pPr>
          </w:p>
        </w:tc>
        <w:tc>
          <w:tcPr>
            <w:tcW w:w="462" w:type="dxa"/>
          </w:tcPr>
          <w:p w:rsidRPr="00C21F70" w:rsidR="00C43298" w:rsidP="00C43298" w:rsidRDefault="00C43298" w14:paraId="1A4B1B3A" w14:textId="77777777">
            <w:pPr>
              <w:jc w:val="center"/>
              <w:rPr>
                <w:color w:val="000000" w:themeColor="text1"/>
                <w:sz w:val="20"/>
                <w:szCs w:val="20"/>
              </w:rPr>
            </w:pPr>
          </w:p>
        </w:tc>
        <w:tc>
          <w:tcPr>
            <w:tcW w:w="479" w:type="dxa"/>
          </w:tcPr>
          <w:p w:rsidRPr="00C21F70" w:rsidR="00C43298" w:rsidP="00C43298" w:rsidRDefault="00C43298" w14:paraId="4E603EEF" w14:textId="77777777">
            <w:pPr>
              <w:jc w:val="center"/>
              <w:rPr>
                <w:color w:val="000000" w:themeColor="text1"/>
                <w:sz w:val="20"/>
                <w:szCs w:val="20"/>
              </w:rPr>
            </w:pPr>
          </w:p>
        </w:tc>
        <w:tc>
          <w:tcPr>
            <w:tcW w:w="470" w:type="dxa"/>
          </w:tcPr>
          <w:p w:rsidRPr="00C21F70" w:rsidR="00C43298" w:rsidP="00C43298" w:rsidRDefault="00C43298" w14:paraId="5D5B3FDF" w14:textId="77777777">
            <w:pPr>
              <w:jc w:val="center"/>
              <w:rPr>
                <w:color w:val="000000" w:themeColor="text1"/>
                <w:sz w:val="20"/>
                <w:szCs w:val="20"/>
              </w:rPr>
            </w:pPr>
          </w:p>
        </w:tc>
        <w:tc>
          <w:tcPr>
            <w:tcW w:w="470" w:type="dxa"/>
          </w:tcPr>
          <w:p w:rsidRPr="00C21F70" w:rsidR="00C43298" w:rsidP="00C43298" w:rsidRDefault="00C43298" w14:paraId="10AE412E" w14:textId="77777777">
            <w:pPr>
              <w:jc w:val="center"/>
              <w:rPr>
                <w:color w:val="000000" w:themeColor="text1"/>
                <w:sz w:val="20"/>
                <w:szCs w:val="20"/>
              </w:rPr>
            </w:pPr>
          </w:p>
        </w:tc>
        <w:tc>
          <w:tcPr>
            <w:tcW w:w="471" w:type="dxa"/>
          </w:tcPr>
          <w:p w:rsidRPr="00C21F70" w:rsidR="00C43298" w:rsidP="00C43298" w:rsidRDefault="00C43298" w14:paraId="08073C29" w14:textId="77777777">
            <w:pPr>
              <w:jc w:val="center"/>
              <w:rPr>
                <w:color w:val="000000" w:themeColor="text1"/>
                <w:sz w:val="20"/>
                <w:szCs w:val="20"/>
              </w:rPr>
            </w:pPr>
          </w:p>
        </w:tc>
      </w:tr>
      <w:tr w:rsidRPr="004862B3" w:rsidR="001B16EB" w:rsidTr="00C43298" w14:paraId="46E2238E" w14:textId="77777777">
        <w:trPr>
          <w:trHeight w:val="302"/>
        </w:trPr>
        <w:tc>
          <w:tcPr>
            <w:tcW w:w="3172" w:type="dxa"/>
            <w:shd w:val="clear" w:color="auto" w:fill="auto"/>
            <w:noWrap/>
            <w:hideMark/>
          </w:tcPr>
          <w:p w:rsidRPr="00DD422C" w:rsidR="00C43298" w:rsidP="00C43298" w:rsidRDefault="00C43298" w14:paraId="24263765" w14:textId="77777777">
            <w:pPr>
              <w:rPr>
                <w:color w:val="000000" w:themeColor="text1"/>
                <w:sz w:val="20"/>
                <w:szCs w:val="20"/>
              </w:rPr>
            </w:pPr>
            <w:r w:rsidRPr="00CD26D6">
              <w:rPr>
                <w:sz w:val="20"/>
                <w:szCs w:val="20"/>
              </w:rPr>
              <w:t>Data cleaning</w:t>
            </w:r>
          </w:p>
        </w:tc>
        <w:tc>
          <w:tcPr>
            <w:tcW w:w="470" w:type="dxa"/>
          </w:tcPr>
          <w:p w:rsidR="00C43298" w:rsidP="00C43298" w:rsidRDefault="00C43298" w14:paraId="6927E865" w14:textId="77777777">
            <w:pPr>
              <w:jc w:val="center"/>
              <w:rPr>
                <w:color w:val="000000" w:themeColor="text1"/>
                <w:sz w:val="20"/>
                <w:szCs w:val="20"/>
              </w:rPr>
            </w:pPr>
          </w:p>
        </w:tc>
        <w:tc>
          <w:tcPr>
            <w:tcW w:w="470" w:type="dxa"/>
          </w:tcPr>
          <w:p w:rsidR="00C43298" w:rsidP="00C43298" w:rsidRDefault="00C43298" w14:paraId="3B0B4834" w14:textId="77777777">
            <w:pPr>
              <w:jc w:val="center"/>
              <w:rPr>
                <w:color w:val="000000" w:themeColor="text1"/>
                <w:sz w:val="20"/>
                <w:szCs w:val="20"/>
              </w:rPr>
            </w:pPr>
          </w:p>
        </w:tc>
        <w:tc>
          <w:tcPr>
            <w:tcW w:w="470" w:type="dxa"/>
          </w:tcPr>
          <w:p w:rsidR="00C43298" w:rsidP="00C43298" w:rsidRDefault="00C43298" w14:paraId="3ADDC0BE" w14:textId="77777777">
            <w:pPr>
              <w:jc w:val="center"/>
              <w:rPr>
                <w:color w:val="000000" w:themeColor="text1"/>
                <w:sz w:val="20"/>
                <w:szCs w:val="20"/>
              </w:rPr>
            </w:pPr>
          </w:p>
        </w:tc>
        <w:tc>
          <w:tcPr>
            <w:tcW w:w="471" w:type="dxa"/>
          </w:tcPr>
          <w:p w:rsidR="00C43298" w:rsidP="00C43298" w:rsidRDefault="00C43298" w14:paraId="6838084C" w14:textId="77777777">
            <w:pPr>
              <w:jc w:val="center"/>
              <w:rPr>
                <w:color w:val="000000" w:themeColor="text1"/>
                <w:sz w:val="20"/>
                <w:szCs w:val="20"/>
              </w:rPr>
            </w:pPr>
            <w:r>
              <w:rPr>
                <w:color w:val="000000" w:themeColor="text1"/>
                <w:sz w:val="20"/>
                <w:szCs w:val="20"/>
              </w:rPr>
              <w:t>X</w:t>
            </w:r>
          </w:p>
        </w:tc>
        <w:tc>
          <w:tcPr>
            <w:tcW w:w="470" w:type="dxa"/>
          </w:tcPr>
          <w:p w:rsidR="00C43298" w:rsidP="00C43298" w:rsidRDefault="00C43298" w14:paraId="48A32C31" w14:textId="77777777">
            <w:pPr>
              <w:jc w:val="center"/>
              <w:rPr>
                <w:color w:val="000000" w:themeColor="text1"/>
                <w:sz w:val="20"/>
                <w:szCs w:val="20"/>
              </w:rPr>
            </w:pPr>
          </w:p>
        </w:tc>
        <w:tc>
          <w:tcPr>
            <w:tcW w:w="470" w:type="dxa"/>
          </w:tcPr>
          <w:p w:rsidR="00C43298" w:rsidP="00C43298" w:rsidRDefault="00C43298" w14:paraId="36E332D0" w14:textId="77777777">
            <w:pPr>
              <w:jc w:val="center"/>
              <w:rPr>
                <w:color w:val="000000" w:themeColor="text1"/>
                <w:sz w:val="20"/>
                <w:szCs w:val="20"/>
              </w:rPr>
            </w:pPr>
          </w:p>
        </w:tc>
        <w:tc>
          <w:tcPr>
            <w:tcW w:w="470" w:type="dxa"/>
          </w:tcPr>
          <w:p w:rsidR="00C43298" w:rsidP="00C43298" w:rsidRDefault="00C43298" w14:paraId="45211554" w14:textId="77777777">
            <w:pPr>
              <w:jc w:val="center"/>
              <w:rPr>
                <w:color w:val="000000" w:themeColor="text1"/>
                <w:sz w:val="20"/>
                <w:szCs w:val="20"/>
              </w:rPr>
            </w:pPr>
          </w:p>
        </w:tc>
        <w:tc>
          <w:tcPr>
            <w:tcW w:w="462" w:type="dxa"/>
          </w:tcPr>
          <w:p w:rsidR="00C43298" w:rsidP="00C43298" w:rsidRDefault="00C43298" w14:paraId="213C0119" w14:textId="77777777">
            <w:pPr>
              <w:jc w:val="center"/>
              <w:rPr>
                <w:color w:val="000000" w:themeColor="text1"/>
                <w:sz w:val="20"/>
                <w:szCs w:val="20"/>
              </w:rPr>
            </w:pPr>
          </w:p>
        </w:tc>
        <w:tc>
          <w:tcPr>
            <w:tcW w:w="479" w:type="dxa"/>
          </w:tcPr>
          <w:p w:rsidR="00C43298" w:rsidP="00C43298" w:rsidRDefault="00C43298" w14:paraId="1602DDCC" w14:textId="77777777">
            <w:pPr>
              <w:jc w:val="center"/>
              <w:rPr>
                <w:color w:val="000000" w:themeColor="text1"/>
                <w:sz w:val="20"/>
                <w:szCs w:val="20"/>
              </w:rPr>
            </w:pPr>
          </w:p>
        </w:tc>
        <w:tc>
          <w:tcPr>
            <w:tcW w:w="470" w:type="dxa"/>
          </w:tcPr>
          <w:p w:rsidR="00C43298" w:rsidP="00C43298" w:rsidRDefault="00C43298" w14:paraId="07039A0E" w14:textId="77777777">
            <w:pPr>
              <w:jc w:val="center"/>
              <w:rPr>
                <w:color w:val="000000" w:themeColor="text1"/>
                <w:sz w:val="20"/>
                <w:szCs w:val="20"/>
              </w:rPr>
            </w:pPr>
          </w:p>
        </w:tc>
        <w:tc>
          <w:tcPr>
            <w:tcW w:w="470" w:type="dxa"/>
          </w:tcPr>
          <w:p w:rsidR="00C43298" w:rsidDel="00DD422C" w:rsidP="00C43298" w:rsidRDefault="00C43298" w14:paraId="3039AE61" w14:textId="77777777">
            <w:pPr>
              <w:jc w:val="center"/>
              <w:rPr>
                <w:color w:val="000000" w:themeColor="text1"/>
                <w:sz w:val="20"/>
                <w:szCs w:val="20"/>
              </w:rPr>
            </w:pPr>
          </w:p>
        </w:tc>
        <w:tc>
          <w:tcPr>
            <w:tcW w:w="471" w:type="dxa"/>
          </w:tcPr>
          <w:p w:rsidR="00C43298" w:rsidDel="00DD422C" w:rsidP="00C43298" w:rsidRDefault="00C43298" w14:paraId="2FE387EC" w14:textId="77777777">
            <w:pPr>
              <w:jc w:val="center"/>
              <w:rPr>
                <w:color w:val="000000" w:themeColor="text1"/>
                <w:sz w:val="20"/>
                <w:szCs w:val="20"/>
              </w:rPr>
            </w:pPr>
          </w:p>
        </w:tc>
      </w:tr>
      <w:tr w:rsidRPr="004862B3" w:rsidR="001B16EB" w:rsidTr="00C43298" w14:paraId="51B1A985" w14:textId="77777777">
        <w:trPr>
          <w:trHeight w:val="302"/>
        </w:trPr>
        <w:tc>
          <w:tcPr>
            <w:tcW w:w="3172" w:type="dxa"/>
            <w:shd w:val="clear" w:color="auto" w:fill="auto"/>
            <w:noWrap/>
            <w:hideMark/>
          </w:tcPr>
          <w:p w:rsidRPr="00DD422C" w:rsidR="00C43298" w:rsidP="00C43298" w:rsidRDefault="00C43298" w14:paraId="6C7AC89D" w14:textId="77777777">
            <w:pPr>
              <w:rPr>
                <w:color w:val="000000" w:themeColor="text1"/>
                <w:sz w:val="20"/>
                <w:szCs w:val="20"/>
              </w:rPr>
            </w:pPr>
            <w:r w:rsidRPr="00CD26D6">
              <w:rPr>
                <w:sz w:val="20"/>
                <w:szCs w:val="20"/>
              </w:rPr>
              <w:t>Data analysis</w:t>
            </w:r>
          </w:p>
        </w:tc>
        <w:tc>
          <w:tcPr>
            <w:tcW w:w="470" w:type="dxa"/>
          </w:tcPr>
          <w:p w:rsidRPr="00C21F70" w:rsidR="00C43298" w:rsidP="00C43298" w:rsidRDefault="00C43298" w14:paraId="3D6F1A8F" w14:textId="77777777">
            <w:pPr>
              <w:jc w:val="center"/>
              <w:rPr>
                <w:color w:val="000000" w:themeColor="text1"/>
                <w:sz w:val="20"/>
                <w:szCs w:val="20"/>
              </w:rPr>
            </w:pPr>
          </w:p>
        </w:tc>
        <w:tc>
          <w:tcPr>
            <w:tcW w:w="470" w:type="dxa"/>
          </w:tcPr>
          <w:p w:rsidRPr="00C21F70" w:rsidR="00C43298" w:rsidP="00C43298" w:rsidRDefault="00C43298" w14:paraId="6A5AAC99" w14:textId="77777777">
            <w:pPr>
              <w:jc w:val="center"/>
              <w:rPr>
                <w:color w:val="000000" w:themeColor="text1"/>
                <w:sz w:val="20"/>
                <w:szCs w:val="20"/>
              </w:rPr>
            </w:pPr>
          </w:p>
        </w:tc>
        <w:tc>
          <w:tcPr>
            <w:tcW w:w="470" w:type="dxa"/>
          </w:tcPr>
          <w:p w:rsidRPr="00C21F70" w:rsidR="00C43298" w:rsidP="00C43298" w:rsidRDefault="00C43298" w14:paraId="339C62D1" w14:textId="77777777">
            <w:pPr>
              <w:jc w:val="center"/>
              <w:rPr>
                <w:color w:val="000000" w:themeColor="text1"/>
                <w:sz w:val="20"/>
                <w:szCs w:val="20"/>
              </w:rPr>
            </w:pPr>
          </w:p>
        </w:tc>
        <w:tc>
          <w:tcPr>
            <w:tcW w:w="471" w:type="dxa"/>
          </w:tcPr>
          <w:p w:rsidR="00C43298" w:rsidP="00C43298" w:rsidRDefault="00C43298" w14:paraId="1187C1B9" w14:textId="77777777">
            <w:pPr>
              <w:jc w:val="center"/>
              <w:rPr>
                <w:color w:val="000000" w:themeColor="text1"/>
                <w:sz w:val="20"/>
                <w:szCs w:val="20"/>
              </w:rPr>
            </w:pPr>
          </w:p>
        </w:tc>
        <w:tc>
          <w:tcPr>
            <w:tcW w:w="470" w:type="dxa"/>
          </w:tcPr>
          <w:p w:rsidR="00C43298" w:rsidP="00C43298" w:rsidRDefault="00C43298" w14:paraId="201F88DC" w14:textId="77777777">
            <w:pPr>
              <w:jc w:val="center"/>
              <w:rPr>
                <w:color w:val="000000" w:themeColor="text1"/>
                <w:sz w:val="20"/>
                <w:szCs w:val="20"/>
              </w:rPr>
            </w:pPr>
            <w:r>
              <w:rPr>
                <w:color w:val="000000" w:themeColor="text1"/>
                <w:sz w:val="20"/>
                <w:szCs w:val="20"/>
              </w:rPr>
              <w:t>X</w:t>
            </w:r>
          </w:p>
        </w:tc>
        <w:tc>
          <w:tcPr>
            <w:tcW w:w="470" w:type="dxa"/>
          </w:tcPr>
          <w:p w:rsidR="00C43298" w:rsidP="00C43298" w:rsidRDefault="00C43298" w14:paraId="74D231AA" w14:textId="77777777">
            <w:pPr>
              <w:jc w:val="center"/>
              <w:rPr>
                <w:color w:val="000000" w:themeColor="text1"/>
                <w:sz w:val="20"/>
                <w:szCs w:val="20"/>
              </w:rPr>
            </w:pPr>
            <w:r>
              <w:rPr>
                <w:color w:val="000000" w:themeColor="text1"/>
                <w:sz w:val="20"/>
                <w:szCs w:val="20"/>
              </w:rPr>
              <w:t>X</w:t>
            </w:r>
          </w:p>
        </w:tc>
        <w:tc>
          <w:tcPr>
            <w:tcW w:w="470" w:type="dxa"/>
          </w:tcPr>
          <w:p w:rsidR="00C43298" w:rsidP="00C43298" w:rsidRDefault="00C43298" w14:paraId="3EC84D7B" w14:textId="77777777">
            <w:pPr>
              <w:jc w:val="center"/>
              <w:rPr>
                <w:color w:val="000000" w:themeColor="text1"/>
                <w:sz w:val="20"/>
                <w:szCs w:val="20"/>
              </w:rPr>
            </w:pPr>
          </w:p>
        </w:tc>
        <w:tc>
          <w:tcPr>
            <w:tcW w:w="462" w:type="dxa"/>
          </w:tcPr>
          <w:p w:rsidR="00C43298" w:rsidP="00C43298" w:rsidRDefault="00C43298" w14:paraId="255131F1" w14:textId="77777777">
            <w:pPr>
              <w:jc w:val="center"/>
              <w:rPr>
                <w:color w:val="000000" w:themeColor="text1"/>
                <w:sz w:val="20"/>
                <w:szCs w:val="20"/>
              </w:rPr>
            </w:pPr>
          </w:p>
        </w:tc>
        <w:tc>
          <w:tcPr>
            <w:tcW w:w="479" w:type="dxa"/>
          </w:tcPr>
          <w:p w:rsidR="00C43298" w:rsidP="00C43298" w:rsidRDefault="00C43298" w14:paraId="36F59E41" w14:textId="77777777">
            <w:pPr>
              <w:jc w:val="center"/>
              <w:rPr>
                <w:color w:val="000000" w:themeColor="text1"/>
                <w:sz w:val="20"/>
                <w:szCs w:val="20"/>
              </w:rPr>
            </w:pPr>
          </w:p>
        </w:tc>
        <w:tc>
          <w:tcPr>
            <w:tcW w:w="470" w:type="dxa"/>
          </w:tcPr>
          <w:p w:rsidR="00C43298" w:rsidP="00C43298" w:rsidRDefault="00C43298" w14:paraId="07C4E3D5" w14:textId="77777777">
            <w:pPr>
              <w:jc w:val="center"/>
              <w:rPr>
                <w:color w:val="000000" w:themeColor="text1"/>
                <w:sz w:val="20"/>
                <w:szCs w:val="20"/>
              </w:rPr>
            </w:pPr>
          </w:p>
        </w:tc>
        <w:tc>
          <w:tcPr>
            <w:tcW w:w="470" w:type="dxa"/>
          </w:tcPr>
          <w:p w:rsidR="00C43298" w:rsidDel="00DD422C" w:rsidP="00C43298" w:rsidRDefault="00C43298" w14:paraId="2765090B" w14:textId="77777777">
            <w:pPr>
              <w:jc w:val="center"/>
              <w:rPr>
                <w:color w:val="000000" w:themeColor="text1"/>
                <w:sz w:val="20"/>
                <w:szCs w:val="20"/>
              </w:rPr>
            </w:pPr>
          </w:p>
        </w:tc>
        <w:tc>
          <w:tcPr>
            <w:tcW w:w="471" w:type="dxa"/>
          </w:tcPr>
          <w:p w:rsidR="00C43298" w:rsidDel="00DD422C" w:rsidP="00C43298" w:rsidRDefault="00C43298" w14:paraId="6A18BA58" w14:textId="77777777">
            <w:pPr>
              <w:jc w:val="center"/>
              <w:rPr>
                <w:color w:val="000000" w:themeColor="text1"/>
                <w:sz w:val="20"/>
                <w:szCs w:val="20"/>
              </w:rPr>
            </w:pPr>
          </w:p>
        </w:tc>
      </w:tr>
      <w:tr w:rsidRPr="004862B3" w:rsidR="001B16EB" w:rsidTr="00C43298" w14:paraId="3CE5F04A" w14:textId="77777777">
        <w:trPr>
          <w:trHeight w:val="302"/>
        </w:trPr>
        <w:tc>
          <w:tcPr>
            <w:tcW w:w="3172" w:type="dxa"/>
            <w:shd w:val="clear" w:color="auto" w:fill="auto"/>
            <w:noWrap/>
            <w:hideMark/>
          </w:tcPr>
          <w:p w:rsidRPr="00DD422C" w:rsidR="00C43298" w:rsidP="00C43298" w:rsidRDefault="00C43298" w14:paraId="27C12E35" w14:textId="77777777">
            <w:pPr>
              <w:rPr>
                <w:color w:val="000000" w:themeColor="text1"/>
                <w:sz w:val="20"/>
                <w:szCs w:val="20"/>
              </w:rPr>
            </w:pPr>
            <w:r w:rsidRPr="00CD26D6">
              <w:rPr>
                <w:sz w:val="20"/>
                <w:szCs w:val="20"/>
              </w:rPr>
              <w:t>Manuscript write-up</w:t>
            </w:r>
          </w:p>
        </w:tc>
        <w:tc>
          <w:tcPr>
            <w:tcW w:w="470" w:type="dxa"/>
          </w:tcPr>
          <w:p w:rsidRPr="00C21F70" w:rsidR="00C43298" w:rsidP="00C43298" w:rsidRDefault="00C43298" w14:paraId="39166765" w14:textId="77777777">
            <w:pPr>
              <w:jc w:val="center"/>
              <w:rPr>
                <w:color w:val="000000" w:themeColor="text1"/>
                <w:sz w:val="20"/>
                <w:szCs w:val="20"/>
              </w:rPr>
            </w:pPr>
          </w:p>
        </w:tc>
        <w:tc>
          <w:tcPr>
            <w:tcW w:w="470" w:type="dxa"/>
          </w:tcPr>
          <w:p w:rsidRPr="00C21F70" w:rsidR="00C43298" w:rsidP="00C43298" w:rsidRDefault="00C43298" w14:paraId="2B8953C0" w14:textId="77777777">
            <w:pPr>
              <w:jc w:val="center"/>
              <w:rPr>
                <w:color w:val="000000" w:themeColor="text1"/>
                <w:sz w:val="20"/>
                <w:szCs w:val="20"/>
              </w:rPr>
            </w:pPr>
          </w:p>
        </w:tc>
        <w:tc>
          <w:tcPr>
            <w:tcW w:w="470" w:type="dxa"/>
          </w:tcPr>
          <w:p w:rsidRPr="00C21F70" w:rsidR="00C43298" w:rsidP="00C43298" w:rsidRDefault="00C43298" w14:paraId="4E5EC038" w14:textId="77777777">
            <w:pPr>
              <w:jc w:val="center"/>
              <w:rPr>
                <w:color w:val="000000" w:themeColor="text1"/>
                <w:sz w:val="20"/>
                <w:szCs w:val="20"/>
              </w:rPr>
            </w:pPr>
          </w:p>
        </w:tc>
        <w:tc>
          <w:tcPr>
            <w:tcW w:w="471" w:type="dxa"/>
          </w:tcPr>
          <w:p w:rsidR="00C43298" w:rsidP="00C43298" w:rsidRDefault="00C43298" w14:paraId="24010B86" w14:textId="77777777">
            <w:pPr>
              <w:jc w:val="center"/>
              <w:rPr>
                <w:color w:val="000000" w:themeColor="text1"/>
                <w:sz w:val="20"/>
                <w:szCs w:val="20"/>
              </w:rPr>
            </w:pPr>
          </w:p>
        </w:tc>
        <w:tc>
          <w:tcPr>
            <w:tcW w:w="470" w:type="dxa"/>
          </w:tcPr>
          <w:p w:rsidR="00C43298" w:rsidP="00C43298" w:rsidRDefault="00C43298" w14:paraId="5723CBBA" w14:textId="77777777">
            <w:pPr>
              <w:jc w:val="center"/>
              <w:rPr>
                <w:color w:val="000000" w:themeColor="text1"/>
                <w:sz w:val="20"/>
                <w:szCs w:val="20"/>
              </w:rPr>
            </w:pPr>
          </w:p>
        </w:tc>
        <w:tc>
          <w:tcPr>
            <w:tcW w:w="470" w:type="dxa"/>
          </w:tcPr>
          <w:p w:rsidR="00C43298" w:rsidP="00C43298" w:rsidRDefault="00C43298" w14:paraId="134B7351" w14:textId="77777777">
            <w:pPr>
              <w:jc w:val="center"/>
              <w:rPr>
                <w:color w:val="000000" w:themeColor="text1"/>
                <w:sz w:val="20"/>
                <w:szCs w:val="20"/>
              </w:rPr>
            </w:pPr>
          </w:p>
        </w:tc>
        <w:tc>
          <w:tcPr>
            <w:tcW w:w="470" w:type="dxa"/>
          </w:tcPr>
          <w:p w:rsidR="00C43298" w:rsidP="00C43298" w:rsidRDefault="00C43298" w14:paraId="5093AE9C" w14:textId="77777777">
            <w:pPr>
              <w:jc w:val="center"/>
              <w:rPr>
                <w:color w:val="000000" w:themeColor="text1"/>
                <w:sz w:val="20"/>
                <w:szCs w:val="20"/>
              </w:rPr>
            </w:pPr>
            <w:r>
              <w:rPr>
                <w:color w:val="000000" w:themeColor="text1"/>
                <w:sz w:val="20"/>
                <w:szCs w:val="20"/>
              </w:rPr>
              <w:t>X</w:t>
            </w:r>
          </w:p>
        </w:tc>
        <w:tc>
          <w:tcPr>
            <w:tcW w:w="462" w:type="dxa"/>
          </w:tcPr>
          <w:p w:rsidR="00C43298" w:rsidP="00C43298" w:rsidRDefault="00C43298" w14:paraId="4C9E7BC0" w14:textId="77777777">
            <w:pPr>
              <w:jc w:val="center"/>
              <w:rPr>
                <w:color w:val="000000" w:themeColor="text1"/>
                <w:sz w:val="20"/>
                <w:szCs w:val="20"/>
              </w:rPr>
            </w:pPr>
            <w:r>
              <w:rPr>
                <w:color w:val="000000" w:themeColor="text1"/>
                <w:sz w:val="20"/>
                <w:szCs w:val="20"/>
              </w:rPr>
              <w:t>X</w:t>
            </w:r>
          </w:p>
        </w:tc>
        <w:tc>
          <w:tcPr>
            <w:tcW w:w="479" w:type="dxa"/>
          </w:tcPr>
          <w:p w:rsidR="00C43298" w:rsidP="00C43298" w:rsidRDefault="00C43298" w14:paraId="76FE4FDC" w14:textId="77777777">
            <w:pPr>
              <w:jc w:val="center"/>
              <w:rPr>
                <w:color w:val="000000" w:themeColor="text1"/>
                <w:sz w:val="20"/>
                <w:szCs w:val="20"/>
              </w:rPr>
            </w:pPr>
            <w:r>
              <w:rPr>
                <w:color w:val="000000" w:themeColor="text1"/>
                <w:sz w:val="20"/>
                <w:szCs w:val="20"/>
              </w:rPr>
              <w:t>X</w:t>
            </w:r>
          </w:p>
        </w:tc>
        <w:tc>
          <w:tcPr>
            <w:tcW w:w="470" w:type="dxa"/>
          </w:tcPr>
          <w:p w:rsidR="00C43298" w:rsidP="00C43298" w:rsidRDefault="00C43298" w14:paraId="154AA655" w14:textId="77777777">
            <w:pPr>
              <w:jc w:val="center"/>
              <w:rPr>
                <w:color w:val="000000" w:themeColor="text1"/>
                <w:sz w:val="20"/>
                <w:szCs w:val="20"/>
              </w:rPr>
            </w:pPr>
          </w:p>
        </w:tc>
        <w:tc>
          <w:tcPr>
            <w:tcW w:w="470" w:type="dxa"/>
          </w:tcPr>
          <w:p w:rsidR="00C43298" w:rsidP="00C43298" w:rsidRDefault="00C43298" w14:paraId="6BDBC4A5" w14:textId="77777777">
            <w:pPr>
              <w:jc w:val="center"/>
              <w:rPr>
                <w:color w:val="000000" w:themeColor="text1"/>
                <w:sz w:val="20"/>
                <w:szCs w:val="20"/>
              </w:rPr>
            </w:pPr>
          </w:p>
        </w:tc>
        <w:tc>
          <w:tcPr>
            <w:tcW w:w="471" w:type="dxa"/>
          </w:tcPr>
          <w:p w:rsidR="00C43298" w:rsidP="00C43298" w:rsidRDefault="00C43298" w14:paraId="6913EFDD" w14:textId="77777777">
            <w:pPr>
              <w:jc w:val="center"/>
              <w:rPr>
                <w:color w:val="000000" w:themeColor="text1"/>
                <w:sz w:val="20"/>
                <w:szCs w:val="20"/>
              </w:rPr>
            </w:pPr>
          </w:p>
        </w:tc>
      </w:tr>
      <w:tr w:rsidRPr="004862B3" w:rsidR="001B16EB" w:rsidTr="00C43298" w14:paraId="71D72EE4" w14:textId="77777777">
        <w:trPr>
          <w:trHeight w:val="302"/>
        </w:trPr>
        <w:tc>
          <w:tcPr>
            <w:tcW w:w="3172" w:type="dxa"/>
            <w:shd w:val="clear" w:color="auto" w:fill="auto"/>
            <w:noWrap/>
          </w:tcPr>
          <w:p w:rsidRPr="00CD26D6" w:rsidR="00C43298" w:rsidP="00C43298" w:rsidRDefault="00C43298" w14:paraId="5C401C26" w14:textId="77777777">
            <w:pPr>
              <w:rPr>
                <w:color w:val="000000" w:themeColor="text1"/>
                <w:sz w:val="20"/>
                <w:szCs w:val="20"/>
              </w:rPr>
            </w:pPr>
            <w:r w:rsidRPr="00CD26D6">
              <w:rPr>
                <w:sz w:val="20"/>
                <w:szCs w:val="20"/>
              </w:rPr>
              <w:t>FDA manuscript clearance</w:t>
            </w:r>
          </w:p>
        </w:tc>
        <w:tc>
          <w:tcPr>
            <w:tcW w:w="470" w:type="dxa"/>
          </w:tcPr>
          <w:p w:rsidRPr="00C21F70" w:rsidR="00C43298" w:rsidP="00C43298" w:rsidRDefault="00C43298" w14:paraId="2284D2C5" w14:textId="77777777">
            <w:pPr>
              <w:jc w:val="center"/>
              <w:rPr>
                <w:color w:val="000000" w:themeColor="text1"/>
                <w:sz w:val="20"/>
                <w:szCs w:val="20"/>
              </w:rPr>
            </w:pPr>
          </w:p>
        </w:tc>
        <w:tc>
          <w:tcPr>
            <w:tcW w:w="470" w:type="dxa"/>
          </w:tcPr>
          <w:p w:rsidRPr="00C21F70" w:rsidR="00C43298" w:rsidP="00C43298" w:rsidRDefault="00C43298" w14:paraId="5C9697CC" w14:textId="77777777">
            <w:pPr>
              <w:jc w:val="center"/>
              <w:rPr>
                <w:color w:val="000000" w:themeColor="text1"/>
                <w:sz w:val="20"/>
                <w:szCs w:val="20"/>
              </w:rPr>
            </w:pPr>
          </w:p>
        </w:tc>
        <w:tc>
          <w:tcPr>
            <w:tcW w:w="470" w:type="dxa"/>
          </w:tcPr>
          <w:p w:rsidRPr="00C21F70" w:rsidR="00C43298" w:rsidP="00C43298" w:rsidRDefault="00C43298" w14:paraId="184A4AD9" w14:textId="77777777">
            <w:pPr>
              <w:jc w:val="center"/>
              <w:rPr>
                <w:color w:val="000000" w:themeColor="text1"/>
                <w:sz w:val="20"/>
                <w:szCs w:val="20"/>
              </w:rPr>
            </w:pPr>
          </w:p>
        </w:tc>
        <w:tc>
          <w:tcPr>
            <w:tcW w:w="471" w:type="dxa"/>
          </w:tcPr>
          <w:p w:rsidR="00C43298" w:rsidP="00C43298" w:rsidRDefault="00C43298" w14:paraId="75262339" w14:textId="77777777">
            <w:pPr>
              <w:jc w:val="center"/>
              <w:rPr>
                <w:color w:val="000000" w:themeColor="text1"/>
                <w:sz w:val="20"/>
                <w:szCs w:val="20"/>
              </w:rPr>
            </w:pPr>
          </w:p>
        </w:tc>
        <w:tc>
          <w:tcPr>
            <w:tcW w:w="470" w:type="dxa"/>
          </w:tcPr>
          <w:p w:rsidR="00C43298" w:rsidP="00C43298" w:rsidRDefault="00C43298" w14:paraId="53222AFB" w14:textId="77777777">
            <w:pPr>
              <w:jc w:val="center"/>
              <w:rPr>
                <w:color w:val="000000" w:themeColor="text1"/>
                <w:sz w:val="20"/>
                <w:szCs w:val="20"/>
              </w:rPr>
            </w:pPr>
          </w:p>
        </w:tc>
        <w:tc>
          <w:tcPr>
            <w:tcW w:w="470" w:type="dxa"/>
          </w:tcPr>
          <w:p w:rsidR="00C43298" w:rsidP="00C43298" w:rsidRDefault="00C43298" w14:paraId="60D7C0F7" w14:textId="77777777">
            <w:pPr>
              <w:jc w:val="center"/>
              <w:rPr>
                <w:color w:val="000000" w:themeColor="text1"/>
                <w:sz w:val="20"/>
                <w:szCs w:val="20"/>
              </w:rPr>
            </w:pPr>
          </w:p>
        </w:tc>
        <w:tc>
          <w:tcPr>
            <w:tcW w:w="470" w:type="dxa"/>
          </w:tcPr>
          <w:p w:rsidR="00C43298" w:rsidP="00C43298" w:rsidRDefault="00C43298" w14:paraId="50129F24" w14:textId="77777777">
            <w:pPr>
              <w:jc w:val="center"/>
              <w:rPr>
                <w:color w:val="000000" w:themeColor="text1"/>
                <w:sz w:val="20"/>
                <w:szCs w:val="20"/>
              </w:rPr>
            </w:pPr>
          </w:p>
        </w:tc>
        <w:tc>
          <w:tcPr>
            <w:tcW w:w="462" w:type="dxa"/>
          </w:tcPr>
          <w:p w:rsidR="00C43298" w:rsidP="00C43298" w:rsidRDefault="00C43298" w14:paraId="757018FE" w14:textId="77777777">
            <w:pPr>
              <w:jc w:val="center"/>
              <w:rPr>
                <w:color w:val="000000" w:themeColor="text1"/>
                <w:sz w:val="20"/>
                <w:szCs w:val="20"/>
              </w:rPr>
            </w:pPr>
          </w:p>
        </w:tc>
        <w:tc>
          <w:tcPr>
            <w:tcW w:w="479" w:type="dxa"/>
          </w:tcPr>
          <w:p w:rsidR="00C43298" w:rsidP="00C43298" w:rsidRDefault="00C43298" w14:paraId="687BBE35" w14:textId="77777777">
            <w:pPr>
              <w:jc w:val="center"/>
              <w:rPr>
                <w:color w:val="000000" w:themeColor="text1"/>
                <w:sz w:val="20"/>
                <w:szCs w:val="20"/>
              </w:rPr>
            </w:pPr>
          </w:p>
        </w:tc>
        <w:tc>
          <w:tcPr>
            <w:tcW w:w="470" w:type="dxa"/>
          </w:tcPr>
          <w:p w:rsidR="00C43298" w:rsidP="00C43298" w:rsidRDefault="00C43298" w14:paraId="6E3CF3DB" w14:textId="77777777">
            <w:pPr>
              <w:jc w:val="center"/>
              <w:rPr>
                <w:color w:val="000000" w:themeColor="text1"/>
                <w:sz w:val="20"/>
                <w:szCs w:val="20"/>
              </w:rPr>
            </w:pPr>
            <w:r>
              <w:rPr>
                <w:color w:val="000000" w:themeColor="text1"/>
                <w:sz w:val="20"/>
                <w:szCs w:val="20"/>
              </w:rPr>
              <w:t>X</w:t>
            </w:r>
          </w:p>
        </w:tc>
        <w:tc>
          <w:tcPr>
            <w:tcW w:w="470" w:type="dxa"/>
          </w:tcPr>
          <w:p w:rsidR="00C43298" w:rsidP="00C43298" w:rsidRDefault="00C43298" w14:paraId="33641B62" w14:textId="77777777">
            <w:pPr>
              <w:jc w:val="center"/>
              <w:rPr>
                <w:color w:val="000000" w:themeColor="text1"/>
                <w:sz w:val="20"/>
                <w:szCs w:val="20"/>
              </w:rPr>
            </w:pPr>
            <w:r>
              <w:rPr>
                <w:color w:val="000000" w:themeColor="text1"/>
                <w:sz w:val="20"/>
                <w:szCs w:val="20"/>
              </w:rPr>
              <w:t>X</w:t>
            </w:r>
          </w:p>
        </w:tc>
        <w:tc>
          <w:tcPr>
            <w:tcW w:w="471" w:type="dxa"/>
          </w:tcPr>
          <w:p w:rsidR="00C43298" w:rsidP="00C43298" w:rsidRDefault="00C43298" w14:paraId="227B5E23" w14:textId="77777777">
            <w:pPr>
              <w:jc w:val="center"/>
              <w:rPr>
                <w:color w:val="000000" w:themeColor="text1"/>
                <w:sz w:val="20"/>
                <w:szCs w:val="20"/>
              </w:rPr>
            </w:pPr>
          </w:p>
        </w:tc>
      </w:tr>
      <w:tr w:rsidRPr="004862B3" w:rsidR="001B16EB" w:rsidTr="00C43298" w14:paraId="4C5A0B32" w14:textId="77777777">
        <w:trPr>
          <w:trHeight w:val="302"/>
        </w:trPr>
        <w:tc>
          <w:tcPr>
            <w:tcW w:w="3172" w:type="dxa"/>
            <w:shd w:val="clear" w:color="auto" w:fill="auto"/>
            <w:noWrap/>
          </w:tcPr>
          <w:p w:rsidRPr="00CD26D6" w:rsidR="00C43298" w:rsidP="00C43298" w:rsidRDefault="00C43298" w14:paraId="672EDA49" w14:textId="77777777">
            <w:pPr>
              <w:rPr>
                <w:color w:val="000000" w:themeColor="text1"/>
                <w:sz w:val="20"/>
                <w:szCs w:val="20"/>
              </w:rPr>
            </w:pPr>
            <w:r w:rsidRPr="00CD26D6">
              <w:rPr>
                <w:sz w:val="20"/>
                <w:szCs w:val="20"/>
              </w:rPr>
              <w:t>Manuscript submission</w:t>
            </w:r>
          </w:p>
        </w:tc>
        <w:tc>
          <w:tcPr>
            <w:tcW w:w="470" w:type="dxa"/>
          </w:tcPr>
          <w:p w:rsidRPr="00C21F70" w:rsidR="00C43298" w:rsidP="00C43298" w:rsidRDefault="00C43298" w14:paraId="0B790D4C" w14:textId="77777777">
            <w:pPr>
              <w:jc w:val="center"/>
              <w:rPr>
                <w:color w:val="000000" w:themeColor="text1"/>
                <w:sz w:val="20"/>
                <w:szCs w:val="20"/>
              </w:rPr>
            </w:pPr>
          </w:p>
        </w:tc>
        <w:tc>
          <w:tcPr>
            <w:tcW w:w="470" w:type="dxa"/>
          </w:tcPr>
          <w:p w:rsidRPr="00C21F70" w:rsidR="00C43298" w:rsidP="00C43298" w:rsidRDefault="00C43298" w14:paraId="3DFFC9DE" w14:textId="77777777">
            <w:pPr>
              <w:jc w:val="center"/>
              <w:rPr>
                <w:color w:val="000000" w:themeColor="text1"/>
                <w:sz w:val="20"/>
                <w:szCs w:val="20"/>
              </w:rPr>
            </w:pPr>
          </w:p>
        </w:tc>
        <w:tc>
          <w:tcPr>
            <w:tcW w:w="470" w:type="dxa"/>
          </w:tcPr>
          <w:p w:rsidRPr="00C21F70" w:rsidR="00C43298" w:rsidP="00C43298" w:rsidRDefault="00C43298" w14:paraId="18F01867" w14:textId="77777777">
            <w:pPr>
              <w:jc w:val="center"/>
              <w:rPr>
                <w:color w:val="000000" w:themeColor="text1"/>
                <w:sz w:val="20"/>
                <w:szCs w:val="20"/>
              </w:rPr>
            </w:pPr>
          </w:p>
        </w:tc>
        <w:tc>
          <w:tcPr>
            <w:tcW w:w="471" w:type="dxa"/>
          </w:tcPr>
          <w:p w:rsidR="00C43298" w:rsidP="00C43298" w:rsidRDefault="00C43298" w14:paraId="4DE4D739" w14:textId="77777777">
            <w:pPr>
              <w:jc w:val="center"/>
              <w:rPr>
                <w:color w:val="000000" w:themeColor="text1"/>
                <w:sz w:val="20"/>
                <w:szCs w:val="20"/>
              </w:rPr>
            </w:pPr>
          </w:p>
        </w:tc>
        <w:tc>
          <w:tcPr>
            <w:tcW w:w="470" w:type="dxa"/>
          </w:tcPr>
          <w:p w:rsidR="00C43298" w:rsidP="00C43298" w:rsidRDefault="00C43298" w14:paraId="5F217B33" w14:textId="77777777">
            <w:pPr>
              <w:jc w:val="center"/>
              <w:rPr>
                <w:color w:val="000000" w:themeColor="text1"/>
                <w:sz w:val="20"/>
                <w:szCs w:val="20"/>
              </w:rPr>
            </w:pPr>
          </w:p>
        </w:tc>
        <w:tc>
          <w:tcPr>
            <w:tcW w:w="470" w:type="dxa"/>
          </w:tcPr>
          <w:p w:rsidR="00C43298" w:rsidP="00C43298" w:rsidRDefault="00C43298" w14:paraId="22803709" w14:textId="77777777">
            <w:pPr>
              <w:jc w:val="center"/>
              <w:rPr>
                <w:color w:val="000000" w:themeColor="text1"/>
                <w:sz w:val="20"/>
                <w:szCs w:val="20"/>
              </w:rPr>
            </w:pPr>
          </w:p>
        </w:tc>
        <w:tc>
          <w:tcPr>
            <w:tcW w:w="470" w:type="dxa"/>
          </w:tcPr>
          <w:p w:rsidR="00C43298" w:rsidP="00C43298" w:rsidRDefault="00C43298" w14:paraId="2BCC1024" w14:textId="77777777">
            <w:pPr>
              <w:jc w:val="center"/>
              <w:rPr>
                <w:color w:val="000000" w:themeColor="text1"/>
                <w:sz w:val="20"/>
                <w:szCs w:val="20"/>
              </w:rPr>
            </w:pPr>
          </w:p>
        </w:tc>
        <w:tc>
          <w:tcPr>
            <w:tcW w:w="462" w:type="dxa"/>
          </w:tcPr>
          <w:p w:rsidR="00C43298" w:rsidP="00C43298" w:rsidRDefault="00C43298" w14:paraId="4E93ED93" w14:textId="77777777">
            <w:pPr>
              <w:jc w:val="center"/>
              <w:rPr>
                <w:color w:val="000000" w:themeColor="text1"/>
                <w:sz w:val="20"/>
                <w:szCs w:val="20"/>
              </w:rPr>
            </w:pPr>
          </w:p>
        </w:tc>
        <w:tc>
          <w:tcPr>
            <w:tcW w:w="479" w:type="dxa"/>
          </w:tcPr>
          <w:p w:rsidR="00C43298" w:rsidP="00C43298" w:rsidRDefault="00C43298" w14:paraId="1C0DF898" w14:textId="77777777">
            <w:pPr>
              <w:jc w:val="center"/>
              <w:rPr>
                <w:color w:val="000000" w:themeColor="text1"/>
                <w:sz w:val="20"/>
                <w:szCs w:val="20"/>
              </w:rPr>
            </w:pPr>
          </w:p>
        </w:tc>
        <w:tc>
          <w:tcPr>
            <w:tcW w:w="470" w:type="dxa"/>
          </w:tcPr>
          <w:p w:rsidR="00C43298" w:rsidP="00C43298" w:rsidRDefault="00C43298" w14:paraId="5F06B10A" w14:textId="77777777">
            <w:pPr>
              <w:jc w:val="center"/>
              <w:rPr>
                <w:color w:val="000000" w:themeColor="text1"/>
                <w:sz w:val="20"/>
                <w:szCs w:val="20"/>
              </w:rPr>
            </w:pPr>
          </w:p>
        </w:tc>
        <w:tc>
          <w:tcPr>
            <w:tcW w:w="470" w:type="dxa"/>
          </w:tcPr>
          <w:p w:rsidR="00C43298" w:rsidP="00C43298" w:rsidRDefault="00C43298" w14:paraId="1EC2B3F6" w14:textId="77777777">
            <w:pPr>
              <w:jc w:val="center"/>
              <w:rPr>
                <w:color w:val="000000" w:themeColor="text1"/>
                <w:sz w:val="20"/>
                <w:szCs w:val="20"/>
              </w:rPr>
            </w:pPr>
          </w:p>
        </w:tc>
        <w:tc>
          <w:tcPr>
            <w:tcW w:w="471" w:type="dxa"/>
          </w:tcPr>
          <w:p w:rsidR="00C43298" w:rsidP="00C43298" w:rsidRDefault="00C43298" w14:paraId="2E7EAA5A" w14:textId="77777777">
            <w:pPr>
              <w:jc w:val="center"/>
              <w:rPr>
                <w:color w:val="000000" w:themeColor="text1"/>
                <w:sz w:val="20"/>
                <w:szCs w:val="20"/>
              </w:rPr>
            </w:pPr>
            <w:r>
              <w:rPr>
                <w:color w:val="000000" w:themeColor="text1"/>
                <w:sz w:val="20"/>
                <w:szCs w:val="20"/>
              </w:rPr>
              <w:t>X</w:t>
            </w:r>
          </w:p>
        </w:tc>
      </w:tr>
      <w:tr w:rsidRPr="004862B3" w:rsidR="001B16EB" w:rsidTr="00C43298" w14:paraId="465F3DAD" w14:textId="77777777">
        <w:trPr>
          <w:trHeight w:val="302"/>
        </w:trPr>
        <w:tc>
          <w:tcPr>
            <w:tcW w:w="3172" w:type="dxa"/>
            <w:shd w:val="clear" w:color="auto" w:fill="auto"/>
            <w:noWrap/>
          </w:tcPr>
          <w:p w:rsidRPr="00CD26D6" w:rsidR="00C43298" w:rsidP="00C43298" w:rsidRDefault="00C43298" w14:paraId="356C6876" w14:textId="77777777">
            <w:pPr>
              <w:rPr>
                <w:color w:val="000000" w:themeColor="text1"/>
                <w:sz w:val="20"/>
                <w:szCs w:val="20"/>
              </w:rPr>
            </w:pPr>
            <w:r w:rsidRPr="00CD26D6">
              <w:rPr>
                <w:sz w:val="20"/>
                <w:szCs w:val="20"/>
              </w:rPr>
              <w:t>Report of findings to CTP</w:t>
            </w:r>
          </w:p>
        </w:tc>
        <w:tc>
          <w:tcPr>
            <w:tcW w:w="470" w:type="dxa"/>
          </w:tcPr>
          <w:p w:rsidRPr="00C21F70" w:rsidR="00C43298" w:rsidP="00C43298" w:rsidRDefault="00C43298" w14:paraId="1AF054E8" w14:textId="77777777">
            <w:pPr>
              <w:jc w:val="center"/>
              <w:rPr>
                <w:color w:val="000000" w:themeColor="text1"/>
                <w:sz w:val="20"/>
                <w:szCs w:val="20"/>
              </w:rPr>
            </w:pPr>
          </w:p>
        </w:tc>
        <w:tc>
          <w:tcPr>
            <w:tcW w:w="470" w:type="dxa"/>
          </w:tcPr>
          <w:p w:rsidRPr="00C21F70" w:rsidR="00C43298" w:rsidP="00C43298" w:rsidRDefault="00C43298" w14:paraId="10F5FA30" w14:textId="77777777">
            <w:pPr>
              <w:jc w:val="center"/>
              <w:rPr>
                <w:color w:val="000000" w:themeColor="text1"/>
                <w:sz w:val="20"/>
                <w:szCs w:val="20"/>
              </w:rPr>
            </w:pPr>
          </w:p>
        </w:tc>
        <w:tc>
          <w:tcPr>
            <w:tcW w:w="470" w:type="dxa"/>
          </w:tcPr>
          <w:p w:rsidRPr="00C21F70" w:rsidR="00C43298" w:rsidP="00C43298" w:rsidRDefault="00C43298" w14:paraId="478BB5DD" w14:textId="77777777">
            <w:pPr>
              <w:jc w:val="center"/>
              <w:rPr>
                <w:color w:val="000000" w:themeColor="text1"/>
                <w:sz w:val="20"/>
                <w:szCs w:val="20"/>
              </w:rPr>
            </w:pPr>
          </w:p>
        </w:tc>
        <w:tc>
          <w:tcPr>
            <w:tcW w:w="471" w:type="dxa"/>
          </w:tcPr>
          <w:p w:rsidR="00C43298" w:rsidP="00C43298" w:rsidRDefault="00C43298" w14:paraId="55CCC27D" w14:textId="77777777">
            <w:pPr>
              <w:jc w:val="center"/>
              <w:rPr>
                <w:color w:val="000000" w:themeColor="text1"/>
                <w:sz w:val="20"/>
                <w:szCs w:val="20"/>
              </w:rPr>
            </w:pPr>
          </w:p>
        </w:tc>
        <w:tc>
          <w:tcPr>
            <w:tcW w:w="470" w:type="dxa"/>
          </w:tcPr>
          <w:p w:rsidR="00C43298" w:rsidP="00C43298" w:rsidRDefault="00C43298" w14:paraId="2B4E2222" w14:textId="77777777">
            <w:pPr>
              <w:jc w:val="center"/>
              <w:rPr>
                <w:color w:val="000000" w:themeColor="text1"/>
                <w:sz w:val="20"/>
                <w:szCs w:val="20"/>
              </w:rPr>
            </w:pPr>
          </w:p>
        </w:tc>
        <w:tc>
          <w:tcPr>
            <w:tcW w:w="470" w:type="dxa"/>
          </w:tcPr>
          <w:p w:rsidR="00C43298" w:rsidP="00C43298" w:rsidRDefault="00C43298" w14:paraId="6F803B54" w14:textId="77777777">
            <w:pPr>
              <w:jc w:val="center"/>
              <w:rPr>
                <w:color w:val="000000" w:themeColor="text1"/>
                <w:sz w:val="20"/>
                <w:szCs w:val="20"/>
              </w:rPr>
            </w:pPr>
          </w:p>
        </w:tc>
        <w:tc>
          <w:tcPr>
            <w:tcW w:w="470" w:type="dxa"/>
          </w:tcPr>
          <w:p w:rsidR="00C43298" w:rsidP="00C43298" w:rsidRDefault="00C43298" w14:paraId="25710293" w14:textId="77777777">
            <w:pPr>
              <w:jc w:val="center"/>
              <w:rPr>
                <w:color w:val="000000" w:themeColor="text1"/>
                <w:sz w:val="20"/>
                <w:szCs w:val="20"/>
              </w:rPr>
            </w:pPr>
          </w:p>
        </w:tc>
        <w:tc>
          <w:tcPr>
            <w:tcW w:w="462" w:type="dxa"/>
          </w:tcPr>
          <w:p w:rsidR="00C43298" w:rsidP="00C43298" w:rsidRDefault="00C43298" w14:paraId="7B7C7B05" w14:textId="77777777">
            <w:pPr>
              <w:jc w:val="center"/>
              <w:rPr>
                <w:color w:val="000000" w:themeColor="text1"/>
                <w:sz w:val="20"/>
                <w:szCs w:val="20"/>
              </w:rPr>
            </w:pPr>
          </w:p>
        </w:tc>
        <w:tc>
          <w:tcPr>
            <w:tcW w:w="479" w:type="dxa"/>
          </w:tcPr>
          <w:p w:rsidR="00C43298" w:rsidP="00C43298" w:rsidRDefault="00C43298" w14:paraId="718862CD" w14:textId="77777777">
            <w:pPr>
              <w:jc w:val="center"/>
              <w:rPr>
                <w:color w:val="000000" w:themeColor="text1"/>
                <w:sz w:val="20"/>
                <w:szCs w:val="20"/>
              </w:rPr>
            </w:pPr>
          </w:p>
        </w:tc>
        <w:tc>
          <w:tcPr>
            <w:tcW w:w="470" w:type="dxa"/>
          </w:tcPr>
          <w:p w:rsidR="00C43298" w:rsidP="00C43298" w:rsidRDefault="00C43298" w14:paraId="18435992" w14:textId="77777777">
            <w:pPr>
              <w:jc w:val="center"/>
              <w:rPr>
                <w:color w:val="000000" w:themeColor="text1"/>
                <w:sz w:val="20"/>
                <w:szCs w:val="20"/>
              </w:rPr>
            </w:pPr>
          </w:p>
        </w:tc>
        <w:tc>
          <w:tcPr>
            <w:tcW w:w="470" w:type="dxa"/>
          </w:tcPr>
          <w:p w:rsidR="00C43298" w:rsidP="00C43298" w:rsidRDefault="00C43298" w14:paraId="6ACFFCB2" w14:textId="77777777">
            <w:pPr>
              <w:jc w:val="center"/>
              <w:rPr>
                <w:color w:val="000000" w:themeColor="text1"/>
                <w:sz w:val="20"/>
                <w:szCs w:val="20"/>
              </w:rPr>
            </w:pPr>
          </w:p>
        </w:tc>
        <w:tc>
          <w:tcPr>
            <w:tcW w:w="471" w:type="dxa"/>
          </w:tcPr>
          <w:p w:rsidR="00C43298" w:rsidP="00C43298" w:rsidRDefault="00C43298" w14:paraId="481E1D84" w14:textId="77777777">
            <w:pPr>
              <w:jc w:val="center"/>
              <w:rPr>
                <w:color w:val="000000" w:themeColor="text1"/>
                <w:sz w:val="20"/>
                <w:szCs w:val="20"/>
              </w:rPr>
            </w:pPr>
            <w:r>
              <w:rPr>
                <w:color w:val="000000" w:themeColor="text1"/>
                <w:sz w:val="20"/>
                <w:szCs w:val="20"/>
              </w:rPr>
              <w:t>X</w:t>
            </w:r>
          </w:p>
        </w:tc>
      </w:tr>
    </w:tbl>
    <w:p w:rsidR="001B16EB" w:rsidP="00CD26D6" w:rsidRDefault="001B16EB" w14:paraId="74054CC4" w14:textId="77777777">
      <w:pPr>
        <w:spacing w:before="100" w:beforeAutospacing="1" w:after="100" w:afterAutospacing="1"/>
        <w:ind w:left="360"/>
        <w:rPr>
          <w:rFonts w:eastAsiaTheme="minorEastAsia"/>
          <w:color w:val="000000" w:themeColor="text1"/>
          <w:u w:val="single"/>
        </w:rPr>
      </w:pPr>
    </w:p>
    <w:p w:rsidRPr="00CD26D6" w:rsidR="004C6979" w:rsidP="00081417" w:rsidRDefault="00EB7538" w14:paraId="4F597D46" w14:textId="25871C71">
      <w:pPr>
        <w:pStyle w:val="ListParagraph"/>
        <w:numPr>
          <w:ilvl w:val="0"/>
          <w:numId w:val="43"/>
        </w:numPr>
        <w:ind w:left="360"/>
        <w:rPr>
          <w:rFonts w:eastAsiaTheme="minorEastAsia"/>
          <w:color w:val="000000" w:themeColor="text1"/>
          <w:u w:val="single"/>
        </w:rPr>
      </w:pPr>
      <w:r w:rsidRPr="00CD26D6">
        <w:rPr>
          <w:rFonts w:eastAsiaTheme="minorEastAsia"/>
          <w:color w:val="000000" w:themeColor="text1"/>
          <w:u w:val="single"/>
        </w:rPr>
        <w:t>Reason(s) Display of OMB Expiration Date is Inappropriate</w:t>
      </w:r>
    </w:p>
    <w:p w:rsidRPr="00FF1796" w:rsidR="004C6979" w:rsidP="00341696" w:rsidRDefault="00341696" w14:paraId="3727D061" w14:textId="1F30A3A6">
      <w:pPr>
        <w:ind w:left="360"/>
        <w:rPr>
          <w:sz w:val="22"/>
        </w:rPr>
      </w:pPr>
      <w:r w:rsidRPr="00FF1796">
        <w:rPr>
          <w:sz w:val="22"/>
        </w:rPr>
        <w:t>All data collection instruments will display the expiration date for OMB approval of the information collection.</w:t>
      </w:r>
    </w:p>
    <w:p w:rsidRPr="00C21F70" w:rsidR="00EB7538" w:rsidP="00081417" w:rsidRDefault="00EB7538" w14:paraId="0D71ECF0" w14:textId="77777777">
      <w:pPr>
        <w:numPr>
          <w:ilvl w:val="0"/>
          <w:numId w:val="43"/>
        </w:numPr>
        <w:spacing w:before="100" w:beforeAutospacing="1" w:after="100" w:afterAutospacing="1"/>
        <w:ind w:left="360"/>
        <w:rPr>
          <w:rFonts w:eastAsiaTheme="minorEastAsia"/>
          <w:color w:val="000000" w:themeColor="text1"/>
          <w:u w:val="single"/>
        </w:rPr>
      </w:pPr>
      <w:r w:rsidRPr="00C21F70">
        <w:rPr>
          <w:rFonts w:eastAsiaTheme="minorEastAsia"/>
          <w:color w:val="000000" w:themeColor="text1"/>
          <w:u w:val="single"/>
        </w:rPr>
        <w:t>Exceptions to Certification for Paperwork Reduction Act Submissions</w:t>
      </w:r>
    </w:p>
    <w:p w:rsidRPr="00114D58" w:rsidR="002746DB" w:rsidP="003F1EDE" w:rsidRDefault="00341696" w14:paraId="7220408A" w14:textId="78CA9B93">
      <w:pPr>
        <w:ind w:left="360"/>
        <w:rPr>
          <w:rFonts w:ascii="Arial" w:hAnsi="Arial" w:cs="Arial"/>
          <w:b/>
          <w:sz w:val="22"/>
          <w:szCs w:val="22"/>
        </w:rPr>
      </w:pPr>
      <w:r w:rsidRPr="00FF1796">
        <w:rPr>
          <w:sz w:val="22"/>
        </w:rPr>
        <w:t xml:space="preserve">There are no exceptions to the certification. </w:t>
      </w:r>
      <w:r w:rsidRPr="00114D58" w:rsidR="004C6979">
        <w:rPr>
          <w:rFonts w:ascii="Arial" w:hAnsi="Arial" w:cs="Arial"/>
          <w:sz w:val="22"/>
          <w:szCs w:val="22"/>
        </w:rPr>
        <w:t xml:space="preserve"> </w:t>
      </w:r>
    </w:p>
    <w:sectPr w:rsidRPr="00114D58" w:rsidR="002746DB" w:rsidSect="00EB7538">
      <w:headerReference w:type="default" r:id="rId15"/>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9E804" w14:textId="77777777" w:rsidR="001B16EB" w:rsidRDefault="001B16EB">
      <w:r>
        <w:separator/>
      </w:r>
    </w:p>
  </w:endnote>
  <w:endnote w:type="continuationSeparator" w:id="0">
    <w:p w14:paraId="6468D16E" w14:textId="77777777" w:rsidR="001B16EB" w:rsidRDefault="001B16EB">
      <w:r>
        <w:continuationSeparator/>
      </w:r>
    </w:p>
  </w:endnote>
  <w:endnote w:type="continuationNotice" w:id="1">
    <w:p w14:paraId="773E41D0" w14:textId="77777777" w:rsidR="001B16EB" w:rsidRDefault="001B1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34C69" w14:textId="77777777" w:rsidR="00EC537B" w:rsidRDefault="00EC537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57314E" w14:textId="77777777" w:rsidR="00EC537B" w:rsidRDefault="00EC5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1ECB" w14:textId="1061C9CD" w:rsidR="00EC537B" w:rsidRDefault="00EC537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8F62392" w14:textId="77777777" w:rsidR="00EC537B" w:rsidRDefault="00EC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199F1" w14:textId="77777777" w:rsidR="001B16EB" w:rsidRDefault="001B16EB">
      <w:r>
        <w:separator/>
      </w:r>
    </w:p>
  </w:footnote>
  <w:footnote w:type="continuationSeparator" w:id="0">
    <w:p w14:paraId="55572376" w14:textId="77777777" w:rsidR="001B16EB" w:rsidRDefault="001B16EB">
      <w:r>
        <w:continuationSeparator/>
      </w:r>
    </w:p>
  </w:footnote>
  <w:footnote w:type="continuationNotice" w:id="1">
    <w:p w14:paraId="73AA9227" w14:textId="77777777" w:rsidR="001B16EB" w:rsidRDefault="001B16EB"/>
  </w:footnote>
  <w:footnote w:id="2">
    <w:p w14:paraId="0E5FFDE4" w14:textId="10FE8BBE" w:rsidR="006C123D" w:rsidRDefault="00EC537B">
      <w:pPr>
        <w:pStyle w:val="FootnoteText"/>
      </w:pPr>
      <w:r>
        <w:rPr>
          <w:rStyle w:val="FootnoteReference"/>
        </w:rPr>
        <w:footnoteRef/>
      </w:r>
      <w:hyperlink r:id="rId1" w:history="1">
        <w:r w:rsidR="006C123D" w:rsidRPr="006D7D69">
          <w:rPr>
            <w:rStyle w:val="Hyperlink"/>
          </w:rPr>
          <w:t>https://www.fda.gov/tobacco-products/research/research-priorities</w:t>
        </w:r>
      </w:hyperlink>
    </w:p>
  </w:footnote>
  <w:footnote w:id="3">
    <w:p w14:paraId="3C469C5F" w14:textId="7665E636" w:rsidR="00EC537B" w:rsidRPr="002B27CA" w:rsidRDefault="00EC537B" w:rsidP="00090389">
      <w:pPr>
        <w:contextualSpacing/>
        <w:rPr>
          <w:sz w:val="18"/>
        </w:rPr>
      </w:pPr>
      <w:r>
        <w:rPr>
          <w:rStyle w:val="FootnoteReference"/>
        </w:rPr>
        <w:footnoteRef/>
      </w:r>
      <w:r>
        <w:t xml:space="preserve"> </w:t>
      </w:r>
      <w:r w:rsidRPr="002B27CA">
        <w:rPr>
          <w:color w:val="222222"/>
          <w:sz w:val="18"/>
          <w:highlight w:val="white"/>
        </w:rPr>
        <w:t xml:space="preserve">Moran, M.B., *Czaplicki, L., Lagasse, L., *Cino, S., Trigger, S., Engstrom, M.C., Zandberg, I., Sawdey, M.D. &amp; Kennedy, R. An analysis of Juul advertising strategy compared to Vuse. Poster presented at the 2019 </w:t>
      </w:r>
      <w:r w:rsidRPr="002B27CA">
        <w:rPr>
          <w:sz w:val="18"/>
        </w:rPr>
        <w:t>meeting of the Society for Research on Nicotine &amp; Tobacco.</w:t>
      </w:r>
    </w:p>
    <w:p w14:paraId="76F673E7" w14:textId="33813049" w:rsidR="00EC537B" w:rsidRDefault="00EC537B">
      <w:pPr>
        <w:pStyle w:val="FootnoteText"/>
      </w:pPr>
    </w:p>
  </w:footnote>
  <w:footnote w:id="4">
    <w:p w14:paraId="71BF0AC2" w14:textId="77777777" w:rsidR="00EC537B" w:rsidRPr="002B27CA" w:rsidRDefault="00EC537B" w:rsidP="00090389">
      <w:pPr>
        <w:pStyle w:val="Normal1"/>
        <w:tabs>
          <w:tab w:val="left" w:pos="0"/>
        </w:tabs>
        <w:spacing w:line="240" w:lineRule="auto"/>
        <w:rPr>
          <w:rFonts w:ascii="Times New Roman" w:eastAsia="Times New Roman" w:hAnsi="Times New Roman" w:cs="Times New Roman"/>
          <w:sz w:val="18"/>
          <w:szCs w:val="24"/>
          <w:shd w:val="clear" w:color="auto" w:fill="FFFFFF"/>
        </w:rPr>
      </w:pPr>
      <w:r>
        <w:rPr>
          <w:rStyle w:val="FootnoteReference"/>
        </w:rPr>
        <w:footnoteRef/>
      </w:r>
      <w:r>
        <w:t xml:space="preserve"> </w:t>
      </w:r>
      <w:r w:rsidRPr="002B27CA">
        <w:rPr>
          <w:rFonts w:ascii="Times New Roman" w:eastAsia="Times New Roman" w:hAnsi="Times New Roman" w:cs="Times New Roman"/>
          <w:color w:val="222222"/>
          <w:sz w:val="18"/>
          <w:szCs w:val="24"/>
          <w:highlight w:val="white"/>
        </w:rPr>
        <w:t xml:space="preserve">Kennedy, R.D., *Czaplicki, L., Lagasse, L., Clawson, C., Trigger, S., Zandberg, I., Sawdey, M., &amp; </w:t>
      </w:r>
      <w:r w:rsidRPr="002B27CA">
        <w:rPr>
          <w:rFonts w:ascii="Times New Roman" w:eastAsia="Times New Roman" w:hAnsi="Times New Roman" w:cs="Times New Roman"/>
          <w:b/>
          <w:color w:val="222222"/>
          <w:sz w:val="18"/>
          <w:szCs w:val="24"/>
          <w:highlight w:val="white"/>
        </w:rPr>
        <w:t>Moran, M.B.</w:t>
      </w:r>
      <w:r w:rsidRPr="002B27CA">
        <w:rPr>
          <w:rFonts w:ascii="Times New Roman" w:eastAsia="Times New Roman" w:hAnsi="Times New Roman" w:cs="Times New Roman"/>
          <w:color w:val="222222"/>
          <w:sz w:val="18"/>
          <w:szCs w:val="24"/>
          <w:highlight w:val="white"/>
        </w:rPr>
        <w:t xml:space="preserve"> (2018). The use of flavors in business-to-business ENDS advertising.</w:t>
      </w:r>
      <w:r w:rsidRPr="002B27CA">
        <w:rPr>
          <w:rFonts w:ascii="Times New Roman" w:eastAsia="Times New Roman" w:hAnsi="Times New Roman" w:cs="Times New Roman"/>
          <w:b/>
          <w:color w:val="222222"/>
          <w:sz w:val="18"/>
          <w:szCs w:val="24"/>
          <w:highlight w:val="white"/>
        </w:rPr>
        <w:t xml:space="preserve"> </w:t>
      </w:r>
      <w:r w:rsidRPr="002B27CA">
        <w:rPr>
          <w:rFonts w:ascii="Times New Roman" w:eastAsia="Times New Roman" w:hAnsi="Times New Roman" w:cs="Times New Roman"/>
          <w:color w:val="222222"/>
          <w:sz w:val="18"/>
          <w:szCs w:val="24"/>
          <w:highlight w:val="white"/>
        </w:rPr>
        <w:t>Oral flash presentation given at</w:t>
      </w:r>
      <w:r w:rsidRPr="002B27CA">
        <w:rPr>
          <w:rFonts w:ascii="Times New Roman" w:eastAsia="Times New Roman" w:hAnsi="Times New Roman" w:cs="Times New Roman"/>
          <w:sz w:val="18"/>
          <w:szCs w:val="24"/>
          <w:shd w:val="clear" w:color="auto" w:fill="FFFFFF"/>
        </w:rPr>
        <w:t xml:space="preserve"> the NIH/FDA Tobacco Regulatory Science Meeting.</w:t>
      </w:r>
    </w:p>
    <w:p w14:paraId="566FC73A" w14:textId="01B4373E" w:rsidR="00EC537B" w:rsidRDefault="00EC537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32290" w14:textId="77777777" w:rsidR="001B16EB" w:rsidRDefault="001B1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9866DC"/>
    <w:multiLevelType w:val="multilevel"/>
    <w:tmpl w:val="AD18E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CD102C"/>
    <w:multiLevelType w:val="hybridMultilevel"/>
    <w:tmpl w:val="2A6CB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15:restartNumberingAfterBreak="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9D09AB"/>
    <w:multiLevelType w:val="multilevel"/>
    <w:tmpl w:val="CFD6FB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B5A7A87"/>
    <w:multiLevelType w:val="hybridMultilevel"/>
    <w:tmpl w:val="2772B60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6AFB7791"/>
    <w:multiLevelType w:val="hybridMultilevel"/>
    <w:tmpl w:val="5EFEBA7A"/>
    <w:lvl w:ilvl="0" w:tplc="EEEA09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7"/>
  </w:num>
  <w:num w:numId="5">
    <w:abstractNumId w:val="10"/>
  </w:num>
  <w:num w:numId="6">
    <w:abstractNumId w:val="30"/>
  </w:num>
  <w:num w:numId="7">
    <w:abstractNumId w:val="38"/>
  </w:num>
  <w:num w:numId="8">
    <w:abstractNumId w:val="7"/>
  </w:num>
  <w:num w:numId="9">
    <w:abstractNumId w:val="31"/>
  </w:num>
  <w:num w:numId="10">
    <w:abstractNumId w:val="26"/>
  </w:num>
  <w:num w:numId="11">
    <w:abstractNumId w:val="12"/>
  </w:num>
  <w:num w:numId="12">
    <w:abstractNumId w:val="42"/>
  </w:num>
  <w:num w:numId="13">
    <w:abstractNumId w:val="24"/>
  </w:num>
  <w:num w:numId="14">
    <w:abstractNumId w:val="11"/>
  </w:num>
  <w:num w:numId="15">
    <w:abstractNumId w:val="19"/>
  </w:num>
  <w:num w:numId="16">
    <w:abstractNumId w:val="18"/>
  </w:num>
  <w:num w:numId="17">
    <w:abstractNumId w:val="37"/>
  </w:num>
  <w:num w:numId="18">
    <w:abstractNumId w:val="41"/>
  </w:num>
  <w:num w:numId="19">
    <w:abstractNumId w:val="39"/>
  </w:num>
  <w:num w:numId="20">
    <w:abstractNumId w:val="23"/>
  </w:num>
  <w:num w:numId="21">
    <w:abstractNumId w:val="17"/>
  </w:num>
  <w:num w:numId="22">
    <w:abstractNumId w:val="6"/>
  </w:num>
  <w:num w:numId="23">
    <w:abstractNumId w:val="34"/>
  </w:num>
  <w:num w:numId="24">
    <w:abstractNumId w:val="28"/>
  </w:num>
  <w:num w:numId="25">
    <w:abstractNumId w:val="15"/>
  </w:num>
  <w:num w:numId="26">
    <w:abstractNumId w:val="9"/>
  </w:num>
  <w:num w:numId="27">
    <w:abstractNumId w:val="43"/>
  </w:num>
  <w:num w:numId="28">
    <w:abstractNumId w:val="35"/>
  </w:num>
  <w:num w:numId="29">
    <w:abstractNumId w:val="8"/>
  </w:num>
  <w:num w:numId="30">
    <w:abstractNumId w:val="21"/>
  </w:num>
  <w:num w:numId="31">
    <w:abstractNumId w:val="3"/>
  </w:num>
  <w:num w:numId="32">
    <w:abstractNumId w:val="1"/>
  </w:num>
  <w:num w:numId="33">
    <w:abstractNumId w:val="25"/>
  </w:num>
  <w:num w:numId="34">
    <w:abstractNumId w:val="40"/>
  </w:num>
  <w:num w:numId="35">
    <w:abstractNumId w:val="16"/>
  </w:num>
  <w:num w:numId="36">
    <w:abstractNumId w:val="32"/>
  </w:num>
  <w:num w:numId="37">
    <w:abstractNumId w:val="13"/>
  </w:num>
  <w:num w:numId="38">
    <w:abstractNumId w:val="29"/>
  </w:num>
  <w:num w:numId="39">
    <w:abstractNumId w:val="33"/>
  </w:num>
  <w:num w:numId="40">
    <w:abstractNumId w:val="2"/>
  </w:num>
  <w:num w:numId="41">
    <w:abstractNumId w:val="36"/>
  </w:num>
  <w:num w:numId="42">
    <w:abstractNumId w:val="5"/>
  </w:num>
  <w:num w:numId="43">
    <w:abstractNumId w:val="22"/>
  </w:num>
  <w:num w:numId="44">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968"/>
    <w:rsid w:val="000033B3"/>
    <w:rsid w:val="00005C86"/>
    <w:rsid w:val="00010917"/>
    <w:rsid w:val="000149F8"/>
    <w:rsid w:val="00031A2C"/>
    <w:rsid w:val="00037943"/>
    <w:rsid w:val="000419DB"/>
    <w:rsid w:val="00041FD3"/>
    <w:rsid w:val="00043C7F"/>
    <w:rsid w:val="00052047"/>
    <w:rsid w:val="000526EC"/>
    <w:rsid w:val="000646CE"/>
    <w:rsid w:val="0006570F"/>
    <w:rsid w:val="00073CD4"/>
    <w:rsid w:val="00075DE8"/>
    <w:rsid w:val="00081417"/>
    <w:rsid w:val="0008534D"/>
    <w:rsid w:val="00087665"/>
    <w:rsid w:val="00090389"/>
    <w:rsid w:val="00090441"/>
    <w:rsid w:val="00091CDE"/>
    <w:rsid w:val="000A37F1"/>
    <w:rsid w:val="000B3ECE"/>
    <w:rsid w:val="000B7621"/>
    <w:rsid w:val="000C0C17"/>
    <w:rsid w:val="000C1847"/>
    <w:rsid w:val="000C3308"/>
    <w:rsid w:val="000C560C"/>
    <w:rsid w:val="000C6940"/>
    <w:rsid w:val="000D48FD"/>
    <w:rsid w:val="000E1C64"/>
    <w:rsid w:val="000E5B33"/>
    <w:rsid w:val="000F7119"/>
    <w:rsid w:val="000F7A93"/>
    <w:rsid w:val="00100739"/>
    <w:rsid w:val="00107885"/>
    <w:rsid w:val="00114D58"/>
    <w:rsid w:val="00114FC4"/>
    <w:rsid w:val="001151AB"/>
    <w:rsid w:val="00117D50"/>
    <w:rsid w:val="00122122"/>
    <w:rsid w:val="0012329C"/>
    <w:rsid w:val="00123E29"/>
    <w:rsid w:val="00124A2E"/>
    <w:rsid w:val="0013066D"/>
    <w:rsid w:val="00133247"/>
    <w:rsid w:val="00134FA7"/>
    <w:rsid w:val="00137950"/>
    <w:rsid w:val="00144A7F"/>
    <w:rsid w:val="00145173"/>
    <w:rsid w:val="00150317"/>
    <w:rsid w:val="00150DA7"/>
    <w:rsid w:val="001512D5"/>
    <w:rsid w:val="00152F29"/>
    <w:rsid w:val="00152FA6"/>
    <w:rsid w:val="001536B0"/>
    <w:rsid w:val="00170932"/>
    <w:rsid w:val="00171566"/>
    <w:rsid w:val="00177F29"/>
    <w:rsid w:val="00182EFC"/>
    <w:rsid w:val="00185270"/>
    <w:rsid w:val="00185E55"/>
    <w:rsid w:val="0019496E"/>
    <w:rsid w:val="00196F3C"/>
    <w:rsid w:val="00197ED4"/>
    <w:rsid w:val="001A3B5A"/>
    <w:rsid w:val="001B16EB"/>
    <w:rsid w:val="001B6D5D"/>
    <w:rsid w:val="001B6FB1"/>
    <w:rsid w:val="001B7B86"/>
    <w:rsid w:val="001B7CE9"/>
    <w:rsid w:val="001D495A"/>
    <w:rsid w:val="001D6EE1"/>
    <w:rsid w:val="001E244C"/>
    <w:rsid w:val="001E615D"/>
    <w:rsid w:val="001F1437"/>
    <w:rsid w:val="001F5A97"/>
    <w:rsid w:val="00204CFC"/>
    <w:rsid w:val="00220DFD"/>
    <w:rsid w:val="00223484"/>
    <w:rsid w:val="002259EF"/>
    <w:rsid w:val="002267C1"/>
    <w:rsid w:val="00231DFF"/>
    <w:rsid w:val="00233828"/>
    <w:rsid w:val="00235DA0"/>
    <w:rsid w:val="002368AB"/>
    <w:rsid w:val="00242A94"/>
    <w:rsid w:val="00242ED1"/>
    <w:rsid w:val="002444BB"/>
    <w:rsid w:val="002454D1"/>
    <w:rsid w:val="00253346"/>
    <w:rsid w:val="00254069"/>
    <w:rsid w:val="00260385"/>
    <w:rsid w:val="0026194A"/>
    <w:rsid w:val="00270748"/>
    <w:rsid w:val="002734E5"/>
    <w:rsid w:val="00273642"/>
    <w:rsid w:val="00273A56"/>
    <w:rsid w:val="002746DB"/>
    <w:rsid w:val="00280CAF"/>
    <w:rsid w:val="00282F09"/>
    <w:rsid w:val="0028447D"/>
    <w:rsid w:val="00295328"/>
    <w:rsid w:val="00297532"/>
    <w:rsid w:val="002A1210"/>
    <w:rsid w:val="002A1EBD"/>
    <w:rsid w:val="002A35D3"/>
    <w:rsid w:val="002A35F1"/>
    <w:rsid w:val="002B27CA"/>
    <w:rsid w:val="002D14D8"/>
    <w:rsid w:val="002D1881"/>
    <w:rsid w:val="002D4799"/>
    <w:rsid w:val="002E3FA4"/>
    <w:rsid w:val="002E6059"/>
    <w:rsid w:val="002F37C3"/>
    <w:rsid w:val="002F484F"/>
    <w:rsid w:val="00300963"/>
    <w:rsid w:val="00306ED9"/>
    <w:rsid w:val="00306EDE"/>
    <w:rsid w:val="003113FF"/>
    <w:rsid w:val="0032277F"/>
    <w:rsid w:val="00333E8E"/>
    <w:rsid w:val="0033434B"/>
    <w:rsid w:val="00336AD7"/>
    <w:rsid w:val="00341696"/>
    <w:rsid w:val="00350523"/>
    <w:rsid w:val="0035189D"/>
    <w:rsid w:val="0035430F"/>
    <w:rsid w:val="0035739E"/>
    <w:rsid w:val="00357623"/>
    <w:rsid w:val="0036330C"/>
    <w:rsid w:val="0036563D"/>
    <w:rsid w:val="003740BC"/>
    <w:rsid w:val="00377348"/>
    <w:rsid w:val="003801A3"/>
    <w:rsid w:val="00383D90"/>
    <w:rsid w:val="0038612E"/>
    <w:rsid w:val="003923B3"/>
    <w:rsid w:val="003A1058"/>
    <w:rsid w:val="003A1A27"/>
    <w:rsid w:val="003A38B6"/>
    <w:rsid w:val="003A50CC"/>
    <w:rsid w:val="003A7FF8"/>
    <w:rsid w:val="003B0BBF"/>
    <w:rsid w:val="003B0BDE"/>
    <w:rsid w:val="003B42B3"/>
    <w:rsid w:val="003B5268"/>
    <w:rsid w:val="003B5E3E"/>
    <w:rsid w:val="003B6384"/>
    <w:rsid w:val="003C05E9"/>
    <w:rsid w:val="003C4EBB"/>
    <w:rsid w:val="003C590A"/>
    <w:rsid w:val="003C6A09"/>
    <w:rsid w:val="003D113D"/>
    <w:rsid w:val="003D1531"/>
    <w:rsid w:val="003D50D4"/>
    <w:rsid w:val="003D5B80"/>
    <w:rsid w:val="003D6C75"/>
    <w:rsid w:val="003E4EC6"/>
    <w:rsid w:val="003E527E"/>
    <w:rsid w:val="003E553E"/>
    <w:rsid w:val="003E597F"/>
    <w:rsid w:val="003E7078"/>
    <w:rsid w:val="003F17D4"/>
    <w:rsid w:val="003F1EDE"/>
    <w:rsid w:val="003F2544"/>
    <w:rsid w:val="003F3A73"/>
    <w:rsid w:val="003F3DF5"/>
    <w:rsid w:val="003F6EBC"/>
    <w:rsid w:val="00404292"/>
    <w:rsid w:val="00406BDD"/>
    <w:rsid w:val="00411CEE"/>
    <w:rsid w:val="00411D11"/>
    <w:rsid w:val="00415E23"/>
    <w:rsid w:val="0041670D"/>
    <w:rsid w:val="00417DE5"/>
    <w:rsid w:val="00424061"/>
    <w:rsid w:val="004327C1"/>
    <w:rsid w:val="004352B4"/>
    <w:rsid w:val="00440CDB"/>
    <w:rsid w:val="00442638"/>
    <w:rsid w:val="00442A3C"/>
    <w:rsid w:val="00443969"/>
    <w:rsid w:val="00447D74"/>
    <w:rsid w:val="00450A74"/>
    <w:rsid w:val="004515BD"/>
    <w:rsid w:val="004546BF"/>
    <w:rsid w:val="0045506E"/>
    <w:rsid w:val="0045720E"/>
    <w:rsid w:val="00461AE5"/>
    <w:rsid w:val="00462040"/>
    <w:rsid w:val="00465350"/>
    <w:rsid w:val="0046660B"/>
    <w:rsid w:val="004779E6"/>
    <w:rsid w:val="00480376"/>
    <w:rsid w:val="004846BF"/>
    <w:rsid w:val="00485EDE"/>
    <w:rsid w:val="00487746"/>
    <w:rsid w:val="00492844"/>
    <w:rsid w:val="004A0D4A"/>
    <w:rsid w:val="004B2299"/>
    <w:rsid w:val="004B62A0"/>
    <w:rsid w:val="004B6F24"/>
    <w:rsid w:val="004C6979"/>
    <w:rsid w:val="004D3206"/>
    <w:rsid w:val="004D3E7A"/>
    <w:rsid w:val="004D61C7"/>
    <w:rsid w:val="004D6F98"/>
    <w:rsid w:val="004F00F8"/>
    <w:rsid w:val="004F3046"/>
    <w:rsid w:val="004F52E2"/>
    <w:rsid w:val="004F594B"/>
    <w:rsid w:val="004F61E1"/>
    <w:rsid w:val="0050605B"/>
    <w:rsid w:val="00517CB0"/>
    <w:rsid w:val="005209C5"/>
    <w:rsid w:val="00523292"/>
    <w:rsid w:val="00526086"/>
    <w:rsid w:val="0052620F"/>
    <w:rsid w:val="00530A63"/>
    <w:rsid w:val="0053251C"/>
    <w:rsid w:val="0053547E"/>
    <w:rsid w:val="00541272"/>
    <w:rsid w:val="0054173A"/>
    <w:rsid w:val="00544138"/>
    <w:rsid w:val="00545A1E"/>
    <w:rsid w:val="005522E7"/>
    <w:rsid w:val="00554335"/>
    <w:rsid w:val="005636C4"/>
    <w:rsid w:val="005708EB"/>
    <w:rsid w:val="00571BB5"/>
    <w:rsid w:val="005758D9"/>
    <w:rsid w:val="00584583"/>
    <w:rsid w:val="0058527A"/>
    <w:rsid w:val="005869C5"/>
    <w:rsid w:val="00590EEB"/>
    <w:rsid w:val="005A052A"/>
    <w:rsid w:val="005A2761"/>
    <w:rsid w:val="005A4099"/>
    <w:rsid w:val="005A4FCB"/>
    <w:rsid w:val="005A6033"/>
    <w:rsid w:val="005B09A8"/>
    <w:rsid w:val="005B201F"/>
    <w:rsid w:val="005B3C67"/>
    <w:rsid w:val="005C38B2"/>
    <w:rsid w:val="005C3C7E"/>
    <w:rsid w:val="005C5029"/>
    <w:rsid w:val="005C55C2"/>
    <w:rsid w:val="005C745C"/>
    <w:rsid w:val="005D181E"/>
    <w:rsid w:val="005D44B4"/>
    <w:rsid w:val="005D4DF5"/>
    <w:rsid w:val="005E0948"/>
    <w:rsid w:val="005E751D"/>
    <w:rsid w:val="005F2027"/>
    <w:rsid w:val="005F526D"/>
    <w:rsid w:val="005F6E1F"/>
    <w:rsid w:val="00604810"/>
    <w:rsid w:val="00605876"/>
    <w:rsid w:val="006059EE"/>
    <w:rsid w:val="0060620D"/>
    <w:rsid w:val="00610325"/>
    <w:rsid w:val="0061065C"/>
    <w:rsid w:val="00611A59"/>
    <w:rsid w:val="00611D6B"/>
    <w:rsid w:val="00614A3F"/>
    <w:rsid w:val="00614ABD"/>
    <w:rsid w:val="00616123"/>
    <w:rsid w:val="00626FC9"/>
    <w:rsid w:val="00630F92"/>
    <w:rsid w:val="0063153A"/>
    <w:rsid w:val="00632238"/>
    <w:rsid w:val="006326EC"/>
    <w:rsid w:val="006362DF"/>
    <w:rsid w:val="00643CCD"/>
    <w:rsid w:val="00646BBA"/>
    <w:rsid w:val="00656EBB"/>
    <w:rsid w:val="00661426"/>
    <w:rsid w:val="00662AB3"/>
    <w:rsid w:val="00663A42"/>
    <w:rsid w:val="006641C7"/>
    <w:rsid w:val="00670BE2"/>
    <w:rsid w:val="006735BF"/>
    <w:rsid w:val="006747D4"/>
    <w:rsid w:val="00674A33"/>
    <w:rsid w:val="006761D2"/>
    <w:rsid w:val="006771E8"/>
    <w:rsid w:val="00684C7C"/>
    <w:rsid w:val="006866A8"/>
    <w:rsid w:val="00687A79"/>
    <w:rsid w:val="00687AFC"/>
    <w:rsid w:val="00697DB6"/>
    <w:rsid w:val="006A26C6"/>
    <w:rsid w:val="006A69D2"/>
    <w:rsid w:val="006A762C"/>
    <w:rsid w:val="006A7D5D"/>
    <w:rsid w:val="006B3750"/>
    <w:rsid w:val="006C123D"/>
    <w:rsid w:val="006C3CA3"/>
    <w:rsid w:val="006C530D"/>
    <w:rsid w:val="006C5DBF"/>
    <w:rsid w:val="006C5E83"/>
    <w:rsid w:val="006D04E0"/>
    <w:rsid w:val="006D51D5"/>
    <w:rsid w:val="006D5D57"/>
    <w:rsid w:val="006E5315"/>
    <w:rsid w:val="006E5D69"/>
    <w:rsid w:val="006F2F9C"/>
    <w:rsid w:val="006F3E40"/>
    <w:rsid w:val="006F4BD2"/>
    <w:rsid w:val="006F4D6D"/>
    <w:rsid w:val="006F5B52"/>
    <w:rsid w:val="006F6546"/>
    <w:rsid w:val="0070213E"/>
    <w:rsid w:val="00702D50"/>
    <w:rsid w:val="00705086"/>
    <w:rsid w:val="00710C81"/>
    <w:rsid w:val="0071136D"/>
    <w:rsid w:val="00715AC4"/>
    <w:rsid w:val="00723113"/>
    <w:rsid w:val="0072413F"/>
    <w:rsid w:val="00741514"/>
    <w:rsid w:val="007429ED"/>
    <w:rsid w:val="00754497"/>
    <w:rsid w:val="00774731"/>
    <w:rsid w:val="00775F68"/>
    <w:rsid w:val="0078133D"/>
    <w:rsid w:val="00784D2E"/>
    <w:rsid w:val="00787B47"/>
    <w:rsid w:val="00787C39"/>
    <w:rsid w:val="00794619"/>
    <w:rsid w:val="00795DF3"/>
    <w:rsid w:val="007A0599"/>
    <w:rsid w:val="007A0A77"/>
    <w:rsid w:val="007A373C"/>
    <w:rsid w:val="007A439F"/>
    <w:rsid w:val="007A5F19"/>
    <w:rsid w:val="007A7DC4"/>
    <w:rsid w:val="007B035B"/>
    <w:rsid w:val="007B225C"/>
    <w:rsid w:val="007B2E11"/>
    <w:rsid w:val="007B5A1B"/>
    <w:rsid w:val="007C23EF"/>
    <w:rsid w:val="007C4ADD"/>
    <w:rsid w:val="007C59AE"/>
    <w:rsid w:val="007C64A9"/>
    <w:rsid w:val="007C75B1"/>
    <w:rsid w:val="007D3DFC"/>
    <w:rsid w:val="007D3F72"/>
    <w:rsid w:val="007E25F7"/>
    <w:rsid w:val="007E2F07"/>
    <w:rsid w:val="007E45D3"/>
    <w:rsid w:val="007F27B8"/>
    <w:rsid w:val="007F46E8"/>
    <w:rsid w:val="007F56F9"/>
    <w:rsid w:val="0080776D"/>
    <w:rsid w:val="00810145"/>
    <w:rsid w:val="008108FA"/>
    <w:rsid w:val="00810FF1"/>
    <w:rsid w:val="00812A94"/>
    <w:rsid w:val="00822336"/>
    <w:rsid w:val="00823DFA"/>
    <w:rsid w:val="008242B1"/>
    <w:rsid w:val="0082519A"/>
    <w:rsid w:val="00826263"/>
    <w:rsid w:val="0082679C"/>
    <w:rsid w:val="00827C98"/>
    <w:rsid w:val="0083619C"/>
    <w:rsid w:val="0084035F"/>
    <w:rsid w:val="00840654"/>
    <w:rsid w:val="008428AF"/>
    <w:rsid w:val="00843752"/>
    <w:rsid w:val="0084479F"/>
    <w:rsid w:val="00847D34"/>
    <w:rsid w:val="008501B9"/>
    <w:rsid w:val="00851306"/>
    <w:rsid w:val="008519A8"/>
    <w:rsid w:val="008531D4"/>
    <w:rsid w:val="00856096"/>
    <w:rsid w:val="0085725E"/>
    <w:rsid w:val="008636DE"/>
    <w:rsid w:val="00872945"/>
    <w:rsid w:val="00881821"/>
    <w:rsid w:val="00884C0B"/>
    <w:rsid w:val="00885B09"/>
    <w:rsid w:val="00892400"/>
    <w:rsid w:val="008A209D"/>
    <w:rsid w:val="008A22BB"/>
    <w:rsid w:val="008A5969"/>
    <w:rsid w:val="008B0E29"/>
    <w:rsid w:val="008B0EFA"/>
    <w:rsid w:val="008B30AB"/>
    <w:rsid w:val="008B37ED"/>
    <w:rsid w:val="008C70B3"/>
    <w:rsid w:val="008D3D6A"/>
    <w:rsid w:val="008E2147"/>
    <w:rsid w:val="008E3452"/>
    <w:rsid w:val="008E5F55"/>
    <w:rsid w:val="008F1E86"/>
    <w:rsid w:val="00905007"/>
    <w:rsid w:val="00905DEF"/>
    <w:rsid w:val="00913B43"/>
    <w:rsid w:val="00917CA6"/>
    <w:rsid w:val="00930203"/>
    <w:rsid w:val="009311D2"/>
    <w:rsid w:val="009311E6"/>
    <w:rsid w:val="00931275"/>
    <w:rsid w:val="00936AC7"/>
    <w:rsid w:val="00937970"/>
    <w:rsid w:val="00942DB7"/>
    <w:rsid w:val="00943792"/>
    <w:rsid w:val="00944137"/>
    <w:rsid w:val="00950266"/>
    <w:rsid w:val="00953B64"/>
    <w:rsid w:val="00956F97"/>
    <w:rsid w:val="009675FF"/>
    <w:rsid w:val="00990FEC"/>
    <w:rsid w:val="009961AB"/>
    <w:rsid w:val="009A1674"/>
    <w:rsid w:val="009A2CFC"/>
    <w:rsid w:val="009B0686"/>
    <w:rsid w:val="009B605D"/>
    <w:rsid w:val="009C03D7"/>
    <w:rsid w:val="009C684F"/>
    <w:rsid w:val="009D074C"/>
    <w:rsid w:val="009E125A"/>
    <w:rsid w:val="009F1F1D"/>
    <w:rsid w:val="009F2B4F"/>
    <w:rsid w:val="009F36C7"/>
    <w:rsid w:val="009F400C"/>
    <w:rsid w:val="009F5099"/>
    <w:rsid w:val="009F5DC8"/>
    <w:rsid w:val="009F66B5"/>
    <w:rsid w:val="00A06B80"/>
    <w:rsid w:val="00A078DA"/>
    <w:rsid w:val="00A13281"/>
    <w:rsid w:val="00A15A61"/>
    <w:rsid w:val="00A16221"/>
    <w:rsid w:val="00A20A7D"/>
    <w:rsid w:val="00A26409"/>
    <w:rsid w:val="00A33AEF"/>
    <w:rsid w:val="00A35D42"/>
    <w:rsid w:val="00A4625A"/>
    <w:rsid w:val="00A46CCF"/>
    <w:rsid w:val="00A53451"/>
    <w:rsid w:val="00A618C9"/>
    <w:rsid w:val="00A6382E"/>
    <w:rsid w:val="00A70426"/>
    <w:rsid w:val="00A70C31"/>
    <w:rsid w:val="00A70DC6"/>
    <w:rsid w:val="00A77450"/>
    <w:rsid w:val="00A85858"/>
    <w:rsid w:val="00A8798E"/>
    <w:rsid w:val="00A91E9A"/>
    <w:rsid w:val="00A92EE9"/>
    <w:rsid w:val="00A93ED9"/>
    <w:rsid w:val="00A96221"/>
    <w:rsid w:val="00AA0AA6"/>
    <w:rsid w:val="00AA3758"/>
    <w:rsid w:val="00AB075B"/>
    <w:rsid w:val="00AC1452"/>
    <w:rsid w:val="00AC586C"/>
    <w:rsid w:val="00AC6A99"/>
    <w:rsid w:val="00AD0A3D"/>
    <w:rsid w:val="00AD4D1B"/>
    <w:rsid w:val="00AE2455"/>
    <w:rsid w:val="00AE3230"/>
    <w:rsid w:val="00AE59CA"/>
    <w:rsid w:val="00AE7DC2"/>
    <w:rsid w:val="00AF5F6A"/>
    <w:rsid w:val="00AF7114"/>
    <w:rsid w:val="00B055EF"/>
    <w:rsid w:val="00B0688F"/>
    <w:rsid w:val="00B151A6"/>
    <w:rsid w:val="00B20744"/>
    <w:rsid w:val="00B22D4D"/>
    <w:rsid w:val="00B23769"/>
    <w:rsid w:val="00B252FF"/>
    <w:rsid w:val="00B27F30"/>
    <w:rsid w:val="00B30596"/>
    <w:rsid w:val="00B35C2E"/>
    <w:rsid w:val="00B400A8"/>
    <w:rsid w:val="00B463E0"/>
    <w:rsid w:val="00B46D16"/>
    <w:rsid w:val="00B47B9A"/>
    <w:rsid w:val="00B5749A"/>
    <w:rsid w:val="00B60753"/>
    <w:rsid w:val="00B6138D"/>
    <w:rsid w:val="00B67E32"/>
    <w:rsid w:val="00B70F84"/>
    <w:rsid w:val="00B730D7"/>
    <w:rsid w:val="00B7578A"/>
    <w:rsid w:val="00B80D8E"/>
    <w:rsid w:val="00B80FEA"/>
    <w:rsid w:val="00B81808"/>
    <w:rsid w:val="00B8478D"/>
    <w:rsid w:val="00B86DFA"/>
    <w:rsid w:val="00B916E2"/>
    <w:rsid w:val="00B936D0"/>
    <w:rsid w:val="00B93964"/>
    <w:rsid w:val="00B96458"/>
    <w:rsid w:val="00B97F50"/>
    <w:rsid w:val="00BA1C53"/>
    <w:rsid w:val="00BA41E3"/>
    <w:rsid w:val="00BA7F19"/>
    <w:rsid w:val="00BB0733"/>
    <w:rsid w:val="00BB16E3"/>
    <w:rsid w:val="00BB6539"/>
    <w:rsid w:val="00BB74E9"/>
    <w:rsid w:val="00BC12A3"/>
    <w:rsid w:val="00BC42BA"/>
    <w:rsid w:val="00BD3D5B"/>
    <w:rsid w:val="00BD3F5C"/>
    <w:rsid w:val="00BE1006"/>
    <w:rsid w:val="00BE3600"/>
    <w:rsid w:val="00BE7101"/>
    <w:rsid w:val="00BF2EFA"/>
    <w:rsid w:val="00C000B7"/>
    <w:rsid w:val="00C00427"/>
    <w:rsid w:val="00C01F6F"/>
    <w:rsid w:val="00C0378C"/>
    <w:rsid w:val="00C06E7B"/>
    <w:rsid w:val="00C06EBC"/>
    <w:rsid w:val="00C1440E"/>
    <w:rsid w:val="00C149AB"/>
    <w:rsid w:val="00C21F70"/>
    <w:rsid w:val="00C3480E"/>
    <w:rsid w:val="00C36020"/>
    <w:rsid w:val="00C3619B"/>
    <w:rsid w:val="00C40694"/>
    <w:rsid w:val="00C43298"/>
    <w:rsid w:val="00C47353"/>
    <w:rsid w:val="00C5045F"/>
    <w:rsid w:val="00C56822"/>
    <w:rsid w:val="00C60D10"/>
    <w:rsid w:val="00C61BC1"/>
    <w:rsid w:val="00C627D4"/>
    <w:rsid w:val="00C66D3E"/>
    <w:rsid w:val="00C70542"/>
    <w:rsid w:val="00C72C50"/>
    <w:rsid w:val="00C75CBF"/>
    <w:rsid w:val="00C850A3"/>
    <w:rsid w:val="00C86B32"/>
    <w:rsid w:val="00CA4B04"/>
    <w:rsid w:val="00CB65E1"/>
    <w:rsid w:val="00CC2894"/>
    <w:rsid w:val="00CC381F"/>
    <w:rsid w:val="00CD1DF1"/>
    <w:rsid w:val="00CD26D6"/>
    <w:rsid w:val="00CD37B8"/>
    <w:rsid w:val="00CD77C3"/>
    <w:rsid w:val="00CE112C"/>
    <w:rsid w:val="00CE31DB"/>
    <w:rsid w:val="00CE677A"/>
    <w:rsid w:val="00CF55D4"/>
    <w:rsid w:val="00CF697D"/>
    <w:rsid w:val="00D13CF0"/>
    <w:rsid w:val="00D17CE4"/>
    <w:rsid w:val="00D21776"/>
    <w:rsid w:val="00D27256"/>
    <w:rsid w:val="00D31988"/>
    <w:rsid w:val="00D32E4D"/>
    <w:rsid w:val="00D4103A"/>
    <w:rsid w:val="00D42C9F"/>
    <w:rsid w:val="00D43870"/>
    <w:rsid w:val="00D530C9"/>
    <w:rsid w:val="00D55296"/>
    <w:rsid w:val="00D56F27"/>
    <w:rsid w:val="00D5797C"/>
    <w:rsid w:val="00D608DA"/>
    <w:rsid w:val="00D609B8"/>
    <w:rsid w:val="00D6686F"/>
    <w:rsid w:val="00D67C86"/>
    <w:rsid w:val="00D70753"/>
    <w:rsid w:val="00D730BF"/>
    <w:rsid w:val="00D846DE"/>
    <w:rsid w:val="00D848C3"/>
    <w:rsid w:val="00D85325"/>
    <w:rsid w:val="00D8607E"/>
    <w:rsid w:val="00D911F5"/>
    <w:rsid w:val="00D96EA9"/>
    <w:rsid w:val="00DA0738"/>
    <w:rsid w:val="00DB16A4"/>
    <w:rsid w:val="00DB75F3"/>
    <w:rsid w:val="00DC3788"/>
    <w:rsid w:val="00DC3C55"/>
    <w:rsid w:val="00DC76C7"/>
    <w:rsid w:val="00DD09F5"/>
    <w:rsid w:val="00DD4201"/>
    <w:rsid w:val="00DD422C"/>
    <w:rsid w:val="00DD47A5"/>
    <w:rsid w:val="00DD4C54"/>
    <w:rsid w:val="00DD5E9F"/>
    <w:rsid w:val="00DD7B45"/>
    <w:rsid w:val="00DE5711"/>
    <w:rsid w:val="00DE60BE"/>
    <w:rsid w:val="00DE7E4A"/>
    <w:rsid w:val="00DF588F"/>
    <w:rsid w:val="00DF76BB"/>
    <w:rsid w:val="00E00EA0"/>
    <w:rsid w:val="00E01DA5"/>
    <w:rsid w:val="00E02BF0"/>
    <w:rsid w:val="00E04152"/>
    <w:rsid w:val="00E05F54"/>
    <w:rsid w:val="00E067C0"/>
    <w:rsid w:val="00E07973"/>
    <w:rsid w:val="00E07BA1"/>
    <w:rsid w:val="00E11B40"/>
    <w:rsid w:val="00E13374"/>
    <w:rsid w:val="00E138F1"/>
    <w:rsid w:val="00E15645"/>
    <w:rsid w:val="00E16A31"/>
    <w:rsid w:val="00E17FCB"/>
    <w:rsid w:val="00E2309D"/>
    <w:rsid w:val="00E26758"/>
    <w:rsid w:val="00E34682"/>
    <w:rsid w:val="00E4357B"/>
    <w:rsid w:val="00E47105"/>
    <w:rsid w:val="00E558BB"/>
    <w:rsid w:val="00E6239C"/>
    <w:rsid w:val="00E63598"/>
    <w:rsid w:val="00E63DE5"/>
    <w:rsid w:val="00E65559"/>
    <w:rsid w:val="00E65A37"/>
    <w:rsid w:val="00E71A10"/>
    <w:rsid w:val="00E730C2"/>
    <w:rsid w:val="00E77B48"/>
    <w:rsid w:val="00E82B8D"/>
    <w:rsid w:val="00E83C6C"/>
    <w:rsid w:val="00E85F33"/>
    <w:rsid w:val="00E87441"/>
    <w:rsid w:val="00E91799"/>
    <w:rsid w:val="00E93FCA"/>
    <w:rsid w:val="00E96B90"/>
    <w:rsid w:val="00E97CB9"/>
    <w:rsid w:val="00EA21FE"/>
    <w:rsid w:val="00EA28B5"/>
    <w:rsid w:val="00EA34E3"/>
    <w:rsid w:val="00EA7204"/>
    <w:rsid w:val="00EB1CD1"/>
    <w:rsid w:val="00EB6644"/>
    <w:rsid w:val="00EB7538"/>
    <w:rsid w:val="00EC2043"/>
    <w:rsid w:val="00EC4509"/>
    <w:rsid w:val="00EC4FB8"/>
    <w:rsid w:val="00EC537B"/>
    <w:rsid w:val="00ED101E"/>
    <w:rsid w:val="00ED51F5"/>
    <w:rsid w:val="00ED540A"/>
    <w:rsid w:val="00EE0250"/>
    <w:rsid w:val="00EE037F"/>
    <w:rsid w:val="00EE1F9D"/>
    <w:rsid w:val="00EE6468"/>
    <w:rsid w:val="00EE6F90"/>
    <w:rsid w:val="00EF5213"/>
    <w:rsid w:val="00F03663"/>
    <w:rsid w:val="00F06C0B"/>
    <w:rsid w:val="00F11771"/>
    <w:rsid w:val="00F12E1D"/>
    <w:rsid w:val="00F13232"/>
    <w:rsid w:val="00F15B3B"/>
    <w:rsid w:val="00F171CB"/>
    <w:rsid w:val="00F207A4"/>
    <w:rsid w:val="00F337CC"/>
    <w:rsid w:val="00F355AC"/>
    <w:rsid w:val="00F53FA1"/>
    <w:rsid w:val="00F573CE"/>
    <w:rsid w:val="00F647B5"/>
    <w:rsid w:val="00F678E0"/>
    <w:rsid w:val="00F712C4"/>
    <w:rsid w:val="00F71A5A"/>
    <w:rsid w:val="00F769E0"/>
    <w:rsid w:val="00F84555"/>
    <w:rsid w:val="00F90C6D"/>
    <w:rsid w:val="00F91AF7"/>
    <w:rsid w:val="00F9625C"/>
    <w:rsid w:val="00F97119"/>
    <w:rsid w:val="00FA75FE"/>
    <w:rsid w:val="00FB1032"/>
    <w:rsid w:val="00FB2315"/>
    <w:rsid w:val="00FC1F02"/>
    <w:rsid w:val="00FC6BDE"/>
    <w:rsid w:val="00FC6BE9"/>
    <w:rsid w:val="00FD0D39"/>
    <w:rsid w:val="00FD3073"/>
    <w:rsid w:val="00FD491D"/>
    <w:rsid w:val="00FF0D90"/>
    <w:rsid w:val="00FF1796"/>
    <w:rsid w:val="00FF30B1"/>
    <w:rsid w:val="00FF42B5"/>
    <w:rsid w:val="00FF43F5"/>
    <w:rsid w:val="00FF4990"/>
    <w:rsid w:val="00FF733C"/>
    <w:rsid w:val="00FF738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76E821"/>
  <w15:docId w15:val="{D9EDDC90-9447-4482-BB68-581EBDA0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A7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CommentText">
    <w:name w:val="annotation text"/>
    <w:basedOn w:val="Normal"/>
    <w:link w:val="CommentTextChar"/>
    <w:uiPriority w:val="99"/>
    <w:unhideWhenUsed/>
    <w:rsid w:val="00EE0250"/>
    <w:pPr>
      <w:spacing w:after="16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EE0250"/>
    <w:rPr>
      <w:rFonts w:ascii="Calibri" w:eastAsia="Calibri" w:hAnsi="Calibri" w:cs="Arial"/>
      <w:lang w:bidi="ar-SA"/>
    </w:rPr>
  </w:style>
  <w:style w:type="character" w:styleId="CommentReference">
    <w:name w:val="annotation reference"/>
    <w:uiPriority w:val="99"/>
    <w:semiHidden/>
    <w:unhideWhenUsed/>
    <w:rsid w:val="00EE0250"/>
    <w:rPr>
      <w:sz w:val="16"/>
      <w:szCs w:val="16"/>
    </w:rPr>
  </w:style>
  <w:style w:type="paragraph" w:styleId="CommentSubject">
    <w:name w:val="annotation subject"/>
    <w:basedOn w:val="CommentText"/>
    <w:next w:val="CommentText"/>
    <w:link w:val="CommentSubjectChar"/>
    <w:semiHidden/>
    <w:unhideWhenUsed/>
    <w:rsid w:val="00EE02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EE0250"/>
    <w:rPr>
      <w:rFonts w:ascii="Calibri" w:eastAsia="Calibri" w:hAnsi="Calibri" w:cs="Arial"/>
      <w:b/>
      <w:bCs/>
      <w:lang w:bidi="ar-SA"/>
    </w:rPr>
  </w:style>
  <w:style w:type="paragraph" w:styleId="ListParagraph">
    <w:name w:val="List Paragraph"/>
    <w:basedOn w:val="Normal"/>
    <w:uiPriority w:val="34"/>
    <w:qFormat/>
    <w:rsid w:val="008B37ED"/>
    <w:pPr>
      <w:spacing w:before="100" w:beforeAutospacing="1" w:after="100" w:afterAutospacing="1"/>
    </w:pPr>
    <w:rPr>
      <w:rFonts w:eastAsia="Calibri"/>
    </w:rPr>
  </w:style>
  <w:style w:type="paragraph" w:styleId="Revision">
    <w:name w:val="Revision"/>
    <w:hidden/>
    <w:uiPriority w:val="99"/>
    <w:semiHidden/>
    <w:rsid w:val="00723113"/>
    <w:rPr>
      <w:sz w:val="24"/>
      <w:szCs w:val="24"/>
      <w:lang w:bidi="ar-SA"/>
    </w:rPr>
  </w:style>
  <w:style w:type="character" w:styleId="Hyperlink">
    <w:name w:val="Hyperlink"/>
    <w:basedOn w:val="DefaultParagraphFont"/>
    <w:uiPriority w:val="99"/>
    <w:unhideWhenUsed/>
    <w:rsid w:val="00005C86"/>
    <w:rPr>
      <w:color w:val="0000FF" w:themeColor="hyperlink"/>
      <w:u w:val="single"/>
    </w:rPr>
  </w:style>
  <w:style w:type="character" w:styleId="UnresolvedMention">
    <w:name w:val="Unresolved Mention"/>
    <w:basedOn w:val="DefaultParagraphFont"/>
    <w:uiPriority w:val="99"/>
    <w:semiHidden/>
    <w:unhideWhenUsed/>
    <w:rsid w:val="00005C86"/>
    <w:rPr>
      <w:color w:val="605E5C"/>
      <w:shd w:val="clear" w:color="auto" w:fill="E1DFDD"/>
    </w:rPr>
  </w:style>
  <w:style w:type="character" w:customStyle="1" w:styleId="e24kjd">
    <w:name w:val="e24kjd"/>
    <w:basedOn w:val="DefaultParagraphFont"/>
    <w:rsid w:val="00E63598"/>
  </w:style>
  <w:style w:type="paragraph" w:customStyle="1" w:styleId="FigureTitle">
    <w:name w:val="Figure Title"/>
    <w:basedOn w:val="Normal"/>
    <w:uiPriority w:val="99"/>
    <w:rsid w:val="005A052A"/>
    <w:pPr>
      <w:keepNext/>
      <w:keepLines/>
      <w:spacing w:before="240" w:after="240"/>
    </w:pPr>
    <w:rPr>
      <w:b/>
      <w:szCs w:val="20"/>
    </w:rPr>
  </w:style>
  <w:style w:type="character" w:customStyle="1" w:styleId="BodyText2Char">
    <w:name w:val="Body Text 2 Char"/>
    <w:basedOn w:val="DefaultParagraphFont"/>
    <w:link w:val="BodyText2"/>
    <w:rsid w:val="0072413F"/>
    <w:rPr>
      <w:sz w:val="24"/>
      <w:lang w:bidi="ar-SA"/>
    </w:rPr>
  </w:style>
  <w:style w:type="paragraph" w:styleId="FootnoteText">
    <w:name w:val="footnote text"/>
    <w:basedOn w:val="Normal"/>
    <w:link w:val="FootnoteTextChar"/>
    <w:semiHidden/>
    <w:unhideWhenUsed/>
    <w:rsid w:val="0038612E"/>
    <w:rPr>
      <w:sz w:val="20"/>
      <w:szCs w:val="20"/>
    </w:rPr>
  </w:style>
  <w:style w:type="character" w:customStyle="1" w:styleId="FootnoteTextChar">
    <w:name w:val="Footnote Text Char"/>
    <w:basedOn w:val="DefaultParagraphFont"/>
    <w:link w:val="FootnoteText"/>
    <w:semiHidden/>
    <w:rsid w:val="0038612E"/>
    <w:rPr>
      <w:lang w:bidi="ar-SA"/>
    </w:rPr>
  </w:style>
  <w:style w:type="character" w:styleId="FootnoteReference">
    <w:name w:val="footnote reference"/>
    <w:basedOn w:val="DefaultParagraphFont"/>
    <w:semiHidden/>
    <w:unhideWhenUsed/>
    <w:rsid w:val="0038612E"/>
    <w:rPr>
      <w:vertAlign w:val="superscript"/>
    </w:rPr>
  </w:style>
  <w:style w:type="paragraph" w:customStyle="1" w:styleId="TableText">
    <w:name w:val="Table Text"/>
    <w:basedOn w:val="Normal"/>
    <w:qFormat/>
    <w:rsid w:val="006F4BD2"/>
    <w:pPr>
      <w:spacing w:before="60" w:after="60"/>
    </w:pPr>
    <w:rPr>
      <w:rFonts w:ascii="Verdana" w:eastAsiaTheme="minorHAnsi" w:hAnsi="Verdana" w:cs="Calibri"/>
      <w:sz w:val="18"/>
      <w:szCs w:val="18"/>
    </w:rPr>
  </w:style>
  <w:style w:type="paragraph" w:customStyle="1" w:styleId="TableTextIndent1">
    <w:name w:val="Table Text Indent1"/>
    <w:basedOn w:val="Normal"/>
    <w:qFormat/>
    <w:rsid w:val="006F4BD2"/>
    <w:pPr>
      <w:spacing w:before="60" w:after="60"/>
      <w:ind w:left="245"/>
    </w:pPr>
    <w:rPr>
      <w:rFonts w:ascii="Verdana" w:eastAsia="MS Mincho" w:hAnsi="Verdana"/>
      <w:sz w:val="18"/>
      <w:szCs w:val="20"/>
    </w:rPr>
  </w:style>
  <w:style w:type="paragraph" w:customStyle="1" w:styleId="Normal1">
    <w:name w:val="Normal1"/>
    <w:rsid w:val="00090389"/>
    <w:pPr>
      <w:pBdr>
        <w:top w:val="nil"/>
        <w:left w:val="nil"/>
        <w:bottom w:val="nil"/>
        <w:right w:val="nil"/>
        <w:between w:val="nil"/>
      </w:pBdr>
      <w:spacing w:line="276" w:lineRule="auto"/>
    </w:pPr>
    <w:rPr>
      <w:rFonts w:ascii="Arial" w:eastAsia="Arial" w:hAnsi="Arial" w:cs="Arial"/>
      <w:color w:val="000000"/>
      <w:sz w:val="22"/>
      <w:szCs w:val="22"/>
      <w:lang w:bidi="ar-SA"/>
    </w:rPr>
  </w:style>
  <w:style w:type="paragraph" w:styleId="Header">
    <w:name w:val="header"/>
    <w:basedOn w:val="Normal"/>
    <w:link w:val="HeaderChar"/>
    <w:unhideWhenUsed/>
    <w:rsid w:val="007F46E8"/>
    <w:pPr>
      <w:tabs>
        <w:tab w:val="center" w:pos="4680"/>
        <w:tab w:val="right" w:pos="9360"/>
      </w:tabs>
    </w:pPr>
  </w:style>
  <w:style w:type="character" w:customStyle="1" w:styleId="HeaderChar">
    <w:name w:val="Header Char"/>
    <w:basedOn w:val="DefaultParagraphFont"/>
    <w:link w:val="Header"/>
    <w:rsid w:val="007F46E8"/>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279655">
      <w:bodyDiv w:val="1"/>
      <w:marLeft w:val="0"/>
      <w:marRight w:val="0"/>
      <w:marTop w:val="0"/>
      <w:marBottom w:val="0"/>
      <w:divBdr>
        <w:top w:val="none" w:sz="0" w:space="0" w:color="auto"/>
        <w:left w:val="none" w:sz="0" w:space="0" w:color="auto"/>
        <w:bottom w:val="none" w:sz="0" w:space="0" w:color="auto"/>
        <w:right w:val="none" w:sz="0" w:space="0" w:color="auto"/>
      </w:divBdr>
    </w:div>
    <w:div w:id="263267489">
      <w:bodyDiv w:val="1"/>
      <w:marLeft w:val="0"/>
      <w:marRight w:val="0"/>
      <w:marTop w:val="0"/>
      <w:marBottom w:val="0"/>
      <w:divBdr>
        <w:top w:val="none" w:sz="0" w:space="0" w:color="auto"/>
        <w:left w:val="none" w:sz="0" w:space="0" w:color="auto"/>
        <w:bottom w:val="none" w:sz="0" w:space="0" w:color="auto"/>
        <w:right w:val="none" w:sz="0" w:space="0" w:color="auto"/>
      </w:divBdr>
    </w:div>
    <w:div w:id="283385388">
      <w:bodyDiv w:val="1"/>
      <w:marLeft w:val="0"/>
      <w:marRight w:val="0"/>
      <w:marTop w:val="0"/>
      <w:marBottom w:val="0"/>
      <w:divBdr>
        <w:top w:val="none" w:sz="0" w:space="0" w:color="auto"/>
        <w:left w:val="none" w:sz="0" w:space="0" w:color="auto"/>
        <w:bottom w:val="none" w:sz="0" w:space="0" w:color="auto"/>
        <w:right w:val="none" w:sz="0" w:space="0" w:color="auto"/>
      </w:divBdr>
    </w:div>
    <w:div w:id="562062246">
      <w:bodyDiv w:val="1"/>
      <w:marLeft w:val="0"/>
      <w:marRight w:val="0"/>
      <w:marTop w:val="0"/>
      <w:marBottom w:val="0"/>
      <w:divBdr>
        <w:top w:val="none" w:sz="0" w:space="0" w:color="auto"/>
        <w:left w:val="none" w:sz="0" w:space="0" w:color="auto"/>
        <w:bottom w:val="none" w:sz="0" w:space="0" w:color="auto"/>
        <w:right w:val="none" w:sz="0" w:space="0" w:color="auto"/>
      </w:divBdr>
    </w:div>
    <w:div w:id="812866836">
      <w:bodyDiv w:val="1"/>
      <w:marLeft w:val="0"/>
      <w:marRight w:val="0"/>
      <w:marTop w:val="0"/>
      <w:marBottom w:val="0"/>
      <w:divBdr>
        <w:top w:val="none" w:sz="0" w:space="0" w:color="auto"/>
        <w:left w:val="none" w:sz="0" w:space="0" w:color="auto"/>
        <w:bottom w:val="none" w:sz="0" w:space="0" w:color="auto"/>
        <w:right w:val="none" w:sz="0" w:space="0" w:color="auto"/>
      </w:divBdr>
    </w:div>
    <w:div w:id="868876428">
      <w:bodyDiv w:val="1"/>
      <w:marLeft w:val="0"/>
      <w:marRight w:val="0"/>
      <w:marTop w:val="0"/>
      <w:marBottom w:val="0"/>
      <w:divBdr>
        <w:top w:val="none" w:sz="0" w:space="0" w:color="auto"/>
        <w:left w:val="none" w:sz="0" w:space="0" w:color="auto"/>
        <w:bottom w:val="none" w:sz="0" w:space="0" w:color="auto"/>
        <w:right w:val="none" w:sz="0" w:space="0" w:color="auto"/>
      </w:divBdr>
    </w:div>
    <w:div w:id="958874035">
      <w:bodyDiv w:val="1"/>
      <w:marLeft w:val="0"/>
      <w:marRight w:val="0"/>
      <w:marTop w:val="0"/>
      <w:marBottom w:val="0"/>
      <w:divBdr>
        <w:top w:val="none" w:sz="0" w:space="0" w:color="auto"/>
        <w:left w:val="none" w:sz="0" w:space="0" w:color="auto"/>
        <w:bottom w:val="none" w:sz="0" w:space="0" w:color="auto"/>
        <w:right w:val="none" w:sz="0" w:space="0" w:color="auto"/>
      </w:divBdr>
    </w:div>
    <w:div w:id="1022437130">
      <w:bodyDiv w:val="1"/>
      <w:marLeft w:val="0"/>
      <w:marRight w:val="0"/>
      <w:marTop w:val="0"/>
      <w:marBottom w:val="0"/>
      <w:divBdr>
        <w:top w:val="none" w:sz="0" w:space="0" w:color="auto"/>
        <w:left w:val="none" w:sz="0" w:space="0" w:color="auto"/>
        <w:bottom w:val="none" w:sz="0" w:space="0" w:color="auto"/>
        <w:right w:val="none" w:sz="0" w:space="0" w:color="auto"/>
      </w:divBdr>
    </w:div>
    <w:div w:id="1101874460">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85650213">
      <w:bodyDiv w:val="1"/>
      <w:marLeft w:val="0"/>
      <w:marRight w:val="0"/>
      <w:marTop w:val="0"/>
      <w:marBottom w:val="0"/>
      <w:divBdr>
        <w:top w:val="none" w:sz="0" w:space="0" w:color="auto"/>
        <w:left w:val="none" w:sz="0" w:space="0" w:color="auto"/>
        <w:bottom w:val="none" w:sz="0" w:space="0" w:color="auto"/>
        <w:right w:val="none" w:sz="0" w:space="0" w:color="auto"/>
      </w:divBdr>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505583532">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655136548">
      <w:bodyDiv w:val="1"/>
      <w:marLeft w:val="0"/>
      <w:marRight w:val="0"/>
      <w:marTop w:val="0"/>
      <w:marBottom w:val="0"/>
      <w:divBdr>
        <w:top w:val="none" w:sz="0" w:space="0" w:color="auto"/>
        <w:left w:val="none" w:sz="0" w:space="0" w:color="auto"/>
        <w:bottom w:val="none" w:sz="0" w:space="0" w:color="auto"/>
        <w:right w:val="none" w:sz="0" w:space="0" w:color="auto"/>
      </w:divBdr>
    </w:div>
    <w:div w:id="1675456808">
      <w:bodyDiv w:val="1"/>
      <w:marLeft w:val="0"/>
      <w:marRight w:val="0"/>
      <w:marTop w:val="0"/>
      <w:marBottom w:val="0"/>
      <w:divBdr>
        <w:top w:val="none" w:sz="0" w:space="0" w:color="auto"/>
        <w:left w:val="none" w:sz="0" w:space="0" w:color="auto"/>
        <w:bottom w:val="none" w:sz="0" w:space="0" w:color="auto"/>
        <w:right w:val="none" w:sz="0" w:space="0" w:color="auto"/>
      </w:divBdr>
    </w:div>
    <w:div w:id="1733692895">
      <w:bodyDiv w:val="1"/>
      <w:marLeft w:val="0"/>
      <w:marRight w:val="0"/>
      <w:marTop w:val="0"/>
      <w:marBottom w:val="0"/>
      <w:divBdr>
        <w:top w:val="none" w:sz="0" w:space="0" w:color="auto"/>
        <w:left w:val="none" w:sz="0" w:space="0" w:color="auto"/>
        <w:bottom w:val="none" w:sz="0" w:space="0" w:color="auto"/>
        <w:right w:val="none" w:sz="0" w:space="0" w:color="auto"/>
      </w:divBdr>
    </w:div>
    <w:div w:id="1767386252">
      <w:bodyDiv w:val="1"/>
      <w:marLeft w:val="0"/>
      <w:marRight w:val="0"/>
      <w:marTop w:val="0"/>
      <w:marBottom w:val="0"/>
      <w:divBdr>
        <w:top w:val="none" w:sz="0" w:space="0" w:color="auto"/>
        <w:left w:val="none" w:sz="0" w:space="0" w:color="auto"/>
        <w:bottom w:val="none" w:sz="0" w:space="0" w:color="auto"/>
        <w:right w:val="none" w:sz="0" w:space="0" w:color="auto"/>
      </w:divBdr>
    </w:div>
    <w:div w:id="1787192999">
      <w:bodyDiv w:val="1"/>
      <w:marLeft w:val="0"/>
      <w:marRight w:val="0"/>
      <w:marTop w:val="0"/>
      <w:marBottom w:val="0"/>
      <w:divBdr>
        <w:top w:val="none" w:sz="0" w:space="0" w:color="auto"/>
        <w:left w:val="none" w:sz="0" w:space="0" w:color="auto"/>
        <w:bottom w:val="none" w:sz="0" w:space="0" w:color="auto"/>
        <w:right w:val="none" w:sz="0" w:space="0" w:color="auto"/>
      </w:divBdr>
    </w:div>
    <w:div w:id="2119980663">
      <w:bodyDiv w:val="1"/>
      <w:marLeft w:val="0"/>
      <w:marRight w:val="0"/>
      <w:marTop w:val="0"/>
      <w:marBottom w:val="0"/>
      <w:divBdr>
        <w:top w:val="none" w:sz="0" w:space="0" w:color="auto"/>
        <w:left w:val="none" w:sz="0" w:space="0" w:color="auto"/>
        <w:bottom w:val="none" w:sz="0" w:space="0" w:color="auto"/>
        <w:right w:val="none" w:sz="0" w:space="0" w:color="auto"/>
      </w:divBdr>
    </w:div>
    <w:div w:id="214296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zabella.Zandberg@fda.hhs.gov" TargetMode="External"/><Relationship Id="rId13" Type="http://schemas.openxmlformats.org/officeDocument/2006/relationships/hyperlink" Target="mailto:rdkennedy@jh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an22@jhu.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xie.Perreras@fda.hhs.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rah.Trigger@fda.hh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chael.Sawdey@fda.hhs.gov" TargetMode="External"/><Relationship Id="rId14" Type="http://schemas.openxmlformats.org/officeDocument/2006/relationships/hyperlink" Target="mailto:lczapli1@jhu.ed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da.gov/tobacco-products/research/research-prior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3375-4178-4FAB-B962-F15A87C7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5035</Words>
  <Characters>28756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Perreras, Lexie</dc:creator>
  <cp:lastModifiedBy>Mizrachi, Ila</cp:lastModifiedBy>
  <cp:revision>8</cp:revision>
  <dcterms:created xsi:type="dcterms:W3CDTF">2022-02-09T17:55:00Z</dcterms:created>
  <dcterms:modified xsi:type="dcterms:W3CDTF">2022-02-11T23:16:00Z</dcterms:modified>
</cp:coreProperties>
</file>