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66442" w:rsidR="00433AF0" w:rsidP="00015ABC" w:rsidRDefault="00B66442" w14:paraId="4DCC3D20" w14:textId="326A90B4">
      <w:pPr>
        <w:jc w:val="center"/>
        <w:rPr>
          <w:rFonts w:ascii="Times New Roman" w:hAnsi="Times New Roman" w:cs="Times New Roman"/>
        </w:rPr>
      </w:pPr>
      <w:r w:rsidRPr="00B66442">
        <w:rPr>
          <w:rFonts w:ascii="Times New Roman" w:hAnsi="Times New Roman" w:cs="Times New Roman"/>
        </w:rPr>
        <w:t xml:space="preserve">U.S. FOOD AND DRUG ADMINISTRATION </w:t>
      </w:r>
    </w:p>
    <w:p w:rsidR="00433AF0" w:rsidP="00015ABC" w:rsidRDefault="00433AF0" w14:paraId="4B7F5DBA" w14:textId="77777777">
      <w:pPr>
        <w:jc w:val="center"/>
        <w:rPr>
          <w:rFonts w:ascii="Times New Roman" w:hAnsi="Times New Roman" w:cs="Times New Roman"/>
        </w:rPr>
      </w:pPr>
    </w:p>
    <w:p w:rsidRPr="00E4631B" w:rsidR="00B57F6B" w:rsidP="00433AF0" w:rsidRDefault="00525E1B" w14:paraId="01C85624" w14:textId="3BEBEEAA">
      <w:pPr>
        <w:jc w:val="center"/>
        <w:rPr>
          <w:rFonts w:ascii="Times New Roman" w:hAnsi="Times New Roman" w:cs="Times New Roman"/>
        </w:rPr>
      </w:pPr>
      <w:r w:rsidRPr="00E4631B">
        <w:rPr>
          <w:rFonts w:ascii="Times New Roman" w:hAnsi="Times New Roman" w:cs="Times New Roman"/>
        </w:rPr>
        <w:t xml:space="preserve">How </w:t>
      </w:r>
      <w:r w:rsidRPr="00E4631B" w:rsidR="00B66442">
        <w:rPr>
          <w:rFonts w:ascii="Times New Roman" w:hAnsi="Times New Roman" w:cs="Times New Roman"/>
        </w:rPr>
        <w:t>C</w:t>
      </w:r>
      <w:r w:rsidRPr="00E4631B">
        <w:rPr>
          <w:rFonts w:ascii="Times New Roman" w:hAnsi="Times New Roman" w:cs="Times New Roman"/>
        </w:rPr>
        <w:t xml:space="preserve">onsumers </w:t>
      </w:r>
      <w:r w:rsidRPr="00E4631B" w:rsidR="00B66442">
        <w:rPr>
          <w:rFonts w:ascii="Times New Roman" w:hAnsi="Times New Roman" w:cs="Times New Roman"/>
        </w:rPr>
        <w:t>U</w:t>
      </w:r>
      <w:r w:rsidRPr="00E4631B">
        <w:rPr>
          <w:rFonts w:ascii="Times New Roman" w:hAnsi="Times New Roman" w:cs="Times New Roman"/>
        </w:rPr>
        <w:t xml:space="preserve">se </w:t>
      </w:r>
      <w:r w:rsidRPr="00E4631B" w:rsidR="00B66442">
        <w:rPr>
          <w:rFonts w:ascii="Times New Roman" w:hAnsi="Times New Roman" w:cs="Times New Roman"/>
        </w:rPr>
        <w:t>F</w:t>
      </w:r>
      <w:r w:rsidRPr="00E4631B">
        <w:rPr>
          <w:rFonts w:ascii="Times New Roman" w:hAnsi="Times New Roman" w:cs="Times New Roman"/>
        </w:rPr>
        <w:t xml:space="preserve">lavors to </w:t>
      </w:r>
      <w:r w:rsidRPr="00E4631B" w:rsidR="00B66442">
        <w:rPr>
          <w:rFonts w:ascii="Times New Roman" w:hAnsi="Times New Roman" w:cs="Times New Roman"/>
        </w:rPr>
        <w:t>M</w:t>
      </w:r>
      <w:r w:rsidRPr="00E4631B">
        <w:rPr>
          <w:rFonts w:ascii="Times New Roman" w:hAnsi="Times New Roman" w:cs="Times New Roman"/>
        </w:rPr>
        <w:t xml:space="preserve">ake </w:t>
      </w:r>
      <w:r w:rsidRPr="00E4631B" w:rsidR="00B66442">
        <w:rPr>
          <w:rFonts w:ascii="Times New Roman" w:hAnsi="Times New Roman" w:cs="Times New Roman"/>
        </w:rPr>
        <w:t>I</w:t>
      </w:r>
      <w:r w:rsidRPr="00E4631B">
        <w:rPr>
          <w:rFonts w:ascii="Times New Roman" w:hAnsi="Times New Roman" w:cs="Times New Roman"/>
        </w:rPr>
        <w:t xml:space="preserve">nferences </w:t>
      </w:r>
      <w:r w:rsidRPr="00E4631B" w:rsidR="00B66442">
        <w:rPr>
          <w:rFonts w:ascii="Times New Roman" w:hAnsi="Times New Roman" w:cs="Times New Roman"/>
        </w:rPr>
        <w:t>A</w:t>
      </w:r>
      <w:r w:rsidRPr="00E4631B">
        <w:rPr>
          <w:rFonts w:ascii="Times New Roman" w:hAnsi="Times New Roman" w:cs="Times New Roman"/>
        </w:rPr>
        <w:t xml:space="preserve">bout Electronic Nicotine Delivery System (ENDS) </w:t>
      </w:r>
      <w:r w:rsidRPr="00E4631B" w:rsidR="00B66442">
        <w:rPr>
          <w:rFonts w:ascii="Times New Roman" w:hAnsi="Times New Roman" w:cs="Times New Roman"/>
        </w:rPr>
        <w:t>P</w:t>
      </w:r>
      <w:r w:rsidRPr="00E4631B">
        <w:rPr>
          <w:rFonts w:ascii="Times New Roman" w:hAnsi="Times New Roman" w:cs="Times New Roman"/>
        </w:rPr>
        <w:t xml:space="preserve">roduct </w:t>
      </w:r>
      <w:r w:rsidRPr="00E4631B" w:rsidR="00B66442">
        <w:rPr>
          <w:rFonts w:ascii="Times New Roman" w:hAnsi="Times New Roman" w:cs="Times New Roman"/>
        </w:rPr>
        <w:t>Q</w:t>
      </w:r>
      <w:r w:rsidRPr="00E4631B">
        <w:rPr>
          <w:rFonts w:ascii="Times New Roman" w:hAnsi="Times New Roman" w:cs="Times New Roman"/>
        </w:rPr>
        <w:t xml:space="preserve">ualities and </w:t>
      </w:r>
      <w:r w:rsidRPr="00E4631B" w:rsidR="00B66442">
        <w:rPr>
          <w:rFonts w:ascii="Times New Roman" w:hAnsi="Times New Roman" w:cs="Times New Roman"/>
        </w:rPr>
        <w:t>I</w:t>
      </w:r>
      <w:r w:rsidRPr="00E4631B">
        <w:rPr>
          <w:rFonts w:ascii="Times New Roman" w:hAnsi="Times New Roman" w:cs="Times New Roman"/>
        </w:rPr>
        <w:t xml:space="preserve">ntentions to </w:t>
      </w:r>
      <w:r w:rsidRPr="00E4631B" w:rsidR="00B66442">
        <w:rPr>
          <w:rFonts w:ascii="Times New Roman" w:hAnsi="Times New Roman" w:cs="Times New Roman"/>
        </w:rPr>
        <w:t>U</w:t>
      </w:r>
      <w:r w:rsidRPr="00E4631B">
        <w:rPr>
          <w:rFonts w:ascii="Times New Roman" w:hAnsi="Times New Roman" w:cs="Times New Roman"/>
        </w:rPr>
        <w:t>se (Phase 2)</w:t>
      </w:r>
    </w:p>
    <w:p w:rsidR="00B66442" w:rsidP="00433AF0" w:rsidRDefault="00B66442" w14:paraId="0262C236" w14:textId="21C15056">
      <w:pPr>
        <w:jc w:val="center"/>
        <w:rPr>
          <w:rFonts w:ascii="Times New Roman" w:hAnsi="Times New Roman" w:cs="Times New Roman"/>
          <w:b/>
          <w:bCs/>
        </w:rPr>
      </w:pPr>
    </w:p>
    <w:p w:rsidR="00B66442" w:rsidP="00433AF0" w:rsidRDefault="00B66442" w14:paraId="1033A7FF" w14:textId="0B1139FD">
      <w:pPr>
        <w:jc w:val="center"/>
        <w:rPr>
          <w:rFonts w:ascii="Times New Roman" w:hAnsi="Times New Roman" w:cs="Times New Roman"/>
        </w:rPr>
      </w:pPr>
      <w:r>
        <w:rPr>
          <w:rFonts w:ascii="Times New Roman" w:hAnsi="Times New Roman" w:cs="Times New Roman"/>
        </w:rPr>
        <w:t>OMB Control No. 0910-NEW</w:t>
      </w:r>
      <w:r w:rsidR="003E42F7">
        <w:rPr>
          <w:rFonts w:ascii="Times New Roman" w:hAnsi="Times New Roman" w:cs="Times New Roman"/>
        </w:rPr>
        <w:t xml:space="preserve"> </w:t>
      </w:r>
      <w:r w:rsidR="00C9506F">
        <w:rPr>
          <w:rFonts w:ascii="Times New Roman" w:hAnsi="Times New Roman" w:cs="Times New Roman"/>
        </w:rPr>
        <w:t xml:space="preserve"> </w:t>
      </w:r>
    </w:p>
    <w:p w:rsidR="007D7A1B" w:rsidP="00433AF0" w:rsidRDefault="007D7A1B" w14:paraId="761DEC9D" w14:textId="750B2F74">
      <w:pPr>
        <w:jc w:val="center"/>
        <w:rPr>
          <w:rFonts w:ascii="Times New Roman" w:hAnsi="Times New Roman" w:cs="Times New Roman"/>
        </w:rPr>
      </w:pPr>
    </w:p>
    <w:p w:rsidRPr="007D7A1B" w:rsidR="007D7A1B" w:rsidP="007D7A1B" w:rsidRDefault="007D7A1B" w14:paraId="49286F0C" w14:textId="0921B4A0">
      <w:pPr>
        <w:rPr>
          <w:rFonts w:ascii="Times New Roman" w:hAnsi="Times New Roman" w:cs="Times New Roman"/>
          <w:b/>
          <w:bCs/>
        </w:rPr>
      </w:pPr>
      <w:r>
        <w:rPr>
          <w:rFonts w:ascii="Times New Roman" w:hAnsi="Times New Roman" w:cs="Times New Roman"/>
        </w:rPr>
        <w:t xml:space="preserve">SUPPORTING STATEMENT </w:t>
      </w:r>
      <w:r>
        <w:rPr>
          <w:rFonts w:ascii="Times New Roman" w:hAnsi="Times New Roman" w:cs="Times New Roman"/>
          <w:b/>
          <w:bCs/>
        </w:rPr>
        <w:t>Part B. Statistical Methods</w:t>
      </w:r>
    </w:p>
    <w:p w:rsidR="00B57F6B" w:rsidP="00015ABC" w:rsidRDefault="00B57F6B" w14:paraId="6C71E8ED" w14:textId="77777777">
      <w:pPr>
        <w:jc w:val="center"/>
        <w:rPr>
          <w:rFonts w:ascii="Arial" w:hAnsi="Arial" w:eastAsia="Times New Roman" w:cs="Arial"/>
        </w:rPr>
      </w:pPr>
    </w:p>
    <w:p w:rsidR="001769A1" w:rsidP="001769A1" w:rsidRDefault="001769A1" w14:paraId="5572F61F" w14:textId="77777777">
      <w:pPr>
        <w:ind w:left="1080" w:hanging="450"/>
      </w:pPr>
    </w:p>
    <w:p w:rsidRPr="00172001" w:rsidR="001769A1" w:rsidP="001769A1" w:rsidRDefault="001769A1" w14:paraId="3658DA8E" w14:textId="77777777">
      <w:pPr>
        <w:pStyle w:val="ListParagraph"/>
        <w:numPr>
          <w:ilvl w:val="0"/>
          <w:numId w:val="1"/>
        </w:numPr>
        <w:ind w:left="1080" w:hanging="450"/>
        <w:rPr>
          <w:rFonts w:ascii="Times New Roman" w:hAnsi="Times New Roman" w:cs="Times New Roman"/>
          <w:u w:val="single"/>
        </w:rPr>
      </w:pPr>
      <w:r w:rsidRPr="00172001">
        <w:rPr>
          <w:rFonts w:ascii="Times New Roman" w:hAnsi="Times New Roman" w:cs="Times New Roman"/>
          <w:u w:val="single"/>
        </w:rPr>
        <w:t>Respondent Universe and Sampling Methods</w:t>
      </w:r>
    </w:p>
    <w:p w:rsidR="001769A1" w:rsidP="001769A1" w:rsidRDefault="001769A1" w14:paraId="09C54485" w14:textId="77777777">
      <w:pPr>
        <w:ind w:left="1080"/>
        <w:rPr>
          <w:rFonts w:ascii="Times New Roman" w:hAnsi="Times New Roman" w:cs="Times New Roman"/>
        </w:rPr>
      </w:pPr>
    </w:p>
    <w:p w:rsidRPr="009A73BF" w:rsidR="001769A1" w:rsidP="001769A1" w:rsidRDefault="001769A1" w14:paraId="6FE24801" w14:textId="48DFD302">
      <w:pPr>
        <w:ind w:left="1080"/>
        <w:rPr>
          <w:rFonts w:ascii="Times New Roman" w:hAnsi="Times New Roman" w:cs="Times New Roman"/>
        </w:rPr>
      </w:pPr>
      <w:r w:rsidRPr="009A73BF">
        <w:rPr>
          <w:rFonts w:ascii="Times New Roman" w:hAnsi="Times New Roman" w:cs="Times New Roman"/>
        </w:rPr>
        <w:t xml:space="preserve">The study sample will consist of approximately </w:t>
      </w:r>
      <w:r w:rsidR="00173731">
        <w:rPr>
          <w:rFonts w:ascii="Times New Roman" w:hAnsi="Times New Roman" w:cs="Times New Roman"/>
        </w:rPr>
        <w:t>1,250</w:t>
      </w:r>
      <w:r w:rsidRPr="009A73BF">
        <w:rPr>
          <w:rFonts w:ascii="Times New Roman" w:hAnsi="Times New Roman" w:cs="Times New Roman"/>
        </w:rPr>
        <w:t xml:space="preserve"> current cigarette smokers, </w:t>
      </w:r>
      <w:r w:rsidR="00173731">
        <w:rPr>
          <w:rFonts w:ascii="Times New Roman" w:hAnsi="Times New Roman" w:cs="Times New Roman"/>
        </w:rPr>
        <w:t>1,250</w:t>
      </w:r>
      <w:r w:rsidRPr="009A73BF">
        <w:rPr>
          <w:rFonts w:ascii="Times New Roman" w:hAnsi="Times New Roman" w:cs="Times New Roman"/>
        </w:rPr>
        <w:t xml:space="preserve"> current e</w:t>
      </w:r>
      <w:r w:rsidRPr="009A73BF">
        <w:rPr>
          <w:rFonts w:ascii="Times New Roman" w:hAnsi="Times New Roman" w:cs="Times New Roman"/>
        </w:rPr>
        <w:noBreakHyphen/>
        <w:t xml:space="preserve">cigarette users, </w:t>
      </w:r>
      <w:r w:rsidR="00173731">
        <w:rPr>
          <w:rFonts w:ascii="Times New Roman" w:hAnsi="Times New Roman" w:cs="Times New Roman"/>
        </w:rPr>
        <w:t>1,250</w:t>
      </w:r>
      <w:r w:rsidRPr="009A73BF">
        <w:rPr>
          <w:rFonts w:ascii="Times New Roman" w:hAnsi="Times New Roman" w:cs="Times New Roman"/>
        </w:rPr>
        <w:t xml:space="preserve"> current </w:t>
      </w:r>
      <w:r>
        <w:rPr>
          <w:rFonts w:ascii="Times New Roman" w:hAnsi="Times New Roman" w:cs="Times New Roman"/>
        </w:rPr>
        <w:t>dual</w:t>
      </w:r>
      <w:r w:rsidRPr="009A73BF">
        <w:rPr>
          <w:rFonts w:ascii="Times New Roman" w:hAnsi="Times New Roman" w:cs="Times New Roman"/>
        </w:rPr>
        <w:t xml:space="preserve"> users, and </w:t>
      </w:r>
      <w:r w:rsidR="00173731">
        <w:rPr>
          <w:rFonts w:ascii="Times New Roman" w:hAnsi="Times New Roman" w:cs="Times New Roman"/>
        </w:rPr>
        <w:t>1,250</w:t>
      </w:r>
      <w:r w:rsidRPr="009A73BF">
        <w:rPr>
          <w:rFonts w:ascii="Times New Roman" w:hAnsi="Times New Roman" w:cs="Times New Roman"/>
        </w:rPr>
        <w:t xml:space="preserve"> current non-users of tobacco. In each of these tobacco user groups, we seek to enroll 50% </w:t>
      </w:r>
      <w:r>
        <w:rPr>
          <w:rFonts w:ascii="Times New Roman" w:hAnsi="Times New Roman" w:cs="Times New Roman"/>
        </w:rPr>
        <w:t>young adults</w:t>
      </w:r>
      <w:r w:rsidRPr="009A73BF">
        <w:rPr>
          <w:rFonts w:ascii="Times New Roman" w:hAnsi="Times New Roman" w:cs="Times New Roman"/>
        </w:rPr>
        <w:t xml:space="preserve"> (aged </w:t>
      </w:r>
      <w:r w:rsidR="00992E7A">
        <w:rPr>
          <w:rFonts w:ascii="Times New Roman" w:hAnsi="Times New Roman" w:cs="Times New Roman"/>
        </w:rPr>
        <w:t>18-24</w:t>
      </w:r>
      <w:r w:rsidRPr="009A73BF">
        <w:rPr>
          <w:rFonts w:ascii="Times New Roman" w:hAnsi="Times New Roman" w:cs="Times New Roman"/>
        </w:rPr>
        <w:t>) and 50% you</w:t>
      </w:r>
      <w:r>
        <w:rPr>
          <w:rFonts w:ascii="Times New Roman" w:hAnsi="Times New Roman" w:cs="Times New Roman"/>
        </w:rPr>
        <w:t xml:space="preserve">th </w:t>
      </w:r>
      <w:r w:rsidRPr="009A73BF">
        <w:rPr>
          <w:rFonts w:ascii="Times New Roman" w:hAnsi="Times New Roman" w:cs="Times New Roman"/>
        </w:rPr>
        <w:t xml:space="preserve">(aged </w:t>
      </w:r>
      <w:r w:rsidR="00173731">
        <w:rPr>
          <w:rFonts w:ascii="Times New Roman" w:hAnsi="Times New Roman" w:cs="Times New Roman"/>
        </w:rPr>
        <w:t>13-17</w:t>
      </w:r>
      <w:r w:rsidRPr="009A73BF">
        <w:rPr>
          <w:rFonts w:ascii="Times New Roman" w:hAnsi="Times New Roman" w:cs="Times New Roman"/>
        </w:rPr>
        <w:t xml:space="preserve">). See </w:t>
      </w:r>
      <w:r>
        <w:rPr>
          <w:rFonts w:ascii="Times New Roman" w:hAnsi="Times New Roman" w:cs="Times New Roman"/>
        </w:rPr>
        <w:t>Exhibit</w:t>
      </w:r>
      <w:r w:rsidRPr="009A73BF">
        <w:rPr>
          <w:rFonts w:ascii="Times New Roman" w:hAnsi="Times New Roman" w:cs="Times New Roman"/>
        </w:rPr>
        <w:t xml:space="preserve"> 1 for the sample breakdown. </w:t>
      </w:r>
    </w:p>
    <w:p w:rsidRPr="00865B93" w:rsidR="001769A1" w:rsidP="001769A1" w:rsidRDefault="001769A1" w14:paraId="56F13636" w14:textId="77777777">
      <w:pPr>
        <w:pStyle w:val="TableTitle"/>
        <w:ind w:hanging="72"/>
      </w:pPr>
      <w:bookmarkStart w:name="_Toc480797528" w:id="0"/>
      <w:r>
        <w:t>Exhibit</w:t>
      </w:r>
      <w:r w:rsidRPr="00865B93">
        <w:t xml:space="preserve"> 1.</w:t>
      </w:r>
      <w:r w:rsidRPr="00865B93">
        <w:tab/>
        <w:t>Projected Sample Breakdown by Age and Tobacco Use Status</w:t>
      </w:r>
      <w:bookmarkEnd w:id="0"/>
    </w:p>
    <w:tbl>
      <w:tblPr>
        <w:tblStyle w:val="TableFormat4"/>
        <w:tblW w:w="4375" w:type="pct"/>
        <w:tblInd w:w="1080" w:type="dxa"/>
        <w:tblLayout w:type="fixed"/>
        <w:tblLook w:val="04A0" w:firstRow="1" w:lastRow="0" w:firstColumn="1" w:lastColumn="0" w:noHBand="0" w:noVBand="1"/>
      </w:tblPr>
      <w:tblGrid>
        <w:gridCol w:w="5581"/>
        <w:gridCol w:w="2609"/>
      </w:tblGrid>
      <w:tr w:rsidRPr="00865B93" w:rsidR="001769A1" w:rsidTr="0042033B" w14:paraId="48730E77" w14:textId="77777777">
        <w:trPr>
          <w:cnfStyle w:val="100000000000" w:firstRow="1" w:lastRow="0" w:firstColumn="0" w:lastColumn="0" w:oddVBand="0" w:evenVBand="0" w:oddHBand="0" w:evenHBand="0" w:firstRowFirstColumn="0" w:firstRowLastColumn="0" w:lastRowFirstColumn="0" w:lastRowLastColumn="0"/>
          <w:tblHeader/>
        </w:trPr>
        <w:tc>
          <w:tcPr>
            <w:tcW w:w="3407" w:type="pct"/>
          </w:tcPr>
          <w:p w:rsidRPr="00865B93" w:rsidR="001769A1" w:rsidP="0042033B" w:rsidRDefault="001769A1" w14:paraId="7EB9AC86" w14:textId="77777777">
            <w:pPr>
              <w:pStyle w:val="TableHeaders"/>
              <w:keepNext/>
              <w:spacing w:before="40" w:after="40"/>
            </w:pPr>
          </w:p>
        </w:tc>
        <w:tc>
          <w:tcPr>
            <w:tcW w:w="1593" w:type="pct"/>
          </w:tcPr>
          <w:p w:rsidRPr="00865B93" w:rsidR="001769A1" w:rsidP="0042033B" w:rsidRDefault="001769A1" w14:paraId="341C9B00" w14:textId="77777777">
            <w:pPr>
              <w:pStyle w:val="TableHeaders"/>
              <w:keepNext/>
              <w:spacing w:before="40" w:after="40"/>
            </w:pPr>
            <w:r w:rsidRPr="00865B93">
              <w:t>Sample Size</w:t>
            </w:r>
          </w:p>
        </w:tc>
      </w:tr>
      <w:tr w:rsidRPr="00865B93" w:rsidR="001769A1" w:rsidTr="0042033B" w14:paraId="6C9BB86D" w14:textId="77777777">
        <w:trPr>
          <w:cnfStyle w:val="100000000000" w:firstRow="1" w:lastRow="0" w:firstColumn="0" w:lastColumn="0" w:oddVBand="0" w:evenVBand="0" w:oddHBand="0" w:evenHBand="0" w:firstRowFirstColumn="0" w:firstRowLastColumn="0" w:lastRowFirstColumn="0" w:lastRowLastColumn="0"/>
          <w:tblHeader/>
        </w:trPr>
        <w:tc>
          <w:tcPr>
            <w:tcW w:w="3407" w:type="pct"/>
          </w:tcPr>
          <w:p w:rsidRPr="00865B93" w:rsidR="001769A1" w:rsidP="0042033B" w:rsidRDefault="001769A1" w14:paraId="00FEBF4E" w14:textId="77777777">
            <w:pPr>
              <w:pStyle w:val="TableHeaders"/>
              <w:keepNext/>
              <w:spacing w:before="40" w:after="40"/>
            </w:pPr>
            <w:r w:rsidRPr="00865B93">
              <w:t>Population</w:t>
            </w:r>
          </w:p>
        </w:tc>
        <w:tc>
          <w:tcPr>
            <w:tcW w:w="1593" w:type="pct"/>
            <w:tcBorders>
              <w:top w:val="single" w:color="auto" w:sz="4" w:space="0"/>
            </w:tcBorders>
          </w:tcPr>
          <w:p w:rsidRPr="00865B93" w:rsidR="001769A1" w:rsidP="0042033B" w:rsidRDefault="001769A1" w14:paraId="47FDBF2B" w14:textId="77777777">
            <w:pPr>
              <w:pStyle w:val="TableHeaders"/>
              <w:keepNext/>
              <w:spacing w:before="40" w:after="40"/>
            </w:pPr>
            <w:r w:rsidRPr="00865B93">
              <w:t>Goal</w:t>
            </w:r>
          </w:p>
        </w:tc>
      </w:tr>
      <w:tr w:rsidRPr="00865B93" w:rsidR="001769A1" w:rsidTr="0042033B" w14:paraId="0780C826" w14:textId="77777777">
        <w:tc>
          <w:tcPr>
            <w:tcW w:w="3407" w:type="pct"/>
          </w:tcPr>
          <w:p w:rsidRPr="00865B93" w:rsidR="001769A1" w:rsidP="0042033B" w:rsidRDefault="001769A1" w14:paraId="2CFF10CE" w14:textId="4426E451">
            <w:pPr>
              <w:pStyle w:val="TableText"/>
              <w:keepNext/>
              <w:spacing w:before="40" w:after="40"/>
              <w:rPr>
                <w:b/>
              </w:rPr>
            </w:pPr>
            <w:r>
              <w:rPr>
                <w:b/>
              </w:rPr>
              <w:t xml:space="preserve">Young </w:t>
            </w:r>
            <w:r w:rsidRPr="00865B93">
              <w:rPr>
                <w:b/>
              </w:rPr>
              <w:t>Adults (aged</w:t>
            </w:r>
            <w:r w:rsidR="00992E7A">
              <w:rPr>
                <w:b/>
              </w:rPr>
              <w:t xml:space="preserve"> 18-24</w:t>
            </w:r>
            <w:r w:rsidRPr="00865B93">
              <w:rPr>
                <w:b/>
              </w:rPr>
              <w:t>)</w:t>
            </w:r>
          </w:p>
        </w:tc>
        <w:tc>
          <w:tcPr>
            <w:tcW w:w="1593" w:type="pct"/>
          </w:tcPr>
          <w:p w:rsidRPr="00865B93" w:rsidR="001769A1" w:rsidP="0042033B" w:rsidRDefault="001769A1" w14:paraId="50347531" w14:textId="77777777">
            <w:pPr>
              <w:keepNext/>
              <w:spacing w:before="40" w:after="40"/>
              <w:rPr>
                <w:b/>
                <w:szCs w:val="18"/>
              </w:rPr>
            </w:pPr>
          </w:p>
        </w:tc>
      </w:tr>
      <w:tr w:rsidRPr="00865B93" w:rsidR="001769A1" w:rsidTr="0042033B" w14:paraId="26FAC300" w14:textId="77777777">
        <w:tc>
          <w:tcPr>
            <w:tcW w:w="3407" w:type="pct"/>
          </w:tcPr>
          <w:p w:rsidRPr="00865B93" w:rsidR="001769A1" w:rsidP="0042033B" w:rsidRDefault="001769A1" w14:paraId="728B0A21" w14:textId="77777777">
            <w:pPr>
              <w:pStyle w:val="Tabletextindent1"/>
              <w:keepNext/>
              <w:rPr>
                <w:rFonts w:ascii="Verdana" w:hAnsi="Verdana"/>
                <w:b/>
                <w:sz w:val="18"/>
                <w:szCs w:val="18"/>
              </w:rPr>
            </w:pPr>
            <w:r w:rsidRPr="00865B93">
              <w:rPr>
                <w:rFonts w:ascii="Verdana" w:hAnsi="Verdana"/>
                <w:sz w:val="18"/>
                <w:szCs w:val="18"/>
              </w:rPr>
              <w:t>Current cigarette users</w:t>
            </w:r>
          </w:p>
        </w:tc>
        <w:tc>
          <w:tcPr>
            <w:tcW w:w="1593" w:type="pct"/>
          </w:tcPr>
          <w:p w:rsidRPr="00865B93" w:rsidR="001769A1" w:rsidP="0042033B" w:rsidRDefault="001769A1" w14:paraId="5B109A42" w14:textId="63BAD6CE">
            <w:pPr>
              <w:keepNext/>
              <w:tabs>
                <w:tab w:val="decimal" w:pos="1522"/>
              </w:tabs>
              <w:spacing w:before="40" w:after="40"/>
              <w:rPr>
                <w:b/>
                <w:szCs w:val="18"/>
              </w:rPr>
            </w:pPr>
            <w:r>
              <w:rPr>
                <w:rFonts w:hint="eastAsia"/>
                <w:szCs w:val="18"/>
              </w:rPr>
              <w:t>≈</w:t>
            </w:r>
            <w:r w:rsidR="00173731">
              <w:rPr>
                <w:szCs w:val="18"/>
              </w:rPr>
              <w:t>625</w:t>
            </w:r>
          </w:p>
        </w:tc>
      </w:tr>
      <w:tr w:rsidRPr="00865B93" w:rsidR="001769A1" w:rsidTr="0042033B" w14:paraId="740126AA" w14:textId="77777777">
        <w:tc>
          <w:tcPr>
            <w:tcW w:w="3407" w:type="pct"/>
          </w:tcPr>
          <w:p w:rsidRPr="00865B93" w:rsidR="001769A1" w:rsidP="0042033B" w:rsidRDefault="001769A1" w14:paraId="7D17957D" w14:textId="77777777">
            <w:pPr>
              <w:pStyle w:val="Tabletextindent1"/>
              <w:keepNext/>
              <w:rPr>
                <w:rFonts w:ascii="Verdana" w:hAnsi="Verdana"/>
                <w:sz w:val="18"/>
                <w:szCs w:val="18"/>
              </w:rPr>
            </w:pPr>
            <w:r w:rsidRPr="00865B93">
              <w:rPr>
                <w:rFonts w:ascii="Verdana" w:hAnsi="Verdana"/>
                <w:sz w:val="18"/>
                <w:szCs w:val="18"/>
              </w:rPr>
              <w:t xml:space="preserve">Current </w:t>
            </w:r>
            <w:r>
              <w:rPr>
                <w:rFonts w:ascii="Verdana" w:hAnsi="Verdana"/>
                <w:sz w:val="18"/>
                <w:szCs w:val="18"/>
              </w:rPr>
              <w:t>e</w:t>
            </w:r>
            <w:r>
              <w:rPr>
                <w:rFonts w:ascii="Verdana" w:hAnsi="Verdana"/>
                <w:sz w:val="18"/>
                <w:szCs w:val="18"/>
              </w:rPr>
              <w:noBreakHyphen/>
              <w:t>cig</w:t>
            </w:r>
            <w:r w:rsidRPr="00865B93">
              <w:rPr>
                <w:rFonts w:ascii="Verdana" w:hAnsi="Verdana"/>
                <w:sz w:val="18"/>
                <w:szCs w:val="18"/>
              </w:rPr>
              <w:t>arette users</w:t>
            </w:r>
          </w:p>
        </w:tc>
        <w:tc>
          <w:tcPr>
            <w:tcW w:w="1593" w:type="pct"/>
          </w:tcPr>
          <w:p w:rsidRPr="00865B93" w:rsidR="001769A1" w:rsidP="0042033B" w:rsidRDefault="001769A1" w14:paraId="0CCEC8FC" w14:textId="2054EA8C">
            <w:pPr>
              <w:keepNext/>
              <w:tabs>
                <w:tab w:val="decimal" w:pos="1522"/>
              </w:tabs>
              <w:spacing w:before="40" w:after="40"/>
              <w:rPr>
                <w:szCs w:val="18"/>
              </w:rPr>
            </w:pPr>
            <w:r w:rsidRPr="00865B93">
              <w:rPr>
                <w:rFonts w:hint="eastAsia"/>
                <w:szCs w:val="18"/>
              </w:rPr>
              <w:t>≈</w:t>
            </w:r>
            <w:r w:rsidR="00173731">
              <w:rPr>
                <w:szCs w:val="18"/>
              </w:rPr>
              <w:t>625</w:t>
            </w:r>
          </w:p>
        </w:tc>
      </w:tr>
      <w:tr w:rsidRPr="00865B93" w:rsidR="001769A1" w:rsidTr="0042033B" w14:paraId="24C97B7A" w14:textId="77777777">
        <w:tc>
          <w:tcPr>
            <w:tcW w:w="3407" w:type="pct"/>
          </w:tcPr>
          <w:p w:rsidRPr="00865B93" w:rsidR="001769A1" w:rsidP="0042033B" w:rsidRDefault="001769A1" w14:paraId="6B352DA8" w14:textId="77777777">
            <w:pPr>
              <w:pStyle w:val="Tabletextindent1"/>
              <w:keepNext/>
              <w:rPr>
                <w:rFonts w:ascii="Verdana" w:hAnsi="Verdana"/>
                <w:b/>
                <w:sz w:val="18"/>
                <w:szCs w:val="18"/>
              </w:rPr>
            </w:pPr>
            <w:r w:rsidRPr="00865B93">
              <w:rPr>
                <w:rFonts w:ascii="Verdana" w:hAnsi="Verdana"/>
                <w:sz w:val="18"/>
                <w:szCs w:val="18"/>
              </w:rPr>
              <w:t xml:space="preserve">Current </w:t>
            </w:r>
            <w:r w:rsidR="009F7DB6">
              <w:rPr>
                <w:rFonts w:ascii="Verdana" w:hAnsi="Verdana"/>
                <w:sz w:val="18"/>
                <w:szCs w:val="18"/>
              </w:rPr>
              <w:t xml:space="preserve">dual </w:t>
            </w:r>
            <w:r w:rsidRPr="00865B93">
              <w:rPr>
                <w:rFonts w:ascii="Verdana" w:hAnsi="Verdana"/>
                <w:sz w:val="18"/>
                <w:szCs w:val="18"/>
              </w:rPr>
              <w:t>users</w:t>
            </w:r>
          </w:p>
        </w:tc>
        <w:tc>
          <w:tcPr>
            <w:tcW w:w="1593" w:type="pct"/>
          </w:tcPr>
          <w:p w:rsidRPr="00865B93" w:rsidR="001769A1" w:rsidP="0042033B" w:rsidRDefault="001769A1" w14:paraId="7225876E" w14:textId="6197F052">
            <w:pPr>
              <w:keepNext/>
              <w:tabs>
                <w:tab w:val="decimal" w:pos="1522"/>
              </w:tabs>
              <w:spacing w:before="40" w:after="40"/>
              <w:rPr>
                <w:b/>
                <w:szCs w:val="18"/>
              </w:rPr>
            </w:pPr>
            <w:r w:rsidRPr="00865B93">
              <w:rPr>
                <w:rFonts w:hint="eastAsia"/>
                <w:szCs w:val="18"/>
              </w:rPr>
              <w:t>≈</w:t>
            </w:r>
            <w:r w:rsidR="00173731">
              <w:rPr>
                <w:szCs w:val="18"/>
              </w:rPr>
              <w:t>625</w:t>
            </w:r>
          </w:p>
        </w:tc>
      </w:tr>
      <w:tr w:rsidRPr="00865B93" w:rsidR="001769A1" w:rsidTr="0042033B" w14:paraId="4B1939AE" w14:textId="77777777">
        <w:tc>
          <w:tcPr>
            <w:tcW w:w="3407" w:type="pct"/>
          </w:tcPr>
          <w:p w:rsidRPr="00865B93" w:rsidR="001769A1" w:rsidP="0042033B" w:rsidRDefault="001769A1" w14:paraId="6092BC2E" w14:textId="77777777">
            <w:pPr>
              <w:pStyle w:val="Tabletextindent1"/>
              <w:keepNext/>
              <w:rPr>
                <w:rFonts w:ascii="Verdana" w:hAnsi="Verdana"/>
                <w:b/>
                <w:sz w:val="18"/>
                <w:szCs w:val="18"/>
              </w:rPr>
            </w:pPr>
            <w:r w:rsidRPr="00865B93">
              <w:rPr>
                <w:rFonts w:ascii="Verdana" w:hAnsi="Verdana"/>
                <w:sz w:val="18"/>
                <w:szCs w:val="18"/>
              </w:rPr>
              <w:t>Not current tobacco users</w:t>
            </w:r>
          </w:p>
        </w:tc>
        <w:tc>
          <w:tcPr>
            <w:tcW w:w="1593" w:type="pct"/>
          </w:tcPr>
          <w:p w:rsidRPr="00865B93" w:rsidR="001769A1" w:rsidP="0042033B" w:rsidRDefault="001769A1" w14:paraId="784A07C6" w14:textId="4B640FC5">
            <w:pPr>
              <w:keepNext/>
              <w:tabs>
                <w:tab w:val="decimal" w:pos="1522"/>
              </w:tabs>
              <w:spacing w:before="40" w:after="40"/>
              <w:rPr>
                <w:b/>
                <w:szCs w:val="18"/>
              </w:rPr>
            </w:pPr>
            <w:r w:rsidRPr="00865B93">
              <w:rPr>
                <w:rFonts w:hint="eastAsia"/>
                <w:szCs w:val="18"/>
              </w:rPr>
              <w:t>≈</w:t>
            </w:r>
            <w:r w:rsidR="00173731">
              <w:rPr>
                <w:szCs w:val="18"/>
              </w:rPr>
              <w:t>625</w:t>
            </w:r>
          </w:p>
        </w:tc>
      </w:tr>
      <w:tr w:rsidRPr="00865B93" w:rsidR="001769A1" w:rsidTr="0042033B" w14:paraId="682CF00C" w14:textId="77777777">
        <w:tc>
          <w:tcPr>
            <w:tcW w:w="3407" w:type="pct"/>
          </w:tcPr>
          <w:p w:rsidRPr="00865B93" w:rsidR="001769A1" w:rsidP="0042033B" w:rsidRDefault="001769A1" w14:paraId="21C6A0B4" w14:textId="77777777">
            <w:pPr>
              <w:keepNext/>
              <w:spacing w:before="40" w:after="40"/>
              <w:rPr>
                <w:b/>
                <w:szCs w:val="18"/>
              </w:rPr>
            </w:pPr>
          </w:p>
        </w:tc>
        <w:tc>
          <w:tcPr>
            <w:tcW w:w="1593" w:type="pct"/>
          </w:tcPr>
          <w:p w:rsidRPr="00865B93" w:rsidR="001769A1" w:rsidP="0042033B" w:rsidRDefault="001769A1" w14:paraId="5C0FE0B9" w14:textId="097D8D43">
            <w:pPr>
              <w:keepNext/>
              <w:tabs>
                <w:tab w:val="decimal" w:pos="1522"/>
              </w:tabs>
              <w:spacing w:before="40" w:after="40"/>
              <w:rPr>
                <w:b/>
                <w:szCs w:val="18"/>
              </w:rPr>
            </w:pPr>
            <w:r w:rsidRPr="00865B93">
              <w:rPr>
                <w:rFonts w:hint="eastAsia"/>
                <w:b/>
                <w:szCs w:val="18"/>
              </w:rPr>
              <w:t>≈</w:t>
            </w:r>
            <w:r w:rsidR="00173731">
              <w:rPr>
                <w:b/>
                <w:szCs w:val="18"/>
              </w:rPr>
              <w:t>2</w:t>
            </w:r>
            <w:r w:rsidR="00AF162A">
              <w:rPr>
                <w:b/>
                <w:szCs w:val="18"/>
              </w:rPr>
              <w:t>,</w:t>
            </w:r>
            <w:r w:rsidR="00173731">
              <w:rPr>
                <w:b/>
                <w:szCs w:val="18"/>
              </w:rPr>
              <w:t>500</w:t>
            </w:r>
          </w:p>
        </w:tc>
      </w:tr>
      <w:tr w:rsidRPr="00865B93" w:rsidR="001769A1" w:rsidTr="0042033B" w14:paraId="5BE6D2B9" w14:textId="77777777">
        <w:tc>
          <w:tcPr>
            <w:tcW w:w="3407" w:type="pct"/>
          </w:tcPr>
          <w:p w:rsidRPr="009616FA" w:rsidR="001769A1" w:rsidP="0042033B" w:rsidRDefault="001769A1" w14:paraId="1F01EA35" w14:textId="56A69E26">
            <w:pPr>
              <w:keepNext/>
              <w:spacing w:before="40" w:after="40"/>
              <w:rPr>
                <w:b/>
                <w:sz w:val="18"/>
                <w:szCs w:val="18"/>
              </w:rPr>
            </w:pPr>
            <w:r w:rsidRPr="009616FA">
              <w:rPr>
                <w:b/>
                <w:sz w:val="18"/>
                <w:szCs w:val="18"/>
              </w:rPr>
              <w:t xml:space="preserve">Youth (aged </w:t>
            </w:r>
            <w:r w:rsidRPr="009616FA" w:rsidR="009616FA">
              <w:rPr>
                <w:b/>
                <w:sz w:val="18"/>
                <w:szCs w:val="18"/>
              </w:rPr>
              <w:t>13-17</w:t>
            </w:r>
            <w:r w:rsidRPr="009616FA">
              <w:rPr>
                <w:b/>
                <w:sz w:val="18"/>
                <w:szCs w:val="18"/>
              </w:rPr>
              <w:t>)</w:t>
            </w:r>
          </w:p>
        </w:tc>
        <w:tc>
          <w:tcPr>
            <w:tcW w:w="1593" w:type="pct"/>
          </w:tcPr>
          <w:p w:rsidRPr="00865B93" w:rsidR="001769A1" w:rsidP="0042033B" w:rsidRDefault="001769A1" w14:paraId="2782B1AC" w14:textId="77777777">
            <w:pPr>
              <w:keepNext/>
              <w:tabs>
                <w:tab w:val="decimal" w:pos="1522"/>
              </w:tabs>
              <w:spacing w:before="40" w:after="40"/>
              <w:rPr>
                <w:b/>
                <w:szCs w:val="18"/>
              </w:rPr>
            </w:pPr>
          </w:p>
        </w:tc>
      </w:tr>
      <w:tr w:rsidRPr="00865B93" w:rsidR="001769A1" w:rsidTr="0042033B" w14:paraId="77AE7E3C" w14:textId="77777777">
        <w:tc>
          <w:tcPr>
            <w:tcW w:w="3407" w:type="pct"/>
          </w:tcPr>
          <w:p w:rsidRPr="00865B93" w:rsidR="001769A1" w:rsidP="0042033B" w:rsidRDefault="001769A1" w14:paraId="412EE8BC" w14:textId="77777777">
            <w:pPr>
              <w:pStyle w:val="Tabletextindent1"/>
              <w:keepNext/>
              <w:rPr>
                <w:rFonts w:ascii="Verdana" w:hAnsi="Verdana"/>
                <w:b/>
                <w:sz w:val="18"/>
                <w:szCs w:val="18"/>
              </w:rPr>
            </w:pPr>
            <w:r w:rsidRPr="00865B93">
              <w:rPr>
                <w:rFonts w:ascii="Verdana" w:hAnsi="Verdana"/>
                <w:sz w:val="18"/>
                <w:szCs w:val="18"/>
              </w:rPr>
              <w:t>Current cigarette users</w:t>
            </w:r>
          </w:p>
        </w:tc>
        <w:tc>
          <w:tcPr>
            <w:tcW w:w="1593" w:type="pct"/>
          </w:tcPr>
          <w:p w:rsidRPr="00865B93" w:rsidR="001769A1" w:rsidP="0042033B" w:rsidRDefault="001769A1" w14:paraId="3FA352DB" w14:textId="2A9B6A26">
            <w:pPr>
              <w:keepNext/>
              <w:tabs>
                <w:tab w:val="decimal" w:pos="1522"/>
              </w:tabs>
              <w:spacing w:before="40" w:after="40"/>
              <w:rPr>
                <w:b/>
                <w:szCs w:val="18"/>
              </w:rPr>
            </w:pPr>
            <w:r>
              <w:rPr>
                <w:rFonts w:hint="eastAsia"/>
                <w:szCs w:val="18"/>
              </w:rPr>
              <w:t>≈</w:t>
            </w:r>
            <w:r w:rsidR="00173731">
              <w:rPr>
                <w:szCs w:val="18"/>
              </w:rPr>
              <w:t>625</w:t>
            </w:r>
          </w:p>
        </w:tc>
      </w:tr>
      <w:tr w:rsidRPr="00865B93" w:rsidR="001769A1" w:rsidTr="0042033B" w14:paraId="088C2E99" w14:textId="77777777">
        <w:tc>
          <w:tcPr>
            <w:tcW w:w="3407" w:type="pct"/>
          </w:tcPr>
          <w:p w:rsidRPr="00865B93" w:rsidR="001769A1" w:rsidP="0042033B" w:rsidRDefault="001769A1" w14:paraId="7C2DCC76" w14:textId="77777777">
            <w:pPr>
              <w:pStyle w:val="Tabletextindent1"/>
              <w:keepNext/>
              <w:rPr>
                <w:rFonts w:ascii="Verdana" w:hAnsi="Verdana"/>
                <w:sz w:val="18"/>
                <w:szCs w:val="18"/>
              </w:rPr>
            </w:pPr>
            <w:r w:rsidRPr="00865B93">
              <w:rPr>
                <w:rFonts w:ascii="Verdana" w:hAnsi="Verdana"/>
                <w:sz w:val="18"/>
                <w:szCs w:val="18"/>
              </w:rPr>
              <w:t xml:space="preserve">Current </w:t>
            </w:r>
            <w:r>
              <w:rPr>
                <w:rFonts w:ascii="Verdana" w:hAnsi="Verdana"/>
                <w:sz w:val="18"/>
                <w:szCs w:val="18"/>
              </w:rPr>
              <w:t>e</w:t>
            </w:r>
            <w:r>
              <w:rPr>
                <w:rFonts w:ascii="Verdana" w:hAnsi="Verdana"/>
                <w:sz w:val="18"/>
                <w:szCs w:val="18"/>
              </w:rPr>
              <w:noBreakHyphen/>
              <w:t>cig</w:t>
            </w:r>
            <w:r w:rsidRPr="00865B93">
              <w:rPr>
                <w:rFonts w:ascii="Verdana" w:hAnsi="Verdana"/>
                <w:sz w:val="18"/>
                <w:szCs w:val="18"/>
              </w:rPr>
              <w:t>arette users</w:t>
            </w:r>
          </w:p>
        </w:tc>
        <w:tc>
          <w:tcPr>
            <w:tcW w:w="1593" w:type="pct"/>
          </w:tcPr>
          <w:p w:rsidRPr="00865B93" w:rsidR="001769A1" w:rsidP="0042033B" w:rsidRDefault="001769A1" w14:paraId="0409D710" w14:textId="246257F4">
            <w:pPr>
              <w:keepNext/>
              <w:tabs>
                <w:tab w:val="decimal" w:pos="1522"/>
              </w:tabs>
              <w:spacing w:before="40" w:after="40"/>
              <w:rPr>
                <w:szCs w:val="18"/>
              </w:rPr>
            </w:pPr>
            <w:r w:rsidRPr="00865B93">
              <w:rPr>
                <w:rFonts w:hint="eastAsia"/>
                <w:szCs w:val="18"/>
              </w:rPr>
              <w:t>≈</w:t>
            </w:r>
            <w:r w:rsidR="00173731">
              <w:rPr>
                <w:szCs w:val="18"/>
              </w:rPr>
              <w:t>625</w:t>
            </w:r>
          </w:p>
        </w:tc>
      </w:tr>
      <w:tr w:rsidRPr="00865B93" w:rsidR="001769A1" w:rsidTr="0042033B" w14:paraId="201A41A3" w14:textId="77777777">
        <w:tc>
          <w:tcPr>
            <w:tcW w:w="3407" w:type="pct"/>
          </w:tcPr>
          <w:p w:rsidRPr="00865B93" w:rsidR="001769A1" w:rsidP="0042033B" w:rsidRDefault="001769A1" w14:paraId="04E45663" w14:textId="77777777">
            <w:pPr>
              <w:pStyle w:val="Tabletextindent1"/>
              <w:keepNext/>
              <w:rPr>
                <w:rFonts w:ascii="Verdana" w:hAnsi="Verdana"/>
                <w:b/>
                <w:sz w:val="18"/>
                <w:szCs w:val="18"/>
              </w:rPr>
            </w:pPr>
            <w:r w:rsidRPr="00865B93">
              <w:rPr>
                <w:rFonts w:ascii="Verdana" w:hAnsi="Verdana"/>
                <w:sz w:val="18"/>
                <w:szCs w:val="18"/>
              </w:rPr>
              <w:t xml:space="preserve">Current </w:t>
            </w:r>
            <w:r w:rsidR="009F7DB6">
              <w:rPr>
                <w:rFonts w:ascii="Verdana" w:hAnsi="Verdana"/>
                <w:sz w:val="18"/>
                <w:szCs w:val="18"/>
              </w:rPr>
              <w:t xml:space="preserve">dual </w:t>
            </w:r>
            <w:r w:rsidRPr="00865B93">
              <w:rPr>
                <w:rFonts w:ascii="Verdana" w:hAnsi="Verdana"/>
                <w:sz w:val="18"/>
                <w:szCs w:val="18"/>
              </w:rPr>
              <w:t>users</w:t>
            </w:r>
          </w:p>
        </w:tc>
        <w:tc>
          <w:tcPr>
            <w:tcW w:w="1593" w:type="pct"/>
          </w:tcPr>
          <w:p w:rsidRPr="00865B93" w:rsidR="001769A1" w:rsidP="0042033B" w:rsidRDefault="001769A1" w14:paraId="46D2CD49" w14:textId="22151016">
            <w:pPr>
              <w:keepNext/>
              <w:tabs>
                <w:tab w:val="decimal" w:pos="1522"/>
              </w:tabs>
              <w:spacing w:before="40" w:after="40"/>
              <w:rPr>
                <w:b/>
                <w:szCs w:val="18"/>
              </w:rPr>
            </w:pPr>
            <w:r w:rsidRPr="00865B93">
              <w:rPr>
                <w:rFonts w:hint="eastAsia"/>
                <w:szCs w:val="18"/>
              </w:rPr>
              <w:t>≈</w:t>
            </w:r>
            <w:r w:rsidR="00173731">
              <w:rPr>
                <w:szCs w:val="18"/>
              </w:rPr>
              <w:t>625</w:t>
            </w:r>
          </w:p>
        </w:tc>
      </w:tr>
      <w:tr w:rsidRPr="00865B93" w:rsidR="001769A1" w:rsidTr="0042033B" w14:paraId="044937BD" w14:textId="77777777">
        <w:tc>
          <w:tcPr>
            <w:tcW w:w="3407" w:type="pct"/>
          </w:tcPr>
          <w:p w:rsidRPr="00865B93" w:rsidR="001769A1" w:rsidP="0042033B" w:rsidRDefault="001769A1" w14:paraId="2A54D512" w14:textId="77777777">
            <w:pPr>
              <w:pStyle w:val="Tabletextindent1"/>
              <w:keepNext/>
              <w:rPr>
                <w:rFonts w:ascii="Verdana" w:hAnsi="Verdana"/>
                <w:b/>
                <w:sz w:val="18"/>
                <w:szCs w:val="18"/>
              </w:rPr>
            </w:pPr>
            <w:r w:rsidRPr="00865B93">
              <w:rPr>
                <w:rFonts w:ascii="Verdana" w:hAnsi="Verdana"/>
                <w:sz w:val="18"/>
                <w:szCs w:val="18"/>
              </w:rPr>
              <w:t>Not current tobacco users</w:t>
            </w:r>
          </w:p>
        </w:tc>
        <w:tc>
          <w:tcPr>
            <w:tcW w:w="1593" w:type="pct"/>
          </w:tcPr>
          <w:p w:rsidRPr="00865B93" w:rsidR="001769A1" w:rsidP="0042033B" w:rsidRDefault="001769A1" w14:paraId="137ED8A0" w14:textId="75B4F9A0">
            <w:pPr>
              <w:keepNext/>
              <w:tabs>
                <w:tab w:val="decimal" w:pos="1522"/>
              </w:tabs>
              <w:spacing w:before="40" w:after="40"/>
              <w:rPr>
                <w:b/>
                <w:szCs w:val="18"/>
              </w:rPr>
            </w:pPr>
            <w:r w:rsidRPr="00865B93">
              <w:rPr>
                <w:rFonts w:hint="eastAsia"/>
                <w:szCs w:val="18"/>
              </w:rPr>
              <w:t>≈</w:t>
            </w:r>
            <w:r w:rsidR="00173731">
              <w:rPr>
                <w:szCs w:val="18"/>
              </w:rPr>
              <w:t>625</w:t>
            </w:r>
          </w:p>
        </w:tc>
      </w:tr>
      <w:tr w:rsidRPr="00865B93" w:rsidR="001769A1" w:rsidTr="0042033B" w14:paraId="650D18AD" w14:textId="77777777">
        <w:tc>
          <w:tcPr>
            <w:tcW w:w="3407" w:type="pct"/>
          </w:tcPr>
          <w:p w:rsidRPr="00865B93" w:rsidR="001769A1" w:rsidP="0042033B" w:rsidRDefault="001769A1" w14:paraId="07EBF753" w14:textId="77777777">
            <w:pPr>
              <w:keepNext/>
              <w:spacing w:before="40" w:after="40"/>
              <w:rPr>
                <w:b/>
                <w:szCs w:val="18"/>
              </w:rPr>
            </w:pPr>
          </w:p>
        </w:tc>
        <w:tc>
          <w:tcPr>
            <w:tcW w:w="1593" w:type="pct"/>
          </w:tcPr>
          <w:p w:rsidRPr="00865B93" w:rsidR="001769A1" w:rsidP="0042033B" w:rsidRDefault="001769A1" w14:paraId="027BDE55" w14:textId="30A0EFEC">
            <w:pPr>
              <w:keepNext/>
              <w:tabs>
                <w:tab w:val="decimal" w:pos="1522"/>
              </w:tabs>
              <w:spacing w:before="40" w:after="40"/>
              <w:rPr>
                <w:b/>
                <w:szCs w:val="18"/>
              </w:rPr>
            </w:pPr>
            <w:r w:rsidRPr="00865B93">
              <w:rPr>
                <w:rFonts w:hint="eastAsia"/>
                <w:b/>
                <w:szCs w:val="18"/>
              </w:rPr>
              <w:t>≈</w:t>
            </w:r>
            <w:r w:rsidR="00173731">
              <w:rPr>
                <w:b/>
                <w:szCs w:val="18"/>
              </w:rPr>
              <w:t>2</w:t>
            </w:r>
            <w:r w:rsidR="00AF162A">
              <w:rPr>
                <w:b/>
                <w:szCs w:val="18"/>
              </w:rPr>
              <w:t>,</w:t>
            </w:r>
            <w:r w:rsidR="00173731">
              <w:rPr>
                <w:b/>
                <w:szCs w:val="18"/>
              </w:rPr>
              <w:t>500</w:t>
            </w:r>
          </w:p>
        </w:tc>
      </w:tr>
      <w:tr w:rsidRPr="00865B93" w:rsidR="001769A1" w:rsidTr="0042033B" w14:paraId="2396F1F6" w14:textId="77777777">
        <w:tc>
          <w:tcPr>
            <w:tcW w:w="3407" w:type="pct"/>
          </w:tcPr>
          <w:p w:rsidRPr="00865B93" w:rsidR="001769A1" w:rsidP="0042033B" w:rsidRDefault="001769A1" w14:paraId="42788EB9" w14:textId="77777777">
            <w:pPr>
              <w:keepNext/>
              <w:spacing w:before="40" w:after="40"/>
              <w:rPr>
                <w:b/>
                <w:i/>
                <w:szCs w:val="18"/>
              </w:rPr>
            </w:pPr>
            <w:r w:rsidRPr="00865B93">
              <w:rPr>
                <w:b/>
                <w:i/>
                <w:szCs w:val="18"/>
              </w:rPr>
              <w:t>Study Total</w:t>
            </w:r>
          </w:p>
        </w:tc>
        <w:tc>
          <w:tcPr>
            <w:tcW w:w="1593" w:type="pct"/>
          </w:tcPr>
          <w:p w:rsidRPr="00865B93" w:rsidR="001769A1" w:rsidP="0042033B" w:rsidRDefault="00173731" w14:paraId="260832F0" w14:textId="29210D7F">
            <w:pPr>
              <w:keepNext/>
              <w:tabs>
                <w:tab w:val="decimal" w:pos="1522"/>
              </w:tabs>
              <w:spacing w:before="40" w:after="40"/>
              <w:rPr>
                <w:b/>
                <w:i/>
                <w:szCs w:val="18"/>
              </w:rPr>
            </w:pPr>
            <w:r>
              <w:rPr>
                <w:b/>
                <w:i/>
                <w:szCs w:val="18"/>
              </w:rPr>
              <w:t>5</w:t>
            </w:r>
            <w:r w:rsidR="00AF162A">
              <w:rPr>
                <w:b/>
                <w:i/>
                <w:szCs w:val="18"/>
              </w:rPr>
              <w:t>,</w:t>
            </w:r>
            <w:r>
              <w:rPr>
                <w:b/>
                <w:i/>
                <w:szCs w:val="18"/>
              </w:rPr>
              <w:t>000</w:t>
            </w:r>
          </w:p>
        </w:tc>
      </w:tr>
    </w:tbl>
    <w:p w:rsidR="001769A1" w:rsidP="001769A1" w:rsidRDefault="001769A1" w14:paraId="70CD3CDC" w14:textId="77777777">
      <w:pPr>
        <w:ind w:left="1080"/>
        <w:rPr>
          <w:rFonts w:ascii="Times New Roman" w:hAnsi="Times New Roman" w:cs="Times New Roman"/>
        </w:rPr>
      </w:pPr>
    </w:p>
    <w:p w:rsidRPr="009A73BF" w:rsidR="001769A1" w:rsidP="002A6EAE" w:rsidRDefault="001769A1" w14:paraId="0CA4C39A" w14:textId="72AEDC50">
      <w:pPr>
        <w:ind w:left="1080"/>
        <w:rPr>
          <w:rFonts w:ascii="Times New Roman" w:hAnsi="Times New Roman" w:cs="Times New Roman"/>
        </w:rPr>
      </w:pPr>
      <w:r w:rsidRPr="009A73BF">
        <w:rPr>
          <w:rFonts w:ascii="Times New Roman" w:hAnsi="Times New Roman" w:cs="Times New Roman"/>
        </w:rPr>
        <w:t xml:space="preserve">Respondents to be included in the study will be members of the </w:t>
      </w:r>
      <w:r w:rsidR="008B5519">
        <w:rPr>
          <w:rFonts w:ascii="Times New Roman" w:hAnsi="Times New Roman" w:cs="Times New Roman"/>
        </w:rPr>
        <w:t xml:space="preserve">Lucid </w:t>
      </w:r>
      <w:r w:rsidR="00E901B0">
        <w:rPr>
          <w:rFonts w:ascii="Times New Roman" w:hAnsi="Times New Roman" w:cs="Times New Roman"/>
        </w:rPr>
        <w:t>Marketplace</w:t>
      </w:r>
      <w:r w:rsidRPr="009A73BF">
        <w:rPr>
          <w:rFonts w:ascii="Times New Roman" w:hAnsi="Times New Roman" w:cs="Times New Roman"/>
        </w:rPr>
        <w:t xml:space="preserve"> online survey panel</w:t>
      </w:r>
      <w:r w:rsidR="00C55C99">
        <w:rPr>
          <w:rFonts w:ascii="Times New Roman" w:hAnsi="Times New Roman" w:cs="Times New Roman"/>
        </w:rPr>
        <w:t>, or children of current panel members</w:t>
      </w:r>
      <w:r w:rsidRPr="009A73BF">
        <w:rPr>
          <w:rFonts w:ascii="Times New Roman" w:hAnsi="Times New Roman" w:cs="Times New Roman"/>
        </w:rPr>
        <w:t>. Th</w:t>
      </w:r>
      <w:r w:rsidR="000C05C4">
        <w:rPr>
          <w:rFonts w:ascii="Times New Roman" w:hAnsi="Times New Roman" w:cs="Times New Roman"/>
        </w:rPr>
        <w:t xml:space="preserve">is </w:t>
      </w:r>
      <w:r w:rsidRPr="009A73BF">
        <w:rPr>
          <w:rFonts w:ascii="Times New Roman" w:hAnsi="Times New Roman" w:cs="Times New Roman"/>
        </w:rPr>
        <w:t xml:space="preserve">panel consists of </w:t>
      </w:r>
      <w:r w:rsidR="00503AC7">
        <w:rPr>
          <w:rFonts w:ascii="Times New Roman" w:hAnsi="Times New Roman" w:cs="Times New Roman"/>
        </w:rPr>
        <w:t xml:space="preserve">a sample of over </w:t>
      </w:r>
      <w:r w:rsidR="004E45BA">
        <w:rPr>
          <w:rFonts w:ascii="Times New Roman" w:hAnsi="Times New Roman" w:cs="Times New Roman"/>
        </w:rPr>
        <w:t>17</w:t>
      </w:r>
      <w:r w:rsidR="00503AC7">
        <w:rPr>
          <w:rFonts w:ascii="Times New Roman" w:hAnsi="Times New Roman" w:cs="Times New Roman"/>
        </w:rPr>
        <w:t xml:space="preserve"> million </w:t>
      </w:r>
      <w:r w:rsidRPr="009A73BF">
        <w:rPr>
          <w:rFonts w:ascii="Times New Roman" w:hAnsi="Times New Roman" w:cs="Times New Roman"/>
        </w:rPr>
        <w:t>adults nationwide</w:t>
      </w:r>
      <w:r w:rsidR="00503AC7">
        <w:rPr>
          <w:rFonts w:ascii="Times New Roman" w:hAnsi="Times New Roman" w:cs="Times New Roman"/>
        </w:rPr>
        <w:t xml:space="preserve"> and over 1 million youth</w:t>
      </w:r>
      <w:r w:rsidRPr="009A73BF">
        <w:rPr>
          <w:rFonts w:ascii="Times New Roman" w:hAnsi="Times New Roman" w:cs="Times New Roman"/>
        </w:rPr>
        <w:t xml:space="preserve">. </w:t>
      </w:r>
      <w:r w:rsidRPr="00542AF8" w:rsidR="00FF4DEA">
        <w:rPr>
          <w:rFonts w:ascii="Times New Roman" w:hAnsi="Times New Roman" w:cs="Times New Roman"/>
          <w:color w:val="000000" w:themeColor="text1"/>
        </w:rPr>
        <w:t xml:space="preserve">Adult participants have volunteered to be on the panel and be recruited to participate in surveys. </w:t>
      </w:r>
      <w:r w:rsidRPr="00935308" w:rsidR="00FF4DEA">
        <w:rPr>
          <w:rFonts w:ascii="Times New Roman" w:hAnsi="Times New Roman" w:cs="Times New Roman"/>
          <w:color w:val="000000" w:themeColor="text1"/>
        </w:rPr>
        <w:t>Children are recruited through their adult parents, who are panel participants.</w:t>
      </w:r>
      <w:r w:rsidRPr="00542AF8" w:rsidR="00FF4DEA">
        <w:rPr>
          <w:rFonts w:ascii="Times New Roman" w:hAnsi="Times New Roman" w:cs="Times New Roman"/>
          <w:color w:val="000000" w:themeColor="text1"/>
        </w:rPr>
        <w:t xml:space="preserve"> </w:t>
      </w:r>
      <w:r w:rsidRPr="00542AF8" w:rsidR="005C692D">
        <w:rPr>
          <w:rFonts w:ascii="Times New Roman" w:hAnsi="Times New Roman" w:cs="Times New Roman"/>
          <w:color w:val="000000" w:themeColor="text1"/>
        </w:rPr>
        <w:lastRenderedPageBreak/>
        <w:t>All panelists must complete a double opt-in procedure, and parents of youth participants must consent for their child to be on the panel.</w:t>
      </w:r>
      <w:r w:rsidRPr="00542AF8" w:rsidR="000E39C4">
        <w:rPr>
          <w:rFonts w:ascii="Times New Roman" w:hAnsi="Times New Roman" w:cs="Times New Roman"/>
          <w:color w:val="000000" w:themeColor="text1"/>
        </w:rPr>
        <w:t xml:space="preserve"> Adult</w:t>
      </w:r>
      <w:r w:rsidRPr="00542AF8" w:rsidR="002A6EAE">
        <w:rPr>
          <w:rFonts w:ascii="Times New Roman" w:hAnsi="Times New Roman" w:cs="Times New Roman"/>
          <w:color w:val="000000" w:themeColor="text1"/>
        </w:rPr>
        <w:t xml:space="preserve"> panelists are</w:t>
      </w:r>
      <w:r w:rsidRPr="00542AF8" w:rsidR="000E39C4">
        <w:rPr>
          <w:rFonts w:ascii="Times New Roman" w:hAnsi="Times New Roman" w:cs="Times New Roman"/>
          <w:color w:val="000000" w:themeColor="text1"/>
        </w:rPr>
        <w:t xml:space="preserve"> recruited through a variety of methods, including referrals, customer databases, and word-of-mouth.</w:t>
      </w:r>
      <w:r w:rsidRPr="00542AF8" w:rsidR="002A6EAE">
        <w:rPr>
          <w:rFonts w:ascii="Times New Roman" w:hAnsi="Times New Roman" w:cs="Times New Roman"/>
        </w:rPr>
        <w:t xml:space="preserve"> </w:t>
      </w:r>
      <w:r w:rsidRPr="00542AF8">
        <w:rPr>
          <w:rFonts w:ascii="Times New Roman" w:hAnsi="Times New Roman" w:cs="Times New Roman"/>
        </w:rPr>
        <w:t>The convenience sample provided by the</w:t>
      </w:r>
      <w:r w:rsidRPr="009A73BF">
        <w:rPr>
          <w:rFonts w:ascii="Times New Roman" w:hAnsi="Times New Roman" w:cs="Times New Roman"/>
        </w:rPr>
        <w:t xml:space="preserve"> panel is considered suitable for the purposes of this study. This study is based on predetermined quotas. Individuals who are not members of the panel at the time of survey administration will not be invited to participate in this study. Only those who are invited to the study will have the means to access it, so it is not possible for the non-panel members or uninvited panel members to participate. </w:t>
      </w:r>
    </w:p>
    <w:p w:rsidRPr="009A73BF" w:rsidR="001769A1" w:rsidP="001769A1" w:rsidRDefault="001769A1" w14:paraId="27F0B234" w14:textId="77777777">
      <w:pPr>
        <w:ind w:left="1080"/>
        <w:rPr>
          <w:rFonts w:ascii="Times New Roman" w:hAnsi="Times New Roman" w:cs="Times New Roman"/>
        </w:rPr>
      </w:pPr>
    </w:p>
    <w:p w:rsidR="001769A1" w:rsidP="001769A1" w:rsidRDefault="001769A1" w14:paraId="57F144C3" w14:textId="473923CF">
      <w:pPr>
        <w:ind w:left="1080"/>
        <w:rPr>
          <w:rFonts w:ascii="Times New Roman" w:hAnsi="Times New Roman" w:cs="Times New Roman"/>
        </w:rPr>
      </w:pPr>
      <w:r w:rsidRPr="009A73BF">
        <w:rPr>
          <w:rFonts w:ascii="Times New Roman" w:hAnsi="Times New Roman" w:cs="Times New Roman"/>
        </w:rPr>
        <w:t xml:space="preserve">Invited panel members who decline to participate in the study during the </w:t>
      </w:r>
      <w:r w:rsidR="007B401B">
        <w:rPr>
          <w:rFonts w:ascii="Times New Roman" w:hAnsi="Times New Roman" w:cs="Times New Roman"/>
        </w:rPr>
        <w:t xml:space="preserve">assent/consent </w:t>
      </w:r>
      <w:r w:rsidRPr="009A73BF">
        <w:rPr>
          <w:rFonts w:ascii="Times New Roman" w:hAnsi="Times New Roman" w:cs="Times New Roman"/>
        </w:rPr>
        <w:t>process will be excluded from th</w:t>
      </w:r>
      <w:r>
        <w:rPr>
          <w:rFonts w:ascii="Times New Roman" w:hAnsi="Times New Roman" w:cs="Times New Roman"/>
        </w:rPr>
        <w:t>e</w:t>
      </w:r>
      <w:r w:rsidRPr="009A73BF">
        <w:rPr>
          <w:rFonts w:ascii="Times New Roman" w:hAnsi="Times New Roman" w:cs="Times New Roman"/>
        </w:rPr>
        <w:t xml:space="preserve"> study.</w:t>
      </w:r>
      <w:r>
        <w:rPr>
          <w:rFonts w:ascii="Times New Roman" w:hAnsi="Times New Roman" w:cs="Times New Roman"/>
        </w:rPr>
        <w:t xml:space="preserve"> </w:t>
      </w:r>
      <w:r w:rsidR="00104BBE">
        <w:rPr>
          <w:rFonts w:ascii="Times New Roman" w:hAnsi="Times New Roman" w:cs="Times New Roman"/>
        </w:rPr>
        <w:t>5,000</w:t>
      </w:r>
      <w:r w:rsidRPr="009A73BF">
        <w:rPr>
          <w:rFonts w:ascii="Times New Roman" w:hAnsi="Times New Roman" w:cs="Times New Roman"/>
        </w:rPr>
        <w:t xml:space="preserve"> respondents </w:t>
      </w:r>
      <w:r>
        <w:rPr>
          <w:rFonts w:ascii="Times New Roman" w:hAnsi="Times New Roman" w:cs="Times New Roman"/>
        </w:rPr>
        <w:t xml:space="preserve">who </w:t>
      </w:r>
      <w:r w:rsidR="00166FF7">
        <w:rPr>
          <w:rFonts w:ascii="Times New Roman" w:hAnsi="Times New Roman" w:cs="Times New Roman"/>
        </w:rPr>
        <w:t>assent/</w:t>
      </w:r>
      <w:r>
        <w:rPr>
          <w:rFonts w:ascii="Times New Roman" w:hAnsi="Times New Roman" w:cs="Times New Roman"/>
        </w:rPr>
        <w:t xml:space="preserve">consent </w:t>
      </w:r>
      <w:r w:rsidRPr="009A73BF">
        <w:rPr>
          <w:rFonts w:ascii="Times New Roman" w:hAnsi="Times New Roman" w:cs="Times New Roman"/>
        </w:rPr>
        <w:t xml:space="preserve">will be screened into the study using a series of survey items to determine eligibility based on age and tobacco use. Eligibility assessment will consist of </w:t>
      </w:r>
      <w:r w:rsidR="00E05EE5">
        <w:rPr>
          <w:rFonts w:ascii="Times New Roman" w:hAnsi="Times New Roman" w:cs="Times New Roman"/>
        </w:rPr>
        <w:t>3</w:t>
      </w:r>
      <w:r w:rsidR="00C05B9D">
        <w:rPr>
          <w:rFonts w:ascii="Times New Roman" w:hAnsi="Times New Roman" w:cs="Times New Roman"/>
        </w:rPr>
        <w:t xml:space="preserve"> to </w:t>
      </w:r>
      <w:r w:rsidR="00AB7EED">
        <w:rPr>
          <w:rFonts w:ascii="Times New Roman" w:hAnsi="Times New Roman" w:cs="Times New Roman"/>
        </w:rPr>
        <w:t xml:space="preserve">8 </w:t>
      </w:r>
      <w:r w:rsidRPr="009A73BF">
        <w:rPr>
          <w:rFonts w:ascii="Times New Roman" w:hAnsi="Times New Roman" w:cs="Times New Roman"/>
        </w:rPr>
        <w:t xml:space="preserve">screener items, depending on participants’ responses. These items will determine whether individuals are within the age range of the study; whether they are current cigarette, e-cigarette, or </w:t>
      </w:r>
      <w:r>
        <w:rPr>
          <w:rFonts w:ascii="Times New Roman" w:hAnsi="Times New Roman" w:cs="Times New Roman"/>
        </w:rPr>
        <w:t>dual</w:t>
      </w:r>
      <w:r w:rsidRPr="009A73BF">
        <w:rPr>
          <w:rFonts w:ascii="Times New Roman" w:hAnsi="Times New Roman" w:cs="Times New Roman"/>
        </w:rPr>
        <w:t xml:space="preserve"> users, or current non</w:t>
      </w:r>
      <w:r w:rsidR="00984D1C">
        <w:rPr>
          <w:rFonts w:ascii="Times New Roman" w:hAnsi="Times New Roman" w:cs="Times New Roman"/>
        </w:rPr>
        <w:t>-</w:t>
      </w:r>
      <w:r w:rsidRPr="009A73BF">
        <w:rPr>
          <w:rFonts w:ascii="Times New Roman" w:hAnsi="Times New Roman" w:cs="Times New Roman"/>
        </w:rPr>
        <w:t>users</w:t>
      </w:r>
      <w:r w:rsidR="00984D1C">
        <w:rPr>
          <w:rFonts w:ascii="Times New Roman" w:hAnsi="Times New Roman" w:cs="Times New Roman"/>
        </w:rPr>
        <w:t xml:space="preserve"> of </w:t>
      </w:r>
      <w:r w:rsidR="00B779DC">
        <w:rPr>
          <w:rFonts w:ascii="Times New Roman" w:hAnsi="Times New Roman" w:cs="Times New Roman"/>
        </w:rPr>
        <w:t>tobacco</w:t>
      </w:r>
      <w:r w:rsidR="00984D1C">
        <w:rPr>
          <w:rFonts w:ascii="Times New Roman" w:hAnsi="Times New Roman" w:cs="Times New Roman"/>
        </w:rPr>
        <w:t xml:space="preserve">. </w:t>
      </w:r>
      <w:r w:rsidRPr="009A73BF">
        <w:rPr>
          <w:rFonts w:ascii="Times New Roman" w:hAnsi="Times New Roman" w:cs="Times New Roman"/>
        </w:rPr>
        <w:t>Th</w:t>
      </w:r>
      <w:r>
        <w:rPr>
          <w:rFonts w:ascii="Times New Roman" w:hAnsi="Times New Roman" w:cs="Times New Roman"/>
        </w:rPr>
        <w:t>e screener includes</w:t>
      </w:r>
      <w:r w:rsidRPr="009A73BF">
        <w:rPr>
          <w:rFonts w:ascii="Times New Roman" w:hAnsi="Times New Roman" w:cs="Times New Roman"/>
        </w:rPr>
        <w:t xml:space="preserve"> the minimum number of items needed to assess study eligibility and develop the sample need</w:t>
      </w:r>
      <w:r>
        <w:rPr>
          <w:rFonts w:ascii="Times New Roman" w:hAnsi="Times New Roman" w:cs="Times New Roman"/>
        </w:rPr>
        <w:t>ed</w:t>
      </w:r>
      <w:r w:rsidRPr="009A73BF">
        <w:rPr>
          <w:rFonts w:ascii="Times New Roman" w:hAnsi="Times New Roman" w:cs="Times New Roman"/>
        </w:rPr>
        <w:t xml:space="preserve"> to </w:t>
      </w:r>
      <w:r>
        <w:rPr>
          <w:rFonts w:ascii="Times New Roman" w:hAnsi="Times New Roman" w:cs="Times New Roman"/>
        </w:rPr>
        <w:t>achieve</w:t>
      </w:r>
      <w:r w:rsidRPr="009A73BF">
        <w:rPr>
          <w:rFonts w:ascii="Times New Roman" w:hAnsi="Times New Roman" w:cs="Times New Roman"/>
        </w:rPr>
        <w:t xml:space="preserve"> study goals. Respondents who choose not to complete a screener item will be ineligible for the study and will be excluded at the point of non-response (rather than after answering all screener items). Furthermore, individuals will be excluded from the study if we have already met the desired sample size for their tobacco use category and age group. The final analytic sample will include only eligible respondents who, after </w:t>
      </w:r>
      <w:r w:rsidR="00166FF7">
        <w:rPr>
          <w:rFonts w:ascii="Times New Roman" w:hAnsi="Times New Roman" w:cs="Times New Roman"/>
        </w:rPr>
        <w:t>assenting/</w:t>
      </w:r>
      <w:r>
        <w:rPr>
          <w:rFonts w:ascii="Times New Roman" w:hAnsi="Times New Roman" w:cs="Times New Roman"/>
        </w:rPr>
        <w:t xml:space="preserve">consenting to participate and </w:t>
      </w:r>
      <w:r w:rsidRPr="009A73BF">
        <w:rPr>
          <w:rFonts w:ascii="Times New Roman" w:hAnsi="Times New Roman" w:cs="Times New Roman"/>
        </w:rPr>
        <w:t>completing the screener items, complete all critical elements of the survey.</w:t>
      </w:r>
    </w:p>
    <w:p w:rsidR="001769A1" w:rsidP="001769A1" w:rsidRDefault="001769A1" w14:paraId="5DE7DECE" w14:textId="77777777">
      <w:pPr>
        <w:ind w:left="1080"/>
        <w:rPr>
          <w:rFonts w:ascii="Times New Roman" w:hAnsi="Times New Roman" w:cs="Times New Roman"/>
        </w:rPr>
      </w:pPr>
    </w:p>
    <w:p w:rsidRPr="009A73BF" w:rsidR="001769A1" w:rsidP="001769A1" w:rsidRDefault="001769A1" w14:paraId="235B693E" w14:textId="77777777">
      <w:pPr>
        <w:keepNext/>
        <w:ind w:left="1080"/>
        <w:rPr>
          <w:rFonts w:ascii="Times New Roman" w:hAnsi="Times New Roman" w:cs="Times New Roman"/>
        </w:rPr>
      </w:pPr>
      <w:r w:rsidRPr="009A73BF">
        <w:rPr>
          <w:rFonts w:ascii="Times New Roman" w:hAnsi="Times New Roman" w:cs="Times New Roman"/>
          <w:i/>
        </w:rPr>
        <w:t>Study Design and Power Calculations</w:t>
      </w:r>
    </w:p>
    <w:p w:rsidR="008365C1" w:rsidP="00B911BE" w:rsidRDefault="00A947A9" w14:paraId="088BDC75" w14:textId="324F4E22">
      <w:pPr>
        <w:ind w:left="1080"/>
        <w:rPr>
          <w:rFonts w:ascii="Times New Roman" w:hAnsi="Times New Roman" w:cs="Times New Roman"/>
        </w:rPr>
      </w:pPr>
      <w:r>
        <w:rPr>
          <w:rFonts w:ascii="Times New Roman" w:hAnsi="Times New Roman" w:cs="Times New Roman"/>
        </w:rPr>
        <w:t>Each r</w:t>
      </w:r>
      <w:r w:rsidRPr="009A73BF" w:rsidR="001769A1">
        <w:rPr>
          <w:rFonts w:ascii="Times New Roman" w:hAnsi="Times New Roman" w:cs="Times New Roman"/>
        </w:rPr>
        <w:t xml:space="preserve">espondent will </w:t>
      </w:r>
      <w:r w:rsidR="00237CB9">
        <w:rPr>
          <w:rFonts w:ascii="Times New Roman" w:hAnsi="Times New Roman" w:cs="Times New Roman"/>
        </w:rPr>
        <w:t xml:space="preserve">view five </w:t>
      </w:r>
      <w:r w:rsidR="007C7A97">
        <w:rPr>
          <w:rFonts w:ascii="Times New Roman" w:hAnsi="Times New Roman" w:cs="Times New Roman"/>
        </w:rPr>
        <w:t xml:space="preserve">e-cigarette </w:t>
      </w:r>
      <w:r w:rsidR="00237CB9">
        <w:rPr>
          <w:rFonts w:ascii="Times New Roman" w:hAnsi="Times New Roman" w:cs="Times New Roman"/>
        </w:rPr>
        <w:t>ads</w:t>
      </w:r>
      <w:r w:rsidR="00323DBC">
        <w:rPr>
          <w:rFonts w:ascii="Times New Roman" w:hAnsi="Times New Roman" w:cs="Times New Roman"/>
        </w:rPr>
        <w:t>. E</w:t>
      </w:r>
      <w:r w:rsidR="00237CB9">
        <w:rPr>
          <w:rFonts w:ascii="Times New Roman" w:hAnsi="Times New Roman" w:cs="Times New Roman"/>
        </w:rPr>
        <w:t>ach</w:t>
      </w:r>
      <w:r w:rsidR="004468DD">
        <w:rPr>
          <w:rFonts w:ascii="Times New Roman" w:hAnsi="Times New Roman" w:cs="Times New Roman"/>
        </w:rPr>
        <w:t xml:space="preserve"> ad</w:t>
      </w:r>
      <w:r w:rsidR="00237CB9">
        <w:rPr>
          <w:rFonts w:ascii="Times New Roman" w:hAnsi="Times New Roman" w:cs="Times New Roman"/>
        </w:rPr>
        <w:t xml:space="preserve"> </w:t>
      </w:r>
      <w:r w:rsidR="00656AF4">
        <w:rPr>
          <w:rFonts w:ascii="Times New Roman" w:hAnsi="Times New Roman" w:cs="Times New Roman"/>
        </w:rPr>
        <w:t xml:space="preserve">they see will be </w:t>
      </w:r>
      <w:r w:rsidR="00237CB9">
        <w:rPr>
          <w:rFonts w:ascii="Times New Roman" w:hAnsi="Times New Roman" w:cs="Times New Roman"/>
        </w:rPr>
        <w:t>of a different type</w:t>
      </w:r>
      <w:r w:rsidR="00062C77">
        <w:rPr>
          <w:rFonts w:ascii="Times New Roman" w:hAnsi="Times New Roman" w:cs="Times New Roman"/>
        </w:rPr>
        <w:t xml:space="preserve">, varying based on the presence or absence of </w:t>
      </w:r>
      <w:r w:rsidR="003779D4">
        <w:rPr>
          <w:rFonts w:ascii="Times New Roman" w:hAnsi="Times New Roman" w:cs="Times New Roman"/>
        </w:rPr>
        <w:t xml:space="preserve">images, </w:t>
      </w:r>
      <w:r w:rsidR="002E4C58">
        <w:rPr>
          <w:rFonts w:ascii="Times New Roman" w:hAnsi="Times New Roman" w:cs="Times New Roman"/>
        </w:rPr>
        <w:t>name modifiers</w:t>
      </w:r>
      <w:r w:rsidR="008238F9">
        <w:rPr>
          <w:rFonts w:ascii="Times New Roman" w:hAnsi="Times New Roman" w:cs="Times New Roman"/>
        </w:rPr>
        <w:t xml:space="preserve"> (e.g., </w:t>
      </w:r>
      <w:r w:rsidR="00D1795F">
        <w:rPr>
          <w:rFonts w:ascii="Times New Roman" w:hAnsi="Times New Roman" w:cs="Times New Roman"/>
        </w:rPr>
        <w:t>Mango</w:t>
      </w:r>
      <w:r w:rsidR="008238F9">
        <w:rPr>
          <w:rFonts w:ascii="Times New Roman" w:hAnsi="Times New Roman" w:cs="Times New Roman"/>
        </w:rPr>
        <w:t xml:space="preserve"> </w:t>
      </w:r>
      <w:r w:rsidRPr="006747E9" w:rsidR="008238F9">
        <w:rPr>
          <w:rFonts w:ascii="Times New Roman" w:hAnsi="Times New Roman" w:cs="Times New Roman"/>
          <w:b/>
          <w:i/>
        </w:rPr>
        <w:t>Crush</w:t>
      </w:r>
      <w:r w:rsidR="00E171BC">
        <w:rPr>
          <w:rFonts w:ascii="Times New Roman" w:hAnsi="Times New Roman" w:cs="Times New Roman"/>
        </w:rPr>
        <w:t xml:space="preserve"> or </w:t>
      </w:r>
      <w:r w:rsidRPr="006747E9" w:rsidR="006747E9">
        <w:rPr>
          <w:rFonts w:ascii="Times New Roman" w:hAnsi="Times New Roman" w:cs="Times New Roman"/>
          <w:b/>
          <w:i/>
        </w:rPr>
        <w:t>Glacier</w:t>
      </w:r>
      <w:r w:rsidR="006747E9">
        <w:rPr>
          <w:rFonts w:ascii="Times New Roman" w:hAnsi="Times New Roman" w:cs="Times New Roman"/>
        </w:rPr>
        <w:t xml:space="preserve"> Mint</w:t>
      </w:r>
      <w:r w:rsidR="00E171BC">
        <w:rPr>
          <w:rFonts w:ascii="Times New Roman" w:hAnsi="Times New Roman" w:cs="Times New Roman"/>
        </w:rPr>
        <w:t>)</w:t>
      </w:r>
      <w:r w:rsidR="002E4C58">
        <w:rPr>
          <w:rFonts w:ascii="Times New Roman" w:hAnsi="Times New Roman" w:cs="Times New Roman"/>
        </w:rPr>
        <w:t xml:space="preserve">, </w:t>
      </w:r>
      <w:r w:rsidR="00A3124E">
        <w:rPr>
          <w:rFonts w:ascii="Times New Roman" w:hAnsi="Times New Roman" w:cs="Times New Roman"/>
        </w:rPr>
        <w:t>and descriptors</w:t>
      </w:r>
      <w:r w:rsidR="00656AF4">
        <w:rPr>
          <w:rFonts w:ascii="Times New Roman" w:hAnsi="Times New Roman" w:cs="Times New Roman"/>
        </w:rPr>
        <w:t>:</w:t>
      </w:r>
      <w:r w:rsidR="00CB224F">
        <w:rPr>
          <w:rFonts w:ascii="Times New Roman" w:hAnsi="Times New Roman" w:cs="Times New Roman"/>
        </w:rPr>
        <w:t xml:space="preserve"> As shown in Exhibit 2, </w:t>
      </w:r>
      <w:r w:rsidR="008945D9">
        <w:rPr>
          <w:rFonts w:ascii="Times New Roman" w:hAnsi="Times New Roman" w:cs="Times New Roman"/>
        </w:rPr>
        <w:t xml:space="preserve">the five </w:t>
      </w:r>
      <w:r w:rsidR="008365C1">
        <w:rPr>
          <w:rFonts w:ascii="Times New Roman" w:hAnsi="Times New Roman" w:cs="Times New Roman"/>
        </w:rPr>
        <w:t>A</w:t>
      </w:r>
      <w:r w:rsidR="008945D9">
        <w:rPr>
          <w:rFonts w:ascii="Times New Roman" w:hAnsi="Times New Roman" w:cs="Times New Roman"/>
        </w:rPr>
        <w:t xml:space="preserve">d </w:t>
      </w:r>
      <w:r w:rsidR="008365C1">
        <w:rPr>
          <w:rFonts w:ascii="Times New Roman" w:hAnsi="Times New Roman" w:cs="Times New Roman"/>
        </w:rPr>
        <w:t>T</w:t>
      </w:r>
      <w:r w:rsidR="008945D9">
        <w:rPr>
          <w:rFonts w:ascii="Times New Roman" w:hAnsi="Times New Roman" w:cs="Times New Roman"/>
        </w:rPr>
        <w:t xml:space="preserve">ypes are: </w:t>
      </w:r>
      <w:r w:rsidRPr="00DD725F" w:rsidR="008945D9">
        <w:rPr>
          <w:rFonts w:ascii="Times New Roman" w:hAnsi="Times New Roman" w:cs="Times New Roman"/>
          <w:color w:val="000000" w:themeColor="text1"/>
        </w:rPr>
        <w:t>(</w:t>
      </w:r>
      <w:r w:rsidR="008945D9">
        <w:rPr>
          <w:rFonts w:ascii="Times New Roman" w:hAnsi="Times New Roman" w:cs="Times New Roman"/>
          <w:color w:val="000000" w:themeColor="text1"/>
        </w:rPr>
        <w:t>Ad Type</w:t>
      </w:r>
      <w:r w:rsidRPr="00DD725F" w:rsidR="008945D9">
        <w:rPr>
          <w:rFonts w:ascii="Times New Roman" w:hAnsi="Times New Roman" w:cs="Times New Roman"/>
          <w:color w:val="000000" w:themeColor="text1"/>
        </w:rPr>
        <w:t xml:space="preserve"> 1) Ad with no image, name modifier</w:t>
      </w:r>
      <w:r w:rsidR="008945D9">
        <w:rPr>
          <w:rFonts w:ascii="Times New Roman" w:hAnsi="Times New Roman" w:cs="Times New Roman"/>
          <w:color w:val="000000" w:themeColor="text1"/>
        </w:rPr>
        <w:t>,</w:t>
      </w:r>
      <w:r w:rsidRPr="00DD725F" w:rsidR="008945D9">
        <w:rPr>
          <w:rFonts w:ascii="Times New Roman" w:hAnsi="Times New Roman" w:cs="Times New Roman"/>
          <w:color w:val="000000" w:themeColor="text1"/>
        </w:rPr>
        <w:t xml:space="preserve"> or descriptor; (</w:t>
      </w:r>
      <w:r w:rsidR="00123AE1">
        <w:rPr>
          <w:rFonts w:ascii="Times New Roman" w:hAnsi="Times New Roman" w:cs="Times New Roman"/>
          <w:color w:val="000000" w:themeColor="text1"/>
        </w:rPr>
        <w:t>Ad Type</w:t>
      </w:r>
      <w:r w:rsidRPr="00DD725F" w:rsidR="008945D9">
        <w:rPr>
          <w:rFonts w:ascii="Times New Roman" w:hAnsi="Times New Roman" w:cs="Times New Roman"/>
          <w:color w:val="000000" w:themeColor="text1"/>
        </w:rPr>
        <w:t xml:space="preserve"> 2) Ad with name modifier and descriptor present (image removed); (</w:t>
      </w:r>
      <w:r w:rsidR="00123AE1">
        <w:rPr>
          <w:rFonts w:ascii="Times New Roman" w:hAnsi="Times New Roman" w:cs="Times New Roman"/>
          <w:color w:val="000000" w:themeColor="text1"/>
        </w:rPr>
        <w:t>Ad Type</w:t>
      </w:r>
      <w:r w:rsidRPr="00DD725F" w:rsidR="00123AE1">
        <w:rPr>
          <w:rFonts w:ascii="Times New Roman" w:hAnsi="Times New Roman" w:cs="Times New Roman"/>
          <w:color w:val="000000" w:themeColor="text1"/>
        </w:rPr>
        <w:t xml:space="preserve"> </w:t>
      </w:r>
      <w:r w:rsidRPr="00DD725F" w:rsidR="008945D9">
        <w:rPr>
          <w:rFonts w:ascii="Times New Roman" w:hAnsi="Times New Roman" w:cs="Times New Roman"/>
          <w:color w:val="000000" w:themeColor="text1"/>
        </w:rPr>
        <w:t>3) Ad with name modifier and image present (descriptor removed); (</w:t>
      </w:r>
      <w:r w:rsidR="00123AE1">
        <w:rPr>
          <w:rFonts w:ascii="Times New Roman" w:hAnsi="Times New Roman" w:cs="Times New Roman"/>
          <w:color w:val="000000" w:themeColor="text1"/>
        </w:rPr>
        <w:t>Ad Type</w:t>
      </w:r>
      <w:r w:rsidRPr="00DD725F" w:rsidR="00123AE1">
        <w:rPr>
          <w:rFonts w:ascii="Times New Roman" w:hAnsi="Times New Roman" w:cs="Times New Roman"/>
          <w:color w:val="000000" w:themeColor="text1"/>
        </w:rPr>
        <w:t xml:space="preserve"> </w:t>
      </w:r>
      <w:r w:rsidRPr="00DD725F" w:rsidR="008945D9">
        <w:rPr>
          <w:rFonts w:ascii="Times New Roman" w:hAnsi="Times New Roman" w:cs="Times New Roman"/>
          <w:color w:val="000000" w:themeColor="text1"/>
        </w:rPr>
        <w:t>4) Ad with image and descriptor present (name modifier removed); (</w:t>
      </w:r>
      <w:r w:rsidR="00123AE1">
        <w:rPr>
          <w:rFonts w:ascii="Times New Roman" w:hAnsi="Times New Roman" w:cs="Times New Roman"/>
          <w:color w:val="000000" w:themeColor="text1"/>
        </w:rPr>
        <w:t>Ad Type</w:t>
      </w:r>
      <w:r w:rsidRPr="00DD725F" w:rsidR="00123AE1">
        <w:rPr>
          <w:rFonts w:ascii="Times New Roman" w:hAnsi="Times New Roman" w:cs="Times New Roman"/>
          <w:color w:val="000000" w:themeColor="text1"/>
        </w:rPr>
        <w:t xml:space="preserve"> </w:t>
      </w:r>
      <w:r w:rsidRPr="00DD725F" w:rsidR="008945D9">
        <w:rPr>
          <w:rFonts w:ascii="Times New Roman" w:hAnsi="Times New Roman" w:cs="Times New Roman"/>
          <w:color w:val="000000" w:themeColor="text1"/>
        </w:rPr>
        <w:t>5) Ad with all 3 features present (no features removed)</w:t>
      </w:r>
      <w:r w:rsidRPr="00DD725F" w:rsidR="008945D9">
        <w:rPr>
          <w:rFonts w:ascii="Times New Roman" w:hAnsi="Times New Roman" w:cs="Times New Roman"/>
        </w:rPr>
        <w:t>.</w:t>
      </w:r>
      <w:r w:rsidR="00237CB9">
        <w:rPr>
          <w:rFonts w:ascii="Times New Roman" w:hAnsi="Times New Roman" w:cs="Times New Roman"/>
        </w:rPr>
        <w:t xml:space="preserve"> </w:t>
      </w:r>
    </w:p>
    <w:p w:rsidR="008365C1" w:rsidP="00B911BE" w:rsidRDefault="008365C1" w14:paraId="0AB33650" w14:textId="77777777">
      <w:pPr>
        <w:ind w:left="1080"/>
        <w:rPr>
          <w:rFonts w:ascii="Times New Roman" w:hAnsi="Times New Roman" w:cs="Times New Roman"/>
        </w:rPr>
      </w:pPr>
    </w:p>
    <w:p w:rsidRPr="009A73BF" w:rsidR="001769A1" w:rsidP="00B911BE" w:rsidRDefault="008365C1" w14:paraId="04E1324A" w14:textId="524B11EA">
      <w:pPr>
        <w:ind w:left="1080"/>
        <w:rPr>
          <w:rFonts w:ascii="Times New Roman" w:hAnsi="Times New Roman" w:cs="Times New Roman"/>
        </w:rPr>
      </w:pPr>
      <w:r>
        <w:rPr>
          <w:rFonts w:ascii="Times New Roman" w:hAnsi="Times New Roman" w:cs="Times New Roman"/>
        </w:rPr>
        <w:t xml:space="preserve">For each Ad Type, </w:t>
      </w:r>
      <w:r w:rsidR="0092787A">
        <w:rPr>
          <w:rFonts w:ascii="Times New Roman" w:hAnsi="Times New Roman" w:cs="Times New Roman"/>
        </w:rPr>
        <w:t xml:space="preserve">respondents will </w:t>
      </w:r>
      <w:r w:rsidRPr="009A73BF" w:rsidR="001769A1">
        <w:rPr>
          <w:rFonts w:ascii="Times New Roman" w:hAnsi="Times New Roman" w:cs="Times New Roman"/>
        </w:rPr>
        <w:t>be randomized to</w:t>
      </w:r>
      <w:r w:rsidR="006322B3">
        <w:rPr>
          <w:rFonts w:ascii="Times New Roman" w:hAnsi="Times New Roman" w:cs="Times New Roman"/>
        </w:rPr>
        <w:t xml:space="preserve"> one of 18</w:t>
      </w:r>
      <w:r w:rsidRPr="009A73BF" w:rsidR="001769A1">
        <w:rPr>
          <w:rFonts w:ascii="Times New Roman" w:hAnsi="Times New Roman" w:cs="Times New Roman"/>
        </w:rPr>
        <w:t xml:space="preserve"> conditions outlined in </w:t>
      </w:r>
      <w:r w:rsidR="001769A1">
        <w:rPr>
          <w:rFonts w:ascii="Times New Roman" w:hAnsi="Times New Roman" w:cs="Times New Roman"/>
        </w:rPr>
        <w:t>Exhibit</w:t>
      </w:r>
      <w:r w:rsidRPr="009A73BF" w:rsidR="001769A1">
        <w:rPr>
          <w:rFonts w:ascii="Times New Roman" w:hAnsi="Times New Roman" w:cs="Times New Roman"/>
        </w:rPr>
        <w:t xml:space="preserve"> 2. </w:t>
      </w:r>
      <w:r w:rsidR="00192657">
        <w:rPr>
          <w:rFonts w:ascii="Times New Roman" w:hAnsi="Times New Roman" w:cs="Times New Roman"/>
        </w:rPr>
        <w:t xml:space="preserve">The </w:t>
      </w:r>
      <w:r w:rsidR="00FA5B47">
        <w:rPr>
          <w:rFonts w:ascii="Times New Roman" w:hAnsi="Times New Roman" w:cs="Times New Roman"/>
        </w:rPr>
        <w:t xml:space="preserve">conditions </w:t>
      </w:r>
      <w:r w:rsidR="00192657">
        <w:rPr>
          <w:rFonts w:ascii="Times New Roman" w:hAnsi="Times New Roman" w:cs="Times New Roman"/>
        </w:rPr>
        <w:t xml:space="preserve">vary </w:t>
      </w:r>
      <w:r w:rsidR="003246D9">
        <w:rPr>
          <w:rFonts w:ascii="Times New Roman" w:hAnsi="Times New Roman" w:cs="Times New Roman"/>
        </w:rPr>
        <w:t>by brand (</w:t>
      </w:r>
      <w:r w:rsidR="00C42226">
        <w:rPr>
          <w:rFonts w:ascii="Times New Roman" w:hAnsi="Times New Roman" w:cs="Times New Roman"/>
        </w:rPr>
        <w:t>3</w:t>
      </w:r>
      <w:r w:rsidR="00192657">
        <w:rPr>
          <w:rFonts w:ascii="Times New Roman" w:hAnsi="Times New Roman" w:cs="Times New Roman"/>
        </w:rPr>
        <w:t xml:space="preserve"> </w:t>
      </w:r>
      <w:r w:rsidR="006E637A">
        <w:rPr>
          <w:rFonts w:ascii="Times New Roman" w:hAnsi="Times New Roman" w:cs="Times New Roman"/>
        </w:rPr>
        <w:t xml:space="preserve">e-cigarette </w:t>
      </w:r>
      <w:r w:rsidR="00192657">
        <w:rPr>
          <w:rFonts w:ascii="Times New Roman" w:hAnsi="Times New Roman" w:cs="Times New Roman"/>
        </w:rPr>
        <w:t>brand</w:t>
      </w:r>
      <w:r w:rsidR="00C42226">
        <w:rPr>
          <w:rFonts w:ascii="Times New Roman" w:hAnsi="Times New Roman" w:cs="Times New Roman"/>
        </w:rPr>
        <w:t>s</w:t>
      </w:r>
      <w:r w:rsidR="003246D9">
        <w:rPr>
          <w:rFonts w:ascii="Times New Roman" w:hAnsi="Times New Roman" w:cs="Times New Roman"/>
        </w:rPr>
        <w:t>:</w:t>
      </w:r>
      <w:r w:rsidR="00192657">
        <w:rPr>
          <w:rFonts w:ascii="Times New Roman" w:hAnsi="Times New Roman" w:cs="Times New Roman"/>
        </w:rPr>
        <w:t xml:space="preserve"> </w:t>
      </w:r>
      <w:r w:rsidR="009F5604">
        <w:rPr>
          <w:rFonts w:ascii="Times New Roman" w:hAnsi="Times New Roman" w:cs="Times New Roman"/>
        </w:rPr>
        <w:t>Brand 1</w:t>
      </w:r>
      <w:r w:rsidR="00192657">
        <w:rPr>
          <w:rFonts w:ascii="Times New Roman" w:hAnsi="Times New Roman" w:cs="Times New Roman"/>
        </w:rPr>
        <w:t xml:space="preserve">, </w:t>
      </w:r>
      <w:r w:rsidR="009F5604">
        <w:rPr>
          <w:rFonts w:ascii="Times New Roman" w:hAnsi="Times New Roman" w:cs="Times New Roman"/>
        </w:rPr>
        <w:t>Brand 2</w:t>
      </w:r>
      <w:r w:rsidR="00192657">
        <w:rPr>
          <w:rFonts w:ascii="Times New Roman" w:hAnsi="Times New Roman" w:cs="Times New Roman"/>
        </w:rPr>
        <w:t xml:space="preserve">, and </w:t>
      </w:r>
      <w:r w:rsidR="009F5604">
        <w:rPr>
          <w:rFonts w:ascii="Times New Roman" w:hAnsi="Times New Roman" w:cs="Times New Roman"/>
        </w:rPr>
        <w:t>Brand 3</w:t>
      </w:r>
      <w:r w:rsidR="00192657">
        <w:rPr>
          <w:rFonts w:ascii="Times New Roman" w:hAnsi="Times New Roman" w:cs="Times New Roman"/>
        </w:rPr>
        <w:t xml:space="preserve">) </w:t>
      </w:r>
      <w:r w:rsidR="00A3124E">
        <w:rPr>
          <w:rFonts w:ascii="Times New Roman" w:hAnsi="Times New Roman" w:cs="Times New Roman"/>
        </w:rPr>
        <w:t xml:space="preserve">and </w:t>
      </w:r>
      <w:r w:rsidR="006E637A">
        <w:rPr>
          <w:rFonts w:ascii="Times New Roman" w:hAnsi="Times New Roman" w:cs="Times New Roman"/>
        </w:rPr>
        <w:t>flavors (</w:t>
      </w:r>
      <w:r w:rsidR="00C42226">
        <w:rPr>
          <w:rFonts w:ascii="Times New Roman" w:hAnsi="Times New Roman" w:cs="Times New Roman"/>
        </w:rPr>
        <w:t xml:space="preserve">6 </w:t>
      </w:r>
      <w:r w:rsidR="00192657">
        <w:rPr>
          <w:rFonts w:ascii="Times New Roman" w:hAnsi="Times New Roman" w:cs="Times New Roman"/>
        </w:rPr>
        <w:t>flavor</w:t>
      </w:r>
      <w:r w:rsidR="00C42226">
        <w:rPr>
          <w:rFonts w:ascii="Times New Roman" w:hAnsi="Times New Roman" w:cs="Times New Roman"/>
        </w:rPr>
        <w:t>s</w:t>
      </w:r>
      <w:r w:rsidR="006E637A">
        <w:rPr>
          <w:rFonts w:ascii="Times New Roman" w:hAnsi="Times New Roman" w:cs="Times New Roman"/>
        </w:rPr>
        <w:t>:</w:t>
      </w:r>
      <w:r w:rsidR="00192657">
        <w:rPr>
          <w:rFonts w:ascii="Times New Roman" w:hAnsi="Times New Roman" w:cs="Times New Roman"/>
        </w:rPr>
        <w:t xml:space="preserve"> tobacco, mint, menthol, fruit, non-fruit sweet, and unflavored)</w:t>
      </w:r>
      <w:r w:rsidR="00A3124E">
        <w:rPr>
          <w:rFonts w:ascii="Times New Roman" w:hAnsi="Times New Roman" w:cs="Times New Roman"/>
        </w:rPr>
        <w:t xml:space="preserve">. </w:t>
      </w:r>
      <w:r w:rsidRPr="00DD725F" w:rsidR="001769A1">
        <w:rPr>
          <w:rFonts w:ascii="Times New Roman" w:hAnsi="Times New Roman" w:cs="Times New Roman"/>
        </w:rPr>
        <w:t xml:space="preserve">The stimuli are provided </w:t>
      </w:r>
      <w:r w:rsidR="00433AF0">
        <w:rPr>
          <w:rFonts w:ascii="Times New Roman" w:hAnsi="Times New Roman" w:cs="Times New Roman"/>
        </w:rPr>
        <w:t xml:space="preserve">as an </w:t>
      </w:r>
      <w:r w:rsidR="00433AF0">
        <w:rPr>
          <w:rFonts w:ascii="Times New Roman" w:hAnsi="Times New Roman" w:cs="Times New Roman"/>
          <w:bCs/>
        </w:rPr>
        <w:t>a</w:t>
      </w:r>
      <w:r w:rsidRPr="00433AF0" w:rsidR="001769A1">
        <w:rPr>
          <w:rFonts w:ascii="Times New Roman" w:hAnsi="Times New Roman" w:cs="Times New Roman"/>
          <w:bCs/>
        </w:rPr>
        <w:t>ttachment</w:t>
      </w:r>
      <w:r w:rsidRPr="00DD725F" w:rsidR="001769A1">
        <w:rPr>
          <w:rFonts w:ascii="Times New Roman" w:hAnsi="Times New Roman" w:cs="Times New Roman"/>
        </w:rPr>
        <w:t>.</w:t>
      </w:r>
    </w:p>
    <w:p w:rsidR="001769A1" w:rsidP="001769A1" w:rsidRDefault="001769A1" w14:paraId="4E52EE4A" w14:textId="16A1D77A">
      <w:pPr>
        <w:ind w:left="1080"/>
        <w:rPr>
          <w:rFonts w:ascii="Times New Roman" w:hAnsi="Times New Roman" w:cs="Times New Roman"/>
        </w:rPr>
      </w:pPr>
    </w:p>
    <w:p w:rsidR="00B71D84" w:rsidP="00202465" w:rsidRDefault="001769A1" w14:paraId="02089BD3" w14:textId="7F061594">
      <w:pPr>
        <w:ind w:left="1080"/>
        <w:rPr>
          <w:rFonts w:ascii="Times New Roman" w:hAnsi="Times New Roman" w:cs="Times New Roman"/>
        </w:rPr>
      </w:pPr>
      <w:r w:rsidRPr="009A73BF">
        <w:rPr>
          <w:rFonts w:ascii="Times New Roman" w:hAnsi="Times New Roman" w:cs="Times New Roman"/>
        </w:rPr>
        <w:t xml:space="preserve">Respondents will be randomized to </w:t>
      </w:r>
      <w:r w:rsidR="00180948">
        <w:rPr>
          <w:rFonts w:ascii="Times New Roman" w:hAnsi="Times New Roman" w:cs="Times New Roman"/>
        </w:rPr>
        <w:t>five ads</w:t>
      </w:r>
      <w:r w:rsidR="00C42226">
        <w:rPr>
          <w:rFonts w:ascii="Times New Roman" w:hAnsi="Times New Roman" w:cs="Times New Roman"/>
        </w:rPr>
        <w:t xml:space="preserve">, </w:t>
      </w:r>
      <w:r w:rsidR="00A05131">
        <w:rPr>
          <w:rFonts w:ascii="Times New Roman" w:hAnsi="Times New Roman" w:cs="Times New Roman"/>
        </w:rPr>
        <w:t xml:space="preserve">one for each </w:t>
      </w:r>
      <w:r w:rsidR="00F27367">
        <w:rPr>
          <w:rFonts w:ascii="Times New Roman" w:hAnsi="Times New Roman" w:cs="Times New Roman"/>
        </w:rPr>
        <w:t>Ad Type</w:t>
      </w:r>
      <w:r w:rsidR="00A05131">
        <w:rPr>
          <w:rFonts w:ascii="Times New Roman" w:hAnsi="Times New Roman" w:cs="Times New Roman"/>
        </w:rPr>
        <w:t xml:space="preserve">. Within each </w:t>
      </w:r>
      <w:r w:rsidR="00F27367">
        <w:rPr>
          <w:rFonts w:ascii="Times New Roman" w:hAnsi="Times New Roman" w:cs="Times New Roman"/>
        </w:rPr>
        <w:t>Ad Type</w:t>
      </w:r>
      <w:r w:rsidR="00A05131">
        <w:rPr>
          <w:rFonts w:ascii="Times New Roman" w:hAnsi="Times New Roman" w:cs="Times New Roman"/>
        </w:rPr>
        <w:t>, the ad brand and flavor will be randomized.</w:t>
      </w:r>
      <w:r w:rsidR="00E940D6">
        <w:rPr>
          <w:rFonts w:ascii="Times New Roman" w:hAnsi="Times New Roman" w:cs="Times New Roman"/>
        </w:rPr>
        <w:t xml:space="preserve"> </w:t>
      </w:r>
      <w:r w:rsidR="0070187F">
        <w:rPr>
          <w:rFonts w:ascii="Times New Roman" w:hAnsi="Times New Roman" w:cs="Times New Roman"/>
        </w:rPr>
        <w:t>P</w:t>
      </w:r>
      <w:r w:rsidR="00E940D6">
        <w:rPr>
          <w:rFonts w:ascii="Times New Roman" w:hAnsi="Times New Roman" w:cs="Times New Roman"/>
        </w:rPr>
        <w:t>articipant</w:t>
      </w:r>
      <w:r w:rsidR="0070187F">
        <w:rPr>
          <w:rFonts w:ascii="Times New Roman" w:hAnsi="Times New Roman" w:cs="Times New Roman"/>
        </w:rPr>
        <w:t>s</w:t>
      </w:r>
      <w:r w:rsidR="00E940D6">
        <w:rPr>
          <w:rFonts w:ascii="Times New Roman" w:hAnsi="Times New Roman" w:cs="Times New Roman"/>
        </w:rPr>
        <w:t xml:space="preserve"> will</w:t>
      </w:r>
      <w:r w:rsidR="0070187F">
        <w:rPr>
          <w:rFonts w:ascii="Times New Roman" w:hAnsi="Times New Roman" w:cs="Times New Roman"/>
        </w:rPr>
        <w:t xml:space="preserve"> not</w:t>
      </w:r>
      <w:r w:rsidR="00E940D6">
        <w:rPr>
          <w:rFonts w:ascii="Times New Roman" w:hAnsi="Times New Roman" w:cs="Times New Roman"/>
        </w:rPr>
        <w:t xml:space="preserve"> view more than 1 ad for each flavor and </w:t>
      </w:r>
      <w:r w:rsidR="0070187F">
        <w:rPr>
          <w:rFonts w:ascii="Times New Roman" w:hAnsi="Times New Roman" w:cs="Times New Roman"/>
        </w:rPr>
        <w:t>2 ads for a single brand.</w:t>
      </w:r>
      <w:bookmarkStart w:name="_Hlk504420316" w:id="1"/>
      <w:r w:rsidR="00202465">
        <w:rPr>
          <w:rFonts w:ascii="Times New Roman" w:hAnsi="Times New Roman" w:cs="Times New Roman"/>
        </w:rPr>
        <w:t xml:space="preserve"> </w:t>
      </w:r>
    </w:p>
    <w:p w:rsidR="00B71D84" w:rsidP="00202465" w:rsidRDefault="00B71D84" w14:paraId="250CD1BC" w14:textId="77777777">
      <w:pPr>
        <w:ind w:left="1080"/>
        <w:rPr>
          <w:rFonts w:ascii="Times New Roman" w:hAnsi="Times New Roman" w:cs="Times New Roman"/>
        </w:rPr>
      </w:pPr>
    </w:p>
    <w:p w:rsidR="00202465" w:rsidP="00202465" w:rsidRDefault="00202465" w14:paraId="668E2B9D" w14:textId="1F4E973D">
      <w:pPr>
        <w:ind w:left="1080"/>
        <w:rPr>
          <w:rFonts w:ascii="Times New Roman" w:hAnsi="Times New Roman" w:cs="Times New Roman"/>
        </w:rPr>
      </w:pPr>
      <w:r>
        <w:rPr>
          <w:rFonts w:ascii="Times New Roman" w:hAnsi="Times New Roman" w:cs="Times New Roman"/>
        </w:rPr>
        <w:lastRenderedPageBreak/>
        <w:t xml:space="preserve">Thus, the study design includes 90 conditions: 5 Ad Types (within subjects) x 3 Brands (between subjects) x 6 Flavors (between subjects). </w:t>
      </w:r>
      <w:r w:rsidRPr="009A73BF">
        <w:rPr>
          <w:rFonts w:ascii="Times New Roman" w:hAnsi="Times New Roman" w:cs="Times New Roman"/>
        </w:rPr>
        <w:t xml:space="preserve">Each condition will yield data from approximately </w:t>
      </w:r>
      <w:r>
        <w:rPr>
          <w:rFonts w:ascii="Times New Roman" w:hAnsi="Times New Roman" w:cs="Times New Roman"/>
        </w:rPr>
        <w:t>138-139</w:t>
      </w:r>
      <w:r w:rsidRPr="009A73BF">
        <w:rPr>
          <w:rFonts w:ascii="Times New Roman" w:hAnsi="Times New Roman" w:cs="Times New Roman"/>
        </w:rPr>
        <w:t xml:space="preserve"> respondents.</w:t>
      </w:r>
    </w:p>
    <w:p w:rsidR="001769A1" w:rsidP="002D2318" w:rsidRDefault="001769A1" w14:paraId="596280F9" w14:textId="2DB8FA1A">
      <w:pPr>
        <w:ind w:left="1080"/>
        <w:rPr>
          <w:rFonts w:ascii="Times New Roman" w:hAnsi="Times New Roman" w:cs="Times New Roman"/>
        </w:rPr>
      </w:pPr>
    </w:p>
    <w:p w:rsidR="00901B22" w:rsidP="002D2318" w:rsidRDefault="00901B22" w14:paraId="13E7C1EB" w14:textId="77777777">
      <w:pPr>
        <w:ind w:left="1080"/>
        <w:rPr>
          <w:rFonts w:ascii="Times New Roman" w:hAnsi="Times New Roman" w:cs="Times New Roman"/>
        </w:rPr>
      </w:pPr>
    </w:p>
    <w:p w:rsidRPr="002D2318" w:rsidR="002D2318" w:rsidP="002D2318" w:rsidRDefault="002D2318" w14:paraId="7980B988" w14:textId="77777777">
      <w:pPr>
        <w:ind w:left="1080"/>
        <w:rPr>
          <w:rFonts w:ascii="Times New Roman" w:hAnsi="Times New Roman" w:cs="Times New Roman"/>
        </w:rPr>
      </w:pPr>
    </w:p>
    <w:tbl>
      <w:tblPr>
        <w:tblStyle w:val="TableGrid"/>
        <w:tblW w:w="0" w:type="auto"/>
        <w:tblLook w:val="04A0" w:firstRow="1" w:lastRow="0" w:firstColumn="1" w:lastColumn="0" w:noHBand="0" w:noVBand="1"/>
      </w:tblPr>
      <w:tblGrid>
        <w:gridCol w:w="1507"/>
        <w:gridCol w:w="1013"/>
        <w:gridCol w:w="1331"/>
        <w:gridCol w:w="1366"/>
        <w:gridCol w:w="1436"/>
        <w:gridCol w:w="1366"/>
        <w:gridCol w:w="1331"/>
      </w:tblGrid>
      <w:tr w:rsidRPr="00D60922" w:rsidR="0062290C" w:rsidTr="00A62F9A" w14:paraId="4654662C" w14:textId="77777777">
        <w:tc>
          <w:tcPr>
            <w:tcW w:w="9350" w:type="dxa"/>
            <w:gridSpan w:val="7"/>
          </w:tcPr>
          <w:p w:rsidRPr="0062290C" w:rsidR="0062290C" w:rsidP="000137DA" w:rsidRDefault="0062290C" w14:paraId="69C1AE9B" w14:textId="0061D603">
            <w:pPr>
              <w:rPr>
                <w:rFonts w:ascii="Verdana" w:hAnsi="Verdana" w:cs="Arial"/>
                <w:b/>
                <w:color w:val="000000" w:themeColor="text1"/>
                <w:sz w:val="20"/>
                <w:szCs w:val="20"/>
              </w:rPr>
            </w:pPr>
            <w:bookmarkStart w:name="_Toc464036267" w:id="2"/>
            <w:r w:rsidRPr="0062290C">
              <w:rPr>
                <w:rFonts w:ascii="Verdana" w:hAnsi="Verdana"/>
                <w:b/>
                <w:sz w:val="20"/>
                <w:szCs w:val="20"/>
              </w:rPr>
              <w:t>Exhibit 2.</w:t>
            </w:r>
            <w:r w:rsidRPr="0062290C">
              <w:rPr>
                <w:rFonts w:ascii="Verdana" w:hAnsi="Verdana"/>
                <w:b/>
                <w:sz w:val="20"/>
                <w:szCs w:val="20"/>
              </w:rPr>
              <w:tab/>
              <w:t>Conditions and Sample Size for Each Condition</w:t>
            </w:r>
            <w:bookmarkEnd w:id="2"/>
            <w:r w:rsidR="00C0321F">
              <w:rPr>
                <w:rFonts w:ascii="Verdana" w:hAnsi="Verdana"/>
                <w:b/>
                <w:sz w:val="20"/>
                <w:szCs w:val="20"/>
              </w:rPr>
              <w:t xml:space="preserve"> </w:t>
            </w:r>
            <w:r w:rsidRPr="00C0321F" w:rsidR="00C0321F">
              <w:rPr>
                <w:rFonts w:ascii="Verdana" w:hAnsi="Verdana"/>
                <w:sz w:val="20"/>
                <w:szCs w:val="20"/>
              </w:rPr>
              <w:t>(Note: N’s in each cell reflect one age group (i.e., one half of the sample) only. The cell sizes for the other half of the sample are identical</w:t>
            </w:r>
            <w:r w:rsidR="00C0321F">
              <w:rPr>
                <w:rFonts w:ascii="Verdana" w:hAnsi="Verdana"/>
                <w:sz w:val="20"/>
                <w:szCs w:val="20"/>
              </w:rPr>
              <w:t>.</w:t>
            </w:r>
            <w:r w:rsidRPr="00C0321F" w:rsidR="00C0321F">
              <w:rPr>
                <w:rFonts w:ascii="Verdana" w:hAnsi="Verdana"/>
                <w:sz w:val="20"/>
                <w:szCs w:val="20"/>
              </w:rPr>
              <w:t>)</w:t>
            </w:r>
          </w:p>
        </w:tc>
      </w:tr>
      <w:tr w:rsidRPr="00D60922" w:rsidR="00A62F9A" w:rsidTr="00A62F9A" w14:paraId="1B5E4051" w14:textId="77777777">
        <w:tc>
          <w:tcPr>
            <w:tcW w:w="1507" w:type="dxa"/>
            <w:vAlign w:val="bottom"/>
          </w:tcPr>
          <w:p w:rsidRPr="005B2901" w:rsidR="00A62F9A" w:rsidP="005B2901" w:rsidRDefault="00A62F9A" w14:paraId="2FF0AE04" w14:textId="77777777">
            <w:pPr>
              <w:jc w:val="center"/>
              <w:rPr>
                <w:rFonts w:ascii="Arial" w:hAnsi="Arial" w:cs="Arial"/>
                <w:b/>
                <w:color w:val="000000" w:themeColor="text1"/>
              </w:rPr>
            </w:pPr>
          </w:p>
        </w:tc>
        <w:tc>
          <w:tcPr>
            <w:tcW w:w="1013" w:type="dxa"/>
            <w:vAlign w:val="bottom"/>
          </w:tcPr>
          <w:p w:rsidRPr="005B2901" w:rsidR="00A62F9A" w:rsidP="005B2901" w:rsidRDefault="00A62F9A" w14:paraId="3F5099B5" w14:textId="77777777">
            <w:pPr>
              <w:jc w:val="center"/>
              <w:rPr>
                <w:rFonts w:ascii="Arial" w:hAnsi="Arial" w:cs="Arial"/>
                <w:b/>
                <w:color w:val="000000" w:themeColor="text1"/>
              </w:rPr>
            </w:pPr>
          </w:p>
        </w:tc>
        <w:tc>
          <w:tcPr>
            <w:tcW w:w="6830" w:type="dxa"/>
            <w:gridSpan w:val="5"/>
            <w:vAlign w:val="bottom"/>
          </w:tcPr>
          <w:p w:rsidRPr="00D60922" w:rsidR="00A62F9A" w:rsidP="00355EC2" w:rsidRDefault="00A62F9A" w14:paraId="003F66FA" w14:textId="30BE82DE">
            <w:pPr>
              <w:jc w:val="center"/>
              <w:rPr>
                <w:rFonts w:ascii="Arial" w:hAnsi="Arial" w:cs="Arial"/>
                <w:color w:val="000000" w:themeColor="text1"/>
              </w:rPr>
            </w:pPr>
            <w:r>
              <w:rPr>
                <w:rFonts w:ascii="Arial" w:hAnsi="Arial" w:cs="Arial"/>
                <w:color w:val="000000" w:themeColor="text1"/>
              </w:rPr>
              <w:t>Ad Type</w:t>
            </w:r>
          </w:p>
        </w:tc>
      </w:tr>
      <w:tr w:rsidRPr="00D60922" w:rsidR="009F5604" w:rsidTr="00A62F9A" w14:paraId="4DCCDD73" w14:textId="77777777">
        <w:tc>
          <w:tcPr>
            <w:tcW w:w="1507" w:type="dxa"/>
            <w:vAlign w:val="bottom"/>
          </w:tcPr>
          <w:p w:rsidRPr="005B2901" w:rsidR="0062290C" w:rsidP="005B2901" w:rsidRDefault="002D2318" w14:paraId="2EE0751C" w14:textId="33CEDB8F">
            <w:pPr>
              <w:jc w:val="center"/>
              <w:rPr>
                <w:rFonts w:ascii="Arial" w:hAnsi="Arial" w:cs="Arial"/>
                <w:b/>
                <w:color w:val="000000" w:themeColor="text1"/>
              </w:rPr>
            </w:pPr>
            <w:r w:rsidRPr="005B2901">
              <w:rPr>
                <w:rFonts w:ascii="Arial" w:hAnsi="Arial" w:cs="Arial"/>
                <w:b/>
                <w:color w:val="000000" w:themeColor="text1"/>
              </w:rPr>
              <w:t>Flavor</w:t>
            </w:r>
          </w:p>
        </w:tc>
        <w:tc>
          <w:tcPr>
            <w:tcW w:w="1013" w:type="dxa"/>
            <w:vAlign w:val="bottom"/>
          </w:tcPr>
          <w:p w:rsidRPr="005B2901" w:rsidR="0062290C" w:rsidP="005B2901" w:rsidRDefault="002D2318" w14:paraId="73F985D1" w14:textId="084243F4">
            <w:pPr>
              <w:jc w:val="center"/>
              <w:rPr>
                <w:rFonts w:ascii="Arial" w:hAnsi="Arial" w:cs="Arial"/>
                <w:b/>
                <w:color w:val="000000" w:themeColor="text1"/>
              </w:rPr>
            </w:pPr>
            <w:r w:rsidRPr="005B2901">
              <w:rPr>
                <w:rFonts w:ascii="Arial" w:hAnsi="Arial" w:cs="Arial"/>
                <w:b/>
                <w:color w:val="000000" w:themeColor="text1"/>
              </w:rPr>
              <w:t>Brand</w:t>
            </w:r>
          </w:p>
        </w:tc>
        <w:tc>
          <w:tcPr>
            <w:tcW w:w="1331" w:type="dxa"/>
            <w:vAlign w:val="bottom"/>
          </w:tcPr>
          <w:p w:rsidRPr="00D60922" w:rsidR="0062290C" w:rsidP="000137DA" w:rsidRDefault="0062290C" w14:paraId="468F8A2D" w14:textId="77777777">
            <w:pPr>
              <w:rPr>
                <w:rFonts w:ascii="Arial" w:hAnsi="Arial" w:cs="Arial"/>
                <w:color w:val="000000" w:themeColor="text1"/>
              </w:rPr>
            </w:pPr>
            <w:r w:rsidRPr="00D60922">
              <w:rPr>
                <w:rFonts w:ascii="Arial" w:hAnsi="Arial" w:cs="Arial"/>
                <w:color w:val="000000" w:themeColor="text1"/>
              </w:rPr>
              <w:t>1. No image, name modifier or descriptor (Control)</w:t>
            </w:r>
          </w:p>
        </w:tc>
        <w:tc>
          <w:tcPr>
            <w:tcW w:w="1366" w:type="dxa"/>
            <w:vAlign w:val="bottom"/>
          </w:tcPr>
          <w:p w:rsidRPr="00D60922" w:rsidR="0062290C" w:rsidP="000137DA" w:rsidRDefault="0062290C" w14:paraId="0BB4C5E1" w14:textId="77777777">
            <w:pPr>
              <w:rPr>
                <w:rFonts w:ascii="Arial" w:hAnsi="Arial" w:cs="Arial"/>
                <w:color w:val="000000" w:themeColor="text1"/>
              </w:rPr>
            </w:pPr>
            <w:r w:rsidRPr="00D60922">
              <w:rPr>
                <w:rFonts w:ascii="Arial" w:hAnsi="Arial" w:cs="Arial"/>
                <w:color w:val="000000" w:themeColor="text1"/>
              </w:rPr>
              <w:t>2. Name modifier + Descriptor (Image removed)</w:t>
            </w:r>
          </w:p>
        </w:tc>
        <w:tc>
          <w:tcPr>
            <w:tcW w:w="1436" w:type="dxa"/>
            <w:vAlign w:val="bottom"/>
          </w:tcPr>
          <w:p w:rsidRPr="00D60922" w:rsidR="0062290C" w:rsidP="000137DA" w:rsidRDefault="0062290C" w14:paraId="311800F0" w14:textId="77777777">
            <w:pPr>
              <w:rPr>
                <w:rFonts w:ascii="Arial" w:hAnsi="Arial" w:cs="Arial"/>
                <w:color w:val="000000" w:themeColor="text1"/>
              </w:rPr>
            </w:pPr>
            <w:r w:rsidRPr="00D60922">
              <w:rPr>
                <w:rFonts w:ascii="Arial" w:hAnsi="Arial" w:cs="Arial"/>
                <w:color w:val="000000" w:themeColor="text1"/>
              </w:rPr>
              <w:t>3. Name modifier + Image (Descriptor removed)</w:t>
            </w:r>
          </w:p>
        </w:tc>
        <w:tc>
          <w:tcPr>
            <w:tcW w:w="1366" w:type="dxa"/>
            <w:vAlign w:val="bottom"/>
          </w:tcPr>
          <w:p w:rsidRPr="00D60922" w:rsidR="0062290C" w:rsidP="000137DA" w:rsidRDefault="0062290C" w14:paraId="00E8B382" w14:textId="77777777">
            <w:pPr>
              <w:rPr>
                <w:rFonts w:ascii="Arial" w:hAnsi="Arial" w:cs="Arial"/>
                <w:color w:val="000000" w:themeColor="text1"/>
              </w:rPr>
            </w:pPr>
            <w:r w:rsidRPr="00D60922">
              <w:rPr>
                <w:rFonts w:ascii="Arial" w:hAnsi="Arial" w:cs="Arial"/>
                <w:color w:val="000000" w:themeColor="text1"/>
              </w:rPr>
              <w:t>4. Image + Descriptor (Name modifier removed)</w:t>
            </w:r>
          </w:p>
        </w:tc>
        <w:tc>
          <w:tcPr>
            <w:tcW w:w="1331" w:type="dxa"/>
            <w:vAlign w:val="bottom"/>
          </w:tcPr>
          <w:p w:rsidRPr="00D60922" w:rsidR="0062290C" w:rsidP="000137DA" w:rsidRDefault="0062290C" w14:paraId="7A3B3E2A" w14:textId="77777777">
            <w:pPr>
              <w:rPr>
                <w:rFonts w:ascii="Arial" w:hAnsi="Arial" w:cs="Arial"/>
                <w:color w:val="000000" w:themeColor="text1"/>
              </w:rPr>
            </w:pPr>
            <w:r w:rsidRPr="00D60922">
              <w:rPr>
                <w:rFonts w:ascii="Arial" w:hAnsi="Arial" w:cs="Arial"/>
                <w:color w:val="000000" w:themeColor="text1"/>
              </w:rPr>
              <w:t>5. All 3: Image, name and descriptor</w:t>
            </w:r>
            <w:r w:rsidRPr="00D60922">
              <w:rPr>
                <w:rFonts w:ascii="Arial" w:hAnsi="Arial" w:cs="Arial"/>
                <w:color w:val="000000" w:themeColor="text1"/>
              </w:rPr>
              <w:br/>
              <w:t>(No features removed)</w:t>
            </w:r>
          </w:p>
        </w:tc>
      </w:tr>
      <w:tr w:rsidRPr="00D60922" w:rsidR="009F5604" w:rsidTr="00A62F9A" w14:paraId="7529625E" w14:textId="77777777">
        <w:tc>
          <w:tcPr>
            <w:tcW w:w="1507" w:type="dxa"/>
            <w:vMerge w:val="restart"/>
            <w:shd w:val="clear" w:color="auto" w:fill="DEEAF6" w:themeFill="accent5" w:themeFillTint="33"/>
            <w:vAlign w:val="center"/>
          </w:tcPr>
          <w:p w:rsidRPr="00D60922" w:rsidR="0062290C" w:rsidP="000137DA" w:rsidRDefault="0062290C" w14:paraId="47586476" w14:textId="77777777">
            <w:pPr>
              <w:jc w:val="center"/>
              <w:rPr>
                <w:rFonts w:ascii="Arial" w:hAnsi="Arial" w:cs="Arial"/>
                <w:b/>
                <w:bCs/>
                <w:color w:val="000000" w:themeColor="text1"/>
              </w:rPr>
            </w:pPr>
            <w:r w:rsidRPr="00D60922">
              <w:rPr>
                <w:rFonts w:ascii="Arial" w:hAnsi="Arial" w:cs="Arial"/>
                <w:b/>
                <w:bCs/>
                <w:color w:val="000000" w:themeColor="text1"/>
              </w:rPr>
              <w:t>Tobacco</w:t>
            </w:r>
          </w:p>
        </w:tc>
        <w:tc>
          <w:tcPr>
            <w:tcW w:w="1013" w:type="dxa"/>
            <w:vAlign w:val="bottom"/>
          </w:tcPr>
          <w:p w:rsidRPr="00D60922" w:rsidR="0062290C" w:rsidP="000137DA" w:rsidRDefault="009F5604" w14:paraId="2512DAFC" w14:textId="16834F70">
            <w:pPr>
              <w:rPr>
                <w:rFonts w:ascii="Arial" w:hAnsi="Arial" w:cs="Arial"/>
                <w:color w:val="000000" w:themeColor="text1"/>
              </w:rPr>
            </w:pPr>
            <w:r>
              <w:rPr>
                <w:rFonts w:ascii="Arial" w:hAnsi="Arial" w:cs="Arial"/>
                <w:color w:val="000000" w:themeColor="text1"/>
              </w:rPr>
              <w:t>Brand1</w:t>
            </w:r>
          </w:p>
        </w:tc>
        <w:tc>
          <w:tcPr>
            <w:tcW w:w="1331" w:type="dxa"/>
          </w:tcPr>
          <w:p w:rsidRPr="00D60922" w:rsidR="0062290C" w:rsidP="000137DA" w:rsidRDefault="0062290C" w14:paraId="5F67C066" w14:textId="77777777">
            <w:pPr>
              <w:rPr>
                <w:rFonts w:ascii="Arial" w:hAnsi="Arial" w:cs="Arial"/>
                <w:color w:val="000000" w:themeColor="text1"/>
              </w:rPr>
            </w:pPr>
            <w:r w:rsidRPr="00D60922">
              <w:rPr>
                <w:rFonts w:ascii="Arial" w:hAnsi="Arial" w:cs="Arial"/>
                <w:color w:val="000000" w:themeColor="text1"/>
              </w:rPr>
              <w:t>~138/139</w:t>
            </w:r>
          </w:p>
        </w:tc>
        <w:tc>
          <w:tcPr>
            <w:tcW w:w="1366" w:type="dxa"/>
          </w:tcPr>
          <w:p w:rsidRPr="00D60922" w:rsidR="0062290C" w:rsidP="000137DA" w:rsidRDefault="0062290C" w14:paraId="2A4CF481" w14:textId="77777777">
            <w:pPr>
              <w:rPr>
                <w:rFonts w:ascii="Arial" w:hAnsi="Arial" w:cs="Arial"/>
                <w:color w:val="000000" w:themeColor="text1"/>
              </w:rPr>
            </w:pPr>
            <w:r w:rsidRPr="00D60922">
              <w:rPr>
                <w:rFonts w:ascii="Arial" w:hAnsi="Arial" w:cs="Arial"/>
                <w:color w:val="000000" w:themeColor="text1"/>
              </w:rPr>
              <w:t>~138/139</w:t>
            </w:r>
          </w:p>
        </w:tc>
        <w:tc>
          <w:tcPr>
            <w:tcW w:w="1436" w:type="dxa"/>
          </w:tcPr>
          <w:p w:rsidRPr="00D60922" w:rsidR="0062290C" w:rsidP="000137DA" w:rsidRDefault="0062290C" w14:paraId="654CBE78" w14:textId="77777777">
            <w:pPr>
              <w:rPr>
                <w:rFonts w:ascii="Arial" w:hAnsi="Arial" w:cs="Arial"/>
                <w:color w:val="000000" w:themeColor="text1"/>
              </w:rPr>
            </w:pPr>
            <w:r w:rsidRPr="00D60922">
              <w:rPr>
                <w:rFonts w:ascii="Arial" w:hAnsi="Arial" w:cs="Arial"/>
                <w:color w:val="000000" w:themeColor="text1"/>
              </w:rPr>
              <w:t>~138/139</w:t>
            </w:r>
          </w:p>
        </w:tc>
        <w:tc>
          <w:tcPr>
            <w:tcW w:w="1366" w:type="dxa"/>
          </w:tcPr>
          <w:p w:rsidRPr="00D60922" w:rsidR="0062290C" w:rsidP="000137DA" w:rsidRDefault="0062290C" w14:paraId="4C33F7FB" w14:textId="77777777">
            <w:pPr>
              <w:rPr>
                <w:rFonts w:ascii="Arial" w:hAnsi="Arial" w:cs="Arial"/>
                <w:color w:val="000000" w:themeColor="text1"/>
              </w:rPr>
            </w:pPr>
            <w:r w:rsidRPr="00D60922">
              <w:rPr>
                <w:rFonts w:ascii="Arial" w:hAnsi="Arial" w:cs="Arial"/>
                <w:color w:val="000000" w:themeColor="text1"/>
              </w:rPr>
              <w:t>~138/139</w:t>
            </w:r>
          </w:p>
        </w:tc>
        <w:tc>
          <w:tcPr>
            <w:tcW w:w="1331" w:type="dxa"/>
          </w:tcPr>
          <w:p w:rsidRPr="00D60922" w:rsidR="0062290C" w:rsidP="000137DA" w:rsidRDefault="0062290C" w14:paraId="00BD31BA" w14:textId="77777777">
            <w:pPr>
              <w:rPr>
                <w:rFonts w:ascii="Arial" w:hAnsi="Arial" w:cs="Arial"/>
                <w:color w:val="000000" w:themeColor="text1"/>
              </w:rPr>
            </w:pPr>
            <w:r w:rsidRPr="00D60922">
              <w:rPr>
                <w:rFonts w:ascii="Arial" w:hAnsi="Arial" w:cs="Arial"/>
                <w:color w:val="000000" w:themeColor="text1"/>
              </w:rPr>
              <w:t>~138/139</w:t>
            </w:r>
          </w:p>
        </w:tc>
      </w:tr>
      <w:tr w:rsidRPr="00D60922" w:rsidR="009F5604" w:rsidTr="00A62F9A" w14:paraId="571677A5" w14:textId="77777777">
        <w:tc>
          <w:tcPr>
            <w:tcW w:w="1507" w:type="dxa"/>
            <w:vMerge/>
            <w:shd w:val="clear" w:color="auto" w:fill="DEEAF6" w:themeFill="accent5" w:themeFillTint="33"/>
          </w:tcPr>
          <w:p w:rsidRPr="00D60922" w:rsidR="0062290C" w:rsidP="000137DA" w:rsidRDefault="0062290C" w14:paraId="4FAF9A06" w14:textId="77777777">
            <w:pPr>
              <w:rPr>
                <w:rFonts w:ascii="Arial" w:hAnsi="Arial" w:cs="Arial"/>
                <w:color w:val="000000" w:themeColor="text1"/>
              </w:rPr>
            </w:pPr>
          </w:p>
        </w:tc>
        <w:tc>
          <w:tcPr>
            <w:tcW w:w="1013" w:type="dxa"/>
            <w:vAlign w:val="bottom"/>
          </w:tcPr>
          <w:p w:rsidRPr="00D60922" w:rsidR="0062290C" w:rsidP="000137DA" w:rsidRDefault="009F5604" w14:paraId="1EB4B086" w14:textId="482D849D">
            <w:pPr>
              <w:rPr>
                <w:rFonts w:ascii="Arial" w:hAnsi="Arial" w:cs="Arial"/>
                <w:color w:val="000000" w:themeColor="text1"/>
              </w:rPr>
            </w:pPr>
            <w:r>
              <w:rPr>
                <w:rFonts w:ascii="Arial" w:hAnsi="Arial" w:cs="Arial"/>
                <w:color w:val="000000" w:themeColor="text1"/>
              </w:rPr>
              <w:t>Brand2</w:t>
            </w:r>
          </w:p>
        </w:tc>
        <w:tc>
          <w:tcPr>
            <w:tcW w:w="1331" w:type="dxa"/>
          </w:tcPr>
          <w:p w:rsidRPr="00D60922" w:rsidR="0062290C" w:rsidP="000137DA" w:rsidRDefault="0062290C" w14:paraId="14E4BE14" w14:textId="77777777">
            <w:pPr>
              <w:rPr>
                <w:rFonts w:ascii="Arial" w:hAnsi="Arial" w:cs="Arial"/>
                <w:color w:val="000000" w:themeColor="text1"/>
              </w:rPr>
            </w:pPr>
            <w:r w:rsidRPr="00D60922">
              <w:rPr>
                <w:rFonts w:ascii="Arial" w:hAnsi="Arial" w:cs="Arial"/>
                <w:color w:val="000000" w:themeColor="text1"/>
              </w:rPr>
              <w:t>~138/139</w:t>
            </w:r>
          </w:p>
        </w:tc>
        <w:tc>
          <w:tcPr>
            <w:tcW w:w="1366" w:type="dxa"/>
          </w:tcPr>
          <w:p w:rsidRPr="00D60922" w:rsidR="0062290C" w:rsidP="000137DA" w:rsidRDefault="0062290C" w14:paraId="265CBDFD" w14:textId="77777777">
            <w:pPr>
              <w:rPr>
                <w:rFonts w:ascii="Arial" w:hAnsi="Arial" w:cs="Arial"/>
                <w:color w:val="000000" w:themeColor="text1"/>
              </w:rPr>
            </w:pPr>
            <w:r w:rsidRPr="00D60922">
              <w:rPr>
                <w:rFonts w:ascii="Arial" w:hAnsi="Arial" w:cs="Arial"/>
                <w:color w:val="000000" w:themeColor="text1"/>
              </w:rPr>
              <w:t>~138/139</w:t>
            </w:r>
          </w:p>
        </w:tc>
        <w:tc>
          <w:tcPr>
            <w:tcW w:w="1436" w:type="dxa"/>
          </w:tcPr>
          <w:p w:rsidRPr="00D60922" w:rsidR="0062290C" w:rsidP="000137DA" w:rsidRDefault="0062290C" w14:paraId="4EF159A4" w14:textId="77777777">
            <w:pPr>
              <w:rPr>
                <w:rFonts w:ascii="Arial" w:hAnsi="Arial" w:cs="Arial"/>
                <w:color w:val="000000" w:themeColor="text1"/>
              </w:rPr>
            </w:pPr>
            <w:r w:rsidRPr="00D60922">
              <w:rPr>
                <w:rFonts w:ascii="Arial" w:hAnsi="Arial" w:cs="Arial"/>
                <w:color w:val="000000" w:themeColor="text1"/>
              </w:rPr>
              <w:t>~138/139</w:t>
            </w:r>
          </w:p>
        </w:tc>
        <w:tc>
          <w:tcPr>
            <w:tcW w:w="1366" w:type="dxa"/>
          </w:tcPr>
          <w:p w:rsidRPr="00D60922" w:rsidR="0062290C" w:rsidP="000137DA" w:rsidRDefault="0062290C" w14:paraId="1C08D467" w14:textId="77777777">
            <w:pPr>
              <w:rPr>
                <w:rFonts w:ascii="Arial" w:hAnsi="Arial" w:cs="Arial"/>
                <w:color w:val="000000" w:themeColor="text1"/>
              </w:rPr>
            </w:pPr>
            <w:r w:rsidRPr="00D60922">
              <w:rPr>
                <w:rFonts w:ascii="Arial" w:hAnsi="Arial" w:cs="Arial"/>
                <w:color w:val="000000" w:themeColor="text1"/>
              </w:rPr>
              <w:t>~138/139</w:t>
            </w:r>
          </w:p>
        </w:tc>
        <w:tc>
          <w:tcPr>
            <w:tcW w:w="1331" w:type="dxa"/>
          </w:tcPr>
          <w:p w:rsidRPr="00D60922" w:rsidR="0062290C" w:rsidP="000137DA" w:rsidRDefault="0062290C" w14:paraId="19C93582" w14:textId="77777777">
            <w:pPr>
              <w:rPr>
                <w:rFonts w:ascii="Arial" w:hAnsi="Arial" w:cs="Arial"/>
                <w:color w:val="000000" w:themeColor="text1"/>
              </w:rPr>
            </w:pPr>
            <w:r w:rsidRPr="00D60922">
              <w:rPr>
                <w:rFonts w:ascii="Arial" w:hAnsi="Arial" w:cs="Arial"/>
                <w:color w:val="000000" w:themeColor="text1"/>
              </w:rPr>
              <w:t>~138/139</w:t>
            </w:r>
          </w:p>
        </w:tc>
      </w:tr>
      <w:tr w:rsidRPr="00D60922" w:rsidR="009F5604" w:rsidTr="00A62F9A" w14:paraId="5CBE5B66" w14:textId="77777777">
        <w:tc>
          <w:tcPr>
            <w:tcW w:w="1507" w:type="dxa"/>
            <w:vMerge/>
            <w:shd w:val="clear" w:color="auto" w:fill="DEEAF6" w:themeFill="accent5" w:themeFillTint="33"/>
          </w:tcPr>
          <w:p w:rsidRPr="00D60922" w:rsidR="0062290C" w:rsidP="000137DA" w:rsidRDefault="0062290C" w14:paraId="13F8D05B" w14:textId="77777777">
            <w:pPr>
              <w:rPr>
                <w:rFonts w:ascii="Arial" w:hAnsi="Arial" w:cs="Arial"/>
                <w:color w:val="000000" w:themeColor="text1"/>
              </w:rPr>
            </w:pPr>
          </w:p>
        </w:tc>
        <w:tc>
          <w:tcPr>
            <w:tcW w:w="1013" w:type="dxa"/>
            <w:vAlign w:val="bottom"/>
          </w:tcPr>
          <w:p w:rsidRPr="00D60922" w:rsidR="0062290C" w:rsidP="000137DA" w:rsidRDefault="009F5604" w14:paraId="4B5DFD9D" w14:textId="2E479C3A">
            <w:pPr>
              <w:rPr>
                <w:rFonts w:ascii="Arial" w:hAnsi="Arial" w:cs="Arial"/>
                <w:color w:val="000000" w:themeColor="text1"/>
              </w:rPr>
            </w:pPr>
            <w:r>
              <w:rPr>
                <w:rFonts w:ascii="Arial" w:hAnsi="Arial" w:cs="Arial"/>
                <w:color w:val="000000" w:themeColor="text1"/>
              </w:rPr>
              <w:t>Brand3</w:t>
            </w:r>
          </w:p>
        </w:tc>
        <w:tc>
          <w:tcPr>
            <w:tcW w:w="1331" w:type="dxa"/>
          </w:tcPr>
          <w:p w:rsidRPr="00D60922" w:rsidR="0062290C" w:rsidP="000137DA" w:rsidRDefault="0062290C" w14:paraId="6FD73F9B" w14:textId="77777777">
            <w:pPr>
              <w:rPr>
                <w:rFonts w:ascii="Arial" w:hAnsi="Arial" w:cs="Arial"/>
                <w:color w:val="000000" w:themeColor="text1"/>
              </w:rPr>
            </w:pPr>
            <w:r w:rsidRPr="00D60922">
              <w:rPr>
                <w:rFonts w:ascii="Arial" w:hAnsi="Arial" w:cs="Arial"/>
                <w:color w:val="000000" w:themeColor="text1"/>
              </w:rPr>
              <w:t>~138/139</w:t>
            </w:r>
          </w:p>
        </w:tc>
        <w:tc>
          <w:tcPr>
            <w:tcW w:w="1366" w:type="dxa"/>
          </w:tcPr>
          <w:p w:rsidRPr="00D60922" w:rsidR="0062290C" w:rsidP="000137DA" w:rsidRDefault="0062290C" w14:paraId="2FB019C4" w14:textId="77777777">
            <w:pPr>
              <w:rPr>
                <w:rFonts w:ascii="Arial" w:hAnsi="Arial" w:cs="Arial"/>
                <w:color w:val="000000" w:themeColor="text1"/>
              </w:rPr>
            </w:pPr>
            <w:r w:rsidRPr="00D60922">
              <w:rPr>
                <w:rFonts w:ascii="Arial" w:hAnsi="Arial" w:cs="Arial"/>
                <w:color w:val="000000" w:themeColor="text1"/>
              </w:rPr>
              <w:t>~138/139</w:t>
            </w:r>
          </w:p>
        </w:tc>
        <w:tc>
          <w:tcPr>
            <w:tcW w:w="1436" w:type="dxa"/>
          </w:tcPr>
          <w:p w:rsidRPr="00D60922" w:rsidR="0062290C" w:rsidP="000137DA" w:rsidRDefault="0062290C" w14:paraId="11D942CE" w14:textId="77777777">
            <w:pPr>
              <w:rPr>
                <w:rFonts w:ascii="Arial" w:hAnsi="Arial" w:cs="Arial"/>
                <w:color w:val="000000" w:themeColor="text1"/>
              </w:rPr>
            </w:pPr>
            <w:r w:rsidRPr="00D60922">
              <w:rPr>
                <w:rFonts w:ascii="Arial" w:hAnsi="Arial" w:cs="Arial"/>
                <w:color w:val="000000" w:themeColor="text1"/>
              </w:rPr>
              <w:t>~138/139</w:t>
            </w:r>
          </w:p>
        </w:tc>
        <w:tc>
          <w:tcPr>
            <w:tcW w:w="1366" w:type="dxa"/>
          </w:tcPr>
          <w:p w:rsidRPr="00D60922" w:rsidR="0062290C" w:rsidP="000137DA" w:rsidRDefault="0062290C" w14:paraId="56E4A111" w14:textId="77777777">
            <w:pPr>
              <w:rPr>
                <w:rFonts w:ascii="Arial" w:hAnsi="Arial" w:cs="Arial"/>
                <w:color w:val="000000" w:themeColor="text1"/>
              </w:rPr>
            </w:pPr>
            <w:r w:rsidRPr="00D60922">
              <w:rPr>
                <w:rFonts w:ascii="Arial" w:hAnsi="Arial" w:cs="Arial"/>
                <w:color w:val="000000" w:themeColor="text1"/>
              </w:rPr>
              <w:t>~138/139</w:t>
            </w:r>
          </w:p>
        </w:tc>
        <w:tc>
          <w:tcPr>
            <w:tcW w:w="1331" w:type="dxa"/>
          </w:tcPr>
          <w:p w:rsidRPr="00D60922" w:rsidR="0062290C" w:rsidP="000137DA" w:rsidRDefault="0062290C" w14:paraId="1C03E6EA" w14:textId="77777777">
            <w:pPr>
              <w:rPr>
                <w:rFonts w:ascii="Arial" w:hAnsi="Arial" w:cs="Arial"/>
                <w:color w:val="000000" w:themeColor="text1"/>
              </w:rPr>
            </w:pPr>
            <w:r w:rsidRPr="00D60922">
              <w:rPr>
                <w:rFonts w:ascii="Arial" w:hAnsi="Arial" w:cs="Arial"/>
                <w:color w:val="000000" w:themeColor="text1"/>
              </w:rPr>
              <w:t>~138/139</w:t>
            </w:r>
          </w:p>
        </w:tc>
      </w:tr>
      <w:tr w:rsidRPr="00D60922" w:rsidR="009F5604" w:rsidTr="00A62F9A" w14:paraId="5BA01659" w14:textId="77777777">
        <w:tc>
          <w:tcPr>
            <w:tcW w:w="1507" w:type="dxa"/>
            <w:vMerge w:val="restart"/>
            <w:shd w:val="clear" w:color="auto" w:fill="DEEAF6" w:themeFill="accent5" w:themeFillTint="33"/>
            <w:vAlign w:val="center"/>
          </w:tcPr>
          <w:p w:rsidRPr="00D60922" w:rsidR="0062290C" w:rsidP="000137DA" w:rsidRDefault="0062290C" w14:paraId="0DC54155" w14:textId="77777777">
            <w:pPr>
              <w:jc w:val="center"/>
              <w:rPr>
                <w:rFonts w:ascii="Arial" w:hAnsi="Arial" w:cs="Arial"/>
                <w:b/>
                <w:bCs/>
                <w:color w:val="000000" w:themeColor="text1"/>
              </w:rPr>
            </w:pPr>
            <w:r w:rsidRPr="00D60922">
              <w:rPr>
                <w:rFonts w:ascii="Arial" w:hAnsi="Arial" w:cs="Arial"/>
                <w:b/>
                <w:bCs/>
                <w:color w:val="000000" w:themeColor="text1"/>
              </w:rPr>
              <w:t>Mint</w:t>
            </w:r>
          </w:p>
        </w:tc>
        <w:tc>
          <w:tcPr>
            <w:tcW w:w="1013" w:type="dxa"/>
            <w:vAlign w:val="bottom"/>
          </w:tcPr>
          <w:p w:rsidRPr="00D60922" w:rsidR="0062290C" w:rsidP="000137DA" w:rsidRDefault="009F5604" w14:paraId="63681538" w14:textId="468B4BF0">
            <w:pPr>
              <w:rPr>
                <w:rFonts w:ascii="Arial" w:hAnsi="Arial" w:cs="Arial"/>
                <w:color w:val="000000" w:themeColor="text1"/>
              </w:rPr>
            </w:pPr>
            <w:r>
              <w:rPr>
                <w:rFonts w:ascii="Arial" w:hAnsi="Arial" w:cs="Arial"/>
                <w:color w:val="000000" w:themeColor="text1"/>
              </w:rPr>
              <w:t>Brand1</w:t>
            </w:r>
          </w:p>
        </w:tc>
        <w:tc>
          <w:tcPr>
            <w:tcW w:w="1331" w:type="dxa"/>
          </w:tcPr>
          <w:p w:rsidRPr="00D60922" w:rsidR="0062290C" w:rsidP="000137DA" w:rsidRDefault="0062290C" w14:paraId="2B030027" w14:textId="77777777">
            <w:pPr>
              <w:rPr>
                <w:rFonts w:ascii="Arial" w:hAnsi="Arial" w:cs="Arial"/>
                <w:color w:val="000000" w:themeColor="text1"/>
              </w:rPr>
            </w:pPr>
            <w:r w:rsidRPr="00D60922">
              <w:rPr>
                <w:rFonts w:ascii="Arial" w:hAnsi="Arial" w:cs="Arial"/>
                <w:color w:val="000000" w:themeColor="text1"/>
              </w:rPr>
              <w:t>~138/139</w:t>
            </w:r>
          </w:p>
        </w:tc>
        <w:tc>
          <w:tcPr>
            <w:tcW w:w="1366" w:type="dxa"/>
          </w:tcPr>
          <w:p w:rsidRPr="00D60922" w:rsidR="0062290C" w:rsidP="000137DA" w:rsidRDefault="0062290C" w14:paraId="2D29A6D8" w14:textId="77777777">
            <w:pPr>
              <w:rPr>
                <w:rFonts w:ascii="Arial" w:hAnsi="Arial" w:cs="Arial"/>
                <w:color w:val="000000" w:themeColor="text1"/>
              </w:rPr>
            </w:pPr>
            <w:r w:rsidRPr="00D60922">
              <w:rPr>
                <w:rFonts w:ascii="Arial" w:hAnsi="Arial" w:cs="Arial"/>
                <w:color w:val="000000" w:themeColor="text1"/>
              </w:rPr>
              <w:t>~138/139</w:t>
            </w:r>
          </w:p>
        </w:tc>
        <w:tc>
          <w:tcPr>
            <w:tcW w:w="1436" w:type="dxa"/>
          </w:tcPr>
          <w:p w:rsidRPr="00D60922" w:rsidR="0062290C" w:rsidP="000137DA" w:rsidRDefault="0062290C" w14:paraId="31F27BAB" w14:textId="77777777">
            <w:pPr>
              <w:rPr>
                <w:rFonts w:ascii="Arial" w:hAnsi="Arial" w:cs="Arial"/>
                <w:color w:val="000000" w:themeColor="text1"/>
              </w:rPr>
            </w:pPr>
            <w:r w:rsidRPr="00D60922">
              <w:rPr>
                <w:rFonts w:ascii="Arial" w:hAnsi="Arial" w:cs="Arial"/>
                <w:color w:val="000000" w:themeColor="text1"/>
              </w:rPr>
              <w:t>~138/139</w:t>
            </w:r>
          </w:p>
        </w:tc>
        <w:tc>
          <w:tcPr>
            <w:tcW w:w="1366" w:type="dxa"/>
          </w:tcPr>
          <w:p w:rsidRPr="00D60922" w:rsidR="0062290C" w:rsidP="000137DA" w:rsidRDefault="0062290C" w14:paraId="3E7F28BC" w14:textId="77777777">
            <w:pPr>
              <w:rPr>
                <w:rFonts w:ascii="Arial" w:hAnsi="Arial" w:cs="Arial"/>
                <w:color w:val="000000" w:themeColor="text1"/>
              </w:rPr>
            </w:pPr>
            <w:r w:rsidRPr="00D60922">
              <w:rPr>
                <w:rFonts w:ascii="Arial" w:hAnsi="Arial" w:cs="Arial"/>
                <w:color w:val="000000" w:themeColor="text1"/>
              </w:rPr>
              <w:t>~138/139</w:t>
            </w:r>
          </w:p>
        </w:tc>
        <w:tc>
          <w:tcPr>
            <w:tcW w:w="1331" w:type="dxa"/>
          </w:tcPr>
          <w:p w:rsidRPr="00D60922" w:rsidR="0062290C" w:rsidP="000137DA" w:rsidRDefault="0062290C" w14:paraId="2F4A976E" w14:textId="77777777">
            <w:pPr>
              <w:rPr>
                <w:rFonts w:ascii="Arial" w:hAnsi="Arial" w:cs="Arial"/>
                <w:color w:val="000000" w:themeColor="text1"/>
              </w:rPr>
            </w:pPr>
            <w:r w:rsidRPr="00D60922">
              <w:rPr>
                <w:rFonts w:ascii="Arial" w:hAnsi="Arial" w:cs="Arial"/>
                <w:color w:val="000000" w:themeColor="text1"/>
              </w:rPr>
              <w:t>~138/139</w:t>
            </w:r>
          </w:p>
        </w:tc>
      </w:tr>
      <w:tr w:rsidRPr="00D60922" w:rsidR="009F5604" w:rsidTr="00A62F9A" w14:paraId="5768F89B" w14:textId="77777777">
        <w:tc>
          <w:tcPr>
            <w:tcW w:w="1507" w:type="dxa"/>
            <w:vMerge/>
            <w:shd w:val="clear" w:color="auto" w:fill="DEEAF6" w:themeFill="accent5" w:themeFillTint="33"/>
          </w:tcPr>
          <w:p w:rsidRPr="00D60922" w:rsidR="0062290C" w:rsidP="000137DA" w:rsidRDefault="0062290C" w14:paraId="278647CC" w14:textId="77777777">
            <w:pPr>
              <w:rPr>
                <w:rFonts w:ascii="Arial" w:hAnsi="Arial" w:cs="Arial"/>
                <w:b/>
                <w:bCs/>
                <w:color w:val="000000" w:themeColor="text1"/>
              </w:rPr>
            </w:pPr>
          </w:p>
        </w:tc>
        <w:tc>
          <w:tcPr>
            <w:tcW w:w="1013" w:type="dxa"/>
            <w:vAlign w:val="bottom"/>
          </w:tcPr>
          <w:p w:rsidRPr="00D60922" w:rsidR="0062290C" w:rsidP="000137DA" w:rsidRDefault="009F5604" w14:paraId="657D336D" w14:textId="0024E007">
            <w:pPr>
              <w:rPr>
                <w:rFonts w:ascii="Arial" w:hAnsi="Arial" w:cs="Arial"/>
                <w:color w:val="000000" w:themeColor="text1"/>
              </w:rPr>
            </w:pPr>
            <w:r>
              <w:rPr>
                <w:rFonts w:ascii="Arial" w:hAnsi="Arial" w:cs="Arial"/>
                <w:color w:val="000000" w:themeColor="text1"/>
              </w:rPr>
              <w:t>Brand2</w:t>
            </w:r>
          </w:p>
        </w:tc>
        <w:tc>
          <w:tcPr>
            <w:tcW w:w="1331" w:type="dxa"/>
          </w:tcPr>
          <w:p w:rsidRPr="00D60922" w:rsidR="0062290C" w:rsidP="000137DA" w:rsidRDefault="0062290C" w14:paraId="0F2AC008" w14:textId="77777777">
            <w:pPr>
              <w:rPr>
                <w:rFonts w:ascii="Arial" w:hAnsi="Arial" w:cs="Arial"/>
                <w:color w:val="000000" w:themeColor="text1"/>
              </w:rPr>
            </w:pPr>
            <w:r w:rsidRPr="00D60922">
              <w:rPr>
                <w:rFonts w:ascii="Arial" w:hAnsi="Arial" w:cs="Arial"/>
                <w:color w:val="000000" w:themeColor="text1"/>
              </w:rPr>
              <w:t>~138/139</w:t>
            </w:r>
          </w:p>
        </w:tc>
        <w:tc>
          <w:tcPr>
            <w:tcW w:w="1366" w:type="dxa"/>
          </w:tcPr>
          <w:p w:rsidRPr="00D60922" w:rsidR="0062290C" w:rsidP="000137DA" w:rsidRDefault="0062290C" w14:paraId="7615A7CD" w14:textId="77777777">
            <w:pPr>
              <w:rPr>
                <w:rFonts w:ascii="Arial" w:hAnsi="Arial" w:cs="Arial"/>
                <w:color w:val="000000" w:themeColor="text1"/>
              </w:rPr>
            </w:pPr>
            <w:r w:rsidRPr="00D60922">
              <w:rPr>
                <w:rFonts w:ascii="Arial" w:hAnsi="Arial" w:cs="Arial"/>
                <w:color w:val="000000" w:themeColor="text1"/>
              </w:rPr>
              <w:t>~138/139</w:t>
            </w:r>
          </w:p>
        </w:tc>
        <w:tc>
          <w:tcPr>
            <w:tcW w:w="1436" w:type="dxa"/>
          </w:tcPr>
          <w:p w:rsidRPr="00D60922" w:rsidR="0062290C" w:rsidP="000137DA" w:rsidRDefault="0062290C" w14:paraId="37D36CD1" w14:textId="77777777">
            <w:pPr>
              <w:rPr>
                <w:rFonts w:ascii="Arial" w:hAnsi="Arial" w:cs="Arial"/>
                <w:color w:val="000000" w:themeColor="text1"/>
              </w:rPr>
            </w:pPr>
            <w:r w:rsidRPr="00D60922">
              <w:rPr>
                <w:rFonts w:ascii="Arial" w:hAnsi="Arial" w:cs="Arial"/>
                <w:color w:val="000000" w:themeColor="text1"/>
              </w:rPr>
              <w:t>~138/139</w:t>
            </w:r>
          </w:p>
        </w:tc>
        <w:tc>
          <w:tcPr>
            <w:tcW w:w="1366" w:type="dxa"/>
          </w:tcPr>
          <w:p w:rsidRPr="00D60922" w:rsidR="0062290C" w:rsidP="000137DA" w:rsidRDefault="0062290C" w14:paraId="450265D1" w14:textId="77777777">
            <w:pPr>
              <w:rPr>
                <w:rFonts w:ascii="Arial" w:hAnsi="Arial" w:cs="Arial"/>
                <w:color w:val="000000" w:themeColor="text1"/>
              </w:rPr>
            </w:pPr>
            <w:r w:rsidRPr="00D60922">
              <w:rPr>
                <w:rFonts w:ascii="Arial" w:hAnsi="Arial" w:cs="Arial"/>
                <w:color w:val="000000" w:themeColor="text1"/>
              </w:rPr>
              <w:t>~138/139</w:t>
            </w:r>
          </w:p>
        </w:tc>
        <w:tc>
          <w:tcPr>
            <w:tcW w:w="1331" w:type="dxa"/>
          </w:tcPr>
          <w:p w:rsidRPr="00D60922" w:rsidR="0062290C" w:rsidP="000137DA" w:rsidRDefault="0062290C" w14:paraId="0808DF3E" w14:textId="77777777">
            <w:pPr>
              <w:rPr>
                <w:rFonts w:ascii="Arial" w:hAnsi="Arial" w:cs="Arial"/>
                <w:color w:val="000000" w:themeColor="text1"/>
              </w:rPr>
            </w:pPr>
            <w:r w:rsidRPr="00D60922">
              <w:rPr>
                <w:rFonts w:ascii="Arial" w:hAnsi="Arial" w:cs="Arial"/>
                <w:color w:val="000000" w:themeColor="text1"/>
              </w:rPr>
              <w:t>~138/139</w:t>
            </w:r>
          </w:p>
        </w:tc>
      </w:tr>
      <w:tr w:rsidRPr="00D60922" w:rsidR="009F5604" w:rsidTr="00A62F9A" w14:paraId="70E1B06F" w14:textId="77777777">
        <w:tc>
          <w:tcPr>
            <w:tcW w:w="1507" w:type="dxa"/>
            <w:vMerge/>
            <w:shd w:val="clear" w:color="auto" w:fill="DEEAF6" w:themeFill="accent5" w:themeFillTint="33"/>
          </w:tcPr>
          <w:p w:rsidRPr="00D60922" w:rsidR="0062290C" w:rsidP="000137DA" w:rsidRDefault="0062290C" w14:paraId="71163D27" w14:textId="77777777">
            <w:pPr>
              <w:rPr>
                <w:rFonts w:ascii="Arial" w:hAnsi="Arial" w:cs="Arial"/>
                <w:b/>
                <w:bCs/>
                <w:color w:val="000000" w:themeColor="text1"/>
              </w:rPr>
            </w:pPr>
          </w:p>
        </w:tc>
        <w:tc>
          <w:tcPr>
            <w:tcW w:w="1013" w:type="dxa"/>
            <w:vAlign w:val="bottom"/>
          </w:tcPr>
          <w:p w:rsidRPr="00D60922" w:rsidR="0062290C" w:rsidP="000137DA" w:rsidRDefault="009F5604" w14:paraId="7D35021E" w14:textId="21B30C8A">
            <w:pPr>
              <w:rPr>
                <w:rFonts w:ascii="Arial" w:hAnsi="Arial" w:cs="Arial"/>
                <w:color w:val="000000" w:themeColor="text1"/>
              </w:rPr>
            </w:pPr>
            <w:r>
              <w:rPr>
                <w:rFonts w:ascii="Arial" w:hAnsi="Arial" w:cs="Arial"/>
                <w:color w:val="000000" w:themeColor="text1"/>
              </w:rPr>
              <w:t>Brand3</w:t>
            </w:r>
          </w:p>
        </w:tc>
        <w:tc>
          <w:tcPr>
            <w:tcW w:w="1331" w:type="dxa"/>
          </w:tcPr>
          <w:p w:rsidRPr="00D60922" w:rsidR="0062290C" w:rsidP="000137DA" w:rsidRDefault="0062290C" w14:paraId="759F29F6" w14:textId="77777777">
            <w:pPr>
              <w:rPr>
                <w:rFonts w:ascii="Arial" w:hAnsi="Arial" w:cs="Arial"/>
                <w:color w:val="000000" w:themeColor="text1"/>
              </w:rPr>
            </w:pPr>
            <w:r w:rsidRPr="00D60922">
              <w:rPr>
                <w:rFonts w:ascii="Arial" w:hAnsi="Arial" w:cs="Arial"/>
                <w:color w:val="000000" w:themeColor="text1"/>
              </w:rPr>
              <w:t>~138/139</w:t>
            </w:r>
          </w:p>
        </w:tc>
        <w:tc>
          <w:tcPr>
            <w:tcW w:w="1366" w:type="dxa"/>
          </w:tcPr>
          <w:p w:rsidRPr="00D60922" w:rsidR="0062290C" w:rsidP="000137DA" w:rsidRDefault="0062290C" w14:paraId="7619C650" w14:textId="77777777">
            <w:pPr>
              <w:rPr>
                <w:rFonts w:ascii="Arial" w:hAnsi="Arial" w:cs="Arial"/>
                <w:color w:val="000000" w:themeColor="text1"/>
              </w:rPr>
            </w:pPr>
            <w:r w:rsidRPr="00D60922">
              <w:rPr>
                <w:rFonts w:ascii="Arial" w:hAnsi="Arial" w:cs="Arial"/>
                <w:color w:val="000000" w:themeColor="text1"/>
              </w:rPr>
              <w:t>~138/139</w:t>
            </w:r>
          </w:p>
        </w:tc>
        <w:tc>
          <w:tcPr>
            <w:tcW w:w="1436" w:type="dxa"/>
          </w:tcPr>
          <w:p w:rsidRPr="00D60922" w:rsidR="0062290C" w:rsidP="000137DA" w:rsidRDefault="0062290C" w14:paraId="55D9E652" w14:textId="77777777">
            <w:pPr>
              <w:rPr>
                <w:rFonts w:ascii="Arial" w:hAnsi="Arial" w:cs="Arial"/>
                <w:color w:val="000000" w:themeColor="text1"/>
              </w:rPr>
            </w:pPr>
            <w:r w:rsidRPr="00D60922">
              <w:rPr>
                <w:rFonts w:ascii="Arial" w:hAnsi="Arial" w:cs="Arial"/>
                <w:color w:val="000000" w:themeColor="text1"/>
              </w:rPr>
              <w:t>~138/139</w:t>
            </w:r>
          </w:p>
        </w:tc>
        <w:tc>
          <w:tcPr>
            <w:tcW w:w="1366" w:type="dxa"/>
          </w:tcPr>
          <w:p w:rsidRPr="00D60922" w:rsidR="0062290C" w:rsidP="000137DA" w:rsidRDefault="0062290C" w14:paraId="2365A9FD" w14:textId="77777777">
            <w:pPr>
              <w:rPr>
                <w:rFonts w:ascii="Arial" w:hAnsi="Arial" w:cs="Arial"/>
                <w:color w:val="000000" w:themeColor="text1"/>
              </w:rPr>
            </w:pPr>
            <w:r w:rsidRPr="00D60922">
              <w:rPr>
                <w:rFonts w:ascii="Arial" w:hAnsi="Arial" w:cs="Arial"/>
                <w:color w:val="000000" w:themeColor="text1"/>
              </w:rPr>
              <w:t>~138/139</w:t>
            </w:r>
          </w:p>
        </w:tc>
        <w:tc>
          <w:tcPr>
            <w:tcW w:w="1331" w:type="dxa"/>
          </w:tcPr>
          <w:p w:rsidRPr="00D60922" w:rsidR="0062290C" w:rsidP="000137DA" w:rsidRDefault="0062290C" w14:paraId="0E370C5B" w14:textId="77777777">
            <w:pPr>
              <w:rPr>
                <w:rFonts w:ascii="Arial" w:hAnsi="Arial" w:cs="Arial"/>
                <w:color w:val="000000" w:themeColor="text1"/>
              </w:rPr>
            </w:pPr>
            <w:r w:rsidRPr="00D60922">
              <w:rPr>
                <w:rFonts w:ascii="Arial" w:hAnsi="Arial" w:cs="Arial"/>
                <w:color w:val="000000" w:themeColor="text1"/>
              </w:rPr>
              <w:t>~138/139</w:t>
            </w:r>
          </w:p>
        </w:tc>
      </w:tr>
      <w:tr w:rsidRPr="00D60922" w:rsidR="009F5604" w:rsidTr="00A62F9A" w14:paraId="4F41028E" w14:textId="77777777">
        <w:tc>
          <w:tcPr>
            <w:tcW w:w="1507" w:type="dxa"/>
            <w:vMerge w:val="restart"/>
            <w:shd w:val="clear" w:color="auto" w:fill="DEEAF6" w:themeFill="accent5" w:themeFillTint="33"/>
            <w:vAlign w:val="center"/>
          </w:tcPr>
          <w:p w:rsidRPr="00D60922" w:rsidR="0062290C" w:rsidP="000137DA" w:rsidRDefault="0062290C" w14:paraId="1D3A8711" w14:textId="77777777">
            <w:pPr>
              <w:jc w:val="center"/>
              <w:rPr>
                <w:rFonts w:ascii="Arial" w:hAnsi="Arial" w:cs="Arial"/>
                <w:b/>
                <w:bCs/>
                <w:color w:val="000000" w:themeColor="text1"/>
              </w:rPr>
            </w:pPr>
            <w:r w:rsidRPr="00D60922">
              <w:rPr>
                <w:rFonts w:ascii="Arial" w:hAnsi="Arial" w:cs="Arial"/>
                <w:b/>
                <w:bCs/>
                <w:color w:val="000000" w:themeColor="text1"/>
              </w:rPr>
              <w:t>Menthol</w:t>
            </w:r>
          </w:p>
        </w:tc>
        <w:tc>
          <w:tcPr>
            <w:tcW w:w="1013" w:type="dxa"/>
            <w:vAlign w:val="bottom"/>
          </w:tcPr>
          <w:p w:rsidRPr="00D60922" w:rsidR="0062290C" w:rsidP="000137DA" w:rsidRDefault="009F5604" w14:paraId="695C4AA6" w14:textId="68ECFE44">
            <w:pPr>
              <w:rPr>
                <w:rFonts w:ascii="Arial" w:hAnsi="Arial" w:cs="Arial"/>
                <w:color w:val="000000" w:themeColor="text1"/>
              </w:rPr>
            </w:pPr>
            <w:r>
              <w:rPr>
                <w:rFonts w:ascii="Arial" w:hAnsi="Arial" w:cs="Arial"/>
                <w:color w:val="000000" w:themeColor="text1"/>
              </w:rPr>
              <w:t>Brand1</w:t>
            </w:r>
          </w:p>
        </w:tc>
        <w:tc>
          <w:tcPr>
            <w:tcW w:w="1331" w:type="dxa"/>
          </w:tcPr>
          <w:p w:rsidRPr="00D60922" w:rsidR="0062290C" w:rsidP="000137DA" w:rsidRDefault="0062290C" w14:paraId="14A8BA58" w14:textId="77777777">
            <w:pPr>
              <w:rPr>
                <w:rFonts w:ascii="Arial" w:hAnsi="Arial" w:cs="Arial"/>
                <w:color w:val="000000" w:themeColor="text1"/>
              </w:rPr>
            </w:pPr>
            <w:r w:rsidRPr="00D60922">
              <w:rPr>
                <w:rFonts w:ascii="Arial" w:hAnsi="Arial" w:cs="Arial"/>
                <w:color w:val="000000" w:themeColor="text1"/>
              </w:rPr>
              <w:t>~138/139</w:t>
            </w:r>
          </w:p>
        </w:tc>
        <w:tc>
          <w:tcPr>
            <w:tcW w:w="1366" w:type="dxa"/>
          </w:tcPr>
          <w:p w:rsidRPr="00D60922" w:rsidR="0062290C" w:rsidP="000137DA" w:rsidRDefault="0062290C" w14:paraId="280174FF" w14:textId="77777777">
            <w:pPr>
              <w:rPr>
                <w:rFonts w:ascii="Arial" w:hAnsi="Arial" w:cs="Arial"/>
                <w:color w:val="000000" w:themeColor="text1"/>
              </w:rPr>
            </w:pPr>
            <w:r w:rsidRPr="00D60922">
              <w:rPr>
                <w:rFonts w:ascii="Arial" w:hAnsi="Arial" w:cs="Arial"/>
                <w:color w:val="000000" w:themeColor="text1"/>
              </w:rPr>
              <w:t>~138/139</w:t>
            </w:r>
          </w:p>
        </w:tc>
        <w:tc>
          <w:tcPr>
            <w:tcW w:w="1436" w:type="dxa"/>
          </w:tcPr>
          <w:p w:rsidRPr="00D60922" w:rsidR="0062290C" w:rsidP="000137DA" w:rsidRDefault="0062290C" w14:paraId="5AF228DC" w14:textId="77777777">
            <w:pPr>
              <w:rPr>
                <w:rFonts w:ascii="Arial" w:hAnsi="Arial" w:cs="Arial"/>
                <w:color w:val="000000" w:themeColor="text1"/>
              </w:rPr>
            </w:pPr>
            <w:r w:rsidRPr="00D60922">
              <w:rPr>
                <w:rFonts w:ascii="Arial" w:hAnsi="Arial" w:cs="Arial"/>
                <w:color w:val="000000" w:themeColor="text1"/>
              </w:rPr>
              <w:t>~138/139</w:t>
            </w:r>
          </w:p>
        </w:tc>
        <w:tc>
          <w:tcPr>
            <w:tcW w:w="1366" w:type="dxa"/>
          </w:tcPr>
          <w:p w:rsidRPr="00D60922" w:rsidR="0062290C" w:rsidP="000137DA" w:rsidRDefault="0062290C" w14:paraId="1716720A" w14:textId="77777777">
            <w:pPr>
              <w:rPr>
                <w:rFonts w:ascii="Arial" w:hAnsi="Arial" w:cs="Arial"/>
                <w:color w:val="000000" w:themeColor="text1"/>
              </w:rPr>
            </w:pPr>
            <w:r w:rsidRPr="00D60922">
              <w:rPr>
                <w:rFonts w:ascii="Arial" w:hAnsi="Arial" w:cs="Arial"/>
                <w:color w:val="000000" w:themeColor="text1"/>
              </w:rPr>
              <w:t>~138/139</w:t>
            </w:r>
          </w:p>
        </w:tc>
        <w:tc>
          <w:tcPr>
            <w:tcW w:w="1331" w:type="dxa"/>
          </w:tcPr>
          <w:p w:rsidRPr="00D60922" w:rsidR="0062290C" w:rsidP="000137DA" w:rsidRDefault="0062290C" w14:paraId="5321B59C" w14:textId="77777777">
            <w:pPr>
              <w:rPr>
                <w:rFonts w:ascii="Arial" w:hAnsi="Arial" w:cs="Arial"/>
                <w:color w:val="000000" w:themeColor="text1"/>
              </w:rPr>
            </w:pPr>
            <w:r w:rsidRPr="00D60922">
              <w:rPr>
                <w:rFonts w:ascii="Arial" w:hAnsi="Arial" w:cs="Arial"/>
                <w:color w:val="000000" w:themeColor="text1"/>
              </w:rPr>
              <w:t>~138/139</w:t>
            </w:r>
          </w:p>
        </w:tc>
      </w:tr>
      <w:tr w:rsidRPr="00D60922" w:rsidR="009F5604" w:rsidTr="00A62F9A" w14:paraId="59C6DAF5" w14:textId="77777777">
        <w:tc>
          <w:tcPr>
            <w:tcW w:w="1507" w:type="dxa"/>
            <w:vMerge/>
            <w:shd w:val="clear" w:color="auto" w:fill="DEEAF6" w:themeFill="accent5" w:themeFillTint="33"/>
          </w:tcPr>
          <w:p w:rsidRPr="00D60922" w:rsidR="0062290C" w:rsidP="000137DA" w:rsidRDefault="0062290C" w14:paraId="0C0BD61C" w14:textId="77777777">
            <w:pPr>
              <w:rPr>
                <w:rFonts w:ascii="Arial" w:hAnsi="Arial" w:cs="Arial"/>
                <w:b/>
                <w:bCs/>
                <w:color w:val="000000" w:themeColor="text1"/>
              </w:rPr>
            </w:pPr>
          </w:p>
        </w:tc>
        <w:tc>
          <w:tcPr>
            <w:tcW w:w="1013" w:type="dxa"/>
            <w:vAlign w:val="bottom"/>
          </w:tcPr>
          <w:p w:rsidRPr="00D60922" w:rsidR="0062290C" w:rsidP="000137DA" w:rsidRDefault="009F5604" w14:paraId="3D219F74" w14:textId="0753E49E">
            <w:pPr>
              <w:rPr>
                <w:rFonts w:ascii="Arial" w:hAnsi="Arial" w:cs="Arial"/>
                <w:color w:val="000000" w:themeColor="text1"/>
              </w:rPr>
            </w:pPr>
            <w:r>
              <w:rPr>
                <w:rFonts w:ascii="Arial" w:hAnsi="Arial" w:cs="Arial"/>
                <w:color w:val="000000" w:themeColor="text1"/>
              </w:rPr>
              <w:t>Brand2</w:t>
            </w:r>
          </w:p>
        </w:tc>
        <w:tc>
          <w:tcPr>
            <w:tcW w:w="1331" w:type="dxa"/>
          </w:tcPr>
          <w:p w:rsidRPr="00D60922" w:rsidR="0062290C" w:rsidP="000137DA" w:rsidRDefault="0062290C" w14:paraId="4DEEF038" w14:textId="77777777">
            <w:pPr>
              <w:rPr>
                <w:rFonts w:ascii="Arial" w:hAnsi="Arial" w:cs="Arial"/>
                <w:color w:val="000000" w:themeColor="text1"/>
              </w:rPr>
            </w:pPr>
            <w:r w:rsidRPr="00D60922">
              <w:rPr>
                <w:rFonts w:ascii="Arial" w:hAnsi="Arial" w:cs="Arial"/>
                <w:color w:val="000000" w:themeColor="text1"/>
              </w:rPr>
              <w:t>~138/139</w:t>
            </w:r>
          </w:p>
        </w:tc>
        <w:tc>
          <w:tcPr>
            <w:tcW w:w="1366" w:type="dxa"/>
          </w:tcPr>
          <w:p w:rsidRPr="00D60922" w:rsidR="0062290C" w:rsidP="000137DA" w:rsidRDefault="0062290C" w14:paraId="62826E55" w14:textId="77777777">
            <w:pPr>
              <w:rPr>
                <w:rFonts w:ascii="Arial" w:hAnsi="Arial" w:cs="Arial"/>
                <w:color w:val="000000" w:themeColor="text1"/>
              </w:rPr>
            </w:pPr>
            <w:r w:rsidRPr="00D60922">
              <w:rPr>
                <w:rFonts w:ascii="Arial" w:hAnsi="Arial" w:cs="Arial"/>
                <w:color w:val="000000" w:themeColor="text1"/>
              </w:rPr>
              <w:t>~138/139</w:t>
            </w:r>
          </w:p>
        </w:tc>
        <w:tc>
          <w:tcPr>
            <w:tcW w:w="1436" w:type="dxa"/>
          </w:tcPr>
          <w:p w:rsidRPr="00D60922" w:rsidR="0062290C" w:rsidP="000137DA" w:rsidRDefault="0062290C" w14:paraId="40CF927D" w14:textId="77777777">
            <w:pPr>
              <w:rPr>
                <w:rFonts w:ascii="Arial" w:hAnsi="Arial" w:cs="Arial"/>
                <w:color w:val="000000" w:themeColor="text1"/>
              </w:rPr>
            </w:pPr>
            <w:r w:rsidRPr="00D60922">
              <w:rPr>
                <w:rFonts w:ascii="Arial" w:hAnsi="Arial" w:cs="Arial"/>
                <w:color w:val="000000" w:themeColor="text1"/>
              </w:rPr>
              <w:t>~138/139</w:t>
            </w:r>
          </w:p>
        </w:tc>
        <w:tc>
          <w:tcPr>
            <w:tcW w:w="1366" w:type="dxa"/>
          </w:tcPr>
          <w:p w:rsidRPr="00D60922" w:rsidR="0062290C" w:rsidP="000137DA" w:rsidRDefault="0062290C" w14:paraId="7633968E" w14:textId="77777777">
            <w:pPr>
              <w:rPr>
                <w:rFonts w:ascii="Arial" w:hAnsi="Arial" w:cs="Arial"/>
                <w:color w:val="000000" w:themeColor="text1"/>
              </w:rPr>
            </w:pPr>
            <w:r w:rsidRPr="00D60922">
              <w:rPr>
                <w:rFonts w:ascii="Arial" w:hAnsi="Arial" w:cs="Arial"/>
                <w:color w:val="000000" w:themeColor="text1"/>
              </w:rPr>
              <w:t>~138/139</w:t>
            </w:r>
          </w:p>
        </w:tc>
        <w:tc>
          <w:tcPr>
            <w:tcW w:w="1331" w:type="dxa"/>
          </w:tcPr>
          <w:p w:rsidRPr="00D60922" w:rsidR="0062290C" w:rsidP="000137DA" w:rsidRDefault="0062290C" w14:paraId="3423BAED" w14:textId="77777777">
            <w:pPr>
              <w:rPr>
                <w:rFonts w:ascii="Arial" w:hAnsi="Arial" w:cs="Arial"/>
                <w:color w:val="000000" w:themeColor="text1"/>
              </w:rPr>
            </w:pPr>
            <w:r w:rsidRPr="00D60922">
              <w:rPr>
                <w:rFonts w:ascii="Arial" w:hAnsi="Arial" w:cs="Arial"/>
                <w:color w:val="000000" w:themeColor="text1"/>
              </w:rPr>
              <w:t>~138/139</w:t>
            </w:r>
          </w:p>
        </w:tc>
      </w:tr>
      <w:tr w:rsidRPr="00D60922" w:rsidR="009F5604" w:rsidTr="00A62F9A" w14:paraId="136ED2F9" w14:textId="77777777">
        <w:tc>
          <w:tcPr>
            <w:tcW w:w="1507" w:type="dxa"/>
            <w:vMerge/>
            <w:shd w:val="clear" w:color="auto" w:fill="DEEAF6" w:themeFill="accent5" w:themeFillTint="33"/>
          </w:tcPr>
          <w:p w:rsidRPr="00D60922" w:rsidR="0062290C" w:rsidP="000137DA" w:rsidRDefault="0062290C" w14:paraId="3CCAC012" w14:textId="77777777">
            <w:pPr>
              <w:rPr>
                <w:rFonts w:ascii="Arial" w:hAnsi="Arial" w:cs="Arial"/>
                <w:b/>
                <w:bCs/>
                <w:color w:val="000000" w:themeColor="text1"/>
              </w:rPr>
            </w:pPr>
          </w:p>
        </w:tc>
        <w:tc>
          <w:tcPr>
            <w:tcW w:w="1013" w:type="dxa"/>
            <w:vAlign w:val="bottom"/>
          </w:tcPr>
          <w:p w:rsidRPr="00D60922" w:rsidR="0062290C" w:rsidP="000137DA" w:rsidRDefault="009F5604" w14:paraId="49374EED" w14:textId="38763639">
            <w:pPr>
              <w:rPr>
                <w:rFonts w:ascii="Arial" w:hAnsi="Arial" w:cs="Arial"/>
                <w:color w:val="000000" w:themeColor="text1"/>
              </w:rPr>
            </w:pPr>
            <w:r>
              <w:rPr>
                <w:rFonts w:ascii="Arial" w:hAnsi="Arial" w:cs="Arial"/>
                <w:color w:val="000000" w:themeColor="text1"/>
              </w:rPr>
              <w:t>Brand3</w:t>
            </w:r>
          </w:p>
        </w:tc>
        <w:tc>
          <w:tcPr>
            <w:tcW w:w="1331" w:type="dxa"/>
          </w:tcPr>
          <w:p w:rsidRPr="00D60922" w:rsidR="0062290C" w:rsidP="000137DA" w:rsidRDefault="0062290C" w14:paraId="69DBB283" w14:textId="77777777">
            <w:pPr>
              <w:rPr>
                <w:rFonts w:ascii="Arial" w:hAnsi="Arial" w:cs="Arial"/>
                <w:color w:val="000000" w:themeColor="text1"/>
              </w:rPr>
            </w:pPr>
            <w:r w:rsidRPr="00D60922">
              <w:rPr>
                <w:rFonts w:ascii="Arial" w:hAnsi="Arial" w:cs="Arial"/>
                <w:color w:val="000000" w:themeColor="text1"/>
              </w:rPr>
              <w:t>~138/139</w:t>
            </w:r>
          </w:p>
        </w:tc>
        <w:tc>
          <w:tcPr>
            <w:tcW w:w="1366" w:type="dxa"/>
          </w:tcPr>
          <w:p w:rsidRPr="00D60922" w:rsidR="0062290C" w:rsidP="000137DA" w:rsidRDefault="0062290C" w14:paraId="2C5C3251" w14:textId="77777777">
            <w:pPr>
              <w:rPr>
                <w:rFonts w:ascii="Arial" w:hAnsi="Arial" w:cs="Arial"/>
                <w:color w:val="000000" w:themeColor="text1"/>
              </w:rPr>
            </w:pPr>
            <w:r w:rsidRPr="00D60922">
              <w:rPr>
                <w:rFonts w:ascii="Arial" w:hAnsi="Arial" w:cs="Arial"/>
                <w:color w:val="000000" w:themeColor="text1"/>
              </w:rPr>
              <w:t>~138/139</w:t>
            </w:r>
          </w:p>
        </w:tc>
        <w:tc>
          <w:tcPr>
            <w:tcW w:w="1436" w:type="dxa"/>
          </w:tcPr>
          <w:p w:rsidRPr="00D60922" w:rsidR="0062290C" w:rsidP="000137DA" w:rsidRDefault="0062290C" w14:paraId="68032863" w14:textId="77777777">
            <w:pPr>
              <w:rPr>
                <w:rFonts w:ascii="Arial" w:hAnsi="Arial" w:cs="Arial"/>
                <w:color w:val="000000" w:themeColor="text1"/>
              </w:rPr>
            </w:pPr>
            <w:r w:rsidRPr="00D60922">
              <w:rPr>
                <w:rFonts w:ascii="Arial" w:hAnsi="Arial" w:cs="Arial"/>
                <w:color w:val="000000" w:themeColor="text1"/>
              </w:rPr>
              <w:t>~138/139</w:t>
            </w:r>
          </w:p>
        </w:tc>
        <w:tc>
          <w:tcPr>
            <w:tcW w:w="1366" w:type="dxa"/>
          </w:tcPr>
          <w:p w:rsidRPr="00D60922" w:rsidR="0062290C" w:rsidP="000137DA" w:rsidRDefault="0062290C" w14:paraId="5C314B6F" w14:textId="77777777">
            <w:pPr>
              <w:rPr>
                <w:rFonts w:ascii="Arial" w:hAnsi="Arial" w:cs="Arial"/>
                <w:color w:val="000000" w:themeColor="text1"/>
              </w:rPr>
            </w:pPr>
            <w:r w:rsidRPr="00D60922">
              <w:rPr>
                <w:rFonts w:ascii="Arial" w:hAnsi="Arial" w:cs="Arial"/>
                <w:color w:val="000000" w:themeColor="text1"/>
              </w:rPr>
              <w:t>~138/139</w:t>
            </w:r>
          </w:p>
        </w:tc>
        <w:tc>
          <w:tcPr>
            <w:tcW w:w="1331" w:type="dxa"/>
          </w:tcPr>
          <w:p w:rsidRPr="00D60922" w:rsidR="0062290C" w:rsidP="000137DA" w:rsidRDefault="0062290C" w14:paraId="6A27C99F" w14:textId="77777777">
            <w:pPr>
              <w:rPr>
                <w:rFonts w:ascii="Arial" w:hAnsi="Arial" w:cs="Arial"/>
                <w:color w:val="000000" w:themeColor="text1"/>
              </w:rPr>
            </w:pPr>
            <w:r w:rsidRPr="00D60922">
              <w:rPr>
                <w:rFonts w:ascii="Arial" w:hAnsi="Arial" w:cs="Arial"/>
                <w:color w:val="000000" w:themeColor="text1"/>
              </w:rPr>
              <w:t>~138/139</w:t>
            </w:r>
          </w:p>
        </w:tc>
      </w:tr>
      <w:tr w:rsidRPr="00D60922" w:rsidR="009F5604" w:rsidTr="00A62F9A" w14:paraId="523E073F" w14:textId="77777777">
        <w:tc>
          <w:tcPr>
            <w:tcW w:w="1507" w:type="dxa"/>
            <w:vMerge w:val="restart"/>
            <w:shd w:val="clear" w:color="auto" w:fill="DEEAF6" w:themeFill="accent5" w:themeFillTint="33"/>
            <w:vAlign w:val="center"/>
          </w:tcPr>
          <w:p w:rsidRPr="00D60922" w:rsidR="0062290C" w:rsidP="000137DA" w:rsidRDefault="0062290C" w14:paraId="1DA057C0" w14:textId="77777777">
            <w:pPr>
              <w:jc w:val="center"/>
              <w:rPr>
                <w:rFonts w:ascii="Arial" w:hAnsi="Arial" w:cs="Arial"/>
                <w:b/>
                <w:bCs/>
                <w:color w:val="000000" w:themeColor="text1"/>
              </w:rPr>
            </w:pPr>
          </w:p>
          <w:p w:rsidRPr="00D60922" w:rsidR="0062290C" w:rsidP="000137DA" w:rsidRDefault="0062290C" w14:paraId="2B532A8E" w14:textId="77777777">
            <w:pPr>
              <w:jc w:val="center"/>
              <w:rPr>
                <w:rFonts w:ascii="Arial" w:hAnsi="Arial" w:cs="Arial"/>
                <w:b/>
                <w:bCs/>
                <w:color w:val="000000" w:themeColor="text1"/>
              </w:rPr>
            </w:pPr>
            <w:r w:rsidRPr="00D60922">
              <w:rPr>
                <w:rFonts w:ascii="Arial" w:hAnsi="Arial" w:cs="Arial"/>
                <w:b/>
                <w:bCs/>
                <w:color w:val="000000" w:themeColor="text1"/>
              </w:rPr>
              <w:t>Fruit</w:t>
            </w:r>
          </w:p>
        </w:tc>
        <w:tc>
          <w:tcPr>
            <w:tcW w:w="1013" w:type="dxa"/>
            <w:vAlign w:val="bottom"/>
          </w:tcPr>
          <w:p w:rsidRPr="00D60922" w:rsidR="0062290C" w:rsidP="000137DA" w:rsidRDefault="009F5604" w14:paraId="30946034" w14:textId="1372C3AF">
            <w:pPr>
              <w:rPr>
                <w:rFonts w:ascii="Arial" w:hAnsi="Arial" w:cs="Arial"/>
                <w:color w:val="000000" w:themeColor="text1"/>
              </w:rPr>
            </w:pPr>
            <w:r>
              <w:rPr>
                <w:rFonts w:ascii="Arial" w:hAnsi="Arial" w:cs="Arial"/>
                <w:color w:val="000000" w:themeColor="text1"/>
              </w:rPr>
              <w:t>Brand1</w:t>
            </w:r>
          </w:p>
        </w:tc>
        <w:tc>
          <w:tcPr>
            <w:tcW w:w="1331" w:type="dxa"/>
          </w:tcPr>
          <w:p w:rsidRPr="00D60922" w:rsidR="0062290C" w:rsidP="000137DA" w:rsidRDefault="0062290C" w14:paraId="473B83D5" w14:textId="77777777">
            <w:pPr>
              <w:rPr>
                <w:rFonts w:ascii="Arial" w:hAnsi="Arial" w:cs="Arial"/>
                <w:color w:val="000000" w:themeColor="text1"/>
              </w:rPr>
            </w:pPr>
            <w:r w:rsidRPr="00D60922">
              <w:rPr>
                <w:rFonts w:ascii="Arial" w:hAnsi="Arial" w:cs="Arial"/>
                <w:color w:val="000000" w:themeColor="text1"/>
              </w:rPr>
              <w:t>~138/139</w:t>
            </w:r>
          </w:p>
        </w:tc>
        <w:tc>
          <w:tcPr>
            <w:tcW w:w="1366" w:type="dxa"/>
          </w:tcPr>
          <w:p w:rsidRPr="00D60922" w:rsidR="0062290C" w:rsidP="000137DA" w:rsidRDefault="0062290C" w14:paraId="513D4D28" w14:textId="77777777">
            <w:pPr>
              <w:rPr>
                <w:rFonts w:ascii="Arial" w:hAnsi="Arial" w:cs="Arial"/>
                <w:color w:val="000000" w:themeColor="text1"/>
              </w:rPr>
            </w:pPr>
            <w:r w:rsidRPr="00D60922">
              <w:rPr>
                <w:rFonts w:ascii="Arial" w:hAnsi="Arial" w:cs="Arial"/>
                <w:color w:val="000000" w:themeColor="text1"/>
              </w:rPr>
              <w:t>~138/139</w:t>
            </w:r>
          </w:p>
        </w:tc>
        <w:tc>
          <w:tcPr>
            <w:tcW w:w="1436" w:type="dxa"/>
          </w:tcPr>
          <w:p w:rsidRPr="00D60922" w:rsidR="0062290C" w:rsidP="000137DA" w:rsidRDefault="0062290C" w14:paraId="37C5DC03" w14:textId="77777777">
            <w:pPr>
              <w:rPr>
                <w:rFonts w:ascii="Arial" w:hAnsi="Arial" w:cs="Arial"/>
                <w:color w:val="000000" w:themeColor="text1"/>
              </w:rPr>
            </w:pPr>
            <w:r w:rsidRPr="00D60922">
              <w:rPr>
                <w:rFonts w:ascii="Arial" w:hAnsi="Arial" w:cs="Arial"/>
                <w:color w:val="000000" w:themeColor="text1"/>
              </w:rPr>
              <w:t>~138/139</w:t>
            </w:r>
          </w:p>
        </w:tc>
        <w:tc>
          <w:tcPr>
            <w:tcW w:w="1366" w:type="dxa"/>
          </w:tcPr>
          <w:p w:rsidRPr="00D60922" w:rsidR="0062290C" w:rsidP="000137DA" w:rsidRDefault="0062290C" w14:paraId="3C9628D2" w14:textId="77777777">
            <w:pPr>
              <w:rPr>
                <w:rFonts w:ascii="Arial" w:hAnsi="Arial" w:cs="Arial"/>
                <w:color w:val="000000" w:themeColor="text1"/>
              </w:rPr>
            </w:pPr>
            <w:r w:rsidRPr="00D60922">
              <w:rPr>
                <w:rFonts w:ascii="Arial" w:hAnsi="Arial" w:cs="Arial"/>
                <w:color w:val="000000" w:themeColor="text1"/>
              </w:rPr>
              <w:t>~138/139</w:t>
            </w:r>
          </w:p>
        </w:tc>
        <w:tc>
          <w:tcPr>
            <w:tcW w:w="1331" w:type="dxa"/>
          </w:tcPr>
          <w:p w:rsidRPr="00D60922" w:rsidR="0062290C" w:rsidP="000137DA" w:rsidRDefault="0062290C" w14:paraId="67A8CFF0" w14:textId="77777777">
            <w:pPr>
              <w:rPr>
                <w:rFonts w:ascii="Arial" w:hAnsi="Arial" w:cs="Arial"/>
                <w:color w:val="000000" w:themeColor="text1"/>
              </w:rPr>
            </w:pPr>
            <w:r w:rsidRPr="00D60922">
              <w:rPr>
                <w:rFonts w:ascii="Arial" w:hAnsi="Arial" w:cs="Arial"/>
                <w:color w:val="000000" w:themeColor="text1"/>
              </w:rPr>
              <w:t>~138/139</w:t>
            </w:r>
          </w:p>
        </w:tc>
      </w:tr>
      <w:tr w:rsidRPr="00D60922" w:rsidR="009F5604" w:rsidTr="00A62F9A" w14:paraId="54ED4694" w14:textId="77777777">
        <w:tc>
          <w:tcPr>
            <w:tcW w:w="1507" w:type="dxa"/>
            <w:vMerge/>
            <w:shd w:val="clear" w:color="auto" w:fill="DEEAF6" w:themeFill="accent5" w:themeFillTint="33"/>
          </w:tcPr>
          <w:p w:rsidRPr="00D60922" w:rsidR="0062290C" w:rsidP="000137DA" w:rsidRDefault="0062290C" w14:paraId="30A8ECA8" w14:textId="77777777">
            <w:pPr>
              <w:rPr>
                <w:rFonts w:ascii="Arial" w:hAnsi="Arial" w:cs="Arial"/>
                <w:b/>
                <w:bCs/>
                <w:color w:val="000000" w:themeColor="text1"/>
              </w:rPr>
            </w:pPr>
          </w:p>
        </w:tc>
        <w:tc>
          <w:tcPr>
            <w:tcW w:w="1013" w:type="dxa"/>
            <w:vAlign w:val="bottom"/>
          </w:tcPr>
          <w:p w:rsidRPr="00D60922" w:rsidR="0062290C" w:rsidP="000137DA" w:rsidRDefault="009F5604" w14:paraId="5B8BAAAB" w14:textId="03C0E2C9">
            <w:pPr>
              <w:rPr>
                <w:rFonts w:ascii="Arial" w:hAnsi="Arial" w:cs="Arial"/>
                <w:color w:val="000000" w:themeColor="text1"/>
              </w:rPr>
            </w:pPr>
            <w:r>
              <w:rPr>
                <w:rFonts w:ascii="Arial" w:hAnsi="Arial" w:cs="Arial"/>
                <w:color w:val="000000" w:themeColor="text1"/>
              </w:rPr>
              <w:t>Brand2</w:t>
            </w:r>
          </w:p>
        </w:tc>
        <w:tc>
          <w:tcPr>
            <w:tcW w:w="1331" w:type="dxa"/>
          </w:tcPr>
          <w:p w:rsidRPr="00D60922" w:rsidR="0062290C" w:rsidP="000137DA" w:rsidRDefault="0062290C" w14:paraId="181F4075" w14:textId="77777777">
            <w:pPr>
              <w:rPr>
                <w:rFonts w:ascii="Arial" w:hAnsi="Arial" w:cs="Arial"/>
                <w:color w:val="000000" w:themeColor="text1"/>
              </w:rPr>
            </w:pPr>
            <w:r w:rsidRPr="00D60922">
              <w:rPr>
                <w:rFonts w:ascii="Arial" w:hAnsi="Arial" w:cs="Arial"/>
                <w:color w:val="000000" w:themeColor="text1"/>
              </w:rPr>
              <w:t>~138/139</w:t>
            </w:r>
          </w:p>
        </w:tc>
        <w:tc>
          <w:tcPr>
            <w:tcW w:w="1366" w:type="dxa"/>
          </w:tcPr>
          <w:p w:rsidRPr="00D60922" w:rsidR="0062290C" w:rsidP="000137DA" w:rsidRDefault="0062290C" w14:paraId="01F89649" w14:textId="77777777">
            <w:pPr>
              <w:rPr>
                <w:rFonts w:ascii="Arial" w:hAnsi="Arial" w:cs="Arial"/>
                <w:color w:val="000000" w:themeColor="text1"/>
              </w:rPr>
            </w:pPr>
            <w:r w:rsidRPr="00D60922">
              <w:rPr>
                <w:rFonts w:ascii="Arial" w:hAnsi="Arial" w:cs="Arial"/>
                <w:color w:val="000000" w:themeColor="text1"/>
              </w:rPr>
              <w:t>~138/139</w:t>
            </w:r>
          </w:p>
        </w:tc>
        <w:tc>
          <w:tcPr>
            <w:tcW w:w="1436" w:type="dxa"/>
          </w:tcPr>
          <w:p w:rsidRPr="00D60922" w:rsidR="0062290C" w:rsidP="000137DA" w:rsidRDefault="0062290C" w14:paraId="38AA1076" w14:textId="77777777">
            <w:pPr>
              <w:rPr>
                <w:rFonts w:ascii="Arial" w:hAnsi="Arial" w:cs="Arial"/>
                <w:color w:val="000000" w:themeColor="text1"/>
              </w:rPr>
            </w:pPr>
            <w:r w:rsidRPr="00D60922">
              <w:rPr>
                <w:rFonts w:ascii="Arial" w:hAnsi="Arial" w:cs="Arial"/>
                <w:color w:val="000000" w:themeColor="text1"/>
              </w:rPr>
              <w:t>~138/139</w:t>
            </w:r>
          </w:p>
        </w:tc>
        <w:tc>
          <w:tcPr>
            <w:tcW w:w="1366" w:type="dxa"/>
          </w:tcPr>
          <w:p w:rsidRPr="00D60922" w:rsidR="0062290C" w:rsidP="000137DA" w:rsidRDefault="0062290C" w14:paraId="6F466392" w14:textId="77777777">
            <w:pPr>
              <w:rPr>
                <w:rFonts w:ascii="Arial" w:hAnsi="Arial" w:cs="Arial"/>
                <w:color w:val="000000" w:themeColor="text1"/>
              </w:rPr>
            </w:pPr>
            <w:r w:rsidRPr="00D60922">
              <w:rPr>
                <w:rFonts w:ascii="Arial" w:hAnsi="Arial" w:cs="Arial"/>
                <w:color w:val="000000" w:themeColor="text1"/>
              </w:rPr>
              <w:t>~138/139</w:t>
            </w:r>
          </w:p>
        </w:tc>
        <w:tc>
          <w:tcPr>
            <w:tcW w:w="1331" w:type="dxa"/>
          </w:tcPr>
          <w:p w:rsidRPr="00D60922" w:rsidR="0062290C" w:rsidP="000137DA" w:rsidRDefault="0062290C" w14:paraId="7A66CDAC" w14:textId="77777777">
            <w:pPr>
              <w:rPr>
                <w:rFonts w:ascii="Arial" w:hAnsi="Arial" w:cs="Arial"/>
                <w:color w:val="000000" w:themeColor="text1"/>
              </w:rPr>
            </w:pPr>
            <w:r w:rsidRPr="00D60922">
              <w:rPr>
                <w:rFonts w:ascii="Arial" w:hAnsi="Arial" w:cs="Arial"/>
                <w:color w:val="000000" w:themeColor="text1"/>
              </w:rPr>
              <w:t>~138/139</w:t>
            </w:r>
          </w:p>
        </w:tc>
      </w:tr>
      <w:tr w:rsidRPr="00D60922" w:rsidR="009F5604" w:rsidTr="00A62F9A" w14:paraId="059E9470" w14:textId="77777777">
        <w:tc>
          <w:tcPr>
            <w:tcW w:w="1507" w:type="dxa"/>
            <w:vMerge/>
            <w:shd w:val="clear" w:color="auto" w:fill="DEEAF6" w:themeFill="accent5" w:themeFillTint="33"/>
          </w:tcPr>
          <w:p w:rsidRPr="00D60922" w:rsidR="0062290C" w:rsidP="000137DA" w:rsidRDefault="0062290C" w14:paraId="2DB988CA" w14:textId="77777777">
            <w:pPr>
              <w:rPr>
                <w:rFonts w:ascii="Arial" w:hAnsi="Arial" w:cs="Arial"/>
                <w:b/>
                <w:bCs/>
                <w:color w:val="000000" w:themeColor="text1"/>
              </w:rPr>
            </w:pPr>
          </w:p>
        </w:tc>
        <w:tc>
          <w:tcPr>
            <w:tcW w:w="1013" w:type="dxa"/>
            <w:vAlign w:val="bottom"/>
          </w:tcPr>
          <w:p w:rsidRPr="00D60922" w:rsidR="0062290C" w:rsidP="000137DA" w:rsidRDefault="009F5604" w14:paraId="41C16BE0" w14:textId="19C8E7A1">
            <w:pPr>
              <w:rPr>
                <w:rFonts w:ascii="Arial" w:hAnsi="Arial" w:cs="Arial"/>
                <w:color w:val="000000" w:themeColor="text1"/>
              </w:rPr>
            </w:pPr>
            <w:r>
              <w:rPr>
                <w:rFonts w:ascii="Arial" w:hAnsi="Arial" w:cs="Arial"/>
                <w:color w:val="000000" w:themeColor="text1"/>
              </w:rPr>
              <w:t>Brand3</w:t>
            </w:r>
          </w:p>
        </w:tc>
        <w:tc>
          <w:tcPr>
            <w:tcW w:w="1331" w:type="dxa"/>
          </w:tcPr>
          <w:p w:rsidRPr="00D60922" w:rsidR="0062290C" w:rsidP="000137DA" w:rsidRDefault="0062290C" w14:paraId="34543695" w14:textId="77777777">
            <w:pPr>
              <w:rPr>
                <w:rFonts w:ascii="Arial" w:hAnsi="Arial" w:cs="Arial"/>
                <w:color w:val="000000" w:themeColor="text1"/>
              </w:rPr>
            </w:pPr>
            <w:r w:rsidRPr="00D60922">
              <w:rPr>
                <w:rFonts w:ascii="Arial" w:hAnsi="Arial" w:cs="Arial"/>
                <w:color w:val="000000" w:themeColor="text1"/>
              </w:rPr>
              <w:t>~138/139</w:t>
            </w:r>
          </w:p>
        </w:tc>
        <w:tc>
          <w:tcPr>
            <w:tcW w:w="1366" w:type="dxa"/>
          </w:tcPr>
          <w:p w:rsidRPr="00D60922" w:rsidR="0062290C" w:rsidP="000137DA" w:rsidRDefault="0062290C" w14:paraId="1DBED38A" w14:textId="77777777">
            <w:pPr>
              <w:rPr>
                <w:rFonts w:ascii="Arial" w:hAnsi="Arial" w:cs="Arial"/>
                <w:color w:val="000000" w:themeColor="text1"/>
              </w:rPr>
            </w:pPr>
            <w:r w:rsidRPr="00D60922">
              <w:rPr>
                <w:rFonts w:ascii="Arial" w:hAnsi="Arial" w:cs="Arial"/>
                <w:color w:val="000000" w:themeColor="text1"/>
              </w:rPr>
              <w:t>~138/139</w:t>
            </w:r>
          </w:p>
        </w:tc>
        <w:tc>
          <w:tcPr>
            <w:tcW w:w="1436" w:type="dxa"/>
          </w:tcPr>
          <w:p w:rsidRPr="00D60922" w:rsidR="0062290C" w:rsidP="000137DA" w:rsidRDefault="0062290C" w14:paraId="3CC60DB4" w14:textId="77777777">
            <w:pPr>
              <w:rPr>
                <w:rFonts w:ascii="Arial" w:hAnsi="Arial" w:cs="Arial"/>
                <w:color w:val="000000" w:themeColor="text1"/>
              </w:rPr>
            </w:pPr>
            <w:r w:rsidRPr="00D60922">
              <w:rPr>
                <w:rFonts w:ascii="Arial" w:hAnsi="Arial" w:cs="Arial"/>
                <w:color w:val="000000" w:themeColor="text1"/>
              </w:rPr>
              <w:t>~138/139</w:t>
            </w:r>
          </w:p>
        </w:tc>
        <w:tc>
          <w:tcPr>
            <w:tcW w:w="1366" w:type="dxa"/>
          </w:tcPr>
          <w:p w:rsidRPr="00D60922" w:rsidR="0062290C" w:rsidP="000137DA" w:rsidRDefault="0062290C" w14:paraId="1508918D" w14:textId="77777777">
            <w:pPr>
              <w:rPr>
                <w:rFonts w:ascii="Arial" w:hAnsi="Arial" w:cs="Arial"/>
                <w:color w:val="000000" w:themeColor="text1"/>
              </w:rPr>
            </w:pPr>
            <w:r w:rsidRPr="00D60922">
              <w:rPr>
                <w:rFonts w:ascii="Arial" w:hAnsi="Arial" w:cs="Arial"/>
                <w:color w:val="000000" w:themeColor="text1"/>
              </w:rPr>
              <w:t>~138/139</w:t>
            </w:r>
          </w:p>
        </w:tc>
        <w:tc>
          <w:tcPr>
            <w:tcW w:w="1331" w:type="dxa"/>
          </w:tcPr>
          <w:p w:rsidRPr="00D60922" w:rsidR="0062290C" w:rsidP="000137DA" w:rsidRDefault="0062290C" w14:paraId="04C49BED" w14:textId="77777777">
            <w:pPr>
              <w:rPr>
                <w:rFonts w:ascii="Arial" w:hAnsi="Arial" w:cs="Arial"/>
                <w:color w:val="000000" w:themeColor="text1"/>
              </w:rPr>
            </w:pPr>
            <w:r w:rsidRPr="00D60922">
              <w:rPr>
                <w:rFonts w:ascii="Arial" w:hAnsi="Arial" w:cs="Arial"/>
                <w:color w:val="000000" w:themeColor="text1"/>
              </w:rPr>
              <w:t>~138/139</w:t>
            </w:r>
          </w:p>
        </w:tc>
      </w:tr>
      <w:tr w:rsidRPr="00D60922" w:rsidR="009F5604" w:rsidTr="00A62F9A" w14:paraId="69867F78" w14:textId="77777777">
        <w:tc>
          <w:tcPr>
            <w:tcW w:w="1507" w:type="dxa"/>
            <w:vMerge w:val="restart"/>
            <w:shd w:val="clear" w:color="auto" w:fill="DEEAF6" w:themeFill="accent5" w:themeFillTint="33"/>
            <w:vAlign w:val="center"/>
          </w:tcPr>
          <w:p w:rsidRPr="00D60922" w:rsidR="0062290C" w:rsidP="000137DA" w:rsidRDefault="0062290C" w14:paraId="2FB14F26" w14:textId="77777777">
            <w:pPr>
              <w:jc w:val="center"/>
              <w:rPr>
                <w:rFonts w:ascii="Arial" w:hAnsi="Arial" w:cs="Arial"/>
                <w:b/>
                <w:bCs/>
                <w:color w:val="000000" w:themeColor="text1"/>
              </w:rPr>
            </w:pPr>
            <w:r w:rsidRPr="00D60922">
              <w:rPr>
                <w:rFonts w:ascii="Arial" w:hAnsi="Arial" w:cs="Arial"/>
                <w:b/>
                <w:bCs/>
                <w:color w:val="000000" w:themeColor="text1"/>
              </w:rPr>
              <w:t>Non-Fruit Sweet</w:t>
            </w:r>
          </w:p>
        </w:tc>
        <w:tc>
          <w:tcPr>
            <w:tcW w:w="1013" w:type="dxa"/>
            <w:vAlign w:val="bottom"/>
          </w:tcPr>
          <w:p w:rsidRPr="00D60922" w:rsidR="0062290C" w:rsidP="000137DA" w:rsidRDefault="009F5604" w14:paraId="40364311" w14:textId="34C9D2F6">
            <w:pPr>
              <w:rPr>
                <w:rFonts w:ascii="Arial" w:hAnsi="Arial" w:cs="Arial"/>
                <w:color w:val="000000" w:themeColor="text1"/>
              </w:rPr>
            </w:pPr>
            <w:r>
              <w:rPr>
                <w:rFonts w:ascii="Arial" w:hAnsi="Arial" w:cs="Arial"/>
                <w:color w:val="000000" w:themeColor="text1"/>
              </w:rPr>
              <w:t>Brand1</w:t>
            </w:r>
          </w:p>
        </w:tc>
        <w:tc>
          <w:tcPr>
            <w:tcW w:w="1331" w:type="dxa"/>
          </w:tcPr>
          <w:p w:rsidRPr="00D60922" w:rsidR="0062290C" w:rsidP="000137DA" w:rsidRDefault="0062290C" w14:paraId="7CB7A9FB" w14:textId="77777777">
            <w:pPr>
              <w:rPr>
                <w:rFonts w:ascii="Arial" w:hAnsi="Arial" w:cs="Arial"/>
                <w:color w:val="000000" w:themeColor="text1"/>
              </w:rPr>
            </w:pPr>
            <w:r w:rsidRPr="00D60922">
              <w:rPr>
                <w:rFonts w:ascii="Arial" w:hAnsi="Arial" w:cs="Arial"/>
                <w:color w:val="000000" w:themeColor="text1"/>
              </w:rPr>
              <w:t>~138/139</w:t>
            </w:r>
          </w:p>
        </w:tc>
        <w:tc>
          <w:tcPr>
            <w:tcW w:w="1366" w:type="dxa"/>
          </w:tcPr>
          <w:p w:rsidRPr="00D60922" w:rsidR="0062290C" w:rsidP="000137DA" w:rsidRDefault="0062290C" w14:paraId="2D00F4FA" w14:textId="77777777">
            <w:pPr>
              <w:rPr>
                <w:rFonts w:ascii="Arial" w:hAnsi="Arial" w:cs="Arial"/>
                <w:color w:val="000000" w:themeColor="text1"/>
              </w:rPr>
            </w:pPr>
            <w:r w:rsidRPr="00D60922">
              <w:rPr>
                <w:rFonts w:ascii="Arial" w:hAnsi="Arial" w:cs="Arial"/>
                <w:color w:val="000000" w:themeColor="text1"/>
              </w:rPr>
              <w:t>~138/139</w:t>
            </w:r>
          </w:p>
        </w:tc>
        <w:tc>
          <w:tcPr>
            <w:tcW w:w="1436" w:type="dxa"/>
          </w:tcPr>
          <w:p w:rsidRPr="00D60922" w:rsidR="0062290C" w:rsidP="000137DA" w:rsidRDefault="0062290C" w14:paraId="18C2D8CA" w14:textId="77777777">
            <w:pPr>
              <w:rPr>
                <w:rFonts w:ascii="Arial" w:hAnsi="Arial" w:cs="Arial"/>
                <w:color w:val="000000" w:themeColor="text1"/>
              </w:rPr>
            </w:pPr>
            <w:r w:rsidRPr="00D60922">
              <w:rPr>
                <w:rFonts w:ascii="Arial" w:hAnsi="Arial" w:cs="Arial"/>
                <w:color w:val="000000" w:themeColor="text1"/>
              </w:rPr>
              <w:t>~138/139</w:t>
            </w:r>
          </w:p>
        </w:tc>
        <w:tc>
          <w:tcPr>
            <w:tcW w:w="1366" w:type="dxa"/>
          </w:tcPr>
          <w:p w:rsidRPr="00D60922" w:rsidR="0062290C" w:rsidP="000137DA" w:rsidRDefault="0062290C" w14:paraId="0603792E" w14:textId="77777777">
            <w:pPr>
              <w:rPr>
                <w:rFonts w:ascii="Arial" w:hAnsi="Arial" w:cs="Arial"/>
                <w:color w:val="000000" w:themeColor="text1"/>
              </w:rPr>
            </w:pPr>
            <w:r w:rsidRPr="00D60922">
              <w:rPr>
                <w:rFonts w:ascii="Arial" w:hAnsi="Arial" w:cs="Arial"/>
                <w:color w:val="000000" w:themeColor="text1"/>
              </w:rPr>
              <w:t>~138/139</w:t>
            </w:r>
          </w:p>
        </w:tc>
        <w:tc>
          <w:tcPr>
            <w:tcW w:w="1331" w:type="dxa"/>
          </w:tcPr>
          <w:p w:rsidRPr="00D60922" w:rsidR="0062290C" w:rsidP="000137DA" w:rsidRDefault="0062290C" w14:paraId="4E4C8B3D" w14:textId="77777777">
            <w:pPr>
              <w:rPr>
                <w:rFonts w:ascii="Arial" w:hAnsi="Arial" w:cs="Arial"/>
                <w:color w:val="000000" w:themeColor="text1"/>
              </w:rPr>
            </w:pPr>
            <w:r w:rsidRPr="00D60922">
              <w:rPr>
                <w:rFonts w:ascii="Arial" w:hAnsi="Arial" w:cs="Arial"/>
                <w:color w:val="000000" w:themeColor="text1"/>
              </w:rPr>
              <w:t>~138/139</w:t>
            </w:r>
          </w:p>
        </w:tc>
      </w:tr>
      <w:tr w:rsidRPr="00D60922" w:rsidR="009F5604" w:rsidTr="00A62F9A" w14:paraId="67FE2866" w14:textId="77777777">
        <w:tc>
          <w:tcPr>
            <w:tcW w:w="1507" w:type="dxa"/>
            <w:vMerge/>
            <w:shd w:val="clear" w:color="auto" w:fill="DEEAF6" w:themeFill="accent5" w:themeFillTint="33"/>
          </w:tcPr>
          <w:p w:rsidRPr="00D60922" w:rsidR="0062290C" w:rsidP="000137DA" w:rsidRDefault="0062290C" w14:paraId="67D51667" w14:textId="77777777">
            <w:pPr>
              <w:rPr>
                <w:rFonts w:ascii="Arial" w:hAnsi="Arial" w:cs="Arial"/>
                <w:color w:val="000000" w:themeColor="text1"/>
              </w:rPr>
            </w:pPr>
          </w:p>
        </w:tc>
        <w:tc>
          <w:tcPr>
            <w:tcW w:w="1013" w:type="dxa"/>
            <w:vAlign w:val="bottom"/>
          </w:tcPr>
          <w:p w:rsidRPr="00D60922" w:rsidR="0062290C" w:rsidP="000137DA" w:rsidRDefault="009F5604" w14:paraId="74C95843" w14:textId="59101CB2">
            <w:pPr>
              <w:rPr>
                <w:rFonts w:ascii="Arial" w:hAnsi="Arial" w:cs="Arial"/>
                <w:color w:val="000000" w:themeColor="text1"/>
              </w:rPr>
            </w:pPr>
            <w:r>
              <w:rPr>
                <w:rFonts w:ascii="Arial" w:hAnsi="Arial" w:cs="Arial"/>
                <w:color w:val="000000" w:themeColor="text1"/>
              </w:rPr>
              <w:t>Brand2</w:t>
            </w:r>
          </w:p>
        </w:tc>
        <w:tc>
          <w:tcPr>
            <w:tcW w:w="1331" w:type="dxa"/>
          </w:tcPr>
          <w:p w:rsidRPr="00D60922" w:rsidR="0062290C" w:rsidP="000137DA" w:rsidRDefault="0062290C" w14:paraId="6B4C034A" w14:textId="77777777">
            <w:pPr>
              <w:rPr>
                <w:rFonts w:ascii="Arial" w:hAnsi="Arial" w:cs="Arial"/>
                <w:color w:val="000000" w:themeColor="text1"/>
              </w:rPr>
            </w:pPr>
            <w:r w:rsidRPr="00D60922">
              <w:rPr>
                <w:rFonts w:ascii="Arial" w:hAnsi="Arial" w:cs="Arial"/>
                <w:color w:val="000000" w:themeColor="text1"/>
              </w:rPr>
              <w:t>~138/139</w:t>
            </w:r>
          </w:p>
        </w:tc>
        <w:tc>
          <w:tcPr>
            <w:tcW w:w="1366" w:type="dxa"/>
          </w:tcPr>
          <w:p w:rsidRPr="00D60922" w:rsidR="0062290C" w:rsidP="000137DA" w:rsidRDefault="0062290C" w14:paraId="5E271EF3" w14:textId="77777777">
            <w:pPr>
              <w:rPr>
                <w:rFonts w:ascii="Arial" w:hAnsi="Arial" w:cs="Arial"/>
                <w:color w:val="000000" w:themeColor="text1"/>
              </w:rPr>
            </w:pPr>
            <w:r w:rsidRPr="00D60922">
              <w:rPr>
                <w:rFonts w:ascii="Arial" w:hAnsi="Arial" w:cs="Arial"/>
                <w:color w:val="000000" w:themeColor="text1"/>
              </w:rPr>
              <w:t>~138/139</w:t>
            </w:r>
          </w:p>
        </w:tc>
        <w:tc>
          <w:tcPr>
            <w:tcW w:w="1436" w:type="dxa"/>
          </w:tcPr>
          <w:p w:rsidRPr="00D60922" w:rsidR="0062290C" w:rsidP="000137DA" w:rsidRDefault="0062290C" w14:paraId="1DDB2DDD" w14:textId="77777777">
            <w:pPr>
              <w:rPr>
                <w:rFonts w:ascii="Arial" w:hAnsi="Arial" w:cs="Arial"/>
                <w:color w:val="000000" w:themeColor="text1"/>
              </w:rPr>
            </w:pPr>
            <w:r w:rsidRPr="00D60922">
              <w:rPr>
                <w:rFonts w:ascii="Arial" w:hAnsi="Arial" w:cs="Arial"/>
                <w:color w:val="000000" w:themeColor="text1"/>
              </w:rPr>
              <w:t>~138/139</w:t>
            </w:r>
          </w:p>
        </w:tc>
        <w:tc>
          <w:tcPr>
            <w:tcW w:w="1366" w:type="dxa"/>
          </w:tcPr>
          <w:p w:rsidRPr="00D60922" w:rsidR="0062290C" w:rsidP="000137DA" w:rsidRDefault="0062290C" w14:paraId="7C7B4C1A" w14:textId="77777777">
            <w:pPr>
              <w:rPr>
                <w:rFonts w:ascii="Arial" w:hAnsi="Arial" w:cs="Arial"/>
                <w:color w:val="000000" w:themeColor="text1"/>
              </w:rPr>
            </w:pPr>
            <w:r w:rsidRPr="00D60922">
              <w:rPr>
                <w:rFonts w:ascii="Arial" w:hAnsi="Arial" w:cs="Arial"/>
                <w:color w:val="000000" w:themeColor="text1"/>
              </w:rPr>
              <w:t>~138/139</w:t>
            </w:r>
          </w:p>
        </w:tc>
        <w:tc>
          <w:tcPr>
            <w:tcW w:w="1331" w:type="dxa"/>
          </w:tcPr>
          <w:p w:rsidRPr="00D60922" w:rsidR="0062290C" w:rsidP="000137DA" w:rsidRDefault="0062290C" w14:paraId="212372F7" w14:textId="77777777">
            <w:pPr>
              <w:rPr>
                <w:rFonts w:ascii="Arial" w:hAnsi="Arial" w:cs="Arial"/>
                <w:color w:val="000000" w:themeColor="text1"/>
              </w:rPr>
            </w:pPr>
            <w:r w:rsidRPr="00D60922">
              <w:rPr>
                <w:rFonts w:ascii="Arial" w:hAnsi="Arial" w:cs="Arial"/>
                <w:color w:val="000000" w:themeColor="text1"/>
              </w:rPr>
              <w:t>~138/139</w:t>
            </w:r>
          </w:p>
        </w:tc>
      </w:tr>
      <w:tr w:rsidRPr="00D60922" w:rsidR="009F5604" w:rsidTr="00A62F9A" w14:paraId="4BBB2563" w14:textId="77777777">
        <w:tc>
          <w:tcPr>
            <w:tcW w:w="1507" w:type="dxa"/>
            <w:vMerge/>
            <w:shd w:val="clear" w:color="auto" w:fill="DEEAF6" w:themeFill="accent5" w:themeFillTint="33"/>
          </w:tcPr>
          <w:p w:rsidRPr="00D60922" w:rsidR="0062290C" w:rsidP="000137DA" w:rsidRDefault="0062290C" w14:paraId="1C60B383" w14:textId="77777777">
            <w:pPr>
              <w:rPr>
                <w:rFonts w:ascii="Arial" w:hAnsi="Arial" w:cs="Arial"/>
                <w:color w:val="000000" w:themeColor="text1"/>
              </w:rPr>
            </w:pPr>
          </w:p>
        </w:tc>
        <w:tc>
          <w:tcPr>
            <w:tcW w:w="1013" w:type="dxa"/>
            <w:vAlign w:val="bottom"/>
          </w:tcPr>
          <w:p w:rsidRPr="00D60922" w:rsidR="0062290C" w:rsidP="000137DA" w:rsidRDefault="009F5604" w14:paraId="44D375FE" w14:textId="5A29B4E6">
            <w:pPr>
              <w:rPr>
                <w:rFonts w:ascii="Arial" w:hAnsi="Arial" w:cs="Arial"/>
                <w:color w:val="000000" w:themeColor="text1"/>
              </w:rPr>
            </w:pPr>
            <w:r>
              <w:rPr>
                <w:rFonts w:ascii="Arial" w:hAnsi="Arial" w:cs="Arial"/>
                <w:color w:val="000000" w:themeColor="text1"/>
              </w:rPr>
              <w:t>Brand3</w:t>
            </w:r>
          </w:p>
        </w:tc>
        <w:tc>
          <w:tcPr>
            <w:tcW w:w="1331" w:type="dxa"/>
          </w:tcPr>
          <w:p w:rsidRPr="00D60922" w:rsidR="0062290C" w:rsidP="000137DA" w:rsidRDefault="0062290C" w14:paraId="7F625D19" w14:textId="77777777">
            <w:pPr>
              <w:rPr>
                <w:rFonts w:ascii="Arial" w:hAnsi="Arial" w:cs="Arial"/>
                <w:color w:val="000000" w:themeColor="text1"/>
              </w:rPr>
            </w:pPr>
            <w:r w:rsidRPr="00D60922">
              <w:rPr>
                <w:rFonts w:ascii="Arial" w:hAnsi="Arial" w:cs="Arial"/>
                <w:color w:val="000000" w:themeColor="text1"/>
              </w:rPr>
              <w:t>~138/139</w:t>
            </w:r>
          </w:p>
        </w:tc>
        <w:tc>
          <w:tcPr>
            <w:tcW w:w="1366" w:type="dxa"/>
          </w:tcPr>
          <w:p w:rsidRPr="00D60922" w:rsidR="0062290C" w:rsidP="000137DA" w:rsidRDefault="0062290C" w14:paraId="7B9A8163" w14:textId="77777777">
            <w:pPr>
              <w:rPr>
                <w:rFonts w:ascii="Arial" w:hAnsi="Arial" w:cs="Arial"/>
                <w:color w:val="000000" w:themeColor="text1"/>
              </w:rPr>
            </w:pPr>
            <w:r w:rsidRPr="00D60922">
              <w:rPr>
                <w:rFonts w:ascii="Arial" w:hAnsi="Arial" w:cs="Arial"/>
                <w:color w:val="000000" w:themeColor="text1"/>
              </w:rPr>
              <w:t>~138/139</w:t>
            </w:r>
          </w:p>
        </w:tc>
        <w:tc>
          <w:tcPr>
            <w:tcW w:w="1436" w:type="dxa"/>
          </w:tcPr>
          <w:p w:rsidRPr="00D60922" w:rsidR="0062290C" w:rsidP="000137DA" w:rsidRDefault="0062290C" w14:paraId="7162B629" w14:textId="77777777">
            <w:pPr>
              <w:rPr>
                <w:rFonts w:ascii="Arial" w:hAnsi="Arial" w:cs="Arial"/>
                <w:color w:val="000000" w:themeColor="text1"/>
              </w:rPr>
            </w:pPr>
            <w:r w:rsidRPr="00D60922">
              <w:rPr>
                <w:rFonts w:ascii="Arial" w:hAnsi="Arial" w:cs="Arial"/>
                <w:color w:val="000000" w:themeColor="text1"/>
              </w:rPr>
              <w:t>~138/139</w:t>
            </w:r>
          </w:p>
        </w:tc>
        <w:tc>
          <w:tcPr>
            <w:tcW w:w="1366" w:type="dxa"/>
          </w:tcPr>
          <w:p w:rsidRPr="00D60922" w:rsidR="0062290C" w:rsidP="000137DA" w:rsidRDefault="0062290C" w14:paraId="72F34531" w14:textId="77777777">
            <w:pPr>
              <w:rPr>
                <w:rFonts w:ascii="Arial" w:hAnsi="Arial" w:cs="Arial"/>
                <w:color w:val="000000" w:themeColor="text1"/>
              </w:rPr>
            </w:pPr>
            <w:r w:rsidRPr="00D60922">
              <w:rPr>
                <w:rFonts w:ascii="Arial" w:hAnsi="Arial" w:cs="Arial"/>
                <w:color w:val="000000" w:themeColor="text1"/>
              </w:rPr>
              <w:t>~138/139</w:t>
            </w:r>
          </w:p>
        </w:tc>
        <w:tc>
          <w:tcPr>
            <w:tcW w:w="1331" w:type="dxa"/>
          </w:tcPr>
          <w:p w:rsidRPr="00D60922" w:rsidR="0062290C" w:rsidP="000137DA" w:rsidRDefault="0062290C" w14:paraId="79B26434" w14:textId="77777777">
            <w:pPr>
              <w:rPr>
                <w:rFonts w:ascii="Arial" w:hAnsi="Arial" w:cs="Arial"/>
                <w:color w:val="000000" w:themeColor="text1"/>
              </w:rPr>
            </w:pPr>
            <w:r w:rsidRPr="00D60922">
              <w:rPr>
                <w:rFonts w:ascii="Arial" w:hAnsi="Arial" w:cs="Arial"/>
                <w:color w:val="000000" w:themeColor="text1"/>
              </w:rPr>
              <w:t>~138/139</w:t>
            </w:r>
          </w:p>
        </w:tc>
      </w:tr>
      <w:tr w:rsidRPr="00D60922" w:rsidR="009F5604" w:rsidTr="00A62F9A" w14:paraId="1F76C121" w14:textId="77777777">
        <w:tc>
          <w:tcPr>
            <w:tcW w:w="1507" w:type="dxa"/>
            <w:vMerge w:val="restart"/>
            <w:shd w:val="clear" w:color="auto" w:fill="DEEAF6" w:themeFill="accent5" w:themeFillTint="33"/>
            <w:vAlign w:val="center"/>
          </w:tcPr>
          <w:p w:rsidRPr="00D60922" w:rsidR="0062290C" w:rsidP="000137DA" w:rsidRDefault="0062290C" w14:paraId="6596229A" w14:textId="77777777">
            <w:pPr>
              <w:jc w:val="center"/>
              <w:rPr>
                <w:rFonts w:ascii="Arial" w:hAnsi="Arial" w:cs="Arial"/>
                <w:b/>
                <w:bCs/>
                <w:color w:val="000000" w:themeColor="text1"/>
              </w:rPr>
            </w:pPr>
          </w:p>
          <w:p w:rsidRPr="00D60922" w:rsidR="0062290C" w:rsidP="000137DA" w:rsidRDefault="0062290C" w14:paraId="4BBA4D67" w14:textId="77777777">
            <w:pPr>
              <w:jc w:val="center"/>
              <w:rPr>
                <w:rFonts w:ascii="Arial" w:hAnsi="Arial" w:cs="Arial"/>
                <w:b/>
                <w:bCs/>
                <w:color w:val="000000" w:themeColor="text1"/>
              </w:rPr>
            </w:pPr>
            <w:r w:rsidRPr="00D60922">
              <w:rPr>
                <w:rFonts w:ascii="Arial" w:hAnsi="Arial" w:cs="Arial"/>
                <w:b/>
                <w:bCs/>
                <w:color w:val="000000" w:themeColor="text1"/>
              </w:rPr>
              <w:t>Unflavored</w:t>
            </w:r>
          </w:p>
        </w:tc>
        <w:tc>
          <w:tcPr>
            <w:tcW w:w="1013" w:type="dxa"/>
            <w:vAlign w:val="bottom"/>
          </w:tcPr>
          <w:p w:rsidRPr="00D60922" w:rsidR="0062290C" w:rsidP="000137DA" w:rsidRDefault="009F5604" w14:paraId="453851FE" w14:textId="3DAEFEA9">
            <w:pPr>
              <w:rPr>
                <w:rFonts w:ascii="Arial" w:hAnsi="Arial" w:cs="Arial"/>
                <w:color w:val="000000" w:themeColor="text1"/>
              </w:rPr>
            </w:pPr>
            <w:r>
              <w:rPr>
                <w:rFonts w:ascii="Arial" w:hAnsi="Arial" w:cs="Arial"/>
                <w:color w:val="000000" w:themeColor="text1"/>
              </w:rPr>
              <w:t>Brand1</w:t>
            </w:r>
          </w:p>
        </w:tc>
        <w:tc>
          <w:tcPr>
            <w:tcW w:w="1331" w:type="dxa"/>
          </w:tcPr>
          <w:p w:rsidRPr="00D60922" w:rsidR="0062290C" w:rsidP="000137DA" w:rsidRDefault="0062290C" w14:paraId="1CAE547E" w14:textId="77777777">
            <w:pPr>
              <w:rPr>
                <w:rFonts w:ascii="Arial" w:hAnsi="Arial" w:cs="Arial"/>
                <w:color w:val="000000" w:themeColor="text1"/>
              </w:rPr>
            </w:pPr>
            <w:r w:rsidRPr="00D60922">
              <w:rPr>
                <w:rFonts w:ascii="Arial" w:hAnsi="Arial" w:cs="Arial"/>
                <w:color w:val="000000" w:themeColor="text1"/>
              </w:rPr>
              <w:t>~138/139</w:t>
            </w:r>
          </w:p>
        </w:tc>
        <w:tc>
          <w:tcPr>
            <w:tcW w:w="1366" w:type="dxa"/>
          </w:tcPr>
          <w:p w:rsidRPr="00D60922" w:rsidR="0062290C" w:rsidP="000137DA" w:rsidRDefault="0062290C" w14:paraId="66EC29BB" w14:textId="77777777">
            <w:pPr>
              <w:rPr>
                <w:rFonts w:ascii="Arial" w:hAnsi="Arial" w:cs="Arial"/>
                <w:color w:val="000000" w:themeColor="text1"/>
              </w:rPr>
            </w:pPr>
            <w:r w:rsidRPr="00D60922">
              <w:rPr>
                <w:rFonts w:ascii="Arial" w:hAnsi="Arial" w:cs="Arial"/>
                <w:color w:val="000000" w:themeColor="text1"/>
              </w:rPr>
              <w:t>~138/139</w:t>
            </w:r>
          </w:p>
        </w:tc>
        <w:tc>
          <w:tcPr>
            <w:tcW w:w="1436" w:type="dxa"/>
          </w:tcPr>
          <w:p w:rsidRPr="00D60922" w:rsidR="0062290C" w:rsidP="000137DA" w:rsidRDefault="0062290C" w14:paraId="0D09E179" w14:textId="77777777">
            <w:pPr>
              <w:rPr>
                <w:rFonts w:ascii="Arial" w:hAnsi="Arial" w:cs="Arial"/>
                <w:color w:val="000000" w:themeColor="text1"/>
              </w:rPr>
            </w:pPr>
            <w:r w:rsidRPr="00D60922">
              <w:rPr>
                <w:rFonts w:ascii="Arial" w:hAnsi="Arial" w:cs="Arial"/>
                <w:color w:val="000000" w:themeColor="text1"/>
              </w:rPr>
              <w:t>~138/139</w:t>
            </w:r>
          </w:p>
        </w:tc>
        <w:tc>
          <w:tcPr>
            <w:tcW w:w="1366" w:type="dxa"/>
          </w:tcPr>
          <w:p w:rsidRPr="00D60922" w:rsidR="0062290C" w:rsidP="000137DA" w:rsidRDefault="0062290C" w14:paraId="4F1BA012" w14:textId="77777777">
            <w:pPr>
              <w:rPr>
                <w:rFonts w:ascii="Arial" w:hAnsi="Arial" w:cs="Arial"/>
                <w:color w:val="000000" w:themeColor="text1"/>
              </w:rPr>
            </w:pPr>
            <w:r w:rsidRPr="00D60922">
              <w:rPr>
                <w:rFonts w:ascii="Arial" w:hAnsi="Arial" w:cs="Arial"/>
                <w:color w:val="000000" w:themeColor="text1"/>
              </w:rPr>
              <w:t>~138/139</w:t>
            </w:r>
          </w:p>
        </w:tc>
        <w:tc>
          <w:tcPr>
            <w:tcW w:w="1331" w:type="dxa"/>
          </w:tcPr>
          <w:p w:rsidRPr="00D60922" w:rsidR="0062290C" w:rsidP="000137DA" w:rsidRDefault="0062290C" w14:paraId="71D8A675" w14:textId="77777777">
            <w:pPr>
              <w:rPr>
                <w:rFonts w:ascii="Arial" w:hAnsi="Arial" w:cs="Arial"/>
                <w:color w:val="000000" w:themeColor="text1"/>
              </w:rPr>
            </w:pPr>
            <w:r w:rsidRPr="00D60922">
              <w:rPr>
                <w:rFonts w:ascii="Arial" w:hAnsi="Arial" w:cs="Arial"/>
                <w:color w:val="000000" w:themeColor="text1"/>
              </w:rPr>
              <w:t>~138/139</w:t>
            </w:r>
          </w:p>
        </w:tc>
      </w:tr>
      <w:tr w:rsidRPr="00D60922" w:rsidR="009F5604" w:rsidTr="00A62F9A" w14:paraId="7957D2F9" w14:textId="77777777">
        <w:tc>
          <w:tcPr>
            <w:tcW w:w="1507" w:type="dxa"/>
            <w:vMerge/>
            <w:shd w:val="clear" w:color="auto" w:fill="DEEAF6" w:themeFill="accent5" w:themeFillTint="33"/>
          </w:tcPr>
          <w:p w:rsidRPr="00D60922" w:rsidR="0062290C" w:rsidP="000137DA" w:rsidRDefault="0062290C" w14:paraId="29DBD4C0" w14:textId="77777777">
            <w:pPr>
              <w:rPr>
                <w:rFonts w:ascii="Arial" w:hAnsi="Arial" w:cs="Arial"/>
                <w:color w:val="000000" w:themeColor="text1"/>
              </w:rPr>
            </w:pPr>
          </w:p>
        </w:tc>
        <w:tc>
          <w:tcPr>
            <w:tcW w:w="1013" w:type="dxa"/>
            <w:vAlign w:val="bottom"/>
          </w:tcPr>
          <w:p w:rsidRPr="00D60922" w:rsidR="0062290C" w:rsidP="000137DA" w:rsidRDefault="009F5604" w14:paraId="717D8158" w14:textId="65672DA9">
            <w:pPr>
              <w:rPr>
                <w:rFonts w:ascii="Arial" w:hAnsi="Arial" w:cs="Arial"/>
                <w:color w:val="000000" w:themeColor="text1"/>
              </w:rPr>
            </w:pPr>
            <w:r>
              <w:rPr>
                <w:rFonts w:ascii="Arial" w:hAnsi="Arial" w:cs="Arial"/>
                <w:color w:val="000000" w:themeColor="text1"/>
              </w:rPr>
              <w:t>Brand2</w:t>
            </w:r>
          </w:p>
        </w:tc>
        <w:tc>
          <w:tcPr>
            <w:tcW w:w="1331" w:type="dxa"/>
          </w:tcPr>
          <w:p w:rsidRPr="00D60922" w:rsidR="0062290C" w:rsidP="000137DA" w:rsidRDefault="0062290C" w14:paraId="76D804A0" w14:textId="77777777">
            <w:pPr>
              <w:rPr>
                <w:rFonts w:ascii="Arial" w:hAnsi="Arial" w:cs="Arial"/>
                <w:color w:val="000000" w:themeColor="text1"/>
              </w:rPr>
            </w:pPr>
            <w:r w:rsidRPr="00D60922">
              <w:rPr>
                <w:rFonts w:ascii="Arial" w:hAnsi="Arial" w:cs="Arial"/>
                <w:color w:val="000000" w:themeColor="text1"/>
              </w:rPr>
              <w:t>~138/139</w:t>
            </w:r>
          </w:p>
        </w:tc>
        <w:tc>
          <w:tcPr>
            <w:tcW w:w="1366" w:type="dxa"/>
          </w:tcPr>
          <w:p w:rsidRPr="00D60922" w:rsidR="0062290C" w:rsidP="000137DA" w:rsidRDefault="0062290C" w14:paraId="58367179" w14:textId="77777777">
            <w:pPr>
              <w:rPr>
                <w:rFonts w:ascii="Arial" w:hAnsi="Arial" w:cs="Arial"/>
                <w:color w:val="000000" w:themeColor="text1"/>
              </w:rPr>
            </w:pPr>
            <w:r w:rsidRPr="00D60922">
              <w:rPr>
                <w:rFonts w:ascii="Arial" w:hAnsi="Arial" w:cs="Arial"/>
                <w:color w:val="000000" w:themeColor="text1"/>
              </w:rPr>
              <w:t>~138/139</w:t>
            </w:r>
          </w:p>
        </w:tc>
        <w:tc>
          <w:tcPr>
            <w:tcW w:w="1436" w:type="dxa"/>
          </w:tcPr>
          <w:p w:rsidRPr="00D60922" w:rsidR="0062290C" w:rsidP="000137DA" w:rsidRDefault="0062290C" w14:paraId="3BAC18D5" w14:textId="77777777">
            <w:pPr>
              <w:rPr>
                <w:rFonts w:ascii="Arial" w:hAnsi="Arial" w:cs="Arial"/>
                <w:color w:val="000000" w:themeColor="text1"/>
              </w:rPr>
            </w:pPr>
            <w:r w:rsidRPr="00D60922">
              <w:rPr>
                <w:rFonts w:ascii="Arial" w:hAnsi="Arial" w:cs="Arial"/>
                <w:color w:val="000000" w:themeColor="text1"/>
              </w:rPr>
              <w:t>~138/139</w:t>
            </w:r>
          </w:p>
        </w:tc>
        <w:tc>
          <w:tcPr>
            <w:tcW w:w="1366" w:type="dxa"/>
          </w:tcPr>
          <w:p w:rsidRPr="00D60922" w:rsidR="0062290C" w:rsidP="000137DA" w:rsidRDefault="0062290C" w14:paraId="5441701B" w14:textId="77777777">
            <w:pPr>
              <w:rPr>
                <w:rFonts w:ascii="Arial" w:hAnsi="Arial" w:cs="Arial"/>
                <w:color w:val="000000" w:themeColor="text1"/>
              </w:rPr>
            </w:pPr>
            <w:r w:rsidRPr="00D60922">
              <w:rPr>
                <w:rFonts w:ascii="Arial" w:hAnsi="Arial" w:cs="Arial"/>
                <w:color w:val="000000" w:themeColor="text1"/>
              </w:rPr>
              <w:t>~138/139</w:t>
            </w:r>
          </w:p>
        </w:tc>
        <w:tc>
          <w:tcPr>
            <w:tcW w:w="1331" w:type="dxa"/>
          </w:tcPr>
          <w:p w:rsidRPr="00D60922" w:rsidR="0062290C" w:rsidP="000137DA" w:rsidRDefault="0062290C" w14:paraId="6D7695A5" w14:textId="77777777">
            <w:pPr>
              <w:rPr>
                <w:rFonts w:ascii="Arial" w:hAnsi="Arial" w:cs="Arial"/>
                <w:color w:val="000000" w:themeColor="text1"/>
              </w:rPr>
            </w:pPr>
            <w:r w:rsidRPr="00D60922">
              <w:rPr>
                <w:rFonts w:ascii="Arial" w:hAnsi="Arial" w:cs="Arial"/>
                <w:color w:val="000000" w:themeColor="text1"/>
              </w:rPr>
              <w:t>~138/139</w:t>
            </w:r>
          </w:p>
        </w:tc>
      </w:tr>
      <w:tr w:rsidRPr="00D60922" w:rsidR="009F5604" w:rsidTr="00A62F9A" w14:paraId="3BB610E2" w14:textId="77777777">
        <w:tc>
          <w:tcPr>
            <w:tcW w:w="1507" w:type="dxa"/>
            <w:vMerge/>
            <w:shd w:val="clear" w:color="auto" w:fill="DEEAF6" w:themeFill="accent5" w:themeFillTint="33"/>
          </w:tcPr>
          <w:p w:rsidRPr="00D60922" w:rsidR="0062290C" w:rsidP="000137DA" w:rsidRDefault="0062290C" w14:paraId="39459A5C" w14:textId="77777777">
            <w:pPr>
              <w:rPr>
                <w:rFonts w:ascii="Arial" w:hAnsi="Arial" w:cs="Arial"/>
                <w:color w:val="000000" w:themeColor="text1"/>
              </w:rPr>
            </w:pPr>
          </w:p>
        </w:tc>
        <w:tc>
          <w:tcPr>
            <w:tcW w:w="1013" w:type="dxa"/>
            <w:vAlign w:val="bottom"/>
          </w:tcPr>
          <w:p w:rsidRPr="00D60922" w:rsidR="0062290C" w:rsidP="000137DA" w:rsidRDefault="009F5604" w14:paraId="3E3F97A9" w14:textId="7FEBDCD2">
            <w:pPr>
              <w:rPr>
                <w:rFonts w:ascii="Arial" w:hAnsi="Arial" w:cs="Arial"/>
                <w:color w:val="000000" w:themeColor="text1"/>
              </w:rPr>
            </w:pPr>
            <w:r>
              <w:rPr>
                <w:rFonts w:ascii="Arial" w:hAnsi="Arial" w:cs="Arial"/>
                <w:color w:val="000000" w:themeColor="text1"/>
              </w:rPr>
              <w:t>Brand3</w:t>
            </w:r>
          </w:p>
        </w:tc>
        <w:tc>
          <w:tcPr>
            <w:tcW w:w="1331" w:type="dxa"/>
          </w:tcPr>
          <w:p w:rsidRPr="00D60922" w:rsidR="0062290C" w:rsidP="000137DA" w:rsidRDefault="0062290C" w14:paraId="28A9F8E0" w14:textId="77777777">
            <w:pPr>
              <w:rPr>
                <w:rFonts w:ascii="Arial" w:hAnsi="Arial" w:cs="Arial"/>
                <w:color w:val="000000" w:themeColor="text1"/>
              </w:rPr>
            </w:pPr>
            <w:r w:rsidRPr="00D60922">
              <w:rPr>
                <w:rFonts w:ascii="Arial" w:hAnsi="Arial" w:cs="Arial"/>
                <w:color w:val="000000" w:themeColor="text1"/>
              </w:rPr>
              <w:t>~138/139</w:t>
            </w:r>
          </w:p>
        </w:tc>
        <w:tc>
          <w:tcPr>
            <w:tcW w:w="1366" w:type="dxa"/>
          </w:tcPr>
          <w:p w:rsidRPr="00D60922" w:rsidR="0062290C" w:rsidP="000137DA" w:rsidRDefault="0062290C" w14:paraId="1BBD71FC" w14:textId="77777777">
            <w:pPr>
              <w:rPr>
                <w:rFonts w:ascii="Arial" w:hAnsi="Arial" w:cs="Arial"/>
                <w:color w:val="000000" w:themeColor="text1"/>
              </w:rPr>
            </w:pPr>
            <w:r w:rsidRPr="00D60922">
              <w:rPr>
                <w:rFonts w:ascii="Arial" w:hAnsi="Arial" w:cs="Arial"/>
                <w:color w:val="000000" w:themeColor="text1"/>
              </w:rPr>
              <w:t>~138/139</w:t>
            </w:r>
          </w:p>
        </w:tc>
        <w:tc>
          <w:tcPr>
            <w:tcW w:w="1436" w:type="dxa"/>
          </w:tcPr>
          <w:p w:rsidRPr="00D60922" w:rsidR="0062290C" w:rsidP="000137DA" w:rsidRDefault="0062290C" w14:paraId="4DCA8466" w14:textId="77777777">
            <w:pPr>
              <w:rPr>
                <w:rFonts w:ascii="Arial" w:hAnsi="Arial" w:cs="Arial"/>
                <w:color w:val="000000" w:themeColor="text1"/>
              </w:rPr>
            </w:pPr>
            <w:r w:rsidRPr="00D60922">
              <w:rPr>
                <w:rFonts w:ascii="Arial" w:hAnsi="Arial" w:cs="Arial"/>
                <w:color w:val="000000" w:themeColor="text1"/>
              </w:rPr>
              <w:t>~138/139</w:t>
            </w:r>
          </w:p>
        </w:tc>
        <w:tc>
          <w:tcPr>
            <w:tcW w:w="1366" w:type="dxa"/>
          </w:tcPr>
          <w:p w:rsidRPr="00D60922" w:rsidR="0062290C" w:rsidP="000137DA" w:rsidRDefault="0062290C" w14:paraId="6D460B34" w14:textId="77777777">
            <w:pPr>
              <w:rPr>
                <w:rFonts w:ascii="Arial" w:hAnsi="Arial" w:cs="Arial"/>
                <w:color w:val="000000" w:themeColor="text1"/>
              </w:rPr>
            </w:pPr>
            <w:r w:rsidRPr="00D60922">
              <w:rPr>
                <w:rFonts w:ascii="Arial" w:hAnsi="Arial" w:cs="Arial"/>
                <w:color w:val="000000" w:themeColor="text1"/>
              </w:rPr>
              <w:t>~138/139</w:t>
            </w:r>
          </w:p>
        </w:tc>
        <w:tc>
          <w:tcPr>
            <w:tcW w:w="1331" w:type="dxa"/>
          </w:tcPr>
          <w:p w:rsidRPr="00D60922" w:rsidR="0062290C" w:rsidP="000137DA" w:rsidRDefault="0062290C" w14:paraId="3328B50A" w14:textId="77777777">
            <w:pPr>
              <w:rPr>
                <w:rFonts w:ascii="Arial" w:hAnsi="Arial" w:cs="Arial"/>
                <w:color w:val="000000" w:themeColor="text1"/>
              </w:rPr>
            </w:pPr>
            <w:r w:rsidRPr="00D60922">
              <w:rPr>
                <w:rFonts w:ascii="Arial" w:hAnsi="Arial" w:cs="Arial"/>
                <w:color w:val="000000" w:themeColor="text1"/>
              </w:rPr>
              <w:t>~138/139</w:t>
            </w:r>
          </w:p>
        </w:tc>
      </w:tr>
      <w:tr w:rsidRPr="00D60922" w:rsidR="009F5604" w:rsidTr="00A62F9A" w14:paraId="4E859C66" w14:textId="77777777">
        <w:tc>
          <w:tcPr>
            <w:tcW w:w="1507" w:type="dxa"/>
            <w:vAlign w:val="center"/>
          </w:tcPr>
          <w:p w:rsidRPr="00D60922" w:rsidR="0062290C" w:rsidP="000137DA" w:rsidRDefault="0062290C" w14:paraId="52B2762F" w14:textId="77777777">
            <w:pPr>
              <w:jc w:val="center"/>
              <w:rPr>
                <w:rFonts w:ascii="Arial" w:hAnsi="Arial" w:cs="Arial"/>
                <w:b/>
                <w:bCs/>
                <w:color w:val="000000" w:themeColor="text1"/>
              </w:rPr>
            </w:pPr>
            <w:r w:rsidRPr="00D60922">
              <w:rPr>
                <w:rFonts w:ascii="Arial" w:hAnsi="Arial" w:cs="Arial"/>
                <w:b/>
                <w:bCs/>
                <w:color w:val="000000" w:themeColor="text1"/>
              </w:rPr>
              <w:t>Total</w:t>
            </w:r>
          </w:p>
        </w:tc>
        <w:tc>
          <w:tcPr>
            <w:tcW w:w="1013" w:type="dxa"/>
          </w:tcPr>
          <w:p w:rsidRPr="00D60922" w:rsidR="0062290C" w:rsidP="000137DA" w:rsidRDefault="0062290C" w14:paraId="236CB8E0" w14:textId="77777777">
            <w:pPr>
              <w:rPr>
                <w:rFonts w:ascii="Arial" w:hAnsi="Arial" w:cs="Arial"/>
                <w:b/>
                <w:bCs/>
                <w:color w:val="000000" w:themeColor="text1"/>
              </w:rPr>
            </w:pPr>
          </w:p>
        </w:tc>
        <w:tc>
          <w:tcPr>
            <w:tcW w:w="1331" w:type="dxa"/>
          </w:tcPr>
          <w:p w:rsidRPr="00D60922" w:rsidR="0062290C" w:rsidP="000137DA" w:rsidRDefault="0062290C" w14:paraId="1CFD2E03" w14:textId="77777777">
            <w:pPr>
              <w:rPr>
                <w:rFonts w:ascii="Arial" w:hAnsi="Arial" w:cs="Arial"/>
                <w:b/>
                <w:bCs/>
                <w:color w:val="000000" w:themeColor="text1"/>
              </w:rPr>
            </w:pPr>
            <w:r w:rsidRPr="00D60922">
              <w:rPr>
                <w:rFonts w:ascii="Arial" w:hAnsi="Arial" w:cs="Arial"/>
                <w:b/>
                <w:bCs/>
                <w:color w:val="000000" w:themeColor="text1"/>
              </w:rPr>
              <w:t>2,500</w:t>
            </w:r>
          </w:p>
        </w:tc>
        <w:tc>
          <w:tcPr>
            <w:tcW w:w="1366" w:type="dxa"/>
          </w:tcPr>
          <w:p w:rsidRPr="00D60922" w:rsidR="0062290C" w:rsidP="000137DA" w:rsidRDefault="0062290C" w14:paraId="37DAEB41" w14:textId="77777777">
            <w:pPr>
              <w:rPr>
                <w:rFonts w:ascii="Arial" w:hAnsi="Arial" w:cs="Arial"/>
                <w:b/>
                <w:bCs/>
                <w:color w:val="000000" w:themeColor="text1"/>
              </w:rPr>
            </w:pPr>
            <w:r w:rsidRPr="00D60922">
              <w:rPr>
                <w:rFonts w:ascii="Arial" w:hAnsi="Arial" w:cs="Arial"/>
                <w:b/>
                <w:bCs/>
                <w:color w:val="000000" w:themeColor="text1"/>
              </w:rPr>
              <w:t>2,500</w:t>
            </w:r>
          </w:p>
        </w:tc>
        <w:tc>
          <w:tcPr>
            <w:tcW w:w="1436" w:type="dxa"/>
          </w:tcPr>
          <w:p w:rsidRPr="00D60922" w:rsidR="0062290C" w:rsidP="000137DA" w:rsidRDefault="0062290C" w14:paraId="647FDEFF" w14:textId="77777777">
            <w:pPr>
              <w:rPr>
                <w:rFonts w:ascii="Arial" w:hAnsi="Arial" w:cs="Arial"/>
                <w:b/>
                <w:bCs/>
                <w:color w:val="000000" w:themeColor="text1"/>
              </w:rPr>
            </w:pPr>
            <w:r w:rsidRPr="00D60922">
              <w:rPr>
                <w:rFonts w:ascii="Arial" w:hAnsi="Arial" w:cs="Arial"/>
                <w:b/>
                <w:bCs/>
                <w:color w:val="000000" w:themeColor="text1"/>
              </w:rPr>
              <w:t>2,500</w:t>
            </w:r>
          </w:p>
        </w:tc>
        <w:tc>
          <w:tcPr>
            <w:tcW w:w="1366" w:type="dxa"/>
          </w:tcPr>
          <w:p w:rsidRPr="00D60922" w:rsidR="0062290C" w:rsidP="000137DA" w:rsidRDefault="0062290C" w14:paraId="189ADA4B" w14:textId="77777777">
            <w:pPr>
              <w:rPr>
                <w:rFonts w:ascii="Arial" w:hAnsi="Arial" w:cs="Arial"/>
                <w:b/>
                <w:bCs/>
                <w:color w:val="000000" w:themeColor="text1"/>
              </w:rPr>
            </w:pPr>
            <w:r w:rsidRPr="00D60922">
              <w:rPr>
                <w:rFonts w:ascii="Arial" w:hAnsi="Arial" w:cs="Arial"/>
                <w:b/>
                <w:bCs/>
                <w:color w:val="000000" w:themeColor="text1"/>
              </w:rPr>
              <w:t>2,500</w:t>
            </w:r>
          </w:p>
        </w:tc>
        <w:tc>
          <w:tcPr>
            <w:tcW w:w="1331" w:type="dxa"/>
          </w:tcPr>
          <w:p w:rsidRPr="00D60922" w:rsidR="0062290C" w:rsidP="000137DA" w:rsidRDefault="0062290C" w14:paraId="07B53A2E" w14:textId="77777777">
            <w:pPr>
              <w:rPr>
                <w:rFonts w:ascii="Arial" w:hAnsi="Arial" w:cs="Arial"/>
                <w:b/>
                <w:bCs/>
                <w:color w:val="000000" w:themeColor="text1"/>
              </w:rPr>
            </w:pPr>
            <w:r w:rsidRPr="00D60922">
              <w:rPr>
                <w:rFonts w:ascii="Arial" w:hAnsi="Arial" w:cs="Arial"/>
                <w:b/>
                <w:bCs/>
                <w:color w:val="000000" w:themeColor="text1"/>
              </w:rPr>
              <w:t>2,500</w:t>
            </w:r>
          </w:p>
        </w:tc>
      </w:tr>
    </w:tbl>
    <w:p w:rsidR="001769A1" w:rsidP="001769A1" w:rsidRDefault="001769A1" w14:paraId="1EF46C0F" w14:textId="77777777">
      <w:pPr>
        <w:ind w:left="1080"/>
        <w:rPr>
          <w:rFonts w:ascii="Times New Roman" w:hAnsi="Times New Roman" w:cs="Times New Roman"/>
        </w:rPr>
      </w:pPr>
    </w:p>
    <w:p w:rsidR="00070EBF" w:rsidP="001769A1" w:rsidRDefault="00070EBF" w14:paraId="42525CD2" w14:textId="77777777">
      <w:pPr>
        <w:ind w:left="1080"/>
        <w:rPr>
          <w:rFonts w:ascii="Times New Roman" w:hAnsi="Times New Roman" w:cs="Times New Roman"/>
        </w:rPr>
      </w:pPr>
    </w:p>
    <w:p w:rsidRPr="00C262E0" w:rsidR="00B07BEE" w:rsidP="00B774BB" w:rsidRDefault="001769A1" w14:paraId="2A1FCAAF" w14:textId="2AE4B6CE">
      <w:pPr>
        <w:ind w:left="1080"/>
        <w:contextualSpacing/>
        <w:rPr>
          <w:rFonts w:ascii="Arial" w:hAnsi="Arial" w:cs="Arial"/>
          <w:color w:val="000000" w:themeColor="text1"/>
        </w:rPr>
      </w:pPr>
      <w:r>
        <w:rPr>
          <w:rFonts w:ascii="Times New Roman" w:hAnsi="Times New Roman" w:cs="Times New Roman"/>
        </w:rPr>
        <w:t>W</w:t>
      </w:r>
      <w:r w:rsidRPr="009A73BF">
        <w:rPr>
          <w:rFonts w:ascii="Times New Roman" w:hAnsi="Times New Roman" w:cs="Times New Roman"/>
        </w:rPr>
        <w:t xml:space="preserve">e have investigated the power for the assumed sample sizes for a range of effect sizes. These power analyses suggest that we have sufficient power to detect differences in outcomes for comparisons across the main categories of this study (for example, </w:t>
      </w:r>
      <w:r w:rsidR="00B774BB">
        <w:rPr>
          <w:rFonts w:ascii="Times New Roman" w:hAnsi="Times New Roman" w:cs="Times New Roman"/>
        </w:rPr>
        <w:t xml:space="preserve">the difference between </w:t>
      </w:r>
      <w:r w:rsidR="007B1CB5">
        <w:rPr>
          <w:rFonts w:ascii="Times New Roman" w:hAnsi="Times New Roman" w:cs="Times New Roman"/>
        </w:rPr>
        <w:t xml:space="preserve">Ad Type </w:t>
      </w:r>
      <w:r w:rsidR="00B774BB">
        <w:rPr>
          <w:rFonts w:ascii="Times New Roman" w:hAnsi="Times New Roman" w:cs="Times New Roman"/>
        </w:rPr>
        <w:t xml:space="preserve">2 and </w:t>
      </w:r>
      <w:r w:rsidR="007B1CB5">
        <w:rPr>
          <w:rFonts w:ascii="Times New Roman" w:hAnsi="Times New Roman" w:cs="Times New Roman"/>
        </w:rPr>
        <w:t xml:space="preserve">Ad Type </w:t>
      </w:r>
      <w:r w:rsidRPr="00B774BB" w:rsidR="00B774BB">
        <w:rPr>
          <w:rFonts w:ascii="Times New Roman" w:hAnsi="Times New Roman" w:cs="Times New Roman"/>
        </w:rPr>
        <w:t>1</w:t>
      </w:r>
      <w:r w:rsidRPr="00B774BB">
        <w:rPr>
          <w:rFonts w:ascii="Times New Roman" w:hAnsi="Times New Roman" w:cs="Times New Roman"/>
        </w:rPr>
        <w:t xml:space="preserve">). </w:t>
      </w:r>
      <w:r w:rsidRPr="00B774BB" w:rsidR="00B07BEE">
        <w:rPr>
          <w:rFonts w:ascii="Times New Roman" w:hAnsi="Times New Roman" w:cs="Times New Roman"/>
          <w:color w:val="000000" w:themeColor="text1"/>
        </w:rPr>
        <w:t xml:space="preserve">Alpha was set at 0.05 and desired power was set to 0.80. We estimated power for planned comparisons between two conditions using a corrected alpha of 0.0083 (Bonferroni correction for six hypothesis tests) and Stata’s ‘power two means’ command. These analyses indicate that a mean difference equal to 0.115 and sample size of 2500 per group will </w:t>
      </w:r>
      <w:r w:rsidRPr="00B774BB" w:rsidR="00B07BEE">
        <w:rPr>
          <w:rFonts w:ascii="Times New Roman" w:hAnsi="Times New Roman" w:cs="Times New Roman"/>
          <w:color w:val="000000" w:themeColor="text1"/>
        </w:rPr>
        <w:lastRenderedPageBreak/>
        <w:t>achieve a power 80%. For a larger mean difference of 0.2 (e.g., Mean</w:t>
      </w:r>
      <w:r w:rsidRPr="00B774BB" w:rsidR="00B07BEE">
        <w:rPr>
          <w:rFonts w:ascii="Times New Roman" w:hAnsi="Times New Roman" w:cs="Times New Roman"/>
          <w:color w:val="000000" w:themeColor="text1"/>
          <w:vertAlign w:val="subscript"/>
        </w:rPr>
        <w:t>1</w:t>
      </w:r>
      <w:r w:rsidRPr="00B774BB" w:rsidR="00B07BEE">
        <w:rPr>
          <w:rFonts w:ascii="Times New Roman" w:hAnsi="Times New Roman" w:cs="Times New Roman"/>
          <w:color w:val="000000" w:themeColor="text1"/>
        </w:rPr>
        <w:t>=1.5 and Mean</w:t>
      </w:r>
      <w:r w:rsidRPr="00B774BB" w:rsidR="00B07BEE">
        <w:rPr>
          <w:rFonts w:ascii="Times New Roman" w:hAnsi="Times New Roman" w:cs="Times New Roman"/>
          <w:color w:val="000000" w:themeColor="text1"/>
          <w:vertAlign w:val="subscript"/>
        </w:rPr>
        <w:t>2</w:t>
      </w:r>
      <w:r w:rsidRPr="00B774BB" w:rsidR="00B07BEE">
        <w:rPr>
          <w:rFonts w:ascii="Times New Roman" w:hAnsi="Times New Roman" w:cs="Times New Roman"/>
          <w:color w:val="000000" w:themeColor="text1"/>
        </w:rPr>
        <w:t xml:space="preserve">=1.7), the power is 95.2%. </w:t>
      </w:r>
      <w:r w:rsidRPr="00B774BB" w:rsidR="00F717E4">
        <w:rPr>
          <w:rFonts w:ascii="Times New Roman" w:hAnsi="Times New Roman" w:cs="Times New Roman"/>
          <w:color w:val="000000" w:themeColor="text1"/>
        </w:rPr>
        <w:t xml:space="preserve">However, for the </w:t>
      </w:r>
      <w:r w:rsidRPr="00B774BB" w:rsidR="000C4678">
        <w:rPr>
          <w:rFonts w:ascii="Times New Roman" w:hAnsi="Times New Roman" w:cs="Times New Roman"/>
          <w:color w:val="000000" w:themeColor="text1"/>
        </w:rPr>
        <w:t xml:space="preserve">main comparison between </w:t>
      </w:r>
      <w:r w:rsidR="000B662F">
        <w:rPr>
          <w:rFonts w:ascii="Times New Roman" w:hAnsi="Times New Roman" w:cs="Times New Roman"/>
          <w:color w:val="000000" w:themeColor="text1"/>
        </w:rPr>
        <w:t>Ad Types</w:t>
      </w:r>
      <w:r w:rsidRPr="00B774BB" w:rsidR="000C4678">
        <w:rPr>
          <w:rFonts w:ascii="Times New Roman" w:hAnsi="Times New Roman" w:cs="Times New Roman"/>
          <w:color w:val="000000" w:themeColor="text1"/>
        </w:rPr>
        <w:t xml:space="preserve">, we would still have adequate power to detect a </w:t>
      </w:r>
      <w:r w:rsidRPr="00B774BB" w:rsidR="00AE1F5E">
        <w:rPr>
          <w:rFonts w:ascii="Times New Roman" w:hAnsi="Times New Roman" w:cs="Times New Roman"/>
          <w:color w:val="000000" w:themeColor="text1"/>
        </w:rPr>
        <w:t xml:space="preserve">relatively small mean difference. </w:t>
      </w:r>
      <w:r w:rsidRPr="00B774BB" w:rsidR="00B07BEE">
        <w:rPr>
          <w:rFonts w:ascii="Times New Roman" w:hAnsi="Times New Roman" w:cs="Times New Roman"/>
          <w:color w:val="000000" w:themeColor="text1"/>
        </w:rPr>
        <w:t>Supplemental analyses for pairwise comparisons to compare ads within each brand are powered at 80% to detect a mean difference of 0.5.</w:t>
      </w:r>
    </w:p>
    <w:p w:rsidR="001769A1" w:rsidP="00B774BB" w:rsidRDefault="001769A1" w14:paraId="00D541BE" w14:textId="77777777">
      <w:pPr>
        <w:rPr>
          <w:rFonts w:ascii="Times New Roman" w:hAnsi="Times New Roman" w:cs="Times New Roman"/>
          <w:color w:val="000000" w:themeColor="text1"/>
        </w:rPr>
      </w:pPr>
    </w:p>
    <w:p w:rsidR="001769A1" w:rsidP="001769A1" w:rsidRDefault="001769A1" w14:paraId="1047CC6D" w14:textId="3ECDCDD7">
      <w:pPr>
        <w:ind w:left="1080"/>
        <w:rPr>
          <w:rFonts w:ascii="Times New Roman" w:hAnsi="Times New Roman" w:cs="Times New Roman"/>
        </w:rPr>
      </w:pPr>
      <w:r>
        <w:rPr>
          <w:rFonts w:ascii="Times New Roman" w:hAnsi="Times New Roman" w:cs="Times New Roman"/>
        </w:rPr>
        <w:t>As with any study conducted using opt-in online panels, this study may be subject to several threats to external validity that limit the generalizability of study results. Panelists are recruited into the online panel using convenience sampling methods and thus do not have a known probability of selection into the panel. </w:t>
      </w:r>
      <w:r w:rsidRPr="00B216FD">
        <w:rPr>
          <w:rFonts w:ascii="Times New Roman" w:hAnsi="Times New Roman" w:cs="Times New Roman"/>
        </w:rPr>
        <w:t>When inviting panelists to participate in the study, the vendor (</w:t>
      </w:r>
      <w:r w:rsidRPr="00B216FD" w:rsidR="008666F2">
        <w:rPr>
          <w:rFonts w:ascii="Times New Roman" w:hAnsi="Times New Roman" w:cs="Times New Roman"/>
        </w:rPr>
        <w:t>SSRS</w:t>
      </w:r>
      <w:r w:rsidRPr="00B216FD" w:rsidR="00B216FD">
        <w:rPr>
          <w:rFonts w:ascii="Times New Roman" w:hAnsi="Times New Roman" w:cs="Times New Roman"/>
        </w:rPr>
        <w:t>)</w:t>
      </w:r>
      <w:r w:rsidRPr="00B216FD">
        <w:rPr>
          <w:rFonts w:ascii="Times New Roman" w:hAnsi="Times New Roman" w:cs="Times New Roman"/>
        </w:rPr>
        <w:t xml:space="preserve"> will seek diversity in age, education, and race/ethnicity to ensure a reasonable degree of inclusiveness on key demographic characteristics.</w:t>
      </w:r>
      <w:r w:rsidR="008666F2">
        <w:rPr>
          <w:rFonts w:ascii="Times New Roman" w:hAnsi="Times New Roman" w:cs="Times New Roman"/>
        </w:rPr>
        <w:t xml:space="preserve"> JHU</w:t>
      </w:r>
      <w:r>
        <w:rPr>
          <w:rFonts w:ascii="Times New Roman" w:hAnsi="Times New Roman" w:cs="Times New Roman"/>
        </w:rPr>
        <w:t xml:space="preserve"> will not generate nationally representative results of the targeted sub-population in this study. Note that generating a representative sample for this study would be costly and is not required for the study’s aims. The study will use convenience samples rather than probability samples, and despite the diversity in the sample, the sample in the study is nevertheless still a convenience sample and not representative of national estimates or necessarily of the underlying study panel used. These limitations in generalizability do not affect the internal validity of the study. Such limitations will be noted in the context of describing the results of the study</w:t>
      </w:r>
      <w:r>
        <w:t>.</w:t>
      </w:r>
      <w:r>
        <w:rPr>
          <w:rFonts w:ascii="Times New Roman" w:hAnsi="Times New Roman" w:cs="Times New Roman"/>
        </w:rPr>
        <w:t xml:space="preserve"> </w:t>
      </w:r>
    </w:p>
    <w:p w:rsidRPr="009A73BF" w:rsidR="001769A1" w:rsidP="001769A1" w:rsidRDefault="001769A1" w14:paraId="2D7A2021" w14:textId="77777777">
      <w:pPr>
        <w:rPr>
          <w:rFonts w:ascii="Times New Roman" w:hAnsi="Times New Roman" w:cs="Times New Roman"/>
          <w:color w:val="000000" w:themeColor="text1"/>
        </w:rPr>
      </w:pPr>
    </w:p>
    <w:bookmarkEnd w:id="1"/>
    <w:p w:rsidRPr="009A73BF" w:rsidR="001769A1" w:rsidP="001769A1" w:rsidRDefault="001769A1" w14:paraId="412F6F9D" w14:textId="77777777">
      <w:pPr>
        <w:pStyle w:val="ListParagraph"/>
        <w:numPr>
          <w:ilvl w:val="0"/>
          <w:numId w:val="1"/>
        </w:numPr>
        <w:ind w:left="1080" w:hanging="450"/>
        <w:rPr>
          <w:rFonts w:ascii="Times New Roman" w:hAnsi="Times New Roman" w:cs="Times New Roman"/>
          <w:color w:val="000000" w:themeColor="text1"/>
          <w:u w:val="single"/>
        </w:rPr>
      </w:pPr>
      <w:r w:rsidRPr="009A73BF">
        <w:rPr>
          <w:rFonts w:ascii="Times New Roman" w:hAnsi="Times New Roman" w:cs="Times New Roman"/>
          <w:color w:val="000000" w:themeColor="text1"/>
          <w:u w:val="single"/>
        </w:rPr>
        <w:t>Procedures for the Collection of Information</w:t>
      </w:r>
    </w:p>
    <w:p w:rsidRPr="009A73BF" w:rsidR="001769A1" w:rsidP="001769A1" w:rsidRDefault="001769A1" w14:paraId="53D99F28" w14:textId="77777777">
      <w:pPr>
        <w:ind w:left="1080"/>
        <w:rPr>
          <w:rFonts w:ascii="Times New Roman" w:hAnsi="Times New Roman" w:cs="Times New Roman"/>
          <w:color w:val="000000" w:themeColor="text1"/>
        </w:rPr>
      </w:pPr>
    </w:p>
    <w:p w:rsidRPr="009A73BF" w:rsidR="001769A1" w:rsidP="001769A1" w:rsidRDefault="001769A1" w14:paraId="5EBB9DD7" w14:textId="77777777">
      <w:pPr>
        <w:pStyle w:val="ListParagraph"/>
        <w:ind w:left="1080"/>
        <w:rPr>
          <w:rFonts w:ascii="Times New Roman" w:hAnsi="Times New Roman" w:cs="Times New Roman"/>
          <w:i/>
          <w:color w:val="000000" w:themeColor="text1"/>
        </w:rPr>
      </w:pPr>
      <w:r w:rsidRPr="009A73BF">
        <w:rPr>
          <w:rFonts w:ascii="Times New Roman" w:hAnsi="Times New Roman" w:cs="Times New Roman"/>
          <w:i/>
          <w:color w:val="000000" w:themeColor="text1"/>
        </w:rPr>
        <w:t>Recruitment, Screening and Consent</w:t>
      </w:r>
    </w:p>
    <w:p w:rsidRPr="009A73BF" w:rsidR="001769A1" w:rsidP="001769A1" w:rsidRDefault="001769A1" w14:paraId="5EA338EA" w14:textId="393D61E1">
      <w:pPr>
        <w:ind w:left="1080"/>
        <w:rPr>
          <w:rFonts w:ascii="Times New Roman" w:hAnsi="Times New Roman" w:cs="Times New Roman"/>
        </w:rPr>
      </w:pPr>
      <w:r w:rsidRPr="009A73BF">
        <w:rPr>
          <w:rFonts w:ascii="Times New Roman" w:hAnsi="Times New Roman" w:cs="Times New Roman"/>
          <w:color w:val="000000" w:themeColor="text1"/>
        </w:rPr>
        <w:t xml:space="preserve">Sampling, recruitment, and data collection will be conducted by </w:t>
      </w:r>
      <w:r w:rsidR="008666F2">
        <w:rPr>
          <w:rFonts w:ascii="Times New Roman" w:hAnsi="Times New Roman" w:cs="Times New Roman"/>
          <w:color w:val="000000" w:themeColor="text1"/>
        </w:rPr>
        <w:t>SSRS</w:t>
      </w:r>
      <w:r w:rsidRPr="009A73BF">
        <w:rPr>
          <w:rFonts w:ascii="Times New Roman" w:hAnsi="Times New Roman" w:cs="Times New Roman"/>
          <w:color w:val="000000" w:themeColor="text1"/>
        </w:rPr>
        <w:t xml:space="preserve">. </w:t>
      </w:r>
      <w:r w:rsidRPr="009E6322" w:rsidR="008666F2">
        <w:rPr>
          <w:rFonts w:ascii="Times New Roman" w:hAnsi="Times New Roman" w:cs="Times New Roman"/>
          <w:color w:val="000000" w:themeColor="text1"/>
        </w:rPr>
        <w:t xml:space="preserve">SSRS </w:t>
      </w:r>
      <w:r w:rsidRPr="009E6322">
        <w:rPr>
          <w:rFonts w:ascii="Times New Roman" w:hAnsi="Times New Roman" w:cs="Times New Roman"/>
          <w:color w:val="000000" w:themeColor="text1"/>
        </w:rPr>
        <w:t xml:space="preserve">will recruit study participants </w:t>
      </w:r>
      <w:r w:rsidRPr="009E6322">
        <w:rPr>
          <w:rFonts w:ascii="Times New Roman" w:hAnsi="Times New Roman" w:cs="Times New Roman"/>
        </w:rPr>
        <w:t>through an invitation</w:t>
      </w:r>
      <w:r w:rsidRPr="009E6322" w:rsidR="009E6322">
        <w:rPr>
          <w:rFonts w:ascii="Times New Roman" w:hAnsi="Times New Roman" w:cs="Times New Roman"/>
        </w:rPr>
        <w:t xml:space="preserve"> sent to panelists</w:t>
      </w:r>
      <w:r w:rsidRPr="009A73BF">
        <w:rPr>
          <w:rFonts w:ascii="Times New Roman" w:hAnsi="Times New Roman" w:cs="Times New Roman"/>
        </w:rPr>
        <w:t xml:space="preserve">. The text of this invitation is shown in </w:t>
      </w:r>
      <w:r w:rsidR="005A0934">
        <w:rPr>
          <w:rFonts w:ascii="Times New Roman" w:hAnsi="Times New Roman" w:cs="Times New Roman"/>
          <w:b/>
        </w:rPr>
        <w:t xml:space="preserve">Attachment </w:t>
      </w:r>
      <w:r w:rsidR="006F40CD">
        <w:rPr>
          <w:rFonts w:ascii="Times New Roman" w:hAnsi="Times New Roman" w:cs="Times New Roman"/>
          <w:b/>
        </w:rPr>
        <w:t>2</w:t>
      </w:r>
      <w:r w:rsidRPr="009A73BF">
        <w:rPr>
          <w:rFonts w:ascii="Times New Roman" w:hAnsi="Times New Roman" w:cs="Times New Roman"/>
        </w:rPr>
        <w:t>. Panel members will take the survey in their own homes or other locations that they choose.</w:t>
      </w:r>
      <w:r w:rsidR="00FB1EDD">
        <w:rPr>
          <w:rFonts w:ascii="Times New Roman" w:hAnsi="Times New Roman" w:cs="Times New Roman"/>
        </w:rPr>
        <w:t xml:space="preserve"> </w:t>
      </w:r>
      <w:r w:rsidRPr="0099085F" w:rsidR="00FB1EDD">
        <w:rPr>
          <w:rFonts w:ascii="Times New Roman" w:hAnsi="Times New Roman" w:cs="Times New Roman"/>
        </w:rPr>
        <w:t>In the invitation, respondents are presented with a blind link to the survey and presented with the estimated length of survey and the proposed point reward. This helps to ensure screening questions are not given away with an initial description.</w:t>
      </w:r>
      <w:r w:rsidRPr="009A73BF">
        <w:rPr>
          <w:rFonts w:ascii="Times New Roman" w:hAnsi="Times New Roman" w:cs="Times New Roman"/>
        </w:rPr>
        <w:t xml:space="preserve"> </w:t>
      </w:r>
    </w:p>
    <w:p w:rsidRPr="009A73BF" w:rsidR="001769A1" w:rsidP="001769A1" w:rsidRDefault="001769A1" w14:paraId="36CB53DB" w14:textId="77777777">
      <w:pPr>
        <w:ind w:left="1080"/>
        <w:rPr>
          <w:rFonts w:ascii="Times New Roman" w:hAnsi="Times New Roman" w:cs="Times New Roman"/>
          <w:highlight w:val="yellow"/>
        </w:rPr>
      </w:pPr>
    </w:p>
    <w:p w:rsidR="00FB1EDD" w:rsidP="00FB1EDD" w:rsidRDefault="001769A1" w14:paraId="34E39174" w14:textId="765A20AF">
      <w:pPr>
        <w:ind w:left="1080"/>
        <w:rPr>
          <w:rFonts w:ascii="Times New Roman" w:hAnsi="Times New Roman" w:cs="Times New Roman"/>
        </w:rPr>
      </w:pPr>
      <w:r w:rsidRPr="009A73BF">
        <w:rPr>
          <w:rFonts w:ascii="Times New Roman" w:hAnsi="Times New Roman" w:cs="Times New Roman"/>
        </w:rPr>
        <w:t>Invitations will be targeted towards panelists who, according to the database, have characteristics that match our study criteria (e.g.,</w:t>
      </w:r>
      <w:r w:rsidR="000B662F">
        <w:rPr>
          <w:rFonts w:ascii="Times New Roman" w:hAnsi="Times New Roman" w:cs="Times New Roman"/>
        </w:rPr>
        <w:t xml:space="preserve"> </w:t>
      </w:r>
      <w:r w:rsidR="006C62BA">
        <w:rPr>
          <w:rFonts w:ascii="Times New Roman" w:hAnsi="Times New Roman" w:cs="Times New Roman"/>
        </w:rPr>
        <w:t>by age</w:t>
      </w:r>
      <w:r w:rsidRPr="009A73BF">
        <w:rPr>
          <w:rFonts w:ascii="Times New Roman" w:hAnsi="Times New Roman" w:cs="Times New Roman"/>
        </w:rPr>
        <w:t xml:space="preserve">). </w:t>
      </w:r>
      <w:r w:rsidRPr="00C97C0A">
        <w:rPr>
          <w:rFonts w:ascii="Times New Roman" w:hAnsi="Times New Roman" w:cs="Times New Roman"/>
        </w:rPr>
        <w:t>Adult panelists may be contacted in several ways: Survey invitations are distributed via email</w:t>
      </w:r>
      <w:r w:rsidRPr="00C97C0A" w:rsidR="00C97C0A">
        <w:rPr>
          <w:rFonts w:ascii="Times New Roman" w:hAnsi="Times New Roman" w:cs="Times New Roman"/>
        </w:rPr>
        <w:t>, text message, an app and</w:t>
      </w:r>
      <w:r w:rsidRPr="00C97C0A">
        <w:rPr>
          <w:rFonts w:ascii="Times New Roman" w:hAnsi="Times New Roman" w:cs="Times New Roman"/>
        </w:rPr>
        <w:t xml:space="preserve"> also presented in each panelist’s porta</w:t>
      </w:r>
      <w:r w:rsidRPr="00C97C0A" w:rsidR="00C97C0A">
        <w:rPr>
          <w:rFonts w:ascii="Times New Roman" w:hAnsi="Times New Roman" w:cs="Times New Roman"/>
        </w:rPr>
        <w:t>l.</w:t>
      </w:r>
      <w:r w:rsidR="00FB1EDD">
        <w:rPr>
          <w:rFonts w:ascii="Times New Roman" w:hAnsi="Times New Roman" w:cs="Times New Roman"/>
        </w:rPr>
        <w:t xml:space="preserve"> Youth will be recruited through two methods. First, youth who are current panel members will be invited. Youth panelists became members through their parents—adult panelists can allow their children to become panel members. Second, youth will be recruited through their parent panelists (i.e., parents who are currently members of the existing online panel). The invitation</w:t>
      </w:r>
      <w:r w:rsidRPr="00660FBB" w:rsidR="00FB1EDD">
        <w:rPr>
          <w:rFonts w:ascii="Times New Roman" w:hAnsi="Times New Roman" w:cs="Times New Roman"/>
        </w:rPr>
        <w:t xml:space="preserve"> </w:t>
      </w:r>
      <w:r w:rsidR="00FB1EDD">
        <w:rPr>
          <w:rFonts w:ascii="Times New Roman" w:hAnsi="Times New Roman" w:cs="Times New Roman"/>
        </w:rPr>
        <w:t xml:space="preserve">will be sent to </w:t>
      </w:r>
      <w:r w:rsidRPr="00660FBB" w:rsidR="00FB1EDD">
        <w:rPr>
          <w:rFonts w:ascii="Times New Roman" w:hAnsi="Times New Roman" w:cs="Times New Roman"/>
        </w:rPr>
        <w:t>parent panelists inviting them to have their child age</w:t>
      </w:r>
      <w:r w:rsidR="00FB1EDD">
        <w:rPr>
          <w:rFonts w:ascii="Times New Roman" w:hAnsi="Times New Roman" w:cs="Times New Roman"/>
        </w:rPr>
        <w:t>d</w:t>
      </w:r>
      <w:r w:rsidRPr="00660FBB" w:rsidR="00FB1EDD">
        <w:rPr>
          <w:rFonts w:ascii="Times New Roman" w:hAnsi="Times New Roman" w:cs="Times New Roman"/>
        </w:rPr>
        <w:t xml:space="preserve"> 13-17 participate in the study. Parents who are interested in having their child participate can then have their child click on the link in the </w:t>
      </w:r>
      <w:r w:rsidR="00FB1EDD">
        <w:rPr>
          <w:rFonts w:ascii="Times New Roman" w:hAnsi="Times New Roman" w:cs="Times New Roman"/>
        </w:rPr>
        <w:t>invitation</w:t>
      </w:r>
      <w:r w:rsidRPr="00660FBB" w:rsidR="00FB1EDD">
        <w:rPr>
          <w:rFonts w:ascii="Times New Roman" w:hAnsi="Times New Roman" w:cs="Times New Roman"/>
        </w:rPr>
        <w:t>.</w:t>
      </w:r>
      <w:r w:rsidR="00FB1EDD">
        <w:rPr>
          <w:rFonts w:ascii="Times New Roman" w:hAnsi="Times New Roman" w:cs="Times New Roman"/>
        </w:rPr>
        <w:t xml:space="preserve"> </w:t>
      </w:r>
    </w:p>
    <w:p w:rsidR="00FB1EDD" w:rsidP="001769A1" w:rsidRDefault="001769A1" w14:paraId="00FCC0B5" w14:textId="194FD174">
      <w:pPr>
        <w:ind w:left="1080"/>
        <w:rPr>
          <w:rFonts w:ascii="Times New Roman" w:hAnsi="Times New Roman" w:cs="Times New Roman"/>
        </w:rPr>
      </w:pPr>
      <w:r w:rsidRPr="00C97C0A">
        <w:rPr>
          <w:rFonts w:ascii="Times New Roman" w:hAnsi="Times New Roman" w:cs="Times New Roman"/>
        </w:rPr>
        <w:t xml:space="preserve"> </w:t>
      </w:r>
    </w:p>
    <w:p w:rsidR="00E4631B" w:rsidP="001769A1" w:rsidRDefault="00E4631B" w14:paraId="72678601" w14:textId="77777777">
      <w:pPr>
        <w:ind w:left="1080"/>
        <w:rPr>
          <w:rFonts w:ascii="Times New Roman" w:hAnsi="Times New Roman" w:cs="Times New Roman"/>
        </w:rPr>
      </w:pPr>
    </w:p>
    <w:p w:rsidR="00E4631B" w:rsidP="001769A1" w:rsidRDefault="00E4631B" w14:paraId="1DE8EEAB" w14:textId="77777777">
      <w:pPr>
        <w:ind w:left="1080"/>
        <w:rPr>
          <w:rFonts w:ascii="Times New Roman" w:hAnsi="Times New Roman" w:cs="Times New Roman"/>
        </w:rPr>
      </w:pPr>
    </w:p>
    <w:p w:rsidR="00E4631B" w:rsidP="001769A1" w:rsidRDefault="00E4631B" w14:paraId="3161BD12" w14:textId="77777777">
      <w:pPr>
        <w:ind w:left="1080"/>
        <w:rPr>
          <w:rFonts w:ascii="Times New Roman" w:hAnsi="Times New Roman" w:cs="Times New Roman"/>
        </w:rPr>
      </w:pPr>
    </w:p>
    <w:p w:rsidR="001769A1" w:rsidP="001769A1" w:rsidRDefault="001769A1" w14:paraId="315CD326" w14:textId="0C18E04E">
      <w:pPr>
        <w:ind w:left="1080"/>
        <w:rPr>
          <w:rFonts w:ascii="Times New Roman" w:hAnsi="Times New Roman" w:cs="Times New Roman"/>
        </w:rPr>
      </w:pPr>
      <w:r w:rsidRPr="0099085F">
        <w:rPr>
          <w:rFonts w:ascii="Times New Roman" w:hAnsi="Times New Roman" w:cs="Times New Roman"/>
        </w:rPr>
        <w:t xml:space="preserve">After clicking the online survey link, participants will encounter the </w:t>
      </w:r>
      <w:r w:rsidR="00166FF7">
        <w:rPr>
          <w:rFonts w:ascii="Times New Roman" w:hAnsi="Times New Roman" w:cs="Times New Roman"/>
        </w:rPr>
        <w:t xml:space="preserve">assent or </w:t>
      </w:r>
      <w:r w:rsidRPr="0099085F">
        <w:rPr>
          <w:rFonts w:ascii="Times New Roman" w:hAnsi="Times New Roman" w:cs="Times New Roman"/>
        </w:rPr>
        <w:t xml:space="preserve">consent form. If they </w:t>
      </w:r>
      <w:r w:rsidR="00166FF7">
        <w:rPr>
          <w:rFonts w:ascii="Times New Roman" w:hAnsi="Times New Roman" w:cs="Times New Roman"/>
        </w:rPr>
        <w:t>assent/</w:t>
      </w:r>
      <w:r w:rsidRPr="0099085F">
        <w:rPr>
          <w:rFonts w:ascii="Times New Roman" w:hAnsi="Times New Roman" w:cs="Times New Roman"/>
        </w:rPr>
        <w:t xml:space="preserve">consent – by clicking a box indicating that they have read the provided material and agree to participate – they will then complete the study screener. </w:t>
      </w:r>
      <w:r w:rsidR="00FB1EDD">
        <w:rPr>
          <w:rFonts w:ascii="Times New Roman" w:hAnsi="Times New Roman" w:cs="Times New Roman"/>
        </w:rPr>
        <w:t>Participants</w:t>
      </w:r>
      <w:r w:rsidRPr="0099085F" w:rsidR="00FB1EDD">
        <w:rPr>
          <w:rFonts w:ascii="Times New Roman" w:hAnsi="Times New Roman" w:cs="Times New Roman"/>
        </w:rPr>
        <w:t xml:space="preserve"> </w:t>
      </w:r>
      <w:r w:rsidRPr="0099085F">
        <w:rPr>
          <w:rFonts w:ascii="Times New Roman" w:hAnsi="Times New Roman" w:cs="Times New Roman"/>
        </w:rPr>
        <w:t>who screen into the survey will view one of the experimental images (see Exhibit 2 above</w:t>
      </w:r>
      <w:r w:rsidRPr="0099085F" w:rsidR="0099085F">
        <w:rPr>
          <w:rFonts w:ascii="Times New Roman" w:hAnsi="Times New Roman" w:cs="Times New Roman"/>
        </w:rPr>
        <w:t>, and Appendix 1</w:t>
      </w:r>
      <w:r w:rsidRPr="0099085F">
        <w:rPr>
          <w:rFonts w:ascii="Times New Roman" w:hAnsi="Times New Roman" w:cs="Times New Roman"/>
        </w:rPr>
        <w:t>) and complete the remaining survey items.</w:t>
      </w:r>
    </w:p>
    <w:p w:rsidRPr="006C59F1" w:rsidR="001769A1" w:rsidP="001769A1" w:rsidRDefault="001769A1" w14:paraId="511D236F" w14:textId="77777777">
      <w:pPr>
        <w:ind w:left="1080"/>
        <w:rPr>
          <w:rFonts w:ascii="Times New Roman" w:hAnsi="Times New Roman" w:cs="Times New Roman"/>
        </w:rPr>
      </w:pPr>
    </w:p>
    <w:p w:rsidRPr="006D3A9F" w:rsidR="001769A1" w:rsidP="001769A1" w:rsidRDefault="001769A1" w14:paraId="65E52FDD" w14:textId="77777777">
      <w:pPr>
        <w:pStyle w:val="ListParagraph"/>
        <w:numPr>
          <w:ilvl w:val="0"/>
          <w:numId w:val="1"/>
        </w:numPr>
        <w:ind w:left="1080" w:hanging="450"/>
        <w:rPr>
          <w:rFonts w:ascii="Times New Roman" w:hAnsi="Times New Roman" w:cs="Times New Roman"/>
          <w:color w:val="000000" w:themeColor="text1"/>
          <w:u w:val="single"/>
        </w:rPr>
      </w:pPr>
      <w:r w:rsidRPr="006D3A9F">
        <w:rPr>
          <w:rFonts w:ascii="Times New Roman" w:hAnsi="Times New Roman" w:cs="Times New Roman"/>
          <w:color w:val="000000" w:themeColor="text1"/>
          <w:u w:val="single"/>
        </w:rPr>
        <w:t>Methods to Maximize Response Rates</w:t>
      </w:r>
    </w:p>
    <w:p w:rsidR="005B26AD" w:rsidP="001769A1" w:rsidRDefault="005B26AD" w14:paraId="3A116454" w14:textId="77777777">
      <w:pPr>
        <w:ind w:left="1080"/>
        <w:rPr>
          <w:rFonts w:ascii="Times New Roman" w:hAnsi="Times New Roman" w:cs="Times New Roman"/>
        </w:rPr>
      </w:pPr>
      <w:bookmarkStart w:name="_Hlk503964928" w:id="3"/>
    </w:p>
    <w:p w:rsidRPr="009A73BF" w:rsidR="001769A1" w:rsidP="001769A1" w:rsidRDefault="001769A1" w14:paraId="17CB87AA" w14:textId="3AC1DB93">
      <w:pPr>
        <w:ind w:left="1080"/>
        <w:rPr>
          <w:rFonts w:ascii="Times New Roman" w:hAnsi="Times New Roman" w:cs="Times New Roman"/>
        </w:rPr>
      </w:pPr>
      <w:r w:rsidRPr="009A73BF">
        <w:rPr>
          <w:rFonts w:ascii="Times New Roman" w:hAnsi="Times New Roman" w:cs="Times New Roman"/>
        </w:rPr>
        <w:t xml:space="preserve">The survey will use an existing Internet panel to draw a sample. The panel (described in B.1) comprises individuals who share their opinions via the Internet regularly. </w:t>
      </w:r>
      <w:bookmarkEnd w:id="3"/>
      <w:r w:rsidRPr="009A73BF">
        <w:rPr>
          <w:rFonts w:ascii="Times New Roman" w:hAnsi="Times New Roman" w:cs="Times New Roman"/>
        </w:rPr>
        <w:t xml:space="preserve">To help ensure that the participation rate is as high as </w:t>
      </w:r>
      <w:r w:rsidRPr="00901B22">
        <w:rPr>
          <w:rFonts w:ascii="Times New Roman" w:hAnsi="Times New Roman" w:cs="Times New Roman"/>
        </w:rPr>
        <w:t xml:space="preserve">possible, </w:t>
      </w:r>
      <w:r w:rsidRPr="00901B22" w:rsidR="008666F2">
        <w:rPr>
          <w:rFonts w:ascii="Times New Roman" w:hAnsi="Times New Roman" w:cs="Times New Roman"/>
        </w:rPr>
        <w:t>FDA and JHU</w:t>
      </w:r>
      <w:r w:rsidRPr="00901B22">
        <w:rPr>
          <w:rFonts w:ascii="Times New Roman" w:hAnsi="Times New Roman" w:cs="Times New Roman"/>
        </w:rPr>
        <w:t>:</w:t>
      </w:r>
    </w:p>
    <w:p w:rsidRPr="009A73BF" w:rsidR="001769A1" w:rsidP="001769A1" w:rsidRDefault="001769A1" w14:paraId="7620427F" w14:textId="77777777">
      <w:pPr>
        <w:ind w:left="1080"/>
        <w:rPr>
          <w:rFonts w:ascii="Times New Roman" w:hAnsi="Times New Roman" w:cs="Times New Roman"/>
        </w:rPr>
      </w:pPr>
    </w:p>
    <w:p w:rsidRPr="009A73BF" w:rsidR="001769A1" w:rsidP="001769A1" w:rsidRDefault="001769A1" w14:paraId="4EA3F5C0" w14:textId="77777777">
      <w:pPr>
        <w:pStyle w:val="ListParagraph"/>
        <w:numPr>
          <w:ilvl w:val="0"/>
          <w:numId w:val="2"/>
        </w:numPr>
        <w:rPr>
          <w:rFonts w:ascii="Times New Roman" w:hAnsi="Times New Roman" w:cs="Times New Roman"/>
        </w:rPr>
      </w:pPr>
      <w:r>
        <w:rPr>
          <w:rFonts w:ascii="Times New Roman" w:hAnsi="Times New Roman" w:cs="Times New Roman"/>
        </w:rPr>
        <w:t>have d</w:t>
      </w:r>
      <w:r w:rsidRPr="009A73BF">
        <w:rPr>
          <w:rFonts w:ascii="Times New Roman" w:hAnsi="Times New Roman" w:cs="Times New Roman"/>
        </w:rPr>
        <w:t>esign</w:t>
      </w:r>
      <w:r>
        <w:rPr>
          <w:rFonts w:ascii="Times New Roman" w:hAnsi="Times New Roman" w:cs="Times New Roman"/>
        </w:rPr>
        <w:t>ed</w:t>
      </w:r>
      <w:r w:rsidRPr="009A73BF">
        <w:rPr>
          <w:rFonts w:ascii="Times New Roman" w:hAnsi="Times New Roman" w:cs="Times New Roman"/>
        </w:rPr>
        <w:t xml:space="preserve"> a protocol that minimizes burden (short in length, clearly written, and with appealing graphics); and</w:t>
      </w:r>
    </w:p>
    <w:p w:rsidRPr="009A73BF" w:rsidR="001769A1" w:rsidP="001769A1" w:rsidRDefault="001769A1" w14:paraId="0317AB15" w14:textId="77777777">
      <w:pPr>
        <w:pStyle w:val="ListParagraph"/>
        <w:numPr>
          <w:ilvl w:val="0"/>
          <w:numId w:val="2"/>
        </w:numPr>
        <w:rPr>
          <w:rFonts w:ascii="Times New Roman" w:hAnsi="Times New Roman" w:cs="Times New Roman"/>
        </w:rPr>
      </w:pPr>
      <w:r>
        <w:rPr>
          <w:rFonts w:ascii="Times New Roman" w:hAnsi="Times New Roman" w:cs="Times New Roman"/>
        </w:rPr>
        <w:t>will a</w:t>
      </w:r>
      <w:r w:rsidRPr="009A73BF">
        <w:rPr>
          <w:rFonts w:ascii="Times New Roman" w:hAnsi="Times New Roman" w:cs="Times New Roman"/>
        </w:rPr>
        <w:t>dminister the survey over the Internet, allowing respondents to answer questions at a time and location of their choosing</w:t>
      </w:r>
      <w:r>
        <w:rPr>
          <w:rFonts w:ascii="Times New Roman" w:hAnsi="Times New Roman" w:cs="Times New Roman"/>
        </w:rPr>
        <w:t>.</w:t>
      </w:r>
    </w:p>
    <w:p w:rsidRPr="009A73BF" w:rsidR="001769A1" w:rsidP="001769A1" w:rsidRDefault="001769A1" w14:paraId="3E0B006C" w14:textId="77777777">
      <w:pPr>
        <w:pStyle w:val="ListParagraph"/>
        <w:ind w:left="1800"/>
        <w:rPr>
          <w:rFonts w:ascii="Times New Roman" w:hAnsi="Times New Roman" w:cs="Times New Roman"/>
        </w:rPr>
      </w:pPr>
    </w:p>
    <w:p w:rsidR="001769A1" w:rsidP="001769A1" w:rsidRDefault="001769A1" w14:paraId="471C0721" w14:textId="2B2CB1C7">
      <w:pPr>
        <w:ind w:left="1080"/>
        <w:rPr>
          <w:rFonts w:ascii="Times New Roman" w:hAnsi="Times New Roman" w:cs="Times New Roman"/>
        </w:rPr>
      </w:pPr>
      <w:bookmarkStart w:name="_Hlk503964971" w:id="4"/>
      <w:r w:rsidRPr="009A73BF">
        <w:rPr>
          <w:rFonts w:ascii="Times New Roman" w:hAnsi="Times New Roman" w:cs="Times New Roman"/>
        </w:rPr>
        <w:t xml:space="preserve">Furthermore, </w:t>
      </w:r>
      <w:r w:rsidR="008666F2">
        <w:rPr>
          <w:rFonts w:ascii="Times New Roman" w:hAnsi="Times New Roman" w:cs="Times New Roman"/>
        </w:rPr>
        <w:t>SSRS</w:t>
      </w:r>
      <w:r w:rsidR="006062FC">
        <w:rPr>
          <w:rFonts w:ascii="Times New Roman" w:hAnsi="Times New Roman" w:cs="Times New Roman"/>
        </w:rPr>
        <w:t xml:space="preserve"> </w:t>
      </w:r>
      <w:r w:rsidRPr="009A73BF">
        <w:rPr>
          <w:rFonts w:ascii="Times New Roman" w:hAnsi="Times New Roman" w:cs="Times New Roman"/>
        </w:rPr>
        <w:t xml:space="preserve">will target recruitment to panelists who are likely eligible for the study based on key characteristics including age </w:t>
      </w:r>
      <w:r w:rsidRPr="00B216FD">
        <w:rPr>
          <w:rFonts w:ascii="Times New Roman" w:hAnsi="Times New Roman" w:cs="Times New Roman"/>
        </w:rPr>
        <w:t>and</w:t>
      </w:r>
      <w:r w:rsidRPr="00B216FD" w:rsidR="00B216FD">
        <w:rPr>
          <w:rFonts w:ascii="Times New Roman" w:hAnsi="Times New Roman" w:cs="Times New Roman"/>
        </w:rPr>
        <w:t>, for young adults,</w:t>
      </w:r>
      <w:r w:rsidRPr="00B216FD">
        <w:rPr>
          <w:rFonts w:ascii="Times New Roman" w:hAnsi="Times New Roman" w:cs="Times New Roman"/>
        </w:rPr>
        <w:t xml:space="preserve"> tobacco status</w:t>
      </w:r>
      <w:r w:rsidRPr="009A73BF">
        <w:rPr>
          <w:rFonts w:ascii="Times New Roman" w:hAnsi="Times New Roman" w:cs="Times New Roman"/>
        </w:rPr>
        <w:t xml:space="preserve">. </w:t>
      </w:r>
    </w:p>
    <w:p w:rsidR="001769A1" w:rsidP="001769A1" w:rsidRDefault="001769A1" w14:paraId="194A49F1" w14:textId="77777777">
      <w:pPr>
        <w:ind w:left="1080"/>
        <w:rPr>
          <w:rFonts w:ascii="Times New Roman" w:hAnsi="Times New Roman" w:cs="Times New Roman"/>
        </w:rPr>
      </w:pPr>
    </w:p>
    <w:p w:rsidR="001769A1" w:rsidP="001769A1" w:rsidRDefault="001769A1" w14:paraId="52036AEE" w14:textId="77777777">
      <w:pPr>
        <w:ind w:left="1080"/>
        <w:rPr>
          <w:rFonts w:ascii="Times New Roman" w:hAnsi="Times New Roman" w:cs="Times New Roman"/>
        </w:rPr>
      </w:pPr>
      <w:r w:rsidRPr="009A73BF">
        <w:rPr>
          <w:rFonts w:ascii="Times New Roman" w:hAnsi="Times New Roman" w:cs="Times New Roman"/>
        </w:rPr>
        <w:t>Th</w:t>
      </w:r>
      <w:r>
        <w:rPr>
          <w:rFonts w:ascii="Times New Roman" w:hAnsi="Times New Roman" w:cs="Times New Roman"/>
        </w:rPr>
        <w:t>e aim of these methods is to minimize</w:t>
      </w:r>
      <w:r w:rsidRPr="009A73BF">
        <w:rPr>
          <w:rFonts w:ascii="Times New Roman" w:hAnsi="Times New Roman" w:cs="Times New Roman"/>
        </w:rPr>
        <w:t xml:space="preserve"> the number of </w:t>
      </w:r>
      <w:r>
        <w:rPr>
          <w:rFonts w:ascii="Times New Roman" w:hAnsi="Times New Roman" w:cs="Times New Roman"/>
        </w:rPr>
        <w:t>people</w:t>
      </w:r>
      <w:r w:rsidRPr="009A73BF">
        <w:rPr>
          <w:rFonts w:ascii="Times New Roman" w:hAnsi="Times New Roman" w:cs="Times New Roman"/>
        </w:rPr>
        <w:t xml:space="preserve"> who </w:t>
      </w:r>
      <w:r>
        <w:rPr>
          <w:rFonts w:ascii="Times New Roman" w:hAnsi="Times New Roman" w:cs="Times New Roman"/>
        </w:rPr>
        <w:t xml:space="preserve">spend time on viewing the invitation or completing the screening but </w:t>
      </w:r>
      <w:r w:rsidRPr="009A73BF">
        <w:rPr>
          <w:rFonts w:ascii="Times New Roman" w:hAnsi="Times New Roman" w:cs="Times New Roman"/>
        </w:rPr>
        <w:t xml:space="preserve">are ultimately ineligible </w:t>
      </w:r>
      <w:r>
        <w:rPr>
          <w:rFonts w:ascii="Times New Roman" w:hAnsi="Times New Roman" w:cs="Times New Roman"/>
        </w:rPr>
        <w:t xml:space="preserve">to participate in the study </w:t>
      </w:r>
      <w:r w:rsidRPr="009A73BF">
        <w:rPr>
          <w:rFonts w:ascii="Times New Roman" w:hAnsi="Times New Roman" w:cs="Times New Roman"/>
        </w:rPr>
        <w:t xml:space="preserve">based on the </w:t>
      </w:r>
      <w:r>
        <w:rPr>
          <w:rFonts w:ascii="Times New Roman" w:hAnsi="Times New Roman" w:cs="Times New Roman"/>
        </w:rPr>
        <w:t>inclusion</w:t>
      </w:r>
      <w:r w:rsidRPr="009A73BF">
        <w:rPr>
          <w:rFonts w:ascii="Times New Roman" w:hAnsi="Times New Roman" w:cs="Times New Roman"/>
        </w:rPr>
        <w:t xml:space="preserve"> criteria.</w:t>
      </w:r>
    </w:p>
    <w:p w:rsidRPr="009A73BF" w:rsidR="001769A1" w:rsidP="001769A1" w:rsidRDefault="001769A1" w14:paraId="682A1821" w14:textId="77777777">
      <w:pPr>
        <w:ind w:left="1080"/>
        <w:rPr>
          <w:rFonts w:ascii="Times New Roman" w:hAnsi="Times New Roman" w:cs="Times New Roman"/>
        </w:rPr>
      </w:pPr>
    </w:p>
    <w:p w:rsidRPr="00AB4BD0" w:rsidR="001769A1" w:rsidP="001769A1" w:rsidRDefault="001769A1" w14:paraId="31ECAADE" w14:textId="77777777">
      <w:pPr>
        <w:pStyle w:val="ListParagraph"/>
        <w:numPr>
          <w:ilvl w:val="0"/>
          <w:numId w:val="1"/>
        </w:numPr>
        <w:ind w:left="1080" w:hanging="450"/>
        <w:rPr>
          <w:rFonts w:ascii="Times New Roman" w:hAnsi="Times New Roman" w:cs="Times New Roman"/>
          <w:u w:val="single"/>
        </w:rPr>
      </w:pPr>
      <w:bookmarkStart w:name="IDX" w:id="5"/>
      <w:bookmarkEnd w:id="4"/>
      <w:bookmarkEnd w:id="5"/>
      <w:r w:rsidRPr="00AB4BD0">
        <w:rPr>
          <w:rFonts w:ascii="Times New Roman" w:hAnsi="Times New Roman" w:cs="Times New Roman"/>
          <w:u w:val="single"/>
        </w:rPr>
        <w:t>Test of Procedures or Methods to be Undertaken</w:t>
      </w:r>
    </w:p>
    <w:p w:rsidRPr="00AD3E04" w:rsidR="001769A1" w:rsidP="001769A1" w:rsidRDefault="001769A1" w14:paraId="5F63CA4F" w14:textId="77777777">
      <w:pPr>
        <w:ind w:left="1080"/>
        <w:rPr>
          <w:rFonts w:ascii="Times New Roman" w:hAnsi="Times New Roman" w:cs="Times New Roman"/>
        </w:rPr>
      </w:pPr>
    </w:p>
    <w:p w:rsidRPr="00AD3E04" w:rsidR="001769A1" w:rsidP="001769A1" w:rsidRDefault="006062FC" w14:paraId="1255135E" w14:textId="77777777">
      <w:pPr>
        <w:ind w:left="1080"/>
        <w:rPr>
          <w:rFonts w:ascii="Times New Roman" w:hAnsi="Times New Roman" w:cs="Times New Roman"/>
        </w:rPr>
      </w:pPr>
      <w:r w:rsidRPr="00B216FD">
        <w:rPr>
          <w:rFonts w:ascii="Times New Roman" w:hAnsi="Times New Roman" w:cs="Times New Roman"/>
        </w:rPr>
        <w:t xml:space="preserve">SSRS </w:t>
      </w:r>
      <w:r w:rsidRPr="00B216FD" w:rsidR="001769A1">
        <w:rPr>
          <w:rFonts w:ascii="Times New Roman" w:hAnsi="Times New Roman" w:cs="Times New Roman"/>
        </w:rPr>
        <w:t>will conduct rigorous internal testing of the online survey instrument prior to data collection. The research team will review the online test version of the instrument that we will use to verify that instrument skip patterns are functioning properly, experimental stimuli exposure is working properly, and that all survey questions are worded correctly and are in accordance with the instrument approved by OMB.</w:t>
      </w:r>
      <w:r w:rsidR="001769A1">
        <w:rPr>
          <w:rFonts w:ascii="Times New Roman" w:hAnsi="Times New Roman" w:cs="Times New Roman"/>
        </w:rPr>
        <w:t xml:space="preserve"> </w:t>
      </w:r>
    </w:p>
    <w:p w:rsidRPr="00243BC4" w:rsidR="001769A1" w:rsidP="001769A1" w:rsidRDefault="001769A1" w14:paraId="64D4A861" w14:textId="77777777">
      <w:pPr>
        <w:ind w:left="1080"/>
        <w:rPr>
          <w:rFonts w:ascii="Times New Roman" w:hAnsi="Times New Roman" w:cs="Times New Roman"/>
        </w:rPr>
      </w:pPr>
    </w:p>
    <w:p w:rsidRPr="00EB04F7" w:rsidR="001769A1" w:rsidP="001769A1" w:rsidRDefault="001769A1" w14:paraId="4D4C8A06" w14:textId="77777777">
      <w:pPr>
        <w:pStyle w:val="ListParagraph"/>
        <w:numPr>
          <w:ilvl w:val="0"/>
          <w:numId w:val="1"/>
        </w:numPr>
        <w:ind w:left="1080" w:hanging="450"/>
        <w:rPr>
          <w:rFonts w:ascii="Times New Roman" w:hAnsi="Times New Roman" w:cs="Times New Roman"/>
          <w:u w:val="single"/>
        </w:rPr>
      </w:pPr>
      <w:r w:rsidRPr="00EB04F7">
        <w:rPr>
          <w:rFonts w:ascii="Times New Roman" w:hAnsi="Times New Roman" w:cs="Times New Roman"/>
          <w:u w:val="single"/>
        </w:rPr>
        <w:t>Individuals Consulted on Statistical Aspects and Individuals Collection and/or Analyzing Data</w:t>
      </w:r>
    </w:p>
    <w:p w:rsidRPr="00243BC4" w:rsidR="001769A1" w:rsidP="001769A1" w:rsidRDefault="001769A1" w14:paraId="0C57DA88" w14:textId="77777777">
      <w:pPr>
        <w:ind w:left="1080"/>
        <w:rPr>
          <w:rFonts w:ascii="Times New Roman" w:hAnsi="Times New Roman" w:cs="Times New Roman"/>
        </w:rPr>
      </w:pPr>
    </w:p>
    <w:p w:rsidR="001769A1" w:rsidP="007D7A1B" w:rsidRDefault="006062FC" w14:paraId="78C8396B" w14:textId="52E297E1">
      <w:pPr>
        <w:pStyle w:val="ListContinue"/>
        <w:spacing w:after="240"/>
        <w:ind w:left="1080"/>
        <w:rPr>
          <w:rFonts w:ascii="Times New Roman" w:hAnsi="Times New Roman" w:cs="Times New Roman"/>
        </w:rPr>
      </w:pPr>
      <w:r>
        <w:rPr>
          <w:rFonts w:ascii="Times New Roman" w:hAnsi="Times New Roman" w:cs="Times New Roman"/>
        </w:rPr>
        <w:t>The grantee (JHU)</w:t>
      </w:r>
      <w:r w:rsidRPr="00B776BF" w:rsidR="001769A1">
        <w:rPr>
          <w:rFonts w:ascii="Times New Roman" w:hAnsi="Times New Roman" w:cs="Times New Roman"/>
        </w:rPr>
        <w:t xml:space="preserve"> will work with </w:t>
      </w:r>
      <w:r>
        <w:rPr>
          <w:rFonts w:ascii="Times New Roman" w:hAnsi="Times New Roman" w:cs="Times New Roman"/>
        </w:rPr>
        <w:t>SSRS</w:t>
      </w:r>
      <w:r w:rsidRPr="00B776BF" w:rsidR="001769A1">
        <w:rPr>
          <w:rFonts w:ascii="Times New Roman" w:hAnsi="Times New Roman" w:cs="Times New Roman"/>
        </w:rPr>
        <w:t xml:space="preserve"> to collect the data and will then analyze the data as a task order under </w:t>
      </w:r>
      <w:r>
        <w:rPr>
          <w:rFonts w:ascii="Times New Roman" w:hAnsi="Times New Roman" w:cs="Times New Roman"/>
        </w:rPr>
        <w:t>the cooperative agreement</w:t>
      </w:r>
      <w:r w:rsidR="00882E14">
        <w:rPr>
          <w:rFonts w:ascii="Times New Roman" w:hAnsi="Times New Roman" w:cs="Times New Roman"/>
        </w:rPr>
        <w:t xml:space="preserve"> No. </w:t>
      </w:r>
      <w:r w:rsidR="00882E14">
        <w:rPr>
          <w:rFonts w:ascii="ArialMT" w:hAnsi="ArialMT" w:cs="ArialMT" w:eastAsiaTheme="minorHAnsi"/>
          <w:sz w:val="20"/>
          <w:szCs w:val="20"/>
        </w:rPr>
        <w:t>3U01FD005942-03S1</w:t>
      </w:r>
      <w:r w:rsidRPr="00B776BF" w:rsidR="001769A1">
        <w:rPr>
          <w:rFonts w:ascii="Times New Roman" w:hAnsi="Times New Roman" w:cs="Times New Roman"/>
        </w:rPr>
        <w:t xml:space="preserve">. </w:t>
      </w:r>
      <w:r>
        <w:rPr>
          <w:rFonts w:ascii="Times New Roman" w:hAnsi="Times New Roman" w:cs="Times New Roman"/>
        </w:rPr>
        <w:t>Meghan Moran</w:t>
      </w:r>
      <w:r w:rsidRPr="00B776BF" w:rsidR="001769A1">
        <w:rPr>
          <w:rFonts w:ascii="Times New Roman" w:hAnsi="Times New Roman" w:cs="Times New Roman"/>
        </w:rPr>
        <w:t xml:space="preserve">, </w:t>
      </w:r>
      <w:r>
        <w:rPr>
          <w:rFonts w:ascii="Times New Roman" w:hAnsi="Times New Roman" w:cs="Times New Roman"/>
        </w:rPr>
        <w:t>PhD</w:t>
      </w:r>
      <w:r w:rsidRPr="00B776BF" w:rsidR="001769A1">
        <w:rPr>
          <w:rFonts w:ascii="Times New Roman" w:hAnsi="Times New Roman" w:cs="Times New Roman"/>
        </w:rPr>
        <w:t xml:space="preserve">, </w:t>
      </w:r>
      <w:r>
        <w:rPr>
          <w:rFonts w:ascii="Times New Roman" w:hAnsi="Times New Roman" w:cs="Times New Roman"/>
        </w:rPr>
        <w:t xml:space="preserve">phone number </w:t>
      </w:r>
      <w:r w:rsidR="00FD0A05">
        <w:rPr>
          <w:rFonts w:ascii="Times New Roman" w:hAnsi="Times New Roman" w:cs="Times New Roman"/>
        </w:rPr>
        <w:t>410-614-6872</w:t>
      </w:r>
      <w:r w:rsidRPr="00B776BF" w:rsidR="001769A1">
        <w:rPr>
          <w:rFonts w:ascii="Times New Roman" w:hAnsi="Times New Roman" w:cs="Times New Roman"/>
        </w:rPr>
        <w:t xml:space="preserve">, is the </w:t>
      </w:r>
      <w:r>
        <w:rPr>
          <w:rFonts w:ascii="Times New Roman" w:hAnsi="Times New Roman" w:cs="Times New Roman"/>
        </w:rPr>
        <w:t>PI</w:t>
      </w:r>
      <w:r w:rsidRPr="00B776BF" w:rsidR="001769A1">
        <w:rPr>
          <w:rFonts w:ascii="Times New Roman" w:hAnsi="Times New Roman" w:cs="Times New Roman"/>
        </w:rPr>
        <w:t xml:space="preserve"> for this project. Data analysis will be overseen by the Research Team, </w:t>
      </w:r>
      <w:r w:rsidR="001769A1">
        <w:rPr>
          <w:rFonts w:ascii="Times New Roman" w:hAnsi="Times New Roman" w:cs="Times New Roman"/>
        </w:rPr>
        <w:t xml:space="preserve">including </w:t>
      </w:r>
      <w:r>
        <w:rPr>
          <w:rFonts w:ascii="Times New Roman" w:hAnsi="Times New Roman" w:cs="Times New Roman"/>
        </w:rPr>
        <w:t>JHU project lead Meghan Mora</w:t>
      </w:r>
      <w:r w:rsidR="00C07221">
        <w:rPr>
          <w:rFonts w:ascii="Times New Roman" w:hAnsi="Times New Roman" w:cs="Times New Roman"/>
        </w:rPr>
        <w:t>n a</w:t>
      </w:r>
      <w:r>
        <w:rPr>
          <w:rFonts w:ascii="Times New Roman" w:hAnsi="Times New Roman" w:cs="Times New Roman"/>
        </w:rPr>
        <w:t xml:space="preserve">nd </w:t>
      </w:r>
      <w:r w:rsidR="001769A1">
        <w:rPr>
          <w:rFonts w:ascii="Times New Roman" w:hAnsi="Times New Roman" w:cs="Times New Roman"/>
        </w:rPr>
        <w:t xml:space="preserve">FDA project lead </w:t>
      </w:r>
      <w:r w:rsidR="00830CD3">
        <w:rPr>
          <w:rFonts w:ascii="Times New Roman" w:hAnsi="Times New Roman" w:cs="Times New Roman"/>
        </w:rPr>
        <w:t>Lexie Perreras</w:t>
      </w:r>
      <w:r w:rsidR="001769A1">
        <w:rPr>
          <w:rFonts w:ascii="Times New Roman" w:hAnsi="Times New Roman" w:cs="Times New Roman"/>
        </w:rPr>
        <w:t xml:space="preserve"> (</w:t>
      </w:r>
      <w:r w:rsidR="00830CD3">
        <w:rPr>
          <w:rFonts w:ascii="Times New Roman" w:hAnsi="Times New Roman" w:cs="Times New Roman"/>
        </w:rPr>
        <w:t>301-796-4985</w:t>
      </w:r>
      <w:r w:rsidR="001769A1">
        <w:rPr>
          <w:rFonts w:ascii="Times New Roman" w:hAnsi="Times New Roman" w:cs="Times New Roman"/>
        </w:rPr>
        <w:t>)</w:t>
      </w:r>
      <w:r w:rsidR="00A041E2">
        <w:rPr>
          <w:rFonts w:ascii="Times New Roman" w:hAnsi="Times New Roman" w:cs="Times New Roman"/>
        </w:rPr>
        <w:t>.</w:t>
      </w:r>
    </w:p>
    <w:p w:rsidR="00E049B8" w:rsidRDefault="00C9506F" w14:paraId="1C8CFB29" w14:textId="77777777"/>
    <w:sectPr w:rsidR="00E049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01A921" w14:textId="77777777" w:rsidR="00307946" w:rsidRDefault="00307946" w:rsidP="00307946">
      <w:r>
        <w:separator/>
      </w:r>
    </w:p>
  </w:endnote>
  <w:endnote w:type="continuationSeparator" w:id="0">
    <w:p w14:paraId="7F2EE19E" w14:textId="77777777" w:rsidR="00307946" w:rsidRDefault="00307946" w:rsidP="00307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0EF1DD" w14:textId="77777777" w:rsidR="00307946" w:rsidRDefault="00307946" w:rsidP="00307946">
      <w:r>
        <w:separator/>
      </w:r>
    </w:p>
  </w:footnote>
  <w:footnote w:type="continuationSeparator" w:id="0">
    <w:p w14:paraId="466F67E7" w14:textId="77777777" w:rsidR="00307946" w:rsidRDefault="00307946" w:rsidP="00307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940C55"/>
    <w:multiLevelType w:val="multilevel"/>
    <w:tmpl w:val="0409001F"/>
    <w:lvl w:ilvl="0">
      <w:start w:val="1"/>
      <w:numFmt w:val="decimal"/>
      <w:lvlText w:val="%1."/>
      <w:lvlJc w:val="left"/>
      <w:pPr>
        <w:ind w:left="-450" w:hanging="360"/>
      </w:pPr>
      <w:rPr>
        <w:rFonts w:hint="default"/>
      </w:rPr>
    </w:lvl>
    <w:lvl w:ilvl="1">
      <w:start w:val="1"/>
      <w:numFmt w:val="decimal"/>
      <w:lvlText w:val="%1.%2."/>
      <w:lvlJc w:val="left"/>
      <w:pPr>
        <w:ind w:left="-18" w:hanging="432"/>
      </w:pPr>
    </w:lvl>
    <w:lvl w:ilvl="2">
      <w:start w:val="1"/>
      <w:numFmt w:val="decimal"/>
      <w:lvlText w:val="%1.%2.%3."/>
      <w:lvlJc w:val="left"/>
      <w:pPr>
        <w:ind w:left="414" w:hanging="504"/>
      </w:pPr>
    </w:lvl>
    <w:lvl w:ilvl="3">
      <w:start w:val="1"/>
      <w:numFmt w:val="decimal"/>
      <w:lvlText w:val="%1.%2.%3.%4."/>
      <w:lvlJc w:val="left"/>
      <w:pPr>
        <w:ind w:left="918" w:hanging="648"/>
      </w:pPr>
    </w:lvl>
    <w:lvl w:ilvl="4">
      <w:start w:val="1"/>
      <w:numFmt w:val="decimal"/>
      <w:lvlText w:val="%1.%2.%3.%4.%5."/>
      <w:lvlJc w:val="left"/>
      <w:pPr>
        <w:ind w:left="1422" w:hanging="792"/>
      </w:pPr>
    </w:lvl>
    <w:lvl w:ilvl="5">
      <w:start w:val="1"/>
      <w:numFmt w:val="decimal"/>
      <w:lvlText w:val="%1.%2.%3.%4.%5.%6."/>
      <w:lvlJc w:val="left"/>
      <w:pPr>
        <w:ind w:left="1926" w:hanging="936"/>
      </w:pPr>
    </w:lvl>
    <w:lvl w:ilvl="6">
      <w:start w:val="1"/>
      <w:numFmt w:val="decimal"/>
      <w:lvlText w:val="%1.%2.%3.%4.%5.%6.%7."/>
      <w:lvlJc w:val="left"/>
      <w:pPr>
        <w:ind w:left="2430" w:hanging="1080"/>
      </w:pPr>
    </w:lvl>
    <w:lvl w:ilvl="7">
      <w:start w:val="1"/>
      <w:numFmt w:val="decimal"/>
      <w:lvlText w:val="%1.%2.%3.%4.%5.%6.%7.%8."/>
      <w:lvlJc w:val="left"/>
      <w:pPr>
        <w:ind w:left="2934" w:hanging="1224"/>
      </w:pPr>
    </w:lvl>
    <w:lvl w:ilvl="8">
      <w:start w:val="1"/>
      <w:numFmt w:val="decimal"/>
      <w:lvlText w:val="%1.%2.%3.%4.%5.%6.%7.%8.%9."/>
      <w:lvlJc w:val="left"/>
      <w:pPr>
        <w:ind w:left="3510" w:hanging="1440"/>
      </w:pPr>
    </w:lvl>
  </w:abstractNum>
  <w:abstractNum w:abstractNumId="1" w15:restartNumberingAfterBreak="0">
    <w:nsid w:val="420F7192"/>
    <w:multiLevelType w:val="hybridMultilevel"/>
    <w:tmpl w:val="EECE0990"/>
    <w:lvl w:ilvl="0" w:tplc="04090001">
      <w:start w:val="1"/>
      <w:numFmt w:val="bullet"/>
      <w:lvlText w:val=""/>
      <w:lvlJc w:val="left"/>
      <w:pPr>
        <w:ind w:left="1800" w:hanging="360"/>
      </w:pPr>
      <w:rPr>
        <w:rFonts w:ascii="Symbol" w:hAnsi="Symbol" w:hint="default"/>
      </w:rPr>
    </w:lvl>
    <w:lvl w:ilvl="1" w:tplc="14D46068">
      <w:numFmt w:val="bullet"/>
      <w:lvlText w:val="•"/>
      <w:lvlJc w:val="left"/>
      <w:pPr>
        <w:ind w:left="2520" w:hanging="360"/>
      </w:pPr>
      <w:rPr>
        <w:rFonts w:ascii="Times New Roman" w:eastAsiaTheme="minorEastAsia" w:hAnsi="Times New Roman"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9A1"/>
    <w:rsid w:val="00015ABC"/>
    <w:rsid w:val="00021EA8"/>
    <w:rsid w:val="00030741"/>
    <w:rsid w:val="00062C77"/>
    <w:rsid w:val="00070EBF"/>
    <w:rsid w:val="0007652F"/>
    <w:rsid w:val="000A6013"/>
    <w:rsid w:val="000B662F"/>
    <w:rsid w:val="000C05C4"/>
    <w:rsid w:val="000C4678"/>
    <w:rsid w:val="000E39C4"/>
    <w:rsid w:val="00104BBE"/>
    <w:rsid w:val="00112F66"/>
    <w:rsid w:val="00123AE1"/>
    <w:rsid w:val="00147798"/>
    <w:rsid w:val="001649C6"/>
    <w:rsid w:val="00166FF7"/>
    <w:rsid w:val="00173731"/>
    <w:rsid w:val="001769A1"/>
    <w:rsid w:val="00180948"/>
    <w:rsid w:val="001923CE"/>
    <w:rsid w:val="00192657"/>
    <w:rsid w:val="001C2A8D"/>
    <w:rsid w:val="001D5DE2"/>
    <w:rsid w:val="001E4D40"/>
    <w:rsid w:val="00202465"/>
    <w:rsid w:val="00213840"/>
    <w:rsid w:val="0021751A"/>
    <w:rsid w:val="00220D70"/>
    <w:rsid w:val="00237CB9"/>
    <w:rsid w:val="00277806"/>
    <w:rsid w:val="00295D61"/>
    <w:rsid w:val="002A6EAE"/>
    <w:rsid w:val="002B44FA"/>
    <w:rsid w:val="002B5F4F"/>
    <w:rsid w:val="002D2318"/>
    <w:rsid w:val="002E4C58"/>
    <w:rsid w:val="00307946"/>
    <w:rsid w:val="00316676"/>
    <w:rsid w:val="00323DBC"/>
    <w:rsid w:val="003246D9"/>
    <w:rsid w:val="00355EC2"/>
    <w:rsid w:val="00370219"/>
    <w:rsid w:val="003779D4"/>
    <w:rsid w:val="003C78B3"/>
    <w:rsid w:val="003E42F7"/>
    <w:rsid w:val="004024F6"/>
    <w:rsid w:val="00402D57"/>
    <w:rsid w:val="00433AF0"/>
    <w:rsid w:val="004468DD"/>
    <w:rsid w:val="0044722A"/>
    <w:rsid w:val="004860B8"/>
    <w:rsid w:val="004A18D3"/>
    <w:rsid w:val="004E3518"/>
    <w:rsid w:val="004E45BA"/>
    <w:rsid w:val="00503AC7"/>
    <w:rsid w:val="005134F2"/>
    <w:rsid w:val="00522E9E"/>
    <w:rsid w:val="00523524"/>
    <w:rsid w:val="00525060"/>
    <w:rsid w:val="00525E1B"/>
    <w:rsid w:val="00530AF7"/>
    <w:rsid w:val="00540830"/>
    <w:rsid w:val="00542A0F"/>
    <w:rsid w:val="00542AF8"/>
    <w:rsid w:val="00585D96"/>
    <w:rsid w:val="005A0934"/>
    <w:rsid w:val="005B26AD"/>
    <w:rsid w:val="005B2901"/>
    <w:rsid w:val="005C692D"/>
    <w:rsid w:val="005D6836"/>
    <w:rsid w:val="006062FC"/>
    <w:rsid w:val="0062290C"/>
    <w:rsid w:val="006322B3"/>
    <w:rsid w:val="00655B5D"/>
    <w:rsid w:val="00656AF4"/>
    <w:rsid w:val="00660FBB"/>
    <w:rsid w:val="006747E9"/>
    <w:rsid w:val="006C48CB"/>
    <w:rsid w:val="006C62BA"/>
    <w:rsid w:val="006D45F1"/>
    <w:rsid w:val="006D6D0C"/>
    <w:rsid w:val="006E5AE0"/>
    <w:rsid w:val="006E637A"/>
    <w:rsid w:val="006F3ACE"/>
    <w:rsid w:val="006F40CD"/>
    <w:rsid w:val="0070187F"/>
    <w:rsid w:val="007156CC"/>
    <w:rsid w:val="00793CC1"/>
    <w:rsid w:val="007B1CB5"/>
    <w:rsid w:val="007B401B"/>
    <w:rsid w:val="007B4CA8"/>
    <w:rsid w:val="007C7A97"/>
    <w:rsid w:val="007D7A1B"/>
    <w:rsid w:val="00807664"/>
    <w:rsid w:val="008238F9"/>
    <w:rsid w:val="00830CD3"/>
    <w:rsid w:val="008365C1"/>
    <w:rsid w:val="008666F2"/>
    <w:rsid w:val="00882E14"/>
    <w:rsid w:val="00891848"/>
    <w:rsid w:val="008944E4"/>
    <w:rsid w:val="008945D9"/>
    <w:rsid w:val="008B0565"/>
    <w:rsid w:val="008B05C9"/>
    <w:rsid w:val="008B5519"/>
    <w:rsid w:val="008E76EE"/>
    <w:rsid w:val="008E7A93"/>
    <w:rsid w:val="00901B22"/>
    <w:rsid w:val="0092787A"/>
    <w:rsid w:val="00935308"/>
    <w:rsid w:val="009616FA"/>
    <w:rsid w:val="009717B3"/>
    <w:rsid w:val="00984D1C"/>
    <w:rsid w:val="0099085F"/>
    <w:rsid w:val="00992E7A"/>
    <w:rsid w:val="009B2F33"/>
    <w:rsid w:val="009E6322"/>
    <w:rsid w:val="009E6C9D"/>
    <w:rsid w:val="009F5604"/>
    <w:rsid w:val="009F7DB6"/>
    <w:rsid w:val="00A041E2"/>
    <w:rsid w:val="00A05131"/>
    <w:rsid w:val="00A3124E"/>
    <w:rsid w:val="00A32574"/>
    <w:rsid w:val="00A3599F"/>
    <w:rsid w:val="00A35BAF"/>
    <w:rsid w:val="00A62F9A"/>
    <w:rsid w:val="00A83BE0"/>
    <w:rsid w:val="00A947A9"/>
    <w:rsid w:val="00A97211"/>
    <w:rsid w:val="00AA6D61"/>
    <w:rsid w:val="00AB7EED"/>
    <w:rsid w:val="00AE1F5E"/>
    <w:rsid w:val="00AF162A"/>
    <w:rsid w:val="00B015F7"/>
    <w:rsid w:val="00B07BEE"/>
    <w:rsid w:val="00B216FD"/>
    <w:rsid w:val="00B2508E"/>
    <w:rsid w:val="00B57F6B"/>
    <w:rsid w:val="00B66442"/>
    <w:rsid w:val="00B71D84"/>
    <w:rsid w:val="00B774BB"/>
    <w:rsid w:val="00B779DC"/>
    <w:rsid w:val="00B911BE"/>
    <w:rsid w:val="00BC466A"/>
    <w:rsid w:val="00BE1995"/>
    <w:rsid w:val="00BE7D2F"/>
    <w:rsid w:val="00C0321F"/>
    <w:rsid w:val="00C05B9D"/>
    <w:rsid w:val="00C07221"/>
    <w:rsid w:val="00C42226"/>
    <w:rsid w:val="00C53046"/>
    <w:rsid w:val="00C55C99"/>
    <w:rsid w:val="00C71D81"/>
    <w:rsid w:val="00C82E3F"/>
    <w:rsid w:val="00C9506F"/>
    <w:rsid w:val="00C97C0A"/>
    <w:rsid w:val="00CA6989"/>
    <w:rsid w:val="00CB224F"/>
    <w:rsid w:val="00CC0E5A"/>
    <w:rsid w:val="00D1767C"/>
    <w:rsid w:val="00D1795F"/>
    <w:rsid w:val="00D33EA7"/>
    <w:rsid w:val="00D44C96"/>
    <w:rsid w:val="00D46E34"/>
    <w:rsid w:val="00D54541"/>
    <w:rsid w:val="00D96BCD"/>
    <w:rsid w:val="00DB552E"/>
    <w:rsid w:val="00DC2148"/>
    <w:rsid w:val="00DD725F"/>
    <w:rsid w:val="00DE0EE2"/>
    <w:rsid w:val="00DE2BC3"/>
    <w:rsid w:val="00E05EE5"/>
    <w:rsid w:val="00E06E8A"/>
    <w:rsid w:val="00E10A8F"/>
    <w:rsid w:val="00E171BC"/>
    <w:rsid w:val="00E33821"/>
    <w:rsid w:val="00E4631B"/>
    <w:rsid w:val="00E46435"/>
    <w:rsid w:val="00E70914"/>
    <w:rsid w:val="00E8068B"/>
    <w:rsid w:val="00E838DE"/>
    <w:rsid w:val="00E901B0"/>
    <w:rsid w:val="00E91A30"/>
    <w:rsid w:val="00E940D6"/>
    <w:rsid w:val="00ED6609"/>
    <w:rsid w:val="00EE67C4"/>
    <w:rsid w:val="00EE7CA1"/>
    <w:rsid w:val="00EF7ED1"/>
    <w:rsid w:val="00F10C0F"/>
    <w:rsid w:val="00F2198C"/>
    <w:rsid w:val="00F27367"/>
    <w:rsid w:val="00F32BA9"/>
    <w:rsid w:val="00F626CD"/>
    <w:rsid w:val="00F717E4"/>
    <w:rsid w:val="00F8402C"/>
    <w:rsid w:val="00FA5B47"/>
    <w:rsid w:val="00FB1EDD"/>
    <w:rsid w:val="00FD0A05"/>
    <w:rsid w:val="00FF4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B968C7D"/>
  <w15:chartTrackingRefBased/>
  <w15:docId w15:val="{CAF5420C-42EA-4452-B00B-8CC3CCECC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9A1"/>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9A1"/>
    <w:pPr>
      <w:ind w:left="720"/>
      <w:contextualSpacing/>
    </w:pPr>
  </w:style>
  <w:style w:type="table" w:customStyle="1" w:styleId="TableFormat4">
    <w:name w:val="Table Format4"/>
    <w:basedOn w:val="TableNormal"/>
    <w:uiPriority w:val="99"/>
    <w:rsid w:val="001769A1"/>
    <w:pPr>
      <w:spacing w:after="0" w:line="240" w:lineRule="auto"/>
    </w:pPr>
    <w:rPr>
      <w:rFonts w:ascii="Verdana" w:eastAsia="Times New Roman" w:hAnsi="Verdana" w:cs="Times New Roman"/>
      <w:sz w:val="18"/>
    </w:rPr>
    <w:tblPr>
      <w:tblInd w:w="86" w:type="dxa"/>
      <w:tblBorders>
        <w:top w:val="single" w:sz="12" w:space="0" w:color="auto"/>
        <w:bottom w:val="single" w:sz="12" w:space="0" w:color="auto"/>
      </w:tblBorders>
      <w:tblCellMar>
        <w:left w:w="72" w:type="dxa"/>
        <w:right w:w="72" w:type="dxa"/>
      </w:tblCellMar>
    </w:tblPr>
    <w:trPr>
      <w:cantSplit/>
    </w:trPr>
    <w:tblStylePr w:type="firstRow">
      <w:tblPr/>
      <w:tcPr>
        <w:tcBorders>
          <w:top w:val="single" w:sz="12" w:space="0" w:color="auto"/>
          <w:left w:val="nil"/>
          <w:bottom w:val="single" w:sz="4" w:space="0" w:color="auto"/>
          <w:right w:val="nil"/>
          <w:insideH w:val="nil"/>
          <w:insideV w:val="nil"/>
          <w:tl2br w:val="nil"/>
          <w:tr2bl w:val="nil"/>
        </w:tcBorders>
      </w:tcPr>
    </w:tblStylePr>
  </w:style>
  <w:style w:type="paragraph" w:customStyle="1" w:styleId="TableTitle">
    <w:name w:val="Table Title"/>
    <w:basedOn w:val="Caption"/>
    <w:rsid w:val="001769A1"/>
    <w:pPr>
      <w:keepNext/>
      <w:keepLines/>
      <w:spacing w:before="320" w:after="120"/>
      <w:ind w:left="1152" w:hanging="1152"/>
    </w:pPr>
    <w:rPr>
      <w:rFonts w:ascii="Verdana" w:eastAsia="MS Mincho" w:hAnsi="Verdana" w:cs="Times New Roman"/>
      <w:b/>
      <w:bCs/>
      <w:i w:val="0"/>
      <w:iCs w:val="0"/>
      <w:color w:val="auto"/>
      <w:sz w:val="20"/>
      <w:szCs w:val="20"/>
    </w:rPr>
  </w:style>
  <w:style w:type="paragraph" w:customStyle="1" w:styleId="TableText">
    <w:name w:val="Table Text"/>
    <w:basedOn w:val="Normal"/>
    <w:qFormat/>
    <w:rsid w:val="001769A1"/>
    <w:pPr>
      <w:spacing w:before="60" w:after="60"/>
    </w:pPr>
    <w:rPr>
      <w:rFonts w:ascii="Verdana" w:eastAsia="MS Mincho" w:hAnsi="Verdana" w:cs="Times New Roman"/>
      <w:sz w:val="18"/>
      <w:szCs w:val="20"/>
    </w:rPr>
  </w:style>
  <w:style w:type="paragraph" w:customStyle="1" w:styleId="TableHeaders">
    <w:name w:val="Table Headers"/>
    <w:qFormat/>
    <w:rsid w:val="001769A1"/>
    <w:pPr>
      <w:spacing w:before="80" w:after="80" w:line="240" w:lineRule="auto"/>
      <w:jc w:val="center"/>
    </w:pPr>
    <w:rPr>
      <w:rFonts w:ascii="Verdana" w:eastAsia="Times New Roman" w:hAnsi="Verdana" w:cs="Times New Roman"/>
      <w:b/>
      <w:sz w:val="18"/>
      <w:szCs w:val="20"/>
    </w:rPr>
  </w:style>
  <w:style w:type="paragraph" w:customStyle="1" w:styleId="Tabletextindent1">
    <w:name w:val="Table text indent1"/>
    <w:basedOn w:val="TableText"/>
    <w:qFormat/>
    <w:rsid w:val="001769A1"/>
    <w:pPr>
      <w:spacing w:before="40" w:after="40"/>
      <w:ind w:left="288"/>
    </w:pPr>
    <w:rPr>
      <w:rFonts w:ascii="Arial" w:eastAsia="Times New Roman" w:hAnsi="Arial"/>
      <w:sz w:val="20"/>
    </w:rPr>
  </w:style>
  <w:style w:type="paragraph" w:styleId="Caption">
    <w:name w:val="caption"/>
    <w:basedOn w:val="Normal"/>
    <w:next w:val="Normal"/>
    <w:uiPriority w:val="35"/>
    <w:semiHidden/>
    <w:unhideWhenUsed/>
    <w:qFormat/>
    <w:rsid w:val="001769A1"/>
    <w:pPr>
      <w:spacing w:after="200"/>
    </w:pPr>
    <w:rPr>
      <w:i/>
      <w:iCs/>
      <w:color w:val="44546A" w:themeColor="text2"/>
      <w:sz w:val="18"/>
      <w:szCs w:val="18"/>
    </w:rPr>
  </w:style>
  <w:style w:type="paragraph" w:customStyle="1" w:styleId="TableTextIndent10">
    <w:name w:val="Table Text Indent1"/>
    <w:basedOn w:val="Normal"/>
    <w:qFormat/>
    <w:rsid w:val="001769A1"/>
    <w:pPr>
      <w:spacing w:before="60" w:after="60"/>
      <w:ind w:left="245"/>
    </w:pPr>
    <w:rPr>
      <w:rFonts w:ascii="Verdana" w:eastAsia="MS Mincho" w:hAnsi="Verdana" w:cs="Times New Roman"/>
      <w:sz w:val="18"/>
      <w:szCs w:val="20"/>
    </w:rPr>
  </w:style>
  <w:style w:type="paragraph" w:styleId="ListContinue">
    <w:name w:val="List Continue"/>
    <w:basedOn w:val="Normal"/>
    <w:uiPriority w:val="99"/>
    <w:unhideWhenUsed/>
    <w:rsid w:val="001769A1"/>
    <w:pPr>
      <w:spacing w:after="120"/>
      <w:ind w:left="360"/>
      <w:contextualSpacing/>
    </w:pPr>
  </w:style>
  <w:style w:type="character" w:styleId="CommentReference">
    <w:name w:val="annotation reference"/>
    <w:basedOn w:val="DefaultParagraphFont"/>
    <w:uiPriority w:val="99"/>
    <w:semiHidden/>
    <w:unhideWhenUsed/>
    <w:rsid w:val="00277806"/>
    <w:rPr>
      <w:sz w:val="16"/>
      <w:szCs w:val="16"/>
    </w:rPr>
  </w:style>
  <w:style w:type="paragraph" w:styleId="CommentText">
    <w:name w:val="annotation text"/>
    <w:basedOn w:val="Normal"/>
    <w:link w:val="CommentTextChar"/>
    <w:uiPriority w:val="99"/>
    <w:semiHidden/>
    <w:unhideWhenUsed/>
    <w:rsid w:val="00277806"/>
    <w:rPr>
      <w:sz w:val="20"/>
      <w:szCs w:val="20"/>
    </w:rPr>
  </w:style>
  <w:style w:type="character" w:customStyle="1" w:styleId="CommentTextChar">
    <w:name w:val="Comment Text Char"/>
    <w:basedOn w:val="DefaultParagraphFont"/>
    <w:link w:val="CommentText"/>
    <w:uiPriority w:val="99"/>
    <w:semiHidden/>
    <w:rsid w:val="0027780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77806"/>
    <w:rPr>
      <w:b/>
      <w:bCs/>
    </w:rPr>
  </w:style>
  <w:style w:type="character" w:customStyle="1" w:styleId="CommentSubjectChar">
    <w:name w:val="Comment Subject Char"/>
    <w:basedOn w:val="CommentTextChar"/>
    <w:link w:val="CommentSubject"/>
    <w:uiPriority w:val="99"/>
    <w:semiHidden/>
    <w:rsid w:val="00277806"/>
    <w:rPr>
      <w:rFonts w:eastAsiaTheme="minorEastAsia"/>
      <w:b/>
      <w:bCs/>
      <w:sz w:val="20"/>
      <w:szCs w:val="20"/>
    </w:rPr>
  </w:style>
  <w:style w:type="paragraph" w:styleId="BalloonText">
    <w:name w:val="Balloon Text"/>
    <w:basedOn w:val="Normal"/>
    <w:link w:val="BalloonTextChar"/>
    <w:uiPriority w:val="99"/>
    <w:semiHidden/>
    <w:unhideWhenUsed/>
    <w:rsid w:val="0027780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7806"/>
    <w:rPr>
      <w:rFonts w:ascii="Times New Roman" w:eastAsiaTheme="minorEastAsia" w:hAnsi="Times New Roman" w:cs="Times New Roman"/>
      <w:sz w:val="18"/>
      <w:szCs w:val="18"/>
    </w:rPr>
  </w:style>
  <w:style w:type="table" w:styleId="TableGrid">
    <w:name w:val="Table Grid"/>
    <w:basedOn w:val="TableNormal"/>
    <w:uiPriority w:val="39"/>
    <w:rsid w:val="00622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7946"/>
    <w:pPr>
      <w:tabs>
        <w:tab w:val="center" w:pos="4680"/>
        <w:tab w:val="right" w:pos="9360"/>
      </w:tabs>
    </w:pPr>
  </w:style>
  <w:style w:type="character" w:customStyle="1" w:styleId="HeaderChar">
    <w:name w:val="Header Char"/>
    <w:basedOn w:val="DefaultParagraphFont"/>
    <w:link w:val="Header"/>
    <w:uiPriority w:val="99"/>
    <w:rsid w:val="00307946"/>
    <w:rPr>
      <w:rFonts w:eastAsiaTheme="minorEastAsia"/>
      <w:sz w:val="24"/>
      <w:szCs w:val="24"/>
    </w:rPr>
  </w:style>
  <w:style w:type="paragraph" w:styleId="Footer">
    <w:name w:val="footer"/>
    <w:basedOn w:val="Normal"/>
    <w:link w:val="FooterChar"/>
    <w:uiPriority w:val="99"/>
    <w:unhideWhenUsed/>
    <w:rsid w:val="00307946"/>
    <w:pPr>
      <w:tabs>
        <w:tab w:val="center" w:pos="4680"/>
        <w:tab w:val="right" w:pos="9360"/>
      </w:tabs>
    </w:pPr>
  </w:style>
  <w:style w:type="character" w:customStyle="1" w:styleId="FooterChar">
    <w:name w:val="Footer Char"/>
    <w:basedOn w:val="DefaultParagraphFont"/>
    <w:link w:val="Footer"/>
    <w:uiPriority w:val="99"/>
    <w:rsid w:val="00307946"/>
    <w:rPr>
      <w:rFonts w:eastAsiaTheme="minorEastAsia"/>
      <w:sz w:val="24"/>
      <w:szCs w:val="24"/>
    </w:rPr>
  </w:style>
  <w:style w:type="paragraph" w:styleId="Revision">
    <w:name w:val="Revision"/>
    <w:hidden/>
    <w:uiPriority w:val="99"/>
    <w:semiHidden/>
    <w:rsid w:val="00C0321F"/>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75AE1-4823-4A36-B765-0FA608C4C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1853</Words>
  <Characters>10563</Characters>
  <Application>Microsoft Office Word</Application>
  <DocSecurity>0</DocSecurity>
  <Lines>88</Lines>
  <Paragraphs>24</Paragraphs>
  <ScaleCrop>false</ScaleCrop>
  <Company/>
  <LinksUpToDate>false</LinksUpToDate>
  <CharactersWithSpaces>12392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Mizrachi, Ila</dc:creator>
  <cp:keywords/>
  <dc:description/>
  <cp:lastModifiedBy>Mizrachi, Ila</cp:lastModifiedBy>
  <cp:revision>3</cp:revision>
  <dcterms:created xsi:type="dcterms:W3CDTF">2022-02-09T18:08:00Z</dcterms:created>
  <dcterms:modified xsi:type="dcterms:W3CDTF">2022-02-09T22:52:00Z</dcterms:modified>
</cp:coreProperties>
</file>