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3F48" w:rsidR="005342FB" w:rsidP="00713BC3" w:rsidRDefault="005342FB" w14:paraId="6CC82ECA" w14:textId="77777777">
      <w:pPr>
        <w:pStyle w:val="NoSpacing"/>
        <w:jc w:val="center"/>
        <w:rPr>
          <w:rFonts w:cs="Times New Roman"/>
          <w:b/>
          <w:szCs w:val="24"/>
        </w:rPr>
      </w:pPr>
    </w:p>
    <w:p w:rsidRPr="007E3F48" w:rsidR="008C7782" w:rsidP="00713BC3" w:rsidRDefault="00DE1A44" w14:paraId="398D1507" w14:textId="60C1FF98">
      <w:pPr>
        <w:pStyle w:val="NoSpacing"/>
        <w:jc w:val="center"/>
        <w:rPr>
          <w:rFonts w:eastAsia="Times New Roman" w:cs="Times New Roman"/>
          <w:b/>
          <w:szCs w:val="24"/>
        </w:rPr>
      </w:pPr>
      <w:r w:rsidRPr="00DE1A44">
        <w:rPr>
          <w:rFonts w:eastAsia="Times New Roman" w:cs="Times New Roman"/>
          <w:b/>
          <w:szCs w:val="24"/>
        </w:rPr>
        <w:t>HIV Prevention Capacity Development Needs Assessments of Federally funded Health Departments and Community-Based Organizations</w:t>
      </w:r>
    </w:p>
    <w:p w:rsidRPr="007E3F48" w:rsidR="008C7782" w:rsidP="00713BC3" w:rsidRDefault="008C7782" w14:paraId="252C8DBA" w14:textId="77777777">
      <w:pPr>
        <w:pStyle w:val="NoSpacing"/>
        <w:jc w:val="center"/>
        <w:rPr>
          <w:rFonts w:eastAsia="Times New Roman" w:cs="Times New Roman"/>
          <w:b/>
          <w:szCs w:val="24"/>
        </w:rPr>
      </w:pPr>
    </w:p>
    <w:p w:rsidRPr="007E3F48" w:rsidR="005342FB" w:rsidP="00713BC3" w:rsidRDefault="00D14157" w14:paraId="10179616" w14:textId="562D73FB">
      <w:pPr>
        <w:pStyle w:val="NoSpacing"/>
        <w:jc w:val="center"/>
        <w:rPr>
          <w:rFonts w:cs="Times New Roman"/>
          <w:szCs w:val="24"/>
        </w:rPr>
      </w:pPr>
      <w:r w:rsidRPr="007E3F48">
        <w:rPr>
          <w:rFonts w:cs="Times New Roman"/>
          <w:szCs w:val="24"/>
        </w:rPr>
        <w:t>Ge</w:t>
      </w:r>
      <w:r w:rsidRPr="007E3F48" w:rsidR="00527188">
        <w:rPr>
          <w:rFonts w:cs="Times New Roman"/>
          <w:szCs w:val="24"/>
        </w:rPr>
        <w:t xml:space="preserve">neric </w:t>
      </w:r>
      <w:r w:rsidRPr="007E3F48" w:rsidR="005342FB">
        <w:rPr>
          <w:rFonts w:cs="Times New Roman"/>
          <w:szCs w:val="24"/>
        </w:rPr>
        <w:t>Information Collection Request under OMB #0920-</w:t>
      </w:r>
      <w:r w:rsidR="00DE1A44">
        <w:rPr>
          <w:rFonts w:cs="Times New Roman"/>
          <w:szCs w:val="24"/>
        </w:rPr>
        <w:t>new</w:t>
      </w:r>
    </w:p>
    <w:p w:rsidRPr="007E3F48" w:rsidR="005342FB" w:rsidP="00713BC3" w:rsidRDefault="005342FB" w14:paraId="73E58BB4" w14:textId="77777777">
      <w:pPr>
        <w:pStyle w:val="NoSpacing"/>
        <w:jc w:val="center"/>
        <w:rPr>
          <w:rFonts w:cs="Times New Roman"/>
          <w:szCs w:val="24"/>
        </w:rPr>
      </w:pPr>
    </w:p>
    <w:p w:rsidRPr="007E3F48" w:rsidR="005342FB" w:rsidP="00713BC3" w:rsidRDefault="005342FB" w14:paraId="0F703F52" w14:textId="77777777">
      <w:pPr>
        <w:pStyle w:val="NoSpacing"/>
        <w:jc w:val="center"/>
        <w:rPr>
          <w:rFonts w:cs="Times New Roman"/>
          <w:szCs w:val="24"/>
        </w:rPr>
      </w:pPr>
    </w:p>
    <w:p w:rsidRPr="007E3F48" w:rsidR="005342FB" w:rsidP="00713BC3" w:rsidRDefault="005342FB" w14:paraId="6039F578" w14:textId="77777777">
      <w:pPr>
        <w:pStyle w:val="NoSpacing"/>
        <w:jc w:val="center"/>
        <w:rPr>
          <w:rFonts w:cs="Times New Roman"/>
          <w:szCs w:val="24"/>
        </w:rPr>
      </w:pPr>
    </w:p>
    <w:p w:rsidRPr="007E3F48" w:rsidR="005342FB" w:rsidP="00713BC3" w:rsidRDefault="005342FB" w14:paraId="2A8ADDC7" w14:textId="77777777">
      <w:pPr>
        <w:pStyle w:val="NoSpacing"/>
        <w:jc w:val="center"/>
        <w:rPr>
          <w:rFonts w:cs="Times New Roman"/>
          <w:szCs w:val="24"/>
        </w:rPr>
      </w:pPr>
      <w:r w:rsidRPr="007E3F48">
        <w:rPr>
          <w:rFonts w:cs="Times New Roman"/>
          <w:szCs w:val="24"/>
        </w:rPr>
        <w:t>Section B: Supporting Statement</w:t>
      </w:r>
    </w:p>
    <w:p w:rsidRPr="007E3F48" w:rsidR="005342FB" w:rsidP="00713BC3" w:rsidRDefault="005342FB" w14:paraId="2C6AE553" w14:textId="77777777">
      <w:pPr>
        <w:pStyle w:val="NoSpacing"/>
        <w:jc w:val="center"/>
        <w:rPr>
          <w:rFonts w:cs="Times New Roman"/>
          <w:b/>
          <w:szCs w:val="24"/>
        </w:rPr>
      </w:pPr>
    </w:p>
    <w:p w:rsidRPr="007E3F48" w:rsidR="005342FB" w:rsidP="00713BC3" w:rsidRDefault="005342FB" w14:paraId="1BEC6650" w14:textId="77777777">
      <w:pPr>
        <w:pStyle w:val="NoSpacing"/>
        <w:jc w:val="center"/>
        <w:rPr>
          <w:rFonts w:cs="Times New Roman"/>
          <w:b/>
          <w:szCs w:val="24"/>
        </w:rPr>
      </w:pPr>
    </w:p>
    <w:p w:rsidRPr="007E3F48" w:rsidR="005342FB" w:rsidP="00713BC3" w:rsidRDefault="005342FB" w14:paraId="571DD7A3" w14:textId="77777777">
      <w:pPr>
        <w:pStyle w:val="NoSpacing"/>
        <w:rPr>
          <w:rFonts w:cs="Times New Roman"/>
          <w:b/>
          <w:szCs w:val="24"/>
        </w:rPr>
      </w:pPr>
    </w:p>
    <w:p w:rsidRPr="007E3F48" w:rsidR="005342FB" w:rsidP="00713BC3" w:rsidRDefault="005342FB" w14:paraId="2EE67A7B" w14:textId="77777777">
      <w:pPr>
        <w:pStyle w:val="NoSpacing"/>
        <w:jc w:val="center"/>
        <w:rPr>
          <w:rFonts w:cs="Times New Roman"/>
          <w:b/>
          <w:szCs w:val="24"/>
        </w:rPr>
      </w:pPr>
    </w:p>
    <w:p w:rsidR="00013F21" w:rsidP="00713BC3" w:rsidRDefault="00165FD2" w14:paraId="5AF59A99" w14:textId="7BFD7B8F">
      <w:pPr>
        <w:pStyle w:val="NoSpacing"/>
        <w:jc w:val="center"/>
        <w:rPr>
          <w:rFonts w:cs="Times New Roman"/>
          <w:szCs w:val="24"/>
        </w:rPr>
      </w:pPr>
      <w:r>
        <w:rPr>
          <w:rFonts w:cs="Times New Roman"/>
          <w:szCs w:val="24"/>
        </w:rPr>
        <w:t>ICRO DO Review</w:t>
      </w:r>
    </w:p>
    <w:p w:rsidRPr="007E3F48" w:rsidR="00165FD2" w:rsidP="00713BC3" w:rsidRDefault="00904CDA" w14:paraId="0E216F1E" w14:textId="6F4F3774">
      <w:pPr>
        <w:pStyle w:val="NoSpacing"/>
        <w:jc w:val="center"/>
        <w:rPr>
          <w:rFonts w:cs="Times New Roman"/>
          <w:szCs w:val="24"/>
        </w:rPr>
      </w:pPr>
      <w:r>
        <w:rPr>
          <w:rFonts w:cs="Times New Roman"/>
          <w:szCs w:val="24"/>
        </w:rPr>
        <w:t>January 13, 2022</w:t>
      </w:r>
    </w:p>
    <w:p w:rsidRPr="007E3F48" w:rsidR="005342FB" w:rsidP="00713BC3" w:rsidRDefault="005342FB" w14:paraId="1B38B83A" w14:textId="77777777">
      <w:pPr>
        <w:pStyle w:val="NoSpacing"/>
        <w:jc w:val="center"/>
        <w:rPr>
          <w:rFonts w:cs="Times New Roman"/>
          <w:b/>
          <w:szCs w:val="24"/>
        </w:rPr>
      </w:pPr>
    </w:p>
    <w:p w:rsidRPr="007E3F48" w:rsidR="005342FB" w:rsidP="00713BC3" w:rsidRDefault="005342FB" w14:paraId="6A0037F9" w14:textId="77777777">
      <w:pPr>
        <w:pStyle w:val="NoSpacing"/>
        <w:jc w:val="center"/>
        <w:rPr>
          <w:rFonts w:cs="Times New Roman"/>
          <w:b/>
          <w:szCs w:val="24"/>
        </w:rPr>
      </w:pPr>
    </w:p>
    <w:p w:rsidR="00B4510E" w:rsidP="00713BC3" w:rsidRDefault="00B4510E" w14:paraId="2523B183" w14:textId="77777777">
      <w:pPr>
        <w:pStyle w:val="NoSpacing"/>
        <w:jc w:val="center"/>
        <w:rPr>
          <w:rFonts w:cs="Times New Roman"/>
          <w:b/>
          <w:szCs w:val="24"/>
        </w:rPr>
      </w:pPr>
    </w:p>
    <w:p w:rsidR="00B4510E" w:rsidP="00713BC3" w:rsidRDefault="00B4510E" w14:paraId="0DA720FF" w14:textId="77777777">
      <w:pPr>
        <w:pStyle w:val="NoSpacing"/>
        <w:jc w:val="center"/>
        <w:rPr>
          <w:rFonts w:cs="Times New Roman"/>
          <w:b/>
          <w:szCs w:val="24"/>
        </w:rPr>
      </w:pPr>
    </w:p>
    <w:p w:rsidR="00B4510E" w:rsidP="00713BC3" w:rsidRDefault="00B4510E" w14:paraId="60E33692" w14:textId="77777777">
      <w:pPr>
        <w:pStyle w:val="NoSpacing"/>
        <w:jc w:val="center"/>
        <w:rPr>
          <w:rFonts w:cs="Times New Roman"/>
          <w:b/>
          <w:szCs w:val="24"/>
        </w:rPr>
      </w:pPr>
    </w:p>
    <w:p w:rsidR="00B4510E" w:rsidP="00713BC3" w:rsidRDefault="00B4510E" w14:paraId="4E16CEA1" w14:textId="77777777">
      <w:pPr>
        <w:pStyle w:val="NoSpacing"/>
        <w:jc w:val="center"/>
        <w:rPr>
          <w:rFonts w:cs="Times New Roman"/>
          <w:b/>
          <w:szCs w:val="24"/>
        </w:rPr>
      </w:pPr>
    </w:p>
    <w:p w:rsidR="00B4510E" w:rsidP="00713BC3" w:rsidRDefault="00B4510E" w14:paraId="1F7F432E" w14:textId="77777777">
      <w:pPr>
        <w:pStyle w:val="NoSpacing"/>
        <w:jc w:val="center"/>
        <w:rPr>
          <w:rFonts w:cs="Times New Roman"/>
          <w:b/>
          <w:szCs w:val="24"/>
        </w:rPr>
      </w:pPr>
    </w:p>
    <w:p w:rsidR="00B4510E" w:rsidP="00713BC3" w:rsidRDefault="00B4510E" w14:paraId="635AD4A3" w14:textId="77777777">
      <w:pPr>
        <w:pStyle w:val="NoSpacing"/>
        <w:jc w:val="center"/>
        <w:rPr>
          <w:rFonts w:cs="Times New Roman"/>
          <w:b/>
          <w:szCs w:val="24"/>
        </w:rPr>
      </w:pPr>
    </w:p>
    <w:p w:rsidR="00B4510E" w:rsidP="00713BC3" w:rsidRDefault="00B4510E" w14:paraId="3FAA5ACB" w14:textId="77777777">
      <w:pPr>
        <w:pStyle w:val="NoSpacing"/>
        <w:jc w:val="center"/>
        <w:rPr>
          <w:rFonts w:cs="Times New Roman"/>
          <w:b/>
          <w:szCs w:val="24"/>
        </w:rPr>
      </w:pPr>
    </w:p>
    <w:p w:rsidR="00B4510E" w:rsidP="00713BC3" w:rsidRDefault="00B4510E" w14:paraId="55CE6FD2" w14:textId="77777777">
      <w:pPr>
        <w:pStyle w:val="NoSpacing"/>
        <w:jc w:val="center"/>
        <w:rPr>
          <w:rFonts w:cs="Times New Roman"/>
          <w:b/>
          <w:szCs w:val="24"/>
        </w:rPr>
      </w:pPr>
    </w:p>
    <w:p w:rsidR="00B4510E" w:rsidP="00713BC3" w:rsidRDefault="00B4510E" w14:paraId="0D53A592" w14:textId="77777777">
      <w:pPr>
        <w:pStyle w:val="NoSpacing"/>
        <w:jc w:val="center"/>
        <w:rPr>
          <w:rFonts w:cs="Times New Roman"/>
          <w:b/>
          <w:szCs w:val="24"/>
        </w:rPr>
      </w:pPr>
    </w:p>
    <w:p w:rsidR="00B4510E" w:rsidP="00713BC3" w:rsidRDefault="00B4510E" w14:paraId="4985DDC6" w14:textId="77777777">
      <w:pPr>
        <w:pStyle w:val="NoSpacing"/>
        <w:jc w:val="center"/>
        <w:rPr>
          <w:rFonts w:cs="Times New Roman"/>
          <w:b/>
          <w:szCs w:val="24"/>
        </w:rPr>
      </w:pPr>
    </w:p>
    <w:p w:rsidR="00B4510E" w:rsidP="00713BC3" w:rsidRDefault="00B4510E" w14:paraId="52BA27B7" w14:textId="77777777">
      <w:pPr>
        <w:pStyle w:val="NoSpacing"/>
        <w:jc w:val="center"/>
        <w:rPr>
          <w:rFonts w:cs="Times New Roman"/>
          <w:b/>
          <w:szCs w:val="24"/>
        </w:rPr>
      </w:pPr>
    </w:p>
    <w:p w:rsidR="00B4510E" w:rsidP="00713BC3" w:rsidRDefault="00B4510E" w14:paraId="20565D65" w14:textId="77777777">
      <w:pPr>
        <w:pStyle w:val="NoSpacing"/>
        <w:jc w:val="center"/>
        <w:rPr>
          <w:rFonts w:cs="Times New Roman"/>
          <w:b/>
          <w:szCs w:val="24"/>
        </w:rPr>
      </w:pPr>
    </w:p>
    <w:p w:rsidRPr="007E3F48" w:rsidR="005342FB" w:rsidP="00713BC3" w:rsidRDefault="005342FB" w14:paraId="2570406C" w14:textId="3F8D071B">
      <w:pPr>
        <w:pStyle w:val="NoSpacing"/>
        <w:jc w:val="center"/>
        <w:rPr>
          <w:rFonts w:cs="Times New Roman"/>
          <w:b/>
          <w:szCs w:val="24"/>
        </w:rPr>
      </w:pPr>
      <w:r w:rsidRPr="007E3F48">
        <w:rPr>
          <w:rFonts w:cs="Times New Roman"/>
          <w:b/>
          <w:szCs w:val="24"/>
        </w:rPr>
        <w:t>CONTACT</w:t>
      </w:r>
    </w:p>
    <w:p w:rsidRPr="007E3F48" w:rsidR="00F32996" w:rsidP="00713BC3" w:rsidRDefault="00F32996" w14:paraId="1A79503C" w14:textId="77777777">
      <w:pPr>
        <w:pStyle w:val="NoSpacing"/>
        <w:jc w:val="center"/>
        <w:rPr>
          <w:rFonts w:eastAsia="Times New Roman" w:cs="Times New Roman"/>
          <w:bCs/>
          <w:szCs w:val="24"/>
          <w:shd w:val="clear" w:color="auto" w:fill="FFFFFF"/>
        </w:rPr>
      </w:pPr>
      <w:r w:rsidRPr="007E3F48">
        <w:rPr>
          <w:rFonts w:eastAsia="Times New Roman" w:cs="Times New Roman"/>
          <w:bCs/>
          <w:szCs w:val="24"/>
          <w:shd w:val="clear" w:color="auto" w:fill="FFFFFF"/>
        </w:rPr>
        <w:t>Neal Carnes, PhD</w:t>
      </w:r>
    </w:p>
    <w:p w:rsidRPr="007E3F48" w:rsidR="00F32996" w:rsidP="00713BC3" w:rsidRDefault="00DE1A44" w14:paraId="0A54A490" w14:textId="18853EB0">
      <w:pPr>
        <w:pStyle w:val="NoSpacing"/>
        <w:jc w:val="center"/>
        <w:rPr>
          <w:rFonts w:eastAsia="Times New Roman" w:cs="Times New Roman"/>
          <w:bCs/>
          <w:szCs w:val="24"/>
          <w:shd w:val="clear" w:color="auto" w:fill="FFFFFF"/>
        </w:rPr>
      </w:pPr>
      <w:r>
        <w:rPr>
          <w:rFonts w:eastAsia="Times New Roman" w:cs="Times New Roman"/>
          <w:bCs/>
          <w:szCs w:val="24"/>
          <w:shd w:val="clear" w:color="auto" w:fill="FFFFFF"/>
        </w:rPr>
        <w:t>Senior Health Scientist</w:t>
      </w:r>
    </w:p>
    <w:p w:rsidRPr="007E3F48" w:rsidR="00527188" w:rsidP="00713BC3" w:rsidRDefault="00527188" w14:paraId="45B0ADF7" w14:textId="42207320">
      <w:pPr>
        <w:pStyle w:val="NoSpacing"/>
        <w:jc w:val="center"/>
        <w:rPr>
          <w:rFonts w:cs="Times New Roman"/>
          <w:szCs w:val="24"/>
          <w:shd w:val="clear" w:color="auto" w:fill="FFFFFF"/>
        </w:rPr>
      </w:pPr>
      <w:r w:rsidRPr="007E3F48">
        <w:rPr>
          <w:rFonts w:cs="Times New Roman"/>
          <w:szCs w:val="24"/>
          <w:shd w:val="clear" w:color="auto" w:fill="FFFFFF"/>
        </w:rPr>
        <w:t>Centers for Disease Control and Prevention</w:t>
      </w:r>
      <w:r w:rsidRPr="007E3F48">
        <w:rPr>
          <w:rFonts w:cs="Times New Roman"/>
          <w:szCs w:val="24"/>
        </w:rPr>
        <w:br/>
      </w:r>
      <w:r w:rsidRPr="007E3F48">
        <w:rPr>
          <w:rFonts w:cs="Times New Roman"/>
          <w:szCs w:val="24"/>
          <w:shd w:val="clear" w:color="auto" w:fill="FFFFFF"/>
        </w:rPr>
        <w:t>Division of HIV/AIDS Prevention</w:t>
      </w:r>
      <w:r w:rsidRPr="007E3F48">
        <w:rPr>
          <w:rFonts w:cs="Times New Roman"/>
          <w:szCs w:val="24"/>
        </w:rPr>
        <w:t xml:space="preserve"> </w:t>
      </w:r>
      <w:r w:rsidRPr="007E3F48">
        <w:rPr>
          <w:rFonts w:cs="Times New Roman"/>
          <w:szCs w:val="24"/>
        </w:rPr>
        <w:br/>
      </w:r>
      <w:r w:rsidRPr="007E3F48">
        <w:rPr>
          <w:rFonts w:cs="Times New Roman"/>
          <w:szCs w:val="24"/>
          <w:shd w:val="clear" w:color="auto" w:fill="FFFFFF"/>
        </w:rPr>
        <w:t>1600</w:t>
      </w:r>
      <w:r w:rsidR="00F02B6C">
        <w:rPr>
          <w:rFonts w:cs="Times New Roman"/>
          <w:szCs w:val="24"/>
          <w:shd w:val="clear" w:color="auto" w:fill="FFFFFF"/>
        </w:rPr>
        <w:t xml:space="preserve"> Clifton Road, NE, </w:t>
      </w:r>
      <w:proofErr w:type="gramStart"/>
      <w:r w:rsidR="00F02B6C">
        <w:rPr>
          <w:rFonts w:cs="Times New Roman"/>
          <w:szCs w:val="24"/>
          <w:shd w:val="clear" w:color="auto" w:fill="FFFFFF"/>
        </w:rPr>
        <w:t xml:space="preserve">Mailstop  </w:t>
      </w:r>
      <w:r w:rsidR="00DE1A44">
        <w:rPr>
          <w:rFonts w:cs="Times New Roman"/>
          <w:szCs w:val="24"/>
          <w:shd w:val="clear" w:color="auto" w:fill="FFFFFF"/>
        </w:rPr>
        <w:t>OC</w:t>
      </w:r>
      <w:proofErr w:type="gramEnd"/>
      <w:r w:rsidR="00F02B6C">
        <w:rPr>
          <w:rFonts w:cs="Times New Roman"/>
          <w:szCs w:val="24"/>
          <w:shd w:val="clear" w:color="auto" w:fill="FFFFFF"/>
        </w:rPr>
        <w:t>8</w:t>
      </w:r>
      <w:r w:rsidR="00DE1A44">
        <w:rPr>
          <w:rFonts w:cs="Times New Roman"/>
          <w:szCs w:val="24"/>
          <w:shd w:val="clear" w:color="auto" w:fill="FFFFFF"/>
        </w:rPr>
        <w:t>-3</w:t>
      </w:r>
      <w:r w:rsidRPr="007E3F48">
        <w:rPr>
          <w:rFonts w:cs="Times New Roman"/>
          <w:szCs w:val="24"/>
        </w:rPr>
        <w:br/>
      </w:r>
      <w:r w:rsidR="00F02B6C">
        <w:rPr>
          <w:rFonts w:cs="Times New Roman"/>
          <w:szCs w:val="24"/>
          <w:shd w:val="clear" w:color="auto" w:fill="FFFFFF"/>
        </w:rPr>
        <w:t>Atlanta, GA 30329</w:t>
      </w:r>
      <w:r w:rsidRPr="007E3F48">
        <w:rPr>
          <w:rFonts w:cs="Times New Roman"/>
          <w:szCs w:val="24"/>
        </w:rPr>
        <w:br/>
      </w:r>
      <w:r w:rsidRPr="007E3F48">
        <w:rPr>
          <w:rFonts w:cs="Times New Roman"/>
          <w:szCs w:val="24"/>
          <w:shd w:val="clear" w:color="auto" w:fill="FFFFFF"/>
        </w:rPr>
        <w:t xml:space="preserve">Phone: </w:t>
      </w:r>
      <w:r w:rsidRPr="007E3F48" w:rsidR="00F32996">
        <w:rPr>
          <w:rFonts w:cs="Times New Roman"/>
          <w:szCs w:val="24"/>
          <w:shd w:val="clear" w:color="auto" w:fill="FFFFFF"/>
        </w:rPr>
        <w:t>404-718-5379</w:t>
      </w:r>
    </w:p>
    <w:p w:rsidRPr="007E3F48" w:rsidR="00527188" w:rsidP="00713BC3" w:rsidRDefault="00527188" w14:paraId="260EBF7D" w14:textId="02F3A949">
      <w:pPr>
        <w:pStyle w:val="NoSpacing"/>
        <w:jc w:val="center"/>
        <w:rPr>
          <w:rFonts w:cs="Times New Roman"/>
          <w:szCs w:val="24"/>
        </w:rPr>
      </w:pPr>
      <w:r w:rsidRPr="007E3F48">
        <w:rPr>
          <w:rFonts w:cs="Times New Roman"/>
          <w:szCs w:val="24"/>
          <w:shd w:val="clear" w:color="auto" w:fill="FFFFFF"/>
        </w:rPr>
        <w:t>Fax: 404-639-1950</w:t>
      </w:r>
      <w:r w:rsidRPr="007E3F48">
        <w:rPr>
          <w:rFonts w:cs="Times New Roman"/>
          <w:szCs w:val="24"/>
        </w:rPr>
        <w:br/>
      </w:r>
      <w:r w:rsidRPr="007E3F48">
        <w:rPr>
          <w:rFonts w:cs="Times New Roman"/>
          <w:szCs w:val="24"/>
          <w:shd w:val="clear" w:color="auto" w:fill="FFFFFF"/>
        </w:rPr>
        <w:t>E-mail:</w:t>
      </w:r>
      <w:r w:rsidRPr="007E3F48">
        <w:rPr>
          <w:rFonts w:cs="Times New Roman"/>
          <w:szCs w:val="24"/>
        </w:rPr>
        <w:t> </w:t>
      </w:r>
      <w:r w:rsidRPr="007E3F48" w:rsidR="00F32996">
        <w:rPr>
          <w:rFonts w:cs="Times New Roman"/>
          <w:szCs w:val="24"/>
        </w:rPr>
        <w:t>mwi2</w:t>
      </w:r>
      <w:r w:rsidRPr="007E3F48">
        <w:rPr>
          <w:rFonts w:cs="Times New Roman"/>
          <w:szCs w:val="24"/>
        </w:rPr>
        <w:t>@cdc.gov</w:t>
      </w:r>
    </w:p>
    <w:p w:rsidRPr="007E3F48" w:rsidR="00DC57CC" w:rsidP="00713BC3" w:rsidRDefault="00DC57CC" w14:paraId="1ED4E153" w14:textId="77777777"/>
    <w:p w:rsidRPr="007E3F48" w:rsidR="005342FB" w:rsidP="00713BC3" w:rsidRDefault="005342FB" w14:paraId="67D4E87E" w14:textId="77777777">
      <w:pPr>
        <w:rPr>
          <w:rFonts w:eastAsiaTheme="minorHAnsi"/>
        </w:rPr>
      </w:pPr>
      <w:r w:rsidRPr="007E3F48">
        <w:br w:type="page"/>
      </w:r>
    </w:p>
    <w:p w:rsidRPr="007E3F48" w:rsidR="005342FB" w:rsidP="00713BC3" w:rsidRDefault="005342FB" w14:paraId="6DE82494" w14:textId="77777777">
      <w:pPr>
        <w:pStyle w:val="NoSpacing"/>
        <w:pBdr>
          <w:bottom w:val="single" w:color="auto" w:sz="4" w:space="1"/>
        </w:pBdr>
        <w:rPr>
          <w:rFonts w:cs="Times New Roman"/>
          <w:b/>
          <w:szCs w:val="24"/>
        </w:rPr>
      </w:pPr>
      <w:r w:rsidRPr="007E3F48">
        <w:rPr>
          <w:rFonts w:cs="Times New Roman"/>
          <w:b/>
          <w:szCs w:val="24"/>
        </w:rPr>
        <w:lastRenderedPageBreak/>
        <w:t>TABLE OF CONTENTS</w:t>
      </w:r>
    </w:p>
    <w:p w:rsidRPr="007E3F48" w:rsidR="00D3747B" w:rsidP="00713BC3" w:rsidRDefault="00D3747B" w14:paraId="7DD036CD" w14:textId="77777777">
      <w:pPr>
        <w:pStyle w:val="NoSpacing"/>
        <w:rPr>
          <w:rFonts w:cs="Times New Roman"/>
          <w:b/>
          <w:szCs w:val="24"/>
        </w:rPr>
      </w:pPr>
    </w:p>
    <w:sdt>
      <w:sdtPr>
        <w:id w:val="1342736994"/>
        <w:docPartObj>
          <w:docPartGallery w:val="Table of Contents"/>
          <w:docPartUnique/>
        </w:docPartObj>
      </w:sdtPr>
      <w:sdtEndPr>
        <w:rPr>
          <w:b/>
          <w:bCs/>
          <w:noProof/>
        </w:rPr>
      </w:sdtEndPr>
      <w:sdtContent>
        <w:p w:rsidR="0077316D" w:rsidRDefault="00D3747B" w14:paraId="2DC05071" w14:textId="4EB716C8">
          <w:pPr>
            <w:pStyle w:val="TOC1"/>
            <w:rPr>
              <w:rFonts w:asciiTheme="minorHAnsi" w:hAnsiTheme="minorHAnsi" w:eastAsiaTheme="minorEastAsia" w:cstheme="minorBidi"/>
              <w:noProof/>
              <w:sz w:val="22"/>
              <w:szCs w:val="22"/>
            </w:rPr>
          </w:pPr>
          <w:r w:rsidRPr="007E3F48">
            <w:fldChar w:fldCharType="begin"/>
          </w:r>
          <w:r w:rsidRPr="007E3F48">
            <w:instrText xml:space="preserve"> TOC \o "1-3" \h \z \u </w:instrText>
          </w:r>
          <w:r w:rsidRPr="007E3F48">
            <w:fldChar w:fldCharType="separate"/>
          </w:r>
          <w:hyperlink w:history="1" w:anchor="_Toc77234425">
            <w:r w:rsidRPr="00386326" w:rsidR="0077316D">
              <w:rPr>
                <w:rStyle w:val="Hyperlink"/>
                <w:rFonts w:eastAsiaTheme="majorEastAsia"/>
                <w:noProof/>
              </w:rPr>
              <w:t>1.</w:t>
            </w:r>
            <w:r w:rsidR="0077316D">
              <w:rPr>
                <w:rFonts w:asciiTheme="minorHAnsi" w:hAnsiTheme="minorHAnsi" w:eastAsiaTheme="minorEastAsia" w:cstheme="minorBidi"/>
                <w:noProof/>
                <w:sz w:val="22"/>
                <w:szCs w:val="22"/>
              </w:rPr>
              <w:tab/>
            </w:r>
            <w:r w:rsidRPr="00386326" w:rsidR="0077316D">
              <w:rPr>
                <w:rStyle w:val="Hyperlink"/>
                <w:rFonts w:eastAsiaTheme="majorEastAsia"/>
                <w:noProof/>
              </w:rPr>
              <w:t>Target population</w:t>
            </w:r>
            <w:r w:rsidR="0077316D">
              <w:rPr>
                <w:noProof/>
                <w:webHidden/>
              </w:rPr>
              <w:tab/>
            </w:r>
            <w:r w:rsidR="0077316D">
              <w:rPr>
                <w:noProof/>
                <w:webHidden/>
              </w:rPr>
              <w:fldChar w:fldCharType="begin"/>
            </w:r>
            <w:r w:rsidR="0077316D">
              <w:rPr>
                <w:noProof/>
                <w:webHidden/>
              </w:rPr>
              <w:instrText xml:space="preserve"> PAGEREF _Toc77234425 \h </w:instrText>
            </w:r>
            <w:r w:rsidR="0077316D">
              <w:rPr>
                <w:noProof/>
                <w:webHidden/>
              </w:rPr>
            </w:r>
            <w:r w:rsidR="0077316D">
              <w:rPr>
                <w:noProof/>
                <w:webHidden/>
              </w:rPr>
              <w:fldChar w:fldCharType="separate"/>
            </w:r>
            <w:r w:rsidR="0077316D">
              <w:rPr>
                <w:noProof/>
                <w:webHidden/>
              </w:rPr>
              <w:t>3</w:t>
            </w:r>
            <w:r w:rsidR="0077316D">
              <w:rPr>
                <w:noProof/>
                <w:webHidden/>
              </w:rPr>
              <w:fldChar w:fldCharType="end"/>
            </w:r>
          </w:hyperlink>
        </w:p>
        <w:p w:rsidR="0077316D" w:rsidRDefault="0004245A" w14:paraId="45DADD16" w14:textId="2B6F3DFE">
          <w:pPr>
            <w:pStyle w:val="TOC1"/>
            <w:rPr>
              <w:rFonts w:asciiTheme="minorHAnsi" w:hAnsiTheme="minorHAnsi" w:eastAsiaTheme="minorEastAsia" w:cstheme="minorBidi"/>
              <w:noProof/>
              <w:sz w:val="22"/>
              <w:szCs w:val="22"/>
            </w:rPr>
          </w:pPr>
          <w:hyperlink w:history="1" w:anchor="_Toc77234426">
            <w:r w:rsidRPr="00386326" w:rsidR="0077316D">
              <w:rPr>
                <w:rStyle w:val="Hyperlink"/>
                <w:rFonts w:eastAsiaTheme="majorEastAsia"/>
                <w:noProof/>
              </w:rPr>
              <w:t>2.</w:t>
            </w:r>
            <w:r w:rsidR="0077316D">
              <w:rPr>
                <w:rFonts w:asciiTheme="minorHAnsi" w:hAnsiTheme="minorHAnsi" w:eastAsiaTheme="minorEastAsia" w:cstheme="minorBidi"/>
                <w:noProof/>
                <w:sz w:val="22"/>
                <w:szCs w:val="22"/>
              </w:rPr>
              <w:tab/>
            </w:r>
            <w:r w:rsidRPr="00386326" w:rsidR="0077316D">
              <w:rPr>
                <w:rStyle w:val="Hyperlink"/>
                <w:rFonts w:eastAsiaTheme="majorEastAsia"/>
                <w:noProof/>
              </w:rPr>
              <w:t>Procedures for the Collection of Information</w:t>
            </w:r>
            <w:r w:rsidR="0077316D">
              <w:rPr>
                <w:noProof/>
                <w:webHidden/>
              </w:rPr>
              <w:tab/>
            </w:r>
            <w:r w:rsidR="0077316D">
              <w:rPr>
                <w:noProof/>
                <w:webHidden/>
              </w:rPr>
              <w:fldChar w:fldCharType="begin"/>
            </w:r>
            <w:r w:rsidR="0077316D">
              <w:rPr>
                <w:noProof/>
                <w:webHidden/>
              </w:rPr>
              <w:instrText xml:space="preserve"> PAGEREF _Toc77234426 \h </w:instrText>
            </w:r>
            <w:r w:rsidR="0077316D">
              <w:rPr>
                <w:noProof/>
                <w:webHidden/>
              </w:rPr>
            </w:r>
            <w:r w:rsidR="0077316D">
              <w:rPr>
                <w:noProof/>
                <w:webHidden/>
              </w:rPr>
              <w:fldChar w:fldCharType="separate"/>
            </w:r>
            <w:r w:rsidR="0077316D">
              <w:rPr>
                <w:noProof/>
                <w:webHidden/>
              </w:rPr>
              <w:t>3</w:t>
            </w:r>
            <w:r w:rsidR="0077316D">
              <w:rPr>
                <w:noProof/>
                <w:webHidden/>
              </w:rPr>
              <w:fldChar w:fldCharType="end"/>
            </w:r>
          </w:hyperlink>
        </w:p>
        <w:p w:rsidR="0077316D" w:rsidRDefault="0004245A" w14:paraId="78606D41" w14:textId="15F8C8CE">
          <w:pPr>
            <w:pStyle w:val="TOC1"/>
            <w:rPr>
              <w:rFonts w:asciiTheme="minorHAnsi" w:hAnsiTheme="minorHAnsi" w:eastAsiaTheme="minorEastAsia" w:cstheme="minorBidi"/>
              <w:noProof/>
              <w:sz w:val="22"/>
              <w:szCs w:val="22"/>
            </w:rPr>
          </w:pPr>
          <w:hyperlink w:history="1" w:anchor="_Toc77234427">
            <w:r w:rsidRPr="00386326" w:rsidR="0077316D">
              <w:rPr>
                <w:rStyle w:val="Hyperlink"/>
                <w:rFonts w:eastAsiaTheme="majorEastAsia"/>
                <w:noProof/>
              </w:rPr>
              <w:t>3.</w:t>
            </w:r>
            <w:r w:rsidR="0077316D">
              <w:rPr>
                <w:rFonts w:asciiTheme="minorHAnsi" w:hAnsiTheme="minorHAnsi" w:eastAsiaTheme="minorEastAsia" w:cstheme="minorBidi"/>
                <w:noProof/>
                <w:sz w:val="22"/>
                <w:szCs w:val="22"/>
              </w:rPr>
              <w:tab/>
            </w:r>
            <w:r w:rsidRPr="00386326" w:rsidR="0077316D">
              <w:rPr>
                <w:rStyle w:val="Hyperlink"/>
                <w:rFonts w:eastAsiaTheme="majorEastAsia"/>
                <w:noProof/>
              </w:rPr>
              <w:t>Methods to Maximize Response Rates and Deal with No Response</w:t>
            </w:r>
            <w:r w:rsidR="0077316D">
              <w:rPr>
                <w:noProof/>
                <w:webHidden/>
              </w:rPr>
              <w:tab/>
            </w:r>
            <w:r w:rsidR="0077316D">
              <w:rPr>
                <w:noProof/>
                <w:webHidden/>
              </w:rPr>
              <w:fldChar w:fldCharType="begin"/>
            </w:r>
            <w:r w:rsidR="0077316D">
              <w:rPr>
                <w:noProof/>
                <w:webHidden/>
              </w:rPr>
              <w:instrText xml:space="preserve"> PAGEREF _Toc77234427 \h </w:instrText>
            </w:r>
            <w:r w:rsidR="0077316D">
              <w:rPr>
                <w:noProof/>
                <w:webHidden/>
              </w:rPr>
            </w:r>
            <w:r w:rsidR="0077316D">
              <w:rPr>
                <w:noProof/>
                <w:webHidden/>
              </w:rPr>
              <w:fldChar w:fldCharType="separate"/>
            </w:r>
            <w:r w:rsidR="0077316D">
              <w:rPr>
                <w:noProof/>
                <w:webHidden/>
              </w:rPr>
              <w:t>4</w:t>
            </w:r>
            <w:r w:rsidR="0077316D">
              <w:rPr>
                <w:noProof/>
                <w:webHidden/>
              </w:rPr>
              <w:fldChar w:fldCharType="end"/>
            </w:r>
          </w:hyperlink>
        </w:p>
        <w:p w:rsidR="0077316D" w:rsidRDefault="0004245A" w14:paraId="264C55C5" w14:textId="40047F38">
          <w:pPr>
            <w:pStyle w:val="TOC1"/>
            <w:rPr>
              <w:rFonts w:asciiTheme="minorHAnsi" w:hAnsiTheme="minorHAnsi" w:eastAsiaTheme="minorEastAsia" w:cstheme="minorBidi"/>
              <w:noProof/>
              <w:sz w:val="22"/>
              <w:szCs w:val="22"/>
            </w:rPr>
          </w:pPr>
          <w:hyperlink w:history="1" w:anchor="_Toc77234428">
            <w:r w:rsidRPr="00386326" w:rsidR="0077316D">
              <w:rPr>
                <w:rStyle w:val="Hyperlink"/>
                <w:rFonts w:eastAsiaTheme="majorEastAsia"/>
                <w:noProof/>
              </w:rPr>
              <w:t>4.</w:t>
            </w:r>
            <w:r w:rsidR="0077316D">
              <w:rPr>
                <w:rFonts w:asciiTheme="minorHAnsi" w:hAnsiTheme="minorHAnsi" w:eastAsiaTheme="minorEastAsia" w:cstheme="minorBidi"/>
                <w:noProof/>
                <w:sz w:val="22"/>
                <w:szCs w:val="22"/>
              </w:rPr>
              <w:tab/>
            </w:r>
            <w:r w:rsidRPr="00386326" w:rsidR="0077316D">
              <w:rPr>
                <w:rStyle w:val="Hyperlink"/>
                <w:rFonts w:eastAsiaTheme="majorEastAsia"/>
                <w:noProof/>
              </w:rPr>
              <w:t>Tests of Procedures or Methods to be Undertaken</w:t>
            </w:r>
            <w:r w:rsidR="0077316D">
              <w:rPr>
                <w:noProof/>
                <w:webHidden/>
              </w:rPr>
              <w:tab/>
            </w:r>
            <w:r w:rsidR="0077316D">
              <w:rPr>
                <w:noProof/>
                <w:webHidden/>
              </w:rPr>
              <w:fldChar w:fldCharType="begin"/>
            </w:r>
            <w:r w:rsidR="0077316D">
              <w:rPr>
                <w:noProof/>
                <w:webHidden/>
              </w:rPr>
              <w:instrText xml:space="preserve"> PAGEREF _Toc77234428 \h </w:instrText>
            </w:r>
            <w:r w:rsidR="0077316D">
              <w:rPr>
                <w:noProof/>
                <w:webHidden/>
              </w:rPr>
            </w:r>
            <w:r w:rsidR="0077316D">
              <w:rPr>
                <w:noProof/>
                <w:webHidden/>
              </w:rPr>
              <w:fldChar w:fldCharType="separate"/>
            </w:r>
            <w:r w:rsidR="0077316D">
              <w:rPr>
                <w:noProof/>
                <w:webHidden/>
              </w:rPr>
              <w:t>5</w:t>
            </w:r>
            <w:r w:rsidR="0077316D">
              <w:rPr>
                <w:noProof/>
                <w:webHidden/>
              </w:rPr>
              <w:fldChar w:fldCharType="end"/>
            </w:r>
          </w:hyperlink>
        </w:p>
        <w:p w:rsidR="0077316D" w:rsidRDefault="0004245A" w14:paraId="5983237B" w14:textId="7950B37E">
          <w:pPr>
            <w:pStyle w:val="TOC1"/>
            <w:rPr>
              <w:rFonts w:asciiTheme="minorHAnsi" w:hAnsiTheme="minorHAnsi" w:eastAsiaTheme="minorEastAsia" w:cstheme="minorBidi"/>
              <w:noProof/>
              <w:sz w:val="22"/>
              <w:szCs w:val="22"/>
            </w:rPr>
          </w:pPr>
          <w:hyperlink w:history="1" w:anchor="_Toc77234429">
            <w:r w:rsidRPr="00386326" w:rsidR="0077316D">
              <w:rPr>
                <w:rStyle w:val="Hyperlink"/>
                <w:rFonts w:eastAsiaTheme="majorEastAsia"/>
                <w:noProof/>
              </w:rPr>
              <w:t>5.</w:t>
            </w:r>
            <w:r w:rsidR="0077316D">
              <w:rPr>
                <w:rFonts w:asciiTheme="minorHAnsi" w:hAnsiTheme="minorHAnsi" w:eastAsiaTheme="minorEastAsia" w:cstheme="minorBidi"/>
                <w:noProof/>
                <w:sz w:val="22"/>
                <w:szCs w:val="22"/>
              </w:rPr>
              <w:tab/>
            </w:r>
            <w:r w:rsidRPr="00386326" w:rsidR="0077316D">
              <w:rPr>
                <w:rStyle w:val="Hyperlink"/>
                <w:rFonts w:eastAsiaTheme="majorEastAsia"/>
                <w:noProof/>
              </w:rPr>
              <w:t>Individuals Consulted on Statistical Aspects and Individuals Collecting and/or Analyzing Data</w:t>
            </w:r>
            <w:r w:rsidR="0077316D">
              <w:rPr>
                <w:noProof/>
                <w:webHidden/>
              </w:rPr>
              <w:tab/>
            </w:r>
            <w:r w:rsidR="0077316D">
              <w:rPr>
                <w:noProof/>
                <w:webHidden/>
              </w:rPr>
              <w:fldChar w:fldCharType="begin"/>
            </w:r>
            <w:r w:rsidR="0077316D">
              <w:rPr>
                <w:noProof/>
                <w:webHidden/>
              </w:rPr>
              <w:instrText xml:space="preserve"> PAGEREF _Toc77234429 \h </w:instrText>
            </w:r>
            <w:r w:rsidR="0077316D">
              <w:rPr>
                <w:noProof/>
                <w:webHidden/>
              </w:rPr>
            </w:r>
            <w:r w:rsidR="0077316D">
              <w:rPr>
                <w:noProof/>
                <w:webHidden/>
              </w:rPr>
              <w:fldChar w:fldCharType="separate"/>
            </w:r>
            <w:r w:rsidR="0077316D">
              <w:rPr>
                <w:noProof/>
                <w:webHidden/>
              </w:rPr>
              <w:t>5</w:t>
            </w:r>
            <w:r w:rsidR="0077316D">
              <w:rPr>
                <w:noProof/>
                <w:webHidden/>
              </w:rPr>
              <w:fldChar w:fldCharType="end"/>
            </w:r>
          </w:hyperlink>
        </w:p>
        <w:p w:rsidRPr="007E3F48" w:rsidR="00D3747B" w:rsidP="00713BC3" w:rsidRDefault="00D3747B" w14:paraId="04F75F82" w14:textId="16F51960">
          <w:r w:rsidRPr="007E3F48">
            <w:rPr>
              <w:b/>
              <w:bCs/>
              <w:noProof/>
            </w:rPr>
            <w:fldChar w:fldCharType="end"/>
          </w:r>
        </w:p>
      </w:sdtContent>
    </w:sdt>
    <w:p w:rsidRPr="007E3F48" w:rsidR="005342FB" w:rsidP="00713BC3" w:rsidRDefault="005342FB" w14:paraId="2117A651" w14:textId="77777777">
      <w:pPr>
        <w:pStyle w:val="NoSpacing"/>
        <w:rPr>
          <w:rFonts w:cs="Times New Roman"/>
          <w:szCs w:val="24"/>
        </w:rPr>
      </w:pPr>
    </w:p>
    <w:p w:rsidRPr="007E3F48" w:rsidR="005342FB" w:rsidP="00713BC3" w:rsidRDefault="00D3747B" w14:paraId="235442B7" w14:textId="77777777">
      <w:pPr>
        <w:pStyle w:val="NoSpacing"/>
        <w:pBdr>
          <w:bottom w:val="single" w:color="auto" w:sz="4" w:space="1"/>
        </w:pBdr>
        <w:rPr>
          <w:rFonts w:cs="Times New Roman"/>
          <w:b/>
          <w:szCs w:val="24"/>
        </w:rPr>
      </w:pPr>
      <w:r w:rsidRPr="007E3F48">
        <w:rPr>
          <w:rFonts w:cs="Times New Roman"/>
          <w:b/>
          <w:szCs w:val="24"/>
        </w:rPr>
        <w:t>EXHIBITS</w:t>
      </w:r>
    </w:p>
    <w:p w:rsidRPr="007E3F48" w:rsidR="00FF1B1C" w:rsidP="00713BC3" w:rsidRDefault="00FF1B1C" w14:paraId="72903424" w14:textId="77777777">
      <w:pPr>
        <w:pStyle w:val="NoSpacing"/>
        <w:rPr>
          <w:rFonts w:cs="Times New Roman"/>
          <w:b/>
          <w:szCs w:val="24"/>
        </w:rPr>
      </w:pPr>
    </w:p>
    <w:p w:rsidR="009839A3" w:rsidRDefault="00064522" w14:paraId="3CF0E16B" w14:textId="405E080E">
      <w:pPr>
        <w:pStyle w:val="TableofFigures"/>
        <w:tabs>
          <w:tab w:val="right" w:leader="dot" w:pos="9350"/>
        </w:tabs>
        <w:rPr>
          <w:noProof/>
        </w:rPr>
      </w:pPr>
      <w:r w:rsidRPr="00064522">
        <w:t>Summary of Recruitment Targets</w:t>
      </w:r>
      <w:r>
        <w:tab/>
        <w:t>4</w:t>
      </w:r>
      <w:r w:rsidRPr="007E3F48" w:rsidR="007F29CE">
        <w:fldChar w:fldCharType="begin"/>
      </w:r>
      <w:r w:rsidRPr="007E3F48" w:rsidR="007F29CE">
        <w:instrText xml:space="preserve"> TOC \h \z \c "Exhibit" </w:instrText>
      </w:r>
      <w:r w:rsidRPr="007E3F48" w:rsidR="007F29CE">
        <w:fldChar w:fldCharType="separate"/>
      </w:r>
    </w:p>
    <w:p w:rsidRPr="00310A52" w:rsidR="00310A52" w:rsidP="00064522" w:rsidRDefault="00064522" w14:paraId="65B2E7C6" w14:textId="3E96C316">
      <w:pPr>
        <w:tabs>
          <w:tab w:val="left" w:leader="dot" w:pos="9180"/>
        </w:tabs>
        <w:rPr>
          <w:rFonts w:eastAsiaTheme="minorEastAsia"/>
        </w:rPr>
      </w:pPr>
      <w:r>
        <w:rPr>
          <w:rFonts w:eastAsiaTheme="minorEastAsia"/>
        </w:rPr>
        <w:t>Exhibit 5</w:t>
      </w:r>
      <w:r w:rsidRPr="00310A52" w:rsidR="00310A52">
        <w:rPr>
          <w:rFonts w:eastAsiaTheme="minorEastAsia"/>
        </w:rPr>
        <w:t>.</w:t>
      </w:r>
      <w:r>
        <w:rPr>
          <w:rFonts w:eastAsiaTheme="minorEastAsia"/>
        </w:rPr>
        <w:t>1</w:t>
      </w:r>
      <w:r w:rsidRPr="00310A52" w:rsidR="00310A52">
        <w:rPr>
          <w:rFonts w:eastAsiaTheme="minorEastAsia"/>
        </w:rPr>
        <w:t>: Study Consultants</w:t>
      </w:r>
      <w:r>
        <w:rPr>
          <w:rFonts w:eastAsiaTheme="minorEastAsia"/>
        </w:rPr>
        <w:tab/>
      </w:r>
      <w:r w:rsidR="00310A52">
        <w:rPr>
          <w:rFonts w:eastAsiaTheme="minorEastAsia"/>
        </w:rPr>
        <w:t xml:space="preserve"> 7</w:t>
      </w:r>
    </w:p>
    <w:p w:rsidRPr="007E3F48" w:rsidR="00FF1B1C" w:rsidP="00713BC3" w:rsidRDefault="007F29CE" w14:paraId="48E51430" w14:textId="48E2B970">
      <w:pPr>
        <w:pStyle w:val="NoSpacing"/>
        <w:rPr>
          <w:rFonts w:cs="Times New Roman"/>
          <w:b/>
          <w:szCs w:val="24"/>
        </w:rPr>
      </w:pPr>
      <w:r w:rsidRPr="007E3F48">
        <w:rPr>
          <w:rFonts w:cs="Times New Roman"/>
          <w:szCs w:val="24"/>
        </w:rPr>
        <w:fldChar w:fldCharType="end"/>
      </w:r>
      <w:r w:rsidRPr="007E3F48">
        <w:rPr>
          <w:rFonts w:cs="Times New Roman"/>
          <w:b/>
          <w:szCs w:val="24"/>
        </w:rPr>
        <w:t xml:space="preserve"> </w:t>
      </w:r>
    </w:p>
    <w:p w:rsidRPr="007E3F48" w:rsidR="005342FB" w:rsidP="00713BC3" w:rsidRDefault="005342FB" w14:paraId="17444F21" w14:textId="2ED127E1">
      <w:pPr>
        <w:pStyle w:val="NoSpacing"/>
        <w:tabs>
          <w:tab w:val="left" w:pos="360"/>
        </w:tabs>
        <w:rPr>
          <w:rFonts w:cs="Times New Roman"/>
          <w:szCs w:val="24"/>
        </w:rPr>
      </w:pPr>
      <w:r w:rsidRPr="007E3F48">
        <w:rPr>
          <w:rFonts w:cs="Times New Roman"/>
          <w:b/>
          <w:szCs w:val="24"/>
        </w:rPr>
        <w:br w:type="page"/>
      </w:r>
    </w:p>
    <w:p w:rsidRPr="00156E3A" w:rsidR="00465BBD" w:rsidP="00713BC3" w:rsidRDefault="00156E3A" w14:paraId="3B1F4A41" w14:textId="6C58BF86">
      <w:pPr>
        <w:pStyle w:val="Heading1"/>
        <w:spacing w:before="0"/>
        <w:rPr>
          <w:rFonts w:cs="Times New Roman"/>
          <w:szCs w:val="24"/>
        </w:rPr>
      </w:pPr>
      <w:r>
        <w:rPr>
          <w:rFonts w:cs="Times New Roman"/>
          <w:szCs w:val="24"/>
        </w:rPr>
        <w:lastRenderedPageBreak/>
        <w:t>Respondent Universe and Sampling Methods</w:t>
      </w:r>
    </w:p>
    <w:p w:rsidRPr="007E3F48" w:rsidR="00713BC3" w:rsidP="00713BC3" w:rsidRDefault="00713BC3" w14:paraId="71FB76FB" w14:textId="77777777"/>
    <w:p w:rsidR="00D67D34" w:rsidP="00DE1A44" w:rsidRDefault="00533CCF" w14:paraId="082E4C3A" w14:textId="5772F951">
      <w:pPr>
        <w:pStyle w:val="Normal1"/>
        <w:rPr>
          <w:rFonts w:cs="Times New Roman"/>
        </w:rPr>
      </w:pPr>
      <w:r w:rsidRPr="007E3F48">
        <w:rPr>
          <w:rFonts w:cs="Times New Roman"/>
        </w:rPr>
        <w:t xml:space="preserve">The </w:t>
      </w:r>
      <w:r w:rsidRPr="000B5857" w:rsidR="000B5857">
        <w:rPr>
          <w:rFonts w:cs="Times New Roman"/>
        </w:rPr>
        <w:t xml:space="preserve">HIV Prevention Capacity Development Needs Assessments of Federally funded Health Departments and Community-Based </w:t>
      </w:r>
      <w:r w:rsidRPr="000B5857" w:rsidR="00167F5B">
        <w:rPr>
          <w:rFonts w:cs="Times New Roman"/>
        </w:rPr>
        <w:t>Organizations</w:t>
      </w:r>
      <w:r w:rsidR="00167F5B">
        <w:rPr>
          <w:rFonts w:cs="Times New Roman"/>
        </w:rPr>
        <w:t xml:space="preserve">’ </w:t>
      </w:r>
      <w:r w:rsidR="00156E3A">
        <w:rPr>
          <w:rFonts w:cs="Times New Roman"/>
        </w:rPr>
        <w:t>respondent universe</w:t>
      </w:r>
      <w:r w:rsidRPr="007E3F48">
        <w:rPr>
          <w:rFonts w:cs="Times New Roman"/>
        </w:rPr>
        <w:t xml:space="preserve"> </w:t>
      </w:r>
      <w:r w:rsidRPr="007E3F48" w:rsidR="00DE1A44">
        <w:rPr>
          <w:rFonts w:cs="Times New Roman"/>
        </w:rPr>
        <w:t>include</w:t>
      </w:r>
      <w:r w:rsidR="000D2848">
        <w:rPr>
          <w:rFonts w:cs="Times New Roman"/>
        </w:rPr>
        <w:t>s</w:t>
      </w:r>
      <w:r w:rsidRPr="007E3F48">
        <w:rPr>
          <w:rFonts w:cs="Times New Roman"/>
        </w:rPr>
        <w:t xml:space="preserve"> two </w:t>
      </w:r>
      <w:r w:rsidR="00DE1A44">
        <w:rPr>
          <w:rFonts w:cs="Times New Roman"/>
        </w:rPr>
        <w:t>types of agencies</w:t>
      </w:r>
      <w:r w:rsidRPr="007E3F48">
        <w:rPr>
          <w:rFonts w:cs="Times New Roman"/>
        </w:rPr>
        <w:t>: (1)</w:t>
      </w:r>
      <w:r w:rsidR="00DE1A44">
        <w:rPr>
          <w:rFonts w:cs="Times New Roman"/>
        </w:rPr>
        <w:t xml:space="preserve"> CDC directly funded community-based organizations (CBOs)</w:t>
      </w:r>
      <w:r w:rsidR="00106E80">
        <w:rPr>
          <w:rFonts w:cs="Times New Roman"/>
        </w:rPr>
        <w:t>,</w:t>
      </w:r>
      <w:r w:rsidRPr="007E3F48">
        <w:rPr>
          <w:rFonts w:cs="Times New Roman"/>
        </w:rPr>
        <w:t xml:space="preserve"> and (2) </w:t>
      </w:r>
      <w:r w:rsidR="00DE1A44">
        <w:rPr>
          <w:rFonts w:cs="Times New Roman"/>
        </w:rPr>
        <w:t>CDC directly funded health departments (HDs)</w:t>
      </w:r>
      <w:r w:rsidR="000D2848">
        <w:rPr>
          <w:rFonts w:cs="Times New Roman"/>
        </w:rPr>
        <w:t>, collectively referred to as directly funded agencies</w:t>
      </w:r>
      <w:r w:rsidRPr="007E3F48">
        <w:rPr>
          <w:rFonts w:cs="Times New Roman"/>
        </w:rPr>
        <w:t xml:space="preserve">. </w:t>
      </w:r>
      <w:r w:rsidR="00105296">
        <w:rPr>
          <w:rFonts w:cs="Times New Roman"/>
        </w:rPr>
        <w:t>The CDC anticipates</w:t>
      </w:r>
      <w:r w:rsidR="0006083A">
        <w:rPr>
          <w:rFonts w:cs="Times New Roman"/>
        </w:rPr>
        <w:t xml:space="preserve"> the population </w:t>
      </w:r>
      <w:r w:rsidR="000464A1">
        <w:rPr>
          <w:rFonts w:cs="Times New Roman"/>
        </w:rPr>
        <w:t xml:space="preserve">of eligible agencies </w:t>
      </w:r>
      <w:r w:rsidR="00870163">
        <w:rPr>
          <w:rFonts w:cs="Times New Roman"/>
        </w:rPr>
        <w:t>will</w:t>
      </w:r>
      <w:r w:rsidR="000464A1">
        <w:rPr>
          <w:rFonts w:cs="Times New Roman"/>
        </w:rPr>
        <w:t xml:space="preserve"> participate, not just a sample. </w:t>
      </w:r>
      <w:r w:rsidRPr="007E3F48">
        <w:rPr>
          <w:rFonts w:cs="Times New Roman"/>
        </w:rPr>
        <w:t>Th</w:t>
      </w:r>
      <w:r w:rsidRPr="007E3F48" w:rsidR="00BA4E35">
        <w:rPr>
          <w:rFonts w:cs="Times New Roman"/>
        </w:rPr>
        <w:t xml:space="preserve">e </w:t>
      </w:r>
      <w:r w:rsidR="00DE1A44">
        <w:rPr>
          <w:rFonts w:cs="Times New Roman"/>
        </w:rPr>
        <w:t>population</w:t>
      </w:r>
      <w:r w:rsidRPr="007E3F48" w:rsidR="00BA4E35">
        <w:rPr>
          <w:rFonts w:cs="Times New Roman"/>
        </w:rPr>
        <w:t xml:space="preserve"> will include</w:t>
      </w:r>
      <w:r w:rsidR="00DE1A44">
        <w:rPr>
          <w:rFonts w:cs="Times New Roman"/>
        </w:rPr>
        <w:t xml:space="preserve"> approximately</w:t>
      </w:r>
      <w:r w:rsidRPr="007E3F48">
        <w:rPr>
          <w:rFonts w:cs="Times New Roman"/>
        </w:rPr>
        <w:t xml:space="preserve"> </w:t>
      </w:r>
      <w:r w:rsidR="00870163">
        <w:rPr>
          <w:rFonts w:cs="Times New Roman"/>
        </w:rPr>
        <w:t>200</w:t>
      </w:r>
      <w:r w:rsidR="00DE1A44">
        <w:rPr>
          <w:rFonts w:cs="Times New Roman"/>
        </w:rPr>
        <w:t xml:space="preserve"> agencies</w:t>
      </w:r>
      <w:r w:rsidRPr="007E3F48">
        <w:rPr>
          <w:rFonts w:cs="Times New Roman"/>
        </w:rPr>
        <w:t xml:space="preserve">: </w:t>
      </w:r>
      <w:r w:rsidR="00DE1A44">
        <w:rPr>
          <w:rFonts w:cs="Times New Roman"/>
        </w:rPr>
        <w:t>1</w:t>
      </w:r>
      <w:r w:rsidR="00870163">
        <w:rPr>
          <w:rFonts w:cs="Times New Roman"/>
        </w:rPr>
        <w:t>30</w:t>
      </w:r>
      <w:r w:rsidR="00DE1A44">
        <w:rPr>
          <w:rFonts w:cs="Times New Roman"/>
        </w:rPr>
        <w:t xml:space="preserve"> CBOs, and 7</w:t>
      </w:r>
      <w:r w:rsidR="00870163">
        <w:rPr>
          <w:rFonts w:cs="Times New Roman"/>
        </w:rPr>
        <w:t>0</w:t>
      </w:r>
      <w:r w:rsidR="00DE1A44">
        <w:rPr>
          <w:rFonts w:cs="Times New Roman"/>
        </w:rPr>
        <w:t xml:space="preserve"> HDs</w:t>
      </w:r>
      <w:r w:rsidRPr="007E3F48">
        <w:rPr>
          <w:rFonts w:cs="Times New Roman"/>
        </w:rPr>
        <w:t xml:space="preserve">. </w:t>
      </w:r>
      <w:r w:rsidR="00DE1A44">
        <w:rPr>
          <w:rFonts w:cs="Times New Roman"/>
        </w:rPr>
        <w:t>The most recent funding mechanism</w:t>
      </w:r>
      <w:r w:rsidR="00DA6B67">
        <w:rPr>
          <w:rFonts w:cs="Times New Roman"/>
        </w:rPr>
        <w:t>s</w:t>
      </w:r>
      <w:r w:rsidR="00DE1A44">
        <w:rPr>
          <w:rFonts w:cs="Times New Roman"/>
        </w:rPr>
        <w:t xml:space="preserve"> for CBOs totaled </w:t>
      </w:r>
      <w:r w:rsidR="00DA6B67">
        <w:rPr>
          <w:rFonts w:cs="Times New Roman"/>
        </w:rPr>
        <w:t>126</w:t>
      </w:r>
      <w:r w:rsidR="00DE1A44">
        <w:rPr>
          <w:rFonts w:cs="Times New Roman"/>
        </w:rPr>
        <w:t xml:space="preserve"> agencies, and the </w:t>
      </w:r>
      <w:r w:rsidR="00C0434D">
        <w:rPr>
          <w:rFonts w:cs="Times New Roman"/>
        </w:rPr>
        <w:t>most recent funding mechanism for HDs totaled 6</w:t>
      </w:r>
      <w:r w:rsidR="00194237">
        <w:rPr>
          <w:rFonts w:cs="Times New Roman"/>
        </w:rPr>
        <w:t>0</w:t>
      </w:r>
      <w:r w:rsidR="00C0434D">
        <w:rPr>
          <w:rFonts w:cs="Times New Roman"/>
        </w:rPr>
        <w:t xml:space="preserve"> agencies</w:t>
      </w:r>
      <w:r w:rsidR="00DA6B67">
        <w:rPr>
          <w:rFonts w:cs="Times New Roman"/>
        </w:rPr>
        <w:t>; the CDC may increase these numbers under future funding mechanisms</w:t>
      </w:r>
      <w:r w:rsidR="00C0434D">
        <w:rPr>
          <w:rFonts w:cs="Times New Roman"/>
        </w:rPr>
        <w:t xml:space="preserve">. </w:t>
      </w:r>
      <w:r w:rsidR="00DA6B67">
        <w:rPr>
          <w:rFonts w:cs="Times New Roman"/>
        </w:rPr>
        <w:t xml:space="preserve">This estimation of increased number of directly funded agencies is informed by </w:t>
      </w:r>
      <w:r w:rsidR="00C0434D">
        <w:rPr>
          <w:rFonts w:cs="Times New Roman"/>
        </w:rPr>
        <w:t>the President of the United States announc</w:t>
      </w:r>
      <w:r w:rsidR="00DA6B67">
        <w:rPr>
          <w:rFonts w:cs="Times New Roman"/>
        </w:rPr>
        <w:t>ing</w:t>
      </w:r>
      <w:r w:rsidR="00E0623F">
        <w:rPr>
          <w:rFonts w:cs="Times New Roman"/>
        </w:rPr>
        <w:t xml:space="preserve"> in 2019</w:t>
      </w:r>
      <w:r w:rsidR="00C0434D">
        <w:rPr>
          <w:rFonts w:cs="Times New Roman"/>
        </w:rPr>
        <w:t xml:space="preserve"> the Ending the HIV Epidemic in the United States by 2030 initiative. Given the ambitious nature of the initiative, this application anticipates additional agencies may be funded under future mechanisms. As such, this application seeks approval for </w:t>
      </w:r>
      <w:r w:rsidR="00843B45">
        <w:rPr>
          <w:rFonts w:cs="Times New Roman"/>
        </w:rPr>
        <w:t>200</w:t>
      </w:r>
      <w:r w:rsidR="00C0434D">
        <w:rPr>
          <w:rFonts w:cs="Times New Roman"/>
        </w:rPr>
        <w:t xml:space="preserve"> participant agencies.</w:t>
      </w:r>
    </w:p>
    <w:p w:rsidR="00A71B6D" w:rsidP="00DE1A44" w:rsidRDefault="00A71B6D" w14:paraId="70D36B25" w14:textId="79C258A8">
      <w:pPr>
        <w:pStyle w:val="Normal1"/>
        <w:rPr>
          <w:rFonts w:cs="Times New Roman"/>
        </w:rPr>
      </w:pPr>
    </w:p>
    <w:p w:rsidR="00A71B6D" w:rsidP="00DE1A44" w:rsidRDefault="00A71B6D" w14:paraId="2FD02CBA" w14:textId="6526C9BF">
      <w:pPr>
        <w:pStyle w:val="Normal1"/>
        <w:rPr>
          <w:rFonts w:cs="Times New Roman"/>
        </w:rPr>
      </w:pPr>
      <w:r>
        <w:rPr>
          <w:rFonts w:cs="Times New Roman"/>
        </w:rPr>
        <w:t>The entire universe is anticipated given the CDC is assessing the needs of in</w:t>
      </w:r>
      <w:r w:rsidR="00AE6C77">
        <w:rPr>
          <w:rFonts w:cs="Times New Roman"/>
        </w:rPr>
        <w:t xml:space="preserve">dividual agencies funded to provide HIV prevention and surveillance services. CDC would like to know each agency needs, thus why the CDC is targeting the entire population rather than a sample. </w:t>
      </w:r>
    </w:p>
    <w:p w:rsidRPr="007E3F48" w:rsidR="00073E48" w:rsidP="00713BC3" w:rsidRDefault="00073E48" w14:paraId="585F7FD7" w14:textId="77777777"/>
    <w:p w:rsidRPr="007E3F48" w:rsidR="00846787" w:rsidP="00713BC3" w:rsidRDefault="005342FB" w14:paraId="75A53FA8" w14:textId="3A6905DE">
      <w:pPr>
        <w:pStyle w:val="Heading1"/>
        <w:spacing w:before="0"/>
        <w:rPr>
          <w:rFonts w:cs="Times New Roman"/>
          <w:szCs w:val="24"/>
        </w:rPr>
      </w:pPr>
      <w:bookmarkStart w:name="_Toc77234426" w:id="0"/>
      <w:r w:rsidRPr="007E3F48">
        <w:rPr>
          <w:rFonts w:cs="Times New Roman"/>
          <w:szCs w:val="24"/>
        </w:rPr>
        <w:t>Procedures for the Collection of Information</w:t>
      </w:r>
      <w:bookmarkEnd w:id="0"/>
    </w:p>
    <w:p w:rsidRPr="007E3F48" w:rsidR="00BA4E35" w:rsidP="00BA4E35" w:rsidRDefault="00BA4E35" w14:paraId="35641101" w14:textId="77777777"/>
    <w:p w:rsidR="00AF02F1" w:rsidP="00AF02F1" w:rsidRDefault="000434D4" w14:paraId="0006AA1C" w14:textId="52047C6D">
      <w:r>
        <w:t>The CBO and HD</w:t>
      </w:r>
      <w:r w:rsidR="002C7C7C">
        <w:t xml:space="preserve"> needs </w:t>
      </w:r>
      <w:r w:rsidR="0019274C">
        <w:t>assessment</w:t>
      </w:r>
      <w:r w:rsidR="00843B45">
        <w:t>s</w:t>
      </w:r>
      <w:r w:rsidR="0019274C">
        <w:t xml:space="preserve"> </w:t>
      </w:r>
      <w:r w:rsidR="002C7C7C">
        <w:t xml:space="preserve">will </w:t>
      </w:r>
      <w:r w:rsidR="0019274C">
        <w:t>collect data</w:t>
      </w:r>
      <w:r w:rsidR="002C7C7C">
        <w:t xml:space="preserve"> through the CDC’s C</w:t>
      </w:r>
      <w:r w:rsidR="00D13EA3">
        <w:t xml:space="preserve">apacity </w:t>
      </w:r>
      <w:r w:rsidR="002C7C7C">
        <w:t>B</w:t>
      </w:r>
      <w:r w:rsidR="00D13EA3">
        <w:t xml:space="preserve">uilding </w:t>
      </w:r>
      <w:r w:rsidR="002C7C7C">
        <w:t>A</w:t>
      </w:r>
      <w:r w:rsidR="00D13EA3">
        <w:t>ssistance (CBA)</w:t>
      </w:r>
      <w:r w:rsidR="002C7C7C">
        <w:t xml:space="preserve"> Tracking System (CTS). CTS is the online system </w:t>
      </w:r>
      <w:r w:rsidR="00DD0507">
        <w:t>directly fu</w:t>
      </w:r>
      <w:r w:rsidR="00843B45">
        <w:t>nded agencies</w:t>
      </w:r>
      <w:r w:rsidR="002C7C7C">
        <w:t xml:space="preserve"> request training and technical assistance. </w:t>
      </w:r>
    </w:p>
    <w:p w:rsidR="0019274C" w:rsidP="00AF02F1" w:rsidRDefault="0019274C" w14:paraId="54A9AB9A" w14:textId="22B66134"/>
    <w:p w:rsidR="00DD0507" w:rsidP="00AF02F1" w:rsidRDefault="00DD0507" w14:paraId="49BBDFB5" w14:textId="29501C4C">
      <w:r>
        <w:t>The t</w:t>
      </w:r>
      <w:r w:rsidR="00CA07AA">
        <w:t>hree</w:t>
      </w:r>
      <w:r>
        <w:t xml:space="preserve"> </w:t>
      </w:r>
      <w:r w:rsidR="00E872B6">
        <w:t xml:space="preserve">HIV-related </w:t>
      </w:r>
      <w:r>
        <w:t>funding mechanisms in which CBOs and HDs receive CDC dollars</w:t>
      </w:r>
      <w:r w:rsidR="00EA71CE">
        <w:t xml:space="preserve"> (PS18-1802</w:t>
      </w:r>
      <w:r w:rsidR="004F5C35">
        <w:t xml:space="preserve"> [expected replacement in 2023]</w:t>
      </w:r>
      <w:r w:rsidR="00EA71CE">
        <w:t xml:space="preserve">, </w:t>
      </w:r>
      <w:r w:rsidR="00CA07AA">
        <w:t>PS21-2102, and PS23-2302</w:t>
      </w:r>
      <w:r w:rsidR="005364FE">
        <w:t xml:space="preserve"> [currently funded under PS17-1704</w:t>
      </w:r>
      <w:r w:rsidRPr="0004245A" w:rsidR="005364FE">
        <w:t>]</w:t>
      </w:r>
      <w:r w:rsidRPr="0004245A" w:rsidR="00EA71CE">
        <w:t xml:space="preserve">) </w:t>
      </w:r>
      <w:r w:rsidRPr="0004245A" w:rsidR="00CB4EB0">
        <w:t>requires</w:t>
      </w:r>
      <w:r w:rsidRPr="0004245A" w:rsidR="00034679">
        <w:t xml:space="preserve"> funded agencies to register a primary user in CTS. This registration</w:t>
      </w:r>
      <w:r w:rsidR="00034679">
        <w:t xml:space="preserve"> includes agency name, agency’s primary </w:t>
      </w:r>
      <w:r w:rsidR="00B724BB">
        <w:t xml:space="preserve">CTS </w:t>
      </w:r>
      <w:r w:rsidR="00034679">
        <w:t>user</w:t>
      </w:r>
      <w:r w:rsidR="00B724BB">
        <w:t>’s</w:t>
      </w:r>
      <w:r w:rsidR="00034679">
        <w:t xml:space="preserve"> name</w:t>
      </w:r>
      <w:r w:rsidR="00CA20C3">
        <w:t xml:space="preserve">, and </w:t>
      </w:r>
      <w:r w:rsidR="0054028A">
        <w:t xml:space="preserve">the </w:t>
      </w:r>
      <w:r w:rsidR="00CA20C3">
        <w:t xml:space="preserve">primary user contact information, e.g., business telephone and email. This information is stored in CTS </w:t>
      </w:r>
      <w:r w:rsidR="00C43357">
        <w:t xml:space="preserve">to </w:t>
      </w:r>
      <w:r w:rsidR="00CA20C3">
        <w:t xml:space="preserve">follow up </w:t>
      </w:r>
      <w:r w:rsidR="00C43357">
        <w:t xml:space="preserve">on submitted requests for training and </w:t>
      </w:r>
      <w:r w:rsidR="008E70EF">
        <w:t>technical assistance (</w:t>
      </w:r>
      <w:r w:rsidR="00C43357">
        <w:t>TA</w:t>
      </w:r>
      <w:r w:rsidR="008E70EF">
        <w:t>)</w:t>
      </w:r>
      <w:r w:rsidR="00CA20C3">
        <w:t>.</w:t>
      </w:r>
      <w:r w:rsidR="002831B8">
        <w:t xml:space="preserve"> For this data collection application, t</w:t>
      </w:r>
      <w:r w:rsidR="00A752BB">
        <w:t xml:space="preserve">his information will be used to identify the agency representative </w:t>
      </w:r>
      <w:r w:rsidR="00A53262">
        <w:t xml:space="preserve">that will be </w:t>
      </w:r>
      <w:r w:rsidR="00B44A06">
        <w:t>asked to complete the needs assessment</w:t>
      </w:r>
      <w:r w:rsidR="00A53262">
        <w:t xml:space="preserve"> on behalf of their agency</w:t>
      </w:r>
      <w:r w:rsidR="00B44A06">
        <w:t xml:space="preserve">. Email notifications will be sent from CTS to each agency’s </w:t>
      </w:r>
      <w:r w:rsidR="00A53262">
        <w:t>CTS primary user</w:t>
      </w:r>
      <w:r w:rsidR="00B44A06">
        <w:t xml:space="preserve"> informing them of the needs assessments availability as well as one week prior to the close of data collection. </w:t>
      </w:r>
      <w:r w:rsidR="002831B8">
        <w:t>When the agency’s primary CTS user logs in</w:t>
      </w:r>
      <w:r w:rsidR="008847BE">
        <w:t>to CTS d</w:t>
      </w:r>
      <w:r w:rsidR="002831B8">
        <w:t>uring the data collection period (</w:t>
      </w:r>
      <w:r w:rsidR="00745245">
        <w:t xml:space="preserve">which will last no less than three weeks, and no more than one month) they will be prompted </w:t>
      </w:r>
      <w:r w:rsidR="00157871">
        <w:t xml:space="preserve">by the system </w:t>
      </w:r>
      <w:r w:rsidR="00745245">
        <w:t xml:space="preserve">to complete the needs assessment. </w:t>
      </w:r>
      <w:r w:rsidR="008847BE">
        <w:t>Participating in the</w:t>
      </w:r>
      <w:r w:rsidR="008F3024">
        <w:t xml:space="preserve"> needs</w:t>
      </w:r>
      <w:r w:rsidR="00745245">
        <w:t xml:space="preserve"> assessment</w:t>
      </w:r>
      <w:r w:rsidR="008847BE">
        <w:t xml:space="preserve"> data collection</w:t>
      </w:r>
      <w:r w:rsidR="00745245">
        <w:t xml:space="preserve"> </w:t>
      </w:r>
      <w:r w:rsidR="001B53FF">
        <w:t>is</w:t>
      </w:r>
      <w:r w:rsidR="00745245">
        <w:t xml:space="preserve"> voluntary, as such the</w:t>
      </w:r>
      <w:r w:rsidR="008F3024">
        <w:t xml:space="preserve"> agency’s primary CTS user</w:t>
      </w:r>
      <w:r w:rsidR="00745245">
        <w:t xml:space="preserve"> will have</w:t>
      </w:r>
      <w:r w:rsidR="000925B3">
        <w:t xml:space="preserve"> the ability to decline the assessment. </w:t>
      </w:r>
    </w:p>
    <w:p w:rsidR="0027000D" w:rsidP="00AF02F1" w:rsidRDefault="0027000D" w14:paraId="65F987A5" w14:textId="05322A9D"/>
    <w:p w:rsidR="0027000D" w:rsidP="00AF02F1" w:rsidRDefault="0027000D" w14:paraId="10F748BA" w14:textId="5B484797">
      <w:r>
        <w:t xml:space="preserve">In CTS, those agency </w:t>
      </w:r>
      <w:r w:rsidR="002F6E84">
        <w:t>primary CTS users</w:t>
      </w:r>
      <w:r>
        <w:t xml:space="preserve"> voluntarily agreeing to participate will be asked to answer si</w:t>
      </w:r>
      <w:r w:rsidR="00980610">
        <w:t>x to seven questions, depending on whether they represent a HD or CBO</w:t>
      </w:r>
      <w:r w:rsidR="00B76D49">
        <w:t>. The first three questions verify the agency they are complet</w:t>
      </w:r>
      <w:r w:rsidR="00682615">
        <w:t>ing</w:t>
      </w:r>
      <w:r w:rsidR="00B76D49">
        <w:t xml:space="preserve"> the needs assessment on behalf of, they are the </w:t>
      </w:r>
      <w:r w:rsidR="006C6CC1">
        <w:t xml:space="preserve">registered </w:t>
      </w:r>
      <w:r w:rsidR="00B76D49">
        <w:t xml:space="preserve">primary CTS user for that agency, and that the contact information currently housed in CTS is correct. In the latter case, if their contact information is incorrect, they will be asked to provide updated information. </w:t>
      </w:r>
      <w:r w:rsidR="00C41E81">
        <w:t xml:space="preserve">Question four asks the </w:t>
      </w:r>
      <w:r w:rsidR="00F963EE">
        <w:t>participant</w:t>
      </w:r>
      <w:r w:rsidR="00C41E81">
        <w:t xml:space="preserve"> about </w:t>
      </w:r>
      <w:r w:rsidR="00DE1BEB">
        <w:t xml:space="preserve">their agencies </w:t>
      </w:r>
      <w:r w:rsidR="00C41E81">
        <w:t>training needs, and question five asks abou</w:t>
      </w:r>
      <w:r w:rsidR="005B0C06">
        <w:t xml:space="preserve">t TA needs. The response categories are content </w:t>
      </w:r>
      <w:r w:rsidR="005B0C06">
        <w:lastRenderedPageBreak/>
        <w:t>specific areas noted in the</w:t>
      </w:r>
      <w:r w:rsidR="00404893">
        <w:t xml:space="preserve"> respective funding mechanism with respective trainings and TA areas the CDC offers at the time of the assessment. In other words, these questions ask if the </w:t>
      </w:r>
      <w:r w:rsidR="00F963EE">
        <w:t>participant</w:t>
      </w:r>
      <w:r w:rsidR="00404893">
        <w:t xml:space="preserve">’s agency would like training and/or TA </w:t>
      </w:r>
      <w:r w:rsidR="00944E40">
        <w:t xml:space="preserve">in pre-defined </w:t>
      </w:r>
      <w:r w:rsidR="00D61467">
        <w:t xml:space="preserve">content </w:t>
      </w:r>
      <w:r w:rsidR="00944E40">
        <w:t xml:space="preserve">areas currently </w:t>
      </w:r>
      <w:r w:rsidR="00A62385">
        <w:t xml:space="preserve">made </w:t>
      </w:r>
      <w:r w:rsidR="00944E40">
        <w:t>available</w:t>
      </w:r>
      <w:r w:rsidR="00A62385">
        <w:t xml:space="preserve"> to them to meet their programmatic goals</w:t>
      </w:r>
      <w:r w:rsidR="00944E40">
        <w:t>. Question 6 in the CBO needs assessment asks about</w:t>
      </w:r>
      <w:r w:rsidR="00E965A0">
        <w:t xml:space="preserve"> a package of trainings and TA content specific to CBOs. This question will not be asked of HD respondents. The last question in both assessments is an open-ended question to understand if the agency has training or TA needs not covered in the assessment. This final question will provide the CDC information on </w:t>
      </w:r>
      <w:r w:rsidR="008E7CEF">
        <w:t>content</w:t>
      </w:r>
      <w:r w:rsidR="00E965A0">
        <w:t xml:space="preserve"> areas</w:t>
      </w:r>
      <w:r w:rsidR="008E7CEF">
        <w:t xml:space="preserve"> the CDC</w:t>
      </w:r>
      <w:r w:rsidR="00E965A0">
        <w:t xml:space="preserve"> may want to consider for future training or TA development. </w:t>
      </w:r>
      <w:r w:rsidR="00A33990">
        <w:t xml:space="preserve">All questions are designed </w:t>
      </w:r>
      <w:r w:rsidR="00471D2B">
        <w:t xml:space="preserve">as “Yes/No,” check a box, or very short answer responses. </w:t>
      </w:r>
    </w:p>
    <w:p w:rsidR="007B1973" w:rsidP="00AF02F1" w:rsidRDefault="007B1973" w14:paraId="38FDD3A0" w14:textId="7CAC7B56"/>
    <w:p w:rsidR="007B1973" w:rsidP="00AF02F1" w:rsidRDefault="007B1973" w14:paraId="000486C3" w14:textId="570840AB">
      <w:r>
        <w:t xml:space="preserve">Once the participating primary CTS user completes their </w:t>
      </w:r>
      <w:r w:rsidR="00144A93">
        <w:t>assessment,</w:t>
      </w:r>
      <w:r>
        <w:t xml:space="preserve"> they </w:t>
      </w:r>
      <w:r w:rsidR="00144A93">
        <w:t>will be</w:t>
      </w:r>
      <w:r>
        <w:t xml:space="preserve"> asked to submit their responses</w:t>
      </w:r>
      <w:r w:rsidR="00144A93">
        <w:t xml:space="preserve"> by selecting a button labelled “submit</w:t>
      </w:r>
      <w:r>
        <w:t>.</w:t>
      </w:r>
      <w:r w:rsidR="00144A93">
        <w:t>”</w:t>
      </w:r>
      <w:r>
        <w:t xml:space="preserve"> If the primary CTS user initiates a response, but needs to stop before completing</w:t>
      </w:r>
      <w:r w:rsidR="005C34AF">
        <w:t xml:space="preserve"> the assessment</w:t>
      </w:r>
      <w:r>
        <w:t>, they can select to save their responses and return to the assessment during the data collection period. CTS will store their responses</w:t>
      </w:r>
      <w:r w:rsidR="0004527A">
        <w:t xml:space="preserve"> for later completion or adjustment. All </w:t>
      </w:r>
      <w:r w:rsidR="000E7CB6">
        <w:t>submitted and saved responses will be reported at the end of data collection, and all CTS primary users initiating a response to the assessment will be informed</w:t>
      </w:r>
      <w:r w:rsidR="00720331">
        <w:t xml:space="preserve"> that CTS will</w:t>
      </w:r>
      <w:r w:rsidR="000E7CB6">
        <w:t xml:space="preserve"> report</w:t>
      </w:r>
      <w:r w:rsidR="00720331">
        <w:t xml:space="preserve"> saved and submitted responses</w:t>
      </w:r>
      <w:r w:rsidR="000E7CB6">
        <w:t>.</w:t>
      </w:r>
    </w:p>
    <w:p w:rsidR="00EB7582" w:rsidP="00AF02F1" w:rsidRDefault="00EB7582" w14:paraId="12FCD4A2" w14:textId="75609CF9"/>
    <w:p w:rsidR="00803C5F" w:rsidP="00AF02F1" w:rsidRDefault="00E75989" w14:paraId="4912A14F" w14:textId="10E71FD8">
      <w:r>
        <w:t>Th</w:t>
      </w:r>
      <w:r w:rsidR="00720331">
        <w:t xml:space="preserve">is data collection activity </w:t>
      </w:r>
      <w:r w:rsidR="00803C5F">
        <w:t>w</w:t>
      </w:r>
      <w:r w:rsidR="00720331">
        <w:t>as</w:t>
      </w:r>
      <w:r w:rsidR="00803C5F">
        <w:t xml:space="preserve"> determined to be non-research for Institutional Research Board purposes, as such there is no consent process, though both instruments inform the </w:t>
      </w:r>
      <w:r w:rsidR="00F963EE">
        <w:t>participant</w:t>
      </w:r>
      <w:r w:rsidR="00803C5F">
        <w:t xml:space="preserve"> that their participation is voluntary, and they can exit the instrument at any time. </w:t>
      </w:r>
    </w:p>
    <w:p w:rsidR="00E75989" w:rsidP="00AF02F1" w:rsidRDefault="000C3016" w14:paraId="1672E6EF" w14:textId="62285D19">
      <w:r>
        <w:t xml:space="preserve"> </w:t>
      </w:r>
    </w:p>
    <w:p w:rsidR="00E11431" w:rsidP="00AF02F1" w:rsidRDefault="00E11431" w14:paraId="418860B9" w14:textId="67BFAD8F">
      <w:r>
        <w:t>Once the data collection period for each instrument expire</w:t>
      </w:r>
      <w:r w:rsidR="0022634A">
        <w:t>s, CDC staff will run</w:t>
      </w:r>
      <w:r w:rsidR="00C839E4">
        <w:t xml:space="preserve"> automated</w:t>
      </w:r>
      <w:r w:rsidR="00CA607C">
        <w:t xml:space="preserve"> </w:t>
      </w:r>
      <w:r w:rsidR="0022634A">
        <w:t>data reports</w:t>
      </w:r>
      <w:r w:rsidR="00C839E4">
        <w:t xml:space="preserve"> in CTS</w:t>
      </w:r>
      <w:r w:rsidR="00CA607C">
        <w:t xml:space="preserve">. </w:t>
      </w:r>
      <w:r w:rsidR="00C839E4">
        <w:t xml:space="preserve">CTS will generate these data reports in commercially available software, e.g., Microsoft Excel. </w:t>
      </w:r>
      <w:r w:rsidR="00921830">
        <w:t xml:space="preserve">The intended reports include a </w:t>
      </w:r>
      <w:r w:rsidR="00CA607C">
        <w:t>report</w:t>
      </w:r>
      <w:r w:rsidR="00921830">
        <w:t xml:space="preserve"> on</w:t>
      </w:r>
      <w:r w:rsidR="0022634A">
        <w:t xml:space="preserve"> training </w:t>
      </w:r>
      <w:r w:rsidR="00901DFB">
        <w:t xml:space="preserve">needs, another </w:t>
      </w:r>
      <w:r w:rsidR="00921830">
        <w:t xml:space="preserve">on </w:t>
      </w:r>
      <w:r w:rsidR="0022634A">
        <w:t>TA</w:t>
      </w:r>
      <w:r w:rsidR="00901DFB">
        <w:t xml:space="preserve"> needs, another </w:t>
      </w:r>
      <w:r w:rsidR="00921830">
        <w:t xml:space="preserve">on </w:t>
      </w:r>
      <w:r w:rsidR="00901DFB">
        <w:t>the open-ended question about needs not currently addressed by existing training and TA content, and the final report is specific to the CBO</w:t>
      </w:r>
      <w:r w:rsidR="009B6315">
        <w:t xml:space="preserve"> package of specialized training and TA</w:t>
      </w:r>
      <w:r w:rsidR="0022634A">
        <w:t xml:space="preserve">. These reports will include agency name, agency’s primary CTS user’s name, and primary CTS user’s contact information </w:t>
      </w:r>
      <w:r w:rsidR="009B6315">
        <w:t>for each content area the agency is requesting training and/or TA.</w:t>
      </w:r>
      <w:r w:rsidR="00325660">
        <w:t xml:space="preserve"> Given the inclusion of the CTS primary user’s name, their agency name, and professional contact information, these reports will only be accessible to CDC staff and the agencies in cooperative agreement with the CDC to provide training and technical assistance. </w:t>
      </w:r>
    </w:p>
    <w:p w:rsidRPr="007E3F48" w:rsidR="00AF02F1" w:rsidP="00AF02F1" w:rsidRDefault="00AF02F1" w14:paraId="1C6DB06C" w14:textId="77777777"/>
    <w:p w:rsidRPr="007E3F48" w:rsidR="00AF02F1" w:rsidP="00AF02F1" w:rsidRDefault="00AF02F1" w14:paraId="3715DCFA" w14:textId="6B4F2FFD">
      <w:r w:rsidRPr="007E3F48">
        <w:t xml:space="preserve">The </w:t>
      </w:r>
      <w:r w:rsidR="00080134">
        <w:t xml:space="preserve">data reports </w:t>
      </w:r>
      <w:r w:rsidRPr="007E3F48">
        <w:t>will be the only forms containing par</w:t>
      </w:r>
      <w:r w:rsidR="00314423">
        <w:t>ticipa</w:t>
      </w:r>
      <w:r w:rsidR="00440616">
        <w:t>t</w:t>
      </w:r>
      <w:r w:rsidR="00314423">
        <w:t>ing CTS primary usernames, agency name, and professional contact information</w:t>
      </w:r>
      <w:r w:rsidRPr="007E3F48">
        <w:t>.</w:t>
      </w:r>
    </w:p>
    <w:p w:rsidR="00AF02F1" w:rsidP="00AF02F1" w:rsidRDefault="00AF02F1" w14:paraId="38B6E4E5" w14:textId="77777777">
      <w:pPr>
        <w:rPr>
          <w:rFonts w:eastAsiaTheme="majorEastAsia"/>
        </w:rPr>
      </w:pPr>
    </w:p>
    <w:p w:rsidR="00AF02F1" w:rsidP="00AF02F1" w:rsidRDefault="00AF02F1" w14:paraId="5B77FAC2" w14:textId="6658A78A">
      <w:pPr>
        <w:autoSpaceDE w:val="0"/>
        <w:autoSpaceDN w:val="0"/>
        <w:adjustRightInd w:val="0"/>
      </w:pPr>
      <w:r>
        <w:t>CDC has also completed a Privacy Impact Assessment of the data system used by the contractor team (</w:t>
      </w:r>
      <w:r w:rsidRPr="00BF3937">
        <w:rPr>
          <w:b/>
        </w:rPr>
        <w:t xml:space="preserve">Attachment </w:t>
      </w:r>
      <w:r w:rsidR="003E5184">
        <w:rPr>
          <w:b/>
        </w:rPr>
        <w:t>5</w:t>
      </w:r>
      <w:r>
        <w:t xml:space="preserve">). The contractor team also completes an annual renewal process for their data </w:t>
      </w:r>
      <w:r w:rsidR="003D5237">
        <w:t>system and</w:t>
      </w:r>
      <w:r>
        <w:t xml:space="preserve"> has a current Authority to Operate approval. Public access to the data will </w:t>
      </w:r>
      <w:r w:rsidR="003D5237">
        <w:t xml:space="preserve">not </w:t>
      </w:r>
      <w:r>
        <w:t xml:space="preserve">be provided. </w:t>
      </w:r>
    </w:p>
    <w:p w:rsidRPr="007E3F48" w:rsidR="00B515D9" w:rsidP="00B515D9" w:rsidRDefault="00B515D9" w14:paraId="2C98D40A" w14:textId="77777777">
      <w:pPr>
        <w:rPr>
          <w:rFonts w:eastAsiaTheme="majorEastAsia"/>
        </w:rPr>
      </w:pPr>
    </w:p>
    <w:p w:rsidRPr="007E3F48" w:rsidR="005342FB" w:rsidP="00713BC3" w:rsidRDefault="005342FB" w14:paraId="3A56B8A5" w14:textId="27D79AA1">
      <w:pPr>
        <w:pStyle w:val="Heading1"/>
        <w:spacing w:before="0"/>
        <w:rPr>
          <w:rFonts w:cs="Times New Roman"/>
          <w:szCs w:val="24"/>
        </w:rPr>
      </w:pPr>
      <w:bookmarkStart w:name="_Toc77234427" w:id="1"/>
      <w:r w:rsidRPr="007E3F48">
        <w:rPr>
          <w:rFonts w:cs="Times New Roman"/>
          <w:szCs w:val="24"/>
        </w:rPr>
        <w:t>Methods to Maximize Response Rates and Deal with No Response</w:t>
      </w:r>
      <w:bookmarkEnd w:id="1"/>
    </w:p>
    <w:p w:rsidRPr="007E3F48" w:rsidR="00B515D9" w:rsidP="00B515D9" w:rsidRDefault="00B515D9" w14:paraId="1553ED3B" w14:textId="77777777"/>
    <w:p w:rsidRPr="007E3F48" w:rsidR="00440616" w:rsidP="00440616" w:rsidRDefault="00851795" w14:paraId="5EC4DF3E" w14:textId="7714837E">
      <w:pPr>
        <w:autoSpaceDE w:val="0"/>
        <w:autoSpaceDN w:val="0"/>
        <w:adjustRightInd w:val="0"/>
        <w:rPr>
          <w:bCs/>
        </w:rPr>
      </w:pPr>
      <w:r>
        <w:rPr>
          <w:bCs/>
        </w:rPr>
        <w:t>The CDC</w:t>
      </w:r>
      <w:r w:rsidRPr="007E3F48" w:rsidR="00440616">
        <w:rPr>
          <w:bCs/>
        </w:rPr>
        <w:t xml:space="preserve"> will use the following pr</w:t>
      </w:r>
      <w:r w:rsidR="00440616">
        <w:rPr>
          <w:bCs/>
        </w:rPr>
        <w:t>ocedures to maximize participation</w:t>
      </w:r>
      <w:r w:rsidRPr="007E3F48" w:rsidR="00440616">
        <w:rPr>
          <w:bCs/>
        </w:rPr>
        <w:t xml:space="preserve"> and to achieve</w:t>
      </w:r>
      <w:r w:rsidR="00310A52">
        <w:rPr>
          <w:bCs/>
        </w:rPr>
        <w:t xml:space="preserve"> the desired response rate</w:t>
      </w:r>
      <w:r w:rsidRPr="007E3F48" w:rsidR="00440616">
        <w:rPr>
          <w:bCs/>
        </w:rPr>
        <w:t>:</w:t>
      </w:r>
    </w:p>
    <w:p w:rsidR="001C7271" w:rsidP="001C7271" w:rsidRDefault="001C7271" w14:paraId="7BA85C9D" w14:textId="77777777">
      <w:pPr>
        <w:autoSpaceDE w:val="0"/>
        <w:autoSpaceDN w:val="0"/>
        <w:adjustRightInd w:val="0"/>
        <w:rPr>
          <w:bCs/>
        </w:rPr>
      </w:pPr>
    </w:p>
    <w:p w:rsidR="00310A52" w:rsidP="001C7271" w:rsidRDefault="00851795" w14:paraId="12F9CB0D" w14:textId="1D8E62CF">
      <w:pPr>
        <w:autoSpaceDE w:val="0"/>
        <w:autoSpaceDN w:val="0"/>
        <w:adjustRightInd w:val="0"/>
        <w:rPr>
          <w:bCs/>
        </w:rPr>
      </w:pPr>
      <w:r w:rsidRPr="00851795">
        <w:rPr>
          <w:bCs/>
        </w:rPr>
        <w:lastRenderedPageBreak/>
        <w:t>Marketing of the needs assessment will occur through webinars that welcome the agencies to their funding mechanism, i.e., welcome and orientation calls. In addition, the CDC conducts webinars to orient and train directly funded agencies primary CTS users on how to register for the CTS system, how to access and request training and TA through the system, and what to expect upon request</w:t>
      </w:r>
      <w:r w:rsidRPr="0004245A">
        <w:rPr>
          <w:bCs/>
        </w:rPr>
        <w:t>. These webinars will include information about this data collection effort. In addition, the CDC will host a third series of webinars that introduces the directly funded agencies to the CBA providers that conduct training and TA on behalf of the CDC and walks them through the training and TA needs assessment</w:t>
      </w:r>
      <w:r w:rsidRPr="00851795">
        <w:rPr>
          <w:bCs/>
        </w:rPr>
        <w:t xml:space="preserve">, including what questions will be asked, so that the agencies CTS primary users can conduct any internal review to answer the needs assessments questions. </w:t>
      </w:r>
    </w:p>
    <w:p w:rsidR="00851795" w:rsidP="00310A52" w:rsidRDefault="00851795" w14:paraId="71160157" w14:textId="743E4E01">
      <w:pPr>
        <w:autoSpaceDE w:val="0"/>
        <w:autoSpaceDN w:val="0"/>
        <w:adjustRightInd w:val="0"/>
        <w:ind w:left="720"/>
        <w:rPr>
          <w:bCs/>
        </w:rPr>
      </w:pPr>
    </w:p>
    <w:p w:rsidR="00851795" w:rsidP="001C7271" w:rsidRDefault="00065B15" w14:paraId="15436FAE" w14:textId="794B67BB">
      <w:pPr>
        <w:autoSpaceDE w:val="0"/>
        <w:autoSpaceDN w:val="0"/>
        <w:adjustRightInd w:val="0"/>
        <w:rPr>
          <w:bCs/>
        </w:rPr>
      </w:pPr>
      <w:r>
        <w:rPr>
          <w:bCs/>
        </w:rPr>
        <w:t>Nonresponses will not be addressed in this data collection. Agencies with primary CTS users that do not save or submit a response to the assessment will understand they can submit individual agency training and TA needs separate from this data collection effort</w:t>
      </w:r>
      <w:r w:rsidR="0094089A">
        <w:rPr>
          <w:bCs/>
        </w:rPr>
        <w:t>.</w:t>
      </w:r>
    </w:p>
    <w:p w:rsidRPr="007E3F48" w:rsidR="00851795" w:rsidP="00310A52" w:rsidRDefault="00851795" w14:paraId="7973E60C" w14:textId="77777777">
      <w:pPr>
        <w:autoSpaceDE w:val="0"/>
        <w:autoSpaceDN w:val="0"/>
        <w:adjustRightInd w:val="0"/>
        <w:ind w:left="720"/>
        <w:rPr>
          <w:bCs/>
        </w:rPr>
      </w:pPr>
    </w:p>
    <w:p w:rsidRPr="007E3F48" w:rsidR="005342FB" w:rsidP="00713BC3" w:rsidRDefault="005342FB" w14:paraId="6B2657E3" w14:textId="7BF2B78D">
      <w:pPr>
        <w:pStyle w:val="Heading1"/>
        <w:spacing w:before="0"/>
        <w:rPr>
          <w:rFonts w:cs="Times New Roman"/>
          <w:szCs w:val="24"/>
        </w:rPr>
      </w:pPr>
      <w:bookmarkStart w:name="_Toc77234428" w:id="2"/>
      <w:r w:rsidRPr="007E3F48">
        <w:rPr>
          <w:rFonts w:cs="Times New Roman"/>
          <w:szCs w:val="24"/>
        </w:rPr>
        <w:t>Tests of Procedures or Methods to be Undertaken</w:t>
      </w:r>
      <w:bookmarkEnd w:id="2"/>
    </w:p>
    <w:p w:rsidRPr="007E3F48" w:rsidR="005913FE" w:rsidP="005913FE" w:rsidRDefault="005913FE" w14:paraId="2978959C" w14:textId="77777777"/>
    <w:p w:rsidR="0057145B" w:rsidP="00713BC3" w:rsidRDefault="000B792B" w14:paraId="463706F7" w14:textId="0C8CF92D">
      <w:pPr>
        <w:autoSpaceDE w:val="0"/>
        <w:autoSpaceDN w:val="0"/>
        <w:adjustRightInd w:val="0"/>
      </w:pPr>
      <w:r>
        <w:t>The agency</w:t>
      </w:r>
      <w:r w:rsidR="00903F48">
        <w:t xml:space="preserve">, i.e., </w:t>
      </w:r>
      <w:proofErr w:type="spellStart"/>
      <w:r w:rsidR="00903F48">
        <w:t>SeKON</w:t>
      </w:r>
      <w:proofErr w:type="spellEnd"/>
      <w:r w:rsidR="00903F48">
        <w:t>,</w:t>
      </w:r>
      <w:r>
        <w:t xml:space="preserve"> </w:t>
      </w:r>
      <w:r w:rsidR="00903F48">
        <w:t xml:space="preserve">contracted by the CDC to build and maintain CTS </w:t>
      </w:r>
      <w:r>
        <w:t xml:space="preserve">will build the needs assessment instruments and reporting </w:t>
      </w:r>
      <w:r w:rsidR="008B1CB4">
        <w:t>functionality in the system and will test user access</w:t>
      </w:r>
      <w:r w:rsidR="00AC5162">
        <w:t>, data collection</w:t>
      </w:r>
      <w:r w:rsidR="00D61F9C">
        <w:t xml:space="preserve"> ease and navigation</w:t>
      </w:r>
      <w:r w:rsidR="00AC5162">
        <w:t xml:space="preserve">, and reporting accuracy as part of the system design </w:t>
      </w:r>
      <w:r w:rsidR="00D61F9C">
        <w:t xml:space="preserve">and build </w:t>
      </w:r>
      <w:r w:rsidR="00AC5162">
        <w:t xml:space="preserve">process. </w:t>
      </w:r>
      <w:r w:rsidR="00D61F9C">
        <w:t xml:space="preserve">This process occurs in conjunction with CDC oversight and input. </w:t>
      </w:r>
      <w:r w:rsidR="00AC5162">
        <w:t xml:space="preserve">The needs assessment instruments have been designed and reviewed by CDC staff that work directly with the agencies being asked to complete the assessments. In addition, CDC staff have piloted the ease of instrument completion, and this pilot informs the estimated burden time of this application. </w:t>
      </w:r>
    </w:p>
    <w:p w:rsidRPr="007E3F48" w:rsidR="00620CAD" w:rsidP="00713BC3" w:rsidRDefault="00620CAD" w14:paraId="173FF9C8" w14:textId="77777777">
      <w:pPr>
        <w:autoSpaceDE w:val="0"/>
        <w:autoSpaceDN w:val="0"/>
        <w:adjustRightInd w:val="0"/>
      </w:pPr>
    </w:p>
    <w:p w:rsidRPr="007E3F48" w:rsidR="005342FB" w:rsidP="00713BC3" w:rsidRDefault="005342FB" w14:paraId="38B2B541" w14:textId="5B1E695D">
      <w:pPr>
        <w:pStyle w:val="Heading1"/>
        <w:spacing w:before="0"/>
        <w:rPr>
          <w:rFonts w:cs="Times New Roman"/>
          <w:szCs w:val="24"/>
        </w:rPr>
      </w:pPr>
      <w:bookmarkStart w:name="_Toc77234429" w:id="3"/>
      <w:r w:rsidRPr="007E3F48">
        <w:rPr>
          <w:rFonts w:cs="Times New Roman"/>
          <w:szCs w:val="24"/>
        </w:rPr>
        <w:t>Individuals Consulted on Statistical Aspects and Individuals Collecting and/or Analyzing Data</w:t>
      </w:r>
      <w:bookmarkEnd w:id="3"/>
    </w:p>
    <w:p w:rsidRPr="007E3F48" w:rsidR="005913FE" w:rsidP="005913FE" w:rsidRDefault="005913FE" w14:paraId="38BD0BD9" w14:textId="77777777"/>
    <w:p w:rsidRPr="007E3F48" w:rsidR="005342FB" w:rsidP="00713BC3" w:rsidRDefault="008A18E1" w14:paraId="48C88D2E" w14:textId="25042109">
      <w:r w:rsidRPr="007E3F48">
        <w:t xml:space="preserve">Exhibit </w:t>
      </w:r>
      <w:r w:rsidR="00064522">
        <w:t>5.1</w:t>
      </w:r>
      <w:r w:rsidRPr="007E3F48" w:rsidR="003728D1">
        <w:t xml:space="preserve"> below lists the </w:t>
      </w:r>
      <w:r w:rsidR="00620CAD">
        <w:t xml:space="preserve">needs assessment </w:t>
      </w:r>
      <w:r w:rsidRPr="007E3F48" w:rsidR="003728D1">
        <w:t xml:space="preserve">team members </w:t>
      </w:r>
      <w:r w:rsidRPr="007E3F48">
        <w:t>consulted on the aspects of design and those who will be c</w:t>
      </w:r>
      <w:r w:rsidRPr="007E3F48" w:rsidR="003728D1">
        <w:t>ollecting and analyzing the information</w:t>
      </w:r>
      <w:r w:rsidRPr="007E3F48">
        <w:t xml:space="preserve">. </w:t>
      </w:r>
      <w:r w:rsidR="00B95FE2">
        <w:t xml:space="preserve">Please note: this data collection effort does not involve the use of statistical procedures beyond </w:t>
      </w:r>
      <w:r w:rsidR="00775F89">
        <w:t>descriptive statistics, i.e., response aggregation and frequencies.</w:t>
      </w:r>
    </w:p>
    <w:p w:rsidRPr="007E3F48" w:rsidR="005913FE" w:rsidP="00713BC3" w:rsidRDefault="005913FE" w14:paraId="7A3465F1" w14:textId="77777777"/>
    <w:p w:rsidRPr="007E3F48" w:rsidR="008A18E1" w:rsidP="00310A52" w:rsidRDefault="007F29CE" w14:paraId="465CC18D" w14:textId="113DD55F">
      <w:pPr>
        <w:pStyle w:val="Normal1"/>
      </w:pPr>
      <w:bookmarkStart w:name="_Toc513105197" w:id="4"/>
      <w:r w:rsidRPr="007E3F48">
        <w:t xml:space="preserve">Exhibit </w:t>
      </w:r>
      <w:r w:rsidR="00064522">
        <w:t>5.1</w:t>
      </w:r>
      <w:r w:rsidR="004F1900">
        <w:t xml:space="preserve">: </w:t>
      </w:r>
      <w:r w:rsidR="00AD491C">
        <w:t>Needs Assessment</w:t>
      </w:r>
      <w:r w:rsidRPr="007E3F48">
        <w:t xml:space="preserve"> Consultants</w:t>
      </w:r>
      <w:bookmarkEnd w:id="4"/>
    </w:p>
    <w:tbl>
      <w:tblPr>
        <w:tblStyle w:val="TableGrid"/>
        <w:tblW w:w="0" w:type="auto"/>
        <w:tblLook w:val="04A0" w:firstRow="1" w:lastRow="0" w:firstColumn="1" w:lastColumn="0" w:noHBand="0" w:noVBand="1"/>
      </w:tblPr>
      <w:tblGrid>
        <w:gridCol w:w="2726"/>
        <w:gridCol w:w="1576"/>
        <w:gridCol w:w="1629"/>
        <w:gridCol w:w="3419"/>
      </w:tblGrid>
      <w:tr w:rsidRPr="007E3F48" w:rsidR="008A18E1" w:rsidTr="00013925" w14:paraId="7E78AD89" w14:textId="77777777">
        <w:tc>
          <w:tcPr>
            <w:tcW w:w="2785" w:type="dxa"/>
            <w:shd w:val="clear" w:color="auto" w:fill="F2F2F2" w:themeFill="background1" w:themeFillShade="F2"/>
          </w:tcPr>
          <w:p w:rsidRPr="007E3F48" w:rsidR="008A18E1" w:rsidP="00713BC3" w:rsidRDefault="008A18E1" w14:paraId="6F7A2433" w14:textId="77777777">
            <w:pPr>
              <w:rPr>
                <w:b/>
              </w:rPr>
            </w:pPr>
            <w:r w:rsidRPr="007E3F48">
              <w:rPr>
                <w:b/>
              </w:rPr>
              <w:t>Team Member</w:t>
            </w:r>
          </w:p>
        </w:tc>
        <w:tc>
          <w:tcPr>
            <w:tcW w:w="1406" w:type="dxa"/>
            <w:shd w:val="clear" w:color="auto" w:fill="F2F2F2" w:themeFill="background1" w:themeFillShade="F2"/>
          </w:tcPr>
          <w:p w:rsidRPr="007E3F48" w:rsidR="008A18E1" w:rsidP="00713BC3" w:rsidRDefault="008A18E1" w14:paraId="3BCB9A89" w14:textId="77777777">
            <w:pPr>
              <w:rPr>
                <w:b/>
              </w:rPr>
            </w:pPr>
            <w:r w:rsidRPr="007E3F48">
              <w:rPr>
                <w:b/>
              </w:rPr>
              <w:t>Organization</w:t>
            </w:r>
          </w:p>
        </w:tc>
        <w:tc>
          <w:tcPr>
            <w:tcW w:w="1664" w:type="dxa"/>
            <w:shd w:val="clear" w:color="auto" w:fill="F2F2F2" w:themeFill="background1" w:themeFillShade="F2"/>
          </w:tcPr>
          <w:p w:rsidRPr="007E3F48" w:rsidR="008A18E1" w:rsidP="00713BC3" w:rsidRDefault="008A18E1" w14:paraId="0CF443BA" w14:textId="77777777">
            <w:pPr>
              <w:rPr>
                <w:b/>
              </w:rPr>
            </w:pPr>
            <w:r w:rsidRPr="007E3F48">
              <w:rPr>
                <w:b/>
              </w:rPr>
              <w:t>Phone</w:t>
            </w:r>
          </w:p>
        </w:tc>
        <w:tc>
          <w:tcPr>
            <w:tcW w:w="3495" w:type="dxa"/>
            <w:shd w:val="clear" w:color="auto" w:fill="F2F2F2" w:themeFill="background1" w:themeFillShade="F2"/>
          </w:tcPr>
          <w:p w:rsidRPr="007E3F48" w:rsidR="008A18E1" w:rsidP="00713BC3" w:rsidRDefault="008A18E1" w14:paraId="11D6F4C4" w14:textId="77777777">
            <w:pPr>
              <w:rPr>
                <w:b/>
              </w:rPr>
            </w:pPr>
            <w:r w:rsidRPr="007E3F48">
              <w:rPr>
                <w:b/>
              </w:rPr>
              <w:t>Email</w:t>
            </w:r>
          </w:p>
        </w:tc>
      </w:tr>
      <w:tr w:rsidRPr="007E3F48" w:rsidR="008A18E1" w:rsidTr="00013925" w14:paraId="5F136365" w14:textId="77777777">
        <w:tc>
          <w:tcPr>
            <w:tcW w:w="2785" w:type="dxa"/>
          </w:tcPr>
          <w:p w:rsidRPr="007E3F48" w:rsidR="008A18E1" w:rsidP="00713BC3" w:rsidRDefault="005913FE" w14:paraId="76A652A8" w14:textId="12230FBC">
            <w:r w:rsidRPr="007E3F48">
              <w:t>Neal Carnes</w:t>
            </w:r>
          </w:p>
        </w:tc>
        <w:tc>
          <w:tcPr>
            <w:tcW w:w="1406" w:type="dxa"/>
          </w:tcPr>
          <w:p w:rsidRPr="007E3F48" w:rsidR="008A18E1" w:rsidP="00713BC3" w:rsidRDefault="008A18E1" w14:paraId="65BDFAD4" w14:textId="77777777">
            <w:r w:rsidRPr="007E3F48">
              <w:t>CDC</w:t>
            </w:r>
          </w:p>
        </w:tc>
        <w:tc>
          <w:tcPr>
            <w:tcW w:w="1664" w:type="dxa"/>
          </w:tcPr>
          <w:p w:rsidRPr="007E3F48" w:rsidR="008A18E1" w:rsidP="00713BC3" w:rsidRDefault="005913FE" w14:paraId="444C8456" w14:textId="7718B773">
            <w:r w:rsidRPr="007E3F48">
              <w:t>404-718-5379</w:t>
            </w:r>
          </w:p>
        </w:tc>
        <w:tc>
          <w:tcPr>
            <w:tcW w:w="3495" w:type="dxa"/>
          </w:tcPr>
          <w:p w:rsidRPr="007E3F48" w:rsidR="008A18E1" w:rsidP="00713BC3" w:rsidRDefault="005913FE" w14:paraId="467DB19B" w14:textId="2D2C361F">
            <w:r w:rsidRPr="007E3F48">
              <w:t>mwi2@cdc.gov</w:t>
            </w:r>
          </w:p>
        </w:tc>
      </w:tr>
      <w:tr w:rsidRPr="007E3F48" w:rsidR="008A18E1" w:rsidTr="00013925" w14:paraId="477A641E" w14:textId="77777777">
        <w:tc>
          <w:tcPr>
            <w:tcW w:w="2785" w:type="dxa"/>
          </w:tcPr>
          <w:p w:rsidRPr="007E3F48" w:rsidR="008A18E1" w:rsidP="00713BC3" w:rsidRDefault="00E40BC9" w14:paraId="05D8FC9A" w14:textId="068BBA6D">
            <w:r>
              <w:t>Grace (Chela) Hall</w:t>
            </w:r>
          </w:p>
        </w:tc>
        <w:tc>
          <w:tcPr>
            <w:tcW w:w="1406" w:type="dxa"/>
          </w:tcPr>
          <w:p w:rsidRPr="007E3F48" w:rsidR="008A18E1" w:rsidP="00713BC3" w:rsidRDefault="008A18E1" w14:paraId="705F4A6D" w14:textId="77777777">
            <w:r w:rsidRPr="007E3F48">
              <w:t>CDC</w:t>
            </w:r>
          </w:p>
        </w:tc>
        <w:tc>
          <w:tcPr>
            <w:tcW w:w="1664" w:type="dxa"/>
          </w:tcPr>
          <w:p w:rsidRPr="007E3F48" w:rsidR="008A18E1" w:rsidP="00713BC3" w:rsidRDefault="0023608C" w14:paraId="12B7376E" w14:textId="5F9C2F7E">
            <w:r>
              <w:t>404-639-5224</w:t>
            </w:r>
          </w:p>
        </w:tc>
        <w:tc>
          <w:tcPr>
            <w:tcW w:w="3495" w:type="dxa"/>
          </w:tcPr>
          <w:p w:rsidRPr="007E3F48" w:rsidR="008A18E1" w:rsidP="00713BC3" w:rsidRDefault="0023608C" w14:paraId="19D625F2" w14:textId="60CD5407">
            <w:r>
              <w:t>glh6@cdc.gov</w:t>
            </w:r>
          </w:p>
        </w:tc>
      </w:tr>
      <w:tr w:rsidRPr="007E3F48" w:rsidR="00C34C13" w:rsidTr="00013925" w14:paraId="278B23EB" w14:textId="77777777">
        <w:tc>
          <w:tcPr>
            <w:tcW w:w="2785" w:type="dxa"/>
          </w:tcPr>
          <w:p w:rsidRPr="007E3F48" w:rsidR="00C34C13" w:rsidP="00713BC3" w:rsidRDefault="00E40BC9" w14:paraId="3D5FBD5F" w14:textId="51ABC653">
            <w:r>
              <w:t xml:space="preserve">Miriam </w:t>
            </w:r>
            <w:proofErr w:type="spellStart"/>
            <w:r>
              <w:t>Phields</w:t>
            </w:r>
            <w:proofErr w:type="spellEnd"/>
          </w:p>
        </w:tc>
        <w:tc>
          <w:tcPr>
            <w:tcW w:w="1406" w:type="dxa"/>
          </w:tcPr>
          <w:p w:rsidRPr="007E3F48" w:rsidR="00C34C13" w:rsidP="00713BC3" w:rsidRDefault="00C34C13" w14:paraId="1CF0C3A0" w14:textId="1DF68422">
            <w:r w:rsidRPr="007E3F48">
              <w:t>CDC</w:t>
            </w:r>
          </w:p>
        </w:tc>
        <w:tc>
          <w:tcPr>
            <w:tcW w:w="1664" w:type="dxa"/>
          </w:tcPr>
          <w:p w:rsidRPr="007E3F48" w:rsidR="00C34C13" w:rsidP="00713BC3" w:rsidRDefault="00CB46DC" w14:paraId="5B8D89FF" w14:textId="24924FE3">
            <w:r>
              <w:t>404-639-4957</w:t>
            </w:r>
          </w:p>
        </w:tc>
        <w:tc>
          <w:tcPr>
            <w:tcW w:w="3495" w:type="dxa"/>
          </w:tcPr>
          <w:p w:rsidRPr="007E3F48" w:rsidR="00C34C13" w:rsidP="00713BC3" w:rsidRDefault="00CB46DC" w14:paraId="5FF3D04E" w14:textId="67F7D46D">
            <w:r>
              <w:t>byn8@cdc.gov</w:t>
            </w:r>
          </w:p>
        </w:tc>
      </w:tr>
      <w:tr w:rsidRPr="007E3F48" w:rsidR="003728D1" w:rsidTr="00013925" w14:paraId="6B737570" w14:textId="77777777">
        <w:tc>
          <w:tcPr>
            <w:tcW w:w="2785" w:type="dxa"/>
          </w:tcPr>
          <w:p w:rsidRPr="007E3F48" w:rsidR="003728D1" w:rsidP="00713BC3" w:rsidRDefault="00E40BC9" w14:paraId="4B647D8C" w14:textId="6D90B657">
            <w:r>
              <w:t>Heidi Bishop</w:t>
            </w:r>
          </w:p>
        </w:tc>
        <w:tc>
          <w:tcPr>
            <w:tcW w:w="1406" w:type="dxa"/>
          </w:tcPr>
          <w:p w:rsidRPr="007E3F48" w:rsidR="003728D1" w:rsidP="00713BC3" w:rsidRDefault="003728D1" w14:paraId="693136CE" w14:textId="110C166B">
            <w:r w:rsidRPr="007E3F48">
              <w:t>CDC</w:t>
            </w:r>
          </w:p>
        </w:tc>
        <w:tc>
          <w:tcPr>
            <w:tcW w:w="1664" w:type="dxa"/>
          </w:tcPr>
          <w:p w:rsidRPr="007E3F48" w:rsidR="003728D1" w:rsidP="00713BC3" w:rsidRDefault="00E51300" w14:paraId="20105999" w14:textId="46A24473">
            <w:r>
              <w:t>404-639-4802</w:t>
            </w:r>
          </w:p>
        </w:tc>
        <w:tc>
          <w:tcPr>
            <w:tcW w:w="3495" w:type="dxa"/>
          </w:tcPr>
          <w:p w:rsidRPr="007E3F48" w:rsidR="003728D1" w:rsidP="00713BC3" w:rsidRDefault="00E51300" w14:paraId="2E4A177A" w14:textId="563C0DC2">
            <w:r>
              <w:t>qvs9@cdc.gov</w:t>
            </w:r>
          </w:p>
        </w:tc>
      </w:tr>
      <w:tr w:rsidRPr="007E3F48" w:rsidR="008A18E1" w:rsidTr="00013925" w14:paraId="760E3C8D" w14:textId="77777777">
        <w:tc>
          <w:tcPr>
            <w:tcW w:w="2785" w:type="dxa"/>
          </w:tcPr>
          <w:p w:rsidRPr="007E3F48" w:rsidR="008A18E1" w:rsidP="00713BC3" w:rsidRDefault="00E40BC9" w14:paraId="23AF932F" w14:textId="524B0207">
            <w:r>
              <w:t xml:space="preserve">Laura </w:t>
            </w:r>
            <w:proofErr w:type="spellStart"/>
            <w:r>
              <w:t>Weso</w:t>
            </w:r>
            <w:r w:rsidR="00AD491C">
              <w:t>lowski</w:t>
            </w:r>
            <w:proofErr w:type="spellEnd"/>
          </w:p>
        </w:tc>
        <w:tc>
          <w:tcPr>
            <w:tcW w:w="1406" w:type="dxa"/>
          </w:tcPr>
          <w:p w:rsidRPr="007E3F48" w:rsidR="008A18E1" w:rsidP="00713BC3" w:rsidRDefault="00775F89" w14:paraId="21AE3058" w14:textId="60ABC2CE">
            <w:r>
              <w:t>CDC</w:t>
            </w:r>
          </w:p>
        </w:tc>
        <w:tc>
          <w:tcPr>
            <w:tcW w:w="1664" w:type="dxa"/>
          </w:tcPr>
          <w:p w:rsidRPr="007E3F48" w:rsidR="008A18E1" w:rsidP="00713BC3" w:rsidRDefault="00E94D55" w14:paraId="32815146" w14:textId="6BBFFE6A">
            <w:r>
              <w:t>404-639-6007</w:t>
            </w:r>
          </w:p>
        </w:tc>
        <w:tc>
          <w:tcPr>
            <w:tcW w:w="3495" w:type="dxa"/>
          </w:tcPr>
          <w:p w:rsidRPr="007E3F48" w:rsidR="008A18E1" w:rsidP="00713BC3" w:rsidRDefault="00E94D55" w14:paraId="2617B1D7" w14:textId="17B24D0F">
            <w:r>
              <w:t>lig7@cdc.gov</w:t>
            </w:r>
          </w:p>
        </w:tc>
      </w:tr>
      <w:tr w:rsidRPr="007E3F48" w:rsidR="008A18E1" w:rsidTr="00013925" w14:paraId="64D7ACEE" w14:textId="77777777">
        <w:tc>
          <w:tcPr>
            <w:tcW w:w="2785" w:type="dxa"/>
          </w:tcPr>
          <w:p w:rsidRPr="007E3F48" w:rsidR="008A18E1" w:rsidP="00713BC3" w:rsidRDefault="00C34C13" w14:paraId="1B35D6F3" w14:textId="488D7C2F">
            <w:r w:rsidRPr="007E3F48">
              <w:t>C</w:t>
            </w:r>
            <w:r w:rsidR="00AD491C">
              <w:t>harles Collins</w:t>
            </w:r>
          </w:p>
        </w:tc>
        <w:tc>
          <w:tcPr>
            <w:tcW w:w="1406" w:type="dxa"/>
          </w:tcPr>
          <w:p w:rsidRPr="007E3F48" w:rsidR="008A18E1" w:rsidP="00713BC3" w:rsidRDefault="00775F89" w14:paraId="7B83E724" w14:textId="33CA608C">
            <w:r>
              <w:t>CDC</w:t>
            </w:r>
          </w:p>
        </w:tc>
        <w:tc>
          <w:tcPr>
            <w:tcW w:w="1664" w:type="dxa"/>
          </w:tcPr>
          <w:p w:rsidRPr="007E3F48" w:rsidR="008A18E1" w:rsidP="00713BC3" w:rsidRDefault="00F30D7A" w14:paraId="0E473922" w14:textId="349C9DD1">
            <w:r>
              <w:t>404-639-0966</w:t>
            </w:r>
          </w:p>
        </w:tc>
        <w:tc>
          <w:tcPr>
            <w:tcW w:w="3495" w:type="dxa"/>
          </w:tcPr>
          <w:p w:rsidRPr="007E3F48" w:rsidR="008A18E1" w:rsidP="00713BC3" w:rsidRDefault="00F30D7A" w14:paraId="5D6773F0" w14:textId="505ABB6F">
            <w:r>
              <w:t>cwc4@cdc.gov</w:t>
            </w:r>
          </w:p>
        </w:tc>
      </w:tr>
      <w:tr w:rsidRPr="007E3F48" w:rsidR="007F29CE" w:rsidTr="00013925" w14:paraId="09B1FE9F" w14:textId="77777777">
        <w:tc>
          <w:tcPr>
            <w:tcW w:w="2785" w:type="dxa"/>
          </w:tcPr>
          <w:p w:rsidRPr="007E3F48" w:rsidR="007F29CE" w:rsidP="00713BC3" w:rsidRDefault="00AD491C" w14:paraId="7719144E" w14:textId="44FF06A9">
            <w:r>
              <w:t xml:space="preserve">A.D. </w:t>
            </w:r>
            <w:proofErr w:type="spellStart"/>
            <w:r>
              <w:t>McNaghten</w:t>
            </w:r>
            <w:proofErr w:type="spellEnd"/>
          </w:p>
        </w:tc>
        <w:tc>
          <w:tcPr>
            <w:tcW w:w="1406" w:type="dxa"/>
          </w:tcPr>
          <w:p w:rsidRPr="007E3F48" w:rsidR="007F29CE" w:rsidP="00713BC3" w:rsidRDefault="00255759" w14:paraId="182CF571" w14:textId="78FB7402">
            <w:r>
              <w:t>CDC</w:t>
            </w:r>
          </w:p>
        </w:tc>
        <w:tc>
          <w:tcPr>
            <w:tcW w:w="1664" w:type="dxa"/>
          </w:tcPr>
          <w:p w:rsidRPr="007E3F48" w:rsidR="007F29CE" w:rsidP="00713BC3" w:rsidRDefault="00255759" w14:paraId="0FD0A255" w14:textId="3081B935">
            <w:r>
              <w:t>404-639-4493</w:t>
            </w:r>
          </w:p>
        </w:tc>
        <w:tc>
          <w:tcPr>
            <w:tcW w:w="3495" w:type="dxa"/>
          </w:tcPr>
          <w:p w:rsidRPr="007E3F48" w:rsidR="007F29CE" w:rsidP="00713BC3" w:rsidRDefault="00E94D55" w14:paraId="51F045C9" w14:textId="7D0CFB29">
            <w:r>
              <w:t>aom5@cdc.gov</w:t>
            </w:r>
          </w:p>
        </w:tc>
      </w:tr>
    </w:tbl>
    <w:p w:rsidR="00310A52" w:rsidP="00310A52" w:rsidRDefault="00310A52" w14:paraId="4870FAB6" w14:textId="77777777"/>
    <w:p w:rsidRPr="007E3F48" w:rsidR="000C566C" w:rsidP="003440BA" w:rsidRDefault="000C566C" w14:paraId="0B03EDA7" w14:textId="4692CC94">
      <w:pPr>
        <w:spacing w:after="200" w:line="276" w:lineRule="auto"/>
      </w:pPr>
    </w:p>
    <w:p w:rsidRPr="007E3F48" w:rsidR="00302D00" w:rsidP="00713BC3" w:rsidRDefault="00302D00" w14:paraId="44A5C849" w14:textId="3EC8FA8C"/>
    <w:sectPr w:rsidRPr="007E3F48" w:rsidR="00302D00" w:rsidSect="0001392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56F23" w14:textId="77777777" w:rsidR="00531907" w:rsidRDefault="00531907" w:rsidP="008B5D54">
      <w:r>
        <w:separator/>
      </w:r>
    </w:p>
  </w:endnote>
  <w:endnote w:type="continuationSeparator" w:id="0">
    <w:p w14:paraId="2954F94B" w14:textId="77777777" w:rsidR="00531907" w:rsidRDefault="0053190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ourier Std">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0B5A" w14:textId="77777777" w:rsidR="00C0434D" w:rsidRDefault="00C04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164076"/>
      <w:docPartObj>
        <w:docPartGallery w:val="Page Numbers (Bottom of Page)"/>
        <w:docPartUnique/>
      </w:docPartObj>
    </w:sdtPr>
    <w:sdtEndPr>
      <w:rPr>
        <w:noProof/>
      </w:rPr>
    </w:sdtEndPr>
    <w:sdtContent>
      <w:p w14:paraId="3EB197DD" w14:textId="4CF95B1A" w:rsidR="00C84CD9" w:rsidRDefault="00C84CD9">
        <w:pPr>
          <w:pStyle w:val="Footer"/>
          <w:jc w:val="right"/>
        </w:pPr>
        <w:r>
          <w:fldChar w:fldCharType="begin"/>
        </w:r>
        <w:r>
          <w:instrText xml:space="preserve"> PAGE   \* MERGEFORMAT </w:instrText>
        </w:r>
        <w:r>
          <w:fldChar w:fldCharType="separate"/>
        </w:r>
        <w:r w:rsidR="00935BA9">
          <w:rPr>
            <w:noProof/>
          </w:rPr>
          <w:t>3</w:t>
        </w:r>
        <w:r>
          <w:rPr>
            <w:noProof/>
          </w:rPr>
          <w:fldChar w:fldCharType="end"/>
        </w:r>
      </w:p>
    </w:sdtContent>
  </w:sdt>
  <w:p w14:paraId="3E1BBBF9" w14:textId="77777777" w:rsidR="00C84CD9" w:rsidRDefault="00C84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F6AA" w14:textId="77777777" w:rsidR="00C0434D" w:rsidRDefault="00C04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44B01" w14:textId="77777777" w:rsidR="00531907" w:rsidRDefault="00531907" w:rsidP="008B5D54">
      <w:r>
        <w:separator/>
      </w:r>
    </w:p>
  </w:footnote>
  <w:footnote w:type="continuationSeparator" w:id="0">
    <w:p w14:paraId="6098F08F" w14:textId="77777777" w:rsidR="00531907" w:rsidRDefault="00531907"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FFB6" w14:textId="77777777" w:rsidR="00C0434D" w:rsidRDefault="00C04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1051" w14:textId="77777777" w:rsidR="00C0434D" w:rsidRDefault="00C043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22B3" w14:textId="77777777" w:rsidR="00C0434D" w:rsidRDefault="00C04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38B2"/>
    <w:multiLevelType w:val="hybridMultilevel"/>
    <w:tmpl w:val="2CDA099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34565D"/>
    <w:multiLevelType w:val="hybridMultilevel"/>
    <w:tmpl w:val="EDA8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77312"/>
    <w:multiLevelType w:val="hybridMultilevel"/>
    <w:tmpl w:val="AEC0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12F58"/>
    <w:multiLevelType w:val="hybridMultilevel"/>
    <w:tmpl w:val="EC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96D2D"/>
    <w:multiLevelType w:val="hybridMultilevel"/>
    <w:tmpl w:val="44D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549DE"/>
    <w:multiLevelType w:val="hybridMultilevel"/>
    <w:tmpl w:val="F2CC025C"/>
    <w:lvl w:ilvl="0" w:tplc="2C481A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BF6267"/>
    <w:multiLevelType w:val="hybridMultilevel"/>
    <w:tmpl w:val="CE9CC54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EDA1BB3"/>
    <w:multiLevelType w:val="hybridMultilevel"/>
    <w:tmpl w:val="A35444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1D045A6"/>
    <w:multiLevelType w:val="hybridMultilevel"/>
    <w:tmpl w:val="4FF8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27B07"/>
    <w:multiLevelType w:val="hybridMultilevel"/>
    <w:tmpl w:val="42E8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67AD2"/>
    <w:multiLevelType w:val="hybridMultilevel"/>
    <w:tmpl w:val="4870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A4317B"/>
    <w:multiLevelType w:val="hybridMultilevel"/>
    <w:tmpl w:val="842E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64139"/>
    <w:multiLevelType w:val="hybridMultilevel"/>
    <w:tmpl w:val="298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92DDF"/>
    <w:multiLevelType w:val="hybridMultilevel"/>
    <w:tmpl w:val="1EA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FB12C7"/>
    <w:multiLevelType w:val="multilevel"/>
    <w:tmpl w:val="93B4C7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7"/>
  </w:num>
  <w:num w:numId="2">
    <w:abstractNumId w:val="7"/>
  </w:num>
  <w:num w:numId="3">
    <w:abstractNumId w:val="14"/>
  </w:num>
  <w:num w:numId="4">
    <w:abstractNumId w:val="13"/>
  </w:num>
  <w:num w:numId="5">
    <w:abstractNumId w:val="15"/>
  </w:num>
  <w:num w:numId="6">
    <w:abstractNumId w:val="3"/>
  </w:num>
  <w:num w:numId="7">
    <w:abstractNumId w:val="1"/>
  </w:num>
  <w:num w:numId="8">
    <w:abstractNumId w:val="7"/>
  </w:num>
  <w:num w:numId="9">
    <w:abstractNumId w:val="10"/>
  </w:num>
  <w:num w:numId="10">
    <w:abstractNumId w:val="9"/>
  </w:num>
  <w:num w:numId="11">
    <w:abstractNumId w:val="12"/>
  </w:num>
  <w:num w:numId="12">
    <w:abstractNumId w:val="6"/>
  </w:num>
  <w:num w:numId="13">
    <w:abstractNumId w:val="4"/>
  </w:num>
  <w:num w:numId="14">
    <w:abstractNumId w:val="16"/>
  </w:num>
  <w:num w:numId="15">
    <w:abstractNumId w:val="11"/>
  </w:num>
  <w:num w:numId="16">
    <w:abstractNumId w:val="5"/>
  </w:num>
  <w:num w:numId="17">
    <w:abstractNumId w:val="2"/>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2d5090dvavrje59zuv2dekxe5x20rrptwx&quot;&gt;SSP EndNote Library&lt;record-ids&gt;&lt;item&gt;1&lt;/item&gt;&lt;item&gt;14&lt;/item&gt;&lt;item&gt;20&lt;/item&gt;&lt;item&gt;21&lt;/item&gt;&lt;item&gt;26&lt;/item&gt;&lt;item&gt;27&lt;/item&gt;&lt;/record-ids&gt;&lt;/item&gt;&lt;/Libraries&gt;"/>
  </w:docVars>
  <w:rsids>
    <w:rsidRoot w:val="005342FB"/>
    <w:rsid w:val="00002C5F"/>
    <w:rsid w:val="00010678"/>
    <w:rsid w:val="00013925"/>
    <w:rsid w:val="00013F21"/>
    <w:rsid w:val="00015EF5"/>
    <w:rsid w:val="00026A34"/>
    <w:rsid w:val="00034679"/>
    <w:rsid w:val="0003477D"/>
    <w:rsid w:val="00035D3F"/>
    <w:rsid w:val="000366A9"/>
    <w:rsid w:val="0004245A"/>
    <w:rsid w:val="000434D4"/>
    <w:rsid w:val="0004527A"/>
    <w:rsid w:val="000464A1"/>
    <w:rsid w:val="0006083A"/>
    <w:rsid w:val="000609EC"/>
    <w:rsid w:val="00063241"/>
    <w:rsid w:val="00064522"/>
    <w:rsid w:val="00065B15"/>
    <w:rsid w:val="00073E48"/>
    <w:rsid w:val="00080134"/>
    <w:rsid w:val="000925B3"/>
    <w:rsid w:val="00094C20"/>
    <w:rsid w:val="000A1477"/>
    <w:rsid w:val="000B4057"/>
    <w:rsid w:val="000B5857"/>
    <w:rsid w:val="000B792B"/>
    <w:rsid w:val="000C1542"/>
    <w:rsid w:val="000C3016"/>
    <w:rsid w:val="000C424F"/>
    <w:rsid w:val="000C566C"/>
    <w:rsid w:val="000D03CA"/>
    <w:rsid w:val="000D2848"/>
    <w:rsid w:val="000E44D4"/>
    <w:rsid w:val="000E7CB6"/>
    <w:rsid w:val="000F096A"/>
    <w:rsid w:val="00103914"/>
    <w:rsid w:val="00104443"/>
    <w:rsid w:val="00105296"/>
    <w:rsid w:val="00106E80"/>
    <w:rsid w:val="0011792F"/>
    <w:rsid w:val="00134942"/>
    <w:rsid w:val="001371C7"/>
    <w:rsid w:val="00141DB4"/>
    <w:rsid w:val="0014326C"/>
    <w:rsid w:val="00144A93"/>
    <w:rsid w:val="00156E3A"/>
    <w:rsid w:val="00157871"/>
    <w:rsid w:val="0015788E"/>
    <w:rsid w:val="0016459B"/>
    <w:rsid w:val="00165FD2"/>
    <w:rsid w:val="00167F5B"/>
    <w:rsid w:val="001809A3"/>
    <w:rsid w:val="00187F1C"/>
    <w:rsid w:val="0019274C"/>
    <w:rsid w:val="00194237"/>
    <w:rsid w:val="001968DA"/>
    <w:rsid w:val="001B53FF"/>
    <w:rsid w:val="001C3299"/>
    <w:rsid w:val="001C7271"/>
    <w:rsid w:val="001E0703"/>
    <w:rsid w:val="001E3D2F"/>
    <w:rsid w:val="001F37A1"/>
    <w:rsid w:val="001F73A2"/>
    <w:rsid w:val="0022634A"/>
    <w:rsid w:val="0023608C"/>
    <w:rsid w:val="00250592"/>
    <w:rsid w:val="00255759"/>
    <w:rsid w:val="002576D7"/>
    <w:rsid w:val="00267890"/>
    <w:rsid w:val="0027000D"/>
    <w:rsid w:val="0027592E"/>
    <w:rsid w:val="00277210"/>
    <w:rsid w:val="00280E30"/>
    <w:rsid w:val="002831B8"/>
    <w:rsid w:val="002C0062"/>
    <w:rsid w:val="002C7C7C"/>
    <w:rsid w:val="002D438F"/>
    <w:rsid w:val="002F42D4"/>
    <w:rsid w:val="002F6E84"/>
    <w:rsid w:val="00302D00"/>
    <w:rsid w:val="00310A52"/>
    <w:rsid w:val="00311E64"/>
    <w:rsid w:val="00311EAC"/>
    <w:rsid w:val="0031423B"/>
    <w:rsid w:val="00314423"/>
    <w:rsid w:val="0032129A"/>
    <w:rsid w:val="00325660"/>
    <w:rsid w:val="00325C9D"/>
    <w:rsid w:val="003440BA"/>
    <w:rsid w:val="00344463"/>
    <w:rsid w:val="003614C3"/>
    <w:rsid w:val="003728D1"/>
    <w:rsid w:val="003908E6"/>
    <w:rsid w:val="003978FC"/>
    <w:rsid w:val="003A2A70"/>
    <w:rsid w:val="003D3BBE"/>
    <w:rsid w:val="003D4F04"/>
    <w:rsid w:val="003D5237"/>
    <w:rsid w:val="003D5CAB"/>
    <w:rsid w:val="003D65E2"/>
    <w:rsid w:val="003E0B03"/>
    <w:rsid w:val="003E5184"/>
    <w:rsid w:val="003F35DB"/>
    <w:rsid w:val="003F755C"/>
    <w:rsid w:val="00402291"/>
    <w:rsid w:val="004034C9"/>
    <w:rsid w:val="00404893"/>
    <w:rsid w:val="00406C3C"/>
    <w:rsid w:val="00421540"/>
    <w:rsid w:val="00433131"/>
    <w:rsid w:val="00440616"/>
    <w:rsid w:val="00453F8E"/>
    <w:rsid w:val="004546C3"/>
    <w:rsid w:val="00465BBD"/>
    <w:rsid w:val="00471D2B"/>
    <w:rsid w:val="00485B7C"/>
    <w:rsid w:val="00487D7E"/>
    <w:rsid w:val="00490D2F"/>
    <w:rsid w:val="00494459"/>
    <w:rsid w:val="004A7CB0"/>
    <w:rsid w:val="004C36D1"/>
    <w:rsid w:val="004D1BBD"/>
    <w:rsid w:val="004E489F"/>
    <w:rsid w:val="004F161A"/>
    <w:rsid w:val="004F1900"/>
    <w:rsid w:val="004F3FD5"/>
    <w:rsid w:val="004F5C35"/>
    <w:rsid w:val="004F75AD"/>
    <w:rsid w:val="005002CE"/>
    <w:rsid w:val="005103F6"/>
    <w:rsid w:val="0051707B"/>
    <w:rsid w:val="00521D51"/>
    <w:rsid w:val="00525A55"/>
    <w:rsid w:val="00527188"/>
    <w:rsid w:val="00531907"/>
    <w:rsid w:val="005339B7"/>
    <w:rsid w:val="00533CCF"/>
    <w:rsid w:val="005342FB"/>
    <w:rsid w:val="005364FE"/>
    <w:rsid w:val="0053739F"/>
    <w:rsid w:val="00537DFA"/>
    <w:rsid w:val="0054028A"/>
    <w:rsid w:val="0055017C"/>
    <w:rsid w:val="00554673"/>
    <w:rsid w:val="0055675E"/>
    <w:rsid w:val="0057145B"/>
    <w:rsid w:val="00581B33"/>
    <w:rsid w:val="005913FE"/>
    <w:rsid w:val="005A3A8D"/>
    <w:rsid w:val="005A6CB0"/>
    <w:rsid w:val="005B0C06"/>
    <w:rsid w:val="005C093C"/>
    <w:rsid w:val="005C226C"/>
    <w:rsid w:val="005C34AF"/>
    <w:rsid w:val="005C6B52"/>
    <w:rsid w:val="005C7D3F"/>
    <w:rsid w:val="005D0F7C"/>
    <w:rsid w:val="005E2E30"/>
    <w:rsid w:val="005E3F68"/>
    <w:rsid w:val="005F05AD"/>
    <w:rsid w:val="005F079D"/>
    <w:rsid w:val="00606E0F"/>
    <w:rsid w:val="00607C89"/>
    <w:rsid w:val="00615AD1"/>
    <w:rsid w:val="00620CAD"/>
    <w:rsid w:val="00642028"/>
    <w:rsid w:val="00644E20"/>
    <w:rsid w:val="00670D29"/>
    <w:rsid w:val="00671880"/>
    <w:rsid w:val="0067665A"/>
    <w:rsid w:val="00682615"/>
    <w:rsid w:val="0068310F"/>
    <w:rsid w:val="006863FF"/>
    <w:rsid w:val="00686860"/>
    <w:rsid w:val="00693CC5"/>
    <w:rsid w:val="00697BCA"/>
    <w:rsid w:val="006A4B59"/>
    <w:rsid w:val="006B0155"/>
    <w:rsid w:val="006C6578"/>
    <w:rsid w:val="006C6CC1"/>
    <w:rsid w:val="006E2B4B"/>
    <w:rsid w:val="006E3721"/>
    <w:rsid w:val="006E4DCD"/>
    <w:rsid w:val="006E7688"/>
    <w:rsid w:val="006F4AE0"/>
    <w:rsid w:val="006F6C4E"/>
    <w:rsid w:val="0070250C"/>
    <w:rsid w:val="0070344C"/>
    <w:rsid w:val="00712100"/>
    <w:rsid w:val="00712D3E"/>
    <w:rsid w:val="00713BC3"/>
    <w:rsid w:val="00720331"/>
    <w:rsid w:val="0072096D"/>
    <w:rsid w:val="00720E62"/>
    <w:rsid w:val="007263C3"/>
    <w:rsid w:val="00745245"/>
    <w:rsid w:val="00762367"/>
    <w:rsid w:val="007643F2"/>
    <w:rsid w:val="0077316D"/>
    <w:rsid w:val="00775F89"/>
    <w:rsid w:val="00776626"/>
    <w:rsid w:val="00776859"/>
    <w:rsid w:val="00786952"/>
    <w:rsid w:val="00790C6F"/>
    <w:rsid w:val="00792029"/>
    <w:rsid w:val="007A56E0"/>
    <w:rsid w:val="007B1973"/>
    <w:rsid w:val="007B4308"/>
    <w:rsid w:val="007B485A"/>
    <w:rsid w:val="007C3075"/>
    <w:rsid w:val="007C43A0"/>
    <w:rsid w:val="007C6AF7"/>
    <w:rsid w:val="007D4C9E"/>
    <w:rsid w:val="007E0DC4"/>
    <w:rsid w:val="007E3F48"/>
    <w:rsid w:val="007F29CE"/>
    <w:rsid w:val="007F5034"/>
    <w:rsid w:val="007F7A34"/>
    <w:rsid w:val="008007D8"/>
    <w:rsid w:val="00803C5F"/>
    <w:rsid w:val="00812653"/>
    <w:rsid w:val="008238F6"/>
    <w:rsid w:val="008253CC"/>
    <w:rsid w:val="00831DC9"/>
    <w:rsid w:val="00843B45"/>
    <w:rsid w:val="00846787"/>
    <w:rsid w:val="008500B1"/>
    <w:rsid w:val="00851795"/>
    <w:rsid w:val="00851A91"/>
    <w:rsid w:val="00870163"/>
    <w:rsid w:val="008837B8"/>
    <w:rsid w:val="008847BE"/>
    <w:rsid w:val="00892BA9"/>
    <w:rsid w:val="008A18E1"/>
    <w:rsid w:val="008A423B"/>
    <w:rsid w:val="008B1CB4"/>
    <w:rsid w:val="008B22CA"/>
    <w:rsid w:val="008B2F17"/>
    <w:rsid w:val="008B5D54"/>
    <w:rsid w:val="008B7DF3"/>
    <w:rsid w:val="008C7782"/>
    <w:rsid w:val="008D34B2"/>
    <w:rsid w:val="008D61A7"/>
    <w:rsid w:val="008E70EF"/>
    <w:rsid w:val="008E7CEF"/>
    <w:rsid w:val="008F3024"/>
    <w:rsid w:val="008F519C"/>
    <w:rsid w:val="008F57CA"/>
    <w:rsid w:val="00901DFB"/>
    <w:rsid w:val="00903F48"/>
    <w:rsid w:val="00904CDA"/>
    <w:rsid w:val="00907990"/>
    <w:rsid w:val="0091459E"/>
    <w:rsid w:val="00921830"/>
    <w:rsid w:val="00922698"/>
    <w:rsid w:val="00923019"/>
    <w:rsid w:val="0092340F"/>
    <w:rsid w:val="0092419F"/>
    <w:rsid w:val="00924ED2"/>
    <w:rsid w:val="00935BA9"/>
    <w:rsid w:val="00937383"/>
    <w:rsid w:val="0094089A"/>
    <w:rsid w:val="00944E40"/>
    <w:rsid w:val="00945206"/>
    <w:rsid w:val="009467D2"/>
    <w:rsid w:val="0095730B"/>
    <w:rsid w:val="00957AB6"/>
    <w:rsid w:val="009742B5"/>
    <w:rsid w:val="00980610"/>
    <w:rsid w:val="009839A3"/>
    <w:rsid w:val="009B0311"/>
    <w:rsid w:val="009B6315"/>
    <w:rsid w:val="009C1652"/>
    <w:rsid w:val="009C2EFF"/>
    <w:rsid w:val="00A162F3"/>
    <w:rsid w:val="00A24C90"/>
    <w:rsid w:val="00A307E4"/>
    <w:rsid w:val="00A33990"/>
    <w:rsid w:val="00A347F2"/>
    <w:rsid w:val="00A53262"/>
    <w:rsid w:val="00A62385"/>
    <w:rsid w:val="00A71B6D"/>
    <w:rsid w:val="00A752BB"/>
    <w:rsid w:val="00A920ED"/>
    <w:rsid w:val="00AA739C"/>
    <w:rsid w:val="00AB002F"/>
    <w:rsid w:val="00AB04FA"/>
    <w:rsid w:val="00AB6846"/>
    <w:rsid w:val="00AC1ACA"/>
    <w:rsid w:val="00AC47D6"/>
    <w:rsid w:val="00AC5162"/>
    <w:rsid w:val="00AD491C"/>
    <w:rsid w:val="00AE6C77"/>
    <w:rsid w:val="00AF02F1"/>
    <w:rsid w:val="00AF3865"/>
    <w:rsid w:val="00AF3A32"/>
    <w:rsid w:val="00B1408F"/>
    <w:rsid w:val="00B177B4"/>
    <w:rsid w:val="00B27474"/>
    <w:rsid w:val="00B44A06"/>
    <w:rsid w:val="00B4510E"/>
    <w:rsid w:val="00B471BB"/>
    <w:rsid w:val="00B515D9"/>
    <w:rsid w:val="00B55735"/>
    <w:rsid w:val="00B608AC"/>
    <w:rsid w:val="00B64263"/>
    <w:rsid w:val="00B724BB"/>
    <w:rsid w:val="00B76D49"/>
    <w:rsid w:val="00B873AA"/>
    <w:rsid w:val="00B91D6D"/>
    <w:rsid w:val="00B95FE2"/>
    <w:rsid w:val="00B96201"/>
    <w:rsid w:val="00B97486"/>
    <w:rsid w:val="00BA1CA4"/>
    <w:rsid w:val="00BA26E1"/>
    <w:rsid w:val="00BA4E35"/>
    <w:rsid w:val="00BA4EB0"/>
    <w:rsid w:val="00BB310F"/>
    <w:rsid w:val="00BC11C9"/>
    <w:rsid w:val="00BD6503"/>
    <w:rsid w:val="00BF7FA1"/>
    <w:rsid w:val="00C0434D"/>
    <w:rsid w:val="00C24CB1"/>
    <w:rsid w:val="00C33466"/>
    <w:rsid w:val="00C34C13"/>
    <w:rsid w:val="00C40F09"/>
    <w:rsid w:val="00C41366"/>
    <w:rsid w:val="00C41E81"/>
    <w:rsid w:val="00C43357"/>
    <w:rsid w:val="00C67A4F"/>
    <w:rsid w:val="00C722C4"/>
    <w:rsid w:val="00C76EA3"/>
    <w:rsid w:val="00C8223C"/>
    <w:rsid w:val="00C839E4"/>
    <w:rsid w:val="00C84CD9"/>
    <w:rsid w:val="00C946C2"/>
    <w:rsid w:val="00CA07AA"/>
    <w:rsid w:val="00CA20C3"/>
    <w:rsid w:val="00CA29DF"/>
    <w:rsid w:val="00CA607C"/>
    <w:rsid w:val="00CB46DC"/>
    <w:rsid w:val="00CB4EB0"/>
    <w:rsid w:val="00CC3D19"/>
    <w:rsid w:val="00CC755C"/>
    <w:rsid w:val="00CD1409"/>
    <w:rsid w:val="00CD6D16"/>
    <w:rsid w:val="00CE6AA8"/>
    <w:rsid w:val="00CF3DD7"/>
    <w:rsid w:val="00D0040C"/>
    <w:rsid w:val="00D025A5"/>
    <w:rsid w:val="00D13EA3"/>
    <w:rsid w:val="00D14157"/>
    <w:rsid w:val="00D1793C"/>
    <w:rsid w:val="00D207FC"/>
    <w:rsid w:val="00D2200F"/>
    <w:rsid w:val="00D254EE"/>
    <w:rsid w:val="00D32A02"/>
    <w:rsid w:val="00D3747B"/>
    <w:rsid w:val="00D547BF"/>
    <w:rsid w:val="00D554F6"/>
    <w:rsid w:val="00D61467"/>
    <w:rsid w:val="00D61F9C"/>
    <w:rsid w:val="00D668BB"/>
    <w:rsid w:val="00D67D34"/>
    <w:rsid w:val="00D90173"/>
    <w:rsid w:val="00D93080"/>
    <w:rsid w:val="00DA02D4"/>
    <w:rsid w:val="00DA08FF"/>
    <w:rsid w:val="00DA6B67"/>
    <w:rsid w:val="00DC0C2B"/>
    <w:rsid w:val="00DC57CC"/>
    <w:rsid w:val="00DD0507"/>
    <w:rsid w:val="00DD0CC8"/>
    <w:rsid w:val="00DD7025"/>
    <w:rsid w:val="00DE1A44"/>
    <w:rsid w:val="00DE1BEB"/>
    <w:rsid w:val="00DE34D1"/>
    <w:rsid w:val="00DE69FC"/>
    <w:rsid w:val="00DE77DD"/>
    <w:rsid w:val="00DF6A21"/>
    <w:rsid w:val="00E04084"/>
    <w:rsid w:val="00E0623F"/>
    <w:rsid w:val="00E11431"/>
    <w:rsid w:val="00E17917"/>
    <w:rsid w:val="00E31337"/>
    <w:rsid w:val="00E3297C"/>
    <w:rsid w:val="00E3387C"/>
    <w:rsid w:val="00E40BC9"/>
    <w:rsid w:val="00E43508"/>
    <w:rsid w:val="00E451A4"/>
    <w:rsid w:val="00E45AB7"/>
    <w:rsid w:val="00E51300"/>
    <w:rsid w:val="00E557C3"/>
    <w:rsid w:val="00E65754"/>
    <w:rsid w:val="00E66EA4"/>
    <w:rsid w:val="00E75989"/>
    <w:rsid w:val="00E769A2"/>
    <w:rsid w:val="00E80326"/>
    <w:rsid w:val="00E872B6"/>
    <w:rsid w:val="00E94D55"/>
    <w:rsid w:val="00E965A0"/>
    <w:rsid w:val="00EA0E5E"/>
    <w:rsid w:val="00EA71CE"/>
    <w:rsid w:val="00EB7582"/>
    <w:rsid w:val="00EC5754"/>
    <w:rsid w:val="00ED0525"/>
    <w:rsid w:val="00EE64BF"/>
    <w:rsid w:val="00EE6FE0"/>
    <w:rsid w:val="00EF61CB"/>
    <w:rsid w:val="00EF7978"/>
    <w:rsid w:val="00F02B6C"/>
    <w:rsid w:val="00F04D64"/>
    <w:rsid w:val="00F14245"/>
    <w:rsid w:val="00F14695"/>
    <w:rsid w:val="00F1554C"/>
    <w:rsid w:val="00F21E20"/>
    <w:rsid w:val="00F30D7A"/>
    <w:rsid w:val="00F32996"/>
    <w:rsid w:val="00F50F42"/>
    <w:rsid w:val="00F615AE"/>
    <w:rsid w:val="00F65F99"/>
    <w:rsid w:val="00F963EE"/>
    <w:rsid w:val="00FA09E0"/>
    <w:rsid w:val="00FA0CC0"/>
    <w:rsid w:val="00FA2F57"/>
    <w:rsid w:val="00FC0B16"/>
    <w:rsid w:val="00FC6123"/>
    <w:rsid w:val="00FD358E"/>
    <w:rsid w:val="00FD3E15"/>
    <w:rsid w:val="00FF0D39"/>
    <w:rsid w:val="00FF14A5"/>
    <w:rsid w:val="00FF1B1C"/>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996CD"/>
  <w15:chartTrackingRefBased/>
  <w15:docId w15:val="{495B7CD4-E6A0-45CD-AB9C-572FFF79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C7782"/>
    <w:pPr>
      <w:tabs>
        <w:tab w:val="left" w:pos="440"/>
        <w:tab w:val="right" w:leader="dot" w:pos="10070"/>
      </w:tabs>
      <w:ind w:left="450" w:hanging="45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3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styleId="TableGrid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tocol">
    <w:name w:val="Protocol"/>
    <w:basedOn w:val="NoSpacing"/>
    <w:link w:val="ProtocolChar"/>
    <w:autoRedefine/>
    <w:qFormat/>
    <w:rsid w:val="00A920ED"/>
    <w:pPr>
      <w:spacing w:before="120" w:after="120"/>
    </w:pPr>
    <w:rPr>
      <w:rFonts w:eastAsia="Times New Roman" w:cs="Times New Roman"/>
      <w:szCs w:val="24"/>
    </w:rPr>
  </w:style>
  <w:style w:type="character" w:customStyle="1" w:styleId="ProtocolChar">
    <w:name w:val="Protocol Char"/>
    <w:basedOn w:val="DefaultParagraphFont"/>
    <w:link w:val="Protocol"/>
    <w:rsid w:val="00A920ED"/>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rsid w:val="00A347F2"/>
    <w:pPr>
      <w:spacing w:after="100"/>
      <w:ind w:left="240"/>
    </w:pPr>
  </w:style>
  <w:style w:type="paragraph" w:customStyle="1" w:styleId="Default">
    <w:name w:val="Default"/>
    <w:rsid w:val="00525A55"/>
    <w:pPr>
      <w:autoSpaceDE w:val="0"/>
      <w:autoSpaceDN w:val="0"/>
      <w:adjustRightInd w:val="0"/>
      <w:spacing w:after="0" w:line="240" w:lineRule="auto"/>
    </w:pPr>
    <w:rPr>
      <w:rFonts w:ascii="ITC Franklin Gothic Std Bk Cd" w:hAnsi="ITC Franklin Gothic Std Bk Cd" w:cs="ITC Franklin Gothic Std Bk Cd"/>
      <w:color w:val="000000"/>
      <w:sz w:val="24"/>
      <w:szCs w:val="24"/>
    </w:rPr>
  </w:style>
  <w:style w:type="paragraph" w:customStyle="1" w:styleId="Pa5">
    <w:name w:val="Pa5"/>
    <w:basedOn w:val="Default"/>
    <w:next w:val="Default"/>
    <w:uiPriority w:val="99"/>
    <w:rsid w:val="00525A55"/>
    <w:pPr>
      <w:spacing w:line="321" w:lineRule="atLeast"/>
    </w:pPr>
    <w:rPr>
      <w:rFonts w:cstheme="minorBidi"/>
      <w:color w:val="auto"/>
    </w:rPr>
  </w:style>
  <w:style w:type="paragraph" w:customStyle="1" w:styleId="Pa6">
    <w:name w:val="Pa6"/>
    <w:basedOn w:val="Default"/>
    <w:next w:val="Default"/>
    <w:uiPriority w:val="99"/>
    <w:rsid w:val="00525A55"/>
    <w:pPr>
      <w:spacing w:line="281" w:lineRule="atLeast"/>
    </w:pPr>
    <w:rPr>
      <w:rFonts w:cstheme="minorBidi"/>
      <w:color w:val="auto"/>
    </w:rPr>
  </w:style>
  <w:style w:type="paragraph" w:customStyle="1" w:styleId="Pa0">
    <w:name w:val="Pa0"/>
    <w:basedOn w:val="Default"/>
    <w:next w:val="Default"/>
    <w:uiPriority w:val="99"/>
    <w:rsid w:val="00525A55"/>
    <w:pPr>
      <w:spacing w:line="221" w:lineRule="atLeast"/>
    </w:pPr>
    <w:rPr>
      <w:rFonts w:cstheme="minorBidi"/>
      <w:color w:val="auto"/>
    </w:rPr>
  </w:style>
  <w:style w:type="character" w:customStyle="1" w:styleId="A9">
    <w:name w:val="A9"/>
    <w:uiPriority w:val="99"/>
    <w:rsid w:val="00525A55"/>
    <w:rPr>
      <w:rFonts w:ascii="ITC Franklin Gothic Std Book" w:hAnsi="ITC Franklin Gothic Std Book" w:cs="ITC Franklin Gothic Std Book"/>
      <w:color w:val="221E1F"/>
      <w:sz w:val="12"/>
      <w:szCs w:val="12"/>
    </w:rPr>
  </w:style>
  <w:style w:type="character" w:customStyle="1" w:styleId="A14">
    <w:name w:val="A14"/>
    <w:uiPriority w:val="99"/>
    <w:rsid w:val="00525A55"/>
    <w:rPr>
      <w:rFonts w:ascii="Courier Std" w:hAnsi="Courier Std" w:cs="Courier Std"/>
      <w:color w:val="221E1F"/>
    </w:rPr>
  </w:style>
  <w:style w:type="paragraph" w:styleId="Revision">
    <w:name w:val="Revision"/>
    <w:hidden/>
    <w:uiPriority w:val="99"/>
    <w:semiHidden/>
    <w:rsid w:val="00525A5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28533">
      <w:bodyDiv w:val="1"/>
      <w:marLeft w:val="0"/>
      <w:marRight w:val="0"/>
      <w:marTop w:val="0"/>
      <w:marBottom w:val="0"/>
      <w:divBdr>
        <w:top w:val="none" w:sz="0" w:space="0" w:color="auto"/>
        <w:left w:val="none" w:sz="0" w:space="0" w:color="auto"/>
        <w:bottom w:val="none" w:sz="0" w:space="0" w:color="auto"/>
        <w:right w:val="none" w:sz="0" w:space="0" w:color="auto"/>
      </w:divBdr>
    </w:div>
    <w:div w:id="723724787">
      <w:bodyDiv w:val="1"/>
      <w:marLeft w:val="0"/>
      <w:marRight w:val="0"/>
      <w:marTop w:val="0"/>
      <w:marBottom w:val="0"/>
      <w:divBdr>
        <w:top w:val="none" w:sz="0" w:space="0" w:color="auto"/>
        <w:left w:val="none" w:sz="0" w:space="0" w:color="auto"/>
        <w:bottom w:val="none" w:sz="0" w:space="0" w:color="auto"/>
        <w:right w:val="none" w:sz="0" w:space="0" w:color="auto"/>
      </w:divBdr>
    </w:div>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606498083">
      <w:bodyDiv w:val="1"/>
      <w:marLeft w:val="0"/>
      <w:marRight w:val="0"/>
      <w:marTop w:val="0"/>
      <w:marBottom w:val="0"/>
      <w:divBdr>
        <w:top w:val="none" w:sz="0" w:space="0" w:color="auto"/>
        <w:left w:val="none" w:sz="0" w:space="0" w:color="auto"/>
        <w:bottom w:val="none" w:sz="0" w:space="0" w:color="auto"/>
        <w:right w:val="none" w:sz="0" w:space="0" w:color="auto"/>
      </w:divBdr>
    </w:div>
    <w:div w:id="1611158890">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 w:id="18833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AA89B25-132E-40FC-BE45-2D8F903A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Sims, Thelma (CDC/DDPHSS/OS/OSI)</cp:lastModifiedBy>
  <cp:revision>2</cp:revision>
  <cp:lastPrinted>2017-12-05T20:28:00Z</cp:lastPrinted>
  <dcterms:created xsi:type="dcterms:W3CDTF">2022-01-28T18:35:00Z</dcterms:created>
  <dcterms:modified xsi:type="dcterms:W3CDTF">2022-01-28T18:35:00Z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2021-06-03T19:23:07Z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f9f27242-21f9-4bf8-bc28-6bafcaa9722f</vt:lpwstr>
  </property>
  <property fmtid="{D5CDD505-2E9C-101B-9397-08002B2CF9AE}" pid="8" name="MSIP_Label_7b94a7b8-f06c-4dfe-bdcc-9b548fd58c31_ContentBits">
    <vt:lpwstr>0</vt:lpwstr>
  </property>
</Properties>
</file>