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5657" w:rsidR="006A260C" w:rsidP="005D116A" w:rsidRDefault="00D87BAC" w14:paraId="3DAB18E1" w14:textId="49540671">
      <w:pPr>
        <w:pStyle w:val="coverdate"/>
        <w:jc w:val="center"/>
        <w:rPr>
          <w:rFonts w:ascii="Times New Roman" w:hAnsi="Times New Roman"/>
          <w:b/>
          <w:i/>
          <w:noProof/>
          <w:sz w:val="24"/>
          <w:szCs w:val="24"/>
        </w:rPr>
      </w:pPr>
      <w:r>
        <w:rPr>
          <w:rFonts w:ascii="Times New Roman" w:hAnsi="Times New Roman"/>
          <w:b/>
          <w:i/>
          <w:noProof/>
          <w:sz w:val="24"/>
          <w:szCs w:val="24"/>
        </w:rPr>
        <w:t>SUP</w:t>
      </w:r>
      <w:r w:rsidR="006A260C">
        <w:rPr>
          <w:rFonts w:ascii="Times New Roman" w:hAnsi="Times New Roman"/>
          <w:b/>
          <w:i/>
          <w:noProof/>
          <w:sz w:val="24"/>
          <w:szCs w:val="24"/>
        </w:rPr>
        <w:t>PORTING STATEMENT</w:t>
      </w:r>
      <w:r w:rsidRPr="00E85657" w:rsidR="006A260C">
        <w:rPr>
          <w:rFonts w:ascii="Times New Roman" w:hAnsi="Times New Roman"/>
          <w:b/>
          <w:i/>
          <w:noProof/>
          <w:sz w:val="24"/>
          <w:szCs w:val="24"/>
        </w:rPr>
        <w:t xml:space="preserve">: </w:t>
      </w:r>
      <w:r w:rsidR="006A260C">
        <w:rPr>
          <w:rFonts w:ascii="Times New Roman" w:hAnsi="Times New Roman"/>
          <w:i/>
          <w:noProof/>
          <w:sz w:val="24"/>
          <w:szCs w:val="24"/>
        </w:rPr>
        <w:t>PART</w:t>
      </w:r>
      <w:r w:rsidRPr="00E85657" w:rsidR="006A260C">
        <w:rPr>
          <w:rFonts w:ascii="Times New Roman" w:hAnsi="Times New Roman"/>
          <w:i/>
          <w:noProof/>
          <w:sz w:val="24"/>
          <w:szCs w:val="24"/>
        </w:rPr>
        <w:t xml:space="preserve"> </w:t>
      </w:r>
      <w:r w:rsidR="006A260C">
        <w:rPr>
          <w:rFonts w:ascii="Times New Roman" w:hAnsi="Times New Roman"/>
          <w:i/>
          <w:noProof/>
          <w:sz w:val="24"/>
          <w:szCs w:val="24"/>
        </w:rPr>
        <w:t>A</w:t>
      </w:r>
    </w:p>
    <w:p w:rsidR="006A260C" w:rsidP="00D87BAC" w:rsidRDefault="006A260C" w14:paraId="22388F2A" w14:textId="77777777">
      <w:pPr>
        <w:pStyle w:val="coverdate"/>
        <w:rPr>
          <w:rFonts w:ascii="Times New Roman" w:hAnsi="Times New Roman"/>
          <w:b/>
          <w:noProof/>
          <w:sz w:val="24"/>
          <w:szCs w:val="24"/>
        </w:rPr>
      </w:pPr>
    </w:p>
    <w:p w:rsidR="006A260C" w:rsidP="006A260C" w:rsidRDefault="006A260C" w14:paraId="6ED8F58D" w14:textId="77777777">
      <w:pPr>
        <w:pStyle w:val="coverdate"/>
        <w:jc w:val="center"/>
        <w:rPr>
          <w:rFonts w:ascii="Times New Roman" w:hAnsi="Times New Roman"/>
          <w:b/>
          <w:noProof/>
          <w:sz w:val="24"/>
          <w:szCs w:val="24"/>
        </w:rPr>
      </w:pPr>
    </w:p>
    <w:p w:rsidR="006A260C" w:rsidP="25D0575C" w:rsidRDefault="0E621DCB" w14:paraId="07ED3DFC" w14:textId="58C31A82">
      <w:pPr>
        <w:pStyle w:val="coverdate"/>
        <w:jc w:val="center"/>
        <w:rPr>
          <w:rFonts w:ascii="Times New Roman" w:hAnsi="Times New Roman"/>
          <w:b/>
          <w:bCs/>
          <w:noProof/>
          <w:sz w:val="28"/>
          <w:szCs w:val="28"/>
        </w:rPr>
      </w:pPr>
      <w:bookmarkStart w:name="_Hlk81300176" w:id="0"/>
      <w:r w:rsidRPr="775A952C">
        <w:rPr>
          <w:rFonts w:ascii="Times New Roman" w:hAnsi="Times New Roman"/>
          <w:b/>
          <w:bCs/>
          <w:noProof/>
          <w:sz w:val="28"/>
          <w:szCs w:val="28"/>
        </w:rPr>
        <w:t>Understanding Health System Approaches to Chronic Pain Management</w:t>
      </w:r>
    </w:p>
    <w:bookmarkEnd w:id="0"/>
    <w:p w:rsidRPr="00E85657" w:rsidR="00D87BAC" w:rsidP="00D87BAC" w:rsidRDefault="00D87BAC" w14:paraId="06C25A12" w14:textId="77777777">
      <w:pPr>
        <w:pStyle w:val="coverdate"/>
        <w:jc w:val="center"/>
        <w:rPr>
          <w:rFonts w:ascii="Times New Roman" w:hAnsi="Times New Roman"/>
          <w:noProof/>
          <w:sz w:val="24"/>
          <w:szCs w:val="24"/>
        </w:rPr>
      </w:pPr>
      <w:r w:rsidRPr="00E85657">
        <w:rPr>
          <w:rFonts w:ascii="Times New Roman" w:hAnsi="Times New Roman"/>
          <w:noProof/>
          <w:sz w:val="24"/>
          <w:szCs w:val="24"/>
        </w:rPr>
        <w:t>OMB #</w:t>
      </w:r>
    </w:p>
    <w:p w:rsidRPr="00103FB7" w:rsidR="006A260C" w:rsidP="006A260C" w:rsidRDefault="006A260C" w14:paraId="336FAE7C" w14:textId="77777777">
      <w:pPr>
        <w:pStyle w:val="coverdate"/>
        <w:jc w:val="center"/>
        <w:rPr>
          <w:rFonts w:ascii="Times New Roman" w:hAnsi="Times New Roman"/>
          <w:b/>
          <w:noProof/>
          <w:sz w:val="24"/>
          <w:szCs w:val="24"/>
        </w:rPr>
      </w:pPr>
    </w:p>
    <w:p w:rsidR="006A260C" w:rsidP="006A260C" w:rsidRDefault="57F1DAAB" w14:paraId="5E859EE4" w14:textId="4DC7313D">
      <w:pPr>
        <w:pStyle w:val="coverdate"/>
        <w:jc w:val="center"/>
        <w:rPr>
          <w:rFonts w:ascii="Times New Roman" w:hAnsi="Times New Roman"/>
          <w:sz w:val="24"/>
          <w:szCs w:val="24"/>
        </w:rPr>
      </w:pPr>
      <w:r w:rsidRPr="2CA32994">
        <w:rPr>
          <w:rFonts w:ascii="Times New Roman" w:hAnsi="Times New Roman"/>
          <w:b/>
          <w:bCs/>
          <w:sz w:val="24"/>
          <w:szCs w:val="24"/>
        </w:rPr>
        <w:t>Version:</w:t>
      </w:r>
      <w:r w:rsidRPr="2CA32994">
        <w:rPr>
          <w:rFonts w:ascii="Times New Roman" w:hAnsi="Times New Roman"/>
          <w:sz w:val="24"/>
          <w:szCs w:val="24"/>
        </w:rPr>
        <w:t xml:space="preserve"> </w:t>
      </w:r>
      <w:r w:rsidR="00767847">
        <w:rPr>
          <w:rFonts w:ascii="Times New Roman" w:hAnsi="Times New Roman"/>
          <w:sz w:val="24"/>
          <w:szCs w:val="24"/>
        </w:rPr>
        <w:t xml:space="preserve">December </w:t>
      </w:r>
      <w:r w:rsidR="007333DF">
        <w:rPr>
          <w:rFonts w:ascii="Times New Roman" w:hAnsi="Times New Roman"/>
          <w:sz w:val="24"/>
          <w:szCs w:val="24"/>
        </w:rPr>
        <w:t>10</w:t>
      </w:r>
      <w:r w:rsidRPr="2CA32994" w:rsidR="79DA410B">
        <w:rPr>
          <w:rFonts w:ascii="Times New Roman" w:hAnsi="Times New Roman"/>
          <w:sz w:val="24"/>
          <w:szCs w:val="24"/>
        </w:rPr>
        <w:t xml:space="preserve">, 2021 </w:t>
      </w:r>
    </w:p>
    <w:p w:rsidR="00D87BAC" w:rsidP="006A260C" w:rsidRDefault="00D87BAC" w14:paraId="26B84EF4" w14:textId="7725C216">
      <w:pPr>
        <w:pStyle w:val="coverdate"/>
        <w:jc w:val="center"/>
        <w:rPr>
          <w:rFonts w:ascii="Times New Roman" w:hAnsi="Times New Roman"/>
          <w:sz w:val="24"/>
          <w:szCs w:val="24"/>
        </w:rPr>
      </w:pPr>
    </w:p>
    <w:p w:rsidRPr="00F2029D" w:rsidR="775A952C" w:rsidP="00DC55CE" w:rsidRDefault="00DC55CE" w14:paraId="1FEFB22E" w14:textId="7216C74A">
      <w:pPr>
        <w:pStyle w:val="coverdate"/>
        <w:rPr>
          <w:sz w:val="16"/>
          <w:szCs w:val="16"/>
        </w:rPr>
      </w:pPr>
      <w:r>
        <w:rPr>
          <w:sz w:val="16"/>
          <w:szCs w:val="16"/>
        </w:rPr>
        <w:t>Reviewed 1/24/2022</w:t>
      </w:r>
    </w:p>
    <w:p w:rsidR="775A952C" w:rsidP="775A952C" w:rsidRDefault="775A952C" w14:paraId="13C1EA3F" w14:textId="4C0F870E">
      <w:pPr>
        <w:pStyle w:val="coverdate"/>
        <w:jc w:val="center"/>
        <w:rPr>
          <w:szCs w:val="34"/>
        </w:rPr>
      </w:pPr>
    </w:p>
    <w:p w:rsidR="775A952C" w:rsidP="775A952C" w:rsidRDefault="775A952C" w14:paraId="7929573A" w14:textId="76B6ADE1">
      <w:pPr>
        <w:pStyle w:val="coverdate"/>
        <w:jc w:val="center"/>
        <w:rPr>
          <w:szCs w:val="34"/>
        </w:rPr>
      </w:pPr>
    </w:p>
    <w:p w:rsidR="00D87BAC" w:rsidP="006A260C" w:rsidRDefault="571F90D9" w14:paraId="0C744B4A" w14:textId="327C9B33">
      <w:pPr>
        <w:pStyle w:val="coverdate"/>
        <w:jc w:val="center"/>
        <w:rPr>
          <w:rFonts w:ascii="Times New Roman" w:hAnsi="Times New Roman"/>
          <w:sz w:val="24"/>
          <w:szCs w:val="24"/>
        </w:rPr>
      </w:pPr>
      <w:bookmarkStart w:name="_Hlk78672440" w:id="1"/>
      <w:r w:rsidRPr="039C0B52">
        <w:rPr>
          <w:rFonts w:ascii="Times New Roman" w:hAnsi="Times New Roman"/>
          <w:sz w:val="24"/>
          <w:szCs w:val="24"/>
        </w:rPr>
        <w:t>Point of Contact:</w:t>
      </w:r>
    </w:p>
    <w:p w:rsidR="00D87BAC" w:rsidP="006A260C" w:rsidRDefault="00D87BAC" w14:paraId="715AC6D8" w14:textId="2D8FEABC">
      <w:pPr>
        <w:pStyle w:val="coverdate"/>
        <w:jc w:val="center"/>
        <w:rPr>
          <w:rFonts w:ascii="Times New Roman" w:hAnsi="Times New Roman"/>
          <w:sz w:val="24"/>
          <w:szCs w:val="24"/>
        </w:rPr>
      </w:pPr>
      <w:r>
        <w:rPr>
          <w:rFonts w:ascii="Times New Roman" w:hAnsi="Times New Roman"/>
          <w:sz w:val="24"/>
          <w:szCs w:val="24"/>
        </w:rPr>
        <w:t>Jaswinder</w:t>
      </w:r>
      <w:r w:rsidR="0049397A">
        <w:rPr>
          <w:rFonts w:ascii="Times New Roman" w:hAnsi="Times New Roman"/>
          <w:sz w:val="24"/>
          <w:szCs w:val="24"/>
        </w:rPr>
        <w:t xml:space="preserve"> </w:t>
      </w:r>
      <w:r>
        <w:rPr>
          <w:rFonts w:ascii="Times New Roman" w:hAnsi="Times New Roman"/>
          <w:sz w:val="24"/>
          <w:szCs w:val="24"/>
        </w:rPr>
        <w:t>Legha</w:t>
      </w:r>
    </w:p>
    <w:p w:rsidR="00D87BAC" w:rsidP="006A260C" w:rsidRDefault="00D87BAC" w14:paraId="0E8A8BFD" w14:textId="2A99568A">
      <w:pPr>
        <w:pStyle w:val="coverdate"/>
        <w:jc w:val="center"/>
        <w:rPr>
          <w:rFonts w:ascii="Times New Roman" w:hAnsi="Times New Roman"/>
          <w:sz w:val="24"/>
          <w:szCs w:val="24"/>
        </w:rPr>
      </w:pPr>
      <w:r>
        <w:rPr>
          <w:rFonts w:ascii="Times New Roman" w:hAnsi="Times New Roman"/>
          <w:sz w:val="24"/>
          <w:szCs w:val="24"/>
        </w:rPr>
        <w:t xml:space="preserve">Contact Information: </w:t>
      </w:r>
    </w:p>
    <w:p w:rsidR="00D87BAC" w:rsidP="006A260C" w:rsidRDefault="00D87BAC" w14:paraId="5799C512" w14:textId="236A3AFF">
      <w:pPr>
        <w:pStyle w:val="coverdate"/>
        <w:jc w:val="center"/>
        <w:rPr>
          <w:rFonts w:ascii="Times New Roman" w:hAnsi="Times New Roman"/>
          <w:sz w:val="24"/>
          <w:szCs w:val="24"/>
        </w:rPr>
      </w:pPr>
      <w:r>
        <w:rPr>
          <w:rFonts w:ascii="Times New Roman" w:hAnsi="Times New Roman"/>
          <w:sz w:val="24"/>
          <w:szCs w:val="24"/>
        </w:rPr>
        <w:t>Centers for Disease Control and Prevention</w:t>
      </w:r>
    </w:p>
    <w:p w:rsidR="00D87BAC" w:rsidP="006A260C" w:rsidRDefault="00D87BAC" w14:paraId="3D661E0E" w14:textId="51619CBB">
      <w:pPr>
        <w:pStyle w:val="coverdate"/>
        <w:jc w:val="center"/>
        <w:rPr>
          <w:rFonts w:ascii="Times New Roman" w:hAnsi="Times New Roman"/>
          <w:sz w:val="24"/>
          <w:szCs w:val="24"/>
        </w:rPr>
      </w:pPr>
      <w:r>
        <w:rPr>
          <w:rFonts w:ascii="Times New Roman" w:hAnsi="Times New Roman"/>
          <w:sz w:val="24"/>
          <w:szCs w:val="24"/>
        </w:rPr>
        <w:t>National Center for Injury Prevention and Control</w:t>
      </w:r>
    </w:p>
    <w:p w:rsidR="00D87BAC" w:rsidP="006A260C" w:rsidRDefault="105A51CD" w14:paraId="28C68D7F" w14:textId="2123DF6F">
      <w:pPr>
        <w:pStyle w:val="coverdate"/>
        <w:jc w:val="center"/>
        <w:rPr>
          <w:rFonts w:ascii="Times New Roman" w:hAnsi="Times New Roman"/>
          <w:sz w:val="24"/>
          <w:szCs w:val="24"/>
        </w:rPr>
      </w:pPr>
      <w:r w:rsidRPr="775A952C">
        <w:rPr>
          <w:rFonts w:ascii="Times New Roman" w:hAnsi="Times New Roman"/>
          <w:sz w:val="24"/>
          <w:szCs w:val="24"/>
        </w:rPr>
        <w:t xml:space="preserve">4770 Buford Highway NE MS </w:t>
      </w:r>
      <w:r w:rsidRPr="775A952C" w:rsidR="0E621DCB">
        <w:rPr>
          <w:rFonts w:ascii="Times New Roman" w:hAnsi="Times New Roman"/>
          <w:sz w:val="24"/>
          <w:szCs w:val="24"/>
        </w:rPr>
        <w:t>S106-8</w:t>
      </w:r>
    </w:p>
    <w:p w:rsidR="00D87BAC" w:rsidP="006A260C" w:rsidRDefault="00D87BAC" w14:paraId="4EA3968E" w14:textId="7240B69A">
      <w:pPr>
        <w:pStyle w:val="coverdate"/>
        <w:jc w:val="center"/>
        <w:rPr>
          <w:rFonts w:ascii="Times New Roman" w:hAnsi="Times New Roman"/>
          <w:sz w:val="24"/>
          <w:szCs w:val="24"/>
        </w:rPr>
      </w:pPr>
      <w:r>
        <w:rPr>
          <w:rFonts w:ascii="Times New Roman" w:hAnsi="Times New Roman"/>
          <w:sz w:val="24"/>
          <w:szCs w:val="24"/>
        </w:rPr>
        <w:t>Atlanta, GA 30341-3724</w:t>
      </w:r>
    </w:p>
    <w:p w:rsidRPr="00103FB7" w:rsidR="00D87BAC" w:rsidP="006A260C" w:rsidRDefault="00D87BAC" w14:paraId="37AA21AA" w14:textId="6F21FBED">
      <w:pPr>
        <w:pStyle w:val="coverdate"/>
        <w:jc w:val="center"/>
        <w:rPr>
          <w:rFonts w:ascii="Times New Roman" w:hAnsi="Times New Roman"/>
          <w:sz w:val="24"/>
          <w:szCs w:val="24"/>
        </w:rPr>
      </w:pPr>
      <w:r>
        <w:rPr>
          <w:rFonts w:ascii="Times New Roman" w:hAnsi="Times New Roman"/>
          <w:sz w:val="24"/>
          <w:szCs w:val="24"/>
        </w:rPr>
        <w:t>E-mail: oms0@cdc.gov</w:t>
      </w:r>
    </w:p>
    <w:bookmarkEnd w:id="1"/>
    <w:p w:rsidR="006A260C" w:rsidP="006A260C" w:rsidRDefault="006A260C" w14:paraId="472D747C" w14:textId="77777777">
      <w:pPr>
        <w:pStyle w:val="covertextwithline"/>
        <w:pBdr>
          <w:bottom w:val="none" w:color="auto" w:sz="0" w:space="0"/>
        </w:pBdr>
        <w:spacing w:line="260" w:lineRule="exact"/>
        <w:jc w:val="center"/>
      </w:pPr>
    </w:p>
    <w:p w:rsidR="006A260C" w:rsidP="006A260C" w:rsidRDefault="006A260C" w14:paraId="35DA82DA" w14:textId="626C1240">
      <w:pPr>
        <w:pStyle w:val="covertextwithline"/>
        <w:pBdr>
          <w:bottom w:val="none" w:color="auto" w:sz="0" w:space="0"/>
        </w:pBdr>
        <w:spacing w:line="260" w:lineRule="exact"/>
        <w:jc w:val="center"/>
      </w:pPr>
    </w:p>
    <w:p w:rsidRPr="00E85657" w:rsidR="006A260C" w:rsidP="006A260C" w:rsidRDefault="006A260C" w14:paraId="1ADABBD1" w14:textId="77777777">
      <w:pPr>
        <w:pStyle w:val="covertextwithline"/>
        <w:pBdr>
          <w:bottom w:val="none" w:color="auto" w:sz="0" w:space="0"/>
        </w:pBdr>
        <w:spacing w:line="260" w:lineRule="exact"/>
        <w:jc w:val="center"/>
        <w:rPr>
          <w:b/>
          <w:sz w:val="24"/>
          <w:szCs w:val="24"/>
        </w:rPr>
      </w:pPr>
    </w:p>
    <w:p w:rsidRPr="00160C23" w:rsidR="005D116A" w:rsidP="005D116A" w:rsidRDefault="005D116A" w14:paraId="327D6561" w14:textId="77777777">
      <w:pPr>
        <w:jc w:val="center"/>
        <w:rPr>
          <w:sz w:val="28"/>
          <w:szCs w:val="28"/>
        </w:rPr>
      </w:pPr>
      <w:bookmarkStart w:name="ContractNumber" w:id="2"/>
      <w:bookmarkStart w:name="Address2" w:id="3"/>
      <w:bookmarkEnd w:id="2"/>
      <w:bookmarkEnd w:id="3"/>
    </w:p>
    <w:p w:rsidR="00652E4B" w:rsidP="00652E4B" w:rsidRDefault="00652E4B" w14:paraId="6E15538F" w14:textId="77777777">
      <w:pPr>
        <w:pStyle w:val="NormalSS"/>
        <w:rPr>
          <w:rFonts w:eastAsiaTheme="minorEastAsia"/>
        </w:rPr>
        <w:sectPr w:rsidR="00652E4B" w:rsidSect="003D77F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Borders w:offsetFrom="page">
            <w:bottom w:val="single" w:color="FFFFFF" w:themeColor="background1" w:sz="4" w:space="24"/>
          </w:pgBorders>
          <w:cols w:space="720"/>
          <w:vAlign w:val="center"/>
          <w:docGrid w:linePitch="360"/>
        </w:sectPr>
      </w:pPr>
    </w:p>
    <w:p w:rsidRPr="00C30144" w:rsidR="00652E4B" w:rsidP="008262A2" w:rsidRDefault="00652E4B" w14:paraId="79DB0BB5" w14:textId="77777777">
      <w:pPr>
        <w:pBdr>
          <w:bottom w:val="single" w:color="auto" w:sz="2" w:space="0"/>
        </w:pBdr>
        <w:spacing w:before="240" w:after="240" w:line="240" w:lineRule="auto"/>
        <w:ind w:firstLine="0"/>
        <w:jc w:val="both"/>
        <w:rPr>
          <w:rFonts w:eastAsiaTheme="minorEastAsia"/>
          <w:b/>
          <w:szCs w:val="24"/>
        </w:rPr>
      </w:pPr>
      <w:bookmarkStart w:name="_Hlk31725256" w:id="4"/>
      <w:r w:rsidRPr="00C30144">
        <w:rPr>
          <w:rFonts w:eastAsiaTheme="minorEastAsia"/>
          <w:b/>
          <w:szCs w:val="24"/>
        </w:rPr>
        <w:lastRenderedPageBreak/>
        <w:t>CONTENTS</w:t>
      </w:r>
    </w:p>
    <w:bookmarkEnd w:id="4"/>
    <w:p w:rsidRPr="00DD1891" w:rsidR="005F2FEA" w:rsidP="00F2029D" w:rsidRDefault="005F2FEA" w14:paraId="53C77BFA" w14:textId="2E169C27">
      <w:pPr>
        <w:spacing w:line="240" w:lineRule="auto"/>
        <w:ind w:firstLine="0"/>
        <w:rPr>
          <w:rFonts w:ascii="Arial" w:hAnsi="Arial" w:cs="Arial" w:eastAsiaTheme="minorEastAsia"/>
          <w:sz w:val="20"/>
        </w:rPr>
      </w:pPr>
      <w:r w:rsidRPr="00DD1891">
        <w:rPr>
          <w:rFonts w:ascii="Arial" w:hAnsi="Arial" w:cs="Arial" w:eastAsiaTheme="minorEastAsia"/>
          <w:sz w:val="20"/>
        </w:rPr>
        <w:t>SUMMARY</w:t>
      </w:r>
      <w:r w:rsidR="00DD1891">
        <w:rPr>
          <w:rFonts w:ascii="Arial" w:hAnsi="Arial" w:cs="Arial" w:eastAsiaTheme="minorEastAsia"/>
          <w:sz w:val="20"/>
        </w:rPr>
        <w:t xml:space="preserve"> </w:t>
      </w:r>
      <w:r w:rsidRPr="00DD1891">
        <w:rPr>
          <w:rFonts w:ascii="Arial" w:hAnsi="Arial" w:cs="Arial" w:eastAsiaTheme="minorEastAsia"/>
          <w:sz w:val="20"/>
        </w:rPr>
        <w:t>TABLE……………………</w:t>
      </w:r>
      <w:r w:rsidRPr="00DD1891" w:rsidR="00DD1891">
        <w:rPr>
          <w:rFonts w:ascii="Arial" w:hAnsi="Arial" w:cs="Arial" w:eastAsiaTheme="minorEastAsia"/>
          <w:sz w:val="20"/>
        </w:rPr>
        <w:t>…</w:t>
      </w:r>
      <w:r w:rsidR="00DD1891">
        <w:rPr>
          <w:rFonts w:ascii="Arial" w:hAnsi="Arial" w:cs="Arial" w:eastAsiaTheme="minorEastAsia"/>
          <w:sz w:val="20"/>
        </w:rPr>
        <w:t>……………..</w:t>
      </w:r>
      <w:r w:rsidRPr="00DD1891">
        <w:rPr>
          <w:rFonts w:ascii="Arial" w:hAnsi="Arial" w:cs="Arial" w:eastAsiaTheme="minorEastAsia"/>
          <w:sz w:val="20"/>
        </w:rPr>
        <w:t>……………………………………………………………</w:t>
      </w:r>
      <w:r w:rsidR="0017157F">
        <w:rPr>
          <w:rFonts w:ascii="Arial" w:hAnsi="Arial" w:cs="Arial" w:eastAsiaTheme="minorEastAsia"/>
          <w:sz w:val="20"/>
        </w:rPr>
        <w:t>3</w:t>
      </w:r>
    </w:p>
    <w:p w:rsidRPr="00545D2B" w:rsidR="00545D2B" w:rsidP="00F2029D" w:rsidRDefault="00C02D6B" w14:paraId="71A88383" w14:textId="6BE61A84">
      <w:pPr>
        <w:pStyle w:val="TOC1"/>
        <w:spacing w:line="240" w:lineRule="auto"/>
        <w:rPr>
          <w:rFonts w:eastAsiaTheme="minorEastAsia"/>
          <w:noProof/>
        </w:rPr>
      </w:pPr>
      <w:r>
        <w:rPr>
          <w:rFonts w:eastAsiaTheme="minorEastAsia"/>
        </w:rPr>
        <w:t xml:space="preserve">A. </w:t>
      </w:r>
      <w:r w:rsidRPr="00545D2B" w:rsidR="00752327">
        <w:rPr>
          <w:rFonts w:eastAsiaTheme="minorEastAsia"/>
        </w:rPr>
        <w:fldChar w:fldCharType="begin"/>
      </w:r>
      <w:r w:rsidRPr="00545D2B" w:rsidR="00652E4B">
        <w:rPr>
          <w:rFonts w:eastAsiaTheme="minorEastAsia"/>
        </w:rPr>
        <w:instrText xml:space="preserve"> TOC \o "1-3" \z \t "Heading 1,1,Heading 2,2,Mark for Attachment Heading,8,Mark for Appendix Heading,8" </w:instrText>
      </w:r>
      <w:r w:rsidRPr="00545D2B" w:rsidR="00752327">
        <w:rPr>
          <w:rFonts w:eastAsiaTheme="minorEastAsia"/>
        </w:rPr>
        <w:fldChar w:fldCharType="separate"/>
      </w:r>
      <w:r w:rsidRPr="00545D2B" w:rsidR="00545D2B">
        <w:rPr>
          <w:rFonts w:eastAsiaTheme="minorEastAsia"/>
          <w:noProof/>
        </w:rPr>
        <w:t>Justification</w:t>
      </w:r>
      <w:r w:rsidR="00C75151">
        <w:rPr>
          <w:noProof/>
          <w:webHidden/>
        </w:rPr>
        <w:t>………………………………………………………………………………</w:t>
      </w:r>
      <w:r w:rsidR="00C75151">
        <w:rPr>
          <w:noProof/>
          <w:webHidden/>
        </w:rPr>
        <w:tab/>
      </w:r>
      <w:r w:rsidR="0017157F">
        <w:rPr>
          <w:noProof/>
          <w:webHidden/>
        </w:rPr>
        <w:t>3</w:t>
      </w:r>
    </w:p>
    <w:p w:rsidRPr="00545D2B" w:rsidR="00545D2B" w:rsidP="00F2029D" w:rsidRDefault="005F2FEA" w14:paraId="68CA2F59" w14:textId="7A4D5A1F">
      <w:pPr>
        <w:pStyle w:val="TOC2"/>
        <w:spacing w:line="240" w:lineRule="auto"/>
        <w:rPr>
          <w:rFonts w:eastAsiaTheme="minorEastAsia"/>
        </w:rPr>
      </w:pPr>
      <w:r>
        <w:rPr>
          <w:rFonts w:eastAsiaTheme="minorEastAsia"/>
        </w:rPr>
        <w:t>A.</w:t>
      </w:r>
      <w:r w:rsidRPr="00545D2B" w:rsidR="00545D2B">
        <w:rPr>
          <w:rFonts w:eastAsiaTheme="minorEastAsia"/>
        </w:rPr>
        <w:t>1.</w:t>
      </w:r>
      <w:r w:rsidRPr="00545D2B" w:rsidR="00545D2B">
        <w:rPr>
          <w:rFonts w:eastAsiaTheme="minorEastAsia"/>
        </w:rPr>
        <w:tab/>
        <w:t>Circumstances Making the Collection of Information Necessary</w:t>
      </w:r>
      <w:r w:rsidRPr="00545D2B" w:rsidR="00545D2B">
        <w:rPr>
          <w:webHidden/>
        </w:rPr>
        <w:tab/>
      </w:r>
      <w:r w:rsidR="0017157F">
        <w:rPr>
          <w:webHidden/>
        </w:rPr>
        <w:t>4</w:t>
      </w:r>
    </w:p>
    <w:p w:rsidRPr="00545D2B" w:rsidR="00545D2B" w:rsidP="00F2029D" w:rsidRDefault="005F2FEA" w14:paraId="2F8765CA" w14:textId="1C6B6119">
      <w:pPr>
        <w:pStyle w:val="TOC2"/>
        <w:spacing w:line="240" w:lineRule="auto"/>
        <w:rPr>
          <w:rFonts w:eastAsiaTheme="minorEastAsia"/>
        </w:rPr>
      </w:pPr>
      <w:r>
        <w:rPr>
          <w:rFonts w:eastAsiaTheme="minorEastAsia"/>
        </w:rPr>
        <w:t>A.</w:t>
      </w:r>
      <w:r w:rsidRPr="00545D2B" w:rsidR="00545D2B">
        <w:rPr>
          <w:rFonts w:eastAsiaTheme="minorEastAsia"/>
        </w:rPr>
        <w:t>2</w:t>
      </w:r>
      <w:r w:rsidR="0018439E">
        <w:rPr>
          <w:rFonts w:eastAsiaTheme="minorEastAsia"/>
        </w:rPr>
        <w:tab/>
      </w:r>
      <w:r w:rsidRPr="00545D2B" w:rsidR="00545D2B">
        <w:rPr>
          <w:rFonts w:eastAsiaTheme="minorEastAsia"/>
        </w:rPr>
        <w:t>Purpose and Use of the Information Collection</w:t>
      </w:r>
      <w:r w:rsidRPr="00545D2B" w:rsidR="00545D2B">
        <w:rPr>
          <w:webHidden/>
        </w:rPr>
        <w:tab/>
      </w:r>
      <w:r w:rsidR="00E5612D">
        <w:rPr>
          <w:webHidden/>
        </w:rPr>
        <w:t>7</w:t>
      </w:r>
    </w:p>
    <w:p w:rsidRPr="00545D2B" w:rsidR="00545D2B" w:rsidP="00F2029D" w:rsidRDefault="005F2FEA" w14:paraId="7858C4E8" w14:textId="6F69B37B">
      <w:pPr>
        <w:pStyle w:val="TOC2"/>
        <w:spacing w:line="240" w:lineRule="auto"/>
        <w:rPr>
          <w:rFonts w:eastAsiaTheme="minorEastAsia"/>
        </w:rPr>
      </w:pPr>
      <w:r>
        <w:rPr>
          <w:rFonts w:eastAsiaTheme="minorEastAsia"/>
        </w:rPr>
        <w:t>A.</w:t>
      </w:r>
      <w:r w:rsidRPr="00545D2B" w:rsidR="00545D2B">
        <w:rPr>
          <w:rFonts w:eastAsiaTheme="minorEastAsia"/>
        </w:rPr>
        <w:t>3</w:t>
      </w:r>
      <w:r w:rsidR="0018439E">
        <w:rPr>
          <w:rFonts w:eastAsiaTheme="minorEastAsia"/>
        </w:rPr>
        <w:tab/>
      </w:r>
      <w:r w:rsidRPr="00545D2B" w:rsidR="00545D2B">
        <w:rPr>
          <w:rFonts w:eastAsiaTheme="minorEastAsia"/>
        </w:rPr>
        <w:t>Use of Improved Information Technology and Burden Reduction</w:t>
      </w:r>
      <w:r w:rsidRPr="00545D2B" w:rsidR="00545D2B">
        <w:rPr>
          <w:webHidden/>
        </w:rPr>
        <w:tab/>
      </w:r>
      <w:r w:rsidR="00A93BA4">
        <w:rPr>
          <w:webHidden/>
        </w:rPr>
        <w:t>1</w:t>
      </w:r>
      <w:r w:rsidR="00E5612D">
        <w:rPr>
          <w:webHidden/>
        </w:rPr>
        <w:t>3</w:t>
      </w:r>
    </w:p>
    <w:p w:rsidRPr="00545D2B" w:rsidR="00545D2B" w:rsidP="00F2029D" w:rsidRDefault="005F2FEA" w14:paraId="0086DFE9" w14:textId="695B8154">
      <w:pPr>
        <w:pStyle w:val="TOC2"/>
        <w:spacing w:line="240" w:lineRule="auto"/>
        <w:rPr>
          <w:rFonts w:eastAsiaTheme="minorEastAsia"/>
        </w:rPr>
      </w:pPr>
      <w:r>
        <w:rPr>
          <w:rFonts w:eastAsiaTheme="minorEastAsia"/>
        </w:rPr>
        <w:t>A.</w:t>
      </w:r>
      <w:r w:rsidRPr="00545D2B" w:rsidR="00545D2B">
        <w:rPr>
          <w:rFonts w:eastAsiaTheme="minorEastAsia"/>
        </w:rPr>
        <w:t>4.</w:t>
      </w:r>
      <w:r w:rsidR="0018439E">
        <w:rPr>
          <w:rFonts w:eastAsiaTheme="minorEastAsia"/>
        </w:rPr>
        <w:tab/>
      </w:r>
      <w:r w:rsidRPr="00545D2B" w:rsidR="00545D2B">
        <w:rPr>
          <w:rFonts w:eastAsiaTheme="minorEastAsia"/>
        </w:rPr>
        <w:t>Efforts to Identify Duplication and Use of Similar Information</w:t>
      </w:r>
      <w:r w:rsidRPr="00545D2B" w:rsidR="00545D2B">
        <w:rPr>
          <w:webHidden/>
        </w:rPr>
        <w:tab/>
      </w:r>
      <w:r w:rsidR="00A93BA4">
        <w:rPr>
          <w:webHidden/>
        </w:rPr>
        <w:t>1</w:t>
      </w:r>
      <w:r w:rsidR="00E5612D">
        <w:rPr>
          <w:webHidden/>
        </w:rPr>
        <w:t>4</w:t>
      </w:r>
    </w:p>
    <w:p w:rsidRPr="00545D2B" w:rsidR="00545D2B" w:rsidP="00F2029D" w:rsidRDefault="005F2FEA" w14:paraId="5148A936" w14:textId="41E31413">
      <w:pPr>
        <w:pStyle w:val="TOC2"/>
        <w:spacing w:line="240" w:lineRule="auto"/>
        <w:rPr>
          <w:rFonts w:eastAsiaTheme="minorEastAsia"/>
        </w:rPr>
      </w:pPr>
      <w:r>
        <w:rPr>
          <w:rFonts w:eastAsiaTheme="minorEastAsia"/>
        </w:rPr>
        <w:t>A.</w:t>
      </w:r>
      <w:r w:rsidRPr="00545D2B" w:rsidR="00545D2B">
        <w:rPr>
          <w:rFonts w:eastAsiaTheme="minorEastAsia"/>
        </w:rPr>
        <w:t>5.</w:t>
      </w:r>
      <w:r w:rsidRPr="00545D2B" w:rsidR="00545D2B">
        <w:rPr>
          <w:rFonts w:eastAsiaTheme="minorEastAsia"/>
        </w:rPr>
        <w:tab/>
        <w:t>Impact on Small Businesses or Other Small Entities</w:t>
      </w:r>
      <w:r w:rsidRPr="00545D2B" w:rsidR="00545D2B">
        <w:rPr>
          <w:webHidden/>
        </w:rPr>
        <w:tab/>
      </w:r>
      <w:r w:rsidR="00A93BA4">
        <w:rPr>
          <w:webHidden/>
        </w:rPr>
        <w:t>1</w:t>
      </w:r>
      <w:r w:rsidR="00E5612D">
        <w:rPr>
          <w:webHidden/>
        </w:rPr>
        <w:t>5</w:t>
      </w:r>
    </w:p>
    <w:p w:rsidRPr="00545D2B" w:rsidR="00545D2B" w:rsidP="00F2029D" w:rsidRDefault="005F2FEA" w14:paraId="6B9065F7" w14:textId="7DDFF676">
      <w:pPr>
        <w:pStyle w:val="TOC2"/>
        <w:spacing w:line="240" w:lineRule="auto"/>
        <w:rPr>
          <w:rFonts w:eastAsiaTheme="minorEastAsia"/>
        </w:rPr>
      </w:pPr>
      <w:r>
        <w:rPr>
          <w:rFonts w:eastAsiaTheme="minorEastAsia"/>
        </w:rPr>
        <w:t>A.</w:t>
      </w:r>
      <w:r w:rsidRPr="00545D2B" w:rsidR="00545D2B">
        <w:rPr>
          <w:rFonts w:eastAsiaTheme="minorEastAsia"/>
        </w:rPr>
        <w:t>6.</w:t>
      </w:r>
      <w:r w:rsidR="0018439E">
        <w:rPr>
          <w:rFonts w:eastAsiaTheme="minorEastAsia"/>
        </w:rPr>
        <w:tab/>
      </w:r>
      <w:r w:rsidRPr="00545D2B" w:rsidR="00545D2B">
        <w:rPr>
          <w:rFonts w:eastAsiaTheme="minorEastAsia"/>
        </w:rPr>
        <w:t>Consequences of Collecting the Information Less Frequently</w:t>
      </w:r>
      <w:r w:rsidRPr="00545D2B" w:rsidR="00545D2B">
        <w:rPr>
          <w:webHidden/>
        </w:rPr>
        <w:tab/>
      </w:r>
      <w:r w:rsidR="00A93BA4">
        <w:rPr>
          <w:webHidden/>
        </w:rPr>
        <w:t>1</w:t>
      </w:r>
      <w:r w:rsidR="0017157F">
        <w:rPr>
          <w:webHidden/>
        </w:rPr>
        <w:t>6</w:t>
      </w:r>
    </w:p>
    <w:p w:rsidRPr="00545D2B" w:rsidR="00545D2B" w:rsidP="00F2029D" w:rsidRDefault="005F2FEA" w14:paraId="1DA4A8DF" w14:textId="6F31C472">
      <w:pPr>
        <w:pStyle w:val="TOC2"/>
        <w:spacing w:line="240" w:lineRule="auto"/>
        <w:rPr>
          <w:rFonts w:eastAsiaTheme="minorEastAsia"/>
        </w:rPr>
      </w:pPr>
      <w:r>
        <w:rPr>
          <w:rFonts w:eastAsiaTheme="minorEastAsia"/>
        </w:rPr>
        <w:t>A.</w:t>
      </w:r>
      <w:r w:rsidRPr="00545D2B" w:rsidR="00545D2B">
        <w:rPr>
          <w:rFonts w:eastAsiaTheme="minorEastAsia"/>
        </w:rPr>
        <w:t>7.</w:t>
      </w:r>
      <w:r w:rsidRPr="00545D2B" w:rsidR="00545D2B">
        <w:rPr>
          <w:rFonts w:eastAsiaTheme="minorEastAsia"/>
        </w:rPr>
        <w:tab/>
        <w:t>Special Circumstances Relating to the Guidelines of 5 CFR 1320.5</w:t>
      </w:r>
      <w:r w:rsidRPr="00545D2B" w:rsidR="00545D2B">
        <w:rPr>
          <w:webHidden/>
        </w:rPr>
        <w:tab/>
      </w:r>
      <w:r w:rsidR="00A93BA4">
        <w:rPr>
          <w:webHidden/>
        </w:rPr>
        <w:t>1</w:t>
      </w:r>
      <w:r w:rsidR="00B2525F">
        <w:rPr>
          <w:webHidden/>
        </w:rPr>
        <w:t>6</w:t>
      </w:r>
    </w:p>
    <w:p w:rsidRPr="00545D2B" w:rsidR="00545D2B" w:rsidP="00F2029D" w:rsidRDefault="005F2FEA" w14:paraId="50EF3B77" w14:textId="496DA856">
      <w:pPr>
        <w:pStyle w:val="TOC2"/>
        <w:spacing w:line="240" w:lineRule="auto"/>
        <w:rPr>
          <w:rFonts w:eastAsiaTheme="minorEastAsia"/>
        </w:rPr>
      </w:pPr>
      <w:r>
        <w:rPr>
          <w:rFonts w:eastAsiaTheme="minorEastAsia"/>
        </w:rPr>
        <w:t>A.</w:t>
      </w:r>
      <w:r w:rsidRPr="00545D2B" w:rsidR="00545D2B">
        <w:rPr>
          <w:rFonts w:eastAsiaTheme="minorEastAsia"/>
        </w:rPr>
        <w:t>8.</w:t>
      </w:r>
      <w:r w:rsidRPr="00545D2B" w:rsidR="00545D2B">
        <w:rPr>
          <w:rFonts w:eastAsiaTheme="minorEastAsia"/>
        </w:rPr>
        <w:tab/>
        <w:t>Comments in Response to the Federal Register Notice and Efforts to Consult Outside the Agency</w:t>
      </w:r>
      <w:r w:rsidRPr="00545D2B" w:rsidR="00545D2B">
        <w:rPr>
          <w:webHidden/>
        </w:rPr>
        <w:tab/>
      </w:r>
      <w:r w:rsidR="00A93BA4">
        <w:rPr>
          <w:webHidden/>
        </w:rPr>
        <w:t>1</w:t>
      </w:r>
      <w:r w:rsidR="00E5612D">
        <w:rPr>
          <w:webHidden/>
        </w:rPr>
        <w:t>6</w:t>
      </w:r>
    </w:p>
    <w:p w:rsidRPr="00545D2B" w:rsidR="00545D2B" w:rsidP="00F2029D" w:rsidRDefault="00545D2B" w14:paraId="04C936E0" w14:textId="7C6EE97A">
      <w:pPr>
        <w:pStyle w:val="TOC2"/>
        <w:spacing w:line="240" w:lineRule="auto"/>
        <w:rPr>
          <w:rFonts w:eastAsiaTheme="minorEastAsia"/>
        </w:rPr>
      </w:pPr>
      <w:r>
        <w:rPr>
          <w:rFonts w:eastAsiaTheme="minorEastAsia"/>
        </w:rPr>
        <w:tab/>
      </w:r>
      <w:r w:rsidRPr="00545D2B">
        <w:rPr>
          <w:rFonts w:eastAsiaTheme="minorEastAsia"/>
        </w:rPr>
        <w:t>Outside Consultations</w:t>
      </w:r>
      <w:r w:rsidRPr="00545D2B">
        <w:rPr>
          <w:webHidden/>
        </w:rPr>
        <w:tab/>
      </w:r>
      <w:r w:rsidR="00A93BA4">
        <w:rPr>
          <w:webHidden/>
        </w:rPr>
        <w:t>1</w:t>
      </w:r>
      <w:r w:rsidR="00E5612D">
        <w:rPr>
          <w:webHidden/>
        </w:rPr>
        <w:t>6</w:t>
      </w:r>
    </w:p>
    <w:p w:rsidRPr="00545D2B" w:rsidR="00545D2B" w:rsidP="00F2029D" w:rsidRDefault="005F2FEA" w14:paraId="364ADF68" w14:textId="67FC2A18">
      <w:pPr>
        <w:pStyle w:val="TOC2"/>
        <w:spacing w:line="240" w:lineRule="auto"/>
        <w:rPr>
          <w:rFonts w:eastAsiaTheme="minorEastAsia"/>
        </w:rPr>
      </w:pPr>
      <w:r>
        <w:rPr>
          <w:rFonts w:eastAsiaTheme="minorEastAsia"/>
        </w:rPr>
        <w:t>A.</w:t>
      </w:r>
      <w:r w:rsidRPr="00545D2B" w:rsidR="00545D2B">
        <w:rPr>
          <w:rFonts w:eastAsiaTheme="minorEastAsia"/>
        </w:rPr>
        <w:t>9.</w:t>
      </w:r>
      <w:r w:rsidRPr="00545D2B" w:rsidR="00545D2B">
        <w:rPr>
          <w:rFonts w:eastAsiaTheme="minorEastAsia"/>
        </w:rPr>
        <w:tab/>
        <w:t>Explanation of Any Payment or Gift to Respondents</w:t>
      </w:r>
      <w:r w:rsidRPr="00545D2B" w:rsidR="00545D2B">
        <w:rPr>
          <w:webHidden/>
        </w:rPr>
        <w:tab/>
      </w:r>
      <w:r w:rsidR="00A93BA4">
        <w:rPr>
          <w:webHidden/>
        </w:rPr>
        <w:t>1</w:t>
      </w:r>
      <w:r w:rsidR="00E5612D">
        <w:rPr>
          <w:webHidden/>
        </w:rPr>
        <w:t>6</w:t>
      </w:r>
    </w:p>
    <w:p w:rsidRPr="00545D2B" w:rsidR="00545D2B" w:rsidP="00F2029D" w:rsidRDefault="005F2FEA" w14:paraId="71695CD0" w14:textId="3A96DE02">
      <w:pPr>
        <w:pStyle w:val="TOC2"/>
        <w:spacing w:line="240" w:lineRule="auto"/>
        <w:rPr>
          <w:rFonts w:eastAsiaTheme="minorEastAsia"/>
        </w:rPr>
      </w:pPr>
      <w:r>
        <w:rPr>
          <w:rFonts w:eastAsiaTheme="minorEastAsia"/>
        </w:rPr>
        <w:t>A.</w:t>
      </w:r>
      <w:r w:rsidRPr="00545D2B" w:rsidR="00545D2B">
        <w:rPr>
          <w:rFonts w:eastAsiaTheme="minorEastAsia"/>
        </w:rPr>
        <w:t>10.</w:t>
      </w:r>
      <w:r w:rsidRPr="00545D2B" w:rsidR="00545D2B">
        <w:rPr>
          <w:rFonts w:eastAsiaTheme="minorEastAsia"/>
        </w:rPr>
        <w:tab/>
        <w:t>Protection of the Privacy and Confidentiality of Information Provided by Respondents</w:t>
      </w:r>
      <w:r w:rsidRPr="00545D2B" w:rsidR="00545D2B">
        <w:rPr>
          <w:webHidden/>
        </w:rPr>
        <w:tab/>
      </w:r>
      <w:r w:rsidR="00A93BA4">
        <w:rPr>
          <w:webHidden/>
        </w:rPr>
        <w:t>1</w:t>
      </w:r>
      <w:r w:rsidR="0017157F">
        <w:rPr>
          <w:webHidden/>
        </w:rPr>
        <w:t>7</w:t>
      </w:r>
    </w:p>
    <w:p w:rsidRPr="00545D2B" w:rsidR="00545D2B" w:rsidP="00F2029D" w:rsidRDefault="005F2FEA" w14:paraId="721A9511" w14:textId="6643CFB8">
      <w:pPr>
        <w:pStyle w:val="TOC2"/>
        <w:spacing w:line="240" w:lineRule="auto"/>
        <w:rPr>
          <w:rFonts w:eastAsiaTheme="minorEastAsia"/>
        </w:rPr>
      </w:pPr>
      <w:r>
        <w:rPr>
          <w:rFonts w:eastAsiaTheme="minorEastAsia"/>
        </w:rPr>
        <w:t>A.</w:t>
      </w:r>
      <w:r w:rsidRPr="00545D2B" w:rsidR="00545D2B">
        <w:rPr>
          <w:rFonts w:eastAsiaTheme="minorEastAsia"/>
        </w:rPr>
        <w:t>11.</w:t>
      </w:r>
      <w:r w:rsidRPr="00545D2B" w:rsidR="00545D2B">
        <w:rPr>
          <w:rFonts w:eastAsiaTheme="minorEastAsia"/>
        </w:rPr>
        <w:tab/>
        <w:t>Institutional Review Board (IRB) and Justification for Sensitive Questions</w:t>
      </w:r>
      <w:r w:rsidRPr="00545D2B" w:rsidR="00545D2B">
        <w:rPr>
          <w:webHidden/>
        </w:rPr>
        <w:tab/>
      </w:r>
      <w:r w:rsidR="00A93BA4">
        <w:rPr>
          <w:webHidden/>
        </w:rPr>
        <w:t>1</w:t>
      </w:r>
      <w:r w:rsidR="0017157F">
        <w:rPr>
          <w:webHidden/>
        </w:rPr>
        <w:t>8</w:t>
      </w:r>
    </w:p>
    <w:p w:rsidRPr="00545D2B" w:rsidR="00545D2B" w:rsidP="00F2029D" w:rsidRDefault="005F2FEA" w14:paraId="00D5909C" w14:textId="1CBFED94">
      <w:pPr>
        <w:pStyle w:val="TOC2"/>
        <w:spacing w:line="240" w:lineRule="auto"/>
        <w:rPr>
          <w:rFonts w:eastAsiaTheme="minorEastAsia"/>
        </w:rPr>
      </w:pPr>
      <w:r>
        <w:rPr>
          <w:rFonts w:eastAsiaTheme="minorEastAsia"/>
        </w:rPr>
        <w:t>A.</w:t>
      </w:r>
      <w:r w:rsidRPr="00545D2B" w:rsidR="00545D2B">
        <w:rPr>
          <w:rFonts w:eastAsiaTheme="minorEastAsia"/>
        </w:rPr>
        <w:t>12.</w:t>
      </w:r>
      <w:r w:rsidRPr="00545D2B" w:rsidR="00545D2B">
        <w:rPr>
          <w:rFonts w:eastAsiaTheme="minorEastAsia"/>
        </w:rPr>
        <w:tab/>
        <w:t>Estimates of Annualized Burden Hours and Costs</w:t>
      </w:r>
      <w:r w:rsidRPr="00545D2B" w:rsidR="00545D2B">
        <w:rPr>
          <w:webHidden/>
        </w:rPr>
        <w:tab/>
      </w:r>
      <w:r w:rsidR="0017157F">
        <w:rPr>
          <w:webHidden/>
        </w:rPr>
        <w:t>20</w:t>
      </w:r>
    </w:p>
    <w:p w:rsidRPr="00545D2B" w:rsidR="00545D2B" w:rsidP="00F2029D" w:rsidRDefault="005F2FEA" w14:paraId="1C1965A6" w14:textId="3E1F33AF">
      <w:pPr>
        <w:pStyle w:val="TOC2"/>
        <w:spacing w:line="240" w:lineRule="auto"/>
        <w:rPr>
          <w:rFonts w:eastAsiaTheme="minorEastAsia"/>
        </w:rPr>
      </w:pPr>
      <w:r>
        <w:rPr>
          <w:rFonts w:eastAsiaTheme="minorEastAsia"/>
        </w:rPr>
        <w:t>A.</w:t>
      </w:r>
      <w:r w:rsidRPr="00545D2B" w:rsidR="00545D2B">
        <w:rPr>
          <w:rFonts w:eastAsiaTheme="minorEastAsia"/>
        </w:rPr>
        <w:t>13.</w:t>
      </w:r>
      <w:r w:rsidRPr="00545D2B" w:rsidR="00545D2B">
        <w:rPr>
          <w:rFonts w:eastAsiaTheme="minorEastAsia"/>
        </w:rPr>
        <w:tab/>
        <w:t>Estimates of Other Total Annual Cost Burden to Respondents and Record Keepers</w:t>
      </w:r>
      <w:r w:rsidRPr="00545D2B" w:rsidR="00545D2B">
        <w:rPr>
          <w:webHidden/>
        </w:rPr>
        <w:tab/>
      </w:r>
      <w:r w:rsidR="00E5612D">
        <w:rPr>
          <w:webHidden/>
        </w:rPr>
        <w:t>2</w:t>
      </w:r>
      <w:r w:rsidR="0017157F">
        <w:rPr>
          <w:webHidden/>
        </w:rPr>
        <w:t>4</w:t>
      </w:r>
    </w:p>
    <w:p w:rsidRPr="00545D2B" w:rsidR="00545D2B" w:rsidP="00F2029D" w:rsidRDefault="005F2FEA" w14:paraId="155D54E5" w14:textId="2115C861">
      <w:pPr>
        <w:pStyle w:val="TOC2"/>
        <w:spacing w:line="240" w:lineRule="auto"/>
        <w:rPr>
          <w:rFonts w:eastAsiaTheme="minorEastAsia"/>
        </w:rPr>
      </w:pPr>
      <w:r>
        <w:rPr>
          <w:rFonts w:eastAsiaTheme="minorEastAsia"/>
        </w:rPr>
        <w:t>A.</w:t>
      </w:r>
      <w:r w:rsidRPr="00545D2B" w:rsidR="00545D2B">
        <w:rPr>
          <w:rFonts w:eastAsiaTheme="minorEastAsia"/>
        </w:rPr>
        <w:t>14.</w:t>
      </w:r>
      <w:r w:rsidRPr="00545D2B" w:rsidR="00545D2B">
        <w:rPr>
          <w:rFonts w:eastAsiaTheme="minorEastAsia"/>
        </w:rPr>
        <w:tab/>
        <w:t>Annualized Cost to the Federal Government</w:t>
      </w:r>
      <w:r w:rsidRPr="00545D2B" w:rsidR="00545D2B">
        <w:rPr>
          <w:webHidden/>
        </w:rPr>
        <w:tab/>
      </w:r>
      <w:r w:rsidR="00E5612D">
        <w:rPr>
          <w:webHidden/>
        </w:rPr>
        <w:t>2</w:t>
      </w:r>
      <w:r w:rsidR="0017157F">
        <w:rPr>
          <w:webHidden/>
        </w:rPr>
        <w:t>4</w:t>
      </w:r>
    </w:p>
    <w:p w:rsidRPr="00545D2B" w:rsidR="00545D2B" w:rsidP="00F2029D" w:rsidRDefault="005F2FEA" w14:paraId="388E8E06" w14:textId="4A65BC39">
      <w:pPr>
        <w:pStyle w:val="TOC2"/>
        <w:spacing w:line="240" w:lineRule="auto"/>
        <w:rPr>
          <w:rFonts w:eastAsiaTheme="minorEastAsia"/>
        </w:rPr>
      </w:pPr>
      <w:r>
        <w:rPr>
          <w:rFonts w:eastAsiaTheme="minorEastAsia"/>
        </w:rPr>
        <w:t>A.</w:t>
      </w:r>
      <w:r w:rsidRPr="00545D2B" w:rsidR="00545D2B">
        <w:rPr>
          <w:rFonts w:eastAsiaTheme="minorEastAsia"/>
        </w:rPr>
        <w:t>15.</w:t>
      </w:r>
      <w:r w:rsidRPr="00545D2B" w:rsidR="00545D2B">
        <w:rPr>
          <w:rFonts w:eastAsiaTheme="minorEastAsia"/>
        </w:rPr>
        <w:tab/>
        <w:t>Explanation for Program Changes or Adjustments</w:t>
      </w:r>
      <w:r w:rsidRPr="00545D2B" w:rsidR="00545D2B">
        <w:rPr>
          <w:webHidden/>
        </w:rPr>
        <w:tab/>
      </w:r>
      <w:r w:rsidR="00A93BA4">
        <w:rPr>
          <w:webHidden/>
        </w:rPr>
        <w:t>2</w:t>
      </w:r>
      <w:r w:rsidR="0017157F">
        <w:rPr>
          <w:webHidden/>
        </w:rPr>
        <w:t>5</w:t>
      </w:r>
    </w:p>
    <w:p w:rsidRPr="00545D2B" w:rsidR="00545D2B" w:rsidP="00F2029D" w:rsidRDefault="005F2FEA" w14:paraId="13E3AD49" w14:textId="69884FBA">
      <w:pPr>
        <w:pStyle w:val="TOC2"/>
        <w:spacing w:line="240" w:lineRule="auto"/>
        <w:rPr>
          <w:rFonts w:eastAsiaTheme="minorEastAsia"/>
        </w:rPr>
      </w:pPr>
      <w:r>
        <w:rPr>
          <w:rFonts w:eastAsiaTheme="minorEastAsia"/>
        </w:rPr>
        <w:t>A.</w:t>
      </w:r>
      <w:r w:rsidRPr="00545D2B" w:rsidR="00545D2B">
        <w:rPr>
          <w:rFonts w:eastAsiaTheme="minorEastAsia"/>
        </w:rPr>
        <w:t>16.</w:t>
      </w:r>
      <w:r w:rsidRPr="00545D2B" w:rsidR="00545D2B">
        <w:rPr>
          <w:rFonts w:eastAsiaTheme="minorEastAsia"/>
        </w:rPr>
        <w:tab/>
        <w:t>Plans for Tabulation and Publication and Project Time Schedule</w:t>
      </w:r>
      <w:r w:rsidRPr="00545D2B" w:rsidR="00545D2B">
        <w:rPr>
          <w:webHidden/>
        </w:rPr>
        <w:tab/>
      </w:r>
      <w:r w:rsidR="00A93BA4">
        <w:rPr>
          <w:webHidden/>
        </w:rPr>
        <w:t>2</w:t>
      </w:r>
      <w:r w:rsidR="0017157F">
        <w:rPr>
          <w:webHidden/>
        </w:rPr>
        <w:t>5</w:t>
      </w:r>
    </w:p>
    <w:p w:rsidRPr="00545D2B" w:rsidR="00545D2B" w:rsidP="00F2029D" w:rsidRDefault="005F2FEA" w14:paraId="207B7581" w14:textId="306C3ED2">
      <w:pPr>
        <w:pStyle w:val="TOC2"/>
        <w:spacing w:line="240" w:lineRule="auto"/>
        <w:rPr>
          <w:rFonts w:eastAsiaTheme="minorEastAsia"/>
        </w:rPr>
      </w:pPr>
      <w:r>
        <w:rPr>
          <w:rFonts w:eastAsiaTheme="minorEastAsia"/>
        </w:rPr>
        <w:t>A.</w:t>
      </w:r>
      <w:r w:rsidRPr="00545D2B" w:rsidR="00545D2B">
        <w:rPr>
          <w:rFonts w:eastAsiaTheme="minorEastAsia"/>
        </w:rPr>
        <w:t>17.</w:t>
      </w:r>
      <w:r w:rsidRPr="00545D2B" w:rsidR="00545D2B">
        <w:rPr>
          <w:rFonts w:eastAsiaTheme="minorEastAsia"/>
        </w:rPr>
        <w:tab/>
        <w:t>Reason(s) Display of OMB Expiration Date is Inappropriate</w:t>
      </w:r>
      <w:r w:rsidRPr="00545D2B" w:rsidR="00545D2B">
        <w:rPr>
          <w:webHidden/>
        </w:rPr>
        <w:tab/>
      </w:r>
      <w:r w:rsidR="00A93BA4">
        <w:rPr>
          <w:webHidden/>
        </w:rPr>
        <w:t>2</w:t>
      </w:r>
      <w:r w:rsidR="00950D4B">
        <w:rPr>
          <w:webHidden/>
        </w:rPr>
        <w:t>5</w:t>
      </w:r>
    </w:p>
    <w:p w:rsidRPr="00545D2B" w:rsidR="00545D2B" w:rsidP="00F2029D" w:rsidRDefault="005F2FEA" w14:paraId="3B57A13E" w14:textId="10BA194B">
      <w:pPr>
        <w:pStyle w:val="TOC2"/>
        <w:spacing w:line="240" w:lineRule="auto"/>
        <w:rPr>
          <w:rFonts w:eastAsiaTheme="minorEastAsia"/>
        </w:rPr>
      </w:pPr>
      <w:r>
        <w:rPr>
          <w:rFonts w:eastAsiaTheme="minorEastAsia"/>
        </w:rPr>
        <w:t>A.</w:t>
      </w:r>
      <w:r w:rsidRPr="00545D2B" w:rsidR="00545D2B">
        <w:rPr>
          <w:rFonts w:eastAsiaTheme="minorEastAsia"/>
        </w:rPr>
        <w:t>18.</w:t>
      </w:r>
      <w:r w:rsidRPr="00545D2B" w:rsidR="00545D2B">
        <w:rPr>
          <w:rFonts w:eastAsiaTheme="minorEastAsia"/>
        </w:rPr>
        <w:tab/>
        <w:t>Exceptions to Certification for Paperwork Reduction Act Submissions</w:t>
      </w:r>
      <w:r w:rsidRPr="00545D2B" w:rsidR="00545D2B">
        <w:rPr>
          <w:webHidden/>
        </w:rPr>
        <w:tab/>
      </w:r>
      <w:r w:rsidR="00A93BA4">
        <w:rPr>
          <w:webHidden/>
        </w:rPr>
        <w:t>2</w:t>
      </w:r>
      <w:r w:rsidR="00950D4B">
        <w:rPr>
          <w:webHidden/>
        </w:rPr>
        <w:t>5</w:t>
      </w:r>
    </w:p>
    <w:p w:rsidR="004074E0" w:rsidP="006C35D1" w:rsidRDefault="00752327" w14:paraId="6B8A0A99" w14:textId="13F566F7">
      <w:pPr>
        <w:spacing w:line="240" w:lineRule="auto"/>
        <w:ind w:firstLine="0"/>
        <w:rPr>
          <w:rFonts w:ascii="Arial" w:hAnsi="Arial" w:cs="Arial" w:eastAsiaTheme="minorEastAsia"/>
          <w:b/>
          <w:bCs/>
          <w:sz w:val="22"/>
          <w:szCs w:val="22"/>
        </w:rPr>
      </w:pPr>
      <w:r w:rsidRPr="00545D2B">
        <w:rPr>
          <w:rFonts w:ascii="Arial" w:hAnsi="Arial" w:cs="Arial" w:eastAsiaTheme="minorEastAsia"/>
          <w:sz w:val="22"/>
          <w:szCs w:val="22"/>
        </w:rPr>
        <w:fldChar w:fldCharType="end"/>
      </w:r>
      <w:r w:rsidRPr="00F2029D" w:rsidR="004074E0">
        <w:rPr>
          <w:rFonts w:ascii="Arial" w:hAnsi="Arial" w:cs="Arial" w:eastAsiaTheme="minorEastAsia"/>
          <w:b/>
          <w:bCs/>
          <w:sz w:val="22"/>
          <w:szCs w:val="22"/>
        </w:rPr>
        <w:t>List of Attachments</w:t>
      </w:r>
    </w:p>
    <w:p w:rsidRPr="00F2029D" w:rsidR="006C35D1" w:rsidP="00977C45" w:rsidRDefault="006C35D1" w14:paraId="4E5F99F4" w14:textId="77777777">
      <w:pPr>
        <w:spacing w:line="240" w:lineRule="auto"/>
        <w:ind w:firstLine="0"/>
        <w:rPr>
          <w:rFonts w:ascii="Arial" w:hAnsi="Arial" w:cs="Arial" w:eastAsiaTheme="minorEastAsia"/>
          <w:b/>
          <w:bCs/>
          <w:sz w:val="22"/>
          <w:szCs w:val="22"/>
        </w:rPr>
      </w:pPr>
    </w:p>
    <w:p w:rsidR="00DD1891" w:rsidP="00DD1891" w:rsidRDefault="006C35D1" w14:paraId="5B2EDF43" w14:textId="7E1091E8">
      <w:pPr>
        <w:spacing w:line="240" w:lineRule="auto"/>
        <w:ind w:firstLine="0"/>
        <w:rPr>
          <w:rFonts w:ascii="Arial" w:hAnsi="Arial" w:eastAsia="Calibri"/>
          <w:sz w:val="20"/>
        </w:rPr>
      </w:pPr>
      <w:r>
        <w:rPr>
          <w:rFonts w:ascii="Arial" w:hAnsi="Arial" w:eastAsia="Calibri"/>
          <w:sz w:val="20"/>
        </w:rPr>
        <w:t>A</w:t>
      </w:r>
      <w:r w:rsidR="00DD1891">
        <w:rPr>
          <w:rFonts w:ascii="Arial" w:hAnsi="Arial" w:eastAsia="Calibri"/>
          <w:sz w:val="20"/>
        </w:rPr>
        <w:t xml:space="preserve">ttachment A: Clinician </w:t>
      </w:r>
      <w:r w:rsidR="008042BD">
        <w:rPr>
          <w:rFonts w:ascii="Arial" w:hAnsi="Arial" w:eastAsia="Calibri"/>
          <w:sz w:val="20"/>
        </w:rPr>
        <w:t>Survey</w:t>
      </w:r>
    </w:p>
    <w:p w:rsidR="00DD1891" w:rsidP="00DD1891" w:rsidRDefault="00DD1891" w14:paraId="4843A54B" w14:textId="1C21E3DA">
      <w:pPr>
        <w:spacing w:line="240" w:lineRule="auto"/>
        <w:ind w:firstLine="0"/>
        <w:rPr>
          <w:rFonts w:ascii="Arial" w:hAnsi="Arial" w:eastAsia="Calibri"/>
          <w:sz w:val="20"/>
        </w:rPr>
      </w:pPr>
      <w:r>
        <w:rPr>
          <w:rFonts w:ascii="Arial" w:hAnsi="Arial" w:eastAsia="Calibri"/>
          <w:sz w:val="20"/>
        </w:rPr>
        <w:t>Attachment B: Patient Survey</w:t>
      </w:r>
    </w:p>
    <w:p w:rsidRPr="00845839" w:rsidR="00385F70" w:rsidP="00DD1891" w:rsidRDefault="00DD1891" w14:paraId="03323B4A" w14:textId="5CBA70CF">
      <w:pPr>
        <w:spacing w:line="240" w:lineRule="auto"/>
        <w:ind w:firstLine="0"/>
        <w:rPr>
          <w:rFonts w:ascii="Arial" w:hAnsi="Arial" w:eastAsia="Calibri"/>
          <w:sz w:val="20"/>
        </w:rPr>
      </w:pPr>
      <w:r>
        <w:rPr>
          <w:rFonts w:ascii="Arial" w:hAnsi="Arial" w:eastAsia="Calibri"/>
          <w:sz w:val="20"/>
        </w:rPr>
        <w:t xml:space="preserve">Attachment </w:t>
      </w:r>
      <w:r w:rsidRPr="7606EAF5" w:rsidR="00385F70">
        <w:rPr>
          <w:rFonts w:ascii="Arial" w:hAnsi="Arial" w:eastAsia="Calibri"/>
          <w:sz w:val="20"/>
        </w:rPr>
        <w:t>C:</w:t>
      </w:r>
      <w:r w:rsidRPr="7606EAF5" w:rsidR="648052B0">
        <w:rPr>
          <w:rFonts w:ascii="Arial" w:hAnsi="Arial" w:eastAsia="Calibri"/>
          <w:sz w:val="20"/>
        </w:rPr>
        <w:t xml:space="preserve"> </w:t>
      </w:r>
      <w:r w:rsidRPr="7606EAF5" w:rsidR="5EF75332">
        <w:rPr>
          <w:rFonts w:ascii="Arial" w:hAnsi="Arial" w:eastAsia="Calibri"/>
          <w:sz w:val="20"/>
        </w:rPr>
        <w:t>System</w:t>
      </w:r>
      <w:r w:rsidRPr="7606EAF5" w:rsidR="3739EBDE">
        <w:rPr>
          <w:rFonts w:ascii="Arial" w:hAnsi="Arial" w:eastAsia="Calibri"/>
          <w:sz w:val="20"/>
        </w:rPr>
        <w:t xml:space="preserve"> Leaders Interview Guide </w:t>
      </w:r>
    </w:p>
    <w:p w:rsidRPr="00845839" w:rsidR="00385F70" w:rsidP="00DD1891" w:rsidRDefault="00DD1891" w14:paraId="3919469F" w14:textId="79A552CF">
      <w:pPr>
        <w:spacing w:line="240" w:lineRule="auto"/>
        <w:ind w:firstLine="0"/>
        <w:rPr>
          <w:rFonts w:ascii="Arial" w:hAnsi="Arial" w:eastAsiaTheme="minorEastAsia"/>
          <w:sz w:val="20"/>
        </w:rPr>
      </w:pPr>
      <w:r>
        <w:rPr>
          <w:rFonts w:ascii="Arial" w:hAnsi="Arial" w:eastAsia="Calibri"/>
          <w:sz w:val="20"/>
        </w:rPr>
        <w:t xml:space="preserve">Attachment </w:t>
      </w:r>
      <w:r w:rsidRPr="7606EAF5" w:rsidR="00385F70">
        <w:rPr>
          <w:rFonts w:ascii="Arial" w:hAnsi="Arial" w:eastAsia="Calibri"/>
          <w:sz w:val="20"/>
        </w:rPr>
        <w:t>D: Case Stud</w:t>
      </w:r>
      <w:r w:rsidR="003C7FBD">
        <w:rPr>
          <w:rFonts w:ascii="Arial" w:hAnsi="Arial" w:eastAsia="Calibri"/>
          <w:sz w:val="20"/>
        </w:rPr>
        <w:t>y</w:t>
      </w:r>
      <w:r w:rsidRPr="7606EAF5" w:rsidR="00385F70">
        <w:rPr>
          <w:rFonts w:ascii="Arial" w:hAnsi="Arial" w:eastAsia="Calibri"/>
          <w:sz w:val="20"/>
        </w:rPr>
        <w:t xml:space="preserve"> </w:t>
      </w:r>
    </w:p>
    <w:p w:rsidRPr="00845839" w:rsidR="00385F70" w:rsidP="00DD1891" w:rsidRDefault="00DD1891" w14:paraId="353A9BEB" w14:textId="011039F6">
      <w:pPr>
        <w:spacing w:line="240" w:lineRule="auto"/>
        <w:ind w:firstLine="0"/>
        <w:rPr>
          <w:rFonts w:ascii="Arial" w:hAnsi="Arial" w:eastAsiaTheme="minorEastAsia"/>
          <w:sz w:val="20"/>
        </w:rPr>
      </w:pPr>
      <w:r>
        <w:rPr>
          <w:rFonts w:ascii="Arial" w:hAnsi="Arial" w:eastAsia="Calibri"/>
          <w:sz w:val="20"/>
        </w:rPr>
        <w:t xml:space="preserve">Attachment </w:t>
      </w:r>
      <w:r w:rsidRPr="2CA32994" w:rsidR="45FDDFD9">
        <w:rPr>
          <w:rFonts w:ascii="Arial" w:hAnsi="Arial" w:eastAsia="Calibri"/>
          <w:sz w:val="20"/>
        </w:rPr>
        <w:t>E: Member</w:t>
      </w:r>
      <w:r w:rsidRPr="2CA32994" w:rsidR="3C39270F">
        <w:rPr>
          <w:rFonts w:ascii="Arial" w:hAnsi="Arial" w:eastAsia="Calibri"/>
          <w:sz w:val="20"/>
        </w:rPr>
        <w:t xml:space="preserve"> </w:t>
      </w:r>
      <w:r w:rsidRPr="2CA32994" w:rsidR="45FDDFD9">
        <w:rPr>
          <w:rFonts w:ascii="Arial" w:hAnsi="Arial" w:eastAsia="Calibri"/>
          <w:sz w:val="20"/>
        </w:rPr>
        <w:t>Checking Sessions</w:t>
      </w:r>
      <w:r w:rsidRPr="2CA32994" w:rsidR="2EE35FDA">
        <w:rPr>
          <w:rFonts w:ascii="Arial" w:hAnsi="Arial" w:eastAsia="Calibri"/>
          <w:sz w:val="20"/>
        </w:rPr>
        <w:t xml:space="preserve"> </w:t>
      </w:r>
    </w:p>
    <w:p w:rsidR="00DD1891" w:rsidP="00DD1891" w:rsidRDefault="00DD1891" w14:paraId="0BD4065F" w14:textId="77777777">
      <w:pPr>
        <w:spacing w:line="240" w:lineRule="auto"/>
        <w:ind w:firstLine="0"/>
        <w:rPr>
          <w:rFonts w:ascii="Arial" w:hAnsi="Arial" w:eastAsia="Arial" w:cs="Arial"/>
          <w:sz w:val="20"/>
        </w:rPr>
      </w:pPr>
      <w:r>
        <w:rPr>
          <w:rFonts w:ascii="Arial" w:hAnsi="Arial" w:eastAsia="Arial" w:cs="Arial"/>
          <w:sz w:val="20"/>
        </w:rPr>
        <w:t xml:space="preserve">Attachment </w:t>
      </w:r>
      <w:r w:rsidRPr="00DD1891" w:rsidR="016F47AD">
        <w:rPr>
          <w:rFonts w:ascii="Arial" w:hAnsi="Arial" w:eastAsia="Arial" w:cs="Arial"/>
          <w:sz w:val="20"/>
        </w:rPr>
        <w:t>F: Published 60-Day Federal Register Notice</w:t>
      </w:r>
    </w:p>
    <w:p w:rsidRPr="00244A10" w:rsidR="008262A2" w:rsidP="00DD1891" w:rsidRDefault="00DD1891" w14:paraId="5516B3E0" w14:textId="77777777">
      <w:pPr>
        <w:spacing w:line="240" w:lineRule="auto"/>
        <w:ind w:firstLine="0"/>
        <w:rPr>
          <w:rFonts w:ascii="Arial" w:hAnsi="Arial" w:eastAsia="Calibri"/>
          <w:sz w:val="20"/>
        </w:rPr>
      </w:pPr>
      <w:r>
        <w:rPr>
          <w:rFonts w:ascii="Arial" w:hAnsi="Arial" w:eastAsia="Arial" w:cs="Arial"/>
          <w:sz w:val="20"/>
        </w:rPr>
        <w:t xml:space="preserve">Attachment </w:t>
      </w:r>
      <w:r w:rsidRPr="00244A10" w:rsidR="51DF7F60">
        <w:rPr>
          <w:rFonts w:ascii="Arial" w:hAnsi="Arial" w:eastAsia="Calibri"/>
          <w:sz w:val="20"/>
        </w:rPr>
        <w:t>G</w:t>
      </w:r>
      <w:r w:rsidRPr="00244A10" w:rsidR="741DD789">
        <w:rPr>
          <w:rFonts w:ascii="Arial" w:hAnsi="Arial" w:eastAsia="Calibri"/>
          <w:sz w:val="20"/>
        </w:rPr>
        <w:t>:</w:t>
      </w:r>
      <w:r w:rsidRPr="00244A10" w:rsidR="51DF7F60">
        <w:rPr>
          <w:rFonts w:ascii="Arial" w:hAnsi="Arial" w:eastAsia="Calibri"/>
          <w:sz w:val="20"/>
        </w:rPr>
        <w:t xml:space="preserve"> Institutional Review Board (IRB) documentation</w:t>
      </w:r>
    </w:p>
    <w:p w:rsidRPr="00B16D8E" w:rsidR="00560672" w:rsidP="00864EBD" w:rsidRDefault="00560672" w14:paraId="53562BD4" w14:textId="1E6D17DF">
      <w:pPr>
        <w:spacing w:line="240" w:lineRule="auto"/>
        <w:ind w:firstLine="0"/>
        <w:rPr>
          <w:rFonts w:ascii="Arial" w:hAnsi="Arial" w:eastAsia="Calibri"/>
          <w:sz w:val="20"/>
        </w:rPr>
      </w:pPr>
      <w:r w:rsidRPr="0073154A">
        <w:rPr>
          <w:rFonts w:ascii="Arial" w:hAnsi="Arial" w:eastAsia="Calibri"/>
          <w:sz w:val="20"/>
        </w:rPr>
        <w:t xml:space="preserve">Attachment H: </w:t>
      </w:r>
      <w:r w:rsidRPr="00B16D8E">
        <w:rPr>
          <w:rFonts w:ascii="Arial" w:hAnsi="Arial" w:eastAsia="Calibri"/>
          <w:sz w:val="20"/>
        </w:rPr>
        <w:t>Privacy Impact Assessment (PIA</w:t>
      </w:r>
      <w:r w:rsidRPr="0073154A">
        <w:rPr>
          <w:rFonts w:ascii="Arial" w:hAnsi="Arial" w:eastAsia="Calibri"/>
          <w:sz w:val="20"/>
        </w:rPr>
        <w:t>)</w:t>
      </w:r>
    </w:p>
    <w:p w:rsidRPr="00F2029D" w:rsidR="00864EBD" w:rsidP="00864EBD" w:rsidRDefault="00864EBD" w14:paraId="4DBCF8BE" w14:textId="60342496">
      <w:pPr>
        <w:spacing w:line="240" w:lineRule="auto"/>
        <w:ind w:firstLine="0"/>
        <w:rPr>
          <w:rFonts w:ascii="Arial" w:hAnsi="Arial" w:eastAsia="Arial" w:cs="Arial"/>
          <w:sz w:val="20"/>
        </w:rPr>
      </w:pPr>
      <w:r w:rsidRPr="00B16D8E">
        <w:rPr>
          <w:rFonts w:ascii="Arial" w:hAnsi="Arial" w:eastAsia="Calibri"/>
          <w:sz w:val="20"/>
        </w:rPr>
        <w:t xml:space="preserve">Attachment I: </w:t>
      </w:r>
      <w:r w:rsidRPr="00A12E55" w:rsidR="00A12E55">
        <w:rPr>
          <w:rFonts w:ascii="Arial" w:hAnsi="Arial" w:eastAsia="Calibri"/>
          <w:sz w:val="20"/>
        </w:rPr>
        <w:t>Invitation Follow</w:t>
      </w:r>
      <w:r w:rsidRPr="00F2029D" w:rsidR="00A12E55">
        <w:rPr>
          <w:rFonts w:ascii="Arial" w:hAnsi="Arial" w:eastAsia="Calibri"/>
          <w:sz w:val="20"/>
        </w:rPr>
        <w:t xml:space="preserve"> up Email</w:t>
      </w:r>
    </w:p>
    <w:p w:rsidR="00BB3F7E" w:rsidP="00864EBD" w:rsidRDefault="00BB3F7E" w14:paraId="75673857" w14:textId="1D1532DC">
      <w:pPr>
        <w:spacing w:line="240" w:lineRule="auto"/>
        <w:ind w:firstLine="0"/>
        <w:rPr>
          <w:rFonts w:ascii="Arial" w:hAnsi="Arial" w:eastAsia="Arial" w:cs="Arial"/>
          <w:sz w:val="20"/>
        </w:rPr>
      </w:pPr>
      <w:r w:rsidRPr="00F2029D">
        <w:rPr>
          <w:rFonts w:ascii="Arial" w:hAnsi="Arial" w:eastAsia="Arial" w:cs="Arial"/>
          <w:sz w:val="20"/>
        </w:rPr>
        <w:t xml:space="preserve">Attachment J: </w:t>
      </w:r>
      <w:r w:rsidR="003C7FBD">
        <w:rPr>
          <w:rFonts w:ascii="Arial" w:hAnsi="Arial" w:eastAsia="Arial" w:cs="Arial"/>
          <w:sz w:val="20"/>
        </w:rPr>
        <w:t xml:space="preserve">Patient </w:t>
      </w:r>
      <w:r w:rsidRPr="00F2029D">
        <w:rPr>
          <w:rFonts w:ascii="Arial" w:hAnsi="Arial" w:eastAsia="Arial" w:cs="Arial"/>
          <w:sz w:val="20"/>
        </w:rPr>
        <w:t>Survey Screenshots</w:t>
      </w:r>
    </w:p>
    <w:p w:rsidRPr="00F2029D" w:rsidR="00A12E55" w:rsidP="00864EBD" w:rsidRDefault="00A12E55" w14:paraId="28DE6BF9" w14:textId="514CE01D">
      <w:pPr>
        <w:spacing w:line="240" w:lineRule="auto"/>
        <w:ind w:firstLine="0"/>
        <w:rPr>
          <w:rFonts w:ascii="Arial" w:hAnsi="Arial" w:eastAsia="Arial" w:cs="Arial"/>
          <w:sz w:val="20"/>
        </w:rPr>
      </w:pPr>
      <w:r w:rsidRPr="00073485">
        <w:rPr>
          <w:rFonts w:ascii="Arial" w:hAnsi="Arial" w:eastAsia="Arial" w:cs="Arial"/>
          <w:sz w:val="20"/>
        </w:rPr>
        <w:t>Attachment J</w:t>
      </w:r>
      <w:r>
        <w:rPr>
          <w:rFonts w:ascii="Arial" w:hAnsi="Arial" w:eastAsia="Arial" w:cs="Arial"/>
          <w:sz w:val="20"/>
        </w:rPr>
        <w:t>1</w:t>
      </w:r>
      <w:r w:rsidRPr="00073485">
        <w:rPr>
          <w:rFonts w:ascii="Arial" w:hAnsi="Arial" w:eastAsia="Arial" w:cs="Arial"/>
          <w:sz w:val="20"/>
        </w:rPr>
        <w:t xml:space="preserve">: </w:t>
      </w:r>
      <w:r w:rsidR="003C7FBD">
        <w:rPr>
          <w:rFonts w:ascii="Arial" w:hAnsi="Arial" w:eastAsia="Arial" w:cs="Arial"/>
          <w:sz w:val="20"/>
        </w:rPr>
        <w:t xml:space="preserve">Clinician </w:t>
      </w:r>
      <w:r w:rsidRPr="00073485">
        <w:rPr>
          <w:rFonts w:ascii="Arial" w:hAnsi="Arial" w:eastAsia="Arial" w:cs="Arial"/>
          <w:sz w:val="20"/>
        </w:rPr>
        <w:t>Survey Screenshots</w:t>
      </w:r>
    </w:p>
    <w:p w:rsidRPr="00F2029D" w:rsidR="006C35D1" w:rsidP="00864EBD" w:rsidRDefault="00244A10" w14:paraId="4C46706B" w14:textId="77777777">
      <w:pPr>
        <w:spacing w:line="240" w:lineRule="auto"/>
        <w:ind w:firstLine="0"/>
        <w:rPr>
          <w:rFonts w:ascii="Arial" w:hAnsi="Arial" w:eastAsia="Arial" w:cs="Arial"/>
          <w:sz w:val="20"/>
        </w:rPr>
      </w:pPr>
      <w:r w:rsidRPr="00F2029D">
        <w:rPr>
          <w:rFonts w:ascii="Arial" w:hAnsi="Arial" w:eastAsia="Arial" w:cs="Arial"/>
          <w:sz w:val="20"/>
        </w:rPr>
        <w:t>Attachment K: Public Health Service Act (42 U.S.C. 241)</w:t>
      </w:r>
    </w:p>
    <w:p w:rsidR="00244A10" w:rsidP="00864EBD" w:rsidRDefault="006C35D1" w14:paraId="12679D71" w14:textId="0BB4D2E3">
      <w:pPr>
        <w:spacing w:line="240" w:lineRule="auto"/>
        <w:ind w:firstLine="0"/>
        <w:rPr>
          <w:rFonts w:ascii="Arial" w:hAnsi="Arial" w:eastAsia="Calibri"/>
          <w:sz w:val="20"/>
        </w:rPr>
      </w:pPr>
      <w:r w:rsidRPr="00F2029D">
        <w:rPr>
          <w:rFonts w:ascii="Arial" w:hAnsi="Arial" w:eastAsia="Arial" w:cs="Arial"/>
          <w:sz w:val="20"/>
        </w:rPr>
        <w:t xml:space="preserve">Attachment L: Supplemental information. </w:t>
      </w:r>
      <w:r w:rsidRPr="00244A10" w:rsidR="00244A10">
        <w:rPr>
          <w:rFonts w:ascii="Arial" w:hAnsi="Arial" w:eastAsia="Calibri"/>
          <w:sz w:val="20"/>
        </w:rPr>
        <w:t xml:space="preserve"> </w:t>
      </w:r>
      <w:r w:rsidR="00244A10">
        <w:rPr>
          <w:rFonts w:ascii="Arial" w:hAnsi="Arial" w:eastAsia="Calibri"/>
          <w:sz w:val="20"/>
        </w:rPr>
        <w:t xml:space="preserve"> </w:t>
      </w:r>
    </w:p>
    <w:p w:rsidRPr="002F7CA6" w:rsidR="009A4D0C" w:rsidP="0043643C" w:rsidRDefault="009A4D0C" w14:paraId="10E4BDAA" w14:textId="56935B7D">
      <w:pPr>
        <w:tabs>
          <w:tab w:val="left" w:pos="6192"/>
        </w:tabs>
        <w:ind w:firstLine="0"/>
        <w:rPr>
          <w:rFonts w:ascii="Arial" w:hAnsi="Arial" w:eastAsia="Calibri"/>
          <w:sz w:val="20"/>
        </w:rPr>
        <w:sectPr w:rsidRPr="002F7CA6" w:rsidR="009A4D0C" w:rsidSect="00FB1B3C">
          <w:headerReference w:type="default" r:id="rId17"/>
          <w:footerReference w:type="default" r:id="rId18"/>
          <w:pgSz w:w="12240" w:h="15840" w:code="1"/>
          <w:pgMar w:top="1440" w:right="1440" w:bottom="1440" w:left="1440" w:header="720" w:footer="720" w:gutter="0"/>
          <w:pgBorders w:offsetFrom="page">
            <w:bottom w:val="single" w:color="FFFFFF" w:themeColor="background1" w:sz="4" w:space="24"/>
          </w:pgBorders>
          <w:pgNumType w:fmt="lowerRoman"/>
          <w:cols w:space="720"/>
          <w:docGrid w:linePitch="360"/>
        </w:sectPr>
      </w:pPr>
    </w:p>
    <w:p w:rsidRPr="00A36702" w:rsidR="00F35131" w:rsidP="775A952C" w:rsidRDefault="2CBA01A9" w14:paraId="6B5FA661" w14:textId="2DE99655">
      <w:pPr>
        <w:pStyle w:val="Heading1"/>
        <w:tabs>
          <w:tab w:val="clear" w:pos="432"/>
        </w:tabs>
        <w:rPr>
          <w:rFonts w:eastAsiaTheme="minorEastAsia"/>
        </w:rPr>
      </w:pPr>
      <w:bookmarkStart w:name="_Toc63079018" w:id="5"/>
      <w:r w:rsidRPr="775A952C">
        <w:rPr>
          <w:rFonts w:eastAsiaTheme="minorEastAsia"/>
        </w:rPr>
        <w:lastRenderedPageBreak/>
        <w:t xml:space="preserve">a. </w:t>
      </w:r>
      <w:r w:rsidRPr="775A952C" w:rsidR="7F5F6562">
        <w:rPr>
          <w:rFonts w:eastAsiaTheme="minorEastAsia"/>
        </w:rPr>
        <w:t>Justification</w:t>
      </w:r>
      <w:bookmarkEnd w:id="5"/>
    </w:p>
    <w:p w:rsidRPr="00682429" w:rsidR="002A441F" w:rsidP="775A952C" w:rsidRDefault="51041AED" w14:paraId="5F09FD9C" w14:textId="0F306718">
      <w:pPr>
        <w:pStyle w:val="Heading2"/>
        <w:tabs>
          <w:tab w:val="clear" w:pos="432"/>
        </w:tabs>
        <w:ind w:left="0" w:firstLine="0"/>
      </w:pPr>
      <w:bookmarkStart w:name="_Toc63079019" w:id="6"/>
      <w:r>
        <w:t>Summary Table</w:t>
      </w:r>
    </w:p>
    <w:tbl>
      <w:tblPr>
        <w:tblStyle w:val="TableGrid"/>
        <w:tblW w:w="0" w:type="auto"/>
        <w:tblLayout w:type="fixed"/>
        <w:tblLook w:val="06A0" w:firstRow="1" w:lastRow="0" w:firstColumn="1" w:lastColumn="0" w:noHBand="1" w:noVBand="1"/>
      </w:tblPr>
      <w:tblGrid>
        <w:gridCol w:w="9360"/>
      </w:tblGrid>
      <w:tr w:rsidR="775A952C" w:rsidTr="00F44450" w14:paraId="42634202" w14:textId="77777777">
        <w:trPr>
          <w:trHeight w:val="11535"/>
        </w:trPr>
        <w:tc>
          <w:tcPr>
            <w:tcW w:w="9360" w:type="dxa"/>
          </w:tcPr>
          <w:p w:rsidR="00421ABA" w:rsidP="00332B18" w:rsidRDefault="71AC274B" w14:paraId="6D66615D" w14:textId="7BBB633D">
            <w:pPr>
              <w:spacing w:line="240" w:lineRule="auto"/>
              <w:ind w:firstLine="0"/>
              <w:rPr>
                <w:sz w:val="22"/>
                <w:szCs w:val="22"/>
              </w:rPr>
            </w:pPr>
            <w:r w:rsidRPr="775A952C">
              <w:rPr>
                <w:b/>
                <w:bCs/>
                <w:sz w:val="22"/>
                <w:szCs w:val="22"/>
              </w:rPr>
              <w:t xml:space="preserve">Goal of the Study </w:t>
            </w:r>
          </w:p>
          <w:p w:rsidR="775A952C" w:rsidP="00421ABA" w:rsidRDefault="00D87B32" w14:paraId="5D7B9FEE" w14:textId="7C4F3E20">
            <w:pPr>
              <w:spacing w:line="240" w:lineRule="auto"/>
              <w:ind w:firstLine="0"/>
              <w:rPr>
                <w:rFonts w:eastAsia="Calibri"/>
                <w:sz w:val="22"/>
                <w:szCs w:val="22"/>
              </w:rPr>
            </w:pPr>
            <w:r w:rsidRPr="00362B8E">
              <w:rPr>
                <w:rFonts w:eastAsia="Calibri"/>
                <w:sz w:val="22"/>
                <w:szCs w:val="22"/>
              </w:rPr>
              <w:t xml:space="preserve">The goal of this </w:t>
            </w:r>
            <w:r w:rsidR="001F58C0">
              <w:rPr>
                <w:rFonts w:eastAsia="Calibri"/>
                <w:sz w:val="22"/>
                <w:szCs w:val="22"/>
              </w:rPr>
              <w:t xml:space="preserve">formative research </w:t>
            </w:r>
            <w:r w:rsidRPr="00362B8E">
              <w:rPr>
                <w:rFonts w:eastAsia="Calibri"/>
                <w:sz w:val="22"/>
                <w:szCs w:val="22"/>
              </w:rPr>
              <w:t xml:space="preserve">study is to </w:t>
            </w:r>
            <w:r w:rsidRPr="00767847" w:rsidR="00BE5F25">
              <w:rPr>
                <w:sz w:val="22"/>
                <w:szCs w:val="22"/>
              </w:rPr>
              <w:t>obtain an enhanced understanding of</w:t>
            </w:r>
            <w:r w:rsidRPr="00D33B65" w:rsidR="00BE5F25">
              <w:rPr>
                <w:szCs w:val="24"/>
              </w:rPr>
              <w:t xml:space="preserve"> </w:t>
            </w:r>
            <w:r w:rsidRPr="00362B8E">
              <w:rPr>
                <w:rFonts w:eastAsia="Calibri"/>
                <w:sz w:val="22"/>
                <w:szCs w:val="22"/>
              </w:rPr>
              <w:t>the effects of policies and evidence-based guidelines related to chronic pain management and opioid prescribing, including access to medications for opioid use disorder (MOUD), for patients and clinicians in primary care settings</w:t>
            </w:r>
            <w:r w:rsidR="004870C4">
              <w:rPr>
                <w:rFonts w:eastAsia="Calibri"/>
                <w:sz w:val="22"/>
                <w:szCs w:val="22"/>
              </w:rPr>
              <w:t xml:space="preserve"> among a diverse sample of health systems.</w:t>
            </w:r>
          </w:p>
          <w:p w:rsidR="00332B18" w:rsidP="00421ABA" w:rsidRDefault="00332B18" w14:paraId="734DCBCB" w14:textId="77777777">
            <w:pPr>
              <w:spacing w:line="240" w:lineRule="auto"/>
              <w:ind w:firstLine="0"/>
              <w:rPr>
                <w:sz w:val="22"/>
                <w:szCs w:val="22"/>
              </w:rPr>
            </w:pPr>
          </w:p>
          <w:p w:rsidR="71AC274B" w:rsidP="775A952C" w:rsidRDefault="71AC274B" w14:paraId="407221A4" w14:textId="77777777">
            <w:pPr>
              <w:spacing w:line="240" w:lineRule="auto"/>
              <w:ind w:firstLine="0"/>
              <w:rPr>
                <w:b/>
                <w:bCs/>
                <w:sz w:val="22"/>
                <w:szCs w:val="22"/>
              </w:rPr>
            </w:pPr>
            <w:r w:rsidRPr="775A952C">
              <w:rPr>
                <w:b/>
                <w:bCs/>
                <w:sz w:val="22"/>
                <w:szCs w:val="22"/>
              </w:rPr>
              <w:t>Intended Use of the Resulting Data</w:t>
            </w:r>
          </w:p>
          <w:p w:rsidRPr="00332B18" w:rsidR="00875ECD" w:rsidP="00421ABA" w:rsidRDefault="71AC274B" w14:paraId="7F566010" w14:textId="7515C023">
            <w:pPr>
              <w:spacing w:line="240" w:lineRule="auto"/>
              <w:ind w:firstLine="0"/>
            </w:pPr>
            <w:r w:rsidRPr="775A952C">
              <w:rPr>
                <w:sz w:val="22"/>
                <w:szCs w:val="22"/>
              </w:rPr>
              <w:t>The government will use this information collection to</w:t>
            </w:r>
            <w:r w:rsidR="0013281E">
              <w:rPr>
                <w:sz w:val="22"/>
                <w:szCs w:val="22"/>
              </w:rPr>
              <w:t xml:space="preserve"> inform efforts to enhance safety of opioid prescribing</w:t>
            </w:r>
            <w:r w:rsidR="006D2F31">
              <w:rPr>
                <w:sz w:val="22"/>
                <w:szCs w:val="22"/>
              </w:rPr>
              <w:t xml:space="preserve"> </w:t>
            </w:r>
            <w:r w:rsidR="0013281E">
              <w:rPr>
                <w:sz w:val="22"/>
                <w:szCs w:val="22"/>
              </w:rPr>
              <w:t>by</w:t>
            </w:r>
            <w:r w:rsidR="004870C4">
              <w:rPr>
                <w:sz w:val="22"/>
                <w:szCs w:val="22"/>
              </w:rPr>
              <w:t>:</w:t>
            </w:r>
            <w:r w:rsidRPr="775A952C">
              <w:rPr>
                <w:sz w:val="22"/>
                <w:szCs w:val="22"/>
              </w:rPr>
              <w:t xml:space="preserve"> (1) </w:t>
            </w:r>
            <w:r w:rsidR="008B46F9">
              <w:rPr>
                <w:sz w:val="22"/>
                <w:szCs w:val="22"/>
              </w:rPr>
              <w:t>obtain</w:t>
            </w:r>
            <w:r w:rsidR="0013281E">
              <w:rPr>
                <w:sz w:val="22"/>
                <w:szCs w:val="22"/>
              </w:rPr>
              <w:t>ing</w:t>
            </w:r>
            <w:r w:rsidRPr="775A952C" w:rsidR="008B46F9">
              <w:rPr>
                <w:sz w:val="22"/>
                <w:szCs w:val="22"/>
              </w:rPr>
              <w:t xml:space="preserve"> </w:t>
            </w:r>
            <w:r w:rsidRPr="775A952C">
              <w:rPr>
                <w:sz w:val="22"/>
                <w:szCs w:val="22"/>
              </w:rPr>
              <w:t>an enhanced understanding of facilitators and barriers to guideline-concordant management of chronic pain</w:t>
            </w:r>
            <w:r w:rsidR="00875ECD">
              <w:rPr>
                <w:sz w:val="22"/>
                <w:szCs w:val="22"/>
              </w:rPr>
              <w:t xml:space="preserve"> and </w:t>
            </w:r>
            <w:r w:rsidRPr="775A952C">
              <w:rPr>
                <w:sz w:val="22"/>
                <w:szCs w:val="22"/>
              </w:rPr>
              <w:t>opioid prescribing</w:t>
            </w:r>
            <w:r w:rsidR="004870C4">
              <w:rPr>
                <w:sz w:val="22"/>
                <w:szCs w:val="22"/>
              </w:rPr>
              <w:t xml:space="preserve"> (including access to MOUD)</w:t>
            </w:r>
            <w:r w:rsidRPr="775A952C">
              <w:rPr>
                <w:sz w:val="22"/>
                <w:szCs w:val="22"/>
              </w:rPr>
              <w:t xml:space="preserve"> at the health system level</w:t>
            </w:r>
            <w:r w:rsidR="004870C4">
              <w:rPr>
                <w:sz w:val="22"/>
                <w:szCs w:val="22"/>
              </w:rPr>
              <w:t xml:space="preserve">, in order </w:t>
            </w:r>
            <w:r w:rsidRPr="775A952C">
              <w:rPr>
                <w:sz w:val="22"/>
                <w:szCs w:val="22"/>
              </w:rPr>
              <w:t xml:space="preserve">to </w:t>
            </w:r>
            <w:r w:rsidRPr="775A952C" w:rsidR="004870C4">
              <w:rPr>
                <w:sz w:val="22"/>
                <w:szCs w:val="22"/>
              </w:rPr>
              <w:t>improve patient outcomes while maximizing patient safety</w:t>
            </w:r>
            <w:r w:rsidR="004870C4">
              <w:rPr>
                <w:sz w:val="22"/>
                <w:szCs w:val="22"/>
              </w:rPr>
              <w:t xml:space="preserve"> and</w:t>
            </w:r>
            <w:r w:rsidRPr="775A952C" w:rsidR="004870C4">
              <w:rPr>
                <w:sz w:val="22"/>
                <w:szCs w:val="22"/>
              </w:rPr>
              <w:t xml:space="preserve"> </w:t>
            </w:r>
            <w:r w:rsidR="004870C4">
              <w:rPr>
                <w:sz w:val="22"/>
                <w:szCs w:val="22"/>
              </w:rPr>
              <w:t xml:space="preserve">to </w:t>
            </w:r>
            <w:r w:rsidRPr="775A952C">
              <w:rPr>
                <w:sz w:val="22"/>
                <w:szCs w:val="22"/>
              </w:rPr>
              <w:t>facilitate uptake by clinicians and health systems</w:t>
            </w:r>
            <w:r w:rsidR="004870C4">
              <w:rPr>
                <w:sz w:val="22"/>
                <w:szCs w:val="22"/>
              </w:rPr>
              <w:t>,</w:t>
            </w:r>
            <w:r w:rsidRPr="775A952C">
              <w:rPr>
                <w:sz w:val="22"/>
                <w:szCs w:val="22"/>
              </w:rPr>
              <w:t xml:space="preserve"> (2) describ</w:t>
            </w:r>
            <w:r w:rsidR="0013281E">
              <w:rPr>
                <w:sz w:val="22"/>
                <w:szCs w:val="22"/>
              </w:rPr>
              <w:t>ing</w:t>
            </w:r>
            <w:r w:rsidRPr="775A952C">
              <w:rPr>
                <w:sz w:val="22"/>
                <w:szCs w:val="22"/>
              </w:rPr>
              <w:t xml:space="preserve"> unintended benefits and consequences to guideline/policy implementation, and (3) identify</w:t>
            </w:r>
            <w:r w:rsidR="0013281E">
              <w:rPr>
                <w:sz w:val="22"/>
                <w:szCs w:val="22"/>
              </w:rPr>
              <w:t>ing</w:t>
            </w:r>
            <w:r w:rsidRPr="775A952C">
              <w:rPr>
                <w:sz w:val="22"/>
                <w:szCs w:val="22"/>
              </w:rPr>
              <w:t xml:space="preserve"> racial and ethnic disparities in</w:t>
            </w:r>
            <w:r w:rsidR="00875ECD">
              <w:rPr>
                <w:sz w:val="22"/>
                <w:szCs w:val="22"/>
              </w:rPr>
              <w:t xml:space="preserve"> guideline/policy implementation</w:t>
            </w:r>
            <w:r w:rsidR="004870C4">
              <w:rPr>
                <w:sz w:val="22"/>
                <w:szCs w:val="22"/>
              </w:rPr>
              <w:t>.</w:t>
            </w:r>
            <w:r w:rsidR="00875ECD">
              <w:rPr>
                <w:sz w:val="22"/>
                <w:szCs w:val="22"/>
              </w:rPr>
              <w:t xml:space="preserve"> </w:t>
            </w:r>
            <w:r w:rsidRPr="775A952C">
              <w:rPr>
                <w:sz w:val="22"/>
                <w:szCs w:val="22"/>
              </w:rPr>
              <w:t xml:space="preserve"> </w:t>
            </w:r>
          </w:p>
          <w:p w:rsidR="775A952C" w:rsidP="775A952C" w:rsidRDefault="775A952C" w14:paraId="113F144E" w14:textId="6F278A99">
            <w:pPr>
              <w:spacing w:line="240" w:lineRule="auto"/>
              <w:ind w:firstLine="0"/>
              <w:rPr>
                <w:sz w:val="22"/>
                <w:szCs w:val="22"/>
              </w:rPr>
            </w:pPr>
          </w:p>
          <w:p w:rsidR="3339DF76" w:rsidP="775A952C" w:rsidRDefault="3339DF76" w14:paraId="606AC5B6" w14:textId="77777777">
            <w:pPr>
              <w:spacing w:line="240" w:lineRule="auto"/>
              <w:ind w:firstLine="0"/>
              <w:rPr>
                <w:b/>
                <w:bCs/>
                <w:sz w:val="22"/>
                <w:szCs w:val="22"/>
              </w:rPr>
            </w:pPr>
            <w:r w:rsidRPr="775A952C">
              <w:rPr>
                <w:b/>
                <w:bCs/>
                <w:sz w:val="22"/>
                <w:szCs w:val="22"/>
              </w:rPr>
              <w:t>Methods to be Used to Collect Data</w:t>
            </w:r>
          </w:p>
          <w:p w:rsidR="3339DF76" w:rsidP="775A952C" w:rsidRDefault="3339DF76" w14:paraId="67CDDA1E" w14:textId="01A44E37">
            <w:pPr>
              <w:spacing w:after="120" w:line="240" w:lineRule="auto"/>
              <w:ind w:firstLine="0"/>
              <w:rPr>
                <w:sz w:val="22"/>
                <w:szCs w:val="22"/>
              </w:rPr>
            </w:pPr>
            <w:r w:rsidRPr="775A952C">
              <w:rPr>
                <w:sz w:val="22"/>
                <w:szCs w:val="22"/>
              </w:rPr>
              <w:t>Primary data collection methods will include qualitative data from (1) surveys of primary care clinicians and patients, (2) interviews with health system leaders, (3) group interviews with patients, caregivers, clinicians, and staff for case studies, and (4) member checking</w:t>
            </w:r>
            <w:r w:rsidR="00362B8E">
              <w:rPr>
                <w:sz w:val="22"/>
                <w:szCs w:val="22"/>
              </w:rPr>
              <w:t>, or validation,</w:t>
            </w:r>
            <w:r w:rsidRPr="775A952C">
              <w:rPr>
                <w:sz w:val="22"/>
                <w:szCs w:val="22"/>
              </w:rPr>
              <w:t xml:space="preserve"> sessions with health system leaders, administrators, and staff.</w:t>
            </w:r>
          </w:p>
          <w:p w:rsidR="775A952C" w:rsidP="0078551A" w:rsidRDefault="3339DF76" w14:paraId="49B5741E" w14:textId="52DBD93C">
            <w:pPr>
              <w:spacing w:after="120" w:line="240" w:lineRule="auto"/>
              <w:ind w:firstLine="0"/>
              <w:rPr>
                <w:b/>
                <w:bCs/>
                <w:sz w:val="22"/>
                <w:szCs w:val="22"/>
              </w:rPr>
            </w:pPr>
            <w:r w:rsidRPr="775A952C">
              <w:rPr>
                <w:sz w:val="22"/>
                <w:szCs w:val="22"/>
              </w:rPr>
              <w:t>Secondary data from health system electronic health records (EHRs) will provide longitudinal quality improvement (QI) measure data before and after guideline/policy implementation.</w:t>
            </w:r>
          </w:p>
          <w:p w:rsidR="3339DF76" w:rsidP="775A952C" w:rsidRDefault="3339DF76" w14:paraId="4CECA7E4" w14:textId="7F10C4B7">
            <w:pPr>
              <w:spacing w:line="240" w:lineRule="auto"/>
              <w:ind w:firstLine="0"/>
              <w:rPr>
                <w:b/>
                <w:bCs/>
                <w:sz w:val="22"/>
                <w:szCs w:val="22"/>
              </w:rPr>
            </w:pPr>
            <w:r w:rsidRPr="775A952C">
              <w:rPr>
                <w:b/>
                <w:bCs/>
                <w:sz w:val="22"/>
                <w:szCs w:val="22"/>
              </w:rPr>
              <w:t xml:space="preserve">The Subpopulation to be Studied </w:t>
            </w:r>
          </w:p>
          <w:p w:rsidR="3339DF76" w:rsidP="775A952C" w:rsidRDefault="3339DF76" w14:paraId="7341675C" w14:textId="70D33705">
            <w:pPr>
              <w:spacing w:line="240" w:lineRule="auto"/>
              <w:ind w:firstLine="0"/>
              <w:rPr>
                <w:sz w:val="22"/>
                <w:szCs w:val="22"/>
              </w:rPr>
            </w:pPr>
            <w:r w:rsidRPr="775A952C">
              <w:rPr>
                <w:sz w:val="22"/>
                <w:szCs w:val="22"/>
              </w:rPr>
              <w:t xml:space="preserve">The subpopulation to be studied includes 1) patients age 18 years </w:t>
            </w:r>
            <w:r w:rsidR="00F15210">
              <w:rPr>
                <w:sz w:val="22"/>
                <w:szCs w:val="22"/>
              </w:rPr>
              <w:t xml:space="preserve">and older </w:t>
            </w:r>
            <w:r w:rsidRPr="775A952C">
              <w:rPr>
                <w:sz w:val="22"/>
                <w:szCs w:val="22"/>
              </w:rPr>
              <w:t xml:space="preserve">with chronic pain who currently or previously have been prescribed long-term opioid therapy (LTOT), in primary care, outpatient settings (excluding active cancer, palliative, and end of life care situations), and 2) primary care clinicians, staff, and health system leaders affiliated with a </w:t>
            </w:r>
            <w:r w:rsidR="00E43411">
              <w:rPr>
                <w:sz w:val="22"/>
                <w:szCs w:val="22"/>
              </w:rPr>
              <w:t>diverse</w:t>
            </w:r>
            <w:r w:rsidRPr="775A952C">
              <w:rPr>
                <w:sz w:val="22"/>
                <w:szCs w:val="22"/>
              </w:rPr>
              <w:t xml:space="preserve"> sample of participating AMGA (American Medical Group Association) member health systems.</w:t>
            </w:r>
          </w:p>
          <w:p w:rsidR="775A952C" w:rsidP="775A952C" w:rsidRDefault="775A952C" w14:paraId="5A3EC88A" w14:textId="136E444F">
            <w:pPr>
              <w:spacing w:line="240" w:lineRule="auto"/>
              <w:ind w:firstLine="0"/>
              <w:rPr>
                <w:sz w:val="22"/>
                <w:szCs w:val="22"/>
              </w:rPr>
            </w:pPr>
          </w:p>
          <w:p w:rsidR="3DC323A9" w:rsidP="775A952C" w:rsidRDefault="3DC323A9" w14:paraId="31B281A7" w14:textId="77777777">
            <w:pPr>
              <w:spacing w:line="240" w:lineRule="auto"/>
              <w:ind w:firstLine="0"/>
              <w:rPr>
                <w:b/>
                <w:bCs/>
                <w:sz w:val="22"/>
                <w:szCs w:val="22"/>
              </w:rPr>
            </w:pPr>
            <w:r w:rsidRPr="775A952C">
              <w:rPr>
                <w:b/>
                <w:bCs/>
                <w:sz w:val="22"/>
                <w:szCs w:val="22"/>
              </w:rPr>
              <w:t>How Data will be Analyzed</w:t>
            </w:r>
          </w:p>
          <w:p w:rsidR="3DC323A9" w:rsidP="775A952C" w:rsidRDefault="3DC323A9" w14:paraId="03598685" w14:textId="5438E959">
            <w:pPr>
              <w:tabs>
                <w:tab w:val="left" w:pos="360"/>
              </w:tabs>
              <w:spacing w:after="180" w:line="240" w:lineRule="auto"/>
              <w:ind w:firstLine="0"/>
              <w:rPr>
                <w:b/>
                <w:bCs/>
                <w:sz w:val="22"/>
                <w:szCs w:val="22"/>
              </w:rPr>
            </w:pPr>
            <w:r w:rsidRPr="775A952C">
              <w:rPr>
                <w:i/>
                <w:iCs/>
                <w:sz w:val="22"/>
                <w:szCs w:val="22"/>
              </w:rPr>
              <w:t xml:space="preserve">Survey Analysis: </w:t>
            </w:r>
            <w:r w:rsidRPr="775A952C">
              <w:rPr>
                <w:sz w:val="22"/>
                <w:szCs w:val="22"/>
              </w:rPr>
              <w:t xml:space="preserve">Univariate statistics across systems will be performed on survey data, including means, medians, and standard deviations. Distributions of continuous variables will be plotted and frequency tables created. We will code responses to open-ended survey questions thematically; describe common themes, along with demonstrative examples of responses of each theme; and stratify analyses by geographic region, clinician type, and system. </w:t>
            </w:r>
          </w:p>
          <w:p w:rsidR="3DC323A9" w:rsidP="775A952C" w:rsidRDefault="3DC323A9" w14:paraId="5B74ACE3" w14:textId="77777777">
            <w:pPr>
              <w:tabs>
                <w:tab w:val="left" w:pos="360"/>
              </w:tabs>
              <w:spacing w:after="180" w:line="240" w:lineRule="auto"/>
              <w:ind w:firstLine="0"/>
              <w:rPr>
                <w:sz w:val="22"/>
                <w:szCs w:val="22"/>
              </w:rPr>
            </w:pPr>
            <w:r w:rsidRPr="775A952C">
              <w:rPr>
                <w:i/>
                <w:iCs/>
                <w:sz w:val="22"/>
                <w:szCs w:val="22"/>
              </w:rPr>
              <w:t xml:space="preserve">Qualitative Synthesis and Analysis: </w:t>
            </w:r>
            <w:r w:rsidRPr="775A952C">
              <w:rPr>
                <w:sz w:val="22"/>
                <w:szCs w:val="22"/>
              </w:rPr>
              <w:t xml:space="preserve">Qualitative data from the process evaluation will be reviewed and coded to identify themes and contextualize the quantitative data. All qualitative data will be coded and analyzed using Nvivo qualitative analytic software. Codebook development will be iterative and include deductive codes. </w:t>
            </w:r>
          </w:p>
          <w:p w:rsidR="3DC323A9" w:rsidP="775A952C" w:rsidRDefault="3DC323A9" w14:paraId="7C3E00BC" w14:textId="2C97DFF8">
            <w:pPr>
              <w:tabs>
                <w:tab w:val="left" w:pos="360"/>
              </w:tabs>
              <w:spacing w:after="180" w:line="240" w:lineRule="auto"/>
              <w:ind w:firstLine="0"/>
              <w:rPr>
                <w:sz w:val="22"/>
                <w:szCs w:val="22"/>
              </w:rPr>
            </w:pPr>
            <w:r w:rsidRPr="775A952C">
              <w:rPr>
                <w:i/>
                <w:iCs/>
                <w:sz w:val="22"/>
                <w:szCs w:val="22"/>
              </w:rPr>
              <w:t xml:space="preserve">Secondary EHR Data Analysis: </w:t>
            </w:r>
            <w:r w:rsidRPr="775A952C">
              <w:rPr>
                <w:sz w:val="22"/>
                <w:szCs w:val="22"/>
              </w:rPr>
              <w:t>The study will use quantitative methods such as odds ratio to measure health system variation in QI measure change and their significance over time.</w:t>
            </w:r>
          </w:p>
        </w:tc>
      </w:tr>
    </w:tbl>
    <w:p w:rsidRPr="00D22AD2" w:rsidR="00D16408" w:rsidP="638EFA93" w:rsidRDefault="00D16408" w14:paraId="24075BAA" w14:textId="46ABFBE1">
      <w:pPr>
        <w:pStyle w:val="Heading2"/>
        <w:tabs>
          <w:tab w:val="clear" w:pos="432"/>
        </w:tabs>
        <w:ind w:left="0" w:firstLine="0"/>
        <w:rPr>
          <w:rFonts w:eastAsiaTheme="minorEastAsia"/>
        </w:rPr>
      </w:pPr>
      <w:bookmarkStart w:name="_SUMMARY_TABLE" w:id="7"/>
      <w:bookmarkEnd w:id="6"/>
      <w:bookmarkEnd w:id="7"/>
      <w:r w:rsidRPr="638EFA93">
        <w:rPr>
          <w:rFonts w:eastAsiaTheme="minorEastAsia"/>
        </w:rPr>
        <w:lastRenderedPageBreak/>
        <w:t>A.1.</w:t>
      </w:r>
      <w:r>
        <w:tab/>
      </w:r>
      <w:bookmarkStart w:name="_Hlk80800340" w:id="8"/>
      <w:r w:rsidRPr="638EFA93">
        <w:rPr>
          <w:rFonts w:eastAsiaTheme="minorEastAsia"/>
        </w:rPr>
        <w:t>Circumstances Making the Collection of Information Necessary</w:t>
      </w:r>
    </w:p>
    <w:p w:rsidRPr="00A153A9" w:rsidR="004B119D" w:rsidP="00137112" w:rsidRDefault="00C67EB1" w14:paraId="7E8F045A" w14:textId="269B5920">
      <w:pPr>
        <w:pStyle w:val="BodyText1"/>
        <w:spacing w:line="240" w:lineRule="auto"/>
        <w:ind w:firstLine="0"/>
        <w:rPr>
          <w:rFonts w:eastAsia="Batang"/>
        </w:rPr>
      </w:pPr>
      <w:r>
        <w:t xml:space="preserve">The Centers for Disease Control and Prevention (CDC) requests Office of Management and Budget (OMB) approval for three years for this </w:t>
      </w:r>
      <w:r w:rsidR="00DC55CE">
        <w:t>N</w:t>
      </w:r>
      <w:r>
        <w:t xml:space="preserve">ew </w:t>
      </w:r>
      <w:r w:rsidR="00D34DBE">
        <w:t xml:space="preserve">information </w:t>
      </w:r>
      <w:r>
        <w:t xml:space="preserve">collection, </w:t>
      </w:r>
      <w:r w:rsidR="002F17CE">
        <w:t>“</w:t>
      </w:r>
      <w:r w:rsidRPr="002923BE" w:rsidR="002923BE">
        <w:t>Understanding Health System Approaches to Chronic Pain Management</w:t>
      </w:r>
      <w:r w:rsidR="006E5E5B">
        <w:t>.</w:t>
      </w:r>
      <w:r w:rsidR="002F17CE">
        <w:t>”</w:t>
      </w:r>
      <w:r w:rsidRPr="5AF474FE" w:rsidR="6F808739">
        <w:rPr>
          <w:rFonts w:eastAsia="Batang"/>
        </w:rPr>
        <w:t xml:space="preserve"> </w:t>
      </w:r>
    </w:p>
    <w:p w:rsidR="00AE3BB6" w:rsidP="006410A9" w:rsidRDefault="004B119D" w14:paraId="16A29EE1" w14:textId="73E1F95C">
      <w:pPr>
        <w:spacing w:after="200" w:line="240" w:lineRule="auto"/>
        <w:ind w:firstLine="0"/>
        <w:rPr>
          <w:szCs w:val="24"/>
        </w:rPr>
      </w:pPr>
      <w:r w:rsidRPr="004B119D">
        <w:rPr>
          <w:rFonts w:eastAsia="Calibri"/>
          <w:szCs w:val="24"/>
        </w:rPr>
        <w:t xml:space="preserve">The goal of this </w:t>
      </w:r>
      <w:r w:rsidR="00891640">
        <w:rPr>
          <w:rFonts w:eastAsia="Calibri"/>
          <w:szCs w:val="24"/>
        </w:rPr>
        <w:t>formative research</w:t>
      </w:r>
      <w:r w:rsidR="00CD7CFB">
        <w:rPr>
          <w:rFonts w:eastAsia="Calibri"/>
          <w:szCs w:val="24"/>
        </w:rPr>
        <w:t xml:space="preserve"> study</w:t>
      </w:r>
      <w:r w:rsidRPr="004B119D" w:rsidR="00891640">
        <w:rPr>
          <w:rFonts w:eastAsia="Calibri"/>
          <w:szCs w:val="24"/>
        </w:rPr>
        <w:t xml:space="preserve"> </w:t>
      </w:r>
      <w:r w:rsidRPr="004B119D">
        <w:rPr>
          <w:rFonts w:eastAsia="Calibri"/>
          <w:szCs w:val="24"/>
        </w:rPr>
        <w:t xml:space="preserve">is to </w:t>
      </w:r>
      <w:r w:rsidRPr="00D33B65" w:rsidR="00BE5F25">
        <w:rPr>
          <w:szCs w:val="24"/>
        </w:rPr>
        <w:t xml:space="preserve">obtain an enhanced understanding of </w:t>
      </w:r>
      <w:r w:rsidRPr="004B119D" w:rsidR="009536B1">
        <w:rPr>
          <w:rFonts w:eastAsia="Calibri"/>
          <w:szCs w:val="24"/>
        </w:rPr>
        <w:t>the</w:t>
      </w:r>
      <w:r w:rsidRPr="004B119D">
        <w:rPr>
          <w:rFonts w:eastAsia="Calibri"/>
          <w:szCs w:val="24"/>
        </w:rPr>
        <w:t xml:space="preserve"> effects of policies and evidence-based guidelines</w:t>
      </w:r>
      <w:r w:rsidR="00E37AE3">
        <w:rPr>
          <w:rFonts w:eastAsia="Calibri"/>
          <w:szCs w:val="24"/>
        </w:rPr>
        <w:t xml:space="preserve"> </w:t>
      </w:r>
      <w:r w:rsidRPr="004B119D">
        <w:rPr>
          <w:rFonts w:eastAsia="Calibri"/>
          <w:szCs w:val="24"/>
        </w:rPr>
        <w:t>related to chronic pain management and opioid prescribing including access to medications for opioid use disorder (MOUD), for patients and clinicians in primary care settings among a diverse sample of health systems.</w:t>
      </w:r>
      <w:bookmarkStart w:name="_Hlk80622123" w:id="9"/>
      <w:bookmarkEnd w:id="8"/>
    </w:p>
    <w:p w:rsidRPr="00D33B65" w:rsidR="00D33B65" w:rsidP="00D33B65" w:rsidRDefault="00D33B65" w14:paraId="42EEF438" w14:textId="3F283CC0">
      <w:pPr>
        <w:spacing w:line="240" w:lineRule="auto"/>
        <w:ind w:firstLine="0"/>
        <w:rPr>
          <w:szCs w:val="24"/>
        </w:rPr>
      </w:pPr>
      <w:r w:rsidRPr="00D33B65">
        <w:rPr>
          <w:szCs w:val="24"/>
        </w:rPr>
        <w:t xml:space="preserve">The government will use this information collection to enhance safety of opioid prescribing </w:t>
      </w:r>
      <w:r w:rsidR="0011255C">
        <w:rPr>
          <w:szCs w:val="24"/>
        </w:rPr>
        <w:t xml:space="preserve">efforts </w:t>
      </w:r>
      <w:r w:rsidR="004D5211">
        <w:rPr>
          <w:szCs w:val="24"/>
        </w:rPr>
        <w:t xml:space="preserve">among similar health systems </w:t>
      </w:r>
      <w:r w:rsidRPr="00D33B65">
        <w:rPr>
          <w:szCs w:val="24"/>
        </w:rPr>
        <w:t xml:space="preserve">by: </w:t>
      </w:r>
    </w:p>
    <w:p w:rsidRPr="00D33B65" w:rsidR="00D33B65" w:rsidP="00D33B65" w:rsidRDefault="00D33B65" w14:paraId="2EDA0611" w14:textId="05AF752F">
      <w:pPr>
        <w:pStyle w:val="ListParagraph"/>
        <w:numPr>
          <w:ilvl w:val="0"/>
          <w:numId w:val="30"/>
        </w:numPr>
        <w:spacing w:line="240" w:lineRule="auto"/>
        <w:rPr>
          <w:rFonts w:ascii="Times New Roman" w:hAnsi="Times New Roman" w:eastAsia="Times New Roman" w:cs="Times New Roman"/>
          <w:sz w:val="24"/>
          <w:szCs w:val="24"/>
        </w:rPr>
      </w:pPr>
      <w:bookmarkStart w:name="_Hlk81304605" w:id="10"/>
      <w:r>
        <w:rPr>
          <w:rFonts w:ascii="Times New Roman" w:hAnsi="Times New Roman" w:cs="Times New Roman"/>
          <w:sz w:val="24"/>
          <w:szCs w:val="24"/>
        </w:rPr>
        <w:t xml:space="preserve">(1) </w:t>
      </w:r>
      <w:r w:rsidRPr="00D33B65">
        <w:rPr>
          <w:rFonts w:ascii="Times New Roman" w:hAnsi="Times New Roman" w:cs="Times New Roman"/>
          <w:sz w:val="24"/>
          <w:szCs w:val="24"/>
        </w:rPr>
        <w:t>obtaining an enhanced understanding of facilitators and barriers to guideline-concordant management of chronic pain and opioid prescribing (including access to MOUD) at the health system level, in order to improve patient outcomes while maximizing patient safety and to facilitate uptake by clinicians and health systems</w:t>
      </w:r>
      <w:r w:rsidR="0011255C">
        <w:rPr>
          <w:rFonts w:ascii="Times New Roman" w:hAnsi="Times New Roman" w:cs="Times New Roman"/>
          <w:sz w:val="24"/>
          <w:szCs w:val="24"/>
        </w:rPr>
        <w:t>;</w:t>
      </w:r>
      <w:r w:rsidRPr="00D33B65">
        <w:rPr>
          <w:rFonts w:ascii="Times New Roman" w:hAnsi="Times New Roman" w:cs="Times New Roman"/>
          <w:sz w:val="24"/>
          <w:szCs w:val="24"/>
        </w:rPr>
        <w:t xml:space="preserve"> </w:t>
      </w:r>
    </w:p>
    <w:p w:rsidRPr="00C4186B" w:rsidR="00C4186B" w:rsidP="00D33B65" w:rsidRDefault="00D33B65" w14:paraId="5B837422" w14:textId="372F40F9">
      <w:pPr>
        <w:pStyle w:val="ListParagraph"/>
        <w:numPr>
          <w:ilvl w:val="0"/>
          <w:numId w:val="30"/>
        </w:numPr>
        <w:spacing w:line="240" w:lineRule="auto"/>
        <w:rPr>
          <w:color w:val="000000" w:themeColor="text1"/>
        </w:rPr>
      </w:pPr>
      <w:r>
        <w:rPr>
          <w:rFonts w:ascii="Times New Roman" w:hAnsi="Times New Roman" w:cs="Times New Roman"/>
          <w:sz w:val="24"/>
          <w:szCs w:val="24"/>
        </w:rPr>
        <w:t>(</w:t>
      </w:r>
      <w:r w:rsidRPr="00D33B65">
        <w:rPr>
          <w:rFonts w:ascii="Times New Roman" w:hAnsi="Times New Roman" w:cs="Times New Roman"/>
          <w:sz w:val="24"/>
          <w:szCs w:val="24"/>
        </w:rPr>
        <w:t>2) describing unintended benefits and consequences to guideline/policy implementation</w:t>
      </w:r>
      <w:r w:rsidR="0011255C">
        <w:rPr>
          <w:rFonts w:ascii="Times New Roman" w:hAnsi="Times New Roman" w:cs="Times New Roman"/>
          <w:sz w:val="24"/>
          <w:szCs w:val="24"/>
        </w:rPr>
        <w:t>;</w:t>
      </w:r>
      <w:r w:rsidRPr="00D33B65">
        <w:rPr>
          <w:rFonts w:ascii="Times New Roman" w:hAnsi="Times New Roman" w:cs="Times New Roman"/>
          <w:sz w:val="24"/>
          <w:szCs w:val="24"/>
        </w:rPr>
        <w:t xml:space="preserve"> and </w:t>
      </w:r>
    </w:p>
    <w:p w:rsidRPr="00B16469" w:rsidR="00C4186B" w:rsidP="00B16469" w:rsidRDefault="00D33B65" w14:paraId="45134BC5" w14:textId="073AE4A6">
      <w:pPr>
        <w:pStyle w:val="ListParagraph"/>
        <w:numPr>
          <w:ilvl w:val="0"/>
          <w:numId w:val="30"/>
        </w:numPr>
        <w:spacing w:line="240" w:lineRule="auto"/>
        <w:rPr>
          <w:color w:val="000000" w:themeColor="text1"/>
        </w:rPr>
      </w:pPr>
      <w:r w:rsidRPr="00C4186B">
        <w:rPr>
          <w:rFonts w:ascii="Times New Roman" w:hAnsi="Times New Roman" w:cs="Times New Roman"/>
          <w:sz w:val="24"/>
          <w:szCs w:val="24"/>
        </w:rPr>
        <w:t>(3) identifying racial and ethnic disparities in guideline/policy implementation</w:t>
      </w:r>
      <w:r w:rsidR="004D5211">
        <w:rPr>
          <w:rFonts w:ascii="Times New Roman" w:hAnsi="Times New Roman" w:cs="Times New Roman"/>
          <w:sz w:val="24"/>
          <w:szCs w:val="24"/>
        </w:rPr>
        <w:t>.</w:t>
      </w:r>
      <w:bookmarkEnd w:id="9"/>
      <w:bookmarkEnd w:id="10"/>
    </w:p>
    <w:p w:rsidR="00BC5358" w:rsidP="00F2029D" w:rsidRDefault="78AE63AF" w14:paraId="5DE46597" w14:textId="1D182802">
      <w:pPr>
        <w:pStyle w:val="BodyText1"/>
        <w:spacing w:line="240" w:lineRule="auto"/>
        <w:ind w:firstLine="0"/>
      </w:pPr>
      <w:r w:rsidRPr="00C4186B">
        <w:rPr>
          <w:color w:val="000000" w:themeColor="text1"/>
        </w:rPr>
        <w:t>Since 1999, nearly 841,000 people have died from drug overdose in the United States</w:t>
      </w:r>
      <w:r w:rsidRPr="00C4186B" w:rsidR="00135DC6">
        <w:rPr>
          <w:color w:val="000000" w:themeColor="text1"/>
        </w:rPr>
        <w:t>.</w:t>
      </w:r>
      <w:r w:rsidR="00135DC6">
        <w:rPr>
          <w:rStyle w:val="FootnoteReference"/>
        </w:rPr>
        <w:footnoteReference w:id="2"/>
      </w:r>
      <w:r w:rsidRPr="009E0832">
        <w:rPr>
          <w:color w:val="000000" w:themeColor="text1"/>
        </w:rPr>
        <w:t xml:space="preserve">  Over 70% of drug overdose deaths in 2019 involved an opioid</w:t>
      </w:r>
      <w:r w:rsidRPr="009E0832" w:rsidR="00135DC6">
        <w:rPr>
          <w:color w:val="000000" w:themeColor="text1"/>
        </w:rPr>
        <w:t>.</w:t>
      </w:r>
      <w:r w:rsidR="00135DC6">
        <w:rPr>
          <w:rStyle w:val="FootnoteReference"/>
        </w:rPr>
        <w:footnoteReference w:id="3"/>
      </w:r>
      <w:r w:rsidRPr="009E0832">
        <w:rPr>
          <w:color w:val="000000" w:themeColor="text1"/>
        </w:rPr>
        <w:t xml:space="preserve"> From 1999 to 2019, nearly 247,000 people died in the United States from overdoses involving prescription opioids, with rates of deaths involving prescription opioids more than quadrupling from 1999 to 2019</w:t>
      </w:r>
      <w:r w:rsidRPr="009E0832" w:rsidR="00135DC6">
        <w:rPr>
          <w:color w:val="000000" w:themeColor="text1"/>
        </w:rPr>
        <w:t>.</w:t>
      </w:r>
      <w:r w:rsidR="00135DC6">
        <w:rPr>
          <w:rStyle w:val="FootnoteReference"/>
        </w:rPr>
        <w:footnoteReference w:id="4"/>
      </w:r>
      <w:r w:rsidRPr="009E0832">
        <w:rPr>
          <w:color w:val="000000" w:themeColor="text1"/>
        </w:rPr>
        <w:t xml:space="preserve"> </w:t>
      </w:r>
      <w:bookmarkStart w:name="_Hlk79411834" w:id="11"/>
      <w:r w:rsidR="7FABFE98">
        <w:t>In response, a</w:t>
      </w:r>
      <w:r w:rsidR="46832066">
        <w:t xml:space="preserve"> range of clinical practice guidelines, policies, and regulations have been released in recent years to address the opioid </w:t>
      </w:r>
      <w:r w:rsidR="57F55551">
        <w:t>overdose epidemic</w:t>
      </w:r>
      <w:r w:rsidR="00BC5358">
        <w:t xml:space="preserve"> (Attachment L). </w:t>
      </w:r>
      <w:r w:rsidR="7011224C">
        <w:t xml:space="preserve"> </w:t>
      </w:r>
      <w:bookmarkEnd w:id="11"/>
    </w:p>
    <w:p w:rsidR="00286072" w:rsidP="00F2029D" w:rsidRDefault="6B4D2052" w14:paraId="7EC644C5" w14:textId="7295B653">
      <w:pPr>
        <w:pStyle w:val="BodyText1"/>
        <w:spacing w:line="240" w:lineRule="auto"/>
        <w:ind w:firstLine="0"/>
      </w:pPr>
      <w:r>
        <w:t>To design</w:t>
      </w:r>
      <w:r w:rsidR="5726FB21">
        <w:t xml:space="preserve"> this</w:t>
      </w:r>
      <w:r>
        <w:t xml:space="preserve"> </w:t>
      </w:r>
      <w:r w:rsidR="001F58C0">
        <w:t>formative research study</w:t>
      </w:r>
      <w:r w:rsidR="180220F1">
        <w:t xml:space="preserve">, </w:t>
      </w:r>
      <w:r>
        <w:t xml:space="preserve">we </w:t>
      </w:r>
      <w:r w:rsidR="180220F1">
        <w:t xml:space="preserve">previously </w:t>
      </w:r>
      <w:r>
        <w:t xml:space="preserve">conducted </w:t>
      </w:r>
      <w:r w:rsidR="00BC5358">
        <w:t>an</w:t>
      </w:r>
      <w:r>
        <w:t xml:space="preserve"> exploratory </w:t>
      </w:r>
      <w:r w:rsidR="675A74AC">
        <w:t>work</w:t>
      </w:r>
      <w:r w:rsidR="00BC5358">
        <w:t xml:space="preserve">  </w:t>
      </w:r>
      <w:r w:rsidR="675A74AC">
        <w:t>of health systems</w:t>
      </w:r>
      <w:r w:rsidR="00AD1B47">
        <w:t xml:space="preserve"> </w:t>
      </w:r>
      <w:r w:rsidR="1857143E">
        <w:t>via surveys</w:t>
      </w:r>
      <w:r w:rsidR="72D6725A">
        <w:t xml:space="preserve"> </w:t>
      </w:r>
      <w:r w:rsidR="675A74AC">
        <w:t xml:space="preserve">to </w:t>
      </w:r>
      <w:r w:rsidR="1CED6ED9">
        <w:t>determine</w:t>
      </w:r>
      <w:r w:rsidR="675A74AC">
        <w:t xml:space="preserve"> the range of policies and guidelines being implemented</w:t>
      </w:r>
      <w:r w:rsidR="11D1255B">
        <w:t xml:space="preserve"> by health systems,</w:t>
      </w:r>
      <w:r w:rsidR="675A74AC">
        <w:t xml:space="preserve"> </w:t>
      </w:r>
      <w:r w:rsidR="72D6725A">
        <w:t>followed by</w:t>
      </w:r>
      <w:r w:rsidR="675A74AC">
        <w:t xml:space="preserve"> an </w:t>
      </w:r>
      <w:r w:rsidR="72D6725A">
        <w:t>“</w:t>
      </w:r>
      <w:r w:rsidR="675A74AC">
        <w:t>evaluability assessment</w:t>
      </w:r>
      <w:r w:rsidR="72D6725A">
        <w:t>”</w:t>
      </w:r>
      <w:r w:rsidR="675A74AC">
        <w:t xml:space="preserve"> by means of interviews with leaders </w:t>
      </w:r>
      <w:r w:rsidR="63F0E69B">
        <w:t xml:space="preserve">of </w:t>
      </w:r>
      <w:r w:rsidR="2EB0F5C2">
        <w:t xml:space="preserve">nine </w:t>
      </w:r>
      <w:r w:rsidR="675A74AC">
        <w:t>health systems</w:t>
      </w:r>
      <w:r w:rsidR="00BC5358">
        <w:t>. B</w:t>
      </w:r>
      <w:r w:rsidR="0011255C">
        <w:t xml:space="preserve">oth </w:t>
      </w:r>
      <w:r w:rsidR="00BC5358">
        <w:t xml:space="preserve">projects are </w:t>
      </w:r>
      <w:r w:rsidR="675A74AC">
        <w:t>described</w:t>
      </w:r>
      <w:r w:rsidR="00C660CA">
        <w:t xml:space="preserve"> </w:t>
      </w:r>
      <w:r w:rsidR="00BC5358">
        <w:t>in attachment L</w:t>
      </w:r>
      <w:r w:rsidR="675A74AC">
        <w:t>.</w:t>
      </w:r>
      <w:r w:rsidR="003C6CB7">
        <w:t xml:space="preserve">  </w:t>
      </w:r>
      <w:r w:rsidRPr="003C6CB7" w:rsidR="003C6CB7">
        <w:t xml:space="preserve">For the purposes of this </w:t>
      </w:r>
      <w:r w:rsidR="00BC5358">
        <w:t>request</w:t>
      </w:r>
      <w:r w:rsidRPr="003C6CB7" w:rsidR="003C6CB7">
        <w:t>, “chronic pain management policies/guidelines” refers to policies</w:t>
      </w:r>
      <w:r w:rsidR="00BC5358">
        <w:t xml:space="preserve"> and </w:t>
      </w:r>
      <w:r w:rsidRPr="003C6CB7" w:rsidR="003C6CB7">
        <w:t>guidelines that may include prescribing of opioid medications, nonpharmacologic therapies, and/or non-opioid medications for chronic pain, as well as OUD assessment and treatment.</w:t>
      </w:r>
    </w:p>
    <w:p w:rsidR="761A9720" w:rsidP="00F2029D" w:rsidRDefault="761A9720" w14:paraId="02418622" w14:textId="1BE8B9EE">
      <w:pPr>
        <w:pStyle w:val="BodyText1"/>
        <w:spacing w:line="240" w:lineRule="auto"/>
        <w:ind w:firstLine="0"/>
        <w:rPr>
          <w:szCs w:val="24"/>
        </w:rPr>
      </w:pPr>
    </w:p>
    <w:p w:rsidR="0054469D" w:rsidP="00115378" w:rsidRDefault="0054469D" w14:paraId="59B35D31" w14:textId="7A9EFE40">
      <w:pPr>
        <w:pStyle w:val="BodyText1"/>
        <w:spacing w:line="240" w:lineRule="auto"/>
        <w:ind w:firstLine="0"/>
        <w:rPr>
          <w:szCs w:val="24"/>
        </w:rPr>
      </w:pPr>
      <w:r w:rsidRPr="5AF474FE">
        <w:rPr>
          <w:rFonts w:eastAsia="Batang"/>
        </w:rPr>
        <w:t>This data collection effort is authorized under Section 301 of the Public Health Service Act (42 U.S.C. 241) 280-1a</w:t>
      </w:r>
      <w:r w:rsidRPr="5AF474FE">
        <w:rPr>
          <w:rFonts w:eastAsia="Batang"/>
          <w:i/>
          <w:iCs/>
        </w:rPr>
        <w:t xml:space="preserve"> </w:t>
      </w:r>
      <w:r w:rsidR="0011255C">
        <w:rPr>
          <w:rFonts w:eastAsia="Batang"/>
        </w:rPr>
        <w:t xml:space="preserve">(Attachment K) </w:t>
      </w:r>
      <w:r w:rsidR="00244A10">
        <w:rPr>
          <w:rFonts w:eastAsia="Batang"/>
        </w:rPr>
        <w:t>(</w:t>
      </w:r>
      <w:r w:rsidRPr="009E0579">
        <w:rPr>
          <w:rFonts w:eastAsia="Calibri"/>
          <w:szCs w:val="24"/>
        </w:rPr>
        <w:t xml:space="preserve">Conducting this study is in furtherance of Congressional priorities noted in House, Senate, and Conference appropriations reports to support and provide </w:t>
      </w:r>
      <w:r w:rsidRPr="009E0579">
        <w:rPr>
          <w:rFonts w:eastAsia="Calibri"/>
          <w:szCs w:val="24"/>
        </w:rPr>
        <w:lastRenderedPageBreak/>
        <w:t>education to clinicians on safe opioid prescribing, pain management, and patient safety.  This work fits into CDC’s five-pillar approach to reduce drug overdose</w:t>
      </w:r>
      <w:r>
        <w:rPr>
          <w:rFonts w:eastAsia="Calibri"/>
          <w:szCs w:val="24"/>
        </w:rPr>
        <w:t>-</w:t>
      </w:r>
      <w:r w:rsidRPr="009E0579">
        <w:rPr>
          <w:rFonts w:eastAsia="Calibri"/>
          <w:szCs w:val="24"/>
        </w:rPr>
        <w:t>related harms by supporting providers, health systems</w:t>
      </w:r>
      <w:r>
        <w:rPr>
          <w:rFonts w:eastAsia="Calibri"/>
          <w:szCs w:val="24"/>
        </w:rPr>
        <w:t>,</w:t>
      </w:r>
      <w:r w:rsidRPr="009E0579">
        <w:rPr>
          <w:rFonts w:eastAsia="Calibri"/>
          <w:szCs w:val="24"/>
        </w:rPr>
        <w:t xml:space="preserve"> and payers and also sits within agency priorities under CDC’s strategic framework to “reduce opioid prescribing by at least 10% by 2025 to prevent harms associated with prescription opioid misuse</w:t>
      </w:r>
      <w:r>
        <w:rPr>
          <w:rFonts w:eastAsia="Calibri"/>
          <w:szCs w:val="24"/>
        </w:rPr>
        <w:t>.</w:t>
      </w:r>
      <w:r>
        <w:rPr>
          <w:rStyle w:val="FootnoteReference"/>
          <w:rFonts w:eastAsia="Calibri"/>
          <w:szCs w:val="24"/>
        </w:rPr>
        <w:footnoteReference w:id="5"/>
      </w:r>
      <w:r w:rsidRPr="009E0579">
        <w:rPr>
          <w:rFonts w:eastAsia="Calibri"/>
          <w:szCs w:val="24"/>
        </w:rPr>
        <w:t>”</w:t>
      </w:r>
      <w:r w:rsidRPr="00137112">
        <w:rPr>
          <w:rFonts w:eastAsia="Calibri"/>
          <w:szCs w:val="24"/>
        </w:rPr>
        <w:t xml:space="preserve">  Finally, this study helps to meet the goals of the US Department of Health and Human Services Five Point Strategy to Combat Opioid Abuse, Misuse and Overdose by building the evidence base to “advance the practice of pain management to enable access to high-quality, evidence-based pain care that reduces the burden of pain for individuals, families, and society while also reducing the inappropriate use of opioids and opioid-related harms</w:t>
      </w:r>
      <w:r>
        <w:rPr>
          <w:rFonts w:eastAsia="Calibri"/>
          <w:szCs w:val="24"/>
        </w:rPr>
        <w:t>.</w:t>
      </w:r>
      <w:r>
        <w:rPr>
          <w:rStyle w:val="FootnoteReference"/>
          <w:rFonts w:eastAsia="Calibri"/>
          <w:szCs w:val="24"/>
        </w:rPr>
        <w:footnoteReference w:id="6"/>
      </w:r>
      <w:r w:rsidRPr="00137112">
        <w:rPr>
          <w:rFonts w:eastAsia="Calibri"/>
          <w:szCs w:val="24"/>
        </w:rPr>
        <w:t xml:space="preserve">"   </w:t>
      </w:r>
    </w:p>
    <w:p w:rsidRPr="00F2029D" w:rsidR="00977C45" w:rsidP="00F2029D" w:rsidRDefault="00977C45" w14:paraId="68C8BDA6" w14:textId="77777777">
      <w:pPr>
        <w:pStyle w:val="NormalSS"/>
      </w:pPr>
    </w:p>
    <w:p w:rsidRPr="00BE0461" w:rsidR="00F35131" w:rsidP="00BE5F25" w:rsidRDefault="009A1F17" w14:paraId="4C011FA0" w14:textId="2D21E5DD">
      <w:pPr>
        <w:pStyle w:val="Heading2"/>
        <w:tabs>
          <w:tab w:val="clear" w:pos="432"/>
        </w:tabs>
        <w:ind w:left="-360" w:firstLine="0"/>
        <w:rPr>
          <w:rFonts w:eastAsiaTheme="minorEastAsia"/>
          <w:b/>
          <w:bCs/>
        </w:rPr>
      </w:pPr>
      <w:bookmarkStart w:name="_Toc402259341" w:id="12"/>
      <w:bookmarkStart w:name="_Toc63079020" w:id="13"/>
      <w:r w:rsidRPr="5AF474FE">
        <w:rPr>
          <w:rFonts w:eastAsiaTheme="minorEastAsia"/>
          <w:b/>
          <w:bCs/>
        </w:rPr>
        <w:t>A</w:t>
      </w:r>
      <w:r w:rsidRPr="5AF474FE" w:rsidR="00F35131">
        <w:rPr>
          <w:rFonts w:eastAsiaTheme="minorEastAsia"/>
          <w:b/>
          <w:bCs/>
        </w:rPr>
        <w:t>2</w:t>
      </w:r>
      <w:r w:rsidR="00BE5F25">
        <w:rPr>
          <w:rFonts w:eastAsiaTheme="minorEastAsia"/>
          <w:b/>
          <w:bCs/>
        </w:rPr>
        <w:t xml:space="preserve">. </w:t>
      </w:r>
      <w:r w:rsidRPr="5AF474FE" w:rsidR="00F35131">
        <w:rPr>
          <w:rFonts w:eastAsiaTheme="minorEastAsia"/>
          <w:b/>
          <w:bCs/>
        </w:rPr>
        <w:t>Purpose and Use of the Information Collection</w:t>
      </w:r>
      <w:bookmarkEnd w:id="12"/>
      <w:bookmarkEnd w:id="13"/>
    </w:p>
    <w:p w:rsidR="00A529D1" w:rsidP="00BE5F25" w:rsidRDefault="00A3751A" w14:paraId="44F63B24" w14:textId="518185BE">
      <w:pPr>
        <w:spacing w:line="240" w:lineRule="auto"/>
        <w:ind w:hanging="360"/>
      </w:pPr>
      <w:bookmarkStart w:name="_Hlk74139599" w:id="14"/>
      <w:r>
        <w:t>The purpose of this data collection effort is</w:t>
      </w:r>
      <w:r w:rsidR="398EED29">
        <w:t xml:space="preserve"> to</w:t>
      </w:r>
      <w:r>
        <w:t>:</w:t>
      </w:r>
      <w:r w:rsidR="398EED29">
        <w:t xml:space="preserve"> </w:t>
      </w:r>
    </w:p>
    <w:p w:rsidR="0024501B" w:rsidP="0024501B" w:rsidRDefault="0024501B" w14:paraId="70F4B5FE" w14:textId="77777777">
      <w:pPr>
        <w:spacing w:line="240" w:lineRule="auto"/>
        <w:ind w:firstLine="0"/>
      </w:pPr>
    </w:p>
    <w:p w:rsidRPr="00D33B65" w:rsidR="0024501B" w:rsidP="0024501B" w:rsidRDefault="0024501B" w14:paraId="5C3290CE" w14:textId="180A60D7">
      <w:pPr>
        <w:pStyle w:val="ListParagraph"/>
        <w:numPr>
          <w:ilvl w:val="0"/>
          <w:numId w:val="30"/>
        </w:numPr>
        <w:spacing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(1) </w:t>
      </w:r>
      <w:r w:rsidR="00F91E3D">
        <w:rPr>
          <w:rFonts w:ascii="Times New Roman" w:hAnsi="Times New Roman" w:cs="Times New Roman"/>
          <w:sz w:val="24"/>
          <w:szCs w:val="24"/>
        </w:rPr>
        <w:t xml:space="preserve">conduct formative research </w:t>
      </w:r>
      <w:bookmarkStart w:name="_Hlk89855655" w:id="15"/>
      <w:r w:rsidR="00F91E3D">
        <w:rPr>
          <w:rFonts w:ascii="Times New Roman" w:hAnsi="Times New Roman" w:cs="Times New Roman"/>
          <w:sz w:val="24"/>
          <w:szCs w:val="24"/>
        </w:rPr>
        <w:t xml:space="preserve">to </w:t>
      </w:r>
      <w:r w:rsidRPr="00D33B65">
        <w:rPr>
          <w:rFonts w:ascii="Times New Roman" w:hAnsi="Times New Roman" w:cs="Times New Roman"/>
          <w:sz w:val="24"/>
          <w:szCs w:val="24"/>
        </w:rPr>
        <w:t xml:space="preserve">obtain an enhanced understanding of </w:t>
      </w:r>
      <w:bookmarkEnd w:id="15"/>
      <w:r w:rsidRPr="00D33B65">
        <w:rPr>
          <w:rFonts w:ascii="Times New Roman" w:hAnsi="Times New Roman" w:cs="Times New Roman"/>
          <w:sz w:val="24"/>
          <w:szCs w:val="24"/>
        </w:rPr>
        <w:t xml:space="preserve">facilitators and barriers to guideline-concordant management of chronic pain and opioid prescribing (including access to MOUD) at the health system level, in order to improve patient outcomes while maximizing patient safety and to facilitate uptake by clinicians and </w:t>
      </w:r>
      <w:r w:rsidR="00F91E3D">
        <w:rPr>
          <w:rFonts w:ascii="Times New Roman" w:hAnsi="Times New Roman" w:cs="Times New Roman"/>
          <w:sz w:val="24"/>
          <w:szCs w:val="24"/>
        </w:rPr>
        <w:t xml:space="preserve">similar </w:t>
      </w:r>
      <w:r w:rsidRPr="00D33B65">
        <w:rPr>
          <w:rFonts w:ascii="Times New Roman" w:hAnsi="Times New Roman" w:cs="Times New Roman"/>
          <w:sz w:val="24"/>
          <w:szCs w:val="24"/>
        </w:rPr>
        <w:t xml:space="preserve">health systems, </w:t>
      </w:r>
    </w:p>
    <w:p w:rsidRPr="00C843EF" w:rsidR="0024501B" w:rsidP="0024501B" w:rsidRDefault="0024501B" w14:paraId="1AEA132B" w14:textId="36F99753">
      <w:pPr>
        <w:pStyle w:val="ListParagraph"/>
        <w:numPr>
          <w:ilvl w:val="0"/>
          <w:numId w:val="30"/>
        </w:numPr>
        <w:spacing w:line="240" w:lineRule="auto"/>
        <w:rPr>
          <w:color w:val="000000" w:themeColor="text1"/>
        </w:rPr>
      </w:pPr>
      <w:r>
        <w:rPr>
          <w:rFonts w:ascii="Times New Roman" w:hAnsi="Times New Roman" w:cs="Times New Roman"/>
          <w:sz w:val="24"/>
          <w:szCs w:val="24"/>
        </w:rPr>
        <w:t>(</w:t>
      </w:r>
      <w:r w:rsidRPr="00D33B65">
        <w:rPr>
          <w:rFonts w:ascii="Times New Roman" w:hAnsi="Times New Roman" w:cs="Times New Roman"/>
          <w:sz w:val="24"/>
          <w:szCs w:val="24"/>
        </w:rPr>
        <w:t>2) describ</w:t>
      </w:r>
      <w:r>
        <w:rPr>
          <w:rFonts w:ascii="Times New Roman" w:hAnsi="Times New Roman" w:cs="Times New Roman"/>
          <w:sz w:val="24"/>
          <w:szCs w:val="24"/>
        </w:rPr>
        <w:t>e</w:t>
      </w:r>
      <w:r w:rsidRPr="00D33B65">
        <w:rPr>
          <w:rFonts w:ascii="Times New Roman" w:hAnsi="Times New Roman" w:cs="Times New Roman"/>
          <w:sz w:val="24"/>
          <w:szCs w:val="24"/>
        </w:rPr>
        <w:t xml:space="preserve"> unintended benefits and consequences to guideline/policy implementation, and </w:t>
      </w:r>
    </w:p>
    <w:p w:rsidRPr="00C843EF" w:rsidR="00C92600" w:rsidP="00C843EF" w:rsidRDefault="0024501B" w14:paraId="01DA4783" w14:textId="4B81DA27">
      <w:pPr>
        <w:pStyle w:val="ListParagraph"/>
        <w:numPr>
          <w:ilvl w:val="0"/>
          <w:numId w:val="30"/>
        </w:numPr>
        <w:spacing w:line="240" w:lineRule="auto"/>
        <w:rPr>
          <w:rFonts w:ascii="Times New Roman" w:hAnsi="Times New Roman" w:cs="Times New Roman"/>
          <w:color w:val="000000" w:themeColor="text1"/>
          <w:sz w:val="24"/>
          <w:szCs w:val="24"/>
        </w:rPr>
      </w:pPr>
      <w:r w:rsidRPr="00134F66">
        <w:rPr>
          <w:rFonts w:ascii="Times New Roman" w:hAnsi="Times New Roman" w:cs="Times New Roman"/>
          <w:sz w:val="24"/>
          <w:szCs w:val="24"/>
        </w:rPr>
        <w:t>(3) identify racial and ethnic disparities in guideline/policy implementation</w:t>
      </w:r>
      <w:r w:rsidRPr="00C54126" w:rsidR="00134F66">
        <w:rPr>
          <w:szCs w:val="24"/>
        </w:rPr>
        <w:t>.</w:t>
      </w:r>
      <w:r w:rsidRPr="00C54126">
        <w:rPr>
          <w:szCs w:val="24"/>
        </w:rPr>
        <w:t xml:space="preserve">  </w:t>
      </w:r>
    </w:p>
    <w:p w:rsidR="00AD1B47" w:rsidP="00F2029D" w:rsidRDefault="003527AA" w14:paraId="4A9C155C" w14:textId="7A15C951">
      <w:pPr>
        <w:pStyle w:val="BodyText"/>
        <w:ind w:left="0"/>
      </w:pPr>
      <w:bookmarkStart w:name="_Hlk94121071" w:id="16"/>
      <w:r>
        <w:t xml:space="preserve">Exhibit </w:t>
      </w:r>
      <w:r w:rsidR="00C12E35">
        <w:t>3</w:t>
      </w:r>
      <w:r>
        <w:t xml:space="preserve"> </w:t>
      </w:r>
      <w:r w:rsidR="00FD0AC8">
        <w:t xml:space="preserve">in attachment L </w:t>
      </w:r>
      <w:r>
        <w:t xml:space="preserve">outlines the </w:t>
      </w:r>
      <w:r w:rsidR="000D4F19">
        <w:t xml:space="preserve">formative research </w:t>
      </w:r>
      <w:r>
        <w:t>questions, their data source(s), and the intended use of the data obtained from each question.</w:t>
      </w:r>
      <w:bookmarkEnd w:id="16"/>
      <w:bookmarkEnd w:id="14"/>
    </w:p>
    <w:p w:rsidRPr="009033A4" w:rsidR="005778B0" w:rsidP="638EFA93" w:rsidRDefault="005611FA" w14:paraId="7D935C3E" w14:textId="5F513CF3">
      <w:pPr>
        <w:pStyle w:val="BodyText"/>
        <w:ind w:left="0" w:right="0"/>
      </w:pPr>
      <w:r>
        <w:t>This</w:t>
      </w:r>
      <w:r w:rsidR="005778B0">
        <w:t xml:space="preserve"> </w:t>
      </w:r>
      <w:r w:rsidR="00692B5A">
        <w:t xml:space="preserve">assessment </w:t>
      </w:r>
      <w:r w:rsidR="005778B0">
        <w:t>of health systems’ implementation of chronic pain</w:t>
      </w:r>
      <w:r>
        <w:t xml:space="preserve"> management</w:t>
      </w:r>
      <w:r w:rsidR="00B8624F">
        <w:t xml:space="preserve"> and</w:t>
      </w:r>
      <w:r>
        <w:t xml:space="preserve"> opioid prescribing</w:t>
      </w:r>
      <w:r w:rsidR="00B8624F">
        <w:t xml:space="preserve"> </w:t>
      </w:r>
      <w:r w:rsidR="005778B0">
        <w:t>policies/guidelines and the resultant outcomes</w:t>
      </w:r>
      <w:r>
        <w:t xml:space="preserve"> requires</w:t>
      </w:r>
      <w:r w:rsidR="00613E22">
        <w:t xml:space="preserve"> both primary data collection (such as surveys, key informant interviews, focus groups, etc.) and secondary data collection (such as administrative, </w:t>
      </w:r>
      <w:r w:rsidR="00514F63">
        <w:t>EHR,</w:t>
      </w:r>
      <w:r w:rsidR="00613E22">
        <w:t xml:space="preserve"> pharmacy dispensing, prescribing data, etc.) efforts to adequately answer the research questions</w:t>
      </w:r>
      <w:r w:rsidR="005778B0">
        <w:t>. While</w:t>
      </w:r>
      <w:r w:rsidR="005713C0">
        <w:t xml:space="preserve"> </w:t>
      </w:r>
      <w:r w:rsidR="000C615E">
        <w:t>secondary data (</w:t>
      </w:r>
      <w:r w:rsidR="0007691B">
        <w:t>QI</w:t>
      </w:r>
      <w:r w:rsidR="00613E22">
        <w:t xml:space="preserve"> measures</w:t>
      </w:r>
      <w:r w:rsidR="000C615E">
        <w:t>)</w:t>
      </w:r>
      <w:r w:rsidR="005778B0">
        <w:t xml:space="preserve"> from health system</w:t>
      </w:r>
      <w:r w:rsidR="005713C0">
        <w:t xml:space="preserve"> EHRs</w:t>
      </w:r>
      <w:r w:rsidR="005778B0">
        <w:t xml:space="preserve"> will provide longitudinal pre-post measures, primary data is needed to understand the characteristics and mechanisms of practice and patient change that can be attributed to the policies and guidelines. This document describes the primary data collection</w:t>
      </w:r>
      <w:r w:rsidR="00C83E9B">
        <w:t xml:space="preserve"> further below</w:t>
      </w:r>
      <w:r w:rsidR="005778B0">
        <w:t xml:space="preserve">.   </w:t>
      </w:r>
    </w:p>
    <w:p w:rsidR="009A1723" w:rsidP="638EFA93" w:rsidRDefault="2AB90E55" w14:paraId="05976517" w14:textId="5B0E5EA5">
      <w:pPr>
        <w:pStyle w:val="BodyText"/>
        <w:ind w:left="0" w:right="0"/>
      </w:pPr>
      <w:r>
        <w:t xml:space="preserve">The primary data collection methods will include surveys of primary care clinicians </w:t>
      </w:r>
      <w:r w:rsidR="19B268B1">
        <w:t xml:space="preserve">(Attachment A) </w:t>
      </w:r>
      <w:r>
        <w:t>and patients</w:t>
      </w:r>
      <w:r w:rsidR="3E6910AD">
        <w:t xml:space="preserve"> (Attachment B)</w:t>
      </w:r>
      <w:r>
        <w:t xml:space="preserve">, as well as interviews with various leaders within health systems </w:t>
      </w:r>
      <w:r w:rsidR="58841CD3">
        <w:t>(Attachment C)</w:t>
      </w:r>
      <w:r>
        <w:t xml:space="preserve"> and interviews for case studies </w:t>
      </w:r>
      <w:r w:rsidR="42D0AF13">
        <w:t>(Attachment D)</w:t>
      </w:r>
      <w:r>
        <w:t xml:space="preserve">. </w:t>
      </w:r>
      <w:r w:rsidR="25AFFF1C">
        <w:t>Qualitative data from</w:t>
      </w:r>
      <w:r w:rsidR="0E52598D">
        <w:t xml:space="preserve"> surveys of clinicians and patients will be used to understand the reported effects of implemented policies on patient-clinician communication, as well as attitudes and perspectives. </w:t>
      </w:r>
      <w:r w:rsidR="25AFFF1C">
        <w:t xml:space="preserve"> </w:t>
      </w:r>
      <w:r w:rsidR="41A390FC">
        <w:t>I</w:t>
      </w:r>
      <w:r w:rsidR="25AFFF1C">
        <w:t xml:space="preserve">nterviews with health system leaders (e.g., chief medical officer, VP of quality and safety, primary care leadership) </w:t>
      </w:r>
      <w:r w:rsidR="25AFFF1C">
        <w:lastRenderedPageBreak/>
        <w:t>will be used to characterize and understand the specific policies and guidelines implemented, as well as when and how they were implemented. The interviews will also help to elucidate drivers of success</w:t>
      </w:r>
      <w:r w:rsidR="56E69861">
        <w:t>,</w:t>
      </w:r>
      <w:r w:rsidR="25AFFF1C">
        <w:t xml:space="preserve"> challenges encountered</w:t>
      </w:r>
      <w:r w:rsidR="413ADA82">
        <w:t>,</w:t>
      </w:r>
      <w:r w:rsidR="56E69861">
        <w:t xml:space="preserve"> and lessons learned in overcoming barriers</w:t>
      </w:r>
      <w:r w:rsidR="25AFFF1C">
        <w:t xml:space="preserve">.  Finally, case studies will be conducted to obtain detailed stories about successful cases of clinicians improving the care of patients </w:t>
      </w:r>
      <w:r w:rsidR="405D05DB">
        <w:t xml:space="preserve">previously or currently </w:t>
      </w:r>
      <w:r w:rsidR="4D95A7FC">
        <w:t xml:space="preserve">prescribed </w:t>
      </w:r>
      <w:r w:rsidR="25AFFF1C">
        <w:t xml:space="preserve">LTOT, </w:t>
      </w:r>
      <w:r w:rsidR="56E69861">
        <w:t xml:space="preserve">patients being connected to MOUD when indicated, </w:t>
      </w:r>
      <w:r w:rsidR="25AFFF1C">
        <w:t>and/or programs addressing racial and ethnic disparities</w:t>
      </w:r>
      <w:r w:rsidR="567249A2">
        <w:t>.</w:t>
      </w:r>
      <w:r w:rsidR="25AFFF1C">
        <w:t xml:space="preserve"> Finally, to support validation of findings </w:t>
      </w:r>
      <w:r w:rsidR="66B82957">
        <w:t xml:space="preserve">from </w:t>
      </w:r>
      <w:r w:rsidR="25AFFF1C">
        <w:t xml:space="preserve">each system, we will conduct </w:t>
      </w:r>
      <w:r w:rsidR="72DCEA21">
        <w:t>“</w:t>
      </w:r>
      <w:r w:rsidR="25AFFF1C">
        <w:t>member checkin</w:t>
      </w:r>
      <w:r w:rsidR="1CF8141E">
        <w:t xml:space="preserve">g </w:t>
      </w:r>
      <w:r w:rsidR="37C11BC9">
        <w:t>s</w:t>
      </w:r>
      <w:r w:rsidR="7A62B029">
        <w:t>essions</w:t>
      </w:r>
      <w:r w:rsidR="24522C6F">
        <w:t>”</w:t>
      </w:r>
      <w:r w:rsidR="62E5466C">
        <w:t xml:space="preserve"> </w:t>
      </w:r>
      <w:r w:rsidR="77883AD5">
        <w:t>(Attachment E)</w:t>
      </w:r>
      <w:r w:rsidR="002F37CC">
        <w:t>,</w:t>
      </w:r>
      <w:r w:rsidR="62E5466C">
        <w:t xml:space="preserve"> which </w:t>
      </w:r>
      <w:r w:rsidR="432D2B50">
        <w:t xml:space="preserve">will review primary findings from the </w:t>
      </w:r>
      <w:r w:rsidR="002F37CC">
        <w:t xml:space="preserve">study </w:t>
      </w:r>
      <w:r w:rsidR="432D2B50">
        <w:t xml:space="preserve">with administrators and clinicians from each health system, to </w:t>
      </w:r>
      <w:r w:rsidR="1A435F1C">
        <w:t>check for</w:t>
      </w:r>
      <w:r w:rsidR="432D2B50">
        <w:t xml:space="preserve"> agreement and validation of recommendations generated from data analysis.</w:t>
      </w:r>
      <w:r w:rsidR="25AFFF1C">
        <w:t xml:space="preserve"> </w:t>
      </w:r>
      <w:r w:rsidR="475B8733">
        <w:t xml:space="preserve"> Additionally, systems will be requested to provide opioid</w:t>
      </w:r>
      <w:r w:rsidR="77E3E29C">
        <w:t>-related</w:t>
      </w:r>
      <w:r w:rsidR="475B8733">
        <w:t xml:space="preserve"> QI </w:t>
      </w:r>
      <w:r w:rsidR="41DA48B6">
        <w:t>measures</w:t>
      </w:r>
      <w:r w:rsidR="475B8733">
        <w:t xml:space="preserve">. </w:t>
      </w:r>
      <w:r w:rsidR="5D854363">
        <w:t>T</w:t>
      </w:r>
      <w:r w:rsidR="25AFFF1C">
        <w:t xml:space="preserve">he data collection methods are summarized in Exhibit </w:t>
      </w:r>
      <w:r w:rsidR="009A1723">
        <w:t>4</w:t>
      </w:r>
      <w:r w:rsidR="25AFFF1C">
        <w:t xml:space="preserve"> and described in detail below.</w:t>
      </w:r>
    </w:p>
    <w:p w:rsidRPr="00D22AD2" w:rsidR="005778B0" w:rsidP="00F2029D" w:rsidRDefault="005778B0" w14:paraId="26170981" w14:textId="5D98B80B">
      <w:pPr>
        <w:spacing w:after="240" w:line="240" w:lineRule="auto"/>
        <w:ind w:firstLine="0"/>
        <w:rPr>
          <w:rFonts w:asciiTheme="minorHAnsi" w:hAnsiTheme="minorHAnsi" w:cstheme="minorHAnsi"/>
          <w:sz w:val="22"/>
        </w:rPr>
      </w:pPr>
      <w:bookmarkStart w:name="_Hlk79594780" w:id="17"/>
      <w:r w:rsidRPr="00D22AD2">
        <w:rPr>
          <w:rFonts w:asciiTheme="minorHAnsi" w:hAnsiTheme="minorHAnsi" w:cstheme="minorHAnsi"/>
          <w:sz w:val="22"/>
        </w:rPr>
        <w:t xml:space="preserve">Exhibit </w:t>
      </w:r>
      <w:r w:rsidR="009A1723">
        <w:rPr>
          <w:rFonts w:asciiTheme="minorHAnsi" w:hAnsiTheme="minorHAnsi" w:cstheme="minorHAnsi"/>
          <w:sz w:val="22"/>
        </w:rPr>
        <w:t>4</w:t>
      </w:r>
      <w:r w:rsidRPr="00D22AD2" w:rsidR="00D22AD2">
        <w:rPr>
          <w:rFonts w:asciiTheme="minorHAnsi" w:hAnsiTheme="minorHAnsi" w:cstheme="minorHAnsi"/>
          <w:sz w:val="22"/>
        </w:rPr>
        <w:t>.</w:t>
      </w:r>
      <w:r w:rsidRPr="00D22AD2">
        <w:rPr>
          <w:rFonts w:asciiTheme="minorHAnsi" w:hAnsiTheme="minorHAnsi" w:cstheme="minorHAnsi"/>
          <w:sz w:val="22"/>
        </w:rPr>
        <w:t xml:space="preserve"> Overview of Data Collection Efforts (maximum sample size)</w:t>
      </w:r>
    </w:p>
    <w:tbl>
      <w:tblPr>
        <w:tblStyle w:val="AbtFinal2"/>
        <w:tblW w:w="5505" w:type="pct"/>
        <w:tblLayout w:type="fixed"/>
        <w:tblLook w:val="04A0" w:firstRow="1" w:lastRow="0" w:firstColumn="1" w:lastColumn="0" w:noHBand="0" w:noVBand="1"/>
      </w:tblPr>
      <w:tblGrid>
        <w:gridCol w:w="1903"/>
        <w:gridCol w:w="1239"/>
        <w:gridCol w:w="4291"/>
        <w:gridCol w:w="2861"/>
      </w:tblGrid>
      <w:tr w:rsidRPr="005778B0" w:rsidR="005778B0" w:rsidTr="006F1424" w14:paraId="7719BFC4" w14:textId="77777777">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1903" w:type="dxa"/>
            <w:shd w:val="clear" w:color="auto" w:fill="2E6E80"/>
          </w:tcPr>
          <w:p w:rsidRPr="005B464E" w:rsidR="005778B0" w:rsidP="000167E1" w:rsidRDefault="005778B0" w14:paraId="3E2CA229" w14:textId="77777777">
            <w:pPr>
              <w:tabs>
                <w:tab w:val="left" w:pos="0"/>
              </w:tabs>
              <w:spacing w:line="240" w:lineRule="auto"/>
              <w:ind w:firstLine="0"/>
              <w:rPr>
                <w:rFonts w:ascii="Times New Roman" w:hAnsi="Times New Roman"/>
                <w:sz w:val="22"/>
                <w:szCs w:val="22"/>
              </w:rPr>
            </w:pPr>
            <w:r w:rsidRPr="005B464E">
              <w:rPr>
                <w:rFonts w:ascii="Times New Roman" w:hAnsi="Times New Roman"/>
                <w:sz w:val="22"/>
                <w:szCs w:val="22"/>
              </w:rPr>
              <w:t>Method</w:t>
            </w:r>
          </w:p>
        </w:tc>
        <w:tc>
          <w:tcPr>
            <w:tcW w:w="1239" w:type="dxa"/>
            <w:shd w:val="clear" w:color="auto" w:fill="2E6E80"/>
          </w:tcPr>
          <w:p w:rsidRPr="005B464E" w:rsidR="005778B0" w:rsidP="2CA32994" w:rsidRDefault="3FE69E98" w14:paraId="5155D5F6" w14:textId="4C291D6B">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5B464E">
              <w:rPr>
                <w:rFonts w:ascii="Times New Roman" w:hAnsi="Times New Roman"/>
                <w:sz w:val="22"/>
                <w:szCs w:val="22"/>
              </w:rPr>
              <w:t xml:space="preserve"># Systems </w:t>
            </w:r>
          </w:p>
        </w:tc>
        <w:tc>
          <w:tcPr>
            <w:tcW w:w="4291" w:type="dxa"/>
            <w:shd w:val="clear" w:color="auto" w:fill="2E6E80"/>
          </w:tcPr>
          <w:p w:rsidRPr="005B464E" w:rsidR="005778B0" w:rsidP="000167E1" w:rsidRDefault="005778B0" w14:paraId="64FE1AC0" w14:textId="77777777">
            <w:pPr>
              <w:tabs>
                <w:tab w:val="left" w:pos="0"/>
              </w:tabs>
              <w:spacing w:line="240"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5B464E">
              <w:rPr>
                <w:rFonts w:ascii="Times New Roman" w:hAnsi="Times New Roman"/>
                <w:sz w:val="22"/>
                <w:szCs w:val="22"/>
              </w:rPr>
              <w:t>Sample Size (# / system)</w:t>
            </w:r>
          </w:p>
        </w:tc>
        <w:tc>
          <w:tcPr>
            <w:tcW w:w="2861" w:type="dxa"/>
            <w:shd w:val="clear" w:color="auto" w:fill="2E6E80"/>
          </w:tcPr>
          <w:p w:rsidRPr="005B464E" w:rsidR="005778B0" w:rsidP="000167E1" w:rsidRDefault="005778B0" w14:paraId="03553688" w14:textId="77777777">
            <w:pPr>
              <w:tabs>
                <w:tab w:val="left" w:pos="0"/>
              </w:tabs>
              <w:spacing w:line="240"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5B464E">
              <w:rPr>
                <w:rFonts w:ascii="Times New Roman" w:hAnsi="Times New Roman"/>
                <w:sz w:val="22"/>
                <w:szCs w:val="22"/>
              </w:rPr>
              <w:t>Primary Aim(s)</w:t>
            </w:r>
          </w:p>
        </w:tc>
      </w:tr>
      <w:tr w:rsidRPr="009A1F17" w:rsidR="005778B0" w:rsidTr="006F1424" w14:paraId="13A5FA98" w14:textId="77777777">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1903" w:type="dxa"/>
          </w:tcPr>
          <w:p w:rsidRPr="006F1424" w:rsidR="005778B0" w:rsidP="000167E1" w:rsidRDefault="005F24C7" w14:paraId="31DEC388" w14:textId="43936456">
            <w:pPr>
              <w:tabs>
                <w:tab w:val="left" w:pos="0"/>
              </w:tabs>
              <w:spacing w:before="20" w:after="20" w:line="240" w:lineRule="auto"/>
              <w:ind w:firstLine="0"/>
              <w:rPr>
                <w:rFonts w:ascii="Times New Roman" w:hAnsi="Times New Roman"/>
                <w:sz w:val="22"/>
                <w:szCs w:val="22"/>
              </w:rPr>
            </w:pPr>
            <w:r w:rsidRPr="006F1424">
              <w:rPr>
                <w:rFonts w:ascii="Times New Roman" w:hAnsi="Times New Roman"/>
                <w:sz w:val="22"/>
                <w:szCs w:val="22"/>
              </w:rPr>
              <w:t xml:space="preserve">Primary Care Clinician </w:t>
            </w:r>
            <w:r w:rsidRPr="006F1424" w:rsidR="005778B0">
              <w:rPr>
                <w:rFonts w:ascii="Times New Roman" w:hAnsi="Times New Roman"/>
                <w:sz w:val="22"/>
                <w:szCs w:val="22"/>
              </w:rPr>
              <w:t>Survey</w:t>
            </w:r>
          </w:p>
        </w:tc>
        <w:tc>
          <w:tcPr>
            <w:tcW w:w="1239" w:type="dxa"/>
          </w:tcPr>
          <w:p w:rsidRPr="006F1424" w:rsidR="005778B0" w:rsidP="5AF474FE" w:rsidRDefault="002118D6" w14:paraId="4A001697" w14:textId="570DCDC8">
            <w:pPr>
              <w:spacing w:before="20" w:after="2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1424">
              <w:rPr>
                <w:rFonts w:ascii="Times New Roman" w:hAnsi="Times New Roman"/>
                <w:sz w:val="22"/>
                <w:szCs w:val="22"/>
              </w:rPr>
              <w:t xml:space="preserve">       </w:t>
            </w:r>
            <w:r w:rsidRPr="006F1424" w:rsidR="2D3B934D">
              <w:rPr>
                <w:rFonts w:ascii="Times New Roman" w:hAnsi="Times New Roman"/>
                <w:sz w:val="22"/>
                <w:szCs w:val="22"/>
              </w:rPr>
              <w:t xml:space="preserve">10 </w:t>
            </w:r>
          </w:p>
        </w:tc>
        <w:tc>
          <w:tcPr>
            <w:tcW w:w="4291" w:type="dxa"/>
          </w:tcPr>
          <w:p w:rsidRPr="006F1424" w:rsidR="005778B0" w:rsidP="00E93AAF" w:rsidRDefault="005778B0" w14:paraId="006F8510" w14:textId="79142008">
            <w:pPr>
              <w:tabs>
                <w:tab w:val="left" w:pos="0"/>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rPr>
            </w:pPr>
            <w:r w:rsidRPr="006F1424">
              <w:rPr>
                <w:rFonts w:ascii="Times New Roman" w:hAnsi="Times New Roman"/>
                <w:bCs/>
                <w:sz w:val="22"/>
                <w:szCs w:val="22"/>
              </w:rPr>
              <w:t xml:space="preserve">1,182 (upper bound is 3,940 </w:t>
            </w:r>
            <w:r w:rsidRPr="006F1424" w:rsidR="005F24C7">
              <w:rPr>
                <w:rFonts w:ascii="Times New Roman" w:hAnsi="Times New Roman"/>
                <w:bCs/>
                <w:sz w:val="22"/>
                <w:szCs w:val="22"/>
              </w:rPr>
              <w:t xml:space="preserve">primary care clinicians </w:t>
            </w:r>
            <w:r w:rsidRPr="006F1424">
              <w:rPr>
                <w:rFonts w:ascii="Times New Roman" w:hAnsi="Times New Roman"/>
                <w:bCs/>
                <w:sz w:val="22"/>
                <w:szCs w:val="22"/>
              </w:rPr>
              <w:t>for all systems with a 30% response rate)</w:t>
            </w:r>
          </w:p>
        </w:tc>
        <w:tc>
          <w:tcPr>
            <w:tcW w:w="2861" w:type="dxa"/>
          </w:tcPr>
          <w:p w:rsidRPr="006F1424" w:rsidR="005778B0" w:rsidP="5AF474FE" w:rsidRDefault="5AA216F9" w14:paraId="515060FF" w14:textId="4A9C129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fr-FR"/>
              </w:rPr>
            </w:pPr>
            <w:r w:rsidRPr="006F1424">
              <w:rPr>
                <w:rFonts w:ascii="Times New Roman" w:hAnsi="Times New Roman"/>
                <w:sz w:val="22"/>
                <w:szCs w:val="22"/>
                <w:lang w:val="fr-FR"/>
              </w:rPr>
              <w:t>Clinician</w:t>
            </w:r>
            <w:r w:rsidRPr="006F1424" w:rsidR="60A0626F">
              <w:rPr>
                <w:rFonts w:ascii="Times New Roman" w:hAnsi="Times New Roman"/>
                <w:sz w:val="22"/>
                <w:szCs w:val="22"/>
                <w:lang w:val="fr-FR"/>
              </w:rPr>
              <w:t xml:space="preserve"> perspective</w:t>
            </w:r>
            <w:r w:rsidRPr="006F1424" w:rsidR="7F9B94CB">
              <w:rPr>
                <w:rFonts w:ascii="Times New Roman" w:hAnsi="Times New Roman"/>
                <w:sz w:val="22"/>
                <w:szCs w:val="22"/>
                <w:lang w:val="fr-FR"/>
              </w:rPr>
              <w:t xml:space="preserve"> on implementation</w:t>
            </w:r>
            <w:r w:rsidRPr="006F1424" w:rsidR="60A0626F">
              <w:rPr>
                <w:rFonts w:ascii="Times New Roman" w:hAnsi="Times New Roman"/>
                <w:sz w:val="22"/>
                <w:szCs w:val="22"/>
                <w:lang w:val="fr-FR"/>
              </w:rPr>
              <w:t>,</w:t>
            </w:r>
            <w:r w:rsidRPr="006F1424" w:rsidR="7F9B94CB">
              <w:rPr>
                <w:rFonts w:ascii="Times New Roman" w:hAnsi="Times New Roman"/>
                <w:sz w:val="22"/>
                <w:szCs w:val="22"/>
                <w:lang w:val="fr-FR"/>
              </w:rPr>
              <w:t xml:space="preserve"> changes in clinician practices</w:t>
            </w:r>
            <w:r w:rsidRPr="006F1424" w:rsidR="7B73AF8E">
              <w:rPr>
                <w:rFonts w:ascii="Times New Roman" w:hAnsi="Times New Roman"/>
                <w:sz w:val="22"/>
                <w:szCs w:val="22"/>
                <w:lang w:val="fr-FR"/>
              </w:rPr>
              <w:t>,</w:t>
            </w:r>
            <w:r w:rsidRPr="006F1424" w:rsidR="60A0626F">
              <w:rPr>
                <w:rFonts w:ascii="Times New Roman" w:hAnsi="Times New Roman"/>
                <w:sz w:val="22"/>
                <w:szCs w:val="22"/>
                <w:lang w:val="fr-FR"/>
              </w:rPr>
              <w:t xml:space="preserve"> </w:t>
            </w:r>
            <w:r w:rsidRPr="006F1424" w:rsidR="005F3513">
              <w:rPr>
                <w:rFonts w:ascii="Times New Roman" w:hAnsi="Times New Roman"/>
                <w:sz w:val="22"/>
                <w:szCs w:val="22"/>
                <w:lang w:val="fr-FR"/>
              </w:rPr>
              <w:t>patient-clinician communication</w:t>
            </w:r>
          </w:p>
        </w:tc>
      </w:tr>
      <w:tr w:rsidRPr="009A1F17" w:rsidR="005778B0" w:rsidTr="006F1424" w14:paraId="7B8F2DD9" w14:textId="77777777">
        <w:trPr>
          <w:cnfStyle w:val="000000010000" w:firstRow="0" w:lastRow="0" w:firstColumn="0" w:lastColumn="0" w:oddVBand="0" w:evenVBand="0" w:oddHBand="0" w:evenHBand="1"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903" w:type="dxa"/>
          </w:tcPr>
          <w:p w:rsidRPr="006F1424" w:rsidR="005778B0" w:rsidP="000167E1" w:rsidRDefault="005778B0" w14:paraId="618B63FF" w14:textId="77777777">
            <w:pPr>
              <w:tabs>
                <w:tab w:val="left" w:pos="0"/>
              </w:tabs>
              <w:spacing w:before="20" w:after="20" w:line="240" w:lineRule="auto"/>
              <w:ind w:firstLine="0"/>
              <w:rPr>
                <w:rFonts w:ascii="Times New Roman" w:hAnsi="Times New Roman"/>
                <w:sz w:val="22"/>
                <w:szCs w:val="22"/>
              </w:rPr>
            </w:pPr>
            <w:r w:rsidRPr="006F1424">
              <w:rPr>
                <w:rFonts w:ascii="Times New Roman" w:hAnsi="Times New Roman"/>
                <w:sz w:val="22"/>
                <w:szCs w:val="22"/>
              </w:rPr>
              <w:t>Patient Survey</w:t>
            </w:r>
          </w:p>
        </w:tc>
        <w:tc>
          <w:tcPr>
            <w:tcW w:w="1239" w:type="dxa"/>
          </w:tcPr>
          <w:p w:rsidRPr="006F1424" w:rsidR="005778B0" w:rsidP="002118D6" w:rsidRDefault="002118D6" w14:paraId="3B88121E" w14:textId="4168349D">
            <w:pPr>
              <w:spacing w:before="20" w:after="20"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sz w:val="22"/>
                <w:szCs w:val="22"/>
              </w:rPr>
            </w:pPr>
            <w:r w:rsidRPr="006F1424">
              <w:rPr>
                <w:rFonts w:ascii="Times New Roman" w:hAnsi="Times New Roman"/>
                <w:sz w:val="22"/>
                <w:szCs w:val="22"/>
              </w:rPr>
              <w:t xml:space="preserve">       </w:t>
            </w:r>
            <w:r w:rsidRPr="006F1424" w:rsidR="46A3CA8B">
              <w:rPr>
                <w:rFonts w:ascii="Times New Roman" w:hAnsi="Times New Roman"/>
                <w:sz w:val="22"/>
                <w:szCs w:val="22"/>
              </w:rPr>
              <w:t>10</w:t>
            </w:r>
          </w:p>
        </w:tc>
        <w:tc>
          <w:tcPr>
            <w:tcW w:w="4291" w:type="dxa"/>
          </w:tcPr>
          <w:p w:rsidRPr="006F1424" w:rsidR="005778B0" w:rsidP="00E93AAF" w:rsidRDefault="005778B0" w14:paraId="6E2BD2A0" w14:textId="78734912">
            <w:pPr>
              <w:tabs>
                <w:tab w:val="left" w:pos="0"/>
              </w:tabs>
              <w:spacing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Cs/>
                <w:sz w:val="22"/>
                <w:szCs w:val="22"/>
              </w:rPr>
            </w:pPr>
            <w:r w:rsidRPr="006F1424">
              <w:rPr>
                <w:rFonts w:ascii="Times New Roman" w:hAnsi="Times New Roman"/>
                <w:bCs/>
                <w:sz w:val="22"/>
                <w:szCs w:val="22"/>
              </w:rPr>
              <w:t>1,000 (</w:t>
            </w:r>
            <w:r w:rsidRPr="006F1424" w:rsidR="00B57B78">
              <w:rPr>
                <w:rFonts w:ascii="Times New Roman" w:hAnsi="Times New Roman"/>
                <w:bCs/>
                <w:sz w:val="22"/>
                <w:szCs w:val="22"/>
              </w:rPr>
              <w:t>1</w:t>
            </w:r>
            <w:r w:rsidRPr="006F1424">
              <w:rPr>
                <w:rFonts w:ascii="Times New Roman" w:hAnsi="Times New Roman"/>
                <w:bCs/>
                <w:sz w:val="22"/>
                <w:szCs w:val="22"/>
              </w:rPr>
              <w:t>00/system, assume 50% response rate)</w:t>
            </w:r>
          </w:p>
        </w:tc>
        <w:tc>
          <w:tcPr>
            <w:tcW w:w="2861" w:type="dxa"/>
          </w:tcPr>
          <w:p w:rsidRPr="006F1424" w:rsidR="005778B0" w:rsidP="23375CF2" w:rsidRDefault="3FE69E98" w14:paraId="223C3A24" w14:textId="739E3B6E">
            <w:pPr>
              <w:spacing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sz w:val="22"/>
                <w:szCs w:val="22"/>
                <w:lang w:val="fr-FR"/>
              </w:rPr>
            </w:pPr>
            <w:r w:rsidRPr="006F1424">
              <w:rPr>
                <w:rFonts w:ascii="Times New Roman" w:hAnsi="Times New Roman"/>
                <w:sz w:val="22"/>
                <w:szCs w:val="22"/>
                <w:lang w:val="fr-FR"/>
              </w:rPr>
              <w:t>Patient perspective</w:t>
            </w:r>
            <w:r w:rsidRPr="006F1424" w:rsidR="25212E27">
              <w:rPr>
                <w:rFonts w:ascii="Times New Roman" w:hAnsi="Times New Roman"/>
                <w:sz w:val="22"/>
                <w:szCs w:val="22"/>
                <w:lang w:val="fr-FR"/>
              </w:rPr>
              <w:t xml:space="preserve"> on implementation</w:t>
            </w:r>
            <w:r w:rsidRPr="006F1424">
              <w:rPr>
                <w:rFonts w:ascii="Times New Roman" w:hAnsi="Times New Roman"/>
                <w:sz w:val="22"/>
                <w:szCs w:val="22"/>
                <w:lang w:val="fr-FR"/>
              </w:rPr>
              <w:t>, patient-clinician communication</w:t>
            </w:r>
          </w:p>
        </w:tc>
      </w:tr>
      <w:tr w:rsidRPr="005778B0" w:rsidR="005778B0" w:rsidTr="006F1424" w14:paraId="56D6C2C1" w14:textId="77777777">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1903" w:type="dxa"/>
          </w:tcPr>
          <w:p w:rsidRPr="006F1424" w:rsidR="005778B0" w:rsidP="000167E1" w:rsidRDefault="008866E0" w14:paraId="3EDED591" w14:textId="1AD7FE65">
            <w:pPr>
              <w:tabs>
                <w:tab w:val="left" w:pos="0"/>
              </w:tabs>
              <w:spacing w:before="20" w:after="20" w:line="240" w:lineRule="auto"/>
              <w:ind w:firstLine="0"/>
              <w:rPr>
                <w:rFonts w:ascii="Times New Roman" w:hAnsi="Times New Roman"/>
                <w:sz w:val="22"/>
                <w:szCs w:val="22"/>
              </w:rPr>
            </w:pPr>
            <w:r>
              <w:rPr>
                <w:rFonts w:ascii="Times New Roman" w:hAnsi="Times New Roman"/>
                <w:sz w:val="22"/>
                <w:szCs w:val="22"/>
              </w:rPr>
              <w:t xml:space="preserve">Group </w:t>
            </w:r>
            <w:r w:rsidRPr="006F1424" w:rsidR="005778B0">
              <w:rPr>
                <w:rFonts w:ascii="Times New Roman" w:hAnsi="Times New Roman"/>
                <w:sz w:val="22"/>
                <w:szCs w:val="22"/>
              </w:rPr>
              <w:t>Interviews with system leaders</w:t>
            </w:r>
          </w:p>
        </w:tc>
        <w:tc>
          <w:tcPr>
            <w:tcW w:w="1239" w:type="dxa"/>
          </w:tcPr>
          <w:p w:rsidRPr="006F1424" w:rsidR="005778B0" w:rsidP="002118D6" w:rsidRDefault="002118D6" w14:paraId="05B3FFB5" w14:textId="2D012B8C">
            <w:pPr>
              <w:spacing w:before="20" w:after="2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1424">
              <w:rPr>
                <w:rFonts w:ascii="Times New Roman" w:hAnsi="Times New Roman"/>
                <w:sz w:val="22"/>
                <w:szCs w:val="22"/>
              </w:rPr>
              <w:t xml:space="preserve">       </w:t>
            </w:r>
            <w:r w:rsidRPr="006F1424" w:rsidR="44E69E61">
              <w:rPr>
                <w:rFonts w:ascii="Times New Roman" w:hAnsi="Times New Roman"/>
                <w:sz w:val="22"/>
                <w:szCs w:val="22"/>
              </w:rPr>
              <w:t>10</w:t>
            </w:r>
          </w:p>
        </w:tc>
        <w:tc>
          <w:tcPr>
            <w:tcW w:w="4291" w:type="dxa"/>
          </w:tcPr>
          <w:p w:rsidRPr="006F1424" w:rsidR="005778B0" w:rsidP="00E93AAF" w:rsidRDefault="005778B0" w14:paraId="65658909" w14:textId="77777777">
            <w:pPr>
              <w:tabs>
                <w:tab w:val="left" w:pos="0"/>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rPr>
            </w:pPr>
            <w:r w:rsidRPr="006F1424">
              <w:rPr>
                <w:rFonts w:ascii="Times New Roman" w:hAnsi="Times New Roman"/>
                <w:bCs/>
                <w:sz w:val="22"/>
                <w:szCs w:val="22"/>
              </w:rPr>
              <w:t>50 (5/system)</w:t>
            </w:r>
          </w:p>
        </w:tc>
        <w:tc>
          <w:tcPr>
            <w:tcW w:w="2861" w:type="dxa"/>
          </w:tcPr>
          <w:p w:rsidRPr="006F1424" w:rsidR="005778B0" w:rsidP="23375CF2" w:rsidRDefault="005778B0" w14:paraId="034706A6" w14:textId="727DF70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1424">
              <w:rPr>
                <w:rFonts w:ascii="Times New Roman" w:hAnsi="Times New Roman"/>
                <w:sz w:val="22"/>
                <w:szCs w:val="22"/>
              </w:rPr>
              <w:t>Understand implementation</w:t>
            </w:r>
            <w:r w:rsidRPr="006F1424" w:rsidR="7D2FD752">
              <w:rPr>
                <w:rFonts w:ascii="Times New Roman" w:hAnsi="Times New Roman"/>
                <w:sz w:val="22"/>
                <w:szCs w:val="22"/>
              </w:rPr>
              <w:t>, its consequences, and barriers/facilitators</w:t>
            </w:r>
            <w:r w:rsidRPr="006F1424">
              <w:rPr>
                <w:rFonts w:ascii="Times New Roman" w:hAnsi="Times New Roman"/>
                <w:sz w:val="22"/>
                <w:szCs w:val="22"/>
              </w:rPr>
              <w:t xml:space="preserve"> </w:t>
            </w:r>
          </w:p>
        </w:tc>
      </w:tr>
      <w:tr w:rsidRPr="005778B0" w:rsidR="005778B0" w:rsidTr="006F1424" w14:paraId="4DC8CF17" w14:textId="77777777">
        <w:trPr>
          <w:cnfStyle w:val="000000010000" w:firstRow="0" w:lastRow="0" w:firstColumn="0" w:lastColumn="0" w:oddVBand="0" w:evenVBand="0" w:oddHBand="0" w:evenHBand="1"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1903" w:type="dxa"/>
          </w:tcPr>
          <w:p w:rsidRPr="006F1424" w:rsidR="005778B0" w:rsidP="775A952C" w:rsidRDefault="0D20A4A9" w14:paraId="07FA45A7" w14:textId="1876A32E">
            <w:pPr>
              <w:spacing w:before="20" w:after="20" w:line="240" w:lineRule="auto"/>
              <w:ind w:firstLine="0"/>
              <w:rPr>
                <w:rFonts w:ascii="Times New Roman" w:hAnsi="Times New Roman"/>
                <w:sz w:val="22"/>
                <w:szCs w:val="22"/>
              </w:rPr>
            </w:pPr>
            <w:r w:rsidRPr="006F1424">
              <w:rPr>
                <w:rFonts w:ascii="Times New Roman" w:hAnsi="Times New Roman"/>
                <w:sz w:val="22"/>
                <w:szCs w:val="22"/>
              </w:rPr>
              <w:t xml:space="preserve">Staff </w:t>
            </w:r>
            <w:r w:rsidRPr="006F1424" w:rsidR="02FF6E09">
              <w:rPr>
                <w:rFonts w:ascii="Times New Roman" w:hAnsi="Times New Roman"/>
                <w:sz w:val="22"/>
                <w:szCs w:val="22"/>
              </w:rPr>
              <w:t xml:space="preserve">Case Study Interviews </w:t>
            </w:r>
          </w:p>
        </w:tc>
        <w:tc>
          <w:tcPr>
            <w:tcW w:w="1239" w:type="dxa"/>
          </w:tcPr>
          <w:p w:rsidRPr="006F1424" w:rsidR="005778B0" w:rsidP="002118D6" w:rsidRDefault="002118D6" w14:paraId="274ED27D" w14:textId="4D8C1A83">
            <w:pPr>
              <w:spacing w:before="20" w:after="20"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sz w:val="22"/>
                <w:szCs w:val="22"/>
              </w:rPr>
            </w:pPr>
            <w:r w:rsidRPr="006F1424">
              <w:rPr>
                <w:rFonts w:ascii="Times New Roman" w:hAnsi="Times New Roman"/>
                <w:sz w:val="22"/>
                <w:szCs w:val="22"/>
              </w:rPr>
              <w:t xml:space="preserve">       </w:t>
            </w:r>
            <w:r w:rsidRPr="006F1424" w:rsidR="3C4DF196">
              <w:rPr>
                <w:rFonts w:ascii="Times New Roman" w:hAnsi="Times New Roman"/>
                <w:sz w:val="22"/>
                <w:szCs w:val="22"/>
              </w:rPr>
              <w:t>10</w:t>
            </w:r>
          </w:p>
        </w:tc>
        <w:tc>
          <w:tcPr>
            <w:tcW w:w="4291" w:type="dxa"/>
          </w:tcPr>
          <w:p w:rsidRPr="006F1424" w:rsidR="005778B0" w:rsidP="00E93AAF" w:rsidRDefault="005778B0" w14:paraId="5F3BE735" w14:textId="54471010">
            <w:pPr>
              <w:tabs>
                <w:tab w:val="left" w:pos="0"/>
              </w:tabs>
              <w:spacing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Cs/>
                <w:sz w:val="22"/>
                <w:szCs w:val="22"/>
              </w:rPr>
            </w:pPr>
            <w:r w:rsidRPr="006F1424">
              <w:rPr>
                <w:rFonts w:ascii="Times New Roman" w:hAnsi="Times New Roman"/>
                <w:bCs/>
                <w:sz w:val="22"/>
                <w:szCs w:val="22"/>
              </w:rPr>
              <w:t xml:space="preserve">20 </w:t>
            </w:r>
            <w:r w:rsidRPr="006F1424" w:rsidR="005F3513">
              <w:rPr>
                <w:rFonts w:ascii="Times New Roman" w:hAnsi="Times New Roman"/>
                <w:bCs/>
                <w:sz w:val="22"/>
                <w:szCs w:val="22"/>
              </w:rPr>
              <w:t>clinician</w:t>
            </w:r>
            <w:r w:rsidRPr="006F1424">
              <w:rPr>
                <w:rFonts w:ascii="Times New Roman" w:hAnsi="Times New Roman"/>
                <w:bCs/>
                <w:sz w:val="22"/>
                <w:szCs w:val="22"/>
              </w:rPr>
              <w:t>s (2/system)</w:t>
            </w:r>
          </w:p>
          <w:p w:rsidRPr="006F1424" w:rsidR="005778B0" w:rsidP="00E93AAF" w:rsidRDefault="005778B0" w14:paraId="1821CF32" w14:textId="77777777">
            <w:pPr>
              <w:tabs>
                <w:tab w:val="left" w:pos="0"/>
              </w:tabs>
              <w:spacing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Cs/>
                <w:sz w:val="22"/>
                <w:szCs w:val="22"/>
              </w:rPr>
            </w:pPr>
            <w:r w:rsidRPr="006F1424">
              <w:rPr>
                <w:rFonts w:ascii="Times New Roman" w:hAnsi="Times New Roman"/>
                <w:bCs/>
                <w:sz w:val="22"/>
                <w:szCs w:val="22"/>
              </w:rPr>
              <w:t>20 other health care staff (2/system)</w:t>
            </w:r>
          </w:p>
        </w:tc>
        <w:tc>
          <w:tcPr>
            <w:tcW w:w="2861" w:type="dxa"/>
          </w:tcPr>
          <w:p w:rsidRPr="006F1424" w:rsidR="005778B0" w:rsidP="00E93AAF" w:rsidRDefault="005778B0" w14:paraId="64167D11" w14:textId="61958174">
            <w:pPr>
              <w:tabs>
                <w:tab w:val="left" w:pos="0"/>
              </w:tabs>
              <w:spacing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Cs/>
                <w:sz w:val="22"/>
                <w:szCs w:val="22"/>
              </w:rPr>
            </w:pPr>
            <w:r w:rsidRPr="006F1424">
              <w:rPr>
                <w:rFonts w:ascii="Times New Roman" w:hAnsi="Times New Roman"/>
                <w:bCs/>
                <w:sz w:val="22"/>
                <w:szCs w:val="22"/>
              </w:rPr>
              <w:t xml:space="preserve">Understand successes for </w:t>
            </w:r>
            <w:r w:rsidRPr="006F1424" w:rsidR="005F3513">
              <w:rPr>
                <w:rFonts w:ascii="Times New Roman" w:hAnsi="Times New Roman"/>
                <w:bCs/>
                <w:sz w:val="22"/>
                <w:szCs w:val="22"/>
              </w:rPr>
              <w:t>clinician</w:t>
            </w:r>
            <w:r w:rsidRPr="006F1424">
              <w:rPr>
                <w:rFonts w:ascii="Times New Roman" w:hAnsi="Times New Roman"/>
                <w:bCs/>
                <w:sz w:val="22"/>
                <w:szCs w:val="22"/>
              </w:rPr>
              <w:t>s</w:t>
            </w:r>
            <w:r w:rsidRPr="006F1424" w:rsidR="00251C3B">
              <w:rPr>
                <w:rFonts w:ascii="Times New Roman" w:hAnsi="Times New Roman"/>
                <w:bCs/>
                <w:sz w:val="22"/>
                <w:szCs w:val="22"/>
              </w:rPr>
              <w:t xml:space="preserve">, </w:t>
            </w:r>
            <w:r w:rsidRPr="006F1424">
              <w:rPr>
                <w:rFonts w:ascii="Times New Roman" w:hAnsi="Times New Roman"/>
                <w:bCs/>
                <w:sz w:val="22"/>
                <w:szCs w:val="22"/>
              </w:rPr>
              <w:t>teams</w:t>
            </w:r>
            <w:r w:rsidRPr="006F1424" w:rsidR="00251C3B">
              <w:rPr>
                <w:rFonts w:ascii="Times New Roman" w:hAnsi="Times New Roman"/>
                <w:bCs/>
                <w:sz w:val="22"/>
                <w:szCs w:val="22"/>
              </w:rPr>
              <w:t>,</w:t>
            </w:r>
            <w:r w:rsidRPr="006F1424">
              <w:rPr>
                <w:rFonts w:ascii="Times New Roman" w:hAnsi="Times New Roman"/>
                <w:bCs/>
                <w:sz w:val="22"/>
                <w:szCs w:val="22"/>
              </w:rPr>
              <w:t xml:space="preserve"> and patients/caregivers </w:t>
            </w:r>
          </w:p>
        </w:tc>
      </w:tr>
      <w:tr w:rsidRPr="005778B0" w:rsidR="005713C0" w:rsidTr="006F1424" w14:paraId="298E1069" w14:textId="77777777">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3" w:type="dxa"/>
          </w:tcPr>
          <w:p w:rsidRPr="006F1424" w:rsidR="005713C0" w:rsidP="000167E1" w:rsidRDefault="00251C3B" w14:paraId="793F8082" w14:textId="1405DA0E">
            <w:pPr>
              <w:tabs>
                <w:tab w:val="left" w:pos="0"/>
              </w:tabs>
              <w:spacing w:before="20" w:after="20" w:line="240" w:lineRule="auto"/>
              <w:ind w:firstLine="0"/>
              <w:rPr>
                <w:rFonts w:ascii="Times New Roman" w:hAnsi="Times New Roman"/>
                <w:sz w:val="22"/>
                <w:szCs w:val="22"/>
              </w:rPr>
            </w:pPr>
            <w:r w:rsidRPr="006F1424">
              <w:rPr>
                <w:rFonts w:ascii="Times New Roman" w:hAnsi="Times New Roman"/>
                <w:sz w:val="22"/>
                <w:szCs w:val="22"/>
              </w:rPr>
              <w:t xml:space="preserve">Patient </w:t>
            </w:r>
            <w:r w:rsidRPr="006F1424" w:rsidR="005713C0">
              <w:rPr>
                <w:rFonts w:ascii="Times New Roman" w:hAnsi="Times New Roman"/>
                <w:sz w:val="22"/>
                <w:szCs w:val="22"/>
              </w:rPr>
              <w:t>Case Study Interviews</w:t>
            </w:r>
          </w:p>
        </w:tc>
        <w:tc>
          <w:tcPr>
            <w:tcW w:w="1239" w:type="dxa"/>
          </w:tcPr>
          <w:p w:rsidRPr="006F1424" w:rsidR="005713C0" w:rsidP="002118D6" w:rsidRDefault="002118D6" w14:paraId="1431EA59" w14:textId="00056213">
            <w:pPr>
              <w:spacing w:before="20" w:after="2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1424">
              <w:rPr>
                <w:rFonts w:ascii="Times New Roman" w:hAnsi="Times New Roman"/>
                <w:sz w:val="22"/>
                <w:szCs w:val="22"/>
              </w:rPr>
              <w:t xml:space="preserve">       </w:t>
            </w:r>
            <w:r w:rsidRPr="006F1424" w:rsidR="4008806F">
              <w:rPr>
                <w:rFonts w:ascii="Times New Roman" w:hAnsi="Times New Roman"/>
                <w:sz w:val="22"/>
                <w:szCs w:val="22"/>
              </w:rPr>
              <w:t>10</w:t>
            </w:r>
          </w:p>
        </w:tc>
        <w:tc>
          <w:tcPr>
            <w:tcW w:w="4291" w:type="dxa"/>
          </w:tcPr>
          <w:p w:rsidRPr="006F1424" w:rsidR="005713C0" w:rsidP="00E93AAF" w:rsidRDefault="005713C0" w14:paraId="59F81A31" w14:textId="2FA0B643">
            <w:pPr>
              <w:tabs>
                <w:tab w:val="left" w:pos="0"/>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rPr>
            </w:pPr>
            <w:r w:rsidRPr="006F1424">
              <w:rPr>
                <w:rFonts w:ascii="Times New Roman" w:hAnsi="Times New Roman"/>
                <w:bCs/>
                <w:sz w:val="22"/>
                <w:szCs w:val="22"/>
              </w:rPr>
              <w:t>50 patients and/or caregivers (5/system)</w:t>
            </w:r>
          </w:p>
        </w:tc>
        <w:tc>
          <w:tcPr>
            <w:tcW w:w="2861" w:type="dxa"/>
          </w:tcPr>
          <w:p w:rsidRPr="006F1424" w:rsidR="005713C0" w:rsidP="00E93AAF" w:rsidRDefault="005713C0" w14:paraId="1E11BD0B" w14:textId="0CF510C7">
            <w:pPr>
              <w:tabs>
                <w:tab w:val="left" w:pos="0"/>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rPr>
            </w:pPr>
            <w:r w:rsidRPr="006F1424">
              <w:rPr>
                <w:rFonts w:ascii="Times New Roman" w:hAnsi="Times New Roman"/>
                <w:bCs/>
                <w:sz w:val="22"/>
                <w:szCs w:val="22"/>
              </w:rPr>
              <w:t>Understand successes for patients/caregivers</w:t>
            </w:r>
          </w:p>
        </w:tc>
      </w:tr>
      <w:tr w:rsidRPr="005778B0" w:rsidR="005778B0" w:rsidTr="006F1424" w14:paraId="5968CE9D" w14:textId="77777777">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903" w:type="dxa"/>
          </w:tcPr>
          <w:p w:rsidRPr="006F1424" w:rsidR="005778B0" w:rsidP="000167E1" w:rsidRDefault="005778B0" w14:paraId="2BBD7DFF" w14:textId="472922EA">
            <w:pPr>
              <w:tabs>
                <w:tab w:val="left" w:pos="0"/>
              </w:tabs>
              <w:spacing w:before="20" w:after="20" w:line="240" w:lineRule="auto"/>
              <w:ind w:firstLine="0"/>
              <w:rPr>
                <w:rFonts w:ascii="Times New Roman" w:hAnsi="Times New Roman"/>
                <w:sz w:val="22"/>
                <w:szCs w:val="22"/>
              </w:rPr>
            </w:pPr>
            <w:r w:rsidRPr="006F1424">
              <w:rPr>
                <w:rFonts w:ascii="Times New Roman" w:hAnsi="Times New Roman"/>
                <w:sz w:val="22"/>
                <w:szCs w:val="22"/>
              </w:rPr>
              <w:t>Member Checking</w:t>
            </w:r>
            <w:r w:rsidR="00B8624F">
              <w:rPr>
                <w:rFonts w:ascii="Times New Roman" w:hAnsi="Times New Roman"/>
                <w:sz w:val="22"/>
                <w:szCs w:val="22"/>
              </w:rPr>
              <w:t xml:space="preserve"> (Validation)</w:t>
            </w:r>
            <w:r w:rsidRPr="006F1424">
              <w:rPr>
                <w:rFonts w:ascii="Times New Roman" w:hAnsi="Times New Roman"/>
                <w:sz w:val="22"/>
                <w:szCs w:val="22"/>
              </w:rPr>
              <w:t xml:space="preserve"> Sessions</w:t>
            </w:r>
          </w:p>
        </w:tc>
        <w:tc>
          <w:tcPr>
            <w:tcW w:w="1239" w:type="dxa"/>
          </w:tcPr>
          <w:p w:rsidRPr="006F1424" w:rsidR="005778B0" w:rsidP="002118D6" w:rsidRDefault="002118D6" w14:paraId="1F9774E8" w14:textId="11C9013E">
            <w:pPr>
              <w:spacing w:before="20" w:after="20"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sz w:val="22"/>
                <w:szCs w:val="22"/>
              </w:rPr>
            </w:pPr>
            <w:r w:rsidRPr="006F1424">
              <w:rPr>
                <w:rFonts w:ascii="Times New Roman" w:hAnsi="Times New Roman"/>
                <w:sz w:val="22"/>
                <w:szCs w:val="22"/>
              </w:rPr>
              <w:t xml:space="preserve">       </w:t>
            </w:r>
            <w:r w:rsidRPr="006F1424" w:rsidR="3B6D1549">
              <w:rPr>
                <w:rFonts w:ascii="Times New Roman" w:hAnsi="Times New Roman"/>
                <w:sz w:val="22"/>
                <w:szCs w:val="22"/>
              </w:rPr>
              <w:t>10</w:t>
            </w:r>
          </w:p>
        </w:tc>
        <w:tc>
          <w:tcPr>
            <w:tcW w:w="4291" w:type="dxa"/>
          </w:tcPr>
          <w:p w:rsidRPr="006F1424" w:rsidR="005778B0" w:rsidP="2CA32994" w:rsidRDefault="00772351" w14:paraId="106CB6E2" w14:textId="558AA100">
            <w:pPr>
              <w:spacing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sz w:val="22"/>
                <w:szCs w:val="22"/>
              </w:rPr>
            </w:pPr>
            <w:r w:rsidRPr="006F1424">
              <w:rPr>
                <w:rFonts w:ascii="Times New Roman" w:hAnsi="Times New Roman"/>
                <w:bCs/>
                <w:sz w:val="22"/>
                <w:szCs w:val="22"/>
              </w:rPr>
              <w:t>50 (5/system)</w:t>
            </w:r>
          </w:p>
        </w:tc>
        <w:tc>
          <w:tcPr>
            <w:tcW w:w="2861" w:type="dxa"/>
          </w:tcPr>
          <w:p w:rsidRPr="006F1424" w:rsidR="005778B0" w:rsidP="00E93AAF" w:rsidRDefault="005778B0" w14:paraId="35B0C455" w14:textId="77777777">
            <w:pPr>
              <w:tabs>
                <w:tab w:val="left" w:pos="0"/>
              </w:tabs>
              <w:spacing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Cs/>
                <w:sz w:val="22"/>
                <w:szCs w:val="22"/>
              </w:rPr>
            </w:pPr>
            <w:r w:rsidRPr="006F1424">
              <w:rPr>
                <w:rFonts w:ascii="Times New Roman" w:hAnsi="Times New Roman"/>
                <w:bCs/>
                <w:sz w:val="22"/>
                <w:szCs w:val="22"/>
              </w:rPr>
              <w:t xml:space="preserve">Validate individual system’s findings </w:t>
            </w:r>
          </w:p>
        </w:tc>
      </w:tr>
    </w:tbl>
    <w:bookmarkEnd w:id="17"/>
    <w:p w:rsidRPr="00057DDA" w:rsidR="00057DDA" w:rsidP="000167E1" w:rsidRDefault="00B8322F" w14:paraId="664D56A0" w14:textId="59F04513">
      <w:pPr>
        <w:pStyle w:val="NormalSS"/>
        <w:tabs>
          <w:tab w:val="left" w:pos="0"/>
        </w:tabs>
        <w:spacing w:before="360"/>
        <w:ind w:firstLine="0"/>
      </w:pPr>
      <w:r w:rsidRPr="00B8322F">
        <w:t>Below, we discuss the specific use of the information collected under each method.</w:t>
      </w:r>
    </w:p>
    <w:p w:rsidRPr="002F376A" w:rsidR="00E00B0B" w:rsidP="06656504" w:rsidRDefault="6C34DF6C" w14:paraId="792EF688" w14:textId="6C243750">
      <w:pPr>
        <w:pStyle w:val="Heading2NoTOC"/>
        <w:ind w:left="0" w:firstLine="0"/>
        <w:rPr>
          <w:rFonts w:ascii="Times New Roman" w:hAnsi="Times New Roman" w:eastAsiaTheme="minorEastAsia"/>
          <w:b/>
          <w:bCs/>
          <w:sz w:val="24"/>
          <w:szCs w:val="24"/>
        </w:rPr>
      </w:pPr>
      <w:r w:rsidRPr="00DB571B">
        <w:rPr>
          <w:rFonts w:ascii="Times New Roman" w:hAnsi="Times New Roman" w:eastAsiaTheme="minorEastAsia"/>
          <w:b/>
          <w:bCs/>
          <w:sz w:val="24"/>
          <w:szCs w:val="24"/>
        </w:rPr>
        <w:t xml:space="preserve">Primary Care Clinician </w:t>
      </w:r>
      <w:r w:rsidRPr="00DB571B" w:rsidR="262DD00F">
        <w:rPr>
          <w:rFonts w:ascii="Times New Roman" w:hAnsi="Times New Roman" w:eastAsiaTheme="minorEastAsia"/>
          <w:b/>
          <w:bCs/>
          <w:sz w:val="24"/>
          <w:szCs w:val="24"/>
        </w:rPr>
        <w:t>Survey</w:t>
      </w:r>
      <w:r w:rsidRPr="00DB571B" w:rsidR="00DF0B2B">
        <w:rPr>
          <w:rFonts w:ascii="Times New Roman" w:hAnsi="Times New Roman" w:eastAsiaTheme="minorEastAsia"/>
          <w:b/>
          <w:bCs/>
          <w:sz w:val="24"/>
          <w:szCs w:val="24"/>
        </w:rPr>
        <w:t xml:space="preserve"> (Attachment</w:t>
      </w:r>
      <w:r w:rsidR="002F376A">
        <w:rPr>
          <w:rFonts w:ascii="Times New Roman" w:hAnsi="Times New Roman" w:eastAsiaTheme="minorEastAsia"/>
          <w:b/>
          <w:bCs/>
          <w:sz w:val="24"/>
          <w:szCs w:val="24"/>
        </w:rPr>
        <w:t>s</w:t>
      </w:r>
      <w:r w:rsidRPr="00DB571B" w:rsidR="00DF0B2B">
        <w:rPr>
          <w:rFonts w:ascii="Times New Roman" w:hAnsi="Times New Roman" w:eastAsiaTheme="minorEastAsia"/>
          <w:b/>
          <w:bCs/>
          <w:sz w:val="24"/>
          <w:szCs w:val="24"/>
        </w:rPr>
        <w:t xml:space="preserve"> A</w:t>
      </w:r>
      <w:r w:rsidR="00F44631">
        <w:rPr>
          <w:rFonts w:ascii="Times New Roman" w:hAnsi="Times New Roman" w:eastAsiaTheme="minorEastAsia"/>
          <w:b/>
          <w:bCs/>
          <w:sz w:val="24"/>
          <w:szCs w:val="24"/>
        </w:rPr>
        <w:t xml:space="preserve"> &amp; J</w:t>
      </w:r>
      <w:r w:rsidRPr="002F376A" w:rsidR="00DF0B2B">
        <w:rPr>
          <w:rFonts w:ascii="Times New Roman" w:hAnsi="Times New Roman" w:eastAsiaTheme="minorEastAsia"/>
          <w:b/>
          <w:bCs/>
          <w:sz w:val="24"/>
          <w:szCs w:val="24"/>
        </w:rPr>
        <w:t>)</w:t>
      </w:r>
    </w:p>
    <w:p w:rsidRPr="00BE0461" w:rsidR="00BE0461" w:rsidP="5FA61A53" w:rsidRDefault="00520614" w14:paraId="64A3353E" w14:textId="4E0C8BCA">
      <w:pPr>
        <w:pStyle w:val="BodyText"/>
        <w:ind w:left="0" w:right="0"/>
        <w:rPr>
          <w:rFonts w:asciiTheme="majorBidi" w:hAnsiTheme="majorBidi" w:cstheme="majorBidi"/>
        </w:rPr>
      </w:pPr>
      <w:r>
        <w:t>We will conduct a survey of</w:t>
      </w:r>
      <w:r w:rsidR="008A70E1">
        <w:t xml:space="preserve"> approximately 1,182</w:t>
      </w:r>
      <w:r>
        <w:t xml:space="preserve"> primary care </w:t>
      </w:r>
      <w:r w:rsidR="00703C43">
        <w:t>clinicians</w:t>
      </w:r>
      <w:r w:rsidRPr="5FA61A53">
        <w:rPr>
          <w:b/>
          <w:bCs/>
        </w:rPr>
        <w:t xml:space="preserve"> </w:t>
      </w:r>
      <w:r w:rsidRPr="00A42C06" w:rsidR="003833CB">
        <w:t xml:space="preserve">who are able to prescribe opioids </w:t>
      </w:r>
      <w:r w:rsidR="008A70E1">
        <w:t xml:space="preserve">among ten </w:t>
      </w:r>
      <w:r>
        <w:t xml:space="preserve">participating health systems that agree to field a survey of their </w:t>
      </w:r>
      <w:r w:rsidR="00703C43">
        <w:t xml:space="preserve">staff </w:t>
      </w:r>
      <w:r>
        <w:t xml:space="preserve">to understand the </w:t>
      </w:r>
      <w:r w:rsidR="00703C43">
        <w:t xml:space="preserve">clinician </w:t>
      </w:r>
      <w:r>
        <w:t xml:space="preserve">perspective </w:t>
      </w:r>
      <w:r w:rsidR="00611A58">
        <w:t xml:space="preserve">on </w:t>
      </w:r>
      <w:r w:rsidR="00B8624F">
        <w:t xml:space="preserve">pain management and opioid prescribing </w:t>
      </w:r>
      <w:r w:rsidR="00611A58">
        <w:t>guideline</w:t>
      </w:r>
      <w:r w:rsidR="00D74723">
        <w:t xml:space="preserve"> and </w:t>
      </w:r>
      <w:r w:rsidR="00611A58">
        <w:t xml:space="preserve">policy implementation in their health systems, effects on patient outcomes, </w:t>
      </w:r>
      <w:r>
        <w:t>and patient-clinician communication.</w:t>
      </w:r>
      <w:r w:rsidR="00E00B0B">
        <w:t xml:space="preserve"> The </w:t>
      </w:r>
      <w:r w:rsidRPr="5FA61A53" w:rsidR="00E00B0B">
        <w:rPr>
          <w:rFonts w:asciiTheme="majorBidi" w:hAnsiTheme="majorBidi" w:cstheme="majorBidi"/>
        </w:rPr>
        <w:t>survey is expected to take 1</w:t>
      </w:r>
      <w:r w:rsidRPr="5FA61A53" w:rsidR="00DC3A18">
        <w:rPr>
          <w:rFonts w:asciiTheme="majorBidi" w:hAnsiTheme="majorBidi" w:cstheme="majorBidi"/>
        </w:rPr>
        <w:t>0</w:t>
      </w:r>
      <w:r w:rsidRPr="5FA61A53" w:rsidR="00E00B0B">
        <w:rPr>
          <w:rFonts w:asciiTheme="majorBidi" w:hAnsiTheme="majorBidi" w:cstheme="majorBidi"/>
        </w:rPr>
        <w:t xml:space="preserve"> minutes to complete. The proposed survey domains </w:t>
      </w:r>
      <w:r w:rsidRPr="5FA61A53" w:rsidR="00BE0461">
        <w:rPr>
          <w:rFonts w:asciiTheme="majorBidi" w:hAnsiTheme="majorBidi" w:cstheme="majorBidi"/>
        </w:rPr>
        <w:t>include:</w:t>
      </w:r>
    </w:p>
    <w:p w:rsidR="00BE0461" w:rsidP="00401F49" w:rsidRDefault="39F6FBBD" w14:paraId="1251FB9F" w14:textId="77BE0126">
      <w:pPr>
        <w:pStyle w:val="ListBullet"/>
        <w:numPr>
          <w:ilvl w:val="0"/>
          <w:numId w:val="13"/>
        </w:numPr>
        <w:spacing w:after="0"/>
        <w:ind w:left="0" w:firstLine="0"/>
        <w:rPr>
          <w:rFonts w:asciiTheme="majorBidi" w:hAnsiTheme="majorBidi" w:cstheme="majorBidi"/>
          <w:sz w:val="24"/>
          <w:szCs w:val="24"/>
        </w:rPr>
      </w:pPr>
      <w:r w:rsidRPr="775A952C">
        <w:rPr>
          <w:rFonts w:asciiTheme="majorBidi" w:hAnsiTheme="majorBidi" w:cstheme="majorBidi"/>
          <w:sz w:val="24"/>
          <w:szCs w:val="24"/>
        </w:rPr>
        <w:t>Attitudes, knowledge</w:t>
      </w:r>
      <w:r w:rsidRPr="775A952C" w:rsidR="3A5F9194">
        <w:rPr>
          <w:rFonts w:asciiTheme="majorBidi" w:hAnsiTheme="majorBidi" w:cstheme="majorBidi"/>
          <w:sz w:val="24"/>
          <w:szCs w:val="24"/>
        </w:rPr>
        <w:t>, awareness of, confidence regarding,</w:t>
      </w:r>
      <w:r w:rsidRPr="775A952C">
        <w:rPr>
          <w:rFonts w:asciiTheme="majorBidi" w:hAnsiTheme="majorBidi" w:cstheme="majorBidi"/>
          <w:sz w:val="24"/>
          <w:szCs w:val="24"/>
        </w:rPr>
        <w:t xml:space="preserve"> and perception of </w:t>
      </w:r>
      <w:r w:rsidRPr="775A952C" w:rsidR="3A5F9194">
        <w:rPr>
          <w:rFonts w:asciiTheme="majorBidi" w:hAnsiTheme="majorBidi" w:cstheme="majorBidi"/>
          <w:sz w:val="24"/>
          <w:szCs w:val="24"/>
        </w:rPr>
        <w:t xml:space="preserve">guidelines and policies implemented in their health system </w:t>
      </w:r>
    </w:p>
    <w:p w:rsidRPr="00A1695D" w:rsidR="00E00B0B" w:rsidP="00401F49" w:rsidRDefault="007C4BE5" w14:paraId="04640A05" w14:textId="571ADFF0">
      <w:pPr>
        <w:pStyle w:val="ListBullet"/>
        <w:numPr>
          <w:ilvl w:val="0"/>
          <w:numId w:val="13"/>
        </w:numPr>
        <w:spacing w:after="0"/>
        <w:ind w:left="0" w:firstLine="0"/>
        <w:rPr>
          <w:rFonts w:asciiTheme="majorBidi" w:hAnsiTheme="majorBidi" w:cstheme="majorBidi"/>
          <w:sz w:val="24"/>
          <w:szCs w:val="24"/>
        </w:rPr>
      </w:pPr>
      <w:r w:rsidRPr="5FA61A53">
        <w:rPr>
          <w:rFonts w:asciiTheme="majorBidi" w:hAnsiTheme="majorBidi" w:cstheme="majorBidi"/>
          <w:sz w:val="24"/>
          <w:szCs w:val="24"/>
        </w:rPr>
        <w:t xml:space="preserve">Observed </w:t>
      </w:r>
      <w:r w:rsidRPr="5FA61A53" w:rsidR="00C259EE">
        <w:rPr>
          <w:rFonts w:asciiTheme="majorBidi" w:hAnsiTheme="majorBidi" w:cstheme="majorBidi"/>
          <w:sz w:val="24"/>
          <w:szCs w:val="24"/>
        </w:rPr>
        <w:t xml:space="preserve">benefits and </w:t>
      </w:r>
      <w:r w:rsidRPr="5FA61A53">
        <w:rPr>
          <w:rFonts w:asciiTheme="majorBidi" w:hAnsiTheme="majorBidi" w:cstheme="majorBidi"/>
          <w:sz w:val="24"/>
          <w:szCs w:val="24"/>
        </w:rPr>
        <w:t>u</w:t>
      </w:r>
      <w:r w:rsidRPr="5FA61A53" w:rsidR="00BE0461">
        <w:rPr>
          <w:rFonts w:asciiTheme="majorBidi" w:hAnsiTheme="majorBidi" w:cstheme="majorBidi"/>
          <w:sz w:val="24"/>
          <w:szCs w:val="24"/>
        </w:rPr>
        <w:t xml:space="preserve">nintended consequences </w:t>
      </w:r>
    </w:p>
    <w:p w:rsidRPr="00BE0461" w:rsidR="00E00B0B" w:rsidP="00401F49" w:rsidRDefault="00E00B0B" w14:paraId="20C86F0F" w14:textId="77777777">
      <w:pPr>
        <w:pStyle w:val="ListBullet"/>
        <w:numPr>
          <w:ilvl w:val="0"/>
          <w:numId w:val="13"/>
        </w:numPr>
        <w:tabs>
          <w:tab w:val="left" w:pos="0"/>
        </w:tabs>
        <w:spacing w:after="0"/>
        <w:ind w:left="0" w:firstLine="0"/>
        <w:rPr>
          <w:rFonts w:asciiTheme="majorBidi" w:hAnsiTheme="majorBidi" w:cstheme="majorBidi"/>
          <w:sz w:val="24"/>
          <w:szCs w:val="24"/>
        </w:rPr>
      </w:pPr>
      <w:r w:rsidRPr="00BE0461">
        <w:rPr>
          <w:rFonts w:asciiTheme="majorBidi" w:hAnsiTheme="majorBidi" w:cstheme="majorBidi"/>
          <w:sz w:val="24"/>
          <w:szCs w:val="24"/>
        </w:rPr>
        <w:lastRenderedPageBreak/>
        <w:t xml:space="preserve">Reported observations of patients </w:t>
      </w:r>
    </w:p>
    <w:p w:rsidRPr="00BE0461" w:rsidR="00E00B0B" w:rsidP="00401F49" w:rsidRDefault="00E00B0B" w14:paraId="54ECBEE6" w14:textId="608B259F">
      <w:pPr>
        <w:pStyle w:val="ListBullet"/>
        <w:numPr>
          <w:ilvl w:val="0"/>
          <w:numId w:val="13"/>
        </w:numPr>
        <w:spacing w:after="0"/>
        <w:ind w:left="0" w:firstLine="0"/>
        <w:rPr>
          <w:rFonts w:asciiTheme="majorBidi" w:hAnsiTheme="majorBidi" w:cstheme="majorBidi"/>
          <w:sz w:val="24"/>
          <w:szCs w:val="24"/>
        </w:rPr>
      </w:pPr>
      <w:r w:rsidRPr="5FA61A53">
        <w:rPr>
          <w:rFonts w:asciiTheme="majorBidi" w:hAnsiTheme="majorBidi" w:cstheme="majorBidi"/>
          <w:sz w:val="24"/>
          <w:szCs w:val="24"/>
        </w:rPr>
        <w:t>Clinic-level</w:t>
      </w:r>
      <w:r w:rsidRPr="5FA61A53" w:rsidR="000D27AA">
        <w:rPr>
          <w:rFonts w:asciiTheme="majorBidi" w:hAnsiTheme="majorBidi" w:cstheme="majorBidi"/>
          <w:sz w:val="24"/>
          <w:szCs w:val="24"/>
        </w:rPr>
        <w:t xml:space="preserve"> </w:t>
      </w:r>
      <w:r w:rsidRPr="5FA61A53" w:rsidR="00BE0461">
        <w:rPr>
          <w:rFonts w:asciiTheme="majorBidi" w:hAnsiTheme="majorBidi" w:cstheme="majorBidi"/>
          <w:sz w:val="24"/>
          <w:szCs w:val="24"/>
        </w:rPr>
        <w:t>practices and resources</w:t>
      </w:r>
      <w:r w:rsidRPr="5FA61A53">
        <w:rPr>
          <w:rFonts w:asciiTheme="majorBidi" w:hAnsiTheme="majorBidi" w:cstheme="majorBidi"/>
          <w:sz w:val="24"/>
          <w:szCs w:val="24"/>
        </w:rPr>
        <w:t xml:space="preserve"> </w:t>
      </w:r>
      <w:r w:rsidRPr="5FA61A53" w:rsidR="00B82556">
        <w:rPr>
          <w:rFonts w:asciiTheme="majorBidi" w:hAnsiTheme="majorBidi" w:cstheme="majorBidi"/>
          <w:sz w:val="24"/>
          <w:szCs w:val="24"/>
        </w:rPr>
        <w:t xml:space="preserve">(e.g., policies, support, </w:t>
      </w:r>
      <w:r w:rsidRPr="5FA61A53" w:rsidR="00D30DF2">
        <w:rPr>
          <w:rFonts w:asciiTheme="majorBidi" w:hAnsiTheme="majorBidi" w:cstheme="majorBidi"/>
          <w:sz w:val="24"/>
          <w:szCs w:val="24"/>
        </w:rPr>
        <w:t xml:space="preserve">QI </w:t>
      </w:r>
      <w:r w:rsidRPr="5FA61A53" w:rsidR="00B82556">
        <w:rPr>
          <w:rFonts w:asciiTheme="majorBidi" w:hAnsiTheme="majorBidi" w:cstheme="majorBidi"/>
          <w:sz w:val="24"/>
          <w:szCs w:val="24"/>
        </w:rPr>
        <w:t>measures and monitoring)</w:t>
      </w:r>
    </w:p>
    <w:p w:rsidRPr="00BE0461" w:rsidR="00E00B0B" w:rsidP="00401F49" w:rsidRDefault="00E00B0B" w14:paraId="7CAFEFC4" w14:textId="4A31ED4A">
      <w:pPr>
        <w:pStyle w:val="ListBullet"/>
        <w:numPr>
          <w:ilvl w:val="0"/>
          <w:numId w:val="13"/>
        </w:numPr>
        <w:tabs>
          <w:tab w:val="left" w:pos="0"/>
        </w:tabs>
        <w:spacing w:after="0"/>
        <w:ind w:left="0" w:firstLine="0"/>
        <w:rPr>
          <w:rFonts w:asciiTheme="majorBidi" w:hAnsiTheme="majorBidi" w:cstheme="majorBidi"/>
          <w:sz w:val="24"/>
          <w:szCs w:val="24"/>
        </w:rPr>
      </w:pPr>
      <w:r w:rsidRPr="00BE0461">
        <w:rPr>
          <w:rFonts w:asciiTheme="majorBidi" w:hAnsiTheme="majorBidi" w:cstheme="majorBidi"/>
          <w:sz w:val="24"/>
          <w:szCs w:val="24"/>
        </w:rPr>
        <w:t>Implementation</w:t>
      </w:r>
      <w:r w:rsidRPr="00BE0461" w:rsidR="00B82556">
        <w:rPr>
          <w:rFonts w:asciiTheme="majorBidi" w:hAnsiTheme="majorBidi" w:cstheme="majorBidi"/>
          <w:sz w:val="24"/>
          <w:szCs w:val="24"/>
        </w:rPr>
        <w:t xml:space="preserve"> (e.g., opioid QI efforts, challenges, barriers)</w:t>
      </w:r>
    </w:p>
    <w:p w:rsidRPr="00BE0461" w:rsidR="00E00B0B" w:rsidP="00401F49" w:rsidRDefault="00E00B0B" w14:paraId="1087838D" w14:textId="77777777">
      <w:pPr>
        <w:pStyle w:val="ListBullet"/>
        <w:numPr>
          <w:ilvl w:val="0"/>
          <w:numId w:val="13"/>
        </w:numPr>
        <w:spacing w:after="0"/>
        <w:ind w:left="0" w:firstLine="0"/>
        <w:rPr>
          <w:rFonts w:asciiTheme="majorBidi" w:hAnsiTheme="majorBidi" w:cstheme="majorBidi"/>
          <w:sz w:val="24"/>
          <w:szCs w:val="24"/>
        </w:rPr>
      </w:pPr>
      <w:r w:rsidRPr="2229C56D">
        <w:rPr>
          <w:rFonts w:asciiTheme="majorBidi" w:hAnsiTheme="majorBidi" w:cstheme="majorBidi"/>
          <w:sz w:val="24"/>
          <w:szCs w:val="24"/>
        </w:rPr>
        <w:t>Patient-clinician communication</w:t>
      </w:r>
    </w:p>
    <w:p w:rsidRPr="00BE0461" w:rsidR="00E00B0B" w:rsidP="00401F49" w:rsidRDefault="00E00B0B" w14:paraId="38515308" w14:textId="478B157C">
      <w:pPr>
        <w:pStyle w:val="ListBullet"/>
        <w:numPr>
          <w:ilvl w:val="0"/>
          <w:numId w:val="13"/>
        </w:numPr>
        <w:tabs>
          <w:tab w:val="left" w:pos="0"/>
        </w:tabs>
        <w:spacing w:after="0"/>
        <w:ind w:left="0" w:firstLine="0"/>
        <w:rPr>
          <w:rFonts w:asciiTheme="majorBidi" w:hAnsiTheme="majorBidi" w:cstheme="majorBidi"/>
          <w:sz w:val="24"/>
          <w:szCs w:val="24"/>
        </w:rPr>
      </w:pPr>
      <w:r w:rsidRPr="00BE0461">
        <w:rPr>
          <w:rFonts w:asciiTheme="majorBidi" w:hAnsiTheme="majorBidi" w:cstheme="majorBidi"/>
          <w:sz w:val="24"/>
          <w:szCs w:val="24"/>
        </w:rPr>
        <w:t xml:space="preserve">Clinic </w:t>
      </w:r>
      <w:r w:rsidRPr="00BE0461" w:rsidR="000D27AA">
        <w:rPr>
          <w:rFonts w:asciiTheme="majorBidi" w:hAnsiTheme="majorBidi" w:cstheme="majorBidi"/>
          <w:sz w:val="24"/>
          <w:szCs w:val="24"/>
        </w:rPr>
        <w:t>e</w:t>
      </w:r>
      <w:r w:rsidRPr="00BE0461">
        <w:rPr>
          <w:rFonts w:asciiTheme="majorBidi" w:hAnsiTheme="majorBidi" w:cstheme="majorBidi"/>
          <w:sz w:val="24"/>
          <w:szCs w:val="24"/>
        </w:rPr>
        <w:t>nvironment</w:t>
      </w:r>
      <w:r w:rsidRPr="00BE0461" w:rsidR="00B82556">
        <w:rPr>
          <w:rFonts w:asciiTheme="majorBidi" w:hAnsiTheme="majorBidi" w:cstheme="majorBidi"/>
          <w:sz w:val="24"/>
          <w:szCs w:val="24"/>
        </w:rPr>
        <w:t xml:space="preserve"> (e.g., practice capacity, major disruptions)</w:t>
      </w:r>
    </w:p>
    <w:p w:rsidR="00E00B0B" w:rsidP="00401F49" w:rsidRDefault="00E00B0B" w14:paraId="3D5E6BEB" w14:textId="24BCB162">
      <w:pPr>
        <w:pStyle w:val="ListBullet"/>
        <w:numPr>
          <w:ilvl w:val="0"/>
          <w:numId w:val="13"/>
        </w:numPr>
        <w:tabs>
          <w:tab w:val="left" w:pos="0"/>
        </w:tabs>
        <w:spacing w:after="0"/>
        <w:ind w:left="0" w:firstLine="0"/>
        <w:rPr>
          <w:rFonts w:asciiTheme="majorBidi" w:hAnsiTheme="majorBidi" w:cstheme="majorBidi"/>
          <w:sz w:val="24"/>
          <w:szCs w:val="24"/>
        </w:rPr>
      </w:pPr>
      <w:r w:rsidRPr="00BE0461">
        <w:rPr>
          <w:rFonts w:asciiTheme="majorBidi" w:hAnsiTheme="majorBidi" w:cstheme="majorBidi"/>
          <w:sz w:val="24"/>
          <w:szCs w:val="24"/>
        </w:rPr>
        <w:t>Respondent characteristics</w:t>
      </w:r>
      <w:r w:rsidRPr="00BE0461" w:rsidR="00B82556">
        <w:rPr>
          <w:rFonts w:asciiTheme="majorBidi" w:hAnsiTheme="majorBidi" w:cstheme="majorBidi"/>
          <w:sz w:val="24"/>
          <w:szCs w:val="24"/>
        </w:rPr>
        <w:t xml:space="preserve"> (e.g., burnout, stress, specialty, years in practice)</w:t>
      </w:r>
    </w:p>
    <w:p w:rsidR="007C4BE5" w:rsidP="007C4BE5" w:rsidRDefault="007C4BE5" w14:paraId="75EDBED6" w14:textId="34A92060">
      <w:pPr>
        <w:pStyle w:val="ListBullet"/>
        <w:tabs>
          <w:tab w:val="left" w:pos="0"/>
        </w:tabs>
        <w:spacing w:after="0"/>
        <w:rPr>
          <w:rFonts w:asciiTheme="majorBidi" w:hAnsiTheme="majorBidi" w:cstheme="majorBidi"/>
          <w:sz w:val="24"/>
          <w:szCs w:val="24"/>
        </w:rPr>
      </w:pPr>
    </w:p>
    <w:p w:rsidR="0005600F" w:rsidP="202DDC62" w:rsidRDefault="00D74723" w14:paraId="1B92A253" w14:textId="0B339650">
      <w:pPr>
        <w:pStyle w:val="ListBullet"/>
        <w:spacing w:after="0"/>
        <w:rPr>
          <w:rFonts w:asciiTheme="majorBidi" w:hAnsiTheme="majorBidi" w:cstheme="majorBidi"/>
          <w:sz w:val="24"/>
          <w:szCs w:val="24"/>
        </w:rPr>
      </w:pPr>
      <w:bookmarkStart w:name="_Hlk79173693" w:id="18"/>
      <w:r w:rsidRPr="23375CF2">
        <w:rPr>
          <w:rFonts w:asciiTheme="majorBidi" w:hAnsiTheme="majorBidi" w:cstheme="majorBidi"/>
          <w:sz w:val="24"/>
          <w:szCs w:val="24"/>
        </w:rPr>
        <w:t>T</w:t>
      </w:r>
      <w:r w:rsidRPr="23375CF2" w:rsidR="007C4BE5">
        <w:rPr>
          <w:rFonts w:asciiTheme="majorBidi" w:hAnsiTheme="majorBidi" w:cstheme="majorBidi"/>
          <w:sz w:val="24"/>
          <w:szCs w:val="24"/>
        </w:rPr>
        <w:t>he survey will ask primary care clinicians about their awareness of</w:t>
      </w:r>
      <w:r w:rsidRPr="23375CF2">
        <w:rPr>
          <w:rFonts w:asciiTheme="majorBidi" w:hAnsiTheme="majorBidi" w:cstheme="majorBidi"/>
          <w:sz w:val="24"/>
          <w:szCs w:val="24"/>
        </w:rPr>
        <w:t xml:space="preserve"> chronic</w:t>
      </w:r>
      <w:r w:rsidRPr="23375CF2" w:rsidR="007C4BE5">
        <w:rPr>
          <w:rFonts w:asciiTheme="majorBidi" w:hAnsiTheme="majorBidi" w:cstheme="majorBidi"/>
          <w:sz w:val="24"/>
          <w:szCs w:val="24"/>
        </w:rPr>
        <w:t xml:space="preserve"> pain management</w:t>
      </w:r>
      <w:r w:rsidR="00B8624F">
        <w:rPr>
          <w:rFonts w:asciiTheme="majorBidi" w:hAnsiTheme="majorBidi" w:cstheme="majorBidi"/>
          <w:sz w:val="24"/>
          <w:szCs w:val="24"/>
        </w:rPr>
        <w:t xml:space="preserve"> and</w:t>
      </w:r>
      <w:r w:rsidRPr="23375CF2" w:rsidR="007C4BE5">
        <w:rPr>
          <w:rFonts w:asciiTheme="majorBidi" w:hAnsiTheme="majorBidi" w:cstheme="majorBidi"/>
          <w:sz w:val="24"/>
          <w:szCs w:val="24"/>
        </w:rPr>
        <w:t xml:space="preserve"> opioid prescribing policies and guidelines implemented in their health systems; prescribing behaviors before and after implementation; confidence in caring for patients with chronic pain; the impact of </w:t>
      </w:r>
      <w:r w:rsidRPr="23375CF2" w:rsidR="00CD2591">
        <w:rPr>
          <w:rFonts w:asciiTheme="majorBidi" w:hAnsiTheme="majorBidi" w:cstheme="majorBidi"/>
          <w:sz w:val="24"/>
          <w:szCs w:val="24"/>
        </w:rPr>
        <w:t xml:space="preserve">guideline/policy </w:t>
      </w:r>
      <w:r w:rsidRPr="23375CF2" w:rsidR="007C4BE5">
        <w:rPr>
          <w:rFonts w:asciiTheme="majorBidi" w:hAnsiTheme="majorBidi" w:cstheme="majorBidi"/>
          <w:sz w:val="24"/>
          <w:szCs w:val="24"/>
        </w:rPr>
        <w:t>implementation on day-to-day work; barriers to care for patients</w:t>
      </w:r>
      <w:r w:rsidR="008F01E3">
        <w:rPr>
          <w:rFonts w:asciiTheme="majorBidi" w:hAnsiTheme="majorBidi" w:cstheme="majorBidi"/>
          <w:sz w:val="24"/>
          <w:szCs w:val="24"/>
        </w:rPr>
        <w:t xml:space="preserve"> with chronic pain</w:t>
      </w:r>
      <w:r w:rsidRPr="23375CF2" w:rsidR="007C4BE5">
        <w:rPr>
          <w:rFonts w:asciiTheme="majorBidi" w:hAnsiTheme="majorBidi" w:cstheme="majorBidi"/>
          <w:sz w:val="24"/>
          <w:szCs w:val="24"/>
        </w:rPr>
        <w:t>; and prescribing or referring for MOUD</w:t>
      </w:r>
      <w:r w:rsidRPr="23375CF2" w:rsidR="00611A58">
        <w:rPr>
          <w:rFonts w:asciiTheme="majorBidi" w:hAnsiTheme="majorBidi" w:cstheme="majorBidi"/>
          <w:sz w:val="24"/>
          <w:szCs w:val="24"/>
        </w:rPr>
        <w:t>.</w:t>
      </w:r>
    </w:p>
    <w:p w:rsidR="00FD0AC8" w:rsidP="202DDC62" w:rsidRDefault="00FD0AC8" w14:paraId="551A2C37" w14:textId="77777777">
      <w:pPr>
        <w:pStyle w:val="ListBullet"/>
        <w:spacing w:after="0"/>
        <w:rPr>
          <w:rFonts w:asciiTheme="majorBidi" w:hAnsiTheme="majorBidi" w:cstheme="majorBidi"/>
          <w:sz w:val="24"/>
          <w:szCs w:val="24"/>
        </w:rPr>
      </w:pPr>
    </w:p>
    <w:bookmarkEnd w:id="18"/>
    <w:p w:rsidRPr="002F376A" w:rsidR="00E00B0B" w:rsidP="5FA61A53" w:rsidRDefault="00E00B0B" w14:paraId="425AAECB" w14:textId="49DC47B4">
      <w:pPr>
        <w:pStyle w:val="Heading2NoTOC"/>
        <w:ind w:left="0" w:firstLine="0"/>
        <w:rPr>
          <w:rFonts w:ascii="Times New Roman" w:hAnsi="Times New Roman" w:eastAsiaTheme="minorEastAsia"/>
          <w:b/>
          <w:bCs/>
          <w:sz w:val="24"/>
          <w:szCs w:val="24"/>
        </w:rPr>
      </w:pPr>
      <w:r w:rsidRPr="002F376A">
        <w:rPr>
          <w:rFonts w:ascii="Times New Roman" w:hAnsi="Times New Roman" w:eastAsiaTheme="minorEastAsia"/>
          <w:b/>
          <w:bCs/>
          <w:sz w:val="24"/>
          <w:szCs w:val="24"/>
        </w:rPr>
        <w:t xml:space="preserve">Patient Survey </w:t>
      </w:r>
      <w:r w:rsidRPr="002F376A" w:rsidR="00933DCA">
        <w:rPr>
          <w:rFonts w:ascii="Times New Roman" w:hAnsi="Times New Roman" w:eastAsiaTheme="minorEastAsia"/>
          <w:b/>
          <w:bCs/>
          <w:sz w:val="24"/>
          <w:szCs w:val="24"/>
        </w:rPr>
        <w:t>(Attachment</w:t>
      </w:r>
      <w:r w:rsidR="002F376A">
        <w:rPr>
          <w:rFonts w:ascii="Times New Roman" w:hAnsi="Times New Roman" w:eastAsiaTheme="minorEastAsia"/>
          <w:b/>
          <w:bCs/>
          <w:sz w:val="24"/>
          <w:szCs w:val="24"/>
        </w:rPr>
        <w:t>s</w:t>
      </w:r>
      <w:r w:rsidRPr="002F376A" w:rsidR="00933DCA">
        <w:rPr>
          <w:rFonts w:ascii="Times New Roman" w:hAnsi="Times New Roman" w:eastAsiaTheme="minorEastAsia"/>
          <w:b/>
          <w:bCs/>
          <w:sz w:val="24"/>
          <w:szCs w:val="24"/>
        </w:rPr>
        <w:t xml:space="preserve"> B</w:t>
      </w:r>
      <w:r w:rsidR="00F44631">
        <w:rPr>
          <w:rFonts w:ascii="Times New Roman" w:hAnsi="Times New Roman" w:eastAsiaTheme="minorEastAsia"/>
          <w:b/>
          <w:bCs/>
          <w:sz w:val="24"/>
          <w:szCs w:val="24"/>
        </w:rPr>
        <w:t xml:space="preserve"> &amp; J</w:t>
      </w:r>
      <w:r w:rsidRPr="002F376A" w:rsidR="00933DCA">
        <w:rPr>
          <w:rFonts w:ascii="Times New Roman" w:hAnsi="Times New Roman" w:eastAsiaTheme="minorEastAsia"/>
          <w:b/>
          <w:bCs/>
          <w:sz w:val="24"/>
          <w:szCs w:val="24"/>
        </w:rPr>
        <w:t>)</w:t>
      </w:r>
    </w:p>
    <w:p w:rsidRPr="00CD2591" w:rsidR="00520614" w:rsidP="388B18E0" w:rsidRDefault="155CA69B" w14:paraId="61C91B76" w14:textId="3A977085">
      <w:pPr>
        <w:pStyle w:val="BodyText"/>
        <w:ind w:left="0" w:right="0"/>
      </w:pPr>
      <w:r>
        <w:t>Surveys of patients</w:t>
      </w:r>
      <w:r w:rsidRPr="5FA61A53">
        <w:rPr>
          <w:b/>
          <w:bCs/>
        </w:rPr>
        <w:t xml:space="preserve"> </w:t>
      </w:r>
      <w:r>
        <w:t xml:space="preserve">will be critical </w:t>
      </w:r>
      <w:r w:rsidR="00D03090">
        <w:t xml:space="preserve">to </w:t>
      </w:r>
      <w:r w:rsidRPr="00D33B65" w:rsidR="00D03090">
        <w:t>obtain an enhanced understanding of</w:t>
      </w:r>
      <w:r>
        <w:t xml:space="preserve"> specific guideline or policy implementation in health systems to understand the patient perspective</w:t>
      </w:r>
      <w:r w:rsidR="7597CD10">
        <w:t xml:space="preserve"> of </w:t>
      </w:r>
      <w:r w:rsidR="06151E24">
        <w:t xml:space="preserve">effects of </w:t>
      </w:r>
      <w:r w:rsidR="7597CD10">
        <w:t>implementation of guidelines/policies</w:t>
      </w:r>
      <w:r w:rsidR="06151E24">
        <w:t xml:space="preserve">, including </w:t>
      </w:r>
      <w:r w:rsidR="7597CD10">
        <w:t xml:space="preserve">effects on </w:t>
      </w:r>
      <w:r>
        <w:t xml:space="preserve">patient-clinician communication. </w:t>
      </w:r>
      <w:r w:rsidR="00B8624F">
        <w:t xml:space="preserve">One hundred patients per health system will complete the Patient Survey, for a total of </w:t>
      </w:r>
      <w:r w:rsidR="00CC43B8">
        <w:t xml:space="preserve">up to </w:t>
      </w:r>
      <w:r w:rsidR="00B8624F">
        <w:t xml:space="preserve">1,000 patients among </w:t>
      </w:r>
      <w:r w:rsidR="00CC43B8">
        <w:t xml:space="preserve">up to </w:t>
      </w:r>
      <w:r w:rsidR="00B8624F">
        <w:t xml:space="preserve">10 health systems. </w:t>
      </w:r>
      <w:r>
        <w:t xml:space="preserve">All surveys will be designed to be completed in </w:t>
      </w:r>
      <w:r w:rsidR="00B8624F">
        <w:t xml:space="preserve">ten </w:t>
      </w:r>
      <w:r>
        <w:t>minutes.</w:t>
      </w:r>
      <w:r w:rsidR="2134D7F5">
        <w:t xml:space="preserve"> </w:t>
      </w:r>
      <w:r w:rsidRPr="5FA61A53" w:rsidR="2134D7F5">
        <w:rPr>
          <w:rFonts w:eastAsia="Calibri"/>
        </w:rPr>
        <w:t>Domains of interest include:</w:t>
      </w:r>
    </w:p>
    <w:p w:rsidR="00520614" w:rsidP="00401F49" w:rsidRDefault="13FC0285" w14:paraId="1A57EEDA" w14:textId="026A77A5">
      <w:pPr>
        <w:pStyle w:val="NormalSS"/>
        <w:numPr>
          <w:ilvl w:val="0"/>
          <w:numId w:val="14"/>
        </w:numPr>
        <w:tabs>
          <w:tab w:val="left" w:pos="450"/>
        </w:tabs>
        <w:spacing w:after="0"/>
        <w:ind w:left="450" w:hanging="450"/>
        <w:rPr>
          <w:rFonts w:eastAsia="Calibri"/>
        </w:rPr>
      </w:pPr>
      <w:r w:rsidRPr="775A952C">
        <w:rPr>
          <w:rFonts w:eastAsia="Calibri"/>
        </w:rPr>
        <w:t>Attitudes, knowledge</w:t>
      </w:r>
      <w:r w:rsidRPr="775A952C" w:rsidR="63977179">
        <w:rPr>
          <w:rFonts w:eastAsia="Calibri"/>
        </w:rPr>
        <w:t>,</w:t>
      </w:r>
      <w:r w:rsidRPr="775A952C">
        <w:rPr>
          <w:rFonts w:eastAsia="Calibri"/>
        </w:rPr>
        <w:t xml:space="preserve"> and perception of </w:t>
      </w:r>
      <w:r w:rsidRPr="775A952C" w:rsidR="48842BE8">
        <w:rPr>
          <w:rFonts w:eastAsia="Calibri"/>
        </w:rPr>
        <w:t>their health system’s</w:t>
      </w:r>
      <w:r w:rsidRPr="775A952C">
        <w:rPr>
          <w:rFonts w:eastAsia="Calibri"/>
        </w:rPr>
        <w:t xml:space="preserve"> guidelines</w:t>
      </w:r>
      <w:r w:rsidRPr="775A952C" w:rsidR="20709455">
        <w:rPr>
          <w:rFonts w:eastAsia="Calibri"/>
        </w:rPr>
        <w:t>, policies, or regulations</w:t>
      </w:r>
      <w:r w:rsidRPr="775A952C">
        <w:rPr>
          <w:rFonts w:eastAsia="Calibri"/>
        </w:rPr>
        <w:t xml:space="preserve"> </w:t>
      </w:r>
    </w:p>
    <w:p w:rsidR="00520614" w:rsidP="00401F49" w:rsidRDefault="3FD59F2D" w14:paraId="77A0A077" w14:textId="4D5A17DA">
      <w:pPr>
        <w:pStyle w:val="NormalSS"/>
        <w:numPr>
          <w:ilvl w:val="0"/>
          <w:numId w:val="14"/>
        </w:numPr>
        <w:tabs>
          <w:tab w:val="left" w:pos="450"/>
        </w:tabs>
        <w:spacing w:after="0"/>
        <w:ind w:left="450" w:hanging="450"/>
        <w:rPr>
          <w:rFonts w:eastAsia="Calibri"/>
        </w:rPr>
      </w:pPr>
      <w:r w:rsidRPr="03DEE6C6">
        <w:rPr>
          <w:rFonts w:eastAsia="Calibri"/>
        </w:rPr>
        <w:t>Unintended consequences reported (e.g., illicit use, inadequate pain control, diminished quality of life, patient abandonment)</w:t>
      </w:r>
    </w:p>
    <w:p w:rsidR="00520614" w:rsidP="00401F49" w:rsidRDefault="3FD59F2D" w14:paraId="5BCA6985" w14:textId="75C8D189">
      <w:pPr>
        <w:pStyle w:val="NormalSS"/>
        <w:numPr>
          <w:ilvl w:val="0"/>
          <w:numId w:val="14"/>
        </w:numPr>
        <w:spacing w:after="0"/>
        <w:ind w:left="0" w:firstLine="0"/>
        <w:rPr>
          <w:rFonts w:eastAsia="Calibri"/>
        </w:rPr>
      </w:pPr>
      <w:r w:rsidRPr="2229C56D">
        <w:rPr>
          <w:rFonts w:eastAsia="Calibri"/>
        </w:rPr>
        <w:t xml:space="preserve">Perceived </w:t>
      </w:r>
      <w:r w:rsidRPr="2229C56D" w:rsidR="05B935D3">
        <w:rPr>
          <w:rFonts w:eastAsia="Calibri"/>
        </w:rPr>
        <w:t>harms</w:t>
      </w:r>
      <w:r w:rsidRPr="2229C56D">
        <w:rPr>
          <w:rFonts w:eastAsia="Calibri"/>
        </w:rPr>
        <w:t xml:space="preserve"> </w:t>
      </w:r>
      <w:r w:rsidRPr="2229C56D" w:rsidR="7815A814">
        <w:rPr>
          <w:rFonts w:eastAsia="Calibri"/>
        </w:rPr>
        <w:t xml:space="preserve">and benefits </w:t>
      </w:r>
      <w:r w:rsidRPr="2229C56D" w:rsidR="05B935D3">
        <w:rPr>
          <w:rFonts w:eastAsia="Calibri"/>
        </w:rPr>
        <w:t>from</w:t>
      </w:r>
      <w:r w:rsidRPr="2229C56D">
        <w:rPr>
          <w:rFonts w:eastAsia="Calibri"/>
        </w:rPr>
        <w:t xml:space="preserve"> implemented policies</w:t>
      </w:r>
      <w:r w:rsidRPr="2229C56D" w:rsidR="57681AAD">
        <w:rPr>
          <w:rFonts w:eastAsia="Calibri"/>
        </w:rPr>
        <w:t xml:space="preserve"> and </w:t>
      </w:r>
      <w:r w:rsidRPr="2229C56D">
        <w:rPr>
          <w:rFonts w:eastAsia="Calibri"/>
        </w:rPr>
        <w:t>guidelines</w:t>
      </w:r>
    </w:p>
    <w:p w:rsidR="00520614" w:rsidP="00401F49" w:rsidRDefault="00520614" w14:paraId="2316C533" w14:textId="68CDE19C">
      <w:pPr>
        <w:pStyle w:val="NormalSS"/>
        <w:numPr>
          <w:ilvl w:val="0"/>
          <w:numId w:val="14"/>
        </w:numPr>
        <w:tabs>
          <w:tab w:val="left" w:pos="540"/>
        </w:tabs>
        <w:spacing w:after="0"/>
        <w:ind w:left="450" w:hanging="450"/>
        <w:rPr>
          <w:rFonts w:eastAsia="Calibri"/>
        </w:rPr>
      </w:pPr>
      <w:r w:rsidRPr="00520614">
        <w:rPr>
          <w:rFonts w:eastAsia="Calibri"/>
        </w:rPr>
        <w:t xml:space="preserve">Patient-clinician communication (e.g., </w:t>
      </w:r>
      <w:r w:rsidRPr="00BE0461" w:rsidR="00BE0461">
        <w:rPr>
          <w:rFonts w:eastAsia="Calibri"/>
        </w:rPr>
        <w:t>Consumer Assessment of Healthcare Providers and Systems (CAHPS)</w:t>
      </w:r>
      <w:r w:rsidR="00F854F2">
        <w:rPr>
          <w:rStyle w:val="FootnoteReference"/>
          <w:rFonts w:eastAsia="Calibri"/>
        </w:rPr>
        <w:footnoteReference w:id="7"/>
      </w:r>
      <w:r w:rsidRPr="00520614">
        <w:rPr>
          <w:rFonts w:eastAsia="Calibri"/>
        </w:rPr>
        <w:t xml:space="preserve"> it</w:t>
      </w:r>
      <w:r>
        <w:rPr>
          <w:rFonts w:eastAsia="Calibri"/>
        </w:rPr>
        <w:t>ems, communications literature)</w:t>
      </w:r>
    </w:p>
    <w:p w:rsidR="00520614" w:rsidP="00401F49" w:rsidRDefault="00520614" w14:paraId="637940F8" w14:textId="664EB86E">
      <w:pPr>
        <w:pStyle w:val="NormalSS"/>
        <w:numPr>
          <w:ilvl w:val="0"/>
          <w:numId w:val="14"/>
        </w:numPr>
        <w:tabs>
          <w:tab w:val="left" w:pos="0"/>
        </w:tabs>
        <w:spacing w:after="0"/>
        <w:ind w:left="0" w:firstLine="0"/>
        <w:rPr>
          <w:rFonts w:eastAsia="Calibri"/>
        </w:rPr>
      </w:pPr>
      <w:r w:rsidRPr="00520614">
        <w:rPr>
          <w:rFonts w:eastAsia="Calibri"/>
        </w:rPr>
        <w:t>Patient characteristics</w:t>
      </w:r>
    </w:p>
    <w:p w:rsidR="00E0703D" w:rsidP="00E0703D" w:rsidRDefault="00E0703D" w14:paraId="2ABC8910" w14:textId="2407635B">
      <w:pPr>
        <w:pStyle w:val="NormalSS"/>
        <w:tabs>
          <w:tab w:val="left" w:pos="0"/>
        </w:tabs>
        <w:spacing w:after="0"/>
        <w:ind w:firstLine="0"/>
        <w:rPr>
          <w:rFonts w:eastAsia="Calibri"/>
        </w:rPr>
      </w:pPr>
    </w:p>
    <w:p w:rsidRPr="00656F9A" w:rsidR="002E71DD" w:rsidP="5FA61A53" w:rsidRDefault="0A772066" w14:paraId="51D72526" w14:textId="34C7AF06">
      <w:pPr>
        <w:pStyle w:val="NormalSS"/>
        <w:spacing w:after="0"/>
        <w:ind w:firstLine="0"/>
      </w:pPr>
      <w:r w:rsidRPr="5FA61A53">
        <w:rPr>
          <w:rFonts w:eastAsia="Calibri"/>
        </w:rPr>
        <w:t>The survey will ask patients about their chronic pain histories, awareness of health system’s implementation of pain management</w:t>
      </w:r>
      <w:r w:rsidR="00B8624F">
        <w:rPr>
          <w:rFonts w:eastAsia="Calibri"/>
        </w:rPr>
        <w:t xml:space="preserve"> and</w:t>
      </w:r>
      <w:r w:rsidR="004D4721">
        <w:rPr>
          <w:rFonts w:eastAsia="Calibri"/>
        </w:rPr>
        <w:t xml:space="preserve"> </w:t>
      </w:r>
      <w:r w:rsidRPr="5FA61A53">
        <w:rPr>
          <w:rFonts w:eastAsia="Calibri"/>
        </w:rPr>
        <w:t>opioid prescribing</w:t>
      </w:r>
      <w:r w:rsidR="004D4721">
        <w:rPr>
          <w:rFonts w:eastAsia="Calibri"/>
        </w:rPr>
        <w:t xml:space="preserve"> </w:t>
      </w:r>
      <w:r w:rsidRPr="5FA61A53">
        <w:rPr>
          <w:rFonts w:eastAsia="Calibri"/>
        </w:rPr>
        <w:t xml:space="preserve">policies and guidelines, </w:t>
      </w:r>
      <w:r w:rsidRPr="5FA61A53" w:rsidR="758EE075">
        <w:rPr>
          <w:rFonts w:eastAsia="Calibri"/>
        </w:rPr>
        <w:t>beneficial</w:t>
      </w:r>
      <w:r w:rsidRPr="5FA61A53">
        <w:rPr>
          <w:rFonts w:eastAsia="Calibri"/>
        </w:rPr>
        <w:t xml:space="preserve"> and </w:t>
      </w:r>
      <w:r w:rsidRPr="5FA61A53" w:rsidR="758EE075">
        <w:rPr>
          <w:rFonts w:eastAsia="Calibri"/>
        </w:rPr>
        <w:t>harmful</w:t>
      </w:r>
      <w:r w:rsidRPr="5FA61A53">
        <w:rPr>
          <w:rFonts w:eastAsia="Calibri"/>
        </w:rPr>
        <w:t xml:space="preserve"> consequences of implementation, and patient-</w:t>
      </w:r>
      <w:r w:rsidRPr="5FA61A53" w:rsidR="00310CB1">
        <w:rPr>
          <w:rFonts w:eastAsia="Calibri"/>
        </w:rPr>
        <w:t xml:space="preserve">clinician </w:t>
      </w:r>
      <w:r w:rsidRPr="5FA61A53">
        <w:rPr>
          <w:rFonts w:eastAsia="Calibri"/>
        </w:rPr>
        <w:t>communication.</w:t>
      </w:r>
      <w:r w:rsidRPr="5FA61A53" w:rsidR="48A1B188">
        <w:rPr>
          <w:rFonts w:eastAsia="Calibri"/>
        </w:rPr>
        <w:t xml:space="preserve"> </w:t>
      </w:r>
    </w:p>
    <w:p w:rsidRPr="00520614" w:rsidR="00520614" w:rsidP="000167E1" w:rsidRDefault="00520614" w14:paraId="6229924E" w14:textId="77777777">
      <w:pPr>
        <w:pStyle w:val="NormalSS"/>
        <w:tabs>
          <w:tab w:val="left" w:pos="0"/>
        </w:tabs>
        <w:spacing w:after="0"/>
        <w:ind w:firstLine="0"/>
        <w:rPr>
          <w:rFonts w:eastAsia="Calibri"/>
        </w:rPr>
      </w:pPr>
    </w:p>
    <w:p w:rsidRPr="002F376A" w:rsidR="00E00B0B" w:rsidP="5FA61A53" w:rsidRDefault="008866E0" w14:paraId="5AE3EF0F" w14:textId="28689DA4">
      <w:pPr>
        <w:pStyle w:val="Heading2NoTOC"/>
        <w:ind w:left="0" w:firstLine="0"/>
        <w:rPr>
          <w:rFonts w:ascii="Times New Roman" w:hAnsi="Times New Roman" w:eastAsiaTheme="minorEastAsia"/>
          <w:b/>
          <w:bCs/>
          <w:sz w:val="24"/>
          <w:szCs w:val="24"/>
        </w:rPr>
      </w:pPr>
      <w:r w:rsidRPr="002F376A">
        <w:rPr>
          <w:rFonts w:ascii="Times New Roman" w:hAnsi="Times New Roman" w:eastAsiaTheme="minorEastAsia"/>
          <w:b/>
          <w:bCs/>
          <w:sz w:val="24"/>
          <w:szCs w:val="24"/>
        </w:rPr>
        <w:t xml:space="preserve">Group </w:t>
      </w:r>
      <w:r w:rsidRPr="002F376A" w:rsidR="00720FF5">
        <w:rPr>
          <w:rFonts w:ascii="Times New Roman" w:hAnsi="Times New Roman" w:eastAsiaTheme="minorEastAsia"/>
          <w:b/>
          <w:bCs/>
          <w:sz w:val="24"/>
          <w:szCs w:val="24"/>
        </w:rPr>
        <w:t>Interviews with System L</w:t>
      </w:r>
      <w:r w:rsidRPr="002F376A" w:rsidR="00E00B0B">
        <w:rPr>
          <w:rFonts w:ascii="Times New Roman" w:hAnsi="Times New Roman" w:eastAsiaTheme="minorEastAsia"/>
          <w:b/>
          <w:bCs/>
          <w:sz w:val="24"/>
          <w:szCs w:val="24"/>
        </w:rPr>
        <w:t xml:space="preserve">eaders </w:t>
      </w:r>
      <w:r w:rsidRPr="002F376A" w:rsidR="00DA5D91">
        <w:rPr>
          <w:rFonts w:ascii="Times New Roman" w:hAnsi="Times New Roman" w:eastAsiaTheme="minorEastAsia"/>
          <w:b/>
          <w:bCs/>
          <w:sz w:val="24"/>
          <w:szCs w:val="24"/>
        </w:rPr>
        <w:t>(Attachment</w:t>
      </w:r>
      <w:r w:rsidR="002F376A">
        <w:rPr>
          <w:rFonts w:ascii="Times New Roman" w:hAnsi="Times New Roman" w:eastAsiaTheme="minorEastAsia"/>
          <w:b/>
          <w:bCs/>
          <w:sz w:val="24"/>
          <w:szCs w:val="24"/>
        </w:rPr>
        <w:t>s</w:t>
      </w:r>
      <w:r w:rsidRPr="002F376A" w:rsidR="00DA5D91">
        <w:rPr>
          <w:rFonts w:ascii="Times New Roman" w:hAnsi="Times New Roman" w:eastAsiaTheme="minorEastAsia"/>
          <w:b/>
          <w:bCs/>
          <w:sz w:val="24"/>
          <w:szCs w:val="24"/>
        </w:rPr>
        <w:t xml:space="preserve"> C)</w:t>
      </w:r>
    </w:p>
    <w:p w:rsidR="00720FF5" w:rsidP="202DDC62" w:rsidRDefault="46B174A6" w14:paraId="494FC265" w14:textId="4A5FD64F">
      <w:pPr>
        <w:pStyle w:val="Heading2NoTOC"/>
        <w:ind w:left="0" w:firstLine="0"/>
      </w:pPr>
      <w:r w:rsidRPr="039C0B52">
        <w:rPr>
          <w:rFonts w:ascii="Times New Roman" w:hAnsi="Times New Roman"/>
          <w:sz w:val="24"/>
          <w:szCs w:val="24"/>
        </w:rPr>
        <w:t xml:space="preserve">We plan to </w:t>
      </w:r>
      <w:r w:rsidR="008866E0">
        <w:rPr>
          <w:rFonts w:ascii="Times New Roman" w:hAnsi="Times New Roman"/>
          <w:sz w:val="24"/>
          <w:szCs w:val="24"/>
        </w:rPr>
        <w:t xml:space="preserve">conduct one group </w:t>
      </w:r>
      <w:r w:rsidRPr="039C0B52">
        <w:rPr>
          <w:rFonts w:ascii="Times New Roman" w:hAnsi="Times New Roman"/>
          <w:sz w:val="24"/>
          <w:szCs w:val="24"/>
        </w:rPr>
        <w:t>interview</w:t>
      </w:r>
      <w:r w:rsidR="008866E0">
        <w:rPr>
          <w:rFonts w:ascii="Times New Roman" w:hAnsi="Times New Roman"/>
          <w:sz w:val="24"/>
          <w:szCs w:val="24"/>
        </w:rPr>
        <w:t xml:space="preserve"> per health system </w:t>
      </w:r>
      <w:r w:rsidR="00CC43B8">
        <w:rPr>
          <w:rFonts w:ascii="Times New Roman" w:hAnsi="Times New Roman"/>
          <w:sz w:val="24"/>
          <w:szCs w:val="24"/>
        </w:rPr>
        <w:t xml:space="preserve">to include </w:t>
      </w:r>
      <w:r w:rsidR="008C3556">
        <w:rPr>
          <w:rFonts w:ascii="Times New Roman" w:hAnsi="Times New Roman"/>
          <w:sz w:val="24"/>
          <w:szCs w:val="24"/>
        </w:rPr>
        <w:t xml:space="preserve">five </w:t>
      </w:r>
      <w:r w:rsidR="00CC43B8">
        <w:rPr>
          <w:rFonts w:ascii="Times New Roman" w:hAnsi="Times New Roman"/>
          <w:sz w:val="24"/>
          <w:szCs w:val="24"/>
        </w:rPr>
        <w:t>health system leaders per interview, for a total of up to</w:t>
      </w:r>
      <w:r w:rsidRPr="039C0B52">
        <w:rPr>
          <w:rFonts w:ascii="Times New Roman" w:hAnsi="Times New Roman"/>
          <w:sz w:val="24"/>
          <w:szCs w:val="24"/>
        </w:rPr>
        <w:t xml:space="preserve"> </w:t>
      </w:r>
      <w:r w:rsidR="00170CB2">
        <w:rPr>
          <w:rFonts w:ascii="Times New Roman" w:hAnsi="Times New Roman"/>
          <w:sz w:val="24"/>
          <w:szCs w:val="24"/>
        </w:rPr>
        <w:t xml:space="preserve">50 </w:t>
      </w:r>
      <w:r w:rsidRPr="039C0B52">
        <w:rPr>
          <w:rFonts w:ascii="Times New Roman" w:hAnsi="Times New Roman"/>
          <w:sz w:val="24"/>
          <w:szCs w:val="24"/>
        </w:rPr>
        <w:t xml:space="preserve">health system leaders </w:t>
      </w:r>
      <w:r w:rsidR="00170CB2">
        <w:rPr>
          <w:rFonts w:ascii="Times New Roman" w:hAnsi="Times New Roman"/>
          <w:sz w:val="24"/>
          <w:szCs w:val="24"/>
        </w:rPr>
        <w:t xml:space="preserve">among </w:t>
      </w:r>
      <w:r w:rsidR="00CC43B8">
        <w:rPr>
          <w:rFonts w:ascii="Times New Roman" w:hAnsi="Times New Roman"/>
          <w:sz w:val="24"/>
          <w:szCs w:val="24"/>
        </w:rPr>
        <w:t xml:space="preserve">up to </w:t>
      </w:r>
      <w:r w:rsidR="00170CB2">
        <w:rPr>
          <w:rFonts w:ascii="Times New Roman" w:hAnsi="Times New Roman"/>
          <w:sz w:val="24"/>
          <w:szCs w:val="24"/>
        </w:rPr>
        <w:t xml:space="preserve">10 health systems </w:t>
      </w:r>
      <w:r w:rsidRPr="039C0B52">
        <w:rPr>
          <w:rFonts w:ascii="Times New Roman" w:hAnsi="Times New Roman"/>
          <w:sz w:val="24"/>
          <w:szCs w:val="24"/>
        </w:rPr>
        <w:t>involved in implementation</w:t>
      </w:r>
      <w:r w:rsidRPr="039C0B52" w:rsidR="50C7DCDD">
        <w:rPr>
          <w:rFonts w:ascii="Times New Roman" w:hAnsi="Times New Roman"/>
          <w:sz w:val="24"/>
          <w:szCs w:val="24"/>
        </w:rPr>
        <w:t xml:space="preserve"> efforts.</w:t>
      </w:r>
      <w:r w:rsidRPr="039C0B52">
        <w:rPr>
          <w:rFonts w:ascii="Times New Roman" w:hAnsi="Times New Roman"/>
          <w:sz w:val="24"/>
          <w:szCs w:val="24"/>
        </w:rPr>
        <w:t xml:space="preserve"> We will work with the system liaison to identify the appropriate leaders from </w:t>
      </w:r>
      <w:r w:rsidRPr="039C0B52" w:rsidR="14DEBD1B">
        <w:rPr>
          <w:rFonts w:ascii="Times New Roman" w:hAnsi="Times New Roman"/>
          <w:sz w:val="24"/>
          <w:szCs w:val="24"/>
        </w:rPr>
        <w:t xml:space="preserve">each </w:t>
      </w:r>
      <w:r w:rsidRPr="039C0B52">
        <w:rPr>
          <w:rFonts w:ascii="Times New Roman" w:hAnsi="Times New Roman"/>
          <w:sz w:val="24"/>
          <w:szCs w:val="24"/>
        </w:rPr>
        <w:t xml:space="preserve">health system </w:t>
      </w:r>
      <w:r w:rsidRPr="039C0B52" w:rsidR="4F156B3F">
        <w:rPr>
          <w:rFonts w:ascii="Times New Roman" w:hAnsi="Times New Roman"/>
          <w:sz w:val="24"/>
          <w:szCs w:val="24"/>
        </w:rPr>
        <w:t xml:space="preserve">who </w:t>
      </w:r>
      <w:r w:rsidRPr="039C0B52">
        <w:rPr>
          <w:rFonts w:ascii="Times New Roman" w:hAnsi="Times New Roman"/>
          <w:sz w:val="24"/>
          <w:szCs w:val="24"/>
        </w:rPr>
        <w:t>should be interviewed to understand the system</w:t>
      </w:r>
      <w:r w:rsidRPr="039C0B52" w:rsidR="3E1C8C4A">
        <w:rPr>
          <w:rFonts w:ascii="Times New Roman" w:hAnsi="Times New Roman"/>
          <w:sz w:val="24"/>
          <w:szCs w:val="24"/>
        </w:rPr>
        <w:t>’s</w:t>
      </w:r>
      <w:r w:rsidRPr="039C0B52">
        <w:rPr>
          <w:rFonts w:ascii="Times New Roman" w:hAnsi="Times New Roman"/>
          <w:sz w:val="24"/>
          <w:szCs w:val="24"/>
        </w:rPr>
        <w:t xml:space="preserve"> implementation across primary care. Potential respondents in the leadership role include: </w:t>
      </w:r>
      <w:r w:rsidRPr="039C0B52" w:rsidR="3DB2D97C">
        <w:rPr>
          <w:rFonts w:ascii="Times New Roman" w:hAnsi="Times New Roman"/>
          <w:sz w:val="24"/>
          <w:szCs w:val="24"/>
        </w:rPr>
        <w:t>chief medical officer (</w:t>
      </w:r>
      <w:r w:rsidRPr="039C0B52">
        <w:rPr>
          <w:rFonts w:ascii="Times New Roman" w:hAnsi="Times New Roman"/>
          <w:sz w:val="24"/>
          <w:szCs w:val="24"/>
        </w:rPr>
        <w:t>CMO</w:t>
      </w:r>
      <w:r w:rsidRPr="039C0B52" w:rsidR="3DB2D97C">
        <w:rPr>
          <w:rFonts w:ascii="Times New Roman" w:hAnsi="Times New Roman"/>
          <w:sz w:val="24"/>
          <w:szCs w:val="24"/>
        </w:rPr>
        <w:t>)</w:t>
      </w:r>
      <w:r w:rsidRPr="039C0B52">
        <w:rPr>
          <w:rFonts w:ascii="Times New Roman" w:hAnsi="Times New Roman"/>
          <w:sz w:val="24"/>
          <w:szCs w:val="24"/>
        </w:rPr>
        <w:t xml:space="preserve">, </w:t>
      </w:r>
      <w:r w:rsidRPr="039C0B52" w:rsidR="7B056329">
        <w:rPr>
          <w:rFonts w:ascii="Times New Roman" w:hAnsi="Times New Roman"/>
          <w:sz w:val="24"/>
          <w:szCs w:val="24"/>
        </w:rPr>
        <w:t>VP</w:t>
      </w:r>
      <w:r w:rsidRPr="039C0B52" w:rsidR="1A1C6224">
        <w:rPr>
          <w:rFonts w:ascii="Times New Roman" w:hAnsi="Times New Roman"/>
          <w:sz w:val="24"/>
          <w:szCs w:val="24"/>
        </w:rPr>
        <w:t xml:space="preserve"> </w:t>
      </w:r>
      <w:r w:rsidRPr="039C0B52">
        <w:rPr>
          <w:rFonts w:ascii="Times New Roman" w:hAnsi="Times New Roman"/>
          <w:sz w:val="24"/>
          <w:szCs w:val="24"/>
        </w:rPr>
        <w:t xml:space="preserve">of Quality and Safety, </w:t>
      </w:r>
      <w:r w:rsidRPr="039C0B52" w:rsidR="7B056329">
        <w:rPr>
          <w:rFonts w:ascii="Times New Roman" w:hAnsi="Times New Roman"/>
          <w:sz w:val="24"/>
          <w:szCs w:val="24"/>
        </w:rPr>
        <w:t>VP</w:t>
      </w:r>
      <w:r w:rsidRPr="039C0B52">
        <w:rPr>
          <w:rFonts w:ascii="Times New Roman" w:hAnsi="Times New Roman"/>
          <w:sz w:val="24"/>
          <w:szCs w:val="24"/>
        </w:rPr>
        <w:t xml:space="preserve"> for Primary Care, lead for the opioid improvement effort (if applicable), members of opioid committee (if applicable), IT analytics lead who developed measures and/or EHR tools, or other relevant leaders.</w:t>
      </w:r>
      <w:r w:rsidR="13515975">
        <w:t xml:space="preserve"> </w:t>
      </w:r>
      <w:r w:rsidRPr="039C0B52" w:rsidR="2ACF886B">
        <w:rPr>
          <w:rFonts w:ascii="Times New Roman" w:hAnsi="Times New Roman"/>
          <w:sz w:val="24"/>
          <w:szCs w:val="24"/>
        </w:rPr>
        <w:t xml:space="preserve">Prior to </w:t>
      </w:r>
      <w:r w:rsidRPr="039C0B52" w:rsidR="2ACF886B">
        <w:rPr>
          <w:rFonts w:ascii="Times New Roman" w:hAnsi="Times New Roman"/>
          <w:sz w:val="24"/>
          <w:szCs w:val="24"/>
        </w:rPr>
        <w:lastRenderedPageBreak/>
        <w:t xml:space="preserve">interviews, </w:t>
      </w:r>
      <w:r w:rsidRPr="039C0B52" w:rsidR="77AAE959">
        <w:rPr>
          <w:rFonts w:ascii="Times New Roman" w:hAnsi="Times New Roman"/>
          <w:sz w:val="24"/>
          <w:szCs w:val="24"/>
        </w:rPr>
        <w:t xml:space="preserve">a </w:t>
      </w:r>
      <w:r w:rsidRPr="039C0B52" w:rsidR="2ACF886B">
        <w:rPr>
          <w:rFonts w:ascii="Times New Roman" w:hAnsi="Times New Roman"/>
          <w:sz w:val="24"/>
          <w:szCs w:val="24"/>
        </w:rPr>
        <w:t>cop</w:t>
      </w:r>
      <w:r w:rsidRPr="039C0B52" w:rsidR="4634055A">
        <w:rPr>
          <w:rFonts w:ascii="Times New Roman" w:hAnsi="Times New Roman"/>
          <w:sz w:val="24"/>
          <w:szCs w:val="24"/>
        </w:rPr>
        <w:t>y</w:t>
      </w:r>
      <w:r w:rsidRPr="039C0B52" w:rsidR="2ACF886B">
        <w:rPr>
          <w:rFonts w:ascii="Times New Roman" w:hAnsi="Times New Roman"/>
          <w:sz w:val="24"/>
          <w:szCs w:val="24"/>
        </w:rPr>
        <w:t xml:space="preserve"> of health </w:t>
      </w:r>
      <w:r w:rsidRPr="00FE4718" w:rsidR="2ACF886B">
        <w:rPr>
          <w:rFonts w:ascii="Times New Roman" w:hAnsi="Times New Roman"/>
          <w:sz w:val="24"/>
          <w:szCs w:val="24"/>
        </w:rPr>
        <w:t xml:space="preserve">system </w:t>
      </w:r>
      <w:r w:rsidRPr="008252FD" w:rsidR="00FE4718">
        <w:rPr>
          <w:rFonts w:ascii="Times New Roman" w:hAnsi="Times New Roman" w:eastAsia="Calibri"/>
          <w:sz w:val="24"/>
          <w:szCs w:val="24"/>
        </w:rPr>
        <w:t>pain management</w:t>
      </w:r>
      <w:r w:rsidRPr="008252FD" w:rsidR="004D4721">
        <w:rPr>
          <w:rFonts w:ascii="Times New Roman" w:hAnsi="Times New Roman" w:eastAsia="Calibri"/>
          <w:sz w:val="24"/>
          <w:szCs w:val="24"/>
        </w:rPr>
        <w:t xml:space="preserve"> and</w:t>
      </w:r>
      <w:r w:rsidRPr="008252FD" w:rsidR="00FE4718">
        <w:rPr>
          <w:rFonts w:ascii="Times New Roman" w:hAnsi="Times New Roman" w:eastAsia="Calibri"/>
          <w:sz w:val="24"/>
          <w:szCs w:val="24"/>
        </w:rPr>
        <w:t xml:space="preserve"> opioid prescribing</w:t>
      </w:r>
      <w:r w:rsidR="004D4721">
        <w:rPr>
          <w:rFonts w:ascii="Times New Roman" w:hAnsi="Times New Roman" w:eastAsia="Calibri"/>
        </w:rPr>
        <w:t xml:space="preserve"> </w:t>
      </w:r>
      <w:r w:rsidRPr="039C0B52" w:rsidR="2ACF886B">
        <w:rPr>
          <w:rFonts w:ascii="Times New Roman" w:hAnsi="Times New Roman"/>
          <w:sz w:val="24"/>
          <w:szCs w:val="24"/>
        </w:rPr>
        <w:t>policies and guidelines will be requested</w:t>
      </w:r>
      <w:r w:rsidRPr="039C0B52" w:rsidR="744EA4B2">
        <w:rPr>
          <w:rFonts w:ascii="Times New Roman" w:hAnsi="Times New Roman"/>
          <w:sz w:val="24"/>
          <w:szCs w:val="24"/>
        </w:rPr>
        <w:t xml:space="preserve"> to facilitate discussion.</w:t>
      </w:r>
    </w:p>
    <w:p w:rsidR="00720FF5" w:rsidP="000167E1" w:rsidRDefault="00720FF5" w14:paraId="13E17C14" w14:textId="4D83D9DA">
      <w:pPr>
        <w:pStyle w:val="BodyText"/>
        <w:tabs>
          <w:tab w:val="left" w:pos="0"/>
        </w:tabs>
        <w:ind w:left="0" w:right="0"/>
      </w:pPr>
      <w:r w:rsidRPr="0043435F">
        <w:t xml:space="preserve">All interviews will be conducted by telephone and are </w:t>
      </w:r>
      <w:r>
        <w:t>expected to take 60</w:t>
      </w:r>
      <w:r w:rsidRPr="0043435F">
        <w:t xml:space="preserve"> minutes</w:t>
      </w:r>
      <w:r>
        <w:t>, depending on the level of respondent involvement in the implementation of the policies or guidelines</w:t>
      </w:r>
      <w:r w:rsidR="00532891">
        <w:t xml:space="preserve"> of interest</w:t>
      </w:r>
      <w:r w:rsidRPr="0043435F">
        <w:t>.</w:t>
      </w:r>
      <w:r>
        <w:t xml:space="preserve"> </w:t>
      </w:r>
      <w:r w:rsidRPr="0043435F">
        <w:t>All interviews will be recorded with respondents</w:t>
      </w:r>
      <w:r>
        <w:t>’</w:t>
      </w:r>
      <w:r w:rsidRPr="0043435F">
        <w:t xml:space="preserve"> permission</w:t>
      </w:r>
      <w:r w:rsidR="002C0DB2">
        <w:t xml:space="preserve"> and transcribed</w:t>
      </w:r>
      <w:r>
        <w:t>. If permission to record the interview is not given, we will rely on the notes taken by a note taker.</w:t>
      </w:r>
    </w:p>
    <w:p w:rsidR="0007540D" w:rsidP="5FA61A53" w:rsidRDefault="005915BE" w14:paraId="0196313A" w14:textId="43765D1B">
      <w:pPr>
        <w:pStyle w:val="BodyText"/>
        <w:ind w:left="0" w:right="0"/>
      </w:pPr>
      <w:r>
        <w:t>Health system leaders will be interviewed on</w:t>
      </w:r>
      <w:r w:rsidR="00720FF5">
        <w:t xml:space="preserve"> how and why decisions were made to implement guidelines or policies and who made those decisions; </w:t>
      </w:r>
      <w:r w:rsidR="0007540D">
        <w:t>benefits and unintended consequences to implementation</w:t>
      </w:r>
      <w:r w:rsidR="00CF791A">
        <w:t xml:space="preserve"> (such as patients leaving the system due to stricter prescribing behaviors)</w:t>
      </w:r>
      <w:r w:rsidR="0007540D">
        <w:t xml:space="preserve">; </w:t>
      </w:r>
      <w:r w:rsidR="00720FF5">
        <w:t xml:space="preserve">whether these initiatives have been successful or not; </w:t>
      </w:r>
      <w:r w:rsidR="0007540D">
        <w:t xml:space="preserve">facilitators and </w:t>
      </w:r>
      <w:r w:rsidR="00532891">
        <w:t xml:space="preserve">strategies to overcome barriers; </w:t>
      </w:r>
      <w:r w:rsidR="00CF791A">
        <w:t xml:space="preserve">and </w:t>
      </w:r>
      <w:r w:rsidR="00532891">
        <w:t>lessons learned</w:t>
      </w:r>
      <w:r w:rsidR="00CF791A">
        <w:t>.</w:t>
      </w:r>
      <w:r w:rsidR="00720FF5">
        <w:t xml:space="preserve"> </w:t>
      </w:r>
      <w:bookmarkStart w:name="_Hlk79180513" w:id="19"/>
      <w:r w:rsidR="0007540D">
        <w:t xml:space="preserve">Questions about effects of COVID-19 and whether and how systems have addressed racial/ethnic disparities in pain management, opioid prescribing, and treatment of OUD will also be asked.  </w:t>
      </w:r>
      <w:bookmarkStart w:name="_Toc40791263" w:id="20"/>
      <w:bookmarkEnd w:id="20"/>
      <w:r w:rsidR="002C0DB2">
        <w:t xml:space="preserve"> </w:t>
      </w:r>
    </w:p>
    <w:bookmarkEnd w:id="19"/>
    <w:p w:rsidR="009A1723" w:rsidP="009A1723" w:rsidRDefault="009A1723" w14:paraId="70682907" w14:textId="77777777">
      <w:pPr>
        <w:pStyle w:val="Heading2NoTOC"/>
        <w:spacing w:after="0"/>
        <w:ind w:left="0" w:firstLine="0"/>
        <w:rPr>
          <w:rFonts w:ascii="Times New Roman" w:hAnsi="Times New Roman" w:eastAsiaTheme="minorEastAsia"/>
          <w:b/>
          <w:bCs/>
          <w:sz w:val="24"/>
          <w:szCs w:val="24"/>
        </w:rPr>
      </w:pPr>
    </w:p>
    <w:p w:rsidRPr="002F376A" w:rsidR="00E00B0B" w:rsidP="002F376A" w:rsidRDefault="00E00B0B" w14:paraId="42AB27B5" w14:textId="75E1BEF8">
      <w:pPr>
        <w:pStyle w:val="Heading2NoTOC"/>
        <w:spacing w:after="0"/>
        <w:ind w:left="0" w:firstLine="0"/>
        <w:rPr>
          <w:rFonts w:ascii="Times New Roman" w:hAnsi="Times New Roman" w:eastAsiaTheme="minorEastAsia"/>
          <w:b/>
          <w:bCs/>
          <w:sz w:val="24"/>
          <w:szCs w:val="24"/>
        </w:rPr>
      </w:pPr>
      <w:r w:rsidRPr="002F376A">
        <w:rPr>
          <w:rFonts w:ascii="Times New Roman" w:hAnsi="Times New Roman" w:eastAsiaTheme="minorEastAsia"/>
          <w:b/>
          <w:bCs/>
          <w:sz w:val="24"/>
          <w:szCs w:val="24"/>
        </w:rPr>
        <w:t>Case Stud</w:t>
      </w:r>
      <w:r w:rsidRPr="002F376A" w:rsidR="00F02E4C">
        <w:rPr>
          <w:rFonts w:ascii="Times New Roman" w:hAnsi="Times New Roman" w:eastAsiaTheme="minorEastAsia"/>
          <w:b/>
          <w:bCs/>
          <w:sz w:val="24"/>
          <w:szCs w:val="24"/>
        </w:rPr>
        <w:t xml:space="preserve">ies </w:t>
      </w:r>
      <w:r w:rsidRPr="002F376A">
        <w:rPr>
          <w:rFonts w:ascii="Times New Roman" w:hAnsi="Times New Roman" w:eastAsiaTheme="minorEastAsia"/>
          <w:b/>
          <w:bCs/>
          <w:sz w:val="24"/>
          <w:szCs w:val="24"/>
        </w:rPr>
        <w:t xml:space="preserve">Interviews </w:t>
      </w:r>
      <w:r w:rsidRPr="002F376A" w:rsidR="00C44910">
        <w:rPr>
          <w:rFonts w:ascii="Times New Roman" w:hAnsi="Times New Roman" w:eastAsiaTheme="minorEastAsia"/>
          <w:b/>
          <w:bCs/>
          <w:sz w:val="24"/>
          <w:szCs w:val="24"/>
        </w:rPr>
        <w:t>(Attachment D)</w:t>
      </w:r>
    </w:p>
    <w:p w:rsidRPr="007559ED" w:rsidR="00720FF5" w:rsidP="09F3DD22" w:rsidRDefault="0323A2A7" w14:paraId="12B5AA63" w14:textId="75A3CA2F">
      <w:pPr>
        <w:pStyle w:val="BodyText"/>
        <w:ind w:left="0" w:right="0"/>
      </w:pPr>
      <w:r>
        <w:t xml:space="preserve">Case studies </w:t>
      </w:r>
      <w:r w:rsidR="28FF8E20">
        <w:t xml:space="preserve">with patients </w:t>
      </w:r>
      <w:r w:rsidR="00F014D1">
        <w:t xml:space="preserve">and caregivers, as well as </w:t>
      </w:r>
      <w:r w:rsidR="28FF8E20">
        <w:t xml:space="preserve">clinicians </w:t>
      </w:r>
      <w:r w:rsidR="00F014D1">
        <w:t xml:space="preserve">and staff, </w:t>
      </w:r>
      <w:r>
        <w:t>provide an in-depth understanding of a single or small number of cases set in their real-world contexts. Examining the experience</w:t>
      </w:r>
      <w:r w:rsidR="6F035FAC">
        <w:t>s of</w:t>
      </w:r>
      <w:r>
        <w:t xml:space="preserve"> </w:t>
      </w:r>
      <w:r w:rsidR="337D9B57">
        <w:t>clinician</w:t>
      </w:r>
      <w:r>
        <w:t>s, care teams</w:t>
      </w:r>
      <w:r w:rsidR="49C228EF">
        <w:t>,</w:t>
      </w:r>
      <w:r>
        <w:t xml:space="preserve"> patients</w:t>
      </w:r>
      <w:r w:rsidR="1074EB7A">
        <w:t>,</w:t>
      </w:r>
      <w:r>
        <w:t xml:space="preserve"> and caregivers can provide a deeper understanding of real-world behavior within a specific healthcare context to elucidate how or why change </w:t>
      </w:r>
      <w:r w:rsidR="7EA2696C">
        <w:t>occurred for</w:t>
      </w:r>
      <w:r>
        <w:t xml:space="preserve"> chronic </w:t>
      </w:r>
      <w:r w:rsidR="0637472A">
        <w:t xml:space="preserve">pain </w:t>
      </w:r>
      <w:r>
        <w:t>management</w:t>
      </w:r>
      <w:r w:rsidR="7EA2696C">
        <w:t>, opioid prescribing, and/or provision of MOUD</w:t>
      </w:r>
      <w:r>
        <w:t>.</w:t>
      </w:r>
      <w:r w:rsidR="4ED36381">
        <w:t xml:space="preserve"> </w:t>
      </w:r>
      <w:r w:rsidR="7E80AAA2">
        <w:t xml:space="preserve"> </w:t>
      </w:r>
      <w:r w:rsidR="2ECB39D2">
        <w:t xml:space="preserve"> These interviews will provide an opportunity to </w:t>
      </w:r>
      <w:r w:rsidR="74E97192">
        <w:t xml:space="preserve">learn more about </w:t>
      </w:r>
      <w:r w:rsidR="002A3123">
        <w:t xml:space="preserve">patient journeys and the </w:t>
      </w:r>
      <w:r w:rsidR="74E97192">
        <w:t xml:space="preserve">strategies and </w:t>
      </w:r>
      <w:r w:rsidR="002A3123">
        <w:t>approaches</w:t>
      </w:r>
      <w:r w:rsidR="74E97192">
        <w:t xml:space="preserve"> to a health system’s implemented guidelines and policies and will complement the analysis of unintended consequences that </w:t>
      </w:r>
      <w:r w:rsidR="0279943F">
        <w:t xml:space="preserve">will occur via the other primary and secondary data collection efforts </w:t>
      </w:r>
      <w:r w:rsidR="0501900D">
        <w:t>included in this project.</w:t>
      </w:r>
    </w:p>
    <w:p w:rsidRPr="007559ED" w:rsidR="00720FF5" w:rsidP="09F3DD22" w:rsidRDefault="003B41D7" w14:paraId="5EDB57A6" w14:textId="5D02CAEE">
      <w:pPr>
        <w:pStyle w:val="BodyText"/>
        <w:ind w:left="0" w:right="0"/>
      </w:pPr>
      <w:r>
        <w:t xml:space="preserve">Interviews will be conducted by </w:t>
      </w:r>
      <w:r w:rsidR="002A3123">
        <w:t>tele</w:t>
      </w:r>
      <w:r>
        <w:t>phone and are</w:t>
      </w:r>
      <w:r w:rsidR="00523326">
        <w:t xml:space="preserve"> expected to last approximately </w:t>
      </w:r>
      <w:r w:rsidR="00D20C45">
        <w:t>30</w:t>
      </w:r>
      <w:r w:rsidR="00523326">
        <w:t xml:space="preserve"> minutes.</w:t>
      </w:r>
      <w:r w:rsidR="001B7203">
        <w:t xml:space="preserve">  Four staff members (</w:t>
      </w:r>
      <w:r w:rsidR="008C3556">
        <w:t>two</w:t>
      </w:r>
      <w:r w:rsidR="001B7203">
        <w:t xml:space="preserve"> clinicians and </w:t>
      </w:r>
      <w:r w:rsidR="008C3556">
        <w:t>two</w:t>
      </w:r>
      <w:r w:rsidR="001B7203">
        <w:t xml:space="preserve"> other </w:t>
      </w:r>
      <w:r w:rsidR="001D14F7">
        <w:t>care team</w:t>
      </w:r>
      <w:r w:rsidR="001B7203">
        <w:t xml:space="preserve"> staff) per health system will be interviewed (for a total of </w:t>
      </w:r>
      <w:r w:rsidR="00107520">
        <w:t xml:space="preserve">up to </w:t>
      </w:r>
      <w:r w:rsidR="001B7203">
        <w:t xml:space="preserve">40 staff), as well as </w:t>
      </w:r>
      <w:r w:rsidR="008C3556">
        <w:t>five</w:t>
      </w:r>
      <w:r w:rsidR="001B7203">
        <w:t xml:space="preserve"> patients and/or caregivers per system for a total of </w:t>
      </w:r>
      <w:r w:rsidR="00107520">
        <w:t xml:space="preserve">up to </w:t>
      </w:r>
      <w:r w:rsidR="001B7203">
        <w:t xml:space="preserve">fifty patients. </w:t>
      </w:r>
      <w:r w:rsidR="00523326">
        <w:t xml:space="preserve"> </w:t>
      </w:r>
      <w:r w:rsidR="64D37D5B">
        <w:t>Briefly, the</w:t>
      </w:r>
      <w:r w:rsidR="69E2AF61">
        <w:t xml:space="preserve"> interviews </w:t>
      </w:r>
      <w:r w:rsidR="003C2DF5">
        <w:t>may</w:t>
      </w:r>
      <w:r w:rsidR="69E2AF61">
        <w:t xml:space="preserve"> </w:t>
      </w:r>
      <w:r w:rsidR="00702901">
        <w:t xml:space="preserve">potentially </w:t>
      </w:r>
      <w:r w:rsidR="69E2AF61">
        <w:t>explore</w:t>
      </w:r>
      <w:r w:rsidR="1D647C18">
        <w:t>:</w:t>
      </w:r>
    </w:p>
    <w:p w:rsidRPr="007559ED" w:rsidR="00720FF5" w:rsidP="00401F49" w:rsidRDefault="002C0DB2" w14:paraId="5EFF4F26" w14:textId="78F6C858">
      <w:pPr>
        <w:pStyle w:val="Bullets"/>
        <w:numPr>
          <w:ilvl w:val="0"/>
          <w:numId w:val="17"/>
        </w:numPr>
        <w:tabs>
          <w:tab w:val="left" w:pos="0"/>
        </w:tabs>
        <w:ind w:left="0" w:firstLine="0"/>
        <w:rPr>
          <w:sz w:val="24"/>
          <w:szCs w:val="24"/>
        </w:rPr>
      </w:pPr>
      <w:r w:rsidRPr="007559ED">
        <w:rPr>
          <w:sz w:val="24"/>
          <w:szCs w:val="24"/>
        </w:rPr>
        <w:t>The c</w:t>
      </w:r>
      <w:r w:rsidRPr="007559ED" w:rsidR="00720FF5">
        <w:rPr>
          <w:sz w:val="24"/>
          <w:szCs w:val="24"/>
        </w:rPr>
        <w:t xml:space="preserve">are team’s </w:t>
      </w:r>
      <w:r w:rsidR="002A3123">
        <w:rPr>
          <w:sz w:val="24"/>
          <w:szCs w:val="24"/>
        </w:rPr>
        <w:t>approach to</w:t>
      </w:r>
      <w:r w:rsidRPr="007559ED" w:rsidR="00720FF5">
        <w:rPr>
          <w:sz w:val="24"/>
          <w:szCs w:val="24"/>
        </w:rPr>
        <w:t xml:space="preserve"> </w:t>
      </w:r>
      <w:r w:rsidR="009132E5">
        <w:rPr>
          <w:sz w:val="24"/>
          <w:szCs w:val="24"/>
        </w:rPr>
        <w:t xml:space="preserve">buy-in </w:t>
      </w:r>
      <w:r w:rsidRPr="007559ED" w:rsidR="00720FF5">
        <w:rPr>
          <w:sz w:val="24"/>
          <w:szCs w:val="24"/>
        </w:rPr>
        <w:t xml:space="preserve">with safer prescribing or actively engaging in efforts to diagnose and treat patients with OUD </w:t>
      </w:r>
    </w:p>
    <w:p w:rsidRPr="007559ED" w:rsidR="00720FF5" w:rsidP="00401F49" w:rsidRDefault="002C0DB2" w14:paraId="038C53DA" w14:textId="6173D56F">
      <w:pPr>
        <w:pStyle w:val="Bullets"/>
        <w:numPr>
          <w:ilvl w:val="0"/>
          <w:numId w:val="17"/>
        </w:numPr>
        <w:tabs>
          <w:tab w:val="left" w:pos="0"/>
        </w:tabs>
        <w:ind w:left="0" w:firstLine="0"/>
        <w:rPr>
          <w:sz w:val="24"/>
          <w:szCs w:val="24"/>
        </w:rPr>
      </w:pPr>
      <w:r w:rsidRPr="007559ED">
        <w:rPr>
          <w:sz w:val="24"/>
          <w:szCs w:val="24"/>
        </w:rPr>
        <w:t>The c</w:t>
      </w:r>
      <w:r w:rsidRPr="007559ED" w:rsidR="00720FF5">
        <w:rPr>
          <w:sz w:val="24"/>
          <w:szCs w:val="24"/>
        </w:rPr>
        <w:t>are team’s approach of working together with planned care visits</w:t>
      </w:r>
      <w:r w:rsidRPr="007559ED" w:rsidR="00AA2CE0">
        <w:rPr>
          <w:sz w:val="24"/>
          <w:szCs w:val="24"/>
        </w:rPr>
        <w:t>,</w:t>
      </w:r>
      <w:r w:rsidRPr="007559ED" w:rsidR="00E93AAF">
        <w:rPr>
          <w:sz w:val="24"/>
          <w:szCs w:val="24"/>
        </w:rPr>
        <w:t xml:space="preserve"> </w:t>
      </w:r>
      <w:r w:rsidRPr="007559ED" w:rsidR="00720FF5">
        <w:rPr>
          <w:sz w:val="24"/>
          <w:szCs w:val="24"/>
        </w:rPr>
        <w:t>huddles</w:t>
      </w:r>
      <w:r w:rsidRPr="007559ED" w:rsidR="00AA2CE0">
        <w:rPr>
          <w:sz w:val="24"/>
          <w:szCs w:val="24"/>
        </w:rPr>
        <w:t>,</w:t>
      </w:r>
      <w:r w:rsidRPr="007559ED" w:rsidR="00720FF5">
        <w:rPr>
          <w:sz w:val="24"/>
          <w:szCs w:val="24"/>
        </w:rPr>
        <w:t xml:space="preserve"> or workflows to improve care of patients with chronic pain </w:t>
      </w:r>
    </w:p>
    <w:p w:rsidRPr="007559ED" w:rsidR="00720FF5" w:rsidP="00401F49" w:rsidRDefault="00702901" w14:paraId="39798D04" w14:textId="09664863">
      <w:pPr>
        <w:pStyle w:val="Bullets"/>
        <w:numPr>
          <w:ilvl w:val="0"/>
          <w:numId w:val="17"/>
        </w:numPr>
        <w:tabs>
          <w:tab w:val="left" w:pos="0"/>
        </w:tabs>
        <w:ind w:left="0" w:firstLine="0"/>
        <w:rPr>
          <w:sz w:val="24"/>
          <w:szCs w:val="24"/>
        </w:rPr>
      </w:pPr>
      <w:r>
        <w:rPr>
          <w:sz w:val="24"/>
          <w:szCs w:val="24"/>
        </w:rPr>
        <w:t>A c</w:t>
      </w:r>
      <w:r w:rsidRPr="007559ED" w:rsidR="005F3513">
        <w:rPr>
          <w:sz w:val="24"/>
          <w:szCs w:val="24"/>
        </w:rPr>
        <w:t>linician</w:t>
      </w:r>
      <w:r>
        <w:rPr>
          <w:sz w:val="24"/>
          <w:szCs w:val="24"/>
        </w:rPr>
        <w:t>’s</w:t>
      </w:r>
      <w:r w:rsidRPr="007559ED" w:rsidR="00720FF5">
        <w:rPr>
          <w:sz w:val="24"/>
          <w:szCs w:val="24"/>
        </w:rPr>
        <w:t xml:space="preserve"> or care team</w:t>
      </w:r>
      <w:r>
        <w:rPr>
          <w:sz w:val="24"/>
          <w:szCs w:val="24"/>
        </w:rPr>
        <w:t>’s approach</w:t>
      </w:r>
      <w:r w:rsidRPr="007559ED" w:rsidR="00720FF5">
        <w:rPr>
          <w:sz w:val="24"/>
          <w:szCs w:val="24"/>
        </w:rPr>
        <w:t xml:space="preserve"> to improve diagnoses and treatment of OUD in racial or ethnic minority populations, or develop specialized clinics</w:t>
      </w:r>
      <w:r w:rsidRPr="007559ED" w:rsidR="00532891">
        <w:rPr>
          <w:sz w:val="24"/>
          <w:szCs w:val="24"/>
        </w:rPr>
        <w:t xml:space="preserve"> to treat chronic pain</w:t>
      </w:r>
      <w:r w:rsidRPr="007559ED" w:rsidR="00720FF5">
        <w:rPr>
          <w:sz w:val="24"/>
          <w:szCs w:val="24"/>
        </w:rPr>
        <w:t xml:space="preserve"> (e.g., sickle cell disease)</w:t>
      </w:r>
    </w:p>
    <w:p w:rsidR="00720FF5" w:rsidP="00401F49" w:rsidRDefault="00702901" w14:paraId="07239C7C" w14:textId="11DAD10A">
      <w:pPr>
        <w:pStyle w:val="Bullets"/>
        <w:numPr>
          <w:ilvl w:val="0"/>
          <w:numId w:val="17"/>
        </w:numPr>
        <w:ind w:left="0" w:firstLine="0"/>
        <w:rPr>
          <w:sz w:val="24"/>
          <w:szCs w:val="24"/>
        </w:rPr>
      </w:pPr>
      <w:r>
        <w:rPr>
          <w:sz w:val="24"/>
          <w:szCs w:val="24"/>
        </w:rPr>
        <w:t>A p</w:t>
      </w:r>
      <w:r w:rsidRPr="039C0B52" w:rsidR="3CC9190C">
        <w:rPr>
          <w:sz w:val="24"/>
          <w:szCs w:val="24"/>
        </w:rPr>
        <w:t>atient</w:t>
      </w:r>
      <w:r>
        <w:rPr>
          <w:sz w:val="24"/>
          <w:szCs w:val="24"/>
        </w:rPr>
        <w:t>’s</w:t>
      </w:r>
      <w:r w:rsidRPr="039C0B52" w:rsidR="3CC9190C">
        <w:rPr>
          <w:sz w:val="24"/>
          <w:szCs w:val="24"/>
        </w:rPr>
        <w:t xml:space="preserve"> and/or caregiver</w:t>
      </w:r>
      <w:r>
        <w:rPr>
          <w:sz w:val="24"/>
          <w:szCs w:val="24"/>
        </w:rPr>
        <w:t>’s</w:t>
      </w:r>
      <w:r w:rsidRPr="039C0B52" w:rsidR="3CC9190C">
        <w:rPr>
          <w:sz w:val="24"/>
          <w:szCs w:val="24"/>
        </w:rPr>
        <w:t xml:space="preserve"> </w:t>
      </w:r>
      <w:r>
        <w:rPr>
          <w:sz w:val="24"/>
          <w:szCs w:val="24"/>
        </w:rPr>
        <w:t>story</w:t>
      </w:r>
      <w:r w:rsidRPr="039C0B52" w:rsidR="3CC9190C">
        <w:rPr>
          <w:sz w:val="24"/>
          <w:szCs w:val="24"/>
        </w:rPr>
        <w:t xml:space="preserve"> of </w:t>
      </w:r>
      <w:r w:rsidRPr="039C0B52" w:rsidR="592A5A9F">
        <w:rPr>
          <w:sz w:val="24"/>
          <w:szCs w:val="24"/>
        </w:rPr>
        <w:t>taking</w:t>
      </w:r>
      <w:r w:rsidRPr="039C0B52" w:rsidR="3CC9190C">
        <w:rPr>
          <w:sz w:val="24"/>
          <w:szCs w:val="24"/>
        </w:rPr>
        <w:t xml:space="preserve"> LTOT</w:t>
      </w:r>
      <w:r w:rsidR="009132E5">
        <w:rPr>
          <w:sz w:val="24"/>
          <w:szCs w:val="24"/>
        </w:rPr>
        <w:t xml:space="preserve"> and its effects on</w:t>
      </w:r>
      <w:r w:rsidR="002A3123">
        <w:rPr>
          <w:sz w:val="24"/>
          <w:szCs w:val="24"/>
        </w:rPr>
        <w:t xml:space="preserve"> pain </w:t>
      </w:r>
      <w:r w:rsidR="009132E5">
        <w:rPr>
          <w:sz w:val="24"/>
          <w:szCs w:val="24"/>
        </w:rPr>
        <w:t xml:space="preserve">and </w:t>
      </w:r>
      <w:r w:rsidRPr="039C0B52" w:rsidR="3CC9190C">
        <w:rPr>
          <w:sz w:val="24"/>
          <w:szCs w:val="24"/>
        </w:rPr>
        <w:t xml:space="preserve">functioning, engaging in </w:t>
      </w:r>
      <w:r w:rsidRPr="039C0B52" w:rsidR="369D711B">
        <w:rPr>
          <w:sz w:val="24"/>
          <w:szCs w:val="24"/>
        </w:rPr>
        <w:t>nonopioid</w:t>
      </w:r>
      <w:r w:rsidRPr="039C0B52" w:rsidR="3CC9190C">
        <w:rPr>
          <w:sz w:val="24"/>
          <w:szCs w:val="24"/>
        </w:rPr>
        <w:t xml:space="preserve"> therapies,</w:t>
      </w:r>
      <w:r w:rsidR="009132E5">
        <w:rPr>
          <w:sz w:val="24"/>
          <w:szCs w:val="24"/>
        </w:rPr>
        <w:t xml:space="preserve"> and/or</w:t>
      </w:r>
      <w:r w:rsidRPr="039C0B52" w:rsidR="3CC9190C">
        <w:rPr>
          <w:sz w:val="24"/>
          <w:szCs w:val="24"/>
        </w:rPr>
        <w:t xml:space="preserve"> </w:t>
      </w:r>
      <w:r w:rsidR="009132E5">
        <w:rPr>
          <w:sz w:val="24"/>
          <w:szCs w:val="24"/>
        </w:rPr>
        <w:t xml:space="preserve">receiving an OUD diagnosis and starting on </w:t>
      </w:r>
      <w:r w:rsidR="002A3123">
        <w:rPr>
          <w:sz w:val="24"/>
          <w:szCs w:val="24"/>
        </w:rPr>
        <w:t>MOUD</w:t>
      </w:r>
      <w:r w:rsidR="009132E5">
        <w:rPr>
          <w:sz w:val="24"/>
          <w:szCs w:val="24"/>
        </w:rPr>
        <w:t xml:space="preserve"> (</w:t>
      </w:r>
      <w:r w:rsidR="00606B62">
        <w:rPr>
          <w:sz w:val="24"/>
          <w:szCs w:val="24"/>
        </w:rPr>
        <w:t xml:space="preserve">Note that </w:t>
      </w:r>
      <w:r w:rsidR="009132E5">
        <w:rPr>
          <w:sz w:val="24"/>
          <w:szCs w:val="24"/>
        </w:rPr>
        <w:t>not all listed examples may be applicable to all patients)</w:t>
      </w:r>
    </w:p>
    <w:p w:rsidR="004345EA" w:rsidP="009A1723" w:rsidRDefault="004345EA" w14:paraId="12923A1D" w14:textId="7BA22D31">
      <w:pPr>
        <w:pStyle w:val="Bullets"/>
        <w:numPr>
          <w:ilvl w:val="0"/>
          <w:numId w:val="0"/>
        </w:numPr>
        <w:spacing w:after="0"/>
        <w:rPr>
          <w:sz w:val="24"/>
          <w:szCs w:val="24"/>
        </w:rPr>
      </w:pPr>
    </w:p>
    <w:p w:rsidRPr="002F376A" w:rsidR="00E00B0B" w:rsidP="60AEFECA" w:rsidRDefault="00AF25B3" w14:paraId="3B1F3441" w14:textId="1BA5CD94">
      <w:pPr>
        <w:pStyle w:val="Heading2NoTOC"/>
        <w:ind w:left="0" w:firstLine="0"/>
        <w:rPr>
          <w:rFonts w:ascii="Times New Roman" w:hAnsi="Times New Roman" w:eastAsiaTheme="minorEastAsia"/>
          <w:b/>
          <w:bCs/>
          <w:sz w:val="24"/>
          <w:szCs w:val="24"/>
        </w:rPr>
      </w:pPr>
      <w:r>
        <w:rPr>
          <w:rFonts w:ascii="Times New Roman" w:hAnsi="Times New Roman" w:eastAsiaTheme="minorEastAsia"/>
          <w:b/>
          <w:bCs/>
          <w:sz w:val="24"/>
          <w:szCs w:val="24"/>
        </w:rPr>
        <w:lastRenderedPageBreak/>
        <w:t>“</w:t>
      </w:r>
      <w:r w:rsidRPr="002F376A" w:rsidR="00E00B0B">
        <w:rPr>
          <w:rFonts w:ascii="Times New Roman" w:hAnsi="Times New Roman" w:eastAsiaTheme="minorEastAsia"/>
          <w:b/>
          <w:bCs/>
          <w:sz w:val="24"/>
          <w:szCs w:val="24"/>
        </w:rPr>
        <w:t>Member Checking</w:t>
      </w:r>
      <w:r>
        <w:rPr>
          <w:rFonts w:ascii="Times New Roman" w:hAnsi="Times New Roman" w:eastAsiaTheme="minorEastAsia"/>
          <w:b/>
          <w:bCs/>
          <w:sz w:val="24"/>
          <w:szCs w:val="24"/>
        </w:rPr>
        <w:t>”</w:t>
      </w:r>
      <w:r w:rsidRPr="002F376A" w:rsidR="00E00B0B">
        <w:rPr>
          <w:rFonts w:ascii="Times New Roman" w:hAnsi="Times New Roman" w:eastAsiaTheme="minorEastAsia"/>
          <w:b/>
          <w:bCs/>
          <w:sz w:val="24"/>
          <w:szCs w:val="24"/>
        </w:rPr>
        <w:t xml:space="preserve"> </w:t>
      </w:r>
      <w:r w:rsidRPr="002F376A" w:rsidR="000A3C35">
        <w:rPr>
          <w:rFonts w:ascii="Times New Roman" w:hAnsi="Times New Roman" w:eastAsiaTheme="minorEastAsia"/>
          <w:b/>
          <w:bCs/>
          <w:sz w:val="24"/>
          <w:szCs w:val="24"/>
        </w:rPr>
        <w:t xml:space="preserve">(Validation) </w:t>
      </w:r>
      <w:r w:rsidRPr="002F376A" w:rsidR="00E00B0B">
        <w:rPr>
          <w:rFonts w:ascii="Times New Roman" w:hAnsi="Times New Roman" w:eastAsiaTheme="minorEastAsia"/>
          <w:b/>
          <w:bCs/>
          <w:sz w:val="24"/>
          <w:szCs w:val="24"/>
        </w:rPr>
        <w:t xml:space="preserve">Sessions </w:t>
      </w:r>
      <w:r w:rsidRPr="002F376A" w:rsidR="003B41D7">
        <w:rPr>
          <w:rFonts w:ascii="Times New Roman" w:hAnsi="Times New Roman" w:eastAsiaTheme="minorEastAsia"/>
          <w:b/>
          <w:bCs/>
          <w:sz w:val="24"/>
          <w:szCs w:val="24"/>
        </w:rPr>
        <w:t>(Attachment E)</w:t>
      </w:r>
    </w:p>
    <w:p w:rsidRPr="005E04C0" w:rsidR="002D4F94" w:rsidP="002D4F94" w:rsidRDefault="406EB5C6" w14:paraId="02A3E9E8" w14:textId="00BED6E7">
      <w:pPr>
        <w:pStyle w:val="BodyText"/>
        <w:ind w:left="0"/>
      </w:pPr>
      <w:r w:rsidRPr="0043435F">
        <w:t>In addition to interview</w:t>
      </w:r>
      <w:r>
        <w:t>s</w:t>
      </w:r>
      <w:r w:rsidRPr="0043435F">
        <w:t xml:space="preserve">, </w:t>
      </w:r>
      <w:r>
        <w:t>we</w:t>
      </w:r>
      <w:r w:rsidRPr="0043435F">
        <w:t xml:space="preserve"> will hold </w:t>
      </w:r>
      <w:r w:rsidR="003868F3">
        <w:t>a separate</w:t>
      </w:r>
      <w:r>
        <w:t xml:space="preserve"> session</w:t>
      </w:r>
      <w:r w:rsidR="6B085F76">
        <w:t xml:space="preserve"> with each health system, each </w:t>
      </w:r>
      <w:r>
        <w:t xml:space="preserve">with </w:t>
      </w:r>
      <w:r w:rsidR="00A27C27">
        <w:t>five</w:t>
      </w:r>
      <w:r w:rsidR="00C4322D">
        <w:t xml:space="preserve"> </w:t>
      </w:r>
      <w:r>
        <w:t>representatives in key roles at participating health system</w:t>
      </w:r>
      <w:r w:rsidR="0088194F">
        <w:t xml:space="preserve">, for a total of </w:t>
      </w:r>
      <w:r w:rsidR="00772351">
        <w:t xml:space="preserve">50 </w:t>
      </w:r>
      <w:r w:rsidR="0088194F">
        <w:t>representatives</w:t>
      </w:r>
      <w:r>
        <w:t xml:space="preserve"> </w:t>
      </w:r>
      <w:r w:rsidRPr="0043435F">
        <w:t xml:space="preserve">to conduct </w:t>
      </w:r>
      <w:r>
        <w:t>“</w:t>
      </w:r>
      <w:r w:rsidRPr="0043435F">
        <w:t>member checking</w:t>
      </w:r>
      <w:r>
        <w:t>,”</w:t>
      </w:r>
      <w:r w:rsidRPr="00027459" w:rsidR="008D7F7E">
        <w:rPr>
          <w:rStyle w:val="FootnoteReference"/>
        </w:rPr>
        <w:footnoteReference w:id="8"/>
      </w:r>
      <w:r w:rsidRPr="00027459">
        <w:rPr>
          <w:vertAlign w:val="superscript"/>
        </w:rPr>
        <w:t>,</w:t>
      </w:r>
      <w:r w:rsidRPr="00027459" w:rsidR="008D7F7E">
        <w:rPr>
          <w:rStyle w:val="FootnoteReference"/>
        </w:rPr>
        <w:footnoteReference w:id="9"/>
      </w:r>
      <w:r w:rsidRPr="00027459">
        <w:rPr>
          <w:vertAlign w:val="superscript"/>
        </w:rPr>
        <w:t>,</w:t>
      </w:r>
      <w:r w:rsidRPr="00027459" w:rsidR="008D7F7E">
        <w:rPr>
          <w:rStyle w:val="FootnoteReference"/>
        </w:rPr>
        <w:footnoteReference w:id="10"/>
      </w:r>
      <w:r>
        <w:t xml:space="preserve"> or validation. </w:t>
      </w:r>
      <w:r w:rsidR="002D4F94">
        <w:t xml:space="preserve"> </w:t>
      </w:r>
    </w:p>
    <w:p w:rsidR="005E6BF8" w:rsidP="00CE71AE" w:rsidRDefault="003868F3" w14:paraId="20EB3755" w14:textId="5478F8D4">
      <w:pPr>
        <w:pStyle w:val="BodyText"/>
        <w:tabs>
          <w:tab w:val="left" w:pos="1080"/>
          <w:tab w:val="left" w:pos="1440"/>
          <w:tab w:val="left" w:pos="1800"/>
        </w:tabs>
        <w:spacing w:after="0"/>
        <w:ind w:left="0" w:right="0"/>
      </w:pPr>
      <w:r>
        <w:t>In these</w:t>
      </w:r>
      <w:r w:rsidR="406EB5C6">
        <w:t xml:space="preserve"> </w:t>
      </w:r>
      <w:r w:rsidR="00B30610">
        <w:t xml:space="preserve">group </w:t>
      </w:r>
      <w:r w:rsidR="406EB5C6">
        <w:t xml:space="preserve">sessions </w:t>
      </w:r>
      <w:r>
        <w:t xml:space="preserve">we </w:t>
      </w:r>
      <w:r w:rsidR="1EDAEEBC">
        <w:t xml:space="preserve">will </w:t>
      </w:r>
      <w:r w:rsidR="406EB5C6">
        <w:t xml:space="preserve">review and discuss </w:t>
      </w:r>
      <w:r w:rsidRPr="00554EFF" w:rsidR="406EB5C6">
        <w:t>findings</w:t>
      </w:r>
      <w:r w:rsidR="406EB5C6">
        <w:t xml:space="preserve"> from the mixed-methods findings from the </w:t>
      </w:r>
      <w:r w:rsidR="00FC7FA4">
        <w:t xml:space="preserve">study </w:t>
      </w:r>
      <w:r w:rsidR="406EB5C6">
        <w:t>of each health system’s</w:t>
      </w:r>
      <w:r w:rsidR="00B7311A">
        <w:t xml:space="preserve"> </w:t>
      </w:r>
      <w:r w:rsidR="406EB5C6">
        <w:t>implementation of policies and guidelines</w:t>
      </w:r>
      <w:r w:rsidRPr="00027459" w:rsidR="008D7F7E">
        <w:rPr>
          <w:rStyle w:val="FootnoteReference"/>
        </w:rPr>
        <w:footnoteReference w:id="11"/>
      </w:r>
      <w:r w:rsidR="406EB5C6">
        <w:rPr>
          <w:vertAlign w:val="superscript"/>
        </w:rPr>
        <w:t>,</w:t>
      </w:r>
      <w:r w:rsidR="008D7F7E">
        <w:rPr>
          <w:rStyle w:val="FootnoteReference"/>
        </w:rPr>
        <w:footnoteReference w:id="12"/>
      </w:r>
      <w:r w:rsidRPr="00027459" w:rsidR="406EB5C6">
        <w:t xml:space="preserve"> </w:t>
      </w:r>
      <w:r>
        <w:t xml:space="preserve">and </w:t>
      </w:r>
      <w:r w:rsidR="406EB5C6">
        <w:t>we will</w:t>
      </w:r>
      <w:r w:rsidRPr="0043435F" w:rsidR="406EB5C6">
        <w:t xml:space="preserve"> engage </w:t>
      </w:r>
      <w:r w:rsidR="406EB5C6">
        <w:t xml:space="preserve">the </w:t>
      </w:r>
      <w:r w:rsidRPr="0043435F" w:rsidR="406EB5C6">
        <w:t xml:space="preserve">participants in </w:t>
      </w:r>
      <w:r w:rsidR="406EB5C6">
        <w:t>validating our findings for their system and/or helping to explain unexpected changes in trends or add additional context and insights</w:t>
      </w:r>
      <w:r w:rsidRPr="0043435F" w:rsidR="406EB5C6">
        <w:t xml:space="preserve">. </w:t>
      </w:r>
      <w:r w:rsidR="69E2AF61">
        <w:t xml:space="preserve"> Each </w:t>
      </w:r>
      <w:r w:rsidR="0049641D">
        <w:t xml:space="preserve">health system’s </w:t>
      </w:r>
      <w:r w:rsidR="69E2AF61">
        <w:t>session will</w:t>
      </w:r>
      <w:r w:rsidR="406EB5C6">
        <w:t xml:space="preserve"> </w:t>
      </w:r>
      <w:r w:rsidRPr="0043435F" w:rsidR="406EB5C6">
        <w:t xml:space="preserve">include </w:t>
      </w:r>
      <w:r w:rsidR="0049641D">
        <w:t>approximately 4</w:t>
      </w:r>
      <w:r w:rsidR="406EB5C6">
        <w:t xml:space="preserve"> participants</w:t>
      </w:r>
      <w:r w:rsidR="1EF5C13E">
        <w:t>,</w:t>
      </w:r>
      <w:r w:rsidR="5CEAF301">
        <w:t xml:space="preserve"> </w:t>
      </w:r>
      <w:r w:rsidRPr="0043435F" w:rsidR="406EB5C6">
        <w:t xml:space="preserve">be conducted </w:t>
      </w:r>
      <w:r w:rsidR="1EF5C13E">
        <w:t>via</w:t>
      </w:r>
      <w:r w:rsidRPr="0043435F" w:rsidR="1EF5C13E">
        <w:t xml:space="preserve"> </w:t>
      </w:r>
      <w:r w:rsidRPr="0043435F" w:rsidR="406EB5C6">
        <w:t>Web</w:t>
      </w:r>
      <w:r w:rsidR="406EB5C6">
        <w:t>E</w:t>
      </w:r>
      <w:r w:rsidRPr="0043435F" w:rsidR="406EB5C6">
        <w:t xml:space="preserve">x or </w:t>
      </w:r>
      <w:r w:rsidR="406EB5C6">
        <w:t>Zoom</w:t>
      </w:r>
      <w:r w:rsidR="675D8BCB">
        <w:t>,</w:t>
      </w:r>
      <w:r w:rsidRPr="0043435F" w:rsidR="406EB5C6">
        <w:t xml:space="preserve"> and </w:t>
      </w:r>
      <w:r w:rsidR="0049641D">
        <w:t xml:space="preserve">will </w:t>
      </w:r>
      <w:r w:rsidRPr="0043435F" w:rsidR="406EB5C6">
        <w:t>take 60 minutes.</w:t>
      </w:r>
      <w:r w:rsidRPr="0043435F" w:rsidR="36F46B81">
        <w:t xml:space="preserve"> Prior to each session, participants will be provided with a list of topics to be discussed in the sessions, </w:t>
      </w:r>
      <w:r w:rsidRPr="0043435F" w:rsidR="444D5071">
        <w:t xml:space="preserve">so that they may come prepared. </w:t>
      </w:r>
      <w:bookmarkStart w:name="_Toc52905384" w:id="21"/>
      <w:bookmarkEnd w:id="21"/>
      <w:r w:rsidR="1CAF53CA">
        <w:t xml:space="preserve"> </w:t>
      </w:r>
    </w:p>
    <w:p w:rsidR="009237FD" w:rsidP="202DDC62" w:rsidRDefault="009237FD" w14:paraId="73467819" w14:textId="7CA23F1F">
      <w:pPr>
        <w:pStyle w:val="BodyText"/>
        <w:tabs>
          <w:tab w:val="left" w:pos="1080"/>
          <w:tab w:val="left" w:pos="1440"/>
          <w:tab w:val="left" w:pos="1800"/>
        </w:tabs>
        <w:spacing w:after="0"/>
        <w:ind w:left="0" w:right="0"/>
        <w:rPr>
          <w:rFonts w:eastAsia="MS Mincho"/>
        </w:rPr>
      </w:pPr>
    </w:p>
    <w:p w:rsidR="0005600F" w:rsidP="202DDC62" w:rsidRDefault="0005600F" w14:paraId="087E3995" w14:textId="77777777">
      <w:pPr>
        <w:pStyle w:val="BodyText"/>
        <w:tabs>
          <w:tab w:val="left" w:pos="1080"/>
          <w:tab w:val="left" w:pos="1440"/>
          <w:tab w:val="left" w:pos="1800"/>
        </w:tabs>
        <w:spacing w:after="0"/>
        <w:ind w:left="0" w:right="0"/>
        <w:rPr>
          <w:rFonts w:eastAsia="MS Mincho"/>
        </w:rPr>
      </w:pPr>
    </w:p>
    <w:p w:rsidRPr="003B558B" w:rsidR="001C3A97" w:rsidP="00D33416" w:rsidRDefault="00B43BE8" w14:paraId="6848D732" w14:textId="77777777">
      <w:pPr>
        <w:pStyle w:val="Heading2NoTOC"/>
        <w:ind w:left="0" w:firstLine="0"/>
        <w:rPr>
          <w:rFonts w:ascii="Times New Roman" w:hAnsi="Times New Roman" w:eastAsiaTheme="minorEastAsia"/>
          <w:b/>
          <w:bCs/>
          <w:sz w:val="24"/>
          <w:szCs w:val="24"/>
        </w:rPr>
      </w:pPr>
      <w:r w:rsidRPr="003B558B">
        <w:rPr>
          <w:rFonts w:ascii="Times New Roman" w:hAnsi="Times New Roman" w:eastAsiaTheme="minorEastAsia"/>
          <w:b/>
          <w:bCs/>
          <w:sz w:val="24"/>
          <w:szCs w:val="24"/>
        </w:rPr>
        <w:t>Abstraction of Secondary Data</w:t>
      </w:r>
    </w:p>
    <w:p w:rsidRPr="001C3A97" w:rsidR="00B43BE8" w:rsidP="001C3A97" w:rsidRDefault="00B43BE8" w14:paraId="3AB72001" w14:textId="1E20B83E">
      <w:pPr>
        <w:spacing w:line="240" w:lineRule="auto"/>
        <w:ind w:firstLine="0"/>
        <w:rPr>
          <w:rFonts w:ascii="Arial Black" w:hAnsi="Arial Black" w:cstheme="majorHAnsi"/>
          <w:b/>
          <w:bCs/>
          <w:color w:val="244061" w:themeColor="accent1" w:themeShade="80"/>
          <w:sz w:val="22"/>
          <w:szCs w:val="22"/>
        </w:rPr>
      </w:pPr>
      <w:r>
        <w:rPr>
          <w:szCs w:val="24"/>
        </w:rPr>
        <w:t xml:space="preserve">To complement the primary data collection efforts described above, a variety of secondary data sources will be used to quantitatively describe and evaluate the implementation of specific guidelines and policies and their effects on patients and clinicians’ practices. </w:t>
      </w:r>
    </w:p>
    <w:p w:rsidR="00B43BE8" w:rsidP="00B43BE8" w:rsidRDefault="00B43BE8" w14:paraId="1E53A646" w14:textId="0A3E7C77">
      <w:pPr>
        <w:pStyle w:val="ListParagraph"/>
        <w:numPr>
          <w:ilvl w:val="0"/>
          <w:numId w:val="31"/>
        </w:num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subset of AMGA members contributes EHR and limited adjudicated, deidentified claims data to a common data repository through a partnership with Optum, AMGA’s data analytics partner. We will conduct a quantitative patient-level, longitudinal (pre-post) analysis within each of up to 10 health systems of the secondary data in the Optum dataset. We will also consider clinician-level longitudinal analyses for these 10 health systems as an alternative to the patient-level analyses if insufficient data/sample size limitations make the patient-level analyses impractical. </w:t>
      </w:r>
    </w:p>
    <w:p w:rsidR="00B43BE8" w:rsidP="00B43BE8" w:rsidRDefault="00B43BE8" w14:paraId="0A1E9217" w14:textId="77777777">
      <w:pPr>
        <w:pStyle w:val="ListParagraph"/>
        <w:numPr>
          <w:ilvl w:val="0"/>
          <w:numId w:val="31"/>
        </w:num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Additionally, we will examine trends and pre-post changes in quality improvement (QI) measures at each health system, as several health systems have measures they have built and used to monitor implementation of policies or guidelines. </w:t>
      </w:r>
    </w:p>
    <w:p w:rsidR="00B43BE8" w:rsidP="004F6981" w:rsidRDefault="00B43BE8" w14:paraId="51D73AD8" w14:textId="77777777">
      <w:pPr>
        <w:spacing w:before="60" w:after="60" w:line="240" w:lineRule="auto"/>
        <w:ind w:firstLine="0"/>
        <w:rPr>
          <w:szCs w:val="24"/>
        </w:rPr>
      </w:pPr>
      <w:r>
        <w:rPr>
          <w:szCs w:val="24"/>
        </w:rPr>
        <w:t xml:space="preserve">These secondary analyses will provide quantitative estimates of the association between implementation of the policies and guidelines and the patient outcomes of interest separately within each of the 10 health systems (although causal relationships cannot be definitively determined). We will analyze each system separately because each system implemented policies </w:t>
      </w:r>
      <w:r>
        <w:rPr>
          <w:szCs w:val="24"/>
        </w:rPr>
        <w:lastRenderedPageBreak/>
        <w:t xml:space="preserve">and guidelines in a different manner, and there are many unobserved system-specific factors that may impact patient outcomes. Results from these secondary analyses will add context to the discussions with health system leaders during the member checking sessions described above. </w:t>
      </w:r>
    </w:p>
    <w:p w:rsidR="001628C3" w:rsidP="004F6981" w:rsidRDefault="001628C3" w14:paraId="363E97F1" w14:textId="58BCE338">
      <w:pPr>
        <w:pStyle w:val="BodyText"/>
        <w:ind w:left="0"/>
        <w:rPr>
          <w:rFonts w:eastAsia="MS Mincho"/>
        </w:rPr>
      </w:pPr>
    </w:p>
    <w:p w:rsidRPr="00D22AD2" w:rsidR="00F35131" w:rsidP="000167E1" w:rsidRDefault="009A1F17" w14:paraId="53D5ACAE" w14:textId="542CED82">
      <w:pPr>
        <w:pStyle w:val="Heading2"/>
        <w:tabs>
          <w:tab w:val="clear" w:pos="432"/>
          <w:tab w:val="left" w:pos="0"/>
        </w:tabs>
        <w:ind w:left="0" w:firstLine="0"/>
        <w:rPr>
          <w:rFonts w:eastAsiaTheme="minorEastAsia"/>
        </w:rPr>
      </w:pPr>
      <w:bookmarkStart w:name="_Toc402259342" w:id="22"/>
      <w:bookmarkStart w:name="_Toc63079021" w:id="23"/>
      <w:bookmarkStart w:name="_Hlk80911565" w:id="24"/>
      <w:r>
        <w:rPr>
          <w:rFonts w:eastAsiaTheme="minorEastAsia"/>
        </w:rPr>
        <w:t>A</w:t>
      </w:r>
      <w:r w:rsidRPr="00D22AD2" w:rsidR="00F35131">
        <w:rPr>
          <w:rFonts w:eastAsiaTheme="minorEastAsia"/>
        </w:rPr>
        <w:t>3.</w:t>
      </w:r>
      <w:r w:rsidRPr="00D22AD2" w:rsidR="00F35131">
        <w:rPr>
          <w:rFonts w:eastAsiaTheme="minorEastAsia"/>
        </w:rPr>
        <w:tab/>
        <w:t>Use of Improved Information Technology and Burden Reduction</w:t>
      </w:r>
      <w:bookmarkEnd w:id="22"/>
      <w:bookmarkEnd w:id="23"/>
    </w:p>
    <w:p w:rsidR="001D6595" w:rsidP="5BBFA51E" w:rsidRDefault="001D6595" w14:paraId="023110E8" w14:textId="5B80B0BC">
      <w:pPr>
        <w:spacing w:line="240" w:lineRule="auto"/>
        <w:ind w:firstLine="0"/>
      </w:pPr>
      <w:bookmarkStart w:name="_Hlk80911526" w:id="25"/>
      <w:bookmarkEnd w:id="24"/>
      <w:r>
        <w:t xml:space="preserve">In order to minimize respondent burden and to permit the electronic submission of survey responses and data collection forms, the </w:t>
      </w:r>
      <w:r w:rsidR="005F3513">
        <w:t>clinician</w:t>
      </w:r>
      <w:r>
        <w:t xml:space="preserve"> and patient surveys will be web-based and deployed using a well-designed, low burden, and respondent-friendly survey administration process and instruments. </w:t>
      </w:r>
      <w:bookmarkEnd w:id="25"/>
      <w:r w:rsidR="00C02D6B">
        <w:t xml:space="preserve">100% of the data will be collected electronically or by telephone. </w:t>
      </w:r>
      <w:r w:rsidR="3BD48651">
        <w:t xml:space="preserve">We will collect email addresses from the participating health systems </w:t>
      </w:r>
      <w:r w:rsidR="4CD39615">
        <w:t xml:space="preserve">and </w:t>
      </w:r>
      <w:r>
        <w:t>send email</w:t>
      </w:r>
      <w:r w:rsidR="43E14D86">
        <w:t>s</w:t>
      </w:r>
      <w:r>
        <w:t xml:space="preserve"> to potential respondents with a link to the survey. </w:t>
      </w:r>
      <w:r w:rsidR="005D6915">
        <w:t xml:space="preserve">Potential respondents not accessing the link and completing the survey will receive a follow-up email approximately two weeks after </w:t>
      </w:r>
      <w:r w:rsidRPr="004D2711" w:rsidR="005D6915">
        <w:t>the initial email is sent. Potential respondents will not be contacted after the second follow-up email</w:t>
      </w:r>
      <w:r w:rsidRPr="004D2711" w:rsidR="007B2E74">
        <w:t xml:space="preserve"> </w:t>
      </w:r>
      <w:r w:rsidRPr="004D2711" w:rsidR="007B2E74">
        <w:rPr>
          <w:szCs w:val="24"/>
        </w:rPr>
        <w:t>(Attachment I).</w:t>
      </w:r>
    </w:p>
    <w:p w:rsidRPr="009033A4" w:rsidR="001D6595" w:rsidP="000167E1" w:rsidRDefault="001D6595" w14:paraId="16179895" w14:textId="77777777">
      <w:pPr>
        <w:tabs>
          <w:tab w:val="left" w:pos="0"/>
        </w:tabs>
        <w:spacing w:line="240" w:lineRule="auto"/>
        <w:ind w:firstLine="0"/>
      </w:pPr>
    </w:p>
    <w:p w:rsidRPr="009033A4" w:rsidR="001D6595" w:rsidP="000167E1" w:rsidRDefault="001D6595" w14:paraId="2F623F11" w14:textId="77777777">
      <w:pPr>
        <w:tabs>
          <w:tab w:val="left" w:pos="0"/>
        </w:tabs>
        <w:spacing w:line="240" w:lineRule="auto"/>
        <w:ind w:firstLine="0"/>
        <w:rPr>
          <w:color w:val="000000" w:themeColor="text1"/>
        </w:rPr>
      </w:pPr>
      <w:r w:rsidRPr="009033A4">
        <w:t xml:space="preserve">Interviews with system leaders, case study interviews and member checking sessions will be conducted by </w:t>
      </w:r>
      <w:r w:rsidRPr="009033A4">
        <w:rPr>
          <w:color w:val="000000" w:themeColor="text1"/>
        </w:rPr>
        <w:t>telephone with video conference capability.</w:t>
      </w:r>
    </w:p>
    <w:p w:rsidR="001D6595" w:rsidP="000167E1" w:rsidRDefault="001D6595" w14:paraId="22454873" w14:textId="77777777">
      <w:pPr>
        <w:tabs>
          <w:tab w:val="left" w:pos="0"/>
        </w:tabs>
        <w:spacing w:line="240" w:lineRule="auto"/>
        <w:ind w:firstLine="0"/>
        <w:rPr>
          <w:color w:val="000000" w:themeColor="text1"/>
        </w:rPr>
      </w:pPr>
    </w:p>
    <w:p w:rsidRPr="00D22AD2" w:rsidR="00D22AD2" w:rsidP="000167E1" w:rsidRDefault="00D22AD2" w14:paraId="13C1578F" w14:textId="77777777">
      <w:pPr>
        <w:tabs>
          <w:tab w:val="left" w:pos="0"/>
        </w:tabs>
        <w:spacing w:line="240" w:lineRule="auto"/>
        <w:ind w:firstLine="0"/>
        <w:rPr>
          <w:color w:val="000000" w:themeColor="text1"/>
        </w:rPr>
      </w:pPr>
    </w:p>
    <w:p w:rsidRPr="00855375" w:rsidR="009A46C2" w:rsidP="775A952C" w:rsidRDefault="6C72B8E7" w14:paraId="29506C09" w14:textId="7B33BA3D">
      <w:pPr>
        <w:pStyle w:val="Heading2"/>
        <w:tabs>
          <w:tab w:val="clear" w:pos="432"/>
        </w:tabs>
        <w:ind w:left="0" w:firstLine="0"/>
        <w:rPr>
          <w:rFonts w:eastAsiaTheme="minorEastAsia"/>
        </w:rPr>
      </w:pPr>
      <w:bookmarkStart w:name="_Toc402259343" w:id="26"/>
      <w:bookmarkStart w:name="_Toc63079022" w:id="27"/>
      <w:r w:rsidRPr="775A952C">
        <w:rPr>
          <w:rFonts w:eastAsiaTheme="minorEastAsia"/>
        </w:rPr>
        <w:t>A</w:t>
      </w:r>
      <w:r w:rsidRPr="775A952C" w:rsidR="7F5F6562">
        <w:rPr>
          <w:rFonts w:eastAsiaTheme="minorEastAsia"/>
        </w:rPr>
        <w:t>4.</w:t>
      </w:r>
      <w:r w:rsidR="009A1F17">
        <w:tab/>
      </w:r>
      <w:bookmarkEnd w:id="26"/>
      <w:bookmarkEnd w:id="27"/>
      <w:r w:rsidRPr="775A952C" w:rsidR="0EE1FB71">
        <w:rPr>
          <w:rFonts w:eastAsiaTheme="minorEastAsia"/>
        </w:rPr>
        <w:t>Efforts to</w:t>
      </w:r>
      <w:r w:rsidRPr="775A952C" w:rsidR="0EE1FB71">
        <w:rPr>
          <w:rFonts w:ascii="Times New Roman" w:hAnsi="Times New Roman" w:eastAsiaTheme="minorEastAsia"/>
          <w:sz w:val="24"/>
          <w:szCs w:val="24"/>
        </w:rPr>
        <w:t xml:space="preserve"> </w:t>
      </w:r>
      <w:r w:rsidRPr="775A952C" w:rsidR="0EE1FB71">
        <w:rPr>
          <w:rFonts w:eastAsiaTheme="minorEastAsia"/>
        </w:rPr>
        <w:t>Identify Duplication and Use of Similar Information</w:t>
      </w:r>
    </w:p>
    <w:p w:rsidR="00B416CA" w:rsidP="00B416CA" w:rsidRDefault="00B416CA" w14:paraId="365228B9" w14:textId="7D108B0E">
      <w:pPr>
        <w:pStyle w:val="BodyText"/>
        <w:ind w:left="0"/>
      </w:pPr>
      <w:r>
        <w:t xml:space="preserve">This </w:t>
      </w:r>
      <w:r w:rsidR="00FC64F3">
        <w:t xml:space="preserve">formative research study </w:t>
      </w:r>
      <w:r>
        <w:t xml:space="preserve">will be the first CDC-funded investigation to collect primary data from both clinicians and patients at participating health systems related to opioid prescribing and chronic pain management policies and guidelines.  </w:t>
      </w:r>
    </w:p>
    <w:p w:rsidR="00B416CA" w:rsidP="00B416CA" w:rsidRDefault="00B416CA" w14:paraId="08F11EF2" w14:textId="483DB207">
      <w:pPr>
        <w:pStyle w:val="NormalSS"/>
        <w:spacing w:after="0"/>
        <w:ind w:firstLine="0"/>
      </w:pPr>
      <w:r>
        <w:t xml:space="preserve">The data collected as part of this project are </w:t>
      </w:r>
      <w:r w:rsidR="009E3121">
        <w:t>unique and</w:t>
      </w:r>
      <w:r>
        <w:t xml:space="preserve"> will be the first multi-health system</w:t>
      </w:r>
      <w:r w:rsidR="00FC7FA4">
        <w:t xml:space="preserve"> study </w:t>
      </w:r>
      <w:r>
        <w:t xml:space="preserve">of clinician, patient, and system leader perceptions and patient outcomes across a diverse array of health systems. To our knowledge, there have not been other efforts to obtain program information required to demonstrate impact and improve implementation of these guidelines across clinicians, patients, and health system leaders on a health systems level.    </w:t>
      </w:r>
    </w:p>
    <w:p w:rsidR="00B416CA" w:rsidP="00B416CA" w:rsidRDefault="00B416CA" w14:paraId="253CE64F" w14:textId="77777777">
      <w:pPr>
        <w:pStyle w:val="coverdate"/>
        <w:tabs>
          <w:tab w:val="left" w:pos="0"/>
        </w:tabs>
        <w:spacing w:line="240" w:lineRule="auto"/>
        <w:rPr>
          <w:rFonts w:ascii="Times New Roman" w:hAnsi="Times New Roman"/>
          <w:noProof/>
          <w:sz w:val="24"/>
          <w:szCs w:val="24"/>
        </w:rPr>
      </w:pPr>
    </w:p>
    <w:p w:rsidRPr="00E96D76" w:rsidR="00B416CA" w:rsidP="00B416CA" w:rsidRDefault="00B416CA" w14:paraId="2C5C279D" w14:textId="4C00FD38">
      <w:pPr>
        <w:pStyle w:val="coverdate"/>
        <w:spacing w:line="240" w:lineRule="auto"/>
        <w:rPr>
          <w:rFonts w:ascii="Times New Roman" w:hAnsi="Times New Roman"/>
          <w:noProof/>
          <w:sz w:val="24"/>
          <w:szCs w:val="24"/>
        </w:rPr>
      </w:pPr>
      <w:r w:rsidRPr="5FA61A53">
        <w:rPr>
          <w:rFonts w:ascii="Times New Roman" w:hAnsi="Times New Roman"/>
          <w:noProof/>
          <w:sz w:val="24"/>
          <w:szCs w:val="24"/>
        </w:rPr>
        <w:t xml:space="preserve">This project builds upon similar efforts by CDC to assess the impact of the 2016 </w:t>
      </w:r>
      <w:r w:rsidRPr="00E96D76">
        <w:rPr>
          <w:rFonts w:ascii="Times New Roman" w:hAnsi="Times New Roman"/>
          <w:i/>
          <w:iCs/>
          <w:noProof/>
          <w:sz w:val="24"/>
          <w:szCs w:val="24"/>
        </w:rPr>
        <w:t xml:space="preserve">CDC Guideline for Opioid Prescribing for Chronic Pain </w:t>
      </w:r>
      <w:r w:rsidRPr="5FA61A53">
        <w:rPr>
          <w:rFonts w:ascii="Times New Roman" w:hAnsi="Times New Roman"/>
          <w:noProof/>
          <w:sz w:val="24"/>
          <w:szCs w:val="24"/>
        </w:rPr>
        <w:t>on national opioid prescribing behaviors by using secondary data accessed from the IQVIA transactional data warehouse from 2012 to 2017</w:t>
      </w:r>
      <w:r>
        <w:rPr>
          <w:rStyle w:val="FootnoteReference"/>
          <w:noProof/>
          <w:szCs w:val="24"/>
        </w:rPr>
        <w:footnoteReference w:id="13"/>
      </w:r>
      <w:r w:rsidRPr="5FA61A53">
        <w:rPr>
          <w:rFonts w:ascii="Times New Roman" w:hAnsi="Times New Roman"/>
          <w:noProof/>
          <w:sz w:val="24"/>
          <w:szCs w:val="24"/>
        </w:rPr>
        <w:t>. However, the objectives of this ICR require the primary data collection of survey and interview data from clinicians and patients from corresponding health systems, in addition to secondary EHR-sourced outcome measures, providing a more robust and multidimensional picture of the effects of policies and guidelines.</w:t>
      </w:r>
      <w:r>
        <w:rPr>
          <w:rFonts w:ascii="Times New Roman" w:hAnsi="Times New Roman"/>
          <w:noProof/>
          <w:sz w:val="24"/>
          <w:szCs w:val="24"/>
        </w:rPr>
        <w:t xml:space="preserve"> CDC also previously sought to understand more about pain and pain management through engagement with three different groups: </w:t>
      </w:r>
      <w:r w:rsidRPr="00024615">
        <w:rPr>
          <w:rFonts w:ascii="Times New Roman" w:hAnsi="Times New Roman"/>
          <w:noProof/>
          <w:sz w:val="24"/>
          <w:szCs w:val="24"/>
        </w:rPr>
        <w:t>patients with acute or chronic pain, patients’ family members and caregivers, and clinicians who care for patients with pain or conditions that can complicate pain management</w:t>
      </w:r>
      <w:r>
        <w:rPr>
          <w:rFonts w:ascii="Times New Roman" w:hAnsi="Times New Roman"/>
          <w:noProof/>
          <w:sz w:val="24"/>
          <w:szCs w:val="24"/>
        </w:rPr>
        <w:t xml:space="preserve">. This outreach occurred via two </w:t>
      </w:r>
      <w:r>
        <w:rPr>
          <w:rFonts w:ascii="Times New Roman" w:hAnsi="Times New Roman"/>
          <w:noProof/>
          <w:sz w:val="24"/>
          <w:szCs w:val="24"/>
        </w:rPr>
        <w:lastRenderedPageBreak/>
        <w:t>pathways through the Federal Register: soliciting written public comment (</w:t>
      </w:r>
      <w:r w:rsidRPr="00024615">
        <w:rPr>
          <w:rFonts w:ascii="Times New Roman" w:hAnsi="Times New Roman"/>
          <w:noProof/>
          <w:sz w:val="24"/>
          <w:szCs w:val="24"/>
        </w:rPr>
        <w:t>85 FR 21441</w:t>
      </w:r>
      <w:r>
        <w:rPr>
          <w:rFonts w:ascii="Times New Roman" w:hAnsi="Times New Roman"/>
          <w:noProof/>
          <w:sz w:val="24"/>
          <w:szCs w:val="24"/>
        </w:rPr>
        <w:t>) and also conducting individual telephone and video conversations (</w:t>
      </w:r>
      <w:r w:rsidRPr="00024615">
        <w:rPr>
          <w:rFonts w:ascii="Times New Roman" w:hAnsi="Times New Roman"/>
          <w:noProof/>
          <w:sz w:val="24"/>
          <w:szCs w:val="24"/>
        </w:rPr>
        <w:t>85 FR 44303</w:t>
      </w:r>
      <w:r>
        <w:rPr>
          <w:rFonts w:ascii="Times New Roman" w:hAnsi="Times New Roman"/>
          <w:noProof/>
          <w:sz w:val="24"/>
          <w:szCs w:val="24"/>
        </w:rPr>
        <w:t>)</w:t>
      </w:r>
      <w:r w:rsidR="00CA5686">
        <w:rPr>
          <w:rFonts w:ascii="Times New Roman" w:hAnsi="Times New Roman"/>
          <w:noProof/>
          <w:sz w:val="24"/>
          <w:szCs w:val="24"/>
        </w:rPr>
        <w:t xml:space="preserve">, and was approved </w:t>
      </w:r>
      <w:r w:rsidRPr="00CA5686" w:rsidR="00CA5686">
        <w:rPr>
          <w:rFonts w:ascii="Times New Roman" w:hAnsi="Times New Roman"/>
          <w:noProof/>
          <w:sz w:val="24"/>
          <w:szCs w:val="24"/>
        </w:rPr>
        <w:t xml:space="preserve">through the “Generic Clearance for the Collection of </w:t>
      </w:r>
      <w:r w:rsidR="000A445C">
        <w:rPr>
          <w:rFonts w:ascii="Times New Roman" w:hAnsi="Times New Roman"/>
          <w:noProof/>
          <w:sz w:val="24"/>
          <w:szCs w:val="24"/>
        </w:rPr>
        <w:t>Qualitative Feedback on Agency Service Delivery</w:t>
      </w:r>
      <w:r w:rsidRPr="00CA5686" w:rsidR="00CA5686">
        <w:rPr>
          <w:rFonts w:ascii="Times New Roman" w:hAnsi="Times New Roman"/>
          <w:noProof/>
          <w:sz w:val="24"/>
          <w:szCs w:val="24"/>
        </w:rPr>
        <w:t>” (OMB Control Number: 0920-1050</w:t>
      </w:r>
      <w:r w:rsidR="00CA5686">
        <w:rPr>
          <w:rFonts w:ascii="Times New Roman" w:hAnsi="Times New Roman"/>
          <w:noProof/>
          <w:sz w:val="24"/>
          <w:szCs w:val="24"/>
        </w:rPr>
        <w:t xml:space="preserve">, </w:t>
      </w:r>
      <w:r w:rsidRPr="00CA5686" w:rsidR="00CA5686">
        <w:rPr>
          <w:rFonts w:ascii="Times New Roman" w:hAnsi="Times New Roman"/>
          <w:noProof/>
          <w:sz w:val="24"/>
          <w:szCs w:val="24"/>
        </w:rPr>
        <w:t xml:space="preserve">“Stakeholder Engagement and Feedback -Management of Acute and Chronic Pain”). </w:t>
      </w:r>
      <w:r>
        <w:rPr>
          <w:rFonts w:ascii="Times New Roman" w:hAnsi="Times New Roman"/>
          <w:noProof/>
          <w:sz w:val="24"/>
          <w:szCs w:val="24"/>
        </w:rPr>
        <w:t>While CDC learned many perspectives and personal stories through those complementary efforts, t</w:t>
      </w:r>
      <w:r w:rsidRPr="5FA61A53">
        <w:rPr>
          <w:rFonts w:ascii="Times New Roman" w:hAnsi="Times New Roman"/>
          <w:noProof/>
          <w:sz w:val="24"/>
          <w:szCs w:val="24"/>
        </w:rPr>
        <w:t xml:space="preserve">his </w:t>
      </w:r>
      <w:r>
        <w:rPr>
          <w:rFonts w:ascii="Times New Roman" w:hAnsi="Times New Roman"/>
          <w:noProof/>
          <w:sz w:val="24"/>
          <w:szCs w:val="24"/>
        </w:rPr>
        <w:t>ICR</w:t>
      </w:r>
      <w:r w:rsidRPr="5FA61A53">
        <w:rPr>
          <w:rFonts w:ascii="Times New Roman" w:hAnsi="Times New Roman"/>
          <w:noProof/>
          <w:sz w:val="24"/>
          <w:szCs w:val="24"/>
        </w:rPr>
        <w:t xml:space="preserve"> is unique </w:t>
      </w:r>
      <w:r>
        <w:rPr>
          <w:rFonts w:ascii="Times New Roman" w:hAnsi="Times New Roman"/>
          <w:noProof/>
          <w:sz w:val="24"/>
          <w:szCs w:val="24"/>
        </w:rPr>
        <w:t xml:space="preserve">and expands upon this prior work </w:t>
      </w:r>
      <w:r w:rsidRPr="5FA61A53">
        <w:rPr>
          <w:rFonts w:ascii="Times New Roman" w:hAnsi="Times New Roman"/>
          <w:noProof/>
          <w:sz w:val="24"/>
          <w:szCs w:val="24"/>
        </w:rPr>
        <w:t xml:space="preserve">in that it will systematically capture data from different perspectives (i.e., patients, caregivers, clinicians, staff, and health system leaders) with relatively large sample sizes from various health systems </w:t>
      </w:r>
      <w:r>
        <w:rPr>
          <w:rFonts w:ascii="Times New Roman" w:hAnsi="Times New Roman"/>
          <w:noProof/>
          <w:sz w:val="24"/>
          <w:szCs w:val="24"/>
        </w:rPr>
        <w:t xml:space="preserve">while also leveraging secondary data sources like electronic health record (EHR) data, claims data, and quality improvement measures </w:t>
      </w:r>
      <w:r w:rsidRPr="5FA61A53">
        <w:rPr>
          <w:rFonts w:ascii="Times New Roman" w:hAnsi="Times New Roman"/>
          <w:noProof/>
          <w:sz w:val="24"/>
          <w:szCs w:val="24"/>
        </w:rPr>
        <w:t xml:space="preserve">to allow CDC to </w:t>
      </w:r>
      <w:r>
        <w:rPr>
          <w:rFonts w:ascii="Times New Roman" w:hAnsi="Times New Roman"/>
          <w:noProof/>
          <w:sz w:val="24"/>
          <w:szCs w:val="24"/>
        </w:rPr>
        <w:t xml:space="preserve">more broadly </w:t>
      </w:r>
      <w:r w:rsidRPr="5FA61A53">
        <w:rPr>
          <w:rFonts w:ascii="Times New Roman" w:hAnsi="Times New Roman"/>
          <w:noProof/>
          <w:sz w:val="24"/>
          <w:szCs w:val="24"/>
        </w:rPr>
        <w:t>explore and answer critical research questions about the effect of implementing opioid prescribing</w:t>
      </w:r>
      <w:r>
        <w:rPr>
          <w:rFonts w:ascii="Times New Roman" w:hAnsi="Times New Roman"/>
          <w:noProof/>
          <w:sz w:val="24"/>
          <w:szCs w:val="24"/>
        </w:rPr>
        <w:t xml:space="preserve"> </w:t>
      </w:r>
      <w:r w:rsidRPr="5FA61A53">
        <w:rPr>
          <w:rFonts w:ascii="Times New Roman" w:hAnsi="Times New Roman"/>
          <w:noProof/>
          <w:sz w:val="24"/>
          <w:szCs w:val="24"/>
        </w:rPr>
        <w:t>and chronic pain management</w:t>
      </w:r>
      <w:r>
        <w:rPr>
          <w:rFonts w:ascii="Times New Roman" w:hAnsi="Times New Roman"/>
          <w:noProof/>
          <w:sz w:val="24"/>
          <w:szCs w:val="24"/>
        </w:rPr>
        <w:t xml:space="preserve"> </w:t>
      </w:r>
      <w:r w:rsidRPr="5FA61A53">
        <w:rPr>
          <w:rFonts w:ascii="Times New Roman" w:hAnsi="Times New Roman"/>
          <w:noProof/>
          <w:sz w:val="24"/>
          <w:szCs w:val="24"/>
        </w:rPr>
        <w:t xml:space="preserve">guidelines and policies. </w:t>
      </w:r>
      <w:r>
        <w:rPr>
          <w:rFonts w:ascii="Times New Roman" w:hAnsi="Times New Roman"/>
          <w:noProof/>
          <w:sz w:val="24"/>
          <w:szCs w:val="24"/>
        </w:rPr>
        <w:t>Lastly, e</w:t>
      </w:r>
      <w:r w:rsidRPr="5FA61A53">
        <w:rPr>
          <w:rFonts w:ascii="Times New Roman" w:hAnsi="Times New Roman"/>
          <w:noProof/>
          <w:sz w:val="24"/>
          <w:szCs w:val="24"/>
        </w:rPr>
        <w:t xml:space="preserve">xisting data at other federal agencies </w:t>
      </w:r>
      <w:r>
        <w:rPr>
          <w:rFonts w:ascii="Times New Roman" w:hAnsi="Times New Roman"/>
          <w:noProof/>
          <w:sz w:val="24"/>
          <w:szCs w:val="24"/>
        </w:rPr>
        <w:t>such as the National Survey on Drug Use and Health administered by the Substance Abuse and Mental Health Services Administration and projects such as the Agency for Healthcare Research and Quality-led “</w:t>
      </w:r>
      <w:r w:rsidRPr="008C4806">
        <w:rPr>
          <w:rFonts w:ascii="Times New Roman" w:hAnsi="Times New Roman"/>
          <w:noProof/>
          <w:sz w:val="24"/>
          <w:szCs w:val="24"/>
        </w:rPr>
        <w:t>Evaluating and Implementing the Six Building Blocks Team Approach to Improve Opioid Management in Primary Care</w:t>
      </w:r>
      <w:r>
        <w:rPr>
          <w:rFonts w:ascii="Times New Roman" w:hAnsi="Times New Roman"/>
          <w:noProof/>
          <w:sz w:val="24"/>
          <w:szCs w:val="24"/>
        </w:rPr>
        <w:t xml:space="preserve">” </w:t>
      </w:r>
      <w:r w:rsidRPr="5FA61A53">
        <w:rPr>
          <w:rFonts w:ascii="Times New Roman" w:hAnsi="Times New Roman"/>
          <w:noProof/>
          <w:sz w:val="24"/>
          <w:szCs w:val="24"/>
        </w:rPr>
        <w:t xml:space="preserve">may </w:t>
      </w:r>
      <w:r>
        <w:rPr>
          <w:rFonts w:ascii="Times New Roman" w:hAnsi="Times New Roman"/>
          <w:noProof/>
          <w:sz w:val="24"/>
          <w:szCs w:val="24"/>
        </w:rPr>
        <w:t>address some limited aspects of this ICR in that they collect patient data on opioid use and support primary care clinicians who treat patients with chronic pain on LTOT, respectively. However, these efforts differ quite markedly in</w:t>
      </w:r>
      <w:r w:rsidRPr="5FA61A53">
        <w:rPr>
          <w:rFonts w:ascii="Times New Roman" w:hAnsi="Times New Roman"/>
          <w:noProof/>
          <w:sz w:val="24"/>
          <w:szCs w:val="24"/>
        </w:rPr>
        <w:t xml:space="preserve"> scope</w:t>
      </w:r>
      <w:r>
        <w:rPr>
          <w:rFonts w:ascii="Times New Roman" w:hAnsi="Times New Roman"/>
          <w:noProof/>
          <w:sz w:val="24"/>
          <w:szCs w:val="24"/>
        </w:rPr>
        <w:t xml:space="preserve"> </w:t>
      </w:r>
      <w:r w:rsidRPr="5FA61A53">
        <w:rPr>
          <w:rFonts w:ascii="Times New Roman" w:hAnsi="Times New Roman"/>
          <w:noProof/>
          <w:sz w:val="24"/>
          <w:szCs w:val="24"/>
        </w:rPr>
        <w:t>and representation across administrators, staff, clinicians, patients, and caregivers from the same health systems</w:t>
      </w:r>
      <w:r>
        <w:rPr>
          <w:rFonts w:ascii="Times New Roman" w:hAnsi="Times New Roman"/>
          <w:noProof/>
          <w:sz w:val="24"/>
          <w:szCs w:val="24"/>
        </w:rPr>
        <w:t xml:space="preserve"> like this ICR</w:t>
      </w:r>
      <w:r w:rsidRPr="5FA61A53">
        <w:rPr>
          <w:rFonts w:ascii="Times New Roman" w:hAnsi="Times New Roman"/>
          <w:noProof/>
          <w:sz w:val="24"/>
          <w:szCs w:val="24"/>
        </w:rPr>
        <w:t xml:space="preserve">.  </w:t>
      </w:r>
    </w:p>
    <w:p w:rsidR="00B416CA" w:rsidP="00B416CA" w:rsidRDefault="00B416CA" w14:paraId="66686D60" w14:textId="77777777">
      <w:pPr>
        <w:pStyle w:val="NormalSS"/>
        <w:spacing w:after="0"/>
        <w:ind w:firstLine="0"/>
      </w:pPr>
    </w:p>
    <w:p w:rsidR="00B416CA" w:rsidP="00AD1B47" w:rsidRDefault="00B416CA" w14:paraId="4F38F6AF" w14:textId="773CE246">
      <w:pPr>
        <w:spacing w:line="240" w:lineRule="auto"/>
        <w:ind w:firstLine="0"/>
        <w:rPr>
          <w:sz w:val="22"/>
        </w:rPr>
      </w:pPr>
      <w:r>
        <w:t xml:space="preserve">CDC has previously supported projects studying various interventions related to implementation of its </w:t>
      </w:r>
      <w:r w:rsidRPr="00E96D76">
        <w:rPr>
          <w:i/>
          <w:iCs/>
        </w:rPr>
        <w:t>Guideline for Prescribing Opioids for Chronic Pain</w:t>
      </w:r>
      <w:r>
        <w:rPr>
          <w:i/>
          <w:iCs/>
        </w:rPr>
        <w:t>.</w:t>
      </w:r>
      <w:r w:rsidRPr="00E96D76">
        <w:rPr>
          <w:i/>
          <w:iCs/>
        </w:rPr>
        <w:t xml:space="preserve"> </w:t>
      </w:r>
      <w:r>
        <w:t xml:space="preserve"> For example, in CDC’s “Opioid Prescribing Guideline Implementation: Clinical Decision Support” project, CDC engaged with health system champions and information technology leaders across four different health systems to develop and evaluate electronic clinical decision support tools to assist clinical care teams in making timely and guideline-informed opioid prescribing and care decisions. Also, through CDC’s Opioid Quality Improvement Collaborative, CDC developed quality improvement measures that mapped the 12 recommendations in the </w:t>
      </w:r>
      <w:r w:rsidRPr="00E96D76">
        <w:rPr>
          <w:i/>
          <w:iCs/>
        </w:rPr>
        <w:t>CDC Guideline for Prescribing Opioids for Chronic Pain</w:t>
      </w:r>
      <w:r>
        <w:t xml:space="preserve"> and engaged with two separate cohorts of health systems to implement these measures with an accompanying care coordination guide and to monitor progress. For these projects, fewer than nine individual clinicians were contacted to provide insight into how the </w:t>
      </w:r>
      <w:r>
        <w:rPr>
          <w:i/>
          <w:iCs/>
        </w:rPr>
        <w:t>CDC Guideline for Prescribing Opioids for Chronic Pain</w:t>
      </w:r>
      <w:r>
        <w:t xml:space="preserve"> impacted clinical practice</w:t>
      </w:r>
      <w:r w:rsidR="00CA16D4">
        <w:t xml:space="preserve">. </w:t>
      </w:r>
      <w:r>
        <w:t>Also, while both projects involved examination of EHR data from a small number of health systems with a few accompanying interviews to understand health systems’ efforts, these data did not involve primary data collection from patients, a key population whose voice will be specifically included in this ICR via two different methods. Also, these previous projects did not include a focused assessment of how known racial and ethnic disparities in chronic pain management, opioid prescribing, and access to MOUD may have been impacted by implemented guidelines/policies, which this ICR proposes to study, and involved an observation period insufficient to observe a significant change before and after implementation, whereas this ICR specifically seeks to recruit health systems that have implemented policies for years and can thus provide a thorough, nuanced examination of baseline data and several years of post-implementation data to effectively assess impact</w:t>
      </w:r>
      <w:r>
        <w:rPr>
          <w:i/>
          <w:iCs/>
        </w:rPr>
        <w:t>.</w:t>
      </w:r>
      <w:r>
        <w:t xml:space="preserve"> Overall, research methods proposed within this ICR differ substantially in that they will expand upon methods developed in previous investigations and </w:t>
      </w:r>
      <w:r>
        <w:lastRenderedPageBreak/>
        <w:t xml:space="preserve">deploy them on a significantly larger scale among patients and a larger sample of clinicians to achieve a more representative sample of national opioid prescribing trends. </w:t>
      </w:r>
    </w:p>
    <w:p w:rsidRPr="00F67B19" w:rsidR="00FB10AE" w:rsidP="039C0B52" w:rsidRDefault="00FB10AE" w14:paraId="6AD5B7FF" w14:textId="39D144CF">
      <w:pPr>
        <w:pStyle w:val="NormalSS"/>
        <w:spacing w:after="0"/>
        <w:ind w:firstLine="0"/>
      </w:pPr>
    </w:p>
    <w:p w:rsidRPr="001D6595" w:rsidR="001D6595" w:rsidP="000167E1" w:rsidRDefault="001D6595" w14:paraId="05F7790D" w14:textId="77777777">
      <w:pPr>
        <w:pStyle w:val="coverdate"/>
        <w:tabs>
          <w:tab w:val="left" w:pos="0"/>
        </w:tabs>
        <w:spacing w:line="259" w:lineRule="auto"/>
        <w:rPr>
          <w:rFonts w:ascii="Times New Roman" w:hAnsi="Times New Roman"/>
          <w:noProof/>
          <w:sz w:val="22"/>
          <w:szCs w:val="22"/>
        </w:rPr>
      </w:pPr>
    </w:p>
    <w:p w:rsidRPr="00D22AD2" w:rsidR="00663A7E" w:rsidP="5BBFA51E" w:rsidRDefault="009A1F17" w14:paraId="0C33A509" w14:textId="539273D8">
      <w:pPr>
        <w:pStyle w:val="Heading2"/>
        <w:tabs>
          <w:tab w:val="clear" w:pos="432"/>
        </w:tabs>
        <w:ind w:left="0" w:firstLine="0"/>
        <w:rPr>
          <w:rFonts w:eastAsiaTheme="minorEastAsia"/>
        </w:rPr>
      </w:pPr>
      <w:bookmarkStart w:name="_Toc402259344" w:id="28"/>
      <w:bookmarkStart w:name="_Toc63079023" w:id="29"/>
      <w:r w:rsidRPr="5BBFA51E">
        <w:rPr>
          <w:rFonts w:eastAsiaTheme="minorEastAsia"/>
        </w:rPr>
        <w:t>A</w:t>
      </w:r>
      <w:r w:rsidRPr="5BBFA51E" w:rsidR="00F35131">
        <w:rPr>
          <w:rFonts w:eastAsiaTheme="minorEastAsia"/>
        </w:rPr>
        <w:t>5.</w:t>
      </w:r>
      <w:r>
        <w:tab/>
      </w:r>
      <w:r w:rsidRPr="5BBFA51E" w:rsidR="00F35131">
        <w:rPr>
          <w:rFonts w:eastAsiaTheme="minorEastAsia"/>
        </w:rPr>
        <w:t>Impact on Small Businesses or Other Small Entities</w:t>
      </w:r>
      <w:bookmarkEnd w:id="28"/>
      <w:bookmarkEnd w:id="29"/>
    </w:p>
    <w:p w:rsidR="003A1AB4" w:rsidP="5BBFA51E" w:rsidRDefault="003A1AB4" w14:paraId="65B6DA5E" w14:textId="60EC5784">
      <w:pPr>
        <w:spacing w:line="240" w:lineRule="auto"/>
        <w:ind w:firstLine="0"/>
      </w:pPr>
      <w:r>
        <w:t>Data will not be collected from small entities.</w:t>
      </w:r>
    </w:p>
    <w:p w:rsidR="00AD1B47" w:rsidP="5BBFA51E" w:rsidRDefault="00AD1B47" w14:paraId="65E64EC6" w14:textId="77777777">
      <w:pPr>
        <w:spacing w:line="240" w:lineRule="auto"/>
        <w:ind w:firstLine="0"/>
      </w:pPr>
    </w:p>
    <w:p w:rsidRPr="00663A7E" w:rsidR="001D6595" w:rsidP="000167E1" w:rsidRDefault="001D6595" w14:paraId="0D22D132" w14:textId="77777777">
      <w:pPr>
        <w:tabs>
          <w:tab w:val="left" w:pos="0"/>
        </w:tabs>
        <w:spacing w:line="240" w:lineRule="auto"/>
        <w:ind w:firstLine="0"/>
        <w:rPr>
          <w:rFonts w:eastAsiaTheme="minorEastAsia"/>
          <w:b/>
          <w:szCs w:val="24"/>
        </w:rPr>
      </w:pPr>
    </w:p>
    <w:p w:rsidRPr="00D22AD2" w:rsidR="00F35131" w:rsidP="000167E1" w:rsidRDefault="009A1F17" w14:paraId="12E87996" w14:textId="589A92F0">
      <w:pPr>
        <w:pStyle w:val="Heading2"/>
        <w:tabs>
          <w:tab w:val="clear" w:pos="432"/>
          <w:tab w:val="left" w:pos="0"/>
        </w:tabs>
        <w:ind w:left="0" w:firstLine="0"/>
        <w:rPr>
          <w:rFonts w:eastAsiaTheme="minorEastAsia"/>
        </w:rPr>
      </w:pPr>
      <w:bookmarkStart w:name="_Toc402259345" w:id="30"/>
      <w:bookmarkStart w:name="_Toc63079024" w:id="31"/>
      <w:r>
        <w:rPr>
          <w:rFonts w:eastAsiaTheme="minorEastAsia"/>
        </w:rPr>
        <w:t>A</w:t>
      </w:r>
      <w:r w:rsidRPr="00D22AD2" w:rsidR="00F35131">
        <w:rPr>
          <w:rFonts w:eastAsiaTheme="minorEastAsia"/>
        </w:rPr>
        <w:t>6.</w:t>
      </w:r>
      <w:r w:rsidRPr="00D22AD2" w:rsidR="00F35131">
        <w:rPr>
          <w:rFonts w:eastAsiaTheme="minorEastAsia"/>
        </w:rPr>
        <w:tab/>
        <w:t>Consequences of Collecting the Information Less Frequently</w:t>
      </w:r>
      <w:bookmarkEnd w:id="30"/>
      <w:bookmarkEnd w:id="31"/>
    </w:p>
    <w:p w:rsidRPr="001D6595" w:rsidR="00004CE9" w:rsidP="5BBFA51E" w:rsidRDefault="116B1C42" w14:paraId="62931BA7" w14:textId="5A457ED3">
      <w:pPr>
        <w:spacing w:beforeAutospacing="1" w:afterAutospacing="1" w:line="240" w:lineRule="auto"/>
        <w:ind w:firstLine="0"/>
      </w:pPr>
      <w:r>
        <w:t xml:space="preserve">The </w:t>
      </w:r>
      <w:r w:rsidR="003F159F">
        <w:t xml:space="preserve">one-time </w:t>
      </w:r>
      <w:r w:rsidR="0E9C3EF7">
        <w:t>d</w:t>
      </w:r>
      <w:r w:rsidR="1735260D">
        <w:t xml:space="preserve">ata </w:t>
      </w:r>
      <w:r w:rsidR="26F5F7AD">
        <w:t xml:space="preserve">collection described in this document </w:t>
      </w:r>
      <w:r w:rsidR="327DECF6">
        <w:t xml:space="preserve">will occur over a period of </w:t>
      </w:r>
      <w:r w:rsidR="575A8BC7">
        <w:t xml:space="preserve">three </w:t>
      </w:r>
      <w:r w:rsidR="327DECF6">
        <w:t>year</w:t>
      </w:r>
      <w:r w:rsidR="09160ECE">
        <w:t>s</w:t>
      </w:r>
      <w:r w:rsidR="7079FABF">
        <w:t xml:space="preserve"> </w:t>
      </w:r>
      <w:r w:rsidR="264F1883">
        <w:t>w</w:t>
      </w:r>
      <w:r>
        <w:t xml:space="preserve">ith </w:t>
      </w:r>
      <w:r w:rsidR="2C732E24">
        <w:t>clinician</w:t>
      </w:r>
      <w:r>
        <w:t>s, patients, and system leaders at each of the participating health care organizations.</w:t>
      </w:r>
      <w:r w:rsidR="59D5E5D7">
        <w:t xml:space="preserve">  </w:t>
      </w:r>
      <w:r>
        <w:t xml:space="preserve">Not collecting the </w:t>
      </w:r>
      <w:r w:rsidR="323D611C">
        <w:t xml:space="preserve">data </w:t>
      </w:r>
      <w:r w:rsidR="12469DF1">
        <w:t xml:space="preserve">at all </w:t>
      </w:r>
      <w:r w:rsidR="323D611C">
        <w:t>or</w:t>
      </w:r>
      <w:r>
        <w:t xml:space="preserve"> shortening the data collection period (either by decreasing the study duration or number of sites) places us at risk of not </w:t>
      </w:r>
      <w:r w:rsidR="12469DF1">
        <w:t>obtaining</w:t>
      </w:r>
      <w:r>
        <w:t xml:space="preserve"> adequate information for the </w:t>
      </w:r>
      <w:r w:rsidR="00F92D70">
        <w:t xml:space="preserve">study </w:t>
      </w:r>
      <w:r>
        <w:t xml:space="preserve">of </w:t>
      </w:r>
      <w:r w:rsidR="4A9FAAF0">
        <w:t>c</w:t>
      </w:r>
      <w:r>
        <w:t>hronic</w:t>
      </w:r>
      <w:r w:rsidR="7DC499DC">
        <w:t xml:space="preserve"> </w:t>
      </w:r>
      <w:r w:rsidR="4A9FAAF0">
        <w:t>p</w:t>
      </w:r>
      <w:r>
        <w:t xml:space="preserve">ain </w:t>
      </w:r>
      <w:r w:rsidR="4A9FAAF0">
        <w:t>m</w:t>
      </w:r>
      <w:r>
        <w:t>anagement</w:t>
      </w:r>
      <w:r w:rsidR="00964AA6">
        <w:t>,</w:t>
      </w:r>
      <w:r w:rsidR="4A9FAAF0">
        <w:t xml:space="preserve"> </w:t>
      </w:r>
      <w:r w:rsidR="007C2A16">
        <w:t xml:space="preserve">and </w:t>
      </w:r>
      <w:r w:rsidR="4A9FAAF0">
        <w:t>opioid prescribing</w:t>
      </w:r>
      <w:r w:rsidR="00964AA6">
        <w:t>,</w:t>
      </w:r>
      <w:r>
        <w:t xml:space="preserve"> policies and guidelines. Should we shorten the data collection period, we </w:t>
      </w:r>
      <w:r w:rsidR="108C0FB1">
        <w:t xml:space="preserve">may </w:t>
      </w:r>
      <w:r>
        <w:t xml:space="preserve">not identify potential barriers, facilitators or outcomes of </w:t>
      </w:r>
      <w:r w:rsidR="1A3A7242">
        <w:t xml:space="preserve">existing </w:t>
      </w:r>
      <w:r w:rsidR="4A9FAAF0">
        <w:t>c</w:t>
      </w:r>
      <w:r>
        <w:t xml:space="preserve">hronic </w:t>
      </w:r>
      <w:r w:rsidR="4A9FAAF0">
        <w:t>p</w:t>
      </w:r>
      <w:r>
        <w:t xml:space="preserve">ain </w:t>
      </w:r>
      <w:r w:rsidR="7DC499DC">
        <w:t>m</w:t>
      </w:r>
      <w:r>
        <w:t xml:space="preserve">anagement </w:t>
      </w:r>
      <w:r w:rsidR="4A9FAAF0">
        <w:t xml:space="preserve">and opioid prescribing </w:t>
      </w:r>
      <w:r>
        <w:t>policies and guidelines. This would limit the understanding of the landscape of treatment barriers, which will inform future activities related to clinician engagement, such as enhanced</w:t>
      </w:r>
      <w:r w:rsidR="592B19EF">
        <w:t xml:space="preserve"> </w:t>
      </w:r>
      <w:r w:rsidR="48C79F82">
        <w:t xml:space="preserve">and targeted </w:t>
      </w:r>
      <w:r w:rsidR="001D6595">
        <w:t>academic detailing outreach</w:t>
      </w:r>
      <w:r w:rsidR="3725D094">
        <w:t>.</w:t>
      </w:r>
    </w:p>
    <w:p w:rsidRPr="00D22AD2" w:rsidR="00F35131" w:rsidP="000167E1" w:rsidRDefault="009A1F17" w14:paraId="3D823B3C" w14:textId="3E13F457">
      <w:pPr>
        <w:pStyle w:val="Heading2"/>
        <w:tabs>
          <w:tab w:val="clear" w:pos="432"/>
          <w:tab w:val="left" w:pos="0"/>
        </w:tabs>
        <w:ind w:left="0" w:firstLine="0"/>
        <w:rPr>
          <w:rFonts w:eastAsiaTheme="minorEastAsia"/>
        </w:rPr>
      </w:pPr>
      <w:bookmarkStart w:name="_Toc402259346" w:id="32"/>
      <w:bookmarkStart w:name="_Toc63079025" w:id="33"/>
      <w:r>
        <w:rPr>
          <w:rFonts w:eastAsiaTheme="minorEastAsia"/>
        </w:rPr>
        <w:t>A</w:t>
      </w:r>
      <w:r w:rsidRPr="00D22AD2" w:rsidR="00F35131">
        <w:rPr>
          <w:rFonts w:eastAsiaTheme="minorEastAsia"/>
        </w:rPr>
        <w:t>7.</w:t>
      </w:r>
      <w:r w:rsidRPr="00D22AD2" w:rsidR="00F35131">
        <w:rPr>
          <w:rFonts w:eastAsiaTheme="minorEastAsia"/>
        </w:rPr>
        <w:tab/>
        <w:t>Special Circumstances Relating to the Guidelines of 5 CFR 1320.5</w:t>
      </w:r>
      <w:bookmarkEnd w:id="32"/>
      <w:bookmarkEnd w:id="33"/>
    </w:p>
    <w:p w:rsidR="00616F0E" w:rsidP="000167E1" w:rsidRDefault="00616F0E" w14:paraId="00FE1887" w14:textId="371F3F8B">
      <w:pPr>
        <w:tabs>
          <w:tab w:val="left" w:pos="0"/>
        </w:tabs>
        <w:spacing w:before="120" w:line="240" w:lineRule="auto"/>
        <w:ind w:firstLine="0"/>
      </w:pPr>
      <w:r w:rsidRPr="00160C23">
        <w:t>This request is consistent with the general information collection guidelines of 5 CFR 1320.5(d)(2).  No special circumstances apply.</w:t>
      </w:r>
    </w:p>
    <w:p w:rsidRPr="00616F0E" w:rsidR="00004CE9" w:rsidP="000167E1" w:rsidRDefault="00004CE9" w14:paraId="3EE20542" w14:textId="77777777">
      <w:pPr>
        <w:tabs>
          <w:tab w:val="left" w:pos="0"/>
        </w:tabs>
        <w:spacing w:before="120" w:line="240" w:lineRule="auto"/>
        <w:ind w:firstLine="0"/>
      </w:pPr>
    </w:p>
    <w:p w:rsidRPr="00D33416" w:rsidR="00D33416" w:rsidP="00D33416" w:rsidRDefault="009A1F17" w14:paraId="42B01FC8" w14:textId="330D3552">
      <w:pPr>
        <w:pStyle w:val="Heading2"/>
        <w:tabs>
          <w:tab w:val="clear" w:pos="432"/>
          <w:tab w:val="left" w:pos="0"/>
        </w:tabs>
        <w:spacing w:after="0"/>
        <w:ind w:left="0" w:firstLine="0"/>
        <w:rPr>
          <w:rFonts w:eastAsiaTheme="minorEastAsia"/>
        </w:rPr>
      </w:pPr>
      <w:bookmarkStart w:name="_Toc402259347" w:id="34"/>
      <w:bookmarkStart w:name="_Toc63079026" w:id="35"/>
      <w:bookmarkStart w:name="_Hlk83645142" w:id="36"/>
      <w:r>
        <w:rPr>
          <w:rFonts w:eastAsiaTheme="minorEastAsia"/>
        </w:rPr>
        <w:t>A</w:t>
      </w:r>
      <w:r w:rsidRPr="00D22AD2" w:rsidR="00F35131">
        <w:rPr>
          <w:rFonts w:eastAsiaTheme="minorEastAsia"/>
        </w:rPr>
        <w:t>8.</w:t>
      </w:r>
      <w:r w:rsidRPr="00D22AD2" w:rsidR="00F35131">
        <w:rPr>
          <w:rFonts w:eastAsiaTheme="minorEastAsia"/>
        </w:rPr>
        <w:tab/>
        <w:t>Comments in Response to the Federal Register Notice and Efforts to Consult Outside the Agency</w:t>
      </w:r>
      <w:bookmarkEnd w:id="34"/>
      <w:bookmarkEnd w:id="35"/>
    </w:p>
    <w:p w:rsidRPr="00D33416" w:rsidR="00663A7E" w:rsidP="00D33416" w:rsidRDefault="009C041F" w14:paraId="29CE484D" w14:textId="72ED5C9B">
      <w:pPr>
        <w:pStyle w:val="Heading2NoTOC"/>
        <w:numPr>
          <w:ilvl w:val="0"/>
          <w:numId w:val="35"/>
        </w:numPr>
        <w:tabs>
          <w:tab w:val="left" w:pos="0"/>
        </w:tabs>
        <w:rPr>
          <w:rFonts w:ascii="Times New Roman" w:hAnsi="Times New Roman" w:eastAsiaTheme="minorEastAsia"/>
          <w:b/>
          <w:bCs/>
          <w:sz w:val="24"/>
          <w:szCs w:val="24"/>
        </w:rPr>
      </w:pPr>
      <w:r w:rsidRPr="00D33416">
        <w:rPr>
          <w:rFonts w:ascii="Times New Roman" w:hAnsi="Times New Roman" w:eastAsiaTheme="minorEastAsia"/>
          <w:b/>
          <w:bCs/>
          <w:sz w:val="24"/>
          <w:szCs w:val="24"/>
        </w:rPr>
        <w:t>Federal Register Notice</w:t>
      </w:r>
      <w:r w:rsidRPr="00D33416" w:rsidR="00663A7E">
        <w:rPr>
          <w:rFonts w:ascii="Times New Roman" w:hAnsi="Times New Roman" w:eastAsiaTheme="minorEastAsia"/>
          <w:b/>
          <w:bCs/>
          <w:sz w:val="24"/>
          <w:szCs w:val="24"/>
        </w:rPr>
        <w:t xml:space="preserve"> </w:t>
      </w:r>
    </w:p>
    <w:p w:rsidRPr="00820BCF" w:rsidR="009C041F" w:rsidP="000F1466" w:rsidRDefault="00CA16D4" w14:paraId="0DEC70D3" w14:textId="1193B358">
      <w:pPr>
        <w:pStyle w:val="NormalSS"/>
        <w:ind w:firstLine="0"/>
        <w:rPr>
          <w:rFonts w:eastAsiaTheme="minorEastAsia"/>
          <w:szCs w:val="24"/>
        </w:rPr>
      </w:pPr>
      <w:r w:rsidRPr="00CA16D4">
        <w:rPr>
          <w:rFonts w:eastAsiaTheme="minorEastAsia"/>
          <w:szCs w:val="24"/>
        </w:rPr>
        <w:t>A</w:t>
      </w:r>
      <w:r w:rsidR="000F1466">
        <w:rPr>
          <w:rFonts w:eastAsiaTheme="minorEastAsia"/>
          <w:szCs w:val="24"/>
        </w:rPr>
        <w:t xml:space="preserve"> </w:t>
      </w:r>
      <w:r w:rsidRPr="00CA16D4">
        <w:rPr>
          <w:rFonts w:eastAsiaTheme="minorEastAsia"/>
          <w:szCs w:val="24"/>
        </w:rPr>
        <w:t xml:space="preserve">60-day Federal Register Notice was published in the Federal Register on </w:t>
      </w:r>
      <w:r w:rsidR="003B48EE">
        <w:rPr>
          <w:rFonts w:eastAsiaTheme="minorEastAsia"/>
          <w:szCs w:val="24"/>
        </w:rPr>
        <w:t>September 27, 2021</w:t>
      </w:r>
      <w:r>
        <w:rPr>
          <w:rFonts w:eastAsiaTheme="minorEastAsia"/>
          <w:szCs w:val="24"/>
        </w:rPr>
        <w:t>,</w:t>
      </w:r>
      <w:r w:rsidR="003B48EE">
        <w:rPr>
          <w:rFonts w:eastAsiaTheme="minorEastAsia"/>
          <w:szCs w:val="24"/>
        </w:rPr>
        <w:t xml:space="preserve"> </w:t>
      </w:r>
      <w:r w:rsidRPr="00CA16D4">
        <w:rPr>
          <w:rFonts w:eastAsiaTheme="minorEastAsia"/>
          <w:szCs w:val="24"/>
        </w:rPr>
        <w:t xml:space="preserve">vol. </w:t>
      </w:r>
      <w:r w:rsidR="003B48EE">
        <w:rPr>
          <w:rFonts w:eastAsiaTheme="minorEastAsia"/>
          <w:szCs w:val="24"/>
        </w:rPr>
        <w:t>86</w:t>
      </w:r>
      <w:r w:rsidRPr="00CA16D4">
        <w:rPr>
          <w:rFonts w:eastAsiaTheme="minorEastAsia"/>
          <w:szCs w:val="24"/>
        </w:rPr>
        <w:t xml:space="preserve">, No. </w:t>
      </w:r>
      <w:r w:rsidR="003B48EE">
        <w:rPr>
          <w:rFonts w:eastAsiaTheme="minorEastAsia"/>
          <w:szCs w:val="24"/>
        </w:rPr>
        <w:t>184</w:t>
      </w:r>
      <w:r w:rsidRPr="00CA16D4">
        <w:rPr>
          <w:rFonts w:eastAsiaTheme="minorEastAsia"/>
          <w:szCs w:val="24"/>
        </w:rPr>
        <w:t xml:space="preserve">, pp. </w:t>
      </w:r>
      <w:r w:rsidR="003B48EE">
        <w:rPr>
          <w:rFonts w:eastAsiaTheme="minorEastAsia"/>
          <w:szCs w:val="24"/>
        </w:rPr>
        <w:t>53313</w:t>
      </w:r>
      <w:r w:rsidRPr="00CA16D4" w:rsidR="003B48EE">
        <w:rPr>
          <w:rFonts w:eastAsiaTheme="minorEastAsia"/>
          <w:szCs w:val="24"/>
        </w:rPr>
        <w:t xml:space="preserve"> </w:t>
      </w:r>
      <w:r w:rsidRPr="00CA16D4">
        <w:rPr>
          <w:rFonts w:eastAsiaTheme="minorEastAsia"/>
          <w:szCs w:val="24"/>
        </w:rPr>
        <w:t xml:space="preserve">(Attachment </w:t>
      </w:r>
      <w:r>
        <w:rPr>
          <w:rFonts w:eastAsiaTheme="minorEastAsia"/>
          <w:szCs w:val="24"/>
        </w:rPr>
        <w:t>F</w:t>
      </w:r>
      <w:r w:rsidRPr="00CA16D4">
        <w:rPr>
          <w:rFonts w:eastAsiaTheme="minorEastAsia"/>
          <w:szCs w:val="24"/>
        </w:rPr>
        <w:t xml:space="preserve">). There were </w:t>
      </w:r>
      <w:r w:rsidR="00BC50E6">
        <w:rPr>
          <w:rFonts w:eastAsiaTheme="minorEastAsia"/>
          <w:szCs w:val="24"/>
        </w:rPr>
        <w:t>no</w:t>
      </w:r>
      <w:r w:rsidRPr="00CA16D4">
        <w:rPr>
          <w:rFonts w:eastAsiaTheme="minorEastAsia"/>
          <w:szCs w:val="24"/>
        </w:rPr>
        <w:t xml:space="preserve"> public comments</w:t>
      </w:r>
      <w:r w:rsidR="00BF0DD2">
        <w:rPr>
          <w:rFonts w:eastAsiaTheme="minorEastAsia"/>
          <w:szCs w:val="24"/>
        </w:rPr>
        <w:t xml:space="preserve"> to this notice</w:t>
      </w:r>
      <w:r w:rsidRPr="00CA16D4">
        <w:rPr>
          <w:rFonts w:eastAsiaTheme="minorEastAsia"/>
          <w:szCs w:val="24"/>
        </w:rPr>
        <w:t xml:space="preserve">. </w:t>
      </w:r>
    </w:p>
    <w:p w:rsidR="00854473" w:rsidP="00C36109" w:rsidRDefault="00193959" w14:paraId="743E613B" w14:textId="44666356">
      <w:pPr>
        <w:pStyle w:val="NormalSS"/>
        <w:ind w:firstLine="0"/>
        <w:rPr>
          <w:rFonts w:eastAsiaTheme="minorEastAsia"/>
        </w:rPr>
      </w:pPr>
      <w:bookmarkStart w:name="_Toc63079027" w:id="37"/>
      <w:r w:rsidRPr="001D3125">
        <w:rPr>
          <w:rFonts w:eastAsiaTheme="minorEastAsia"/>
          <w:b/>
          <w:bCs/>
          <w:szCs w:val="24"/>
        </w:rPr>
        <w:t>Efforts to Consult Outside the Agency</w:t>
      </w:r>
      <w:r w:rsidRPr="00193959" w:rsidDel="00193959">
        <w:rPr>
          <w:rFonts w:eastAsiaTheme="minorEastAsia"/>
          <w:b/>
          <w:bCs/>
          <w:szCs w:val="24"/>
        </w:rPr>
        <w:t xml:space="preserve"> </w:t>
      </w:r>
      <w:bookmarkEnd w:id="37"/>
      <w:bookmarkEnd w:id="36"/>
    </w:p>
    <w:p w:rsidR="00635142" w:rsidP="00C36109" w:rsidRDefault="00854473" w14:paraId="6CCEFE42" w14:textId="030125A4">
      <w:pPr>
        <w:pStyle w:val="NormalSS"/>
        <w:ind w:firstLine="0"/>
        <w:rPr>
          <w:rFonts w:eastAsiaTheme="minorEastAsia"/>
        </w:rPr>
      </w:pPr>
      <w:r>
        <w:rPr>
          <w:rFonts w:eastAsiaTheme="minorEastAsia"/>
          <w:szCs w:val="24"/>
        </w:rPr>
        <w:t xml:space="preserve">Efforts were made to consult outside </w:t>
      </w:r>
      <w:r w:rsidR="00635142">
        <w:rPr>
          <w:rFonts w:eastAsiaTheme="minorEastAsia"/>
          <w:szCs w:val="24"/>
        </w:rPr>
        <w:t xml:space="preserve">of </w:t>
      </w:r>
      <w:r>
        <w:rPr>
          <w:rFonts w:eastAsiaTheme="minorEastAsia"/>
          <w:szCs w:val="24"/>
        </w:rPr>
        <w:t xml:space="preserve">the agency. </w:t>
      </w:r>
      <w:r w:rsidRPr="00531B95" w:rsidR="00531B95">
        <w:rPr>
          <w:rFonts w:eastAsiaTheme="minorEastAsia"/>
        </w:rPr>
        <w:t xml:space="preserve">The data collection instruments were designed collaboratively by CDC staff and selected contractors. Contractors consulted included researchers, statisticians, clinicians, </w:t>
      </w:r>
      <w:r>
        <w:rPr>
          <w:rFonts w:eastAsiaTheme="minorEastAsia"/>
        </w:rPr>
        <w:t xml:space="preserve">and </w:t>
      </w:r>
      <w:r w:rsidRPr="00531B95" w:rsidR="00531B95">
        <w:rPr>
          <w:rFonts w:eastAsiaTheme="minorEastAsia"/>
        </w:rPr>
        <w:t>pharmacists with expertise in evaluation research</w:t>
      </w:r>
      <w:r w:rsidR="00820BCF">
        <w:rPr>
          <w:rFonts w:eastAsiaTheme="minorEastAsia"/>
        </w:rPr>
        <w:t xml:space="preserve"> and</w:t>
      </w:r>
      <w:r w:rsidRPr="00531B95" w:rsidR="00531B95">
        <w:rPr>
          <w:rFonts w:eastAsiaTheme="minorEastAsia"/>
        </w:rPr>
        <w:t xml:space="preserve"> survey methodology</w:t>
      </w:r>
      <w:r>
        <w:rPr>
          <w:rFonts w:eastAsiaTheme="minorEastAsia"/>
        </w:rPr>
        <w:t xml:space="preserve">, </w:t>
      </w:r>
      <w:r w:rsidR="00820BCF">
        <w:rPr>
          <w:rFonts w:eastAsiaTheme="minorEastAsia"/>
        </w:rPr>
        <w:t>as well as</w:t>
      </w:r>
      <w:r>
        <w:rPr>
          <w:rFonts w:eastAsiaTheme="minorEastAsia"/>
        </w:rPr>
        <w:t xml:space="preserve"> opioid prescribing.</w:t>
      </w:r>
      <w:r w:rsidRPr="00531B95" w:rsidR="00531B95">
        <w:rPr>
          <w:rFonts w:eastAsiaTheme="minorEastAsia"/>
        </w:rPr>
        <w:t xml:space="preserve">  </w:t>
      </w:r>
    </w:p>
    <w:p w:rsidR="00635142" w:rsidP="00C36109" w:rsidRDefault="00531B95" w14:paraId="687B16D5" w14:textId="77777777">
      <w:pPr>
        <w:pStyle w:val="NormalSS"/>
        <w:ind w:firstLine="0"/>
        <w:rPr>
          <w:rFonts w:eastAsiaTheme="minorEastAsia"/>
        </w:rPr>
      </w:pPr>
      <w:r w:rsidRPr="00531B95">
        <w:rPr>
          <w:rFonts w:eastAsiaTheme="minorEastAsia"/>
        </w:rPr>
        <w:t>In addition, leadership at the American Medical Group Association</w:t>
      </w:r>
      <w:r w:rsidR="00854473">
        <w:rPr>
          <w:rFonts w:eastAsiaTheme="minorEastAsia"/>
        </w:rPr>
        <w:t xml:space="preserve"> (AMGA)</w:t>
      </w:r>
      <w:r w:rsidRPr="00531B95">
        <w:rPr>
          <w:rFonts w:eastAsiaTheme="minorEastAsia"/>
        </w:rPr>
        <w:t xml:space="preserve">, from which member health systems will be selected to participate, were consulted extensively to determine the appropriateness of all primary data collection efforts.  All surveys and interview guides were developed in collaboration with contractors and AMGA leadership to consider the burden </w:t>
      </w:r>
      <w:r w:rsidR="00635142">
        <w:rPr>
          <w:rFonts w:eastAsiaTheme="minorEastAsia"/>
        </w:rPr>
        <w:t>of</w:t>
      </w:r>
      <w:r w:rsidRPr="00531B95">
        <w:rPr>
          <w:rFonts w:eastAsiaTheme="minorEastAsia"/>
        </w:rPr>
        <w:t xml:space="preserve"> primary collection instrument </w:t>
      </w:r>
      <w:r w:rsidR="00635142">
        <w:rPr>
          <w:rFonts w:eastAsiaTheme="minorEastAsia"/>
        </w:rPr>
        <w:t xml:space="preserve">on </w:t>
      </w:r>
      <w:r w:rsidRPr="00531B95">
        <w:rPr>
          <w:rFonts w:eastAsiaTheme="minorEastAsia"/>
        </w:rPr>
        <w:t xml:space="preserve">respondents, content of all primary collection materials, instructions </w:t>
      </w:r>
      <w:r w:rsidR="00635142">
        <w:rPr>
          <w:rFonts w:eastAsiaTheme="minorEastAsia"/>
        </w:rPr>
        <w:t xml:space="preserve">for </w:t>
      </w:r>
      <w:r w:rsidRPr="00531B95">
        <w:rPr>
          <w:rFonts w:eastAsiaTheme="minorEastAsia"/>
        </w:rPr>
        <w:t xml:space="preserve">materials, and relevance of content addressed in each instrument. </w:t>
      </w:r>
    </w:p>
    <w:p w:rsidR="002F5C06" w:rsidP="00F2029D" w:rsidRDefault="00531B95" w14:paraId="5C182908" w14:textId="5BCEFDEB">
      <w:pPr>
        <w:pStyle w:val="NormalSS"/>
        <w:ind w:firstLine="0"/>
      </w:pPr>
      <w:r w:rsidRPr="00531B95">
        <w:rPr>
          <w:rFonts w:eastAsiaTheme="minorEastAsia"/>
        </w:rPr>
        <w:lastRenderedPageBreak/>
        <w:t>Finally, primary data collection materials were also reviewed and approved by the Abt Associates</w:t>
      </w:r>
      <w:r w:rsidR="004C6BA3">
        <w:rPr>
          <w:rFonts w:eastAsiaTheme="minorEastAsia"/>
        </w:rPr>
        <w:t>’</w:t>
      </w:r>
      <w:r w:rsidRPr="00531B95">
        <w:rPr>
          <w:rFonts w:eastAsiaTheme="minorEastAsia"/>
        </w:rPr>
        <w:t xml:space="preserve"> Institutional Review Board</w:t>
      </w:r>
      <w:r w:rsidR="00854473">
        <w:rPr>
          <w:rFonts w:eastAsiaTheme="minorEastAsia"/>
        </w:rPr>
        <w:t xml:space="preserve"> (IRB)</w:t>
      </w:r>
      <w:r w:rsidRPr="00531B95">
        <w:rPr>
          <w:rFonts w:eastAsiaTheme="minorEastAsia"/>
        </w:rPr>
        <w:t xml:space="preserve"> for appropriateness of content, burden, clarity, respondents, and data availability.</w:t>
      </w:r>
      <w:r w:rsidRPr="00854473" w:rsidR="00854473">
        <w:rPr>
          <w:rFonts w:eastAsiaTheme="minorEastAsia"/>
          <w:szCs w:val="24"/>
        </w:rPr>
        <w:t xml:space="preserve"> </w:t>
      </w:r>
      <w:r w:rsidRPr="00C36109" w:rsidR="00854473">
        <w:rPr>
          <w:rFonts w:eastAsiaTheme="minorEastAsia"/>
          <w:szCs w:val="24"/>
        </w:rPr>
        <w:t xml:space="preserve">Consultation </w:t>
      </w:r>
      <w:r w:rsidR="00854473">
        <w:rPr>
          <w:rFonts w:eastAsiaTheme="minorEastAsia"/>
          <w:szCs w:val="24"/>
        </w:rPr>
        <w:t>with the above</w:t>
      </w:r>
      <w:r w:rsidR="00635142">
        <w:rPr>
          <w:rFonts w:eastAsiaTheme="minorEastAsia"/>
          <w:szCs w:val="24"/>
        </w:rPr>
        <w:t>-</w:t>
      </w:r>
      <w:r w:rsidR="00854473">
        <w:rPr>
          <w:rFonts w:eastAsiaTheme="minorEastAsia"/>
          <w:szCs w:val="24"/>
        </w:rPr>
        <w:t xml:space="preserve">mentioned groups </w:t>
      </w:r>
      <w:r w:rsidRPr="00C36109" w:rsidR="00854473">
        <w:rPr>
          <w:rFonts w:eastAsiaTheme="minorEastAsia"/>
          <w:szCs w:val="24"/>
        </w:rPr>
        <w:t>will continue throughout the implementation process</w:t>
      </w:r>
      <w:r w:rsidR="00C21669">
        <w:rPr>
          <w:rFonts w:eastAsiaTheme="minorEastAsia"/>
          <w:szCs w:val="24"/>
        </w:rPr>
        <w:t>.</w:t>
      </w:r>
      <w:bookmarkStart w:name="_Hlk83936691" w:id="38"/>
    </w:p>
    <w:p w:rsidRPr="00D22AD2" w:rsidR="002F5C06" w:rsidP="002F5C06" w:rsidRDefault="002F5C06" w14:paraId="272CA6E4" w14:textId="77777777">
      <w:pPr>
        <w:pStyle w:val="Heading2"/>
        <w:tabs>
          <w:tab w:val="clear" w:pos="432"/>
        </w:tabs>
        <w:ind w:left="0" w:firstLine="0"/>
        <w:rPr>
          <w:rFonts w:eastAsiaTheme="minorEastAsia"/>
        </w:rPr>
      </w:pPr>
      <w:r w:rsidRPr="5AF474FE">
        <w:rPr>
          <w:rFonts w:eastAsiaTheme="minorEastAsia"/>
        </w:rPr>
        <w:t>A9.</w:t>
      </w:r>
      <w:r>
        <w:tab/>
      </w:r>
      <w:r w:rsidRPr="5AF474FE">
        <w:rPr>
          <w:rFonts w:eastAsiaTheme="minorEastAsia"/>
        </w:rPr>
        <w:t>Explanation of Any Payment or Gift to Respondents</w:t>
      </w:r>
    </w:p>
    <w:p w:rsidR="002F5C06" w:rsidP="002F5C06" w:rsidRDefault="002F5C06" w14:paraId="4C718B8F" w14:textId="6C92F61B">
      <w:pPr>
        <w:spacing w:line="240" w:lineRule="auto"/>
        <w:ind w:firstLine="0"/>
      </w:pPr>
      <w:r>
        <w:t>This study will offer incentives to patient and clinician survey</w:t>
      </w:r>
      <w:r w:rsidR="008C08DC">
        <w:t xml:space="preserve"> respondents</w:t>
      </w:r>
      <w:r>
        <w:t xml:space="preserve">, </w:t>
      </w:r>
      <w:r w:rsidR="00396EBA">
        <w:t>as well as</w:t>
      </w:r>
      <w:r>
        <w:t xml:space="preserve"> health system leader interview</w:t>
      </w:r>
      <w:r w:rsidR="008C08DC">
        <w:t>ee</w:t>
      </w:r>
      <w:r>
        <w:t xml:space="preserve">s. Because of stigma and legal implications, recruiting and surveying </w:t>
      </w:r>
      <w:r w:rsidR="00CC109E">
        <w:t xml:space="preserve">patients with </w:t>
      </w:r>
      <w:r>
        <w:t xml:space="preserve">chronic pain </w:t>
      </w:r>
      <w:r w:rsidR="008D647A">
        <w:t>or</w:t>
      </w:r>
      <w:r>
        <w:t xml:space="preserve"> OUD may </w:t>
      </w:r>
      <w:r w:rsidR="00F6110C">
        <w:t>pose difficulties</w:t>
      </w:r>
      <w:r>
        <w:t xml:space="preserve">. </w:t>
      </w:r>
      <w:r w:rsidR="008C08DC">
        <w:t>Patients with chronic pain or OUD may not want to identify as receiving treatment due to stigma</w:t>
      </w:r>
      <w:r w:rsidR="00821B24">
        <w:t xml:space="preserve"> or </w:t>
      </w:r>
      <w:r w:rsidR="008C08DC">
        <w:t>legal</w:t>
      </w:r>
      <w:r w:rsidR="00821B24">
        <w:t xml:space="preserve"> </w:t>
      </w:r>
      <w:r w:rsidR="008C08DC">
        <w:t xml:space="preserve">concerns. </w:t>
      </w:r>
      <w:r w:rsidR="00F6110C">
        <w:t>Inquiring</w:t>
      </w:r>
      <w:r>
        <w:t xml:space="preserve"> about opioid use among </w:t>
      </w:r>
      <w:r w:rsidR="00795171">
        <w:t xml:space="preserve">patients with </w:t>
      </w:r>
      <w:r>
        <w:t xml:space="preserve">chronic pain </w:t>
      </w:r>
      <w:r w:rsidR="00795171">
        <w:t xml:space="preserve">or </w:t>
      </w:r>
      <w:r>
        <w:t xml:space="preserve">opioid use disorder, </w:t>
      </w:r>
      <w:r w:rsidR="008C08DC">
        <w:t>including</w:t>
      </w:r>
      <w:r>
        <w:t xml:space="preserve"> questions that inquire about use of illicit drugs, are highly sensitive in nature, and thus justify financial incentives for patients.</w:t>
      </w:r>
      <w:r w:rsidR="007E6A8E">
        <w:t xml:space="preserve"> Also, g</w:t>
      </w:r>
      <w:r w:rsidR="00571F36">
        <w:t>iven the short duration of the data collection period of the project (approximately 12 months) and the desired response rate for participants (50% among patients and 80% among clinicians and health system leaders), the use of incentives is necessary to maximize response rates and carry out the study’s proposed data collection activities.</w:t>
      </w:r>
    </w:p>
    <w:p w:rsidR="002F5C06" w:rsidP="002F5C06" w:rsidRDefault="002F5C06" w14:paraId="3B03C2F8" w14:textId="77777777">
      <w:pPr>
        <w:spacing w:line="240" w:lineRule="auto"/>
        <w:ind w:firstLine="0"/>
      </w:pPr>
    </w:p>
    <w:p w:rsidR="00B71BC2" w:rsidP="00B71BC2" w:rsidRDefault="00B71BC2" w14:paraId="4F9922DA" w14:textId="40DAE57A">
      <w:pPr>
        <w:spacing w:line="240" w:lineRule="auto"/>
        <w:ind w:firstLine="0"/>
      </w:pPr>
      <w:r>
        <w:t xml:space="preserve">We intend to offer, as tokens of appreciation, $25 to primary care clinicians and $5 to patients for taking surveys. A $50 incentive will be provided to health system leaders for participating in interviews.  </w:t>
      </w:r>
      <w:r w:rsidRPr="008D21BB">
        <w:t>We have constructed this study’s incentive structure to be in line with incentives approved by the OMB on similar surveys and supported by the literature. The offering of incentives for these data collection tools is comparable to</w:t>
      </w:r>
      <w:r>
        <w:t>--and often less than--</w:t>
      </w:r>
      <w:r w:rsidRPr="008D21BB">
        <w:t>incentives offered on similar data collections including the National Survey on Drug Use and Health (OMB No. 0930-0110)</w:t>
      </w:r>
      <w:r>
        <w:t xml:space="preserve">. </w:t>
      </w:r>
    </w:p>
    <w:p w:rsidRPr="008D21BB" w:rsidR="00B71BC2" w:rsidP="00B71BC2" w:rsidRDefault="00B71BC2" w14:paraId="28A262D2" w14:textId="77777777">
      <w:pPr>
        <w:spacing w:line="240" w:lineRule="auto"/>
        <w:ind w:firstLine="0"/>
      </w:pPr>
    </w:p>
    <w:p w:rsidRPr="0091677A" w:rsidR="00170997" w:rsidP="002F5C06" w:rsidRDefault="00F6110C" w14:paraId="465BABD0" w14:textId="7AC5B05F">
      <w:pPr>
        <w:spacing w:line="240" w:lineRule="auto"/>
        <w:ind w:firstLine="0"/>
        <w:rPr>
          <w:szCs w:val="24"/>
        </w:rPr>
      </w:pPr>
      <w:r>
        <w:t xml:space="preserve">The literature supports use of monetary incentives to increase response rates, with </w:t>
      </w:r>
      <w:r w:rsidR="0030340D">
        <w:t>a</w:t>
      </w:r>
      <w:r w:rsidR="002F5C06">
        <w:t xml:space="preserve"> Cochrane Collaboration systematic review </w:t>
      </w:r>
      <w:r>
        <w:t xml:space="preserve">showing </w:t>
      </w:r>
      <w:r w:rsidR="002F5C06">
        <w:t xml:space="preserve">that a monetary incentive doubled the odds of response rates on </w:t>
      </w:r>
      <w:r w:rsidR="0030340D">
        <w:t xml:space="preserve">postal </w:t>
      </w:r>
      <w:r w:rsidRPr="00CA1218" w:rsidR="0030340D">
        <w:rPr>
          <w:szCs w:val="24"/>
        </w:rPr>
        <w:t>questio</w:t>
      </w:r>
      <w:r w:rsidRPr="00CA1218" w:rsidR="008029FE">
        <w:rPr>
          <w:szCs w:val="24"/>
        </w:rPr>
        <w:t>n</w:t>
      </w:r>
      <w:r w:rsidRPr="00CA1218" w:rsidR="0030340D">
        <w:rPr>
          <w:szCs w:val="24"/>
        </w:rPr>
        <w:t>naires.</w:t>
      </w:r>
      <w:r w:rsidRPr="00CA1218" w:rsidR="0030340D">
        <w:rPr>
          <w:rStyle w:val="FootnoteReference"/>
          <w:szCs w:val="24"/>
        </w:rPr>
        <w:footnoteReference w:id="14"/>
      </w:r>
      <w:r w:rsidRPr="00CA1218" w:rsidR="002F5C06">
        <w:rPr>
          <w:szCs w:val="24"/>
        </w:rPr>
        <w:t xml:space="preserve"> </w:t>
      </w:r>
      <w:r w:rsidRPr="00CA1218" w:rsidR="00CA1218">
        <w:rPr>
          <w:szCs w:val="24"/>
        </w:rPr>
        <w:t xml:space="preserve">Another study of </w:t>
      </w:r>
      <w:r w:rsidR="00795171">
        <w:rPr>
          <w:szCs w:val="24"/>
        </w:rPr>
        <w:t xml:space="preserve">patients with </w:t>
      </w:r>
      <w:r w:rsidRPr="00CA1218" w:rsidR="00CA1218">
        <w:rPr>
          <w:szCs w:val="24"/>
        </w:rPr>
        <w:t>chronic low back pain found that</w:t>
      </w:r>
      <w:r w:rsidR="000F1990">
        <w:rPr>
          <w:szCs w:val="24"/>
        </w:rPr>
        <w:t>, while motivation</w:t>
      </w:r>
      <w:r w:rsidR="008D647A">
        <w:rPr>
          <w:szCs w:val="24"/>
        </w:rPr>
        <w:t>s</w:t>
      </w:r>
      <w:r w:rsidR="000F1990">
        <w:rPr>
          <w:szCs w:val="24"/>
        </w:rPr>
        <w:t xml:space="preserve"> to participate in research studies </w:t>
      </w:r>
      <w:r w:rsidR="00821B24">
        <w:rPr>
          <w:szCs w:val="24"/>
        </w:rPr>
        <w:t>we</w:t>
      </w:r>
      <w:r w:rsidR="008D647A">
        <w:rPr>
          <w:szCs w:val="24"/>
        </w:rPr>
        <w:t>re</w:t>
      </w:r>
      <w:r w:rsidR="000F1990">
        <w:rPr>
          <w:szCs w:val="24"/>
        </w:rPr>
        <w:t xml:space="preserve"> often multilayered,</w:t>
      </w:r>
      <w:r w:rsidRPr="00CA1218" w:rsidR="00CA1218">
        <w:rPr>
          <w:szCs w:val="24"/>
        </w:rPr>
        <w:t xml:space="preserve"> in 19% of cases, </w:t>
      </w:r>
      <w:r w:rsidRPr="00CA1218" w:rsidR="00CA1218">
        <w:rPr>
          <w:color w:val="2A2A2A"/>
          <w:szCs w:val="24"/>
          <w:shd w:val="clear" w:color="auto" w:fill="FFFFFF"/>
        </w:rPr>
        <w:t>financial incentives were an important reason for participation</w:t>
      </w:r>
      <w:r w:rsidRPr="00CA1218" w:rsidR="00CA1218">
        <w:rPr>
          <w:szCs w:val="24"/>
        </w:rPr>
        <w:t>.</w:t>
      </w:r>
      <w:r w:rsidRPr="00CA1218" w:rsidR="00CA1218">
        <w:rPr>
          <w:rStyle w:val="FootnoteReference"/>
          <w:szCs w:val="24"/>
        </w:rPr>
        <w:footnoteReference w:id="15"/>
      </w:r>
      <w:r w:rsidR="00CA1218">
        <w:rPr>
          <w:szCs w:val="24"/>
        </w:rPr>
        <w:t xml:space="preserve"> </w:t>
      </w:r>
      <w:r w:rsidR="0091677A">
        <w:rPr>
          <w:szCs w:val="24"/>
        </w:rPr>
        <w:t xml:space="preserve"> </w:t>
      </w:r>
      <w:r w:rsidR="00B1153A">
        <w:t>Research suggests</w:t>
      </w:r>
      <w:r w:rsidRPr="00C712BA" w:rsidR="00F24943">
        <w:t xml:space="preserve"> that</w:t>
      </w:r>
      <w:r w:rsidR="00621D98">
        <w:t xml:space="preserve"> even small</w:t>
      </w:r>
      <w:r w:rsidRPr="00C712BA" w:rsidR="00F24943">
        <w:t xml:space="preserve"> tokens of appreciation </w:t>
      </w:r>
      <w:r w:rsidR="00E318FA">
        <w:t>may</w:t>
      </w:r>
      <w:r w:rsidR="00B1153A">
        <w:t xml:space="preserve"> increase</w:t>
      </w:r>
      <w:r w:rsidRPr="00C712BA" w:rsidR="00F24943">
        <w:t xml:space="preserve"> response rates of hard-to-reach populations</w:t>
      </w:r>
      <w:r w:rsidR="0091677A">
        <w:t>,</w:t>
      </w:r>
      <w:r w:rsidR="00E318FA">
        <w:t xml:space="preserve"> </w:t>
      </w:r>
      <w:r w:rsidR="004426DD">
        <w:t>such as</w:t>
      </w:r>
      <w:r w:rsidRPr="00C712BA" w:rsidR="00F24943">
        <w:t xml:space="preserve"> respondents from racial/ethnic </w:t>
      </w:r>
      <w:r w:rsidR="0091677A">
        <w:t xml:space="preserve">minority </w:t>
      </w:r>
      <w:r w:rsidRPr="00C712BA" w:rsidR="00F24943">
        <w:t>backgrounds</w:t>
      </w:r>
      <w:r w:rsidR="00621D98">
        <w:rPr>
          <w:rStyle w:val="FootnoteReference"/>
        </w:rPr>
        <w:footnoteReference w:id="16"/>
      </w:r>
      <w:r w:rsidR="00C94BEA">
        <w:t>,</w:t>
      </w:r>
      <w:r w:rsidR="00C94BEA">
        <w:rPr>
          <w:rStyle w:val="FootnoteReference"/>
        </w:rPr>
        <w:footnoteReference w:id="17"/>
      </w:r>
      <w:r w:rsidR="00B65C94">
        <w:t xml:space="preserve"> </w:t>
      </w:r>
      <w:r w:rsidR="002360EB">
        <w:t xml:space="preserve">which </w:t>
      </w:r>
      <w:r w:rsidR="00496D82">
        <w:t>in turn</w:t>
      </w:r>
      <w:r w:rsidR="002360EB">
        <w:t xml:space="preserve"> </w:t>
      </w:r>
      <w:r w:rsidR="00B65C94">
        <w:t>may help to</w:t>
      </w:r>
      <w:r w:rsidRPr="00C712BA" w:rsidR="00F24943">
        <w:t xml:space="preserve"> avoid non-response </w:t>
      </w:r>
      <w:r w:rsidR="002360EB">
        <w:t>bias.</w:t>
      </w:r>
      <w:r w:rsidR="00646F13">
        <w:t xml:space="preserve"> </w:t>
      </w:r>
    </w:p>
    <w:p w:rsidRPr="00C72A4D" w:rsidR="00170997" w:rsidP="00170997" w:rsidRDefault="00170997" w14:paraId="186B255A" w14:textId="77777777">
      <w:pPr>
        <w:tabs>
          <w:tab w:val="left" w:pos="0"/>
        </w:tabs>
        <w:spacing w:line="240" w:lineRule="auto"/>
        <w:ind w:firstLine="0"/>
        <w:rPr>
          <w:rFonts w:cs="Adobe Caslon Pro"/>
          <w:color w:val="000000"/>
          <w:szCs w:val="24"/>
        </w:rPr>
      </w:pPr>
    </w:p>
    <w:p w:rsidR="008C08DC" w:rsidP="002F5C06" w:rsidRDefault="002F5C06" w14:paraId="0493A60C" w14:textId="60646F43">
      <w:pPr>
        <w:spacing w:line="240" w:lineRule="auto"/>
        <w:ind w:firstLine="0"/>
      </w:pPr>
      <w:r>
        <w:t>In addition, the COVID-19 pandemic has placed significant burden</w:t>
      </w:r>
      <w:r w:rsidR="00A16558">
        <w:t>s</w:t>
      </w:r>
      <w:r>
        <w:t xml:space="preserve"> on clinicians and health system leaders. Recognizing this added burden, administrators from the American Medical Group Association have recommended the use of survey incentives among all responding parties, including clinicians and health system leaders. Failure of any of these groups—patients, clinicians, or health system leaders--to participate would jeopardize the quality of survey and interview data.  </w:t>
      </w:r>
    </w:p>
    <w:bookmarkEnd w:id="38"/>
    <w:p w:rsidRPr="00AE0967" w:rsidR="000F2EA8" w:rsidP="5BBFA51E" w:rsidRDefault="000F2EA8" w14:paraId="736D0BF5" w14:textId="271BEAD3">
      <w:pPr>
        <w:spacing w:line="240" w:lineRule="auto"/>
        <w:ind w:firstLine="0"/>
      </w:pPr>
    </w:p>
    <w:p w:rsidR="530522D5" w:rsidP="039C0B52" w:rsidRDefault="530522D5" w14:paraId="094049CB" w14:textId="232CB367">
      <w:pPr>
        <w:pStyle w:val="Heading2"/>
        <w:tabs>
          <w:tab w:val="clear" w:pos="432"/>
        </w:tabs>
        <w:ind w:left="0" w:firstLine="0"/>
      </w:pPr>
      <w:bookmarkStart w:name="_Toc402259349" w:id="39"/>
      <w:bookmarkStart w:name="_Toc63079029" w:id="40"/>
      <w:r w:rsidRPr="039C0B52">
        <w:rPr>
          <w:rFonts w:eastAsiaTheme="minorEastAsia"/>
        </w:rPr>
        <w:t>A</w:t>
      </w:r>
      <w:r w:rsidRPr="039C0B52" w:rsidR="11E8B157">
        <w:rPr>
          <w:rFonts w:eastAsiaTheme="minorEastAsia"/>
        </w:rPr>
        <w:t>10.</w:t>
      </w:r>
      <w:r w:rsidR="00524B55">
        <w:t xml:space="preserve"> </w:t>
      </w:r>
      <w:r w:rsidRPr="039C0B52" w:rsidR="0CE0FDA2">
        <w:rPr>
          <w:rFonts w:eastAsiaTheme="minorEastAsia"/>
        </w:rPr>
        <w:t>Protection of the Privacy and Confidentiality of Information Provided by Respondents</w:t>
      </w:r>
      <w:bookmarkEnd w:id="39"/>
      <w:bookmarkEnd w:id="40"/>
    </w:p>
    <w:p w:rsidR="001E7206" w:rsidP="001E7206" w:rsidRDefault="001E7206" w14:paraId="3268D5FC" w14:textId="001CA191">
      <w:pPr>
        <w:spacing w:line="240" w:lineRule="auto"/>
        <w:ind w:firstLine="0"/>
      </w:pPr>
      <w:bookmarkStart w:name="_Toc402259350" w:id="41"/>
      <w:r>
        <w:t xml:space="preserve">This submission has been reviewed by the CIO’s Information Systems Security Officer, who determined that the Privacy Act does not apply. </w:t>
      </w:r>
      <w:r w:rsidR="0001226C">
        <w:t xml:space="preserve"> </w:t>
      </w:r>
      <w:r>
        <w:t xml:space="preserve">Response data will not contain any personally identifiable information (PII) that could be used to identify any participating clinicians and/or patients at the individual level. </w:t>
      </w:r>
      <w:r w:rsidRPr="2229C56D">
        <w:rPr>
          <w:color w:val="000000" w:themeColor="text1"/>
        </w:rPr>
        <w:t xml:space="preserve">All personally identifiable information (PII) will be removed from the files prior to uploading using MOVEit, an online platform for data sharing which meets FedRAMP requirements. Abt staff will store files on a FedRAMP-compliant server, on which all </w:t>
      </w:r>
      <w:r w:rsidRPr="004D2711">
        <w:rPr>
          <w:color w:val="000000" w:themeColor="text1"/>
        </w:rPr>
        <w:t>de-identified data will be kept.</w:t>
      </w:r>
      <w:r w:rsidRPr="004D2711">
        <w:t xml:space="preserve"> </w:t>
      </w:r>
      <w:r w:rsidRPr="004D2711">
        <w:rPr>
          <w:szCs w:val="24"/>
        </w:rPr>
        <w:t>The Privacy Impact Assessment (PIA) for this study is attached (Attachment H).</w:t>
      </w:r>
      <w:r>
        <w:rPr>
          <w:szCs w:val="24"/>
        </w:rPr>
        <w:t xml:space="preserve"> </w:t>
      </w:r>
    </w:p>
    <w:p w:rsidR="009247F8" w:rsidP="001E7206" w:rsidRDefault="009247F8" w14:paraId="5AC73223" w14:textId="4ADA6EB9">
      <w:pPr>
        <w:autoSpaceDE w:val="0"/>
        <w:autoSpaceDN w:val="0"/>
        <w:adjustRightInd w:val="0"/>
        <w:spacing w:line="240" w:lineRule="auto"/>
        <w:ind w:firstLine="0"/>
        <w:rPr>
          <w:noProof/>
        </w:rPr>
      </w:pPr>
    </w:p>
    <w:p w:rsidR="00244190" w:rsidP="000167E1" w:rsidRDefault="0001226C" w14:paraId="7C3D70C7" w14:textId="0F3D8F1F">
      <w:pPr>
        <w:tabs>
          <w:tab w:val="left" w:pos="0"/>
        </w:tabs>
        <w:autoSpaceDE w:val="0"/>
        <w:autoSpaceDN w:val="0"/>
        <w:adjustRightInd w:val="0"/>
        <w:spacing w:line="240" w:lineRule="auto"/>
        <w:ind w:firstLine="0"/>
      </w:pPr>
      <w:r>
        <w:t>However, t</w:t>
      </w:r>
      <w:r w:rsidR="009247F8">
        <w:t xml:space="preserve">he data collection instruments </w:t>
      </w:r>
      <w:r w:rsidRPr="00571A76" w:rsidR="009247F8">
        <w:t>may</w:t>
      </w:r>
      <w:r w:rsidR="00C0008C">
        <w:t xml:space="preserve"> </w:t>
      </w:r>
      <w:r w:rsidR="009247F8">
        <w:t>provide</w:t>
      </w:r>
      <w:r w:rsidRPr="00571A76" w:rsidR="009247F8">
        <w:t xml:space="preserve"> </w:t>
      </w:r>
      <w:r w:rsidR="009247F8">
        <w:t>sufficient</w:t>
      </w:r>
      <w:r w:rsidRPr="00571A76" w:rsidR="009247F8">
        <w:t xml:space="preserve"> information (indirect identifiers) to meet the definition of identifiable, sensitive information (ISI) stated in </w:t>
      </w:r>
      <w:r w:rsidR="009247F8">
        <w:t>S</w:t>
      </w:r>
      <w:r w:rsidRPr="00571A76" w:rsidR="009247F8">
        <w:t>ection 301(d) of the Public Health Service Act, therefore, qualifying for a Certificate of Confidentiality</w:t>
      </w:r>
      <w:r>
        <w:t xml:space="preserve">, discussed further below </w:t>
      </w:r>
      <w:r w:rsidR="003D753B">
        <w:t xml:space="preserve">in </w:t>
      </w:r>
      <w:r>
        <w:t>Section A11.</w:t>
      </w:r>
      <w:r w:rsidRPr="00571A76" w:rsidR="009247F8">
        <w:t xml:space="preserve">  </w:t>
      </w:r>
      <w:r w:rsidRPr="00F269D4" w:rsidR="009247F8">
        <w:t>The Certificate will support the research team in protecting data against compulsory legal demands (e.g., court orders, subpoenas), and indicates that research staff cannot disclose information or documents pertaining to the data collection to anyone who is not connected with the research</w:t>
      </w:r>
      <w:r w:rsidR="00C0008C">
        <w:t>.</w:t>
      </w:r>
    </w:p>
    <w:p w:rsidRPr="00160C23" w:rsidR="004E3161" w:rsidP="000167E1" w:rsidRDefault="004E3161" w14:paraId="47A85720" w14:textId="77777777">
      <w:pPr>
        <w:tabs>
          <w:tab w:val="left" w:pos="0"/>
        </w:tabs>
        <w:autoSpaceDE w:val="0"/>
        <w:autoSpaceDN w:val="0"/>
        <w:adjustRightInd w:val="0"/>
        <w:spacing w:line="240" w:lineRule="auto"/>
        <w:ind w:firstLine="0"/>
      </w:pPr>
    </w:p>
    <w:p w:rsidR="00114E2A" w:rsidP="039C0B52" w:rsidRDefault="530522D5" w14:paraId="780C33FF" w14:textId="50A9BA36">
      <w:pPr>
        <w:pStyle w:val="Heading2"/>
        <w:tabs>
          <w:tab w:val="clear" w:pos="432"/>
        </w:tabs>
        <w:ind w:left="0" w:firstLine="0"/>
        <w:rPr>
          <w:rFonts w:eastAsiaTheme="minorEastAsia"/>
        </w:rPr>
      </w:pPr>
      <w:bookmarkStart w:name="_Toc402259351" w:id="42"/>
      <w:bookmarkStart w:name="_Toc63079030" w:id="43"/>
      <w:bookmarkEnd w:id="41"/>
      <w:r w:rsidRPr="039C0B52">
        <w:rPr>
          <w:rFonts w:eastAsiaTheme="minorEastAsia"/>
        </w:rPr>
        <w:t>A</w:t>
      </w:r>
      <w:r w:rsidRPr="039C0B52" w:rsidR="11E8B157">
        <w:rPr>
          <w:rFonts w:eastAsiaTheme="minorEastAsia"/>
        </w:rPr>
        <w:t>11.</w:t>
      </w:r>
      <w:r w:rsidR="00524B55">
        <w:t xml:space="preserve"> </w:t>
      </w:r>
      <w:r w:rsidRPr="039C0B52" w:rsidR="0CE0FDA2">
        <w:rPr>
          <w:rFonts w:eastAsiaTheme="minorEastAsia"/>
        </w:rPr>
        <w:t xml:space="preserve">Institutional Review Board (IRB) and </w:t>
      </w:r>
      <w:r w:rsidRPr="039C0B52" w:rsidR="11E8B157">
        <w:rPr>
          <w:rFonts w:eastAsiaTheme="minorEastAsia"/>
        </w:rPr>
        <w:t>Justification for Sensitive Questions</w:t>
      </w:r>
      <w:bookmarkEnd w:id="42"/>
      <w:bookmarkEnd w:id="43"/>
    </w:p>
    <w:p w:rsidRPr="00AA57EB" w:rsidR="00114E2A" w:rsidP="00114E2A" w:rsidRDefault="00114E2A" w14:paraId="5869EB2A" w14:textId="77777777">
      <w:pPr>
        <w:pStyle w:val="NormalSS"/>
        <w:tabs>
          <w:tab w:val="left" w:pos="0"/>
        </w:tabs>
        <w:ind w:firstLine="0"/>
        <w:rPr>
          <w:b/>
          <w:bCs/>
          <w:i/>
        </w:rPr>
      </w:pPr>
      <w:r w:rsidRPr="00AA57EB">
        <w:rPr>
          <w:b/>
          <w:bCs/>
          <w:i/>
        </w:rPr>
        <w:t>Institutional Review Board (IRB)</w:t>
      </w:r>
    </w:p>
    <w:p w:rsidR="00404FB1" w:rsidP="00AA57EB" w:rsidRDefault="00484A4A" w14:paraId="16BC94DB" w14:textId="14BACAF7">
      <w:pPr>
        <w:pStyle w:val="NormalSS"/>
        <w:spacing w:after="0"/>
        <w:ind w:firstLine="0"/>
        <w:rPr>
          <w:rFonts w:eastAsiaTheme="minorEastAsia"/>
          <w:szCs w:val="24"/>
        </w:rPr>
      </w:pPr>
      <w:r>
        <w:t>This formative research</w:t>
      </w:r>
      <w:r w:rsidR="00C9683C">
        <w:t xml:space="preserve"> study </w:t>
      </w:r>
      <w:r>
        <w:t>involves</w:t>
      </w:r>
      <w:r w:rsidR="00C9683C">
        <w:t xml:space="preserve"> human subjects research. </w:t>
      </w:r>
      <w:r w:rsidRPr="00202FE2" w:rsidR="001D3125">
        <w:t xml:space="preserve">CDC has received IRB approval for this </w:t>
      </w:r>
      <w:r w:rsidR="001F58C0">
        <w:t xml:space="preserve">formative research </w:t>
      </w:r>
      <w:r w:rsidRPr="00202FE2" w:rsidR="001D3125">
        <w:t>involving human subjects</w:t>
      </w:r>
      <w:r w:rsidR="00C9683C">
        <w:t xml:space="preserve"> through Abt Associate’s IRB </w:t>
      </w:r>
      <w:r w:rsidRPr="004D2711" w:rsidR="00C9683C">
        <w:rPr>
          <w:szCs w:val="24"/>
        </w:rPr>
        <w:t>(Attachment G)</w:t>
      </w:r>
      <w:r w:rsidRPr="004D2711" w:rsidR="000F76B5">
        <w:rPr>
          <w:szCs w:val="24"/>
        </w:rPr>
        <w:t>.</w:t>
      </w:r>
      <w:r w:rsidR="00C9683C">
        <w:rPr>
          <w:szCs w:val="24"/>
        </w:rPr>
        <w:t xml:space="preserve"> CDC will not be engaged.</w:t>
      </w:r>
      <w:r w:rsidRPr="5FA61A53" w:rsidR="00C9683C">
        <w:rPr>
          <w:i/>
          <w:iCs/>
        </w:rPr>
        <w:t xml:space="preserve"> </w:t>
      </w:r>
      <w:r w:rsidR="00C9683C">
        <w:t xml:space="preserve"> </w:t>
      </w:r>
      <w:r w:rsidRPr="00202FE2" w:rsidR="001D3125">
        <w:t xml:space="preserve"> </w:t>
      </w:r>
    </w:p>
    <w:p w:rsidR="00404FB1" w:rsidP="00AA57EB" w:rsidRDefault="00404FB1" w14:paraId="25F4B813" w14:textId="77777777">
      <w:pPr>
        <w:pStyle w:val="NormalSS"/>
        <w:spacing w:after="0"/>
        <w:ind w:firstLine="0"/>
        <w:rPr>
          <w:rFonts w:eastAsia="Calibri"/>
        </w:rPr>
      </w:pPr>
    </w:p>
    <w:p w:rsidR="001D3125" w:rsidP="00BE316E" w:rsidRDefault="00114E2A" w14:paraId="68162FCD" w14:textId="7A4ACBE9">
      <w:pPr>
        <w:pStyle w:val="NormalSS"/>
        <w:spacing w:after="0"/>
        <w:ind w:firstLine="0"/>
      </w:pPr>
      <w:r w:rsidRPr="5FA61A53">
        <w:rPr>
          <w:rFonts w:eastAsia="Calibri"/>
        </w:rPr>
        <w:t>The Abt</w:t>
      </w:r>
      <w:r w:rsidRPr="5FA61A53" w:rsidR="00E26C76">
        <w:rPr>
          <w:rFonts w:eastAsia="Calibri"/>
        </w:rPr>
        <w:t xml:space="preserve"> Associates</w:t>
      </w:r>
      <w:r w:rsidRPr="5FA61A53">
        <w:rPr>
          <w:rFonts w:eastAsia="Calibri"/>
        </w:rPr>
        <w:t xml:space="preserve"> IRB is committed to conducting research in conformity with basic ethical principles, and federal and other regulatory requirements that govern human subjects research and the confidentiality of personal information. Abt </w:t>
      </w:r>
      <w:r w:rsidRPr="5FA61A53" w:rsidR="00634241">
        <w:rPr>
          <w:rFonts w:eastAsia="Calibri"/>
        </w:rPr>
        <w:t xml:space="preserve">Associates </w:t>
      </w:r>
      <w:r w:rsidRPr="5FA61A53">
        <w:rPr>
          <w:rFonts w:eastAsia="Calibri"/>
        </w:rPr>
        <w:t xml:space="preserve">holds a current Federal-Wide Assurance (FWA) for the Protection of Human Subjects from the U.S. Department of Health and Human Services’ Office for Human Research Protections (FWA#00000664) and maintains its own Institutional Review Board (IRB). </w:t>
      </w:r>
    </w:p>
    <w:p w:rsidRPr="00BE316E" w:rsidR="00BE316E" w:rsidP="00BE316E" w:rsidRDefault="00BE316E" w14:paraId="6E5C361C" w14:textId="77777777">
      <w:pPr>
        <w:pStyle w:val="NormalSS"/>
        <w:spacing w:after="0"/>
        <w:ind w:firstLine="0"/>
      </w:pPr>
    </w:p>
    <w:p w:rsidRPr="00AA57EB" w:rsidR="001D3125" w:rsidP="00F542C7" w:rsidRDefault="001D3125" w14:paraId="0B33510C" w14:textId="51C0AF69">
      <w:pPr>
        <w:pStyle w:val="NormalSS"/>
        <w:tabs>
          <w:tab w:val="left" w:pos="0"/>
        </w:tabs>
        <w:ind w:firstLine="0"/>
        <w:rPr>
          <w:b/>
          <w:bCs/>
          <w:i/>
        </w:rPr>
      </w:pPr>
      <w:r w:rsidRPr="00AA57EB">
        <w:rPr>
          <w:b/>
          <w:bCs/>
          <w:i/>
        </w:rPr>
        <w:t>Sensitive Questions</w:t>
      </w:r>
      <w:r w:rsidRPr="00AA57EB">
        <w:rPr>
          <w:b/>
          <w:bCs/>
          <w:i/>
        </w:rPr>
        <w:tab/>
      </w:r>
    </w:p>
    <w:p w:rsidR="00D24531" w:rsidP="006F1424" w:rsidRDefault="42509065" w14:paraId="3718BD02" w14:textId="77777777">
      <w:pPr>
        <w:spacing w:line="240" w:lineRule="auto"/>
        <w:ind w:firstLine="0"/>
        <w:rPr>
          <w:rFonts w:eastAsia="Calibri"/>
        </w:rPr>
      </w:pPr>
      <w:r w:rsidRPr="00986AAE">
        <w:rPr>
          <w:rFonts w:eastAsia="Calibri"/>
        </w:rPr>
        <w:lastRenderedPageBreak/>
        <w:t>The data collection protocols do not contain any questions concerning political affiliations and attitudes; antisocial or demeaning behavior; critical appraisals of other individuals with whom respondents have close relationships; legally privileged relationships; or records describing how an individual exercises First Amendment rights</w:t>
      </w:r>
      <w:r w:rsidRPr="00986AAE" w:rsidR="00F57521">
        <w:rPr>
          <w:rFonts w:eastAsia="Calibri"/>
        </w:rPr>
        <w:t>, n</w:t>
      </w:r>
      <w:r w:rsidRPr="00986AAE">
        <w:rPr>
          <w:rFonts w:eastAsia="Calibri"/>
        </w:rPr>
        <w:t xml:space="preserve">or do they contain questions related to sexual behavior and attitudes, religious beliefs, income or proprietary business information. </w:t>
      </w:r>
    </w:p>
    <w:p w:rsidR="00D24531" w:rsidP="006F1424" w:rsidRDefault="00D24531" w14:paraId="4CB62EDD" w14:textId="77777777">
      <w:pPr>
        <w:spacing w:line="240" w:lineRule="auto"/>
        <w:ind w:firstLine="0"/>
        <w:rPr>
          <w:rFonts w:eastAsia="Calibri"/>
        </w:rPr>
      </w:pPr>
    </w:p>
    <w:p w:rsidR="00A74785" w:rsidP="00A74785" w:rsidRDefault="42509065" w14:paraId="0DF2BF6D" w14:textId="68EE1B84">
      <w:pPr>
        <w:spacing w:line="240" w:lineRule="auto"/>
        <w:ind w:firstLine="0"/>
        <w:rPr>
          <w:rFonts w:eastAsia="Calibri"/>
        </w:rPr>
      </w:pPr>
      <w:r w:rsidRPr="00986AAE">
        <w:rPr>
          <w:rFonts w:eastAsia="Calibri"/>
        </w:rPr>
        <w:t>However</w:t>
      </w:r>
      <w:r w:rsidR="008622FD">
        <w:rPr>
          <w:rFonts w:eastAsia="Calibri"/>
        </w:rPr>
        <w:t>,</w:t>
      </w:r>
      <w:r w:rsidRPr="008622FD" w:rsidR="008622FD">
        <w:rPr>
          <w:rFonts w:eastAsia="Calibri"/>
        </w:rPr>
        <w:t xml:space="preserve"> </w:t>
      </w:r>
      <w:r w:rsidR="008622FD">
        <w:rPr>
          <w:rFonts w:eastAsia="Calibri"/>
        </w:rPr>
        <w:t>t</w:t>
      </w:r>
      <w:r w:rsidRPr="0015055C" w:rsidR="008622FD">
        <w:rPr>
          <w:rFonts w:eastAsia="Calibri"/>
        </w:rPr>
        <w:t xml:space="preserve">he topics covered by this information collection request </w:t>
      </w:r>
      <w:r w:rsidR="00A517A4">
        <w:rPr>
          <w:rFonts w:eastAsia="Calibri"/>
        </w:rPr>
        <w:t>include</w:t>
      </w:r>
      <w:r w:rsidRPr="0015055C" w:rsidR="008622FD">
        <w:rPr>
          <w:rFonts w:eastAsia="Calibri"/>
        </w:rPr>
        <w:t xml:space="preserve"> </w:t>
      </w:r>
      <w:r w:rsidR="00C74321">
        <w:rPr>
          <w:rFonts w:eastAsia="Calibri"/>
        </w:rPr>
        <w:t xml:space="preserve">the </w:t>
      </w:r>
      <w:r w:rsidR="008622FD">
        <w:rPr>
          <w:rFonts w:eastAsia="Calibri"/>
        </w:rPr>
        <w:t xml:space="preserve">use and </w:t>
      </w:r>
      <w:r w:rsidRPr="0015055C" w:rsidR="008622FD">
        <w:rPr>
          <w:rFonts w:eastAsia="Calibri"/>
        </w:rPr>
        <w:t xml:space="preserve">misuse of prescribed and non-prescribed opioid substances, </w:t>
      </w:r>
      <w:r w:rsidR="008622FD">
        <w:rPr>
          <w:rFonts w:eastAsia="Calibri"/>
        </w:rPr>
        <w:t>including illicit drug use, as well as opioid use disorder, topics that</w:t>
      </w:r>
      <w:r w:rsidRPr="0015055C" w:rsidR="008622FD">
        <w:rPr>
          <w:rFonts w:eastAsia="Calibri"/>
        </w:rPr>
        <w:t xml:space="preserve"> are commonly considered sensitive </w:t>
      </w:r>
      <w:r w:rsidR="008622FD">
        <w:rPr>
          <w:rFonts w:eastAsia="Calibri"/>
        </w:rPr>
        <w:t>and/or</w:t>
      </w:r>
      <w:r w:rsidRPr="0015055C" w:rsidR="008622FD">
        <w:rPr>
          <w:rFonts w:eastAsia="Calibri"/>
        </w:rPr>
        <w:t xml:space="preserve"> private</w:t>
      </w:r>
      <w:r w:rsidR="008622FD">
        <w:rPr>
          <w:rFonts w:eastAsia="Calibri"/>
        </w:rPr>
        <w:t>.</w:t>
      </w:r>
      <w:r w:rsidR="00E10044">
        <w:rPr>
          <w:rFonts w:eastAsia="Calibri"/>
        </w:rPr>
        <w:t xml:space="preserve"> </w:t>
      </w:r>
      <w:r w:rsidR="008622FD">
        <w:rPr>
          <w:rFonts w:eastAsia="Calibri"/>
        </w:rPr>
        <w:t xml:space="preserve">In addition, our </w:t>
      </w:r>
      <w:r w:rsidRPr="00986AAE">
        <w:rPr>
          <w:rFonts w:eastAsia="Calibri"/>
        </w:rPr>
        <w:t xml:space="preserve">surveys may elicit sensitive information that reflects negatively on staff or health care organization performance related to chronic pain management or opioid prescribing. </w:t>
      </w:r>
    </w:p>
    <w:p w:rsidRPr="0015055C" w:rsidR="005E03CB" w:rsidP="00A74785" w:rsidRDefault="005E03CB" w14:paraId="3F5D0608" w14:textId="77777777">
      <w:pPr>
        <w:spacing w:line="240" w:lineRule="auto"/>
        <w:ind w:firstLine="0"/>
        <w:rPr>
          <w:rFonts w:eastAsia="Calibri"/>
        </w:rPr>
      </w:pPr>
    </w:p>
    <w:p w:rsidR="00D24531" w:rsidP="006F1424" w:rsidRDefault="00211700" w14:paraId="5FB39A8A" w14:textId="14C61F5F">
      <w:pPr>
        <w:spacing w:line="240" w:lineRule="auto"/>
        <w:ind w:firstLine="0"/>
        <w:rPr>
          <w:rFonts w:eastAsia="Calibri"/>
        </w:rPr>
      </w:pPr>
      <w:r>
        <w:rPr>
          <w:rFonts w:eastAsia="Calibri"/>
        </w:rPr>
        <w:t>R</w:t>
      </w:r>
      <w:r w:rsidRPr="00986AAE" w:rsidR="42509065">
        <w:rPr>
          <w:rFonts w:eastAsia="Calibri"/>
        </w:rPr>
        <w:t xml:space="preserve">espondents will be explicitly informed that their participation is voluntary, </w:t>
      </w:r>
      <w:r w:rsidR="008622FD">
        <w:rPr>
          <w:rFonts w:eastAsia="Calibri"/>
        </w:rPr>
        <w:t xml:space="preserve">that </w:t>
      </w:r>
      <w:r w:rsidRPr="00986AAE" w:rsidR="42509065">
        <w:rPr>
          <w:rFonts w:eastAsia="Calibri"/>
        </w:rPr>
        <w:t xml:space="preserve">information they provide is confidential to the extent provided by law, and </w:t>
      </w:r>
      <w:r w:rsidR="008622FD">
        <w:rPr>
          <w:rFonts w:eastAsia="Calibri"/>
        </w:rPr>
        <w:t xml:space="preserve">that </w:t>
      </w:r>
      <w:r w:rsidRPr="00986AAE" w:rsidR="42509065">
        <w:rPr>
          <w:rFonts w:eastAsia="Calibri"/>
        </w:rPr>
        <w:t xml:space="preserve">they may choose to withdraw from the study or not respond to specific items without penalty. </w:t>
      </w:r>
      <w:r w:rsidR="001F1EF0">
        <w:rPr>
          <w:rFonts w:eastAsia="Calibri"/>
        </w:rPr>
        <w:t xml:space="preserve"> Protections</w:t>
      </w:r>
      <w:r w:rsidR="0076008C">
        <w:rPr>
          <w:rFonts w:eastAsia="Calibri"/>
        </w:rPr>
        <w:t xml:space="preserve">, </w:t>
      </w:r>
      <w:r w:rsidR="0047593C">
        <w:rPr>
          <w:rFonts w:eastAsia="Calibri"/>
        </w:rPr>
        <w:t>and limits to protections</w:t>
      </w:r>
      <w:r w:rsidR="0076008C">
        <w:rPr>
          <w:rFonts w:eastAsia="Calibri"/>
        </w:rPr>
        <w:t>,</w:t>
      </w:r>
      <w:r w:rsidR="0047593C">
        <w:rPr>
          <w:rFonts w:eastAsia="Calibri"/>
        </w:rPr>
        <w:t xml:space="preserve"> </w:t>
      </w:r>
      <w:r w:rsidR="001F1EF0">
        <w:rPr>
          <w:rFonts w:eastAsia="Calibri"/>
        </w:rPr>
        <w:t xml:space="preserve">provided by the Certificate of Confidentiality will be discussed with </w:t>
      </w:r>
      <w:r>
        <w:rPr>
          <w:rFonts w:eastAsia="Calibri"/>
        </w:rPr>
        <w:t xml:space="preserve">all </w:t>
      </w:r>
      <w:r w:rsidR="001F1EF0">
        <w:rPr>
          <w:rFonts w:eastAsia="Calibri"/>
        </w:rPr>
        <w:t>respondents by staff at recruitment</w:t>
      </w:r>
      <w:r w:rsidR="0008456C">
        <w:rPr>
          <w:rFonts w:eastAsia="Calibri"/>
        </w:rPr>
        <w:t>,</w:t>
      </w:r>
      <w:r w:rsidR="001F1EF0">
        <w:rPr>
          <w:rFonts w:eastAsia="Calibri"/>
        </w:rPr>
        <w:t xml:space="preserve"> and in the data collection instruments. </w:t>
      </w:r>
      <w:r w:rsidR="0047593C">
        <w:rPr>
          <w:rFonts w:eastAsia="Calibri"/>
        </w:rPr>
        <w:t xml:space="preserve"> </w:t>
      </w:r>
      <w:r w:rsidR="002A6357">
        <w:rPr>
          <w:rFonts w:eastAsia="Calibri"/>
        </w:rPr>
        <w:t>Staff involved with recruitment</w:t>
      </w:r>
      <w:r w:rsidRPr="0047593C" w:rsidR="0047593C">
        <w:rPr>
          <w:rFonts w:eastAsia="Calibri"/>
        </w:rPr>
        <w:t xml:space="preserve"> will be trained on how the Certificate protects the information collected</w:t>
      </w:r>
      <w:r w:rsidR="0076008C">
        <w:rPr>
          <w:rFonts w:eastAsia="Calibri"/>
        </w:rPr>
        <w:t>,</w:t>
      </w:r>
      <w:r w:rsidRPr="0047593C" w:rsidR="0047593C">
        <w:rPr>
          <w:rFonts w:eastAsia="Calibri"/>
        </w:rPr>
        <w:t xml:space="preserve"> and the limitations of the Certificate’s protections.</w:t>
      </w:r>
      <w:r w:rsidR="0047593C">
        <w:rPr>
          <w:rFonts w:eastAsia="Calibri"/>
        </w:rPr>
        <w:t xml:space="preserve"> </w:t>
      </w:r>
      <w:r w:rsidRPr="00986AAE" w:rsidR="42509065">
        <w:rPr>
          <w:rFonts w:eastAsia="Calibri"/>
        </w:rPr>
        <w:t>We will also remove individual staff and health care organization names from written interview records and reports to maintain respondent confidentiality.</w:t>
      </w:r>
      <w:r w:rsidR="00F633B8">
        <w:rPr>
          <w:rFonts w:eastAsia="Calibri"/>
        </w:rPr>
        <w:t xml:space="preserve"> </w:t>
      </w:r>
    </w:p>
    <w:p w:rsidR="00A517A4" w:rsidP="006F1424" w:rsidRDefault="003F3C2B" w14:paraId="7280A985" w14:textId="32F70062">
      <w:pPr>
        <w:spacing w:line="240" w:lineRule="auto"/>
        <w:ind w:firstLine="0"/>
        <w:rPr>
          <w:rFonts w:eastAsia="Calibri"/>
        </w:rPr>
      </w:pPr>
      <w:r>
        <w:rPr>
          <w:rFonts w:eastAsia="Calibri"/>
        </w:rPr>
        <w:t xml:space="preserve"> </w:t>
      </w:r>
    </w:p>
    <w:p w:rsidRPr="0079310C" w:rsidR="0002335E" w:rsidP="00D706DC" w:rsidRDefault="00E875C5" w14:paraId="33E68AFE" w14:textId="30C7468F">
      <w:pPr>
        <w:pStyle w:val="Default"/>
        <w:rPr>
          <w:rFonts w:ascii="Times New Roman" w:hAnsi="Times New Roman" w:cs="Times New Roman"/>
          <w:spacing w:val="4"/>
        </w:rPr>
      </w:pPr>
      <w:r w:rsidRPr="00E04592">
        <w:rPr>
          <w:rFonts w:ascii="Times New Roman" w:hAnsi="Times New Roman" w:cs="Times New Roman"/>
          <w:spacing w:val="4"/>
        </w:rPr>
        <w:t>C</w:t>
      </w:r>
      <w:r w:rsidRPr="00E04592" w:rsidR="00D706DC">
        <w:rPr>
          <w:rFonts w:ascii="Times New Roman" w:hAnsi="Times New Roman" w:cs="Times New Roman"/>
          <w:spacing w:val="4"/>
        </w:rPr>
        <w:t>onsistent with Section 301(d) of the Public Health Service Act, a Certificate of Confidentiality (CoC) applies to this research because this research is funded, conducted, or supported by CDC</w:t>
      </w:r>
      <w:r w:rsidRPr="00E04592" w:rsidR="00BE316E">
        <w:rPr>
          <w:rFonts w:ascii="Times New Roman" w:hAnsi="Times New Roman" w:cs="Times New Roman"/>
          <w:spacing w:val="4"/>
        </w:rPr>
        <w:t>,</w:t>
      </w:r>
      <w:r w:rsidRPr="00E04592" w:rsidR="00D706DC">
        <w:rPr>
          <w:rFonts w:ascii="Times New Roman" w:hAnsi="Times New Roman" w:cs="Times New Roman"/>
          <w:spacing w:val="4"/>
        </w:rPr>
        <w:t xml:space="preserve"> and the activity constitutes research.</w:t>
      </w:r>
      <w:r w:rsidRPr="0079310C" w:rsidR="00D706DC">
        <w:rPr>
          <w:rFonts w:ascii="Times New Roman" w:hAnsi="Times New Roman" w:cs="Times New Roman"/>
          <w:spacing w:val="4"/>
        </w:rPr>
        <w:t xml:space="preserve"> </w:t>
      </w:r>
      <w:r w:rsidRPr="0079310C" w:rsidR="00BE316E">
        <w:rPr>
          <w:rFonts w:ascii="Times New Roman" w:hAnsi="Times New Roman" w:cs="Times New Roman"/>
          <w:spacing w:val="4"/>
        </w:rPr>
        <w:t xml:space="preserve"> </w:t>
      </w:r>
    </w:p>
    <w:p w:rsidRPr="0079310C" w:rsidR="0002335E" w:rsidP="00D706DC" w:rsidRDefault="0002335E" w14:paraId="0BD8A316" w14:textId="77777777">
      <w:pPr>
        <w:pStyle w:val="Default"/>
        <w:rPr>
          <w:rFonts w:ascii="Times New Roman" w:hAnsi="Times New Roman" w:cs="Times New Roman"/>
          <w:spacing w:val="4"/>
        </w:rPr>
      </w:pPr>
    </w:p>
    <w:p w:rsidRPr="0079310C" w:rsidR="00C74321" w:rsidP="00D706DC" w:rsidRDefault="00D706DC" w14:paraId="1D5D4961" w14:textId="77777777">
      <w:pPr>
        <w:pStyle w:val="Default"/>
        <w:rPr>
          <w:rFonts w:ascii="Times New Roman" w:hAnsi="Times New Roman" w:cs="Times New Roman"/>
        </w:rPr>
      </w:pPr>
      <w:r w:rsidRPr="0079310C">
        <w:rPr>
          <w:rFonts w:ascii="Times New Roman" w:hAnsi="Times New Roman" w:cs="Times New Roman"/>
          <w:spacing w:val="4"/>
        </w:rPr>
        <w:t xml:space="preserve">The research involves information about an individual for which there is at least a very small risk that some combination of the information, a request for the information, and other available data sources could be used to deduce the identity of an individual. </w:t>
      </w:r>
      <w:r w:rsidRPr="0079310C">
        <w:rPr>
          <w:rFonts w:ascii="Times New Roman" w:hAnsi="Times New Roman" w:cs="Times New Roman"/>
        </w:rPr>
        <w:t>That is,</w:t>
      </w:r>
      <w:r w:rsidRPr="0079310C" w:rsidR="00C0008C">
        <w:rPr>
          <w:rFonts w:ascii="Times New Roman" w:hAnsi="Times New Roman" w:cs="Times New Roman"/>
        </w:rPr>
        <w:t xml:space="preserve"> </w:t>
      </w:r>
      <w:r w:rsidRPr="0079310C" w:rsidR="00BE316E">
        <w:rPr>
          <w:rFonts w:ascii="Times New Roman" w:hAnsi="Times New Roman" w:cs="Times New Roman"/>
        </w:rPr>
        <w:t>as discussed in Section A10</w:t>
      </w:r>
      <w:r w:rsidRPr="0079310C" w:rsidR="00C0008C">
        <w:rPr>
          <w:rFonts w:ascii="Times New Roman" w:hAnsi="Times New Roman" w:cs="Times New Roman"/>
        </w:rPr>
        <w:t>,</w:t>
      </w:r>
      <w:r w:rsidRPr="0079310C">
        <w:rPr>
          <w:rFonts w:ascii="Times New Roman" w:hAnsi="Times New Roman" w:cs="Times New Roman"/>
        </w:rPr>
        <w:t xml:space="preserve"> there may be enough information (indirect identifiers) collected to meet the definition of identifiable, sensitive information (ISI) stated in Section 301(d) of the Public Health Service Act, therefore, qualifying for a Certificate of Confidentiality.  </w:t>
      </w:r>
    </w:p>
    <w:p w:rsidRPr="0079310C" w:rsidR="00C74321" w:rsidP="00D706DC" w:rsidRDefault="00C74321" w14:paraId="7659A836" w14:textId="77777777">
      <w:pPr>
        <w:pStyle w:val="Default"/>
        <w:rPr>
          <w:rFonts w:ascii="Times New Roman" w:hAnsi="Times New Roman" w:cs="Times New Roman"/>
        </w:rPr>
      </w:pPr>
    </w:p>
    <w:p w:rsidRPr="00571A76" w:rsidR="00D706DC" w:rsidP="00D706DC" w:rsidRDefault="00D706DC" w14:paraId="5585E129" w14:textId="3737AEFD">
      <w:pPr>
        <w:pStyle w:val="Default"/>
        <w:rPr>
          <w:rFonts w:ascii="Times New Roman" w:hAnsi="Times New Roman" w:cs="Times New Roman"/>
          <w:spacing w:val="4"/>
        </w:rPr>
      </w:pPr>
      <w:r w:rsidRPr="0079310C">
        <w:rPr>
          <w:rFonts w:ascii="Times New Roman" w:hAnsi="Times New Roman" w:cs="Times New Roman"/>
        </w:rPr>
        <w:t>The Certificate will support the research team in protecting data against compulsory legal demands (e.g., court orders, subpoenas</w:t>
      </w:r>
      <w:r w:rsidRPr="00F269D4">
        <w:rPr>
          <w:rFonts w:ascii="Times New Roman" w:hAnsi="Times New Roman" w:cs="Times New Roman"/>
        </w:rPr>
        <w:t xml:space="preserve">), and indicates that research staff cannot disclose information or documents pertaining to the data collection to anyone who is not connected with the research. </w:t>
      </w:r>
      <w:r w:rsidRPr="00F269D4">
        <w:rPr>
          <w:rFonts w:ascii="Times New Roman" w:hAnsi="Times New Roman" w:cs="Times New Roman"/>
          <w:spacing w:val="4"/>
        </w:rPr>
        <w:t>The C</w:t>
      </w:r>
      <w:r w:rsidR="005E3815">
        <w:rPr>
          <w:rFonts w:ascii="Times New Roman" w:hAnsi="Times New Roman" w:cs="Times New Roman"/>
          <w:spacing w:val="4"/>
        </w:rPr>
        <w:t xml:space="preserve">ertificate </w:t>
      </w:r>
      <w:r w:rsidRPr="00F269D4">
        <w:rPr>
          <w:rFonts w:ascii="Times New Roman" w:hAnsi="Times New Roman" w:cs="Times New Roman"/>
          <w:spacing w:val="4"/>
        </w:rPr>
        <w:t>o</w:t>
      </w:r>
      <w:r w:rsidR="005E3815">
        <w:rPr>
          <w:rFonts w:ascii="Times New Roman" w:hAnsi="Times New Roman" w:cs="Times New Roman"/>
          <w:spacing w:val="4"/>
        </w:rPr>
        <w:t xml:space="preserve">f </w:t>
      </w:r>
      <w:r w:rsidRPr="00F269D4">
        <w:rPr>
          <w:rFonts w:ascii="Times New Roman" w:hAnsi="Times New Roman" w:cs="Times New Roman"/>
          <w:spacing w:val="4"/>
        </w:rPr>
        <w:t>C</w:t>
      </w:r>
      <w:r w:rsidR="005E3815">
        <w:rPr>
          <w:rFonts w:ascii="Times New Roman" w:hAnsi="Times New Roman" w:cs="Times New Roman"/>
          <w:spacing w:val="4"/>
        </w:rPr>
        <w:t>onfidentiality</w:t>
      </w:r>
      <w:r w:rsidRPr="00F269D4">
        <w:rPr>
          <w:rFonts w:ascii="Times New Roman" w:hAnsi="Times New Roman" w:cs="Times New Roman"/>
          <w:spacing w:val="4"/>
        </w:rPr>
        <w:t xml:space="preserve"> allows researchers to promise participants</w:t>
      </w:r>
      <w:r>
        <w:rPr>
          <w:rFonts w:ascii="Times New Roman" w:hAnsi="Times New Roman" w:cs="Times New Roman"/>
          <w:spacing w:val="4"/>
        </w:rPr>
        <w:t>’</w:t>
      </w:r>
      <w:r w:rsidRPr="00F269D4">
        <w:rPr>
          <w:rFonts w:ascii="Times New Roman" w:hAnsi="Times New Roman" w:cs="Times New Roman"/>
          <w:spacing w:val="4"/>
        </w:rPr>
        <w:t xml:space="preserve"> confidentiality and may improve researchers’ ability to recruit subjects in research on sensitive topics.  </w:t>
      </w:r>
    </w:p>
    <w:p w:rsidR="00D706DC" w:rsidP="00D706DC" w:rsidRDefault="00D706DC" w14:paraId="216AD109" w14:textId="77777777">
      <w:pPr>
        <w:spacing w:line="240" w:lineRule="auto"/>
        <w:ind w:firstLine="0"/>
        <w:rPr>
          <w:spacing w:val="4"/>
        </w:rPr>
      </w:pPr>
    </w:p>
    <w:p w:rsidRPr="00696153" w:rsidR="00D706DC" w:rsidP="00D706DC" w:rsidRDefault="00D706DC" w14:paraId="19E217DE" w14:textId="77777777">
      <w:pPr>
        <w:spacing w:line="240" w:lineRule="auto"/>
        <w:ind w:firstLine="0"/>
        <w:rPr>
          <w:spacing w:val="4"/>
        </w:rPr>
      </w:pPr>
      <w:r w:rsidRPr="00696153">
        <w:rPr>
          <w:spacing w:val="4"/>
        </w:rPr>
        <w:t>Therefore, CDC and any of its collaborators, contractors, grantees, investigators or collaborating institutions that receive “identifiable, sensitive information” as defined by subsection 301(d) of the Public Health Service Act shall not:</w:t>
      </w:r>
    </w:p>
    <w:p w:rsidR="00D706DC" w:rsidP="00D706DC" w:rsidRDefault="00D706DC" w14:paraId="11BA7213" w14:textId="77777777">
      <w:pPr>
        <w:spacing w:line="240" w:lineRule="auto"/>
        <w:ind w:firstLine="0"/>
        <w:rPr>
          <w:spacing w:val="4"/>
        </w:rPr>
      </w:pPr>
    </w:p>
    <w:p w:rsidRPr="00696153" w:rsidR="00D706DC" w:rsidP="00D706DC" w:rsidRDefault="00D706DC" w14:paraId="38B6EEE3" w14:textId="77777777">
      <w:pPr>
        <w:spacing w:line="240" w:lineRule="auto"/>
        <w:ind w:firstLine="0"/>
        <w:rPr>
          <w:spacing w:val="4"/>
        </w:rPr>
      </w:pPr>
      <w:r w:rsidRPr="00696153">
        <w:rPr>
          <w:spacing w:val="4"/>
        </w:rPr>
        <w:t xml:space="preserve">• Disclose or provide, in any Federal, State, or local civil, criminal, administrative, legislative, or other proceeding “identifiable, sensitive information” that was created or </w:t>
      </w:r>
      <w:r w:rsidRPr="00696153">
        <w:rPr>
          <w:spacing w:val="4"/>
        </w:rPr>
        <w:lastRenderedPageBreak/>
        <w:t>compiled for purposes of the research, unless such disclosure or use is made with the consent of the individual to whom the information, document, or biospecimen pertains; or</w:t>
      </w:r>
    </w:p>
    <w:p w:rsidR="00D706DC" w:rsidP="00D706DC" w:rsidRDefault="00D706DC" w14:paraId="5CF745D7" w14:textId="77777777">
      <w:pPr>
        <w:spacing w:line="240" w:lineRule="auto"/>
        <w:ind w:firstLine="0"/>
        <w:rPr>
          <w:spacing w:val="4"/>
        </w:rPr>
      </w:pPr>
    </w:p>
    <w:p w:rsidR="00D706DC" w:rsidP="00D706DC" w:rsidRDefault="00D706DC" w14:paraId="153F3EF8" w14:textId="77777777">
      <w:pPr>
        <w:spacing w:line="240" w:lineRule="auto"/>
        <w:ind w:firstLine="0"/>
        <w:rPr>
          <w:spacing w:val="4"/>
        </w:rPr>
      </w:pPr>
      <w:r w:rsidRPr="00696153">
        <w:rPr>
          <w:spacing w:val="4"/>
        </w:rPr>
        <w:t xml:space="preserve">• Disclose “identifiable, sensitive information” </w:t>
      </w:r>
      <w:r>
        <w:rPr>
          <w:spacing w:val="4"/>
        </w:rPr>
        <w:t xml:space="preserve">(ISI) </w:t>
      </w:r>
      <w:r w:rsidRPr="00696153">
        <w:rPr>
          <w:spacing w:val="4"/>
        </w:rPr>
        <w:t>or provide ISI to any other person not connected with the research.</w:t>
      </w:r>
    </w:p>
    <w:p w:rsidRPr="00696153" w:rsidR="00D706DC" w:rsidP="00D706DC" w:rsidRDefault="00D706DC" w14:paraId="365F7F38" w14:textId="77777777">
      <w:pPr>
        <w:spacing w:line="240" w:lineRule="auto"/>
        <w:ind w:firstLine="0"/>
        <w:rPr>
          <w:spacing w:val="4"/>
        </w:rPr>
      </w:pPr>
    </w:p>
    <w:p w:rsidRPr="00696153" w:rsidR="00D706DC" w:rsidP="00D706DC" w:rsidRDefault="00D706DC" w14:paraId="08A059FE" w14:textId="77777777">
      <w:pPr>
        <w:spacing w:line="240" w:lineRule="auto"/>
        <w:ind w:firstLine="0"/>
        <w:rPr>
          <w:spacing w:val="4"/>
        </w:rPr>
      </w:pPr>
      <w:r w:rsidRPr="00696153">
        <w:rPr>
          <w:spacing w:val="4"/>
        </w:rPr>
        <w:t>Disclosure is permitted only when:</w:t>
      </w:r>
    </w:p>
    <w:p w:rsidR="00D706DC" w:rsidP="00D706DC" w:rsidRDefault="00D706DC" w14:paraId="0AA9262A" w14:textId="77777777">
      <w:pPr>
        <w:spacing w:line="240" w:lineRule="auto"/>
        <w:ind w:firstLine="0"/>
        <w:rPr>
          <w:spacing w:val="4"/>
        </w:rPr>
      </w:pPr>
    </w:p>
    <w:p w:rsidRPr="00696153" w:rsidR="00D706DC" w:rsidP="00D706DC" w:rsidRDefault="00D706DC" w14:paraId="1629D846" w14:textId="77777777">
      <w:pPr>
        <w:spacing w:line="240" w:lineRule="auto"/>
        <w:ind w:firstLine="0"/>
        <w:rPr>
          <w:spacing w:val="4"/>
        </w:rPr>
      </w:pPr>
      <w:r w:rsidRPr="00696153">
        <w:rPr>
          <w:spacing w:val="4"/>
        </w:rPr>
        <w:t>• Required by Federal, State, or local laws (e.g., as required by the Food, Drug and Cosmetic Act or required by state laws requiring the reporting of communicable diseases to State and local health departments), excluding instances of disclosure in any Federal, State, or local civil, criminal, administrative, legislative, or other proceeding;</w:t>
      </w:r>
    </w:p>
    <w:p w:rsidR="00D706DC" w:rsidP="00D706DC" w:rsidRDefault="00D706DC" w14:paraId="5E5AC60D" w14:textId="77777777">
      <w:pPr>
        <w:spacing w:line="240" w:lineRule="auto"/>
        <w:ind w:firstLine="0"/>
        <w:rPr>
          <w:spacing w:val="4"/>
        </w:rPr>
      </w:pPr>
    </w:p>
    <w:p w:rsidRPr="00696153" w:rsidR="00D706DC" w:rsidP="00D706DC" w:rsidRDefault="00D706DC" w14:paraId="5B6CCBA5" w14:textId="77777777">
      <w:pPr>
        <w:spacing w:line="240" w:lineRule="auto"/>
        <w:ind w:firstLine="0"/>
        <w:rPr>
          <w:spacing w:val="4"/>
        </w:rPr>
      </w:pPr>
      <w:r w:rsidRPr="00696153">
        <w:rPr>
          <w:spacing w:val="4"/>
        </w:rPr>
        <w:t>• Made with the consent of the individual to whom the information, document, or biospecimen pertains; or</w:t>
      </w:r>
    </w:p>
    <w:p w:rsidR="00D706DC" w:rsidP="00D706DC" w:rsidRDefault="00D706DC" w14:paraId="77CD5A7F" w14:textId="77777777">
      <w:pPr>
        <w:spacing w:line="240" w:lineRule="auto"/>
        <w:ind w:firstLine="0"/>
        <w:rPr>
          <w:spacing w:val="4"/>
        </w:rPr>
      </w:pPr>
    </w:p>
    <w:p w:rsidRPr="00696153" w:rsidR="00D706DC" w:rsidP="00D706DC" w:rsidRDefault="00D706DC" w14:paraId="1C15A703" w14:textId="77777777">
      <w:pPr>
        <w:spacing w:line="240" w:lineRule="auto"/>
        <w:ind w:firstLine="0"/>
        <w:rPr>
          <w:spacing w:val="4"/>
        </w:rPr>
      </w:pPr>
      <w:r w:rsidRPr="00696153">
        <w:rPr>
          <w:spacing w:val="4"/>
        </w:rPr>
        <w:t>• Made for the purposes of other scientific research that is in compliance with applicable Federal regulations governing the protection of human subjects in research.</w:t>
      </w:r>
    </w:p>
    <w:p w:rsidR="00D706DC" w:rsidP="00D706DC" w:rsidRDefault="00D706DC" w14:paraId="05B4CEB9" w14:textId="77777777">
      <w:pPr>
        <w:spacing w:line="240" w:lineRule="auto"/>
        <w:ind w:firstLine="0"/>
        <w:rPr>
          <w:spacing w:val="4"/>
        </w:rPr>
      </w:pPr>
      <w:r w:rsidRPr="00696153">
        <w:rPr>
          <w:spacing w:val="4"/>
        </w:rPr>
        <w:t xml:space="preserve">CDC and its collaborators and contractors conducting this research will establish and maintain effective internal controls (e.g., policies and procedures) that provide reasonable assurance that the research is managed in compliance with subsection 301(d) of the Public Health Service Act. </w:t>
      </w:r>
    </w:p>
    <w:p w:rsidR="00D706DC" w:rsidP="00D706DC" w:rsidRDefault="00D706DC" w14:paraId="046B3E44" w14:textId="77777777">
      <w:pPr>
        <w:spacing w:line="240" w:lineRule="auto"/>
        <w:ind w:firstLine="0"/>
        <w:rPr>
          <w:spacing w:val="4"/>
        </w:rPr>
      </w:pPr>
    </w:p>
    <w:p w:rsidR="00D706DC" w:rsidP="00D706DC" w:rsidRDefault="00D706DC" w14:paraId="21406CE1" w14:textId="77777777">
      <w:pPr>
        <w:spacing w:line="240" w:lineRule="auto"/>
        <w:ind w:firstLine="0"/>
        <w:rPr>
          <w:spacing w:val="4"/>
        </w:rPr>
      </w:pPr>
      <w:r w:rsidRPr="00696153">
        <w:rPr>
          <w:spacing w:val="4"/>
        </w:rPr>
        <w:t>CDC will ensure: 1) that any investigator or institution not funded by CDC who receives a copy of identifiable, sensitive information</w:t>
      </w:r>
      <w:r>
        <w:rPr>
          <w:spacing w:val="4"/>
        </w:rPr>
        <w:t xml:space="preserve"> </w:t>
      </w:r>
      <w:r w:rsidRPr="00696153">
        <w:rPr>
          <w:spacing w:val="4"/>
        </w:rPr>
        <w:t>protected by this Certificate, understands that it is also subject to the requirements of the Certificate; and 2) that any subrecipient that receives CDC funds to carry out part of this research involving a copy of identifiable, sensitive information protected by a Certificate understands that it is subject to subsection 301(d) of the PHS Act. Therefore, all study staff will receive training on the importance of protecting the confidentiality of human research subjects and of personal information acquired.</w:t>
      </w:r>
    </w:p>
    <w:p w:rsidR="00D706DC" w:rsidP="00D706DC" w:rsidRDefault="00D706DC" w14:paraId="3F9DB3BA" w14:textId="77777777">
      <w:pPr>
        <w:spacing w:line="240" w:lineRule="auto"/>
        <w:ind w:firstLine="0"/>
        <w:rPr>
          <w:spacing w:val="4"/>
        </w:rPr>
      </w:pPr>
    </w:p>
    <w:p w:rsidRPr="004D77B0" w:rsidR="00535A83" w:rsidP="000167E1" w:rsidRDefault="00535A83" w14:paraId="29A6B3A3" w14:textId="77777777">
      <w:pPr>
        <w:tabs>
          <w:tab w:val="left" w:pos="0"/>
        </w:tabs>
        <w:spacing w:line="240" w:lineRule="auto"/>
        <w:ind w:firstLine="0"/>
        <w:rPr>
          <w:spacing w:val="4"/>
          <w:u w:val="single"/>
        </w:rPr>
      </w:pPr>
    </w:p>
    <w:p w:rsidRPr="00D22AD2" w:rsidR="00F35131" w:rsidP="775A952C" w:rsidRDefault="6C72B8E7" w14:paraId="56B87EA9" w14:textId="77798CA5">
      <w:pPr>
        <w:pStyle w:val="Heading2"/>
        <w:tabs>
          <w:tab w:val="clear" w:pos="432"/>
        </w:tabs>
        <w:ind w:left="0" w:firstLine="0"/>
        <w:rPr>
          <w:rFonts w:eastAsiaTheme="minorEastAsia"/>
        </w:rPr>
      </w:pPr>
      <w:bookmarkStart w:name="_Toc402259352" w:id="44"/>
      <w:bookmarkStart w:name="_Toc63079031" w:id="45"/>
      <w:r w:rsidRPr="775A952C">
        <w:rPr>
          <w:rFonts w:eastAsiaTheme="minorEastAsia"/>
        </w:rPr>
        <w:t>A</w:t>
      </w:r>
      <w:r w:rsidRPr="775A952C" w:rsidR="7F5F6562">
        <w:rPr>
          <w:rFonts w:eastAsiaTheme="minorEastAsia"/>
        </w:rPr>
        <w:t>12.</w:t>
      </w:r>
      <w:r w:rsidR="00524B55">
        <w:t xml:space="preserve"> </w:t>
      </w:r>
      <w:r w:rsidRPr="775A952C" w:rsidR="7F5F6562">
        <w:rPr>
          <w:rFonts w:eastAsiaTheme="minorEastAsia"/>
        </w:rPr>
        <w:t>Estimates of Annualized Burden Hours and Costs</w:t>
      </w:r>
      <w:bookmarkEnd w:id="44"/>
      <w:bookmarkEnd w:id="45"/>
      <w:r w:rsidRPr="775A952C" w:rsidR="49B096A2">
        <w:rPr>
          <w:rFonts w:eastAsiaTheme="minorEastAsia"/>
        </w:rPr>
        <w:t xml:space="preserve"> </w:t>
      </w:r>
    </w:p>
    <w:p w:rsidRPr="004D77B0" w:rsidR="0060150C" w:rsidP="00654777" w:rsidRDefault="0060150C" w14:paraId="52B6232D" w14:textId="610A7593">
      <w:pPr>
        <w:tabs>
          <w:tab w:val="left" w:pos="0"/>
        </w:tabs>
        <w:spacing w:after="160" w:line="240" w:lineRule="auto"/>
        <w:ind w:firstLine="0"/>
        <w:rPr>
          <w:rFonts w:eastAsia="Calibri"/>
          <w:bCs/>
        </w:rPr>
      </w:pPr>
      <w:r w:rsidRPr="004D77B0">
        <w:rPr>
          <w:rFonts w:eastAsia="Calibri"/>
          <w:spacing w:val="6"/>
        </w:rPr>
        <w:t xml:space="preserve">Time estimates are based on </w:t>
      </w:r>
      <w:r w:rsidRPr="004D77B0">
        <w:rPr>
          <w:rFonts w:eastAsia="Calibri"/>
        </w:rPr>
        <w:t xml:space="preserve">prior experiences and what can reasonably be requested of participating </w:t>
      </w:r>
      <w:r>
        <w:rPr>
          <w:rFonts w:eastAsia="Calibri"/>
        </w:rPr>
        <w:t>clinician</w:t>
      </w:r>
      <w:r w:rsidRPr="004D77B0">
        <w:rPr>
          <w:rFonts w:eastAsia="Calibri"/>
        </w:rPr>
        <w:t>s, patients</w:t>
      </w:r>
      <w:r w:rsidR="00654777">
        <w:rPr>
          <w:rFonts w:eastAsia="Calibri"/>
        </w:rPr>
        <w:t>,</w:t>
      </w:r>
      <w:r w:rsidRPr="004D77B0">
        <w:rPr>
          <w:rFonts w:eastAsia="Calibri"/>
        </w:rPr>
        <w:t xml:space="preserve"> and health care system leaders.</w:t>
      </w:r>
      <w:r w:rsidRPr="004D77B0">
        <w:rPr>
          <w:rFonts w:eastAsia="Calibri"/>
          <w:spacing w:val="6"/>
        </w:rPr>
        <w:t xml:space="preserve"> The number of respondents listed in </w:t>
      </w:r>
      <w:r>
        <w:rPr>
          <w:rFonts w:eastAsia="Calibri"/>
          <w:spacing w:val="6"/>
        </w:rPr>
        <w:t>the table below</w:t>
      </w:r>
      <w:r w:rsidRPr="004D77B0">
        <w:rPr>
          <w:rFonts w:eastAsia="Calibri"/>
          <w:spacing w:val="6"/>
        </w:rPr>
        <w:t xml:space="preserve"> reflects a projected 30</w:t>
      </w:r>
      <w:r w:rsidR="00654777">
        <w:rPr>
          <w:rFonts w:eastAsia="Calibri"/>
          <w:spacing w:val="6"/>
        </w:rPr>
        <w:t xml:space="preserve"> to </w:t>
      </w:r>
      <w:r w:rsidRPr="004D77B0">
        <w:rPr>
          <w:rFonts w:eastAsia="Calibri"/>
          <w:spacing w:val="6"/>
        </w:rPr>
        <w:t>50% response rate for data collection efforts</w:t>
      </w:r>
      <w:r>
        <w:rPr>
          <w:rFonts w:eastAsia="Calibri"/>
          <w:spacing w:val="6"/>
        </w:rPr>
        <w:t>.</w:t>
      </w:r>
      <w:r w:rsidRPr="004D77B0">
        <w:rPr>
          <w:rFonts w:eastAsia="Calibri"/>
          <w:spacing w:val="6"/>
        </w:rPr>
        <w:t xml:space="preserve"> </w:t>
      </w:r>
    </w:p>
    <w:p w:rsidR="00654777" w:rsidP="00654777" w:rsidRDefault="0060150C" w14:paraId="78A473B0" w14:textId="7058644E">
      <w:pPr>
        <w:spacing w:line="240" w:lineRule="auto"/>
        <w:ind w:firstLine="0"/>
        <w:rPr>
          <w:rFonts w:eastAsia="Calibri"/>
        </w:rPr>
      </w:pPr>
      <w:r w:rsidRPr="004D77B0">
        <w:rPr>
          <w:rFonts w:eastAsia="Calibri"/>
          <w:b/>
        </w:rPr>
        <w:t>P</w:t>
      </w:r>
      <w:r>
        <w:rPr>
          <w:rFonts w:eastAsia="Calibri"/>
          <w:b/>
        </w:rPr>
        <w:t xml:space="preserve">rimary Care Clinician </w:t>
      </w:r>
      <w:r w:rsidRPr="004D77B0">
        <w:rPr>
          <w:rFonts w:eastAsia="Calibri"/>
          <w:b/>
        </w:rPr>
        <w:t>Survey (Attachment A).</w:t>
      </w:r>
      <w:r w:rsidRPr="004D77B0">
        <w:rPr>
          <w:rFonts w:eastAsia="Calibri"/>
        </w:rPr>
        <w:t xml:space="preserve"> </w:t>
      </w:r>
      <w:bookmarkStart w:name="_Hlk74067129" w:id="46"/>
      <w:r w:rsidRPr="004D77B0">
        <w:rPr>
          <w:rFonts w:eastAsia="Calibri"/>
        </w:rPr>
        <w:t xml:space="preserve">A brief survey will be emailed to all </w:t>
      </w:r>
      <w:r>
        <w:rPr>
          <w:rFonts w:eastAsia="Calibri"/>
        </w:rPr>
        <w:t>primary care clinicians</w:t>
      </w:r>
      <w:r w:rsidRPr="004D77B0">
        <w:rPr>
          <w:rFonts w:eastAsia="Calibri"/>
        </w:rPr>
        <w:t xml:space="preserve"> </w:t>
      </w:r>
      <w:r w:rsidR="003833CB">
        <w:rPr>
          <w:rFonts w:eastAsia="Calibri"/>
        </w:rPr>
        <w:t xml:space="preserve">who are able to prescribe opioids </w:t>
      </w:r>
      <w:r w:rsidRPr="004D77B0">
        <w:rPr>
          <w:rFonts w:eastAsia="Calibri"/>
        </w:rPr>
        <w:t xml:space="preserve">in each of the </w:t>
      </w:r>
      <w:r>
        <w:rPr>
          <w:rFonts w:eastAsia="Calibri"/>
        </w:rPr>
        <w:t xml:space="preserve">10 </w:t>
      </w:r>
      <w:r w:rsidRPr="004D77B0">
        <w:rPr>
          <w:rFonts w:eastAsia="Calibri"/>
        </w:rPr>
        <w:t>healthcare systems included in the study</w:t>
      </w:r>
      <w:r>
        <w:rPr>
          <w:rFonts w:eastAsia="Calibri"/>
        </w:rPr>
        <w:t xml:space="preserve">. Non-respondents will be contacted with one additional email after two weeks to increase response rates.  </w:t>
      </w:r>
      <w:bookmarkEnd w:id="46"/>
    </w:p>
    <w:p w:rsidR="00654777" w:rsidP="00654777" w:rsidRDefault="00654777" w14:paraId="40D05460" w14:textId="77777777">
      <w:pPr>
        <w:spacing w:line="240" w:lineRule="auto"/>
        <w:ind w:firstLine="0"/>
        <w:rPr>
          <w:rFonts w:eastAsia="Calibri"/>
        </w:rPr>
      </w:pPr>
    </w:p>
    <w:p w:rsidRPr="004D77B0" w:rsidR="0060150C" w:rsidP="5FA61A53" w:rsidRDefault="008B7607" w14:paraId="30705BED" w14:textId="7019B2B6">
      <w:pPr>
        <w:spacing w:line="240" w:lineRule="auto"/>
        <w:ind w:firstLine="0"/>
        <w:rPr>
          <w:rFonts w:ascii="ArialMT" w:hAnsi="ArialMT"/>
          <w:sz w:val="20"/>
        </w:rPr>
      </w:pPr>
      <w:r>
        <w:rPr>
          <w:rFonts w:eastAsia="Calibri"/>
        </w:rPr>
        <w:t xml:space="preserve">A total of </w:t>
      </w:r>
      <w:r w:rsidRPr="5FA61A53" w:rsidR="5924AEA7">
        <w:rPr>
          <w:rFonts w:eastAsia="Calibri"/>
        </w:rPr>
        <w:t xml:space="preserve">3,940 primary care clinicians </w:t>
      </w:r>
      <w:r w:rsidR="008265DE">
        <w:rPr>
          <w:rFonts w:eastAsia="Calibri"/>
        </w:rPr>
        <w:t>among</w:t>
      </w:r>
      <w:r w:rsidRPr="5FA61A53" w:rsidR="5924AEA7">
        <w:rPr>
          <w:rFonts w:eastAsia="Calibri"/>
        </w:rPr>
        <w:t xml:space="preserve"> all systems </w:t>
      </w:r>
      <w:r>
        <w:rPr>
          <w:rFonts w:eastAsia="Calibri"/>
        </w:rPr>
        <w:t xml:space="preserve">will be contacted </w:t>
      </w:r>
      <w:r w:rsidR="008265DE">
        <w:rPr>
          <w:rFonts w:eastAsia="Calibri"/>
        </w:rPr>
        <w:t>over</w:t>
      </w:r>
      <w:r>
        <w:rPr>
          <w:rFonts w:eastAsia="Calibri"/>
        </w:rPr>
        <w:t xml:space="preserve"> 3</w:t>
      </w:r>
      <w:r w:rsidR="008265DE">
        <w:rPr>
          <w:rFonts w:eastAsia="Calibri"/>
        </w:rPr>
        <w:t xml:space="preserve"> </w:t>
      </w:r>
      <w:r>
        <w:rPr>
          <w:rFonts w:eastAsia="Calibri"/>
        </w:rPr>
        <w:t>yea</w:t>
      </w:r>
      <w:r w:rsidR="008265DE">
        <w:rPr>
          <w:rFonts w:eastAsia="Calibri"/>
        </w:rPr>
        <w:t>rs</w:t>
      </w:r>
      <w:r>
        <w:rPr>
          <w:rFonts w:eastAsia="Calibri"/>
        </w:rPr>
        <w:t>,</w:t>
      </w:r>
      <w:r w:rsidR="00FA5397">
        <w:rPr>
          <w:rFonts w:eastAsia="Calibri"/>
        </w:rPr>
        <w:t xml:space="preserve"> or 1,313 per year</w:t>
      </w:r>
      <w:r w:rsidR="008265DE">
        <w:rPr>
          <w:rFonts w:eastAsia="Calibri"/>
        </w:rPr>
        <w:t xml:space="preserve">; </w:t>
      </w:r>
      <w:r>
        <w:rPr>
          <w:rFonts w:eastAsia="Calibri"/>
        </w:rPr>
        <w:t>1,182</w:t>
      </w:r>
      <w:r w:rsidR="008265DE">
        <w:rPr>
          <w:rFonts w:eastAsia="Calibri"/>
        </w:rPr>
        <w:t xml:space="preserve"> </w:t>
      </w:r>
      <w:r>
        <w:rPr>
          <w:rFonts w:eastAsia="Calibri"/>
        </w:rPr>
        <w:t>(</w:t>
      </w:r>
      <w:r w:rsidR="00243492">
        <w:rPr>
          <w:rFonts w:eastAsia="Calibri"/>
        </w:rPr>
        <w:t xml:space="preserve">assuming a </w:t>
      </w:r>
      <w:r w:rsidRPr="5FA61A53" w:rsidR="5924AEA7">
        <w:rPr>
          <w:rFonts w:eastAsia="Calibri"/>
        </w:rPr>
        <w:t>30% response rate) are expected to respond</w:t>
      </w:r>
      <w:r w:rsidR="008265DE">
        <w:rPr>
          <w:rFonts w:eastAsia="Calibri"/>
        </w:rPr>
        <w:t xml:space="preserve"> over 3 years</w:t>
      </w:r>
      <w:r w:rsidR="00FA5397">
        <w:rPr>
          <w:rFonts w:eastAsia="Calibri"/>
        </w:rPr>
        <w:t xml:space="preserve">, or </w:t>
      </w:r>
      <w:r w:rsidR="00FA5397">
        <w:rPr>
          <w:rFonts w:eastAsia="Calibri"/>
        </w:rPr>
        <w:lastRenderedPageBreak/>
        <w:t>394 per year</w:t>
      </w:r>
      <w:r w:rsidRPr="5FA61A53" w:rsidR="5924AEA7">
        <w:rPr>
          <w:rFonts w:eastAsia="Calibri"/>
        </w:rPr>
        <w:t>. The Primary Care Clinician Survey is expected to take 10 minutes to complete</w:t>
      </w:r>
      <w:r w:rsidRPr="5FA61A53" w:rsidR="00BE03AC">
        <w:rPr>
          <w:rFonts w:eastAsia="Calibri"/>
        </w:rPr>
        <w:t xml:space="preserve"> based on pilot testing and experience with similar data collection efforts</w:t>
      </w:r>
      <w:r w:rsidRPr="5FA61A53" w:rsidR="5924AEA7">
        <w:rPr>
          <w:rFonts w:eastAsia="Calibri"/>
        </w:rPr>
        <w:t xml:space="preserve">. </w:t>
      </w:r>
      <w:r w:rsidRPr="5FA61A53" w:rsidR="5924AEA7">
        <w:rPr>
          <w:rFonts w:ascii="ArialMT" w:hAnsi="ArialMT"/>
          <w:sz w:val="20"/>
        </w:rPr>
        <w:t xml:space="preserve">  </w:t>
      </w:r>
    </w:p>
    <w:p w:rsidR="00654777" w:rsidP="00654777" w:rsidRDefault="00654777" w14:paraId="5C881E48" w14:textId="77777777">
      <w:pPr>
        <w:spacing w:line="240" w:lineRule="auto"/>
        <w:ind w:firstLine="0"/>
        <w:rPr>
          <w:rFonts w:eastAsia="Calibri"/>
          <w:b/>
        </w:rPr>
      </w:pPr>
      <w:bookmarkStart w:name="_Hlk76674828" w:id="47"/>
    </w:p>
    <w:p w:rsidR="0060150C" w:rsidP="00654777" w:rsidRDefault="126B40FB" w14:paraId="6183601F" w14:textId="46075ADB">
      <w:pPr>
        <w:spacing w:line="240" w:lineRule="auto"/>
        <w:ind w:firstLine="0"/>
        <w:rPr>
          <w:rFonts w:eastAsia="Calibri"/>
        </w:rPr>
      </w:pPr>
      <w:r w:rsidRPr="5FA61A53">
        <w:rPr>
          <w:rFonts w:eastAsia="Calibri"/>
          <w:b/>
          <w:bCs/>
        </w:rPr>
        <w:t>Patient Survey (Attachment B)</w:t>
      </w:r>
      <w:r w:rsidR="00DE271A">
        <w:rPr>
          <w:rFonts w:eastAsia="Calibri"/>
          <w:b/>
          <w:bCs/>
        </w:rPr>
        <w:t xml:space="preserve"> </w:t>
      </w:r>
      <w:r w:rsidRPr="00243492" w:rsidR="00DE271A">
        <w:rPr>
          <w:rFonts w:eastAsia="Calibri"/>
        </w:rPr>
        <w:t xml:space="preserve">A total of 2,000 </w:t>
      </w:r>
      <w:r w:rsidR="00DE271A">
        <w:rPr>
          <w:rFonts w:eastAsia="Calibri"/>
        </w:rPr>
        <w:t>s</w:t>
      </w:r>
      <w:r w:rsidRPr="5FA61A53">
        <w:rPr>
          <w:rFonts w:eastAsia="Calibri"/>
        </w:rPr>
        <w:t xml:space="preserve">urveys </w:t>
      </w:r>
      <w:r w:rsidR="00DE271A">
        <w:rPr>
          <w:rFonts w:eastAsia="Calibri"/>
        </w:rPr>
        <w:t>will be distributed</w:t>
      </w:r>
      <w:r w:rsidR="009F2FD3">
        <w:rPr>
          <w:rFonts w:eastAsia="Calibri"/>
        </w:rPr>
        <w:t xml:space="preserve"> over 3 years</w:t>
      </w:r>
      <w:r w:rsidR="00DE271A">
        <w:rPr>
          <w:rFonts w:eastAsia="Calibri"/>
        </w:rPr>
        <w:t xml:space="preserve">. Surveys </w:t>
      </w:r>
      <w:r w:rsidRPr="5FA61A53">
        <w:rPr>
          <w:rFonts w:eastAsia="Calibri"/>
        </w:rPr>
        <w:t xml:space="preserve">of </w:t>
      </w:r>
      <w:r w:rsidR="0057547C">
        <w:rPr>
          <w:rFonts w:eastAsia="Calibri"/>
        </w:rPr>
        <w:t xml:space="preserve">up to </w:t>
      </w:r>
      <w:r w:rsidR="00C415E3">
        <w:rPr>
          <w:rFonts w:eastAsia="Calibri"/>
        </w:rPr>
        <w:t xml:space="preserve">1,000 </w:t>
      </w:r>
      <w:r w:rsidRPr="5FA61A53">
        <w:rPr>
          <w:rFonts w:eastAsia="Calibri"/>
        </w:rPr>
        <w:t>patients</w:t>
      </w:r>
      <w:r w:rsidR="00C415E3">
        <w:rPr>
          <w:rFonts w:eastAsia="Calibri"/>
        </w:rPr>
        <w:t xml:space="preserve"> (</w:t>
      </w:r>
      <w:r w:rsidRPr="00243492" w:rsidR="00DE271A">
        <w:rPr>
          <w:rFonts w:eastAsia="Calibri"/>
        </w:rPr>
        <w:t>assum</w:t>
      </w:r>
      <w:r w:rsidR="00FA5397">
        <w:rPr>
          <w:rFonts w:eastAsia="Calibri"/>
        </w:rPr>
        <w:t>ing a</w:t>
      </w:r>
      <w:r w:rsidRPr="00FA5397" w:rsidR="00DE271A">
        <w:rPr>
          <w:rFonts w:eastAsia="Calibri"/>
        </w:rPr>
        <w:t xml:space="preserve"> 50% response rate and </w:t>
      </w:r>
      <w:r w:rsidR="00C415E3">
        <w:rPr>
          <w:rFonts w:eastAsia="Calibri"/>
        </w:rPr>
        <w:t>100</w:t>
      </w:r>
      <w:r w:rsidR="007C2A16">
        <w:rPr>
          <w:rFonts w:eastAsia="Calibri"/>
        </w:rPr>
        <w:t xml:space="preserve"> </w:t>
      </w:r>
      <w:r w:rsidR="00FA5397">
        <w:rPr>
          <w:rFonts w:eastAsia="Calibri"/>
        </w:rPr>
        <w:t xml:space="preserve">patient surveys </w:t>
      </w:r>
      <w:r w:rsidR="007C2A16">
        <w:rPr>
          <w:rFonts w:eastAsia="Calibri"/>
        </w:rPr>
        <w:t xml:space="preserve">per </w:t>
      </w:r>
      <w:r w:rsidR="0057547C">
        <w:rPr>
          <w:rFonts w:eastAsia="Calibri"/>
        </w:rPr>
        <w:t xml:space="preserve">health </w:t>
      </w:r>
      <w:r w:rsidR="00C415E3">
        <w:rPr>
          <w:rFonts w:eastAsia="Calibri"/>
        </w:rPr>
        <w:t>system)</w:t>
      </w:r>
      <w:r w:rsidRPr="5FA61A53">
        <w:rPr>
          <w:rFonts w:eastAsia="Calibri"/>
          <w:b/>
          <w:bCs/>
        </w:rPr>
        <w:t xml:space="preserve"> </w:t>
      </w:r>
      <w:r w:rsidRPr="5FA61A53">
        <w:rPr>
          <w:rFonts w:eastAsia="Calibri"/>
        </w:rPr>
        <w:t xml:space="preserve">will be critical </w:t>
      </w:r>
      <w:r w:rsidR="009D00E7">
        <w:rPr>
          <w:rFonts w:eastAsia="Calibri"/>
        </w:rPr>
        <w:t>to evaluate</w:t>
      </w:r>
      <w:r w:rsidRPr="5FA61A53">
        <w:rPr>
          <w:rFonts w:eastAsia="Calibri"/>
        </w:rPr>
        <w:t xml:space="preserve"> specific guideline or policy implementation in health systems. </w:t>
      </w:r>
      <w:r>
        <w:t xml:space="preserve">Respondents will be invited to complete the online surveys via REDCap through a suite of available options, including a unique email link, text messaging interface, or the REDCap mobile application. </w:t>
      </w:r>
      <w:r w:rsidRPr="5FA61A53">
        <w:rPr>
          <w:rFonts w:eastAsia="Calibri"/>
        </w:rPr>
        <w:t xml:space="preserve">The survey is expected to take </w:t>
      </w:r>
      <w:r w:rsidR="007C4700">
        <w:rPr>
          <w:rFonts w:eastAsia="Calibri"/>
        </w:rPr>
        <w:t>10</w:t>
      </w:r>
      <w:r w:rsidRPr="5FA61A53">
        <w:rPr>
          <w:rFonts w:eastAsia="Calibri"/>
        </w:rPr>
        <w:t xml:space="preserve"> minutes to complete</w:t>
      </w:r>
      <w:r w:rsidRPr="5FA61A53" w:rsidR="00BE03AC">
        <w:rPr>
          <w:rFonts w:eastAsia="Calibri"/>
        </w:rPr>
        <w:t xml:space="preserve"> based on pilot testing and experience with similar data collection efforts</w:t>
      </w:r>
      <w:r w:rsidRPr="5FA61A53">
        <w:rPr>
          <w:rFonts w:eastAsia="Calibri"/>
        </w:rPr>
        <w:t>.</w:t>
      </w:r>
    </w:p>
    <w:p w:rsidRPr="00726B53" w:rsidR="0060150C" w:rsidP="00654777" w:rsidRDefault="0060150C" w14:paraId="080B7AFA" w14:textId="77777777">
      <w:pPr>
        <w:spacing w:line="240" w:lineRule="auto"/>
        <w:ind w:firstLine="0"/>
        <w:rPr>
          <w:rFonts w:eastAsia="Calibri"/>
        </w:rPr>
      </w:pPr>
    </w:p>
    <w:bookmarkEnd w:id="47"/>
    <w:p w:rsidR="0060150C" w:rsidP="775A952C" w:rsidRDefault="7BEAC1C7" w14:paraId="3B798A02" w14:textId="06E71AE2">
      <w:pPr>
        <w:spacing w:line="240" w:lineRule="auto"/>
        <w:ind w:firstLine="0"/>
        <w:rPr>
          <w:rFonts w:ascii="ArialMT" w:hAnsi="ArialMT"/>
          <w:sz w:val="20"/>
        </w:rPr>
      </w:pPr>
      <w:r w:rsidRPr="775A952C">
        <w:rPr>
          <w:rFonts w:eastAsia="Calibri"/>
          <w:b/>
          <w:bCs/>
        </w:rPr>
        <w:t xml:space="preserve">Interviews with system leaders (Attachment C).   </w:t>
      </w:r>
      <w:r w:rsidRPr="775A952C">
        <w:rPr>
          <w:rFonts w:eastAsia="Calibri"/>
        </w:rPr>
        <w:t xml:space="preserve">In-depth </w:t>
      </w:r>
      <w:r w:rsidR="00C415E3">
        <w:rPr>
          <w:rFonts w:eastAsia="Calibri"/>
        </w:rPr>
        <w:t xml:space="preserve">group </w:t>
      </w:r>
      <w:r w:rsidRPr="775A952C">
        <w:rPr>
          <w:rFonts w:eastAsia="Calibri"/>
        </w:rPr>
        <w:t>interviews will occur with</w:t>
      </w:r>
      <w:r w:rsidRPr="775A952C" w:rsidR="1BF235C8">
        <w:rPr>
          <w:rFonts w:eastAsia="Calibri"/>
        </w:rPr>
        <w:t xml:space="preserve"> five</w:t>
      </w:r>
      <w:r w:rsidRPr="775A952C">
        <w:rPr>
          <w:rFonts w:eastAsia="Calibri"/>
        </w:rPr>
        <w:t xml:space="preserve"> staff at each health care organization, for a total of up to 50 individuals</w:t>
      </w:r>
      <w:r w:rsidR="0057547C">
        <w:rPr>
          <w:rFonts w:eastAsia="Calibri"/>
        </w:rPr>
        <w:t xml:space="preserve"> (10 per health system, up to 10 systems)</w:t>
      </w:r>
      <w:r w:rsidRPr="775A952C">
        <w:rPr>
          <w:rFonts w:eastAsia="Calibri"/>
        </w:rPr>
        <w:t xml:space="preserve">. The team will conduct these interviews, each lasting up to </w:t>
      </w:r>
      <w:r w:rsidR="008774AE">
        <w:rPr>
          <w:rFonts w:eastAsia="Calibri"/>
        </w:rPr>
        <w:t>60 minutes</w:t>
      </w:r>
      <w:r w:rsidRPr="775A952C">
        <w:rPr>
          <w:rFonts w:eastAsia="Calibri"/>
        </w:rPr>
        <w:t xml:space="preserve">. The burden estimate is based on experience with similar data collection efforts.  </w:t>
      </w:r>
    </w:p>
    <w:p w:rsidR="0060150C" w:rsidP="00654777" w:rsidRDefault="0060150C" w14:paraId="40B0499D" w14:textId="77777777">
      <w:pPr>
        <w:spacing w:line="240" w:lineRule="auto"/>
        <w:ind w:firstLine="0"/>
        <w:rPr>
          <w:rFonts w:ascii="ArialMT" w:hAnsi="ArialMT"/>
          <w:sz w:val="20"/>
        </w:rPr>
      </w:pPr>
    </w:p>
    <w:p w:rsidRPr="00F54AF2" w:rsidR="00343A2D" w:rsidP="5BBFA51E" w:rsidRDefault="7BEAC1C7" w14:paraId="0977295F" w14:textId="44EC08CE">
      <w:pPr>
        <w:spacing w:after="120" w:line="240" w:lineRule="auto"/>
        <w:ind w:firstLine="0"/>
        <w:rPr>
          <w:rFonts w:eastAsia="Calibri"/>
        </w:rPr>
      </w:pPr>
      <w:r w:rsidRPr="775A952C">
        <w:rPr>
          <w:rFonts w:eastAsia="Calibri"/>
          <w:b/>
          <w:bCs/>
        </w:rPr>
        <w:t>Case Study Interviews (Attachment D)</w:t>
      </w:r>
      <w:r w:rsidRPr="775A952C">
        <w:rPr>
          <w:rFonts w:eastAsia="Calibri"/>
        </w:rPr>
        <w:t xml:space="preserve">. To </w:t>
      </w:r>
      <w:r w:rsidR="00107520">
        <w:t>learn more about patient journeys and the strategies and approaches to a health system’s implemented guidelines and policies</w:t>
      </w:r>
      <w:r w:rsidRPr="775A952C">
        <w:rPr>
          <w:rFonts w:eastAsia="Calibri"/>
        </w:rPr>
        <w:t>, interviews will be conducted with</w:t>
      </w:r>
      <w:r w:rsidRPr="775A952C">
        <w:rPr>
          <w:rFonts w:eastAsia="Calibri"/>
          <w:b/>
          <w:bCs/>
        </w:rPr>
        <w:t xml:space="preserve"> </w:t>
      </w:r>
      <w:r w:rsidRPr="775A952C">
        <w:rPr>
          <w:rFonts w:eastAsia="Calibri"/>
        </w:rPr>
        <w:t>clinicians, teams</w:t>
      </w:r>
      <w:r w:rsidRPr="775A952C" w:rsidR="1D5EC2E9">
        <w:rPr>
          <w:rFonts w:eastAsia="Calibri"/>
        </w:rPr>
        <w:t>,</w:t>
      </w:r>
      <w:r w:rsidRPr="775A952C">
        <w:rPr>
          <w:rFonts w:eastAsia="Calibri"/>
        </w:rPr>
        <w:t xml:space="preserve"> and patients/caregivers. </w:t>
      </w:r>
      <w:r w:rsidR="00107520">
        <w:t xml:space="preserve">Four staff members (two clinicians and two other health care staff) per health system will be interviewed (for a total of up to 40 staff), as well as five patients and/or caregivers per system for a total of up to fifty patients.  </w:t>
      </w:r>
      <w:r w:rsidRPr="775A952C">
        <w:rPr>
          <w:rFonts w:eastAsia="Calibri"/>
        </w:rPr>
        <w:t xml:space="preserve">The team will conduct these interviews, each lasting </w:t>
      </w:r>
      <w:r w:rsidR="00D20C45">
        <w:rPr>
          <w:rFonts w:eastAsia="Calibri"/>
        </w:rPr>
        <w:t xml:space="preserve">approximately 30 </w:t>
      </w:r>
      <w:r w:rsidR="008774AE">
        <w:rPr>
          <w:rFonts w:eastAsia="Calibri"/>
        </w:rPr>
        <w:t>minutes</w:t>
      </w:r>
      <w:r w:rsidRPr="775A952C">
        <w:rPr>
          <w:rFonts w:eastAsia="Calibri"/>
        </w:rPr>
        <w:t xml:space="preserve">.  The burden estimate is based on experience with similar data collection efforts.  </w:t>
      </w:r>
    </w:p>
    <w:p w:rsidR="003C3CEE" w:rsidP="00F872F2" w:rsidRDefault="7BEAC1C7" w14:paraId="0AC70E02" w14:textId="6D0B526C">
      <w:pPr>
        <w:spacing w:after="160" w:line="259" w:lineRule="auto"/>
        <w:ind w:firstLine="0"/>
        <w:rPr>
          <w:b/>
        </w:rPr>
      </w:pPr>
      <w:r w:rsidRPr="775A952C">
        <w:rPr>
          <w:rFonts w:eastAsia="Calibri"/>
          <w:b/>
          <w:bCs/>
        </w:rPr>
        <w:t>Member Checking Sessions (Attachment E)</w:t>
      </w:r>
      <w:r w:rsidRPr="775A952C">
        <w:rPr>
          <w:rFonts w:eastAsia="Calibri"/>
        </w:rPr>
        <w:t xml:space="preserve">. To validate individual system findings we will gather </w:t>
      </w:r>
      <w:r w:rsidR="00A27C27">
        <w:rPr>
          <w:rFonts w:eastAsia="Calibri"/>
        </w:rPr>
        <w:t>five</w:t>
      </w:r>
      <w:r w:rsidRPr="775A952C">
        <w:rPr>
          <w:rFonts w:eastAsia="Calibri"/>
        </w:rPr>
        <w:t xml:space="preserve"> representatives per health system, for a total of </w:t>
      </w:r>
      <w:r w:rsidR="00107520">
        <w:rPr>
          <w:rFonts w:eastAsia="Calibri"/>
        </w:rPr>
        <w:t xml:space="preserve">up to </w:t>
      </w:r>
      <w:r w:rsidR="00772351">
        <w:rPr>
          <w:rFonts w:eastAsia="Calibri"/>
        </w:rPr>
        <w:t>5</w:t>
      </w:r>
      <w:r w:rsidRPr="775A952C">
        <w:rPr>
          <w:rFonts w:eastAsia="Calibri"/>
        </w:rPr>
        <w:t xml:space="preserve">0 representatives, among </w:t>
      </w:r>
      <w:r w:rsidRPr="775A952C" w:rsidR="003C3CEE">
        <w:rPr>
          <w:rFonts w:eastAsia="Calibri"/>
        </w:rPr>
        <w:t>all participating</w:t>
      </w:r>
      <w:r w:rsidRPr="775A952C">
        <w:rPr>
          <w:rFonts w:eastAsia="Calibri"/>
        </w:rPr>
        <w:t xml:space="preserve"> systems for a </w:t>
      </w:r>
      <w:r w:rsidRPr="775A952C" w:rsidR="4D3FE1F9">
        <w:rPr>
          <w:rFonts w:eastAsia="Calibri"/>
        </w:rPr>
        <w:t>one</w:t>
      </w:r>
      <w:r w:rsidRPr="775A952C">
        <w:rPr>
          <w:rFonts w:eastAsia="Calibri"/>
        </w:rPr>
        <w:t xml:space="preserve"> hour </w:t>
      </w:r>
      <w:r w:rsidRPr="775A952C" w:rsidR="1D5EC2E9">
        <w:rPr>
          <w:rFonts w:eastAsia="Calibri"/>
        </w:rPr>
        <w:t xml:space="preserve">discussion </w:t>
      </w:r>
      <w:r w:rsidRPr="775A952C">
        <w:rPr>
          <w:rFonts w:eastAsia="Calibri"/>
        </w:rPr>
        <w:t xml:space="preserve">on findings </w:t>
      </w:r>
      <w:r w:rsidRPr="775A952C" w:rsidR="4D3961A7">
        <w:rPr>
          <w:rFonts w:eastAsia="Calibri"/>
        </w:rPr>
        <w:t xml:space="preserve">to obtain </w:t>
      </w:r>
      <w:r w:rsidRPr="775A952C">
        <w:rPr>
          <w:rFonts w:eastAsia="Calibri"/>
        </w:rPr>
        <w:t>insight</w:t>
      </w:r>
      <w:r w:rsidRPr="775A952C" w:rsidR="6045BC3F">
        <w:rPr>
          <w:rFonts w:eastAsia="Calibri"/>
        </w:rPr>
        <w:t xml:space="preserve"> from health system representatives</w:t>
      </w:r>
      <w:r w:rsidRPr="775A952C">
        <w:rPr>
          <w:rFonts w:eastAsia="Calibri"/>
        </w:rPr>
        <w:t>.</w:t>
      </w:r>
      <w:r>
        <w:t xml:space="preserve"> </w:t>
      </w:r>
      <w:r w:rsidRPr="775A952C">
        <w:rPr>
          <w:rFonts w:eastAsia="Calibri"/>
        </w:rPr>
        <w:t xml:space="preserve">The burden estimate is based on experience with similar data collection efforts.  </w:t>
      </w:r>
    </w:p>
    <w:p w:rsidR="003C3CEE" w:rsidP="00D47B4B" w:rsidRDefault="003C3CEE" w14:paraId="0C5167BE" w14:textId="77777777">
      <w:pPr>
        <w:spacing w:after="160" w:line="259" w:lineRule="auto"/>
        <w:rPr>
          <w:b/>
        </w:rPr>
      </w:pPr>
    </w:p>
    <w:p w:rsidRPr="000155E9" w:rsidR="00D47B4B" w:rsidP="00AD1B47" w:rsidRDefault="00AD1B47" w14:paraId="48DFFF7F" w14:textId="3716CDF6">
      <w:pPr>
        <w:spacing w:after="160" w:line="259" w:lineRule="auto"/>
        <w:ind w:firstLine="0"/>
        <w:rPr>
          <w:rFonts w:ascii="Calibri" w:hAnsi="Calibri"/>
          <w:color w:val="1F497D"/>
          <w:sz w:val="22"/>
        </w:rPr>
      </w:pPr>
      <w:r>
        <w:rPr>
          <w:b/>
        </w:rPr>
        <w:t xml:space="preserve">Exhibit 5. </w:t>
      </w:r>
      <w:r w:rsidRPr="000155E9" w:rsidR="00D47B4B">
        <w:rPr>
          <w:b/>
        </w:rPr>
        <w:t>Estimated Annualized Burden Hours</w:t>
      </w:r>
    </w:p>
    <w:tbl>
      <w:tblPr>
        <w:tblStyle w:val="TableGrid"/>
        <w:tblW w:w="0" w:type="auto"/>
        <w:tblLook w:val="04A0" w:firstRow="1" w:lastRow="0" w:firstColumn="1" w:lastColumn="0" w:noHBand="0" w:noVBand="1"/>
      </w:tblPr>
      <w:tblGrid>
        <w:gridCol w:w="1995"/>
        <w:gridCol w:w="1461"/>
        <w:gridCol w:w="1734"/>
        <w:gridCol w:w="1410"/>
        <w:gridCol w:w="1184"/>
        <w:gridCol w:w="1566"/>
      </w:tblGrid>
      <w:tr w:rsidR="007C2A16" w:rsidTr="00EC44A9" w14:paraId="1CD5D02F" w14:textId="77777777">
        <w:tc>
          <w:tcPr>
            <w:tcW w:w="2002" w:type="dxa"/>
            <w:shd w:val="clear" w:color="auto" w:fill="31849B" w:themeFill="accent5" w:themeFillShade="BF"/>
          </w:tcPr>
          <w:p w:rsidR="007C2A16" w:rsidP="00F57165" w:rsidRDefault="007C2A16" w14:paraId="451F92B2" w14:textId="32E19AF9">
            <w:pPr>
              <w:tabs>
                <w:tab w:val="left" w:pos="90"/>
              </w:tabs>
              <w:spacing w:line="240" w:lineRule="auto"/>
              <w:ind w:firstLine="0"/>
              <w:rPr>
                <w:rFonts w:eastAsia="Calibri"/>
                <w:spacing w:val="6"/>
              </w:rPr>
            </w:pPr>
            <w:bookmarkStart w:name="_Hlk82007730" w:id="48"/>
            <w:r>
              <w:rPr>
                <w:rFonts w:eastAsia="Calibri"/>
                <w:spacing w:val="6"/>
              </w:rPr>
              <w:t>Type of Respondent</w:t>
            </w:r>
          </w:p>
        </w:tc>
        <w:tc>
          <w:tcPr>
            <w:tcW w:w="1446" w:type="dxa"/>
            <w:shd w:val="clear" w:color="auto" w:fill="31849B" w:themeFill="accent5" w:themeFillShade="BF"/>
          </w:tcPr>
          <w:p w:rsidR="007C2A16" w:rsidP="00F57165" w:rsidRDefault="007C2A16" w14:paraId="674B8171" w14:textId="34970720">
            <w:pPr>
              <w:tabs>
                <w:tab w:val="left" w:pos="90"/>
              </w:tabs>
              <w:spacing w:line="240" w:lineRule="auto"/>
              <w:ind w:firstLine="0"/>
              <w:rPr>
                <w:rFonts w:eastAsia="Calibri"/>
                <w:spacing w:val="6"/>
              </w:rPr>
            </w:pPr>
            <w:r>
              <w:rPr>
                <w:rFonts w:eastAsia="Calibri"/>
                <w:spacing w:val="6"/>
              </w:rPr>
              <w:t>Form Name</w:t>
            </w:r>
          </w:p>
        </w:tc>
        <w:tc>
          <w:tcPr>
            <w:tcW w:w="1743" w:type="dxa"/>
            <w:shd w:val="clear" w:color="auto" w:fill="31849B" w:themeFill="accent5" w:themeFillShade="BF"/>
          </w:tcPr>
          <w:p w:rsidR="007C2A16" w:rsidP="00F57165" w:rsidRDefault="007C2A16" w14:paraId="56B1B087" w14:textId="22F8265E">
            <w:pPr>
              <w:tabs>
                <w:tab w:val="left" w:pos="90"/>
              </w:tabs>
              <w:spacing w:line="240" w:lineRule="auto"/>
              <w:ind w:firstLine="0"/>
              <w:rPr>
                <w:rFonts w:eastAsia="Calibri"/>
                <w:spacing w:val="6"/>
              </w:rPr>
            </w:pPr>
            <w:r>
              <w:rPr>
                <w:rFonts w:eastAsia="Calibri"/>
                <w:spacing w:val="6"/>
              </w:rPr>
              <w:t>Number of Respondents</w:t>
            </w:r>
          </w:p>
        </w:tc>
        <w:tc>
          <w:tcPr>
            <w:tcW w:w="1396" w:type="dxa"/>
            <w:shd w:val="clear" w:color="auto" w:fill="31849B" w:themeFill="accent5" w:themeFillShade="BF"/>
          </w:tcPr>
          <w:p w:rsidR="007C2A16" w:rsidP="00F57165" w:rsidRDefault="007C2A16" w14:paraId="79CE1B22" w14:textId="17F726E9">
            <w:pPr>
              <w:tabs>
                <w:tab w:val="left" w:pos="90"/>
              </w:tabs>
              <w:spacing w:line="240" w:lineRule="auto"/>
              <w:ind w:firstLine="0"/>
              <w:rPr>
                <w:rFonts w:eastAsia="Calibri"/>
                <w:spacing w:val="6"/>
              </w:rPr>
            </w:pPr>
            <w:r>
              <w:rPr>
                <w:rFonts w:eastAsia="Calibri"/>
                <w:spacing w:val="6"/>
              </w:rPr>
              <w:t>Number of Responses per Respondent</w:t>
            </w:r>
          </w:p>
        </w:tc>
        <w:tc>
          <w:tcPr>
            <w:tcW w:w="1173" w:type="dxa"/>
            <w:shd w:val="clear" w:color="auto" w:fill="31849B" w:themeFill="accent5" w:themeFillShade="BF"/>
          </w:tcPr>
          <w:p w:rsidR="007C2A16" w:rsidP="00F57165" w:rsidRDefault="007C2A16" w14:paraId="72F3DD5C" w14:textId="653B06A9">
            <w:pPr>
              <w:tabs>
                <w:tab w:val="left" w:pos="90"/>
              </w:tabs>
              <w:spacing w:line="240" w:lineRule="auto"/>
              <w:ind w:firstLine="0"/>
              <w:rPr>
                <w:rFonts w:eastAsia="Calibri"/>
                <w:spacing w:val="6"/>
              </w:rPr>
            </w:pPr>
            <w:r>
              <w:rPr>
                <w:rFonts w:eastAsia="Calibri"/>
                <w:spacing w:val="6"/>
              </w:rPr>
              <w:t>Average Burden per Response (in hours)</w:t>
            </w:r>
          </w:p>
        </w:tc>
        <w:tc>
          <w:tcPr>
            <w:tcW w:w="1590" w:type="dxa"/>
            <w:shd w:val="clear" w:color="auto" w:fill="31849B" w:themeFill="accent5" w:themeFillShade="BF"/>
          </w:tcPr>
          <w:p w:rsidR="007C2A16" w:rsidP="00F57165" w:rsidRDefault="007C2A16" w14:paraId="108015ED" w14:textId="3AB04FBF">
            <w:pPr>
              <w:tabs>
                <w:tab w:val="left" w:pos="90"/>
              </w:tabs>
              <w:spacing w:line="240" w:lineRule="auto"/>
              <w:ind w:firstLine="0"/>
              <w:rPr>
                <w:rFonts w:eastAsia="Calibri"/>
                <w:spacing w:val="6"/>
              </w:rPr>
            </w:pPr>
            <w:r>
              <w:rPr>
                <w:rFonts w:eastAsia="Calibri"/>
                <w:spacing w:val="6"/>
              </w:rPr>
              <w:t>Total Burden (in hours)</w:t>
            </w:r>
          </w:p>
        </w:tc>
      </w:tr>
      <w:tr w:rsidR="007C2A16" w:rsidTr="00EC44A9" w14:paraId="213DF0EA" w14:textId="77777777">
        <w:tc>
          <w:tcPr>
            <w:tcW w:w="2002" w:type="dxa"/>
          </w:tcPr>
          <w:p w:rsidR="007C2A16" w:rsidP="00F57165" w:rsidRDefault="007C2A16" w14:paraId="51A05F8F" w14:textId="7AC0E989">
            <w:pPr>
              <w:tabs>
                <w:tab w:val="left" w:pos="90"/>
              </w:tabs>
              <w:spacing w:line="240" w:lineRule="auto"/>
              <w:ind w:firstLine="0"/>
              <w:rPr>
                <w:rFonts w:eastAsia="Calibri"/>
                <w:spacing w:val="6"/>
              </w:rPr>
            </w:pPr>
            <w:r>
              <w:rPr>
                <w:rFonts w:eastAsia="Calibri"/>
                <w:spacing w:val="6"/>
              </w:rPr>
              <w:t>Patient</w:t>
            </w:r>
          </w:p>
        </w:tc>
        <w:tc>
          <w:tcPr>
            <w:tcW w:w="1446" w:type="dxa"/>
          </w:tcPr>
          <w:p w:rsidR="007C2A16" w:rsidP="00F57165" w:rsidRDefault="007C2A16" w14:paraId="107ECB8A" w14:textId="0101F112">
            <w:pPr>
              <w:tabs>
                <w:tab w:val="left" w:pos="90"/>
              </w:tabs>
              <w:spacing w:line="240" w:lineRule="auto"/>
              <w:ind w:firstLine="0"/>
              <w:rPr>
                <w:rFonts w:eastAsia="Calibri"/>
                <w:spacing w:val="6"/>
              </w:rPr>
            </w:pPr>
            <w:r>
              <w:rPr>
                <w:rFonts w:eastAsia="Calibri"/>
                <w:spacing w:val="6"/>
              </w:rPr>
              <w:t>Patient Survey (Att. B)</w:t>
            </w:r>
          </w:p>
        </w:tc>
        <w:tc>
          <w:tcPr>
            <w:tcW w:w="1743" w:type="dxa"/>
          </w:tcPr>
          <w:p w:rsidR="007C2A16" w:rsidP="00F57165" w:rsidRDefault="009859D2" w14:paraId="6B5337C2" w14:textId="3B89E57D">
            <w:pPr>
              <w:tabs>
                <w:tab w:val="left" w:pos="90"/>
              </w:tabs>
              <w:spacing w:line="240" w:lineRule="auto"/>
              <w:ind w:firstLine="0"/>
              <w:rPr>
                <w:rFonts w:eastAsia="Calibri"/>
                <w:spacing w:val="6"/>
              </w:rPr>
            </w:pPr>
            <w:r>
              <w:rPr>
                <w:rFonts w:eastAsia="Calibri"/>
                <w:spacing w:val="6"/>
              </w:rPr>
              <w:t>667</w:t>
            </w:r>
          </w:p>
        </w:tc>
        <w:tc>
          <w:tcPr>
            <w:tcW w:w="1396" w:type="dxa"/>
          </w:tcPr>
          <w:p w:rsidR="007C2A16" w:rsidP="00F57165" w:rsidRDefault="007C2A16" w14:paraId="728F0A61" w14:textId="21B6806F">
            <w:pPr>
              <w:tabs>
                <w:tab w:val="left" w:pos="90"/>
              </w:tabs>
              <w:spacing w:line="240" w:lineRule="auto"/>
              <w:ind w:firstLine="0"/>
              <w:rPr>
                <w:rFonts w:eastAsia="Calibri"/>
                <w:spacing w:val="6"/>
              </w:rPr>
            </w:pPr>
            <w:r>
              <w:rPr>
                <w:rFonts w:eastAsia="Calibri"/>
                <w:spacing w:val="6"/>
              </w:rPr>
              <w:t>1</w:t>
            </w:r>
          </w:p>
        </w:tc>
        <w:tc>
          <w:tcPr>
            <w:tcW w:w="1173" w:type="dxa"/>
          </w:tcPr>
          <w:p w:rsidR="007C2A16" w:rsidP="00F57165" w:rsidRDefault="007C2A16" w14:paraId="748E23A5" w14:textId="1122C4FA">
            <w:pPr>
              <w:tabs>
                <w:tab w:val="left" w:pos="90"/>
              </w:tabs>
              <w:spacing w:line="240" w:lineRule="auto"/>
              <w:ind w:firstLine="0"/>
              <w:rPr>
                <w:rFonts w:eastAsia="Calibri"/>
                <w:spacing w:val="6"/>
              </w:rPr>
            </w:pPr>
            <w:r>
              <w:rPr>
                <w:rFonts w:eastAsia="Calibri"/>
                <w:spacing w:val="6"/>
              </w:rPr>
              <w:t>10/60</w:t>
            </w:r>
          </w:p>
        </w:tc>
        <w:tc>
          <w:tcPr>
            <w:tcW w:w="1590" w:type="dxa"/>
          </w:tcPr>
          <w:p w:rsidR="007C2A16" w:rsidP="00F57165" w:rsidRDefault="009C3E7E" w14:paraId="0BFA6D40" w14:textId="5EF7C834">
            <w:pPr>
              <w:tabs>
                <w:tab w:val="left" w:pos="90"/>
              </w:tabs>
              <w:spacing w:line="240" w:lineRule="auto"/>
              <w:ind w:firstLine="0"/>
              <w:rPr>
                <w:rFonts w:eastAsia="Calibri"/>
                <w:spacing w:val="6"/>
              </w:rPr>
            </w:pPr>
            <w:r>
              <w:rPr>
                <w:rFonts w:eastAsia="Calibri"/>
                <w:spacing w:val="6"/>
              </w:rPr>
              <w:t>111</w:t>
            </w:r>
          </w:p>
        </w:tc>
      </w:tr>
      <w:tr w:rsidR="00864EBD" w:rsidTr="00EC44A9" w14:paraId="6F16E3DE" w14:textId="77777777">
        <w:tc>
          <w:tcPr>
            <w:tcW w:w="2002" w:type="dxa"/>
            <w:vMerge w:val="restart"/>
          </w:tcPr>
          <w:p w:rsidRPr="00E04592" w:rsidR="00864EBD" w:rsidP="00E04592" w:rsidRDefault="00864EBD" w14:paraId="6050117B" w14:textId="64966841">
            <w:pPr>
              <w:tabs>
                <w:tab w:val="left" w:pos="0"/>
              </w:tabs>
              <w:spacing w:after="160" w:line="259" w:lineRule="auto"/>
              <w:ind w:firstLine="0"/>
              <w:rPr>
                <w:sz w:val="18"/>
                <w:szCs w:val="18"/>
              </w:rPr>
            </w:pPr>
            <w:r>
              <w:rPr>
                <w:rFonts w:eastAsia="Calibri"/>
                <w:spacing w:val="6"/>
              </w:rPr>
              <w:t>Treatment facility staff</w:t>
            </w:r>
            <w:r w:rsidR="004A308C">
              <w:rPr>
                <w:rFonts w:eastAsia="Calibri"/>
                <w:spacing w:val="6"/>
              </w:rPr>
              <w:t xml:space="preserve"> (I</w:t>
            </w:r>
            <w:r w:rsidRPr="00E04592" w:rsidR="004A308C">
              <w:rPr>
                <w:rFonts w:eastAsia="Calibri"/>
                <w:spacing w:val="6"/>
              </w:rPr>
              <w:t xml:space="preserve">ncluding primary care </w:t>
            </w:r>
            <w:r w:rsidRPr="00E04592" w:rsidR="004A308C">
              <w:rPr>
                <w:rFonts w:eastAsia="Calibri"/>
                <w:spacing w:val="6"/>
              </w:rPr>
              <w:lastRenderedPageBreak/>
              <w:t>clinicians, health system leaders, and other system staff and representatives)</w:t>
            </w:r>
          </w:p>
        </w:tc>
        <w:tc>
          <w:tcPr>
            <w:tcW w:w="1446" w:type="dxa"/>
          </w:tcPr>
          <w:p w:rsidR="00864EBD" w:rsidP="00F57165" w:rsidRDefault="00864EBD" w14:paraId="7ABB78AB" w14:textId="3868B89A">
            <w:pPr>
              <w:tabs>
                <w:tab w:val="left" w:pos="90"/>
              </w:tabs>
              <w:spacing w:line="240" w:lineRule="auto"/>
              <w:ind w:firstLine="0"/>
              <w:rPr>
                <w:rFonts w:eastAsia="Calibri"/>
                <w:spacing w:val="6"/>
              </w:rPr>
            </w:pPr>
            <w:r>
              <w:rPr>
                <w:rFonts w:eastAsia="Calibri"/>
                <w:spacing w:val="6"/>
              </w:rPr>
              <w:lastRenderedPageBreak/>
              <w:t>Primary Care Clinician Survey (Att. A)</w:t>
            </w:r>
          </w:p>
        </w:tc>
        <w:tc>
          <w:tcPr>
            <w:tcW w:w="1743" w:type="dxa"/>
          </w:tcPr>
          <w:p w:rsidR="00864EBD" w:rsidP="00F57165" w:rsidRDefault="00864EBD" w14:paraId="051121EC" w14:textId="417A83ED">
            <w:pPr>
              <w:tabs>
                <w:tab w:val="left" w:pos="90"/>
              </w:tabs>
              <w:spacing w:line="240" w:lineRule="auto"/>
              <w:ind w:firstLine="0"/>
              <w:rPr>
                <w:rFonts w:eastAsia="Calibri"/>
                <w:spacing w:val="6"/>
              </w:rPr>
            </w:pPr>
            <w:r>
              <w:rPr>
                <w:rFonts w:eastAsia="Calibri"/>
                <w:spacing w:val="6"/>
              </w:rPr>
              <w:t>1,313</w:t>
            </w:r>
          </w:p>
        </w:tc>
        <w:tc>
          <w:tcPr>
            <w:tcW w:w="1396" w:type="dxa"/>
          </w:tcPr>
          <w:p w:rsidR="00864EBD" w:rsidP="00F57165" w:rsidRDefault="00864EBD" w14:paraId="7D4F207D" w14:textId="06195B2D">
            <w:pPr>
              <w:tabs>
                <w:tab w:val="left" w:pos="90"/>
              </w:tabs>
              <w:spacing w:line="240" w:lineRule="auto"/>
              <w:ind w:firstLine="0"/>
              <w:rPr>
                <w:rFonts w:eastAsia="Calibri"/>
                <w:spacing w:val="6"/>
              </w:rPr>
            </w:pPr>
            <w:r>
              <w:rPr>
                <w:rFonts w:eastAsia="Calibri"/>
                <w:spacing w:val="6"/>
              </w:rPr>
              <w:t>1</w:t>
            </w:r>
          </w:p>
        </w:tc>
        <w:tc>
          <w:tcPr>
            <w:tcW w:w="1173" w:type="dxa"/>
          </w:tcPr>
          <w:p w:rsidR="00864EBD" w:rsidP="00F57165" w:rsidRDefault="00864EBD" w14:paraId="5F9E5FBB" w14:textId="0BCD4807">
            <w:pPr>
              <w:tabs>
                <w:tab w:val="left" w:pos="90"/>
              </w:tabs>
              <w:spacing w:line="240" w:lineRule="auto"/>
              <w:ind w:firstLine="0"/>
              <w:rPr>
                <w:rFonts w:eastAsia="Calibri"/>
                <w:spacing w:val="6"/>
              </w:rPr>
            </w:pPr>
            <w:r>
              <w:rPr>
                <w:rFonts w:eastAsia="Calibri"/>
                <w:spacing w:val="6"/>
              </w:rPr>
              <w:t>10/60</w:t>
            </w:r>
          </w:p>
        </w:tc>
        <w:tc>
          <w:tcPr>
            <w:tcW w:w="1590" w:type="dxa"/>
          </w:tcPr>
          <w:p w:rsidR="00864EBD" w:rsidP="00F57165" w:rsidRDefault="009C3E7E" w14:paraId="59CB80BE" w14:textId="27C4C3FA">
            <w:pPr>
              <w:tabs>
                <w:tab w:val="left" w:pos="90"/>
              </w:tabs>
              <w:spacing w:line="240" w:lineRule="auto"/>
              <w:ind w:firstLine="0"/>
              <w:rPr>
                <w:rFonts w:eastAsia="Calibri"/>
                <w:spacing w:val="6"/>
              </w:rPr>
            </w:pPr>
            <w:r>
              <w:rPr>
                <w:rFonts w:eastAsia="Calibri"/>
                <w:spacing w:val="6"/>
              </w:rPr>
              <w:t>219</w:t>
            </w:r>
          </w:p>
        </w:tc>
      </w:tr>
      <w:tr w:rsidR="00864EBD" w:rsidTr="00EC44A9" w14:paraId="036608AF" w14:textId="77777777">
        <w:tc>
          <w:tcPr>
            <w:tcW w:w="2002" w:type="dxa"/>
            <w:vMerge/>
          </w:tcPr>
          <w:p w:rsidR="00864EBD" w:rsidP="00F57165" w:rsidRDefault="00864EBD" w14:paraId="7E7976E0" w14:textId="77777777">
            <w:pPr>
              <w:tabs>
                <w:tab w:val="left" w:pos="90"/>
              </w:tabs>
              <w:spacing w:line="240" w:lineRule="auto"/>
              <w:ind w:firstLine="0"/>
              <w:rPr>
                <w:rFonts w:eastAsia="Calibri"/>
                <w:spacing w:val="6"/>
              </w:rPr>
            </w:pPr>
          </w:p>
        </w:tc>
        <w:tc>
          <w:tcPr>
            <w:tcW w:w="1446" w:type="dxa"/>
          </w:tcPr>
          <w:p w:rsidR="00864EBD" w:rsidP="00F57165" w:rsidRDefault="00864EBD" w14:paraId="14D26757" w14:textId="16B3FD5B">
            <w:pPr>
              <w:tabs>
                <w:tab w:val="left" w:pos="90"/>
              </w:tabs>
              <w:spacing w:line="240" w:lineRule="auto"/>
              <w:ind w:firstLine="0"/>
              <w:rPr>
                <w:rFonts w:eastAsia="Calibri"/>
                <w:spacing w:val="6"/>
              </w:rPr>
            </w:pPr>
            <w:r>
              <w:rPr>
                <w:rFonts w:eastAsia="Calibri"/>
                <w:spacing w:val="6"/>
              </w:rPr>
              <w:t>Invitation/ Follow up Email (Att. I)</w:t>
            </w:r>
          </w:p>
        </w:tc>
        <w:tc>
          <w:tcPr>
            <w:tcW w:w="1743" w:type="dxa"/>
          </w:tcPr>
          <w:p w:rsidR="00864EBD" w:rsidDel="00D47B4B" w:rsidP="00F57165" w:rsidRDefault="009C3E7E" w14:paraId="66D320BC" w14:textId="39BE3599">
            <w:pPr>
              <w:tabs>
                <w:tab w:val="left" w:pos="90"/>
              </w:tabs>
              <w:spacing w:line="240" w:lineRule="auto"/>
              <w:ind w:firstLine="0"/>
              <w:rPr>
                <w:rFonts w:eastAsia="Calibri"/>
                <w:spacing w:val="6"/>
              </w:rPr>
            </w:pPr>
            <w:r>
              <w:rPr>
                <w:rFonts w:eastAsia="Calibri"/>
                <w:spacing w:val="6"/>
              </w:rPr>
              <w:t>1,980</w:t>
            </w:r>
          </w:p>
        </w:tc>
        <w:tc>
          <w:tcPr>
            <w:tcW w:w="1396" w:type="dxa"/>
          </w:tcPr>
          <w:p w:rsidR="00864EBD" w:rsidP="00F57165" w:rsidRDefault="00864EBD" w14:paraId="4C9BCBF9" w14:textId="239102C3">
            <w:pPr>
              <w:tabs>
                <w:tab w:val="left" w:pos="90"/>
              </w:tabs>
              <w:spacing w:line="240" w:lineRule="auto"/>
              <w:ind w:firstLine="0"/>
              <w:rPr>
                <w:rFonts w:eastAsia="Calibri"/>
                <w:spacing w:val="6"/>
              </w:rPr>
            </w:pPr>
            <w:r>
              <w:rPr>
                <w:rFonts w:eastAsia="Calibri"/>
                <w:spacing w:val="6"/>
              </w:rPr>
              <w:t>2</w:t>
            </w:r>
          </w:p>
        </w:tc>
        <w:tc>
          <w:tcPr>
            <w:tcW w:w="1173" w:type="dxa"/>
          </w:tcPr>
          <w:p w:rsidR="00864EBD" w:rsidP="00F57165" w:rsidRDefault="00864EBD" w14:paraId="0FECFD15" w14:textId="59742A2B">
            <w:pPr>
              <w:tabs>
                <w:tab w:val="left" w:pos="90"/>
              </w:tabs>
              <w:spacing w:line="240" w:lineRule="auto"/>
              <w:ind w:firstLine="0"/>
              <w:rPr>
                <w:rFonts w:eastAsia="Calibri"/>
                <w:spacing w:val="6"/>
              </w:rPr>
            </w:pPr>
            <w:r>
              <w:rPr>
                <w:rFonts w:eastAsia="Calibri"/>
                <w:spacing w:val="6"/>
              </w:rPr>
              <w:t>3/60</w:t>
            </w:r>
          </w:p>
        </w:tc>
        <w:tc>
          <w:tcPr>
            <w:tcW w:w="1590" w:type="dxa"/>
          </w:tcPr>
          <w:p w:rsidR="00864EBD" w:rsidDel="00D47B4B" w:rsidP="00F57165" w:rsidRDefault="009C3E7E" w14:paraId="11B5B824" w14:textId="7A032F4E">
            <w:pPr>
              <w:tabs>
                <w:tab w:val="left" w:pos="90"/>
              </w:tabs>
              <w:spacing w:line="240" w:lineRule="auto"/>
              <w:ind w:firstLine="0"/>
              <w:rPr>
                <w:rFonts w:eastAsia="Calibri"/>
                <w:spacing w:val="6"/>
              </w:rPr>
            </w:pPr>
            <w:r>
              <w:rPr>
                <w:rFonts w:eastAsia="Calibri"/>
                <w:spacing w:val="6"/>
              </w:rPr>
              <w:t>198</w:t>
            </w:r>
          </w:p>
        </w:tc>
      </w:tr>
      <w:tr w:rsidR="00864EBD" w:rsidTr="00EC44A9" w14:paraId="1AF4AEE1" w14:textId="77777777">
        <w:tc>
          <w:tcPr>
            <w:tcW w:w="2002" w:type="dxa"/>
            <w:vMerge/>
            <w:tcBorders>
              <w:bottom w:val="nil"/>
            </w:tcBorders>
          </w:tcPr>
          <w:p w:rsidR="00864EBD" w:rsidP="00F57165" w:rsidRDefault="00864EBD" w14:paraId="5C30BC99" w14:textId="77777777">
            <w:pPr>
              <w:tabs>
                <w:tab w:val="left" w:pos="90"/>
              </w:tabs>
              <w:spacing w:line="240" w:lineRule="auto"/>
              <w:ind w:firstLine="0"/>
              <w:rPr>
                <w:rFonts w:eastAsia="Calibri"/>
                <w:spacing w:val="6"/>
              </w:rPr>
            </w:pPr>
          </w:p>
        </w:tc>
        <w:tc>
          <w:tcPr>
            <w:tcW w:w="1446" w:type="dxa"/>
          </w:tcPr>
          <w:p w:rsidR="00864EBD" w:rsidP="00F57165" w:rsidRDefault="00864EBD" w14:paraId="54C02AA6" w14:textId="066E6282">
            <w:pPr>
              <w:tabs>
                <w:tab w:val="left" w:pos="90"/>
              </w:tabs>
              <w:spacing w:line="240" w:lineRule="auto"/>
              <w:ind w:firstLine="0"/>
              <w:rPr>
                <w:rFonts w:eastAsia="Calibri"/>
                <w:spacing w:val="6"/>
              </w:rPr>
            </w:pPr>
            <w:r>
              <w:rPr>
                <w:rFonts w:eastAsia="Calibri"/>
                <w:spacing w:val="6"/>
              </w:rPr>
              <w:t>Health System Leaders Group Interview Guide (Att. C)</w:t>
            </w:r>
          </w:p>
        </w:tc>
        <w:tc>
          <w:tcPr>
            <w:tcW w:w="1743" w:type="dxa"/>
          </w:tcPr>
          <w:p w:rsidR="00864EBD" w:rsidP="00F57165" w:rsidRDefault="009C3E7E" w14:paraId="6B30FFD0" w14:textId="622CA372">
            <w:pPr>
              <w:tabs>
                <w:tab w:val="left" w:pos="90"/>
              </w:tabs>
              <w:spacing w:line="240" w:lineRule="auto"/>
              <w:ind w:firstLine="0"/>
              <w:rPr>
                <w:rFonts w:eastAsia="Calibri"/>
                <w:spacing w:val="6"/>
              </w:rPr>
            </w:pPr>
            <w:r>
              <w:rPr>
                <w:rFonts w:eastAsia="Calibri"/>
                <w:spacing w:val="6"/>
              </w:rPr>
              <w:t>17</w:t>
            </w:r>
          </w:p>
        </w:tc>
        <w:tc>
          <w:tcPr>
            <w:tcW w:w="1396" w:type="dxa"/>
          </w:tcPr>
          <w:p w:rsidR="00864EBD" w:rsidP="00F57165" w:rsidRDefault="00864EBD" w14:paraId="51D2C2C7" w14:textId="19300200">
            <w:pPr>
              <w:tabs>
                <w:tab w:val="left" w:pos="90"/>
              </w:tabs>
              <w:spacing w:line="240" w:lineRule="auto"/>
              <w:ind w:firstLine="0"/>
              <w:rPr>
                <w:rFonts w:eastAsia="Calibri"/>
                <w:spacing w:val="6"/>
              </w:rPr>
            </w:pPr>
            <w:r>
              <w:rPr>
                <w:rFonts w:eastAsia="Calibri"/>
                <w:spacing w:val="6"/>
              </w:rPr>
              <w:t>1</w:t>
            </w:r>
          </w:p>
        </w:tc>
        <w:tc>
          <w:tcPr>
            <w:tcW w:w="1173" w:type="dxa"/>
          </w:tcPr>
          <w:p w:rsidR="00864EBD" w:rsidP="00F57165" w:rsidRDefault="00864EBD" w14:paraId="1D871BA5" w14:textId="61C9702C">
            <w:pPr>
              <w:tabs>
                <w:tab w:val="left" w:pos="90"/>
              </w:tabs>
              <w:spacing w:line="240" w:lineRule="auto"/>
              <w:ind w:firstLine="0"/>
              <w:rPr>
                <w:rFonts w:eastAsia="Calibri"/>
                <w:spacing w:val="6"/>
              </w:rPr>
            </w:pPr>
            <w:r>
              <w:rPr>
                <w:rFonts w:eastAsia="Calibri"/>
                <w:spacing w:val="6"/>
              </w:rPr>
              <w:t>1</w:t>
            </w:r>
          </w:p>
        </w:tc>
        <w:tc>
          <w:tcPr>
            <w:tcW w:w="1590" w:type="dxa"/>
          </w:tcPr>
          <w:p w:rsidR="00864EBD" w:rsidP="00F57165" w:rsidRDefault="009C3E7E" w14:paraId="633C4A21" w14:textId="7CE961E1">
            <w:pPr>
              <w:tabs>
                <w:tab w:val="left" w:pos="90"/>
              </w:tabs>
              <w:spacing w:line="240" w:lineRule="auto"/>
              <w:ind w:firstLine="0"/>
              <w:rPr>
                <w:rFonts w:eastAsia="Calibri"/>
                <w:spacing w:val="6"/>
              </w:rPr>
            </w:pPr>
            <w:r>
              <w:rPr>
                <w:rFonts w:eastAsia="Calibri"/>
                <w:spacing w:val="6"/>
              </w:rPr>
              <w:t>17</w:t>
            </w:r>
          </w:p>
        </w:tc>
      </w:tr>
      <w:tr w:rsidR="007C2A16" w:rsidTr="00EC44A9" w14:paraId="729A79EF" w14:textId="77777777">
        <w:tc>
          <w:tcPr>
            <w:tcW w:w="2002" w:type="dxa"/>
            <w:tcBorders>
              <w:top w:val="nil"/>
              <w:bottom w:val="nil"/>
            </w:tcBorders>
          </w:tcPr>
          <w:p w:rsidR="009C3E7E" w:rsidP="009C3E7E" w:rsidRDefault="009C3E7E" w14:paraId="37E5ADE1" w14:textId="08AF8211">
            <w:pPr>
              <w:tabs>
                <w:tab w:val="left" w:pos="90"/>
              </w:tabs>
              <w:spacing w:line="240" w:lineRule="auto"/>
              <w:ind w:firstLine="0"/>
              <w:rPr>
                <w:rFonts w:eastAsia="Calibri"/>
                <w:spacing w:val="6"/>
              </w:rPr>
            </w:pPr>
          </w:p>
        </w:tc>
        <w:tc>
          <w:tcPr>
            <w:tcW w:w="1446" w:type="dxa"/>
          </w:tcPr>
          <w:p w:rsidR="007C2A16" w:rsidP="00F57165" w:rsidRDefault="007C2A16" w14:paraId="014C56CD" w14:textId="3767829D">
            <w:pPr>
              <w:tabs>
                <w:tab w:val="left" w:pos="90"/>
              </w:tabs>
              <w:spacing w:line="240" w:lineRule="auto"/>
              <w:ind w:firstLine="0"/>
              <w:rPr>
                <w:rFonts w:eastAsia="Calibri"/>
                <w:spacing w:val="6"/>
              </w:rPr>
            </w:pPr>
            <w:r>
              <w:rPr>
                <w:rFonts w:eastAsia="Calibri"/>
                <w:spacing w:val="6"/>
              </w:rPr>
              <w:t>Case Study Interview Guide (Att. D)</w:t>
            </w:r>
          </w:p>
        </w:tc>
        <w:tc>
          <w:tcPr>
            <w:tcW w:w="1743" w:type="dxa"/>
          </w:tcPr>
          <w:p w:rsidR="007C2A16" w:rsidP="00F57165" w:rsidRDefault="009C3E7E" w14:paraId="68AAA394" w14:textId="3C9DE3AE">
            <w:pPr>
              <w:tabs>
                <w:tab w:val="left" w:pos="90"/>
              </w:tabs>
              <w:spacing w:line="240" w:lineRule="auto"/>
              <w:ind w:firstLine="0"/>
              <w:rPr>
                <w:rFonts w:eastAsia="Calibri"/>
                <w:spacing w:val="6"/>
              </w:rPr>
            </w:pPr>
            <w:r>
              <w:rPr>
                <w:rFonts w:eastAsia="Calibri"/>
                <w:spacing w:val="6"/>
              </w:rPr>
              <w:t>30</w:t>
            </w:r>
          </w:p>
        </w:tc>
        <w:tc>
          <w:tcPr>
            <w:tcW w:w="1396" w:type="dxa"/>
          </w:tcPr>
          <w:p w:rsidR="007C2A16" w:rsidP="00F57165" w:rsidRDefault="007C2A16" w14:paraId="75524BF1" w14:textId="29881196">
            <w:pPr>
              <w:tabs>
                <w:tab w:val="left" w:pos="90"/>
              </w:tabs>
              <w:spacing w:line="240" w:lineRule="auto"/>
              <w:ind w:firstLine="0"/>
              <w:rPr>
                <w:rFonts w:eastAsia="Calibri"/>
                <w:spacing w:val="6"/>
              </w:rPr>
            </w:pPr>
            <w:r>
              <w:rPr>
                <w:rFonts w:eastAsia="Calibri"/>
                <w:spacing w:val="6"/>
              </w:rPr>
              <w:t>1</w:t>
            </w:r>
          </w:p>
        </w:tc>
        <w:tc>
          <w:tcPr>
            <w:tcW w:w="1173" w:type="dxa"/>
          </w:tcPr>
          <w:p w:rsidR="007C2A16" w:rsidP="00F57165" w:rsidRDefault="00D20C45" w14:paraId="7138466C" w14:textId="6F7F8943">
            <w:pPr>
              <w:tabs>
                <w:tab w:val="left" w:pos="90"/>
              </w:tabs>
              <w:spacing w:line="240" w:lineRule="auto"/>
              <w:ind w:firstLine="0"/>
              <w:rPr>
                <w:rFonts w:eastAsia="Calibri"/>
                <w:spacing w:val="6"/>
              </w:rPr>
            </w:pPr>
            <w:r>
              <w:rPr>
                <w:rFonts w:eastAsia="Calibri"/>
                <w:spacing w:val="6"/>
              </w:rPr>
              <w:t>30/60</w:t>
            </w:r>
          </w:p>
        </w:tc>
        <w:tc>
          <w:tcPr>
            <w:tcW w:w="1590" w:type="dxa"/>
          </w:tcPr>
          <w:p w:rsidR="007C2A16" w:rsidP="00F57165" w:rsidRDefault="009C3E7E" w14:paraId="16F29067" w14:textId="10E9F6A4">
            <w:pPr>
              <w:tabs>
                <w:tab w:val="left" w:pos="90"/>
              </w:tabs>
              <w:spacing w:line="240" w:lineRule="auto"/>
              <w:ind w:firstLine="0"/>
              <w:rPr>
                <w:rFonts w:eastAsia="Calibri"/>
                <w:spacing w:val="6"/>
              </w:rPr>
            </w:pPr>
            <w:r>
              <w:rPr>
                <w:rFonts w:eastAsia="Calibri"/>
                <w:spacing w:val="6"/>
              </w:rPr>
              <w:t>15</w:t>
            </w:r>
          </w:p>
        </w:tc>
      </w:tr>
      <w:tr w:rsidR="007C2A16" w:rsidTr="00EC44A9" w14:paraId="1951C3F7" w14:textId="77777777">
        <w:tc>
          <w:tcPr>
            <w:tcW w:w="2002" w:type="dxa"/>
            <w:tcBorders>
              <w:top w:val="nil"/>
              <w:bottom w:val="nil"/>
            </w:tcBorders>
          </w:tcPr>
          <w:p w:rsidR="007C2A16" w:rsidP="00F57165" w:rsidRDefault="007C2A16" w14:paraId="2B44C0B5" w14:textId="77777777">
            <w:pPr>
              <w:tabs>
                <w:tab w:val="left" w:pos="90"/>
              </w:tabs>
              <w:spacing w:line="240" w:lineRule="auto"/>
              <w:ind w:firstLine="0"/>
              <w:rPr>
                <w:rFonts w:eastAsia="Calibri"/>
                <w:spacing w:val="6"/>
              </w:rPr>
            </w:pPr>
          </w:p>
        </w:tc>
        <w:tc>
          <w:tcPr>
            <w:tcW w:w="1446" w:type="dxa"/>
          </w:tcPr>
          <w:p w:rsidR="007C2A16" w:rsidP="00F57165" w:rsidRDefault="007C2A16" w14:paraId="07A1B567" w14:textId="5701D0BA">
            <w:pPr>
              <w:tabs>
                <w:tab w:val="left" w:pos="90"/>
              </w:tabs>
              <w:spacing w:line="240" w:lineRule="auto"/>
              <w:ind w:firstLine="0"/>
              <w:rPr>
                <w:rFonts w:eastAsia="Calibri"/>
                <w:spacing w:val="6"/>
              </w:rPr>
            </w:pPr>
            <w:r>
              <w:rPr>
                <w:rFonts w:eastAsia="Calibri"/>
                <w:spacing w:val="6"/>
              </w:rPr>
              <w:t>Member Checking (Validation) Sessions Interview Guide (Att. E)</w:t>
            </w:r>
          </w:p>
        </w:tc>
        <w:tc>
          <w:tcPr>
            <w:tcW w:w="1743" w:type="dxa"/>
          </w:tcPr>
          <w:p w:rsidR="007C2A16" w:rsidP="00F57165" w:rsidRDefault="009C3E7E" w14:paraId="61B8D522" w14:textId="7C8ED54F">
            <w:pPr>
              <w:tabs>
                <w:tab w:val="left" w:pos="90"/>
              </w:tabs>
              <w:spacing w:line="240" w:lineRule="auto"/>
              <w:ind w:firstLine="0"/>
              <w:rPr>
                <w:rFonts w:eastAsia="Calibri"/>
                <w:spacing w:val="6"/>
              </w:rPr>
            </w:pPr>
            <w:r>
              <w:rPr>
                <w:rFonts w:eastAsia="Calibri"/>
                <w:spacing w:val="6"/>
              </w:rPr>
              <w:t>1</w:t>
            </w:r>
            <w:r w:rsidR="00772351">
              <w:rPr>
                <w:rFonts w:eastAsia="Calibri"/>
                <w:spacing w:val="6"/>
              </w:rPr>
              <w:t>7</w:t>
            </w:r>
          </w:p>
        </w:tc>
        <w:tc>
          <w:tcPr>
            <w:tcW w:w="1396" w:type="dxa"/>
          </w:tcPr>
          <w:p w:rsidR="007C2A16" w:rsidP="00F57165" w:rsidRDefault="007C2A16" w14:paraId="0AD55358" w14:textId="1F133E99">
            <w:pPr>
              <w:tabs>
                <w:tab w:val="left" w:pos="90"/>
              </w:tabs>
              <w:spacing w:line="240" w:lineRule="auto"/>
              <w:ind w:firstLine="0"/>
              <w:rPr>
                <w:rFonts w:eastAsia="Calibri"/>
                <w:spacing w:val="6"/>
              </w:rPr>
            </w:pPr>
            <w:r>
              <w:rPr>
                <w:rFonts w:eastAsia="Calibri"/>
                <w:spacing w:val="6"/>
              </w:rPr>
              <w:t>1</w:t>
            </w:r>
          </w:p>
        </w:tc>
        <w:tc>
          <w:tcPr>
            <w:tcW w:w="1173" w:type="dxa"/>
          </w:tcPr>
          <w:p w:rsidR="007C2A16" w:rsidP="00F57165" w:rsidRDefault="007C2A16" w14:paraId="34EB1037" w14:textId="405529AE">
            <w:pPr>
              <w:tabs>
                <w:tab w:val="left" w:pos="90"/>
              </w:tabs>
              <w:spacing w:line="240" w:lineRule="auto"/>
              <w:ind w:firstLine="0"/>
              <w:rPr>
                <w:rFonts w:eastAsia="Calibri"/>
                <w:spacing w:val="6"/>
              </w:rPr>
            </w:pPr>
            <w:r>
              <w:rPr>
                <w:rFonts w:eastAsia="Calibri"/>
                <w:spacing w:val="6"/>
              </w:rPr>
              <w:t>1</w:t>
            </w:r>
          </w:p>
        </w:tc>
        <w:tc>
          <w:tcPr>
            <w:tcW w:w="1590" w:type="dxa"/>
          </w:tcPr>
          <w:p w:rsidR="007C2A16" w:rsidP="00F57165" w:rsidRDefault="009C3E7E" w14:paraId="38D9DF21" w14:textId="18ECDDF9">
            <w:pPr>
              <w:tabs>
                <w:tab w:val="left" w:pos="90"/>
              </w:tabs>
              <w:spacing w:line="240" w:lineRule="auto"/>
              <w:ind w:firstLine="0"/>
              <w:rPr>
                <w:rFonts w:eastAsia="Calibri"/>
                <w:spacing w:val="6"/>
              </w:rPr>
            </w:pPr>
            <w:r>
              <w:rPr>
                <w:rFonts w:eastAsia="Calibri"/>
                <w:spacing w:val="6"/>
              </w:rPr>
              <w:t>1</w:t>
            </w:r>
            <w:r w:rsidR="00772351">
              <w:rPr>
                <w:rFonts w:eastAsia="Calibri"/>
                <w:spacing w:val="6"/>
              </w:rPr>
              <w:t>7</w:t>
            </w:r>
          </w:p>
        </w:tc>
      </w:tr>
      <w:tr w:rsidR="007C2A16" w:rsidTr="00EC44A9" w14:paraId="39950D6B" w14:textId="77777777">
        <w:tc>
          <w:tcPr>
            <w:tcW w:w="2002" w:type="dxa"/>
            <w:tcBorders>
              <w:top w:val="single" w:color="auto" w:sz="4" w:space="0"/>
            </w:tcBorders>
          </w:tcPr>
          <w:p w:rsidR="007C2A16" w:rsidP="00F57165" w:rsidRDefault="007C2A16" w14:paraId="28168F12" w14:textId="77777777">
            <w:pPr>
              <w:tabs>
                <w:tab w:val="left" w:pos="90"/>
              </w:tabs>
              <w:spacing w:line="240" w:lineRule="auto"/>
              <w:ind w:firstLine="0"/>
              <w:rPr>
                <w:rFonts w:eastAsia="Calibri"/>
                <w:spacing w:val="6"/>
              </w:rPr>
            </w:pPr>
          </w:p>
        </w:tc>
        <w:tc>
          <w:tcPr>
            <w:tcW w:w="1446" w:type="dxa"/>
          </w:tcPr>
          <w:p w:rsidR="00BB379F" w:rsidP="00F57165" w:rsidRDefault="00BB379F" w14:paraId="63CCF53F" w14:textId="77777777">
            <w:pPr>
              <w:tabs>
                <w:tab w:val="left" w:pos="90"/>
              </w:tabs>
              <w:spacing w:line="240" w:lineRule="auto"/>
              <w:ind w:firstLine="0"/>
              <w:rPr>
                <w:rFonts w:eastAsia="Calibri"/>
                <w:spacing w:val="6"/>
              </w:rPr>
            </w:pPr>
          </w:p>
          <w:p w:rsidR="007C2A16" w:rsidP="00F57165" w:rsidRDefault="007C2A16" w14:paraId="047B6143" w14:textId="6A1286DE">
            <w:pPr>
              <w:tabs>
                <w:tab w:val="left" w:pos="90"/>
              </w:tabs>
              <w:spacing w:line="240" w:lineRule="auto"/>
              <w:ind w:firstLine="0"/>
              <w:rPr>
                <w:rFonts w:eastAsia="Calibri"/>
                <w:spacing w:val="6"/>
              </w:rPr>
            </w:pPr>
            <w:r>
              <w:rPr>
                <w:rFonts w:eastAsia="Calibri"/>
                <w:spacing w:val="6"/>
              </w:rPr>
              <w:t>TOTAL</w:t>
            </w:r>
          </w:p>
        </w:tc>
        <w:tc>
          <w:tcPr>
            <w:tcW w:w="1743" w:type="dxa"/>
          </w:tcPr>
          <w:p w:rsidR="007C2A16" w:rsidP="00F57165" w:rsidRDefault="007C2A16" w14:paraId="0C4EF1E7" w14:textId="77777777">
            <w:pPr>
              <w:tabs>
                <w:tab w:val="left" w:pos="90"/>
              </w:tabs>
              <w:spacing w:line="240" w:lineRule="auto"/>
              <w:ind w:firstLine="0"/>
              <w:rPr>
                <w:rFonts w:eastAsia="Calibri"/>
                <w:spacing w:val="6"/>
              </w:rPr>
            </w:pPr>
          </w:p>
        </w:tc>
        <w:tc>
          <w:tcPr>
            <w:tcW w:w="1396" w:type="dxa"/>
          </w:tcPr>
          <w:p w:rsidR="007C2A16" w:rsidP="00F57165" w:rsidRDefault="007C2A16" w14:paraId="4BA2E4FD" w14:textId="77777777">
            <w:pPr>
              <w:tabs>
                <w:tab w:val="left" w:pos="90"/>
              </w:tabs>
              <w:spacing w:line="240" w:lineRule="auto"/>
              <w:ind w:firstLine="0"/>
              <w:rPr>
                <w:rFonts w:eastAsia="Calibri"/>
                <w:spacing w:val="6"/>
              </w:rPr>
            </w:pPr>
          </w:p>
        </w:tc>
        <w:tc>
          <w:tcPr>
            <w:tcW w:w="1173" w:type="dxa"/>
          </w:tcPr>
          <w:p w:rsidR="007C2A16" w:rsidP="00F57165" w:rsidRDefault="007C2A16" w14:paraId="43378EFC" w14:textId="77777777">
            <w:pPr>
              <w:tabs>
                <w:tab w:val="left" w:pos="90"/>
              </w:tabs>
              <w:spacing w:line="240" w:lineRule="auto"/>
              <w:ind w:firstLine="0"/>
              <w:rPr>
                <w:rFonts w:eastAsia="Calibri"/>
                <w:spacing w:val="6"/>
              </w:rPr>
            </w:pPr>
          </w:p>
        </w:tc>
        <w:tc>
          <w:tcPr>
            <w:tcW w:w="1590" w:type="dxa"/>
          </w:tcPr>
          <w:p w:rsidR="00BB379F" w:rsidP="00F57165" w:rsidRDefault="00BB379F" w14:paraId="245A1879" w14:textId="77777777">
            <w:pPr>
              <w:tabs>
                <w:tab w:val="left" w:pos="90"/>
              </w:tabs>
              <w:spacing w:line="240" w:lineRule="auto"/>
              <w:ind w:firstLine="0"/>
              <w:rPr>
                <w:rFonts w:eastAsia="Calibri"/>
                <w:spacing w:val="6"/>
              </w:rPr>
            </w:pPr>
          </w:p>
          <w:p w:rsidR="007C2A16" w:rsidP="00F57165" w:rsidRDefault="00932881" w14:paraId="4575218E" w14:textId="785A5C15">
            <w:pPr>
              <w:tabs>
                <w:tab w:val="left" w:pos="90"/>
              </w:tabs>
              <w:spacing w:line="240" w:lineRule="auto"/>
              <w:ind w:firstLine="0"/>
              <w:rPr>
                <w:rFonts w:eastAsia="Calibri"/>
                <w:spacing w:val="6"/>
              </w:rPr>
            </w:pPr>
            <w:r>
              <w:rPr>
                <w:rFonts w:eastAsia="Calibri"/>
                <w:spacing w:val="6"/>
              </w:rPr>
              <w:t>57</w:t>
            </w:r>
            <w:r w:rsidR="00772351">
              <w:rPr>
                <w:rFonts w:eastAsia="Calibri"/>
                <w:spacing w:val="6"/>
              </w:rPr>
              <w:t>7</w:t>
            </w:r>
          </w:p>
        </w:tc>
      </w:tr>
      <w:bookmarkEnd w:id="48"/>
    </w:tbl>
    <w:p w:rsidR="007C2A16" w:rsidP="00F57165" w:rsidRDefault="007C2A16" w14:paraId="5D55C4AC" w14:textId="77777777">
      <w:pPr>
        <w:tabs>
          <w:tab w:val="left" w:pos="90"/>
        </w:tabs>
        <w:spacing w:line="240" w:lineRule="auto"/>
        <w:ind w:firstLine="0"/>
        <w:rPr>
          <w:rFonts w:eastAsia="Calibri"/>
          <w:spacing w:val="6"/>
        </w:rPr>
      </w:pPr>
    </w:p>
    <w:p w:rsidR="003110AB" w:rsidP="00F57165" w:rsidRDefault="003110AB" w14:paraId="258DC742" w14:textId="77777777">
      <w:pPr>
        <w:tabs>
          <w:tab w:val="left" w:pos="90"/>
        </w:tabs>
        <w:spacing w:line="240" w:lineRule="auto"/>
        <w:ind w:firstLine="0"/>
        <w:rPr>
          <w:rFonts w:eastAsia="Calibri"/>
          <w:spacing w:val="6"/>
        </w:rPr>
      </w:pPr>
    </w:p>
    <w:p w:rsidR="00950D4B" w:rsidRDefault="007F2F77" w14:paraId="6F0EDC50" w14:textId="6D08BCB6">
      <w:pPr>
        <w:spacing w:after="240" w:line="240" w:lineRule="auto"/>
        <w:ind w:firstLine="0"/>
      </w:pPr>
      <w:r>
        <w:rPr>
          <w:rFonts w:eastAsia="Calibri"/>
          <w:spacing w:val="6"/>
        </w:rPr>
        <w:t xml:space="preserve">The table </w:t>
      </w:r>
      <w:r w:rsidRPr="5BBFA51E" w:rsidR="65BF230F">
        <w:rPr>
          <w:rFonts w:eastAsia="Calibri"/>
          <w:spacing w:val="6"/>
        </w:rPr>
        <w:t xml:space="preserve">below, presents the estimated annualized cost burden associated with the respondents’ time to participate in this research. </w:t>
      </w:r>
      <w:r w:rsidRPr="5BBFA51E" w:rsidR="65BF230F">
        <w:rPr>
          <w:rFonts w:eastAsia="Calibri"/>
        </w:rPr>
        <w:t>The total cost burden i</w:t>
      </w:r>
      <w:r w:rsidRPr="5BBFA51E" w:rsidR="6540ADEC">
        <w:rPr>
          <w:rFonts w:eastAsia="Calibri"/>
        </w:rPr>
        <w:t>s estimated to be</w:t>
      </w:r>
      <w:r w:rsidR="00F95E35">
        <w:rPr>
          <w:rFonts w:eastAsia="Calibri"/>
        </w:rPr>
        <w:t xml:space="preserve"> $</w:t>
      </w:r>
      <w:r w:rsidR="00BF122F">
        <w:rPr>
          <w:rFonts w:eastAsia="Calibri"/>
        </w:rPr>
        <w:t>8</w:t>
      </w:r>
      <w:r w:rsidR="00AF253C">
        <w:rPr>
          <w:rFonts w:eastAsia="Calibri"/>
        </w:rPr>
        <w:t>4,306</w:t>
      </w:r>
      <w:r w:rsidR="00614494">
        <w:rPr>
          <w:rFonts w:eastAsia="Calibri"/>
        </w:rPr>
        <w:t>.</w:t>
      </w:r>
      <w:r w:rsidRPr="2CA32994" w:rsidR="3A3557CB">
        <w:rPr>
          <w:rFonts w:eastAsia="Calibri"/>
        </w:rPr>
        <w:t xml:space="preserve"> </w:t>
      </w:r>
      <w:r w:rsidRPr="00160C23" w:rsidR="00BF122F">
        <w:t>There are no direct costs to respondents other than their time to participate in the study.</w:t>
      </w:r>
      <w:bookmarkStart w:name="_Hlk65780917" w:id="49"/>
    </w:p>
    <w:p w:rsidRPr="00F872F2" w:rsidR="007F2F77" w:rsidP="00F872F2" w:rsidRDefault="00AD1B47" w14:paraId="7810BB44" w14:textId="1CA06006">
      <w:pPr>
        <w:spacing w:after="160" w:line="259" w:lineRule="auto"/>
        <w:ind w:firstLine="0"/>
        <w:rPr>
          <w:b/>
        </w:rPr>
      </w:pPr>
      <w:r>
        <w:rPr>
          <w:b/>
        </w:rPr>
        <w:t>Exhibit 6.</w:t>
      </w:r>
      <w:r w:rsidRPr="000155E9" w:rsidR="007F2F77">
        <w:rPr>
          <w:b/>
        </w:rPr>
        <w:t xml:space="preserve"> Estimated Annualized Burden Hours</w:t>
      </w:r>
    </w:p>
    <w:tbl>
      <w:tblPr>
        <w:tblStyle w:val="TableGrid"/>
        <w:tblW w:w="0" w:type="auto"/>
        <w:tblLayout w:type="fixed"/>
        <w:tblLook w:val="04A0" w:firstRow="1" w:lastRow="0" w:firstColumn="1" w:lastColumn="0" w:noHBand="0" w:noVBand="1"/>
      </w:tblPr>
      <w:tblGrid>
        <w:gridCol w:w="1435"/>
        <w:gridCol w:w="1890"/>
        <w:gridCol w:w="990"/>
        <w:gridCol w:w="1440"/>
        <w:gridCol w:w="1260"/>
        <w:gridCol w:w="1075"/>
      </w:tblGrid>
      <w:tr w:rsidR="006F7F6A" w:rsidTr="003C3702" w14:paraId="472BA615" w14:textId="77777777">
        <w:tc>
          <w:tcPr>
            <w:tcW w:w="1435" w:type="dxa"/>
            <w:shd w:val="clear" w:color="auto" w:fill="31849B" w:themeFill="accent5" w:themeFillShade="BF"/>
          </w:tcPr>
          <w:p w:rsidR="006F7F6A" w:rsidP="000167E1" w:rsidRDefault="006F7F6A" w14:paraId="6C0C0DE6" w14:textId="39F92279">
            <w:pPr>
              <w:tabs>
                <w:tab w:val="left" w:pos="0"/>
                <w:tab w:val="left" w:pos="180"/>
              </w:tabs>
              <w:spacing w:after="160" w:line="259" w:lineRule="auto"/>
              <w:ind w:firstLine="0"/>
              <w:rPr>
                <w:rFonts w:eastAsia="Calibri"/>
                <w:color w:val="000000"/>
                <w:szCs w:val="24"/>
              </w:rPr>
            </w:pPr>
            <w:r>
              <w:rPr>
                <w:rFonts w:eastAsia="Calibri"/>
                <w:color w:val="000000"/>
                <w:szCs w:val="24"/>
              </w:rPr>
              <w:t>Type of Respondent</w:t>
            </w:r>
          </w:p>
        </w:tc>
        <w:tc>
          <w:tcPr>
            <w:tcW w:w="1890" w:type="dxa"/>
            <w:shd w:val="clear" w:color="auto" w:fill="31849B" w:themeFill="accent5" w:themeFillShade="BF"/>
          </w:tcPr>
          <w:p w:rsidR="006F7F6A" w:rsidP="000167E1" w:rsidRDefault="006F7F6A" w14:paraId="257E1BB4" w14:textId="79752B55">
            <w:pPr>
              <w:tabs>
                <w:tab w:val="left" w:pos="0"/>
                <w:tab w:val="left" w:pos="180"/>
              </w:tabs>
              <w:spacing w:after="160" w:line="259" w:lineRule="auto"/>
              <w:ind w:firstLine="0"/>
              <w:rPr>
                <w:rFonts w:eastAsia="Calibri"/>
                <w:color w:val="000000"/>
                <w:szCs w:val="24"/>
              </w:rPr>
            </w:pPr>
            <w:r>
              <w:rPr>
                <w:rFonts w:eastAsia="Calibri"/>
                <w:color w:val="000000"/>
                <w:szCs w:val="24"/>
              </w:rPr>
              <w:t>Form Name</w:t>
            </w:r>
          </w:p>
        </w:tc>
        <w:tc>
          <w:tcPr>
            <w:tcW w:w="990" w:type="dxa"/>
            <w:shd w:val="clear" w:color="auto" w:fill="31849B" w:themeFill="accent5" w:themeFillShade="BF"/>
          </w:tcPr>
          <w:p w:rsidRPr="005C46B0" w:rsidR="006F7F6A" w:rsidP="000167E1" w:rsidRDefault="006F7F6A" w14:paraId="71F998A3" w14:textId="6D8703ED">
            <w:pPr>
              <w:tabs>
                <w:tab w:val="left" w:pos="0"/>
                <w:tab w:val="left" w:pos="180"/>
              </w:tabs>
              <w:spacing w:after="160" w:line="259" w:lineRule="auto"/>
              <w:ind w:firstLine="0"/>
              <w:rPr>
                <w:rFonts w:eastAsia="Calibri"/>
                <w:color w:val="000000"/>
                <w:sz w:val="22"/>
                <w:szCs w:val="22"/>
              </w:rPr>
            </w:pPr>
            <w:r w:rsidRPr="005C46B0">
              <w:rPr>
                <w:rFonts w:eastAsia="Calibri"/>
                <w:color w:val="000000"/>
                <w:sz w:val="22"/>
                <w:szCs w:val="22"/>
              </w:rPr>
              <w:t>Number of Respondents</w:t>
            </w:r>
          </w:p>
        </w:tc>
        <w:tc>
          <w:tcPr>
            <w:tcW w:w="1440" w:type="dxa"/>
            <w:shd w:val="clear" w:color="auto" w:fill="31849B" w:themeFill="accent5" w:themeFillShade="BF"/>
          </w:tcPr>
          <w:p w:rsidR="006F7F6A" w:rsidP="003C3702" w:rsidRDefault="006F7F6A" w14:paraId="2393A7B5" w14:textId="33CF1B58">
            <w:pPr>
              <w:ind w:firstLine="0"/>
              <w:rPr>
                <w:sz w:val="22"/>
              </w:rPr>
            </w:pPr>
            <w:r>
              <w:rPr>
                <w:sz w:val="22"/>
              </w:rPr>
              <w:t>Total</w:t>
            </w:r>
            <w:r w:rsidR="003C3702">
              <w:rPr>
                <w:sz w:val="22"/>
              </w:rPr>
              <w:t xml:space="preserve"> </w:t>
            </w:r>
            <w:r>
              <w:rPr>
                <w:sz w:val="22"/>
              </w:rPr>
              <w:t>Burden</w:t>
            </w:r>
          </w:p>
          <w:p w:rsidR="006F7F6A" w:rsidP="003C3702" w:rsidRDefault="006F7F6A" w14:paraId="2D6A8A58" w14:textId="5913518E">
            <w:pPr>
              <w:tabs>
                <w:tab w:val="left" w:pos="0"/>
                <w:tab w:val="left" w:pos="180"/>
              </w:tabs>
              <w:spacing w:after="160" w:line="259" w:lineRule="auto"/>
              <w:ind w:firstLine="0"/>
              <w:rPr>
                <w:rFonts w:eastAsia="Calibri"/>
                <w:color w:val="000000"/>
                <w:szCs w:val="24"/>
              </w:rPr>
            </w:pPr>
            <w:r>
              <w:rPr>
                <w:sz w:val="22"/>
              </w:rPr>
              <w:t>(in hours)</w:t>
            </w:r>
          </w:p>
        </w:tc>
        <w:tc>
          <w:tcPr>
            <w:tcW w:w="1260" w:type="dxa"/>
            <w:shd w:val="clear" w:color="auto" w:fill="31849B" w:themeFill="accent5" w:themeFillShade="BF"/>
          </w:tcPr>
          <w:p w:rsidR="006F7F6A" w:rsidP="000167E1" w:rsidRDefault="006F7F6A" w14:paraId="6B4A248A" w14:textId="1F8F3642">
            <w:pPr>
              <w:tabs>
                <w:tab w:val="left" w:pos="0"/>
                <w:tab w:val="left" w:pos="180"/>
              </w:tabs>
              <w:spacing w:after="160" w:line="259" w:lineRule="auto"/>
              <w:ind w:firstLine="0"/>
              <w:rPr>
                <w:rFonts w:eastAsia="Calibri"/>
                <w:color w:val="000000"/>
                <w:szCs w:val="24"/>
              </w:rPr>
            </w:pPr>
            <w:r>
              <w:rPr>
                <w:sz w:val="22"/>
              </w:rPr>
              <w:t xml:space="preserve">Hourly Wage Rate (in </w:t>
            </w:r>
            <w:r w:rsidR="003C3702">
              <w:rPr>
                <w:sz w:val="22"/>
              </w:rPr>
              <w:t>USD</w:t>
            </w:r>
            <w:r>
              <w:rPr>
                <w:sz w:val="22"/>
              </w:rPr>
              <w:t>)</w:t>
            </w:r>
          </w:p>
        </w:tc>
        <w:tc>
          <w:tcPr>
            <w:tcW w:w="1075" w:type="dxa"/>
            <w:shd w:val="clear" w:color="auto" w:fill="31849B" w:themeFill="accent5" w:themeFillShade="BF"/>
          </w:tcPr>
          <w:p w:rsidR="006F7F6A" w:rsidP="000167E1" w:rsidRDefault="006F7F6A" w14:paraId="1668A26B" w14:textId="133A394B">
            <w:pPr>
              <w:tabs>
                <w:tab w:val="left" w:pos="0"/>
                <w:tab w:val="left" w:pos="180"/>
              </w:tabs>
              <w:spacing w:after="160" w:line="259" w:lineRule="auto"/>
              <w:ind w:firstLine="0"/>
              <w:rPr>
                <w:rFonts w:eastAsia="Calibri"/>
                <w:color w:val="000000"/>
                <w:szCs w:val="24"/>
              </w:rPr>
            </w:pPr>
            <w:r>
              <w:rPr>
                <w:rFonts w:eastAsia="Calibri"/>
                <w:color w:val="000000"/>
                <w:szCs w:val="24"/>
              </w:rPr>
              <w:t>Total Cost</w:t>
            </w:r>
          </w:p>
        </w:tc>
      </w:tr>
      <w:tr w:rsidR="00721AFF" w:rsidTr="003C3702" w14:paraId="47DB2ED9" w14:textId="77777777">
        <w:tc>
          <w:tcPr>
            <w:tcW w:w="1435" w:type="dxa"/>
            <w:vMerge w:val="restart"/>
          </w:tcPr>
          <w:p w:rsidR="00721AFF" w:rsidP="000167E1" w:rsidRDefault="00721AFF" w14:paraId="4D7859C2" w14:textId="77777777">
            <w:pPr>
              <w:tabs>
                <w:tab w:val="left" w:pos="0"/>
                <w:tab w:val="left" w:pos="180"/>
              </w:tabs>
              <w:spacing w:after="160" w:line="259" w:lineRule="auto"/>
              <w:ind w:firstLine="0"/>
              <w:rPr>
                <w:rFonts w:eastAsia="Calibri"/>
                <w:color w:val="000000"/>
                <w:szCs w:val="24"/>
              </w:rPr>
            </w:pPr>
            <w:r>
              <w:rPr>
                <w:rFonts w:eastAsia="Calibri"/>
                <w:color w:val="000000"/>
                <w:szCs w:val="24"/>
              </w:rPr>
              <w:t>Patients</w:t>
            </w:r>
          </w:p>
          <w:p w:rsidR="00721AFF" w:rsidP="000167E1" w:rsidRDefault="00721AFF" w14:paraId="708F4AD8" w14:textId="7C70CA2E">
            <w:pPr>
              <w:tabs>
                <w:tab w:val="left" w:pos="0"/>
                <w:tab w:val="left" w:pos="180"/>
              </w:tabs>
              <w:spacing w:after="160" w:line="259" w:lineRule="auto"/>
              <w:rPr>
                <w:rFonts w:eastAsia="Calibri"/>
                <w:color w:val="000000"/>
                <w:szCs w:val="24"/>
              </w:rPr>
            </w:pPr>
          </w:p>
        </w:tc>
        <w:tc>
          <w:tcPr>
            <w:tcW w:w="1890" w:type="dxa"/>
          </w:tcPr>
          <w:p w:rsidR="00721AFF" w:rsidP="000167E1" w:rsidRDefault="00721AFF" w14:paraId="44372ACB" w14:textId="2EE3765D">
            <w:pPr>
              <w:tabs>
                <w:tab w:val="left" w:pos="0"/>
                <w:tab w:val="left" w:pos="180"/>
              </w:tabs>
              <w:spacing w:after="160" w:line="259" w:lineRule="auto"/>
              <w:ind w:firstLine="0"/>
              <w:rPr>
                <w:rFonts w:eastAsia="Calibri"/>
                <w:color w:val="000000"/>
                <w:szCs w:val="24"/>
              </w:rPr>
            </w:pPr>
            <w:r>
              <w:rPr>
                <w:rFonts w:eastAsia="Calibri"/>
                <w:color w:val="000000"/>
                <w:szCs w:val="24"/>
              </w:rPr>
              <w:t>Patient Survey (Att. B)</w:t>
            </w:r>
          </w:p>
        </w:tc>
        <w:tc>
          <w:tcPr>
            <w:tcW w:w="990" w:type="dxa"/>
          </w:tcPr>
          <w:p w:rsidR="00721AFF" w:rsidP="000167E1" w:rsidRDefault="00721AFF" w14:paraId="13717DFF" w14:textId="696CA5FE">
            <w:pPr>
              <w:tabs>
                <w:tab w:val="left" w:pos="0"/>
                <w:tab w:val="left" w:pos="180"/>
              </w:tabs>
              <w:spacing w:after="160" w:line="259" w:lineRule="auto"/>
              <w:ind w:firstLine="0"/>
              <w:rPr>
                <w:rFonts w:eastAsia="Calibri"/>
                <w:color w:val="000000"/>
                <w:szCs w:val="24"/>
              </w:rPr>
            </w:pPr>
            <w:r>
              <w:rPr>
                <w:rFonts w:eastAsia="Calibri"/>
                <w:color w:val="000000"/>
                <w:szCs w:val="24"/>
              </w:rPr>
              <w:t>667</w:t>
            </w:r>
          </w:p>
        </w:tc>
        <w:tc>
          <w:tcPr>
            <w:tcW w:w="1440" w:type="dxa"/>
          </w:tcPr>
          <w:p w:rsidR="00721AFF" w:rsidP="000167E1" w:rsidRDefault="00721AFF" w14:paraId="5EC6CDA4" w14:textId="1FA940C5">
            <w:pPr>
              <w:tabs>
                <w:tab w:val="left" w:pos="0"/>
                <w:tab w:val="left" w:pos="180"/>
              </w:tabs>
              <w:spacing w:after="160" w:line="259" w:lineRule="auto"/>
              <w:ind w:firstLine="0"/>
              <w:rPr>
                <w:rFonts w:eastAsia="Calibri"/>
                <w:color w:val="000000"/>
                <w:szCs w:val="24"/>
              </w:rPr>
            </w:pPr>
            <w:r>
              <w:rPr>
                <w:rFonts w:eastAsia="Calibri"/>
                <w:color w:val="000000"/>
                <w:szCs w:val="24"/>
              </w:rPr>
              <w:t>111</w:t>
            </w:r>
          </w:p>
        </w:tc>
        <w:tc>
          <w:tcPr>
            <w:tcW w:w="1260" w:type="dxa"/>
          </w:tcPr>
          <w:p w:rsidR="00721AFF" w:rsidP="000167E1" w:rsidRDefault="00721AFF" w14:paraId="0BCBF794" w14:textId="55157BCC">
            <w:pPr>
              <w:tabs>
                <w:tab w:val="left" w:pos="0"/>
                <w:tab w:val="left" w:pos="180"/>
              </w:tabs>
              <w:spacing w:after="160" w:line="259" w:lineRule="auto"/>
              <w:ind w:firstLine="0"/>
              <w:rPr>
                <w:rFonts w:eastAsia="Calibri"/>
                <w:color w:val="000000"/>
                <w:szCs w:val="24"/>
              </w:rPr>
            </w:pPr>
            <w:r>
              <w:rPr>
                <w:rFonts w:eastAsia="Calibri"/>
                <w:color w:val="000000"/>
                <w:szCs w:val="24"/>
              </w:rPr>
              <w:t>$40.12</w:t>
            </w:r>
          </w:p>
        </w:tc>
        <w:tc>
          <w:tcPr>
            <w:tcW w:w="1075" w:type="dxa"/>
          </w:tcPr>
          <w:p w:rsidR="00721AFF" w:rsidP="5BBFA51E" w:rsidRDefault="00721AFF" w14:paraId="2AE5AAEE" w14:textId="3AE92BD9">
            <w:pPr>
              <w:tabs>
                <w:tab w:val="left" w:pos="180"/>
              </w:tabs>
              <w:spacing w:after="160" w:line="259" w:lineRule="auto"/>
              <w:ind w:firstLine="0"/>
              <w:rPr>
                <w:rFonts w:eastAsia="Calibri"/>
                <w:color w:val="000000"/>
              </w:rPr>
            </w:pPr>
            <w:r w:rsidRPr="775A952C">
              <w:rPr>
                <w:rFonts w:eastAsia="Calibri"/>
                <w:color w:val="000000" w:themeColor="text1"/>
              </w:rPr>
              <w:t>$</w:t>
            </w:r>
            <w:r>
              <w:rPr>
                <w:rFonts w:eastAsia="Calibri"/>
                <w:color w:val="000000" w:themeColor="text1"/>
              </w:rPr>
              <w:t>4,453</w:t>
            </w:r>
          </w:p>
        </w:tc>
      </w:tr>
      <w:tr w:rsidR="00721AFF" w:rsidTr="003C3702" w14:paraId="24AFD2DD" w14:textId="77777777">
        <w:tc>
          <w:tcPr>
            <w:tcW w:w="1435" w:type="dxa"/>
            <w:vMerge/>
          </w:tcPr>
          <w:p w:rsidR="00721AFF" w:rsidP="000167E1" w:rsidRDefault="00721AFF" w14:paraId="3FB5DB93" w14:textId="25B5E0A8">
            <w:pPr>
              <w:tabs>
                <w:tab w:val="left" w:pos="0"/>
                <w:tab w:val="left" w:pos="180"/>
              </w:tabs>
              <w:spacing w:after="160" w:line="259" w:lineRule="auto"/>
              <w:ind w:firstLine="0"/>
              <w:rPr>
                <w:rFonts w:eastAsia="Calibri"/>
                <w:color w:val="000000"/>
                <w:szCs w:val="24"/>
              </w:rPr>
            </w:pPr>
          </w:p>
        </w:tc>
        <w:tc>
          <w:tcPr>
            <w:tcW w:w="1890" w:type="dxa"/>
          </w:tcPr>
          <w:p w:rsidR="00721AFF" w:rsidP="000167E1" w:rsidRDefault="00721AFF" w14:paraId="3EB57A95" w14:textId="67F486C4">
            <w:pPr>
              <w:tabs>
                <w:tab w:val="left" w:pos="0"/>
                <w:tab w:val="left" w:pos="180"/>
              </w:tabs>
              <w:spacing w:after="160" w:line="259" w:lineRule="auto"/>
              <w:ind w:firstLine="0"/>
              <w:rPr>
                <w:rFonts w:eastAsia="Calibri"/>
                <w:color w:val="000000"/>
                <w:szCs w:val="24"/>
              </w:rPr>
            </w:pPr>
            <w:r>
              <w:rPr>
                <w:rFonts w:eastAsia="Calibri"/>
                <w:spacing w:val="6"/>
              </w:rPr>
              <w:t>Invitation/ Follow up Email (Att. I)</w:t>
            </w:r>
          </w:p>
        </w:tc>
        <w:tc>
          <w:tcPr>
            <w:tcW w:w="990" w:type="dxa"/>
          </w:tcPr>
          <w:p w:rsidR="00721AFF" w:rsidP="000167E1" w:rsidRDefault="00721AFF" w14:paraId="532C7A59" w14:textId="730DF4DD">
            <w:pPr>
              <w:tabs>
                <w:tab w:val="left" w:pos="0"/>
                <w:tab w:val="left" w:pos="180"/>
              </w:tabs>
              <w:spacing w:after="160" w:line="259" w:lineRule="auto"/>
              <w:ind w:firstLine="0"/>
              <w:rPr>
                <w:rFonts w:eastAsia="Calibri"/>
                <w:color w:val="000000"/>
                <w:szCs w:val="24"/>
              </w:rPr>
            </w:pPr>
            <w:r>
              <w:rPr>
                <w:rFonts w:eastAsia="Calibri"/>
                <w:color w:val="000000"/>
                <w:szCs w:val="24"/>
              </w:rPr>
              <w:t>667</w:t>
            </w:r>
          </w:p>
        </w:tc>
        <w:tc>
          <w:tcPr>
            <w:tcW w:w="1440" w:type="dxa"/>
          </w:tcPr>
          <w:p w:rsidR="00721AFF" w:rsidP="000167E1" w:rsidRDefault="00721AFF" w14:paraId="01A618CC" w14:textId="0943B8DE">
            <w:pPr>
              <w:tabs>
                <w:tab w:val="left" w:pos="0"/>
                <w:tab w:val="left" w:pos="180"/>
              </w:tabs>
              <w:spacing w:after="160" w:line="259" w:lineRule="auto"/>
              <w:ind w:firstLine="0"/>
              <w:rPr>
                <w:rFonts w:eastAsia="Calibri"/>
                <w:color w:val="000000"/>
                <w:szCs w:val="24"/>
              </w:rPr>
            </w:pPr>
            <w:r>
              <w:rPr>
                <w:rFonts w:eastAsia="Calibri"/>
                <w:color w:val="000000"/>
                <w:szCs w:val="24"/>
              </w:rPr>
              <w:t>67</w:t>
            </w:r>
          </w:p>
        </w:tc>
        <w:tc>
          <w:tcPr>
            <w:tcW w:w="1260" w:type="dxa"/>
          </w:tcPr>
          <w:p w:rsidR="00721AFF" w:rsidP="000167E1" w:rsidRDefault="00721AFF" w14:paraId="5C11FC63" w14:textId="4ABDE427">
            <w:pPr>
              <w:tabs>
                <w:tab w:val="left" w:pos="0"/>
                <w:tab w:val="left" w:pos="180"/>
              </w:tabs>
              <w:spacing w:after="160" w:line="259" w:lineRule="auto"/>
              <w:ind w:firstLine="0"/>
              <w:rPr>
                <w:rFonts w:eastAsia="Calibri"/>
                <w:color w:val="000000"/>
                <w:szCs w:val="24"/>
              </w:rPr>
            </w:pPr>
            <w:r>
              <w:rPr>
                <w:rFonts w:eastAsia="Calibri"/>
                <w:color w:val="000000"/>
                <w:szCs w:val="24"/>
              </w:rPr>
              <w:t>$40.12</w:t>
            </w:r>
          </w:p>
        </w:tc>
        <w:tc>
          <w:tcPr>
            <w:tcW w:w="1075" w:type="dxa"/>
          </w:tcPr>
          <w:p w:rsidR="00721AFF" w:rsidP="000167E1" w:rsidRDefault="00721AFF" w14:paraId="390C373C" w14:textId="298F56CA">
            <w:pPr>
              <w:tabs>
                <w:tab w:val="left" w:pos="0"/>
                <w:tab w:val="left" w:pos="180"/>
              </w:tabs>
              <w:spacing w:after="160" w:line="259" w:lineRule="auto"/>
              <w:ind w:firstLine="0"/>
              <w:rPr>
                <w:rFonts w:eastAsia="Calibri"/>
                <w:color w:val="000000"/>
                <w:szCs w:val="24"/>
              </w:rPr>
            </w:pPr>
            <w:r>
              <w:rPr>
                <w:rFonts w:eastAsia="Calibri"/>
                <w:color w:val="000000"/>
                <w:szCs w:val="24"/>
              </w:rPr>
              <w:t>$2,6</w:t>
            </w:r>
            <w:r w:rsidR="002759CD">
              <w:rPr>
                <w:rFonts w:eastAsia="Calibri"/>
                <w:color w:val="000000"/>
                <w:szCs w:val="24"/>
              </w:rPr>
              <w:t>88</w:t>
            </w:r>
          </w:p>
        </w:tc>
      </w:tr>
      <w:tr w:rsidR="006F7F6A" w:rsidTr="003C3702" w14:paraId="7EF7BAEE" w14:textId="77777777">
        <w:tc>
          <w:tcPr>
            <w:tcW w:w="1435" w:type="dxa"/>
          </w:tcPr>
          <w:p w:rsidR="006F7F6A" w:rsidP="000167E1" w:rsidRDefault="006F7F6A" w14:paraId="1B197655" w14:textId="165FA830">
            <w:pPr>
              <w:tabs>
                <w:tab w:val="left" w:pos="0"/>
                <w:tab w:val="left" w:pos="180"/>
              </w:tabs>
              <w:spacing w:after="160" w:line="259" w:lineRule="auto"/>
              <w:ind w:firstLine="0"/>
              <w:rPr>
                <w:rFonts w:eastAsia="Calibri"/>
                <w:color w:val="000000"/>
                <w:szCs w:val="24"/>
              </w:rPr>
            </w:pPr>
            <w:r>
              <w:rPr>
                <w:rFonts w:eastAsia="Calibri"/>
                <w:color w:val="000000"/>
                <w:szCs w:val="24"/>
              </w:rPr>
              <w:t>Primary Care Clinicians</w:t>
            </w:r>
          </w:p>
        </w:tc>
        <w:tc>
          <w:tcPr>
            <w:tcW w:w="1890" w:type="dxa"/>
          </w:tcPr>
          <w:p w:rsidR="006F7F6A" w:rsidP="000167E1" w:rsidRDefault="006F7F6A" w14:paraId="3ADD5BD8" w14:textId="2AA52907">
            <w:pPr>
              <w:tabs>
                <w:tab w:val="left" w:pos="0"/>
                <w:tab w:val="left" w:pos="180"/>
              </w:tabs>
              <w:spacing w:after="160" w:line="259" w:lineRule="auto"/>
              <w:ind w:firstLine="0"/>
              <w:rPr>
                <w:rFonts w:eastAsia="Calibri"/>
                <w:color w:val="000000"/>
                <w:szCs w:val="24"/>
              </w:rPr>
            </w:pPr>
            <w:r>
              <w:rPr>
                <w:rFonts w:eastAsia="Calibri"/>
                <w:spacing w:val="6"/>
              </w:rPr>
              <w:t>Invitation/ Follow up Email (Att. I)</w:t>
            </w:r>
          </w:p>
        </w:tc>
        <w:tc>
          <w:tcPr>
            <w:tcW w:w="990" w:type="dxa"/>
          </w:tcPr>
          <w:p w:rsidR="006F7F6A" w:rsidP="000167E1" w:rsidRDefault="006F7F6A" w14:paraId="59193373" w14:textId="34DACF41">
            <w:pPr>
              <w:tabs>
                <w:tab w:val="left" w:pos="0"/>
                <w:tab w:val="left" w:pos="180"/>
              </w:tabs>
              <w:spacing w:after="160" w:line="259" w:lineRule="auto"/>
              <w:ind w:firstLine="0"/>
              <w:rPr>
                <w:rFonts w:eastAsia="Calibri"/>
                <w:color w:val="000000"/>
                <w:szCs w:val="24"/>
              </w:rPr>
            </w:pPr>
            <w:r>
              <w:rPr>
                <w:rFonts w:eastAsia="Calibri"/>
                <w:color w:val="000000"/>
                <w:szCs w:val="24"/>
              </w:rPr>
              <w:t>1,313</w:t>
            </w:r>
          </w:p>
        </w:tc>
        <w:tc>
          <w:tcPr>
            <w:tcW w:w="1440" w:type="dxa"/>
          </w:tcPr>
          <w:p w:rsidR="006F7F6A" w:rsidP="000167E1" w:rsidRDefault="00C76DCE" w14:paraId="0C603FE1" w14:textId="6FE329DC">
            <w:pPr>
              <w:tabs>
                <w:tab w:val="left" w:pos="0"/>
                <w:tab w:val="left" w:pos="180"/>
              </w:tabs>
              <w:spacing w:after="160" w:line="259" w:lineRule="auto"/>
              <w:ind w:firstLine="0"/>
              <w:rPr>
                <w:rFonts w:eastAsia="Calibri"/>
                <w:color w:val="000000"/>
                <w:szCs w:val="24"/>
              </w:rPr>
            </w:pPr>
            <w:r>
              <w:rPr>
                <w:rFonts w:eastAsia="Calibri"/>
                <w:color w:val="000000"/>
                <w:szCs w:val="24"/>
              </w:rPr>
              <w:t>131</w:t>
            </w:r>
          </w:p>
        </w:tc>
        <w:tc>
          <w:tcPr>
            <w:tcW w:w="1260" w:type="dxa"/>
          </w:tcPr>
          <w:p w:rsidR="006F7F6A" w:rsidP="000167E1" w:rsidRDefault="006F7F6A" w14:paraId="637F5268" w14:textId="4B741328">
            <w:pPr>
              <w:tabs>
                <w:tab w:val="left" w:pos="0"/>
                <w:tab w:val="left" w:pos="180"/>
              </w:tabs>
              <w:spacing w:after="160" w:line="259" w:lineRule="auto"/>
              <w:ind w:firstLine="0"/>
              <w:rPr>
                <w:rFonts w:eastAsia="Calibri"/>
                <w:color w:val="000000"/>
                <w:szCs w:val="24"/>
              </w:rPr>
            </w:pPr>
            <w:r>
              <w:rPr>
                <w:rFonts w:eastAsia="Calibri"/>
                <w:color w:val="000000"/>
                <w:szCs w:val="24"/>
              </w:rPr>
              <w:t>$205.06</w:t>
            </w:r>
          </w:p>
        </w:tc>
        <w:tc>
          <w:tcPr>
            <w:tcW w:w="1075" w:type="dxa"/>
          </w:tcPr>
          <w:p w:rsidR="006F7F6A" w:rsidP="000167E1" w:rsidRDefault="00C76DCE" w14:paraId="26895E69" w14:textId="6259120D">
            <w:pPr>
              <w:tabs>
                <w:tab w:val="left" w:pos="0"/>
                <w:tab w:val="left" w:pos="180"/>
              </w:tabs>
              <w:spacing w:after="160" w:line="259" w:lineRule="auto"/>
              <w:ind w:firstLine="0"/>
              <w:rPr>
                <w:rFonts w:eastAsia="Calibri"/>
                <w:color w:val="000000"/>
                <w:szCs w:val="24"/>
              </w:rPr>
            </w:pPr>
            <w:r>
              <w:rPr>
                <w:rFonts w:eastAsia="Calibri"/>
                <w:color w:val="000000"/>
                <w:szCs w:val="24"/>
              </w:rPr>
              <w:t>$26,</w:t>
            </w:r>
            <w:r w:rsidR="002759CD">
              <w:rPr>
                <w:rFonts w:eastAsia="Calibri"/>
                <w:color w:val="000000"/>
                <w:szCs w:val="24"/>
              </w:rPr>
              <w:t>863</w:t>
            </w:r>
          </w:p>
        </w:tc>
      </w:tr>
      <w:tr w:rsidR="006F7F6A" w:rsidTr="003C3702" w14:paraId="1C72FC22" w14:textId="77777777">
        <w:tc>
          <w:tcPr>
            <w:tcW w:w="1435" w:type="dxa"/>
          </w:tcPr>
          <w:p w:rsidR="006F7F6A" w:rsidP="000167E1" w:rsidRDefault="006F7F6A" w14:paraId="3EA11220" w14:textId="3C58B252">
            <w:pPr>
              <w:tabs>
                <w:tab w:val="left" w:pos="0"/>
                <w:tab w:val="left" w:pos="180"/>
              </w:tabs>
              <w:spacing w:after="160" w:line="259" w:lineRule="auto"/>
              <w:ind w:firstLine="0"/>
              <w:rPr>
                <w:rFonts w:eastAsia="Calibri"/>
                <w:color w:val="000000"/>
                <w:szCs w:val="24"/>
              </w:rPr>
            </w:pPr>
            <w:r>
              <w:rPr>
                <w:rFonts w:eastAsia="Calibri"/>
                <w:color w:val="000000"/>
                <w:szCs w:val="24"/>
              </w:rPr>
              <w:lastRenderedPageBreak/>
              <w:t>Primary Care Clinicians</w:t>
            </w:r>
          </w:p>
        </w:tc>
        <w:tc>
          <w:tcPr>
            <w:tcW w:w="1890" w:type="dxa"/>
          </w:tcPr>
          <w:p w:rsidR="006F7F6A" w:rsidP="000167E1" w:rsidRDefault="006F7F6A" w14:paraId="4441208E" w14:textId="5860BC3F">
            <w:pPr>
              <w:tabs>
                <w:tab w:val="left" w:pos="0"/>
                <w:tab w:val="left" w:pos="180"/>
              </w:tabs>
              <w:spacing w:after="160" w:line="259" w:lineRule="auto"/>
              <w:ind w:firstLine="0"/>
              <w:rPr>
                <w:rFonts w:eastAsia="Calibri"/>
                <w:color w:val="000000"/>
                <w:szCs w:val="24"/>
              </w:rPr>
            </w:pPr>
            <w:r>
              <w:rPr>
                <w:rFonts w:eastAsia="Calibri"/>
                <w:color w:val="000000"/>
                <w:szCs w:val="24"/>
              </w:rPr>
              <w:t>Primary Care Clinician Survey (Att. A)</w:t>
            </w:r>
          </w:p>
        </w:tc>
        <w:tc>
          <w:tcPr>
            <w:tcW w:w="990" w:type="dxa"/>
          </w:tcPr>
          <w:p w:rsidR="006F7F6A" w:rsidP="000167E1" w:rsidRDefault="006F7F6A" w14:paraId="118AB3A4" w14:textId="62F94C23">
            <w:pPr>
              <w:tabs>
                <w:tab w:val="left" w:pos="0"/>
                <w:tab w:val="left" w:pos="180"/>
              </w:tabs>
              <w:spacing w:after="160" w:line="259" w:lineRule="auto"/>
              <w:ind w:firstLine="0"/>
              <w:rPr>
                <w:rFonts w:eastAsia="Calibri"/>
                <w:color w:val="000000"/>
                <w:szCs w:val="24"/>
              </w:rPr>
            </w:pPr>
            <w:r>
              <w:rPr>
                <w:rFonts w:eastAsia="Calibri"/>
                <w:color w:val="000000"/>
                <w:szCs w:val="24"/>
              </w:rPr>
              <w:t>1,313</w:t>
            </w:r>
          </w:p>
        </w:tc>
        <w:tc>
          <w:tcPr>
            <w:tcW w:w="1440" w:type="dxa"/>
          </w:tcPr>
          <w:p w:rsidR="006F7F6A" w:rsidP="000167E1" w:rsidRDefault="00C76DCE" w14:paraId="3B4AC893" w14:textId="1C4A56EE">
            <w:pPr>
              <w:tabs>
                <w:tab w:val="left" w:pos="0"/>
                <w:tab w:val="left" w:pos="180"/>
              </w:tabs>
              <w:spacing w:after="160" w:line="259" w:lineRule="auto"/>
              <w:ind w:firstLine="0"/>
              <w:rPr>
                <w:rFonts w:eastAsia="Calibri"/>
                <w:color w:val="000000"/>
                <w:szCs w:val="24"/>
              </w:rPr>
            </w:pPr>
            <w:r>
              <w:rPr>
                <w:rFonts w:eastAsia="Calibri"/>
                <w:color w:val="000000"/>
                <w:szCs w:val="24"/>
              </w:rPr>
              <w:t>219</w:t>
            </w:r>
          </w:p>
        </w:tc>
        <w:tc>
          <w:tcPr>
            <w:tcW w:w="1260" w:type="dxa"/>
          </w:tcPr>
          <w:p w:rsidR="006F7F6A" w:rsidP="000167E1" w:rsidRDefault="006F7F6A" w14:paraId="3EFD856C" w14:textId="450155C1">
            <w:pPr>
              <w:tabs>
                <w:tab w:val="left" w:pos="0"/>
                <w:tab w:val="left" w:pos="180"/>
              </w:tabs>
              <w:spacing w:after="160" w:line="259" w:lineRule="auto"/>
              <w:ind w:firstLine="0"/>
              <w:rPr>
                <w:rFonts w:eastAsia="Calibri"/>
                <w:color w:val="000000"/>
                <w:szCs w:val="24"/>
              </w:rPr>
            </w:pPr>
            <w:r>
              <w:rPr>
                <w:rFonts w:eastAsia="Calibri"/>
                <w:color w:val="000000"/>
                <w:szCs w:val="24"/>
              </w:rPr>
              <w:t>$205.06</w:t>
            </w:r>
          </w:p>
        </w:tc>
        <w:tc>
          <w:tcPr>
            <w:tcW w:w="1075" w:type="dxa"/>
          </w:tcPr>
          <w:p w:rsidR="006F7F6A" w:rsidP="000167E1" w:rsidRDefault="00680853" w14:paraId="1EF447CB" w14:textId="6F63B261">
            <w:pPr>
              <w:tabs>
                <w:tab w:val="left" w:pos="0"/>
                <w:tab w:val="left" w:pos="180"/>
              </w:tabs>
              <w:spacing w:after="160" w:line="259" w:lineRule="auto"/>
              <w:ind w:firstLine="0"/>
              <w:rPr>
                <w:rFonts w:eastAsia="Calibri"/>
                <w:color w:val="000000"/>
                <w:szCs w:val="24"/>
              </w:rPr>
            </w:pPr>
            <w:r>
              <w:rPr>
                <w:rFonts w:eastAsia="Calibri"/>
                <w:color w:val="000000"/>
                <w:szCs w:val="24"/>
              </w:rPr>
              <w:t>$</w:t>
            </w:r>
            <w:r w:rsidR="00C76DCE">
              <w:rPr>
                <w:rFonts w:eastAsia="Calibri"/>
                <w:color w:val="000000"/>
                <w:szCs w:val="24"/>
              </w:rPr>
              <w:t>44,908</w:t>
            </w:r>
          </w:p>
        </w:tc>
      </w:tr>
      <w:tr w:rsidR="006F7F6A" w:rsidTr="003C3702" w14:paraId="551CC2BC" w14:textId="77777777">
        <w:tc>
          <w:tcPr>
            <w:tcW w:w="1435" w:type="dxa"/>
          </w:tcPr>
          <w:p w:rsidR="006F7F6A" w:rsidP="000167E1" w:rsidRDefault="006F7F6A" w14:paraId="023F5F79" w14:textId="776312C0">
            <w:pPr>
              <w:tabs>
                <w:tab w:val="left" w:pos="0"/>
                <w:tab w:val="left" w:pos="180"/>
              </w:tabs>
              <w:spacing w:after="160" w:line="259" w:lineRule="auto"/>
              <w:ind w:firstLine="0"/>
              <w:rPr>
                <w:rFonts w:eastAsia="Calibri"/>
                <w:color w:val="000000"/>
                <w:szCs w:val="24"/>
              </w:rPr>
            </w:pPr>
            <w:r>
              <w:rPr>
                <w:rFonts w:eastAsia="Calibri"/>
                <w:color w:val="000000"/>
                <w:szCs w:val="24"/>
              </w:rPr>
              <w:t>Health Systems Leaders</w:t>
            </w:r>
          </w:p>
        </w:tc>
        <w:tc>
          <w:tcPr>
            <w:tcW w:w="1890" w:type="dxa"/>
          </w:tcPr>
          <w:p w:rsidR="006F7F6A" w:rsidP="000167E1" w:rsidRDefault="006F7F6A" w14:paraId="543E647F" w14:textId="3185E578">
            <w:pPr>
              <w:tabs>
                <w:tab w:val="left" w:pos="0"/>
                <w:tab w:val="left" w:pos="180"/>
              </w:tabs>
              <w:spacing w:after="160" w:line="259" w:lineRule="auto"/>
              <w:ind w:firstLine="0"/>
              <w:rPr>
                <w:rFonts w:eastAsia="Calibri"/>
                <w:color w:val="000000"/>
                <w:szCs w:val="24"/>
              </w:rPr>
            </w:pPr>
            <w:r>
              <w:rPr>
                <w:rFonts w:eastAsia="Calibri"/>
                <w:color w:val="000000"/>
                <w:szCs w:val="24"/>
              </w:rPr>
              <w:t>Health System Leaders Interview (Att. C)</w:t>
            </w:r>
          </w:p>
        </w:tc>
        <w:tc>
          <w:tcPr>
            <w:tcW w:w="990" w:type="dxa"/>
          </w:tcPr>
          <w:p w:rsidR="006F7F6A" w:rsidP="000167E1" w:rsidRDefault="006F7F6A" w14:paraId="78A2372C" w14:textId="2EB1837F">
            <w:pPr>
              <w:tabs>
                <w:tab w:val="left" w:pos="0"/>
                <w:tab w:val="left" w:pos="180"/>
              </w:tabs>
              <w:spacing w:after="160" w:line="259" w:lineRule="auto"/>
              <w:ind w:firstLine="0"/>
              <w:rPr>
                <w:rFonts w:eastAsia="Calibri"/>
                <w:color w:val="000000"/>
                <w:szCs w:val="24"/>
              </w:rPr>
            </w:pPr>
            <w:r>
              <w:rPr>
                <w:rFonts w:eastAsia="Calibri"/>
                <w:color w:val="000000"/>
                <w:szCs w:val="24"/>
              </w:rPr>
              <w:t>17</w:t>
            </w:r>
          </w:p>
        </w:tc>
        <w:tc>
          <w:tcPr>
            <w:tcW w:w="1440" w:type="dxa"/>
          </w:tcPr>
          <w:p w:rsidR="006F7F6A" w:rsidP="2CA32994" w:rsidRDefault="00C76DCE" w14:paraId="5E6996C9" w14:textId="0A2B23F3">
            <w:pPr>
              <w:tabs>
                <w:tab w:val="left" w:pos="180"/>
              </w:tabs>
              <w:spacing w:after="160" w:line="259" w:lineRule="auto"/>
              <w:ind w:firstLine="0"/>
              <w:rPr>
                <w:rFonts w:eastAsia="Calibri"/>
                <w:color w:val="000000"/>
              </w:rPr>
            </w:pPr>
            <w:r>
              <w:rPr>
                <w:rFonts w:eastAsia="Calibri"/>
                <w:color w:val="000000" w:themeColor="text1"/>
              </w:rPr>
              <w:t>17</w:t>
            </w:r>
          </w:p>
        </w:tc>
        <w:tc>
          <w:tcPr>
            <w:tcW w:w="1260" w:type="dxa"/>
          </w:tcPr>
          <w:p w:rsidR="006F7F6A" w:rsidP="000167E1" w:rsidRDefault="006F7F6A" w14:paraId="13CA7909" w14:textId="65ACB4FF">
            <w:pPr>
              <w:tabs>
                <w:tab w:val="left" w:pos="0"/>
                <w:tab w:val="left" w:pos="180"/>
              </w:tabs>
              <w:spacing w:after="160" w:line="259" w:lineRule="auto"/>
              <w:ind w:firstLine="0"/>
              <w:rPr>
                <w:rFonts w:eastAsia="Calibri"/>
                <w:color w:val="000000"/>
                <w:szCs w:val="24"/>
              </w:rPr>
            </w:pPr>
            <w:r>
              <w:rPr>
                <w:rFonts w:eastAsia="Calibri"/>
                <w:color w:val="000000"/>
                <w:szCs w:val="24"/>
              </w:rPr>
              <w:t>$110.74</w:t>
            </w:r>
          </w:p>
        </w:tc>
        <w:tc>
          <w:tcPr>
            <w:tcW w:w="1075" w:type="dxa"/>
          </w:tcPr>
          <w:p w:rsidR="006F7F6A" w:rsidP="000167E1" w:rsidRDefault="006F7F6A" w14:paraId="59921AD8" w14:textId="6760F55B">
            <w:pPr>
              <w:tabs>
                <w:tab w:val="left" w:pos="0"/>
                <w:tab w:val="left" w:pos="180"/>
              </w:tabs>
              <w:spacing w:after="160" w:line="259" w:lineRule="auto"/>
              <w:ind w:firstLine="0"/>
              <w:rPr>
                <w:rFonts w:eastAsia="Calibri"/>
                <w:color w:val="000000"/>
                <w:szCs w:val="24"/>
              </w:rPr>
            </w:pPr>
            <w:r>
              <w:rPr>
                <w:rFonts w:eastAsia="Calibri"/>
                <w:color w:val="000000"/>
                <w:szCs w:val="24"/>
              </w:rPr>
              <w:t>$</w:t>
            </w:r>
            <w:r w:rsidR="00C76DCE">
              <w:rPr>
                <w:rFonts w:eastAsia="Calibri"/>
                <w:color w:val="000000"/>
                <w:szCs w:val="24"/>
              </w:rPr>
              <w:t>1,883</w:t>
            </w:r>
          </w:p>
        </w:tc>
      </w:tr>
      <w:tr w:rsidR="006F7F6A" w:rsidTr="003C3702" w14:paraId="71882A59" w14:textId="77777777">
        <w:tc>
          <w:tcPr>
            <w:tcW w:w="1435" w:type="dxa"/>
          </w:tcPr>
          <w:p w:rsidR="006F7F6A" w:rsidP="000167E1" w:rsidRDefault="006F7F6A" w14:paraId="4B678036" w14:textId="6E067024">
            <w:pPr>
              <w:tabs>
                <w:tab w:val="left" w:pos="0"/>
                <w:tab w:val="left" w:pos="180"/>
              </w:tabs>
              <w:spacing w:after="160" w:line="259" w:lineRule="auto"/>
              <w:ind w:firstLine="0"/>
              <w:rPr>
                <w:rFonts w:eastAsia="Calibri"/>
                <w:color w:val="000000"/>
                <w:szCs w:val="24"/>
              </w:rPr>
            </w:pPr>
            <w:bookmarkStart w:name="_Hlk79610392" w:id="50"/>
            <w:r>
              <w:rPr>
                <w:rFonts w:eastAsia="Calibri"/>
                <w:color w:val="000000"/>
                <w:szCs w:val="24"/>
              </w:rPr>
              <w:t>Primary Care Clinicians, Healthcare staff, &amp; Patients</w:t>
            </w:r>
          </w:p>
        </w:tc>
        <w:tc>
          <w:tcPr>
            <w:tcW w:w="1890" w:type="dxa"/>
          </w:tcPr>
          <w:p w:rsidR="006F7F6A" w:rsidP="000167E1" w:rsidRDefault="006F7F6A" w14:paraId="5CAE7042" w14:textId="0B654F72">
            <w:pPr>
              <w:tabs>
                <w:tab w:val="left" w:pos="0"/>
                <w:tab w:val="left" w:pos="180"/>
              </w:tabs>
              <w:spacing w:after="160" w:line="259" w:lineRule="auto"/>
              <w:ind w:firstLine="0"/>
              <w:rPr>
                <w:rFonts w:eastAsia="Calibri"/>
                <w:color w:val="000000"/>
                <w:szCs w:val="24"/>
              </w:rPr>
            </w:pPr>
            <w:r>
              <w:rPr>
                <w:rFonts w:eastAsia="Calibri"/>
                <w:color w:val="000000"/>
                <w:szCs w:val="24"/>
              </w:rPr>
              <w:t>Case Study Interview Guide (Att. D)</w:t>
            </w:r>
          </w:p>
        </w:tc>
        <w:tc>
          <w:tcPr>
            <w:tcW w:w="990" w:type="dxa"/>
          </w:tcPr>
          <w:p w:rsidR="006F7F6A" w:rsidP="000167E1" w:rsidRDefault="006F7F6A" w14:paraId="2B15693F" w14:textId="05224F30">
            <w:pPr>
              <w:tabs>
                <w:tab w:val="left" w:pos="0"/>
                <w:tab w:val="left" w:pos="180"/>
              </w:tabs>
              <w:spacing w:after="160" w:line="259" w:lineRule="auto"/>
              <w:ind w:firstLine="0"/>
              <w:rPr>
                <w:rFonts w:eastAsia="Calibri"/>
                <w:color w:val="000000"/>
                <w:szCs w:val="24"/>
              </w:rPr>
            </w:pPr>
            <w:r>
              <w:rPr>
                <w:rFonts w:eastAsia="Calibri"/>
                <w:color w:val="000000"/>
                <w:szCs w:val="24"/>
              </w:rPr>
              <w:t>30</w:t>
            </w:r>
          </w:p>
        </w:tc>
        <w:tc>
          <w:tcPr>
            <w:tcW w:w="1440" w:type="dxa"/>
          </w:tcPr>
          <w:p w:rsidR="006F7F6A" w:rsidP="000167E1" w:rsidRDefault="00C76DCE" w14:paraId="38E2D7A4" w14:textId="3AD7F47D">
            <w:pPr>
              <w:tabs>
                <w:tab w:val="left" w:pos="0"/>
                <w:tab w:val="left" w:pos="180"/>
              </w:tabs>
              <w:spacing w:after="160" w:line="259" w:lineRule="auto"/>
              <w:ind w:firstLine="0"/>
              <w:rPr>
                <w:rFonts w:eastAsia="Calibri"/>
                <w:color w:val="000000"/>
                <w:szCs w:val="24"/>
              </w:rPr>
            </w:pPr>
            <w:r>
              <w:rPr>
                <w:rFonts w:eastAsia="Calibri"/>
                <w:color w:val="000000"/>
                <w:szCs w:val="24"/>
              </w:rPr>
              <w:t>15</w:t>
            </w:r>
          </w:p>
        </w:tc>
        <w:tc>
          <w:tcPr>
            <w:tcW w:w="1260" w:type="dxa"/>
          </w:tcPr>
          <w:p w:rsidR="006F7F6A" w:rsidP="000167E1" w:rsidRDefault="006F7F6A" w14:paraId="71778C50" w14:textId="1F7C9974">
            <w:pPr>
              <w:tabs>
                <w:tab w:val="left" w:pos="0"/>
                <w:tab w:val="left" w:pos="180"/>
              </w:tabs>
              <w:spacing w:after="160" w:line="259" w:lineRule="auto"/>
              <w:ind w:firstLine="0"/>
              <w:rPr>
                <w:rFonts w:eastAsia="Calibri"/>
                <w:color w:val="000000"/>
                <w:szCs w:val="24"/>
              </w:rPr>
            </w:pPr>
            <w:r>
              <w:rPr>
                <w:rFonts w:eastAsia="Calibri"/>
                <w:color w:val="000000"/>
                <w:szCs w:val="24"/>
              </w:rPr>
              <w:t>$108.53</w:t>
            </w:r>
          </w:p>
        </w:tc>
        <w:tc>
          <w:tcPr>
            <w:tcW w:w="1075" w:type="dxa"/>
          </w:tcPr>
          <w:p w:rsidR="006F7F6A" w:rsidP="000167E1" w:rsidRDefault="006F7F6A" w14:paraId="124EBBD2" w14:textId="0C45EE85">
            <w:pPr>
              <w:tabs>
                <w:tab w:val="left" w:pos="0"/>
                <w:tab w:val="left" w:pos="180"/>
              </w:tabs>
              <w:spacing w:after="160" w:line="259" w:lineRule="auto"/>
              <w:ind w:firstLine="0"/>
              <w:rPr>
                <w:rFonts w:eastAsia="Calibri"/>
                <w:color w:val="000000"/>
                <w:szCs w:val="24"/>
              </w:rPr>
            </w:pPr>
            <w:r>
              <w:rPr>
                <w:rFonts w:eastAsia="Calibri"/>
                <w:color w:val="000000"/>
                <w:szCs w:val="24"/>
              </w:rPr>
              <w:t>$</w:t>
            </w:r>
            <w:r w:rsidR="00C76DCE">
              <w:rPr>
                <w:rFonts w:eastAsia="Calibri"/>
                <w:color w:val="000000"/>
                <w:szCs w:val="24"/>
              </w:rPr>
              <w:t>1,628</w:t>
            </w:r>
          </w:p>
        </w:tc>
      </w:tr>
      <w:tr w:rsidR="006F7F6A" w:rsidTr="003C3702" w14:paraId="77013018" w14:textId="77777777">
        <w:tc>
          <w:tcPr>
            <w:tcW w:w="1435" w:type="dxa"/>
          </w:tcPr>
          <w:p w:rsidR="006F7F6A" w:rsidP="000167E1" w:rsidRDefault="006F7F6A" w14:paraId="0FCD87FA" w14:textId="3F9177D6">
            <w:pPr>
              <w:tabs>
                <w:tab w:val="left" w:pos="0"/>
                <w:tab w:val="left" w:pos="180"/>
              </w:tabs>
              <w:spacing w:after="160" w:line="259" w:lineRule="auto"/>
              <w:ind w:firstLine="0"/>
              <w:rPr>
                <w:rFonts w:eastAsia="Calibri"/>
                <w:color w:val="000000"/>
                <w:szCs w:val="24"/>
              </w:rPr>
            </w:pPr>
            <w:r>
              <w:rPr>
                <w:rFonts w:eastAsia="Calibri"/>
                <w:color w:val="000000"/>
                <w:szCs w:val="24"/>
              </w:rPr>
              <w:t>Health System Administrators &amp; Clinicians</w:t>
            </w:r>
          </w:p>
        </w:tc>
        <w:tc>
          <w:tcPr>
            <w:tcW w:w="1890" w:type="dxa"/>
          </w:tcPr>
          <w:p w:rsidR="006F7F6A" w:rsidP="000167E1" w:rsidRDefault="006F7F6A" w14:paraId="5AE64E2C" w14:textId="25455544">
            <w:pPr>
              <w:tabs>
                <w:tab w:val="left" w:pos="0"/>
                <w:tab w:val="left" w:pos="180"/>
              </w:tabs>
              <w:spacing w:after="160" w:line="259" w:lineRule="auto"/>
              <w:ind w:firstLine="0"/>
              <w:rPr>
                <w:rFonts w:eastAsia="Calibri"/>
                <w:color w:val="000000"/>
                <w:szCs w:val="24"/>
              </w:rPr>
            </w:pPr>
            <w:r>
              <w:rPr>
                <w:rFonts w:eastAsia="Calibri"/>
                <w:color w:val="000000"/>
                <w:szCs w:val="24"/>
              </w:rPr>
              <w:t>Member Checking Session Interview Guide (Att. E)</w:t>
            </w:r>
          </w:p>
        </w:tc>
        <w:tc>
          <w:tcPr>
            <w:tcW w:w="990" w:type="dxa"/>
          </w:tcPr>
          <w:p w:rsidR="006F7F6A" w:rsidP="000167E1" w:rsidRDefault="006F7F6A" w14:paraId="5051CB58" w14:textId="7D4BEC5B">
            <w:pPr>
              <w:tabs>
                <w:tab w:val="left" w:pos="0"/>
                <w:tab w:val="left" w:pos="180"/>
              </w:tabs>
              <w:spacing w:after="160" w:line="259" w:lineRule="auto"/>
              <w:ind w:firstLine="0"/>
              <w:rPr>
                <w:rFonts w:eastAsia="Calibri"/>
                <w:color w:val="000000"/>
                <w:szCs w:val="24"/>
              </w:rPr>
            </w:pPr>
            <w:r>
              <w:rPr>
                <w:rFonts w:eastAsia="Calibri"/>
                <w:color w:val="000000"/>
                <w:szCs w:val="24"/>
              </w:rPr>
              <w:t>1</w:t>
            </w:r>
            <w:r w:rsidR="00772351">
              <w:rPr>
                <w:rFonts w:eastAsia="Calibri"/>
                <w:color w:val="000000"/>
                <w:szCs w:val="24"/>
              </w:rPr>
              <w:t>7</w:t>
            </w:r>
          </w:p>
        </w:tc>
        <w:tc>
          <w:tcPr>
            <w:tcW w:w="1440" w:type="dxa"/>
          </w:tcPr>
          <w:p w:rsidR="006F7F6A" w:rsidP="000167E1" w:rsidRDefault="00C76DCE" w14:paraId="3AEBA967" w14:textId="614E93E4">
            <w:pPr>
              <w:tabs>
                <w:tab w:val="left" w:pos="0"/>
                <w:tab w:val="left" w:pos="180"/>
              </w:tabs>
              <w:spacing w:after="160" w:line="259" w:lineRule="auto"/>
              <w:ind w:firstLine="0"/>
              <w:rPr>
                <w:rFonts w:eastAsia="Calibri"/>
                <w:color w:val="000000"/>
                <w:szCs w:val="24"/>
              </w:rPr>
            </w:pPr>
            <w:r>
              <w:rPr>
                <w:rFonts w:eastAsia="Calibri"/>
                <w:color w:val="000000"/>
                <w:szCs w:val="24"/>
              </w:rPr>
              <w:t>1</w:t>
            </w:r>
            <w:r w:rsidR="00772351">
              <w:rPr>
                <w:rFonts w:eastAsia="Calibri"/>
                <w:color w:val="000000"/>
                <w:szCs w:val="24"/>
              </w:rPr>
              <w:t>7</w:t>
            </w:r>
          </w:p>
        </w:tc>
        <w:tc>
          <w:tcPr>
            <w:tcW w:w="1260" w:type="dxa"/>
          </w:tcPr>
          <w:p w:rsidR="006F7F6A" w:rsidP="000167E1" w:rsidRDefault="006F7F6A" w14:paraId="7DCEB43F" w14:textId="094983EE">
            <w:pPr>
              <w:tabs>
                <w:tab w:val="left" w:pos="0"/>
                <w:tab w:val="left" w:pos="180"/>
              </w:tabs>
              <w:spacing w:after="160" w:line="259" w:lineRule="auto"/>
              <w:ind w:firstLine="0"/>
              <w:rPr>
                <w:rFonts w:eastAsia="Calibri"/>
                <w:color w:val="000000"/>
                <w:szCs w:val="24"/>
              </w:rPr>
            </w:pPr>
            <w:r>
              <w:rPr>
                <w:rFonts w:eastAsia="Calibri"/>
                <w:color w:val="000000"/>
                <w:szCs w:val="24"/>
              </w:rPr>
              <w:t>$110.74</w:t>
            </w:r>
          </w:p>
        </w:tc>
        <w:tc>
          <w:tcPr>
            <w:tcW w:w="1075" w:type="dxa"/>
          </w:tcPr>
          <w:p w:rsidR="006F7F6A" w:rsidP="000167E1" w:rsidRDefault="006F7F6A" w14:paraId="7DE5E14D" w14:textId="02A9518C">
            <w:pPr>
              <w:tabs>
                <w:tab w:val="left" w:pos="0"/>
                <w:tab w:val="left" w:pos="180"/>
              </w:tabs>
              <w:spacing w:after="160" w:line="259" w:lineRule="auto"/>
              <w:ind w:firstLine="0"/>
              <w:rPr>
                <w:rFonts w:eastAsia="Calibri"/>
                <w:color w:val="000000"/>
                <w:szCs w:val="24"/>
              </w:rPr>
            </w:pPr>
            <w:r>
              <w:rPr>
                <w:rFonts w:eastAsia="Calibri"/>
                <w:color w:val="000000"/>
                <w:szCs w:val="24"/>
              </w:rPr>
              <w:t>$</w:t>
            </w:r>
            <w:r w:rsidR="00C76DCE">
              <w:rPr>
                <w:rFonts w:eastAsia="Calibri"/>
                <w:color w:val="000000"/>
                <w:szCs w:val="24"/>
              </w:rPr>
              <w:t>1,</w:t>
            </w:r>
            <w:r w:rsidR="00772351">
              <w:rPr>
                <w:rFonts w:eastAsia="Calibri"/>
                <w:color w:val="000000"/>
                <w:szCs w:val="24"/>
              </w:rPr>
              <w:t>883</w:t>
            </w:r>
          </w:p>
        </w:tc>
      </w:tr>
      <w:bookmarkEnd w:id="50"/>
      <w:tr w:rsidR="006F7F6A" w:rsidTr="003C3702" w14:paraId="1B686DE0" w14:textId="77777777">
        <w:tc>
          <w:tcPr>
            <w:tcW w:w="1435" w:type="dxa"/>
          </w:tcPr>
          <w:p w:rsidR="006F7F6A" w:rsidP="000167E1" w:rsidRDefault="006F7F6A" w14:paraId="40AA5DF1" w14:textId="77777777">
            <w:pPr>
              <w:tabs>
                <w:tab w:val="left" w:pos="0"/>
                <w:tab w:val="left" w:pos="180"/>
              </w:tabs>
              <w:spacing w:after="160" w:line="259" w:lineRule="auto"/>
              <w:ind w:firstLine="0"/>
              <w:rPr>
                <w:rFonts w:eastAsia="Calibri"/>
                <w:color w:val="000000"/>
                <w:szCs w:val="24"/>
              </w:rPr>
            </w:pPr>
          </w:p>
        </w:tc>
        <w:tc>
          <w:tcPr>
            <w:tcW w:w="1890" w:type="dxa"/>
          </w:tcPr>
          <w:p w:rsidR="006F7F6A" w:rsidP="000167E1" w:rsidRDefault="006F7F6A" w14:paraId="62E2CFAD" w14:textId="77777777">
            <w:pPr>
              <w:tabs>
                <w:tab w:val="left" w:pos="0"/>
                <w:tab w:val="left" w:pos="180"/>
              </w:tabs>
              <w:spacing w:after="160" w:line="259" w:lineRule="auto"/>
              <w:ind w:firstLine="0"/>
              <w:rPr>
                <w:rFonts w:eastAsia="Calibri"/>
                <w:color w:val="000000"/>
                <w:szCs w:val="24"/>
              </w:rPr>
            </w:pPr>
          </w:p>
        </w:tc>
        <w:tc>
          <w:tcPr>
            <w:tcW w:w="990" w:type="dxa"/>
          </w:tcPr>
          <w:p w:rsidR="006F7F6A" w:rsidP="000167E1" w:rsidRDefault="006F7F6A" w14:paraId="32460A9F" w14:textId="77777777">
            <w:pPr>
              <w:tabs>
                <w:tab w:val="left" w:pos="0"/>
                <w:tab w:val="left" w:pos="180"/>
              </w:tabs>
              <w:spacing w:after="160" w:line="259" w:lineRule="auto"/>
              <w:ind w:firstLine="0"/>
              <w:rPr>
                <w:rFonts w:eastAsia="Calibri"/>
                <w:color w:val="000000"/>
                <w:szCs w:val="24"/>
              </w:rPr>
            </w:pPr>
          </w:p>
        </w:tc>
        <w:tc>
          <w:tcPr>
            <w:tcW w:w="1440" w:type="dxa"/>
          </w:tcPr>
          <w:p w:rsidR="006F7F6A" w:rsidP="000167E1" w:rsidRDefault="006F7F6A" w14:paraId="0C96035B" w14:textId="77777777">
            <w:pPr>
              <w:tabs>
                <w:tab w:val="left" w:pos="0"/>
                <w:tab w:val="left" w:pos="180"/>
              </w:tabs>
              <w:spacing w:after="160" w:line="259" w:lineRule="auto"/>
              <w:ind w:firstLine="0"/>
              <w:rPr>
                <w:rFonts w:eastAsia="Calibri"/>
                <w:color w:val="000000"/>
                <w:szCs w:val="24"/>
              </w:rPr>
            </w:pPr>
          </w:p>
        </w:tc>
        <w:tc>
          <w:tcPr>
            <w:tcW w:w="1260" w:type="dxa"/>
          </w:tcPr>
          <w:p w:rsidR="006F7F6A" w:rsidP="000167E1" w:rsidRDefault="006F7F6A" w14:paraId="720B69DC" w14:textId="77777777">
            <w:pPr>
              <w:tabs>
                <w:tab w:val="left" w:pos="0"/>
                <w:tab w:val="left" w:pos="180"/>
              </w:tabs>
              <w:spacing w:after="160" w:line="259" w:lineRule="auto"/>
              <w:ind w:firstLine="0"/>
              <w:rPr>
                <w:rFonts w:eastAsia="Calibri"/>
                <w:color w:val="000000"/>
                <w:szCs w:val="24"/>
              </w:rPr>
            </w:pPr>
          </w:p>
        </w:tc>
        <w:tc>
          <w:tcPr>
            <w:tcW w:w="1075" w:type="dxa"/>
          </w:tcPr>
          <w:p w:rsidR="006F7F6A" w:rsidP="5BBFA51E" w:rsidRDefault="006F7F6A" w14:paraId="3AE918C7" w14:textId="4B4FC047">
            <w:pPr>
              <w:tabs>
                <w:tab w:val="left" w:pos="180"/>
              </w:tabs>
              <w:spacing w:after="160" w:line="259" w:lineRule="auto"/>
              <w:ind w:firstLine="0"/>
              <w:rPr>
                <w:rFonts w:eastAsia="Calibri"/>
                <w:color w:val="000000"/>
              </w:rPr>
            </w:pPr>
            <w:r w:rsidRPr="775A952C">
              <w:rPr>
                <w:rFonts w:eastAsia="Calibri"/>
                <w:color w:val="000000" w:themeColor="text1"/>
              </w:rPr>
              <w:t xml:space="preserve">Total: </w:t>
            </w:r>
            <w:r>
              <w:rPr>
                <w:rFonts w:eastAsia="Calibri"/>
                <w:color w:val="000000" w:themeColor="text1"/>
              </w:rPr>
              <w:t xml:space="preserve"> $</w:t>
            </w:r>
            <w:r w:rsidR="00AF253C">
              <w:rPr>
                <w:rFonts w:eastAsia="Calibri"/>
                <w:color w:val="000000" w:themeColor="text1"/>
              </w:rPr>
              <w:t>84,306</w:t>
            </w:r>
          </w:p>
        </w:tc>
      </w:tr>
    </w:tbl>
    <w:p w:rsidR="001D2FBA" w:rsidP="00EA538D" w:rsidRDefault="001D2FBA" w14:paraId="5ECA5379" w14:textId="77777777">
      <w:pPr>
        <w:tabs>
          <w:tab w:val="left" w:pos="0"/>
        </w:tabs>
        <w:spacing w:line="240" w:lineRule="auto"/>
        <w:ind w:firstLine="0"/>
        <w:rPr>
          <w:rFonts w:eastAsia="Calibri"/>
          <w:color w:val="000000"/>
          <w:szCs w:val="24"/>
        </w:rPr>
      </w:pPr>
    </w:p>
    <w:p w:rsidR="00EA538D" w:rsidP="003C4396" w:rsidRDefault="00EA538D" w14:paraId="3560BA7C" w14:textId="681F632E">
      <w:pPr>
        <w:tabs>
          <w:tab w:val="left" w:pos="0"/>
        </w:tabs>
        <w:spacing w:line="240" w:lineRule="auto"/>
        <w:ind w:firstLine="0"/>
        <w:rPr>
          <w:rFonts w:eastAsia="Calibri"/>
          <w:color w:val="0000FF"/>
          <w:u w:val="single"/>
        </w:rPr>
      </w:pPr>
      <w:r w:rsidRPr="004D77B0">
        <w:rPr>
          <w:rFonts w:eastAsia="Calibri"/>
        </w:rPr>
        <w:t>Mean hourly wage rates for these groups of occupations were obtained from the Bureau of Labor &amp; Statistics on “Occupational Employment and Wages, May 201</w:t>
      </w:r>
      <w:r>
        <w:rPr>
          <w:rFonts w:eastAsia="Calibri"/>
        </w:rPr>
        <w:t>9</w:t>
      </w:r>
      <w:r w:rsidRPr="004D77B0">
        <w:rPr>
          <w:rFonts w:eastAsia="Calibri"/>
        </w:rPr>
        <w:t xml:space="preserve">” found at the following URL: </w:t>
      </w:r>
      <w:hyperlink w:history="1" w:anchor="b29-0000.htm" r:id="rId19">
        <w:r w:rsidRPr="004D77B0">
          <w:rPr>
            <w:rFonts w:eastAsia="Calibri"/>
            <w:color w:val="0000FF"/>
            <w:u w:val="single"/>
          </w:rPr>
          <w:t>http://www.bls.gov/oes/current/oes_nat.htm#b29-0000.htm</w:t>
        </w:r>
      </w:hyperlink>
    </w:p>
    <w:p w:rsidR="00C96AF6" w:rsidP="003C4396" w:rsidRDefault="00C96AF6" w14:paraId="172CDA61" w14:textId="77777777">
      <w:pPr>
        <w:tabs>
          <w:tab w:val="left" w:pos="0"/>
        </w:tabs>
        <w:spacing w:line="240" w:lineRule="auto"/>
        <w:ind w:firstLine="0"/>
        <w:rPr>
          <w:rFonts w:eastAsia="Calibri"/>
          <w:color w:val="0000FF"/>
          <w:u w:val="single"/>
        </w:rPr>
      </w:pPr>
    </w:p>
    <w:p w:rsidR="00220A81" w:rsidP="00C96AF6" w:rsidRDefault="00220A81" w14:paraId="3607ECC5" w14:textId="6F6801A2">
      <w:pPr>
        <w:tabs>
          <w:tab w:val="left" w:pos="0"/>
        </w:tabs>
        <w:spacing w:line="240" w:lineRule="auto"/>
        <w:ind w:firstLine="0"/>
        <w:rPr>
          <w:rFonts w:eastAsia="Calibri"/>
        </w:rPr>
      </w:pPr>
      <w:r w:rsidRPr="00220A81">
        <w:rPr>
          <w:rFonts w:eastAsia="Calibri"/>
        </w:rPr>
        <w:t>The average hourly rate of $</w:t>
      </w:r>
      <w:r>
        <w:rPr>
          <w:rFonts w:eastAsia="Calibri"/>
        </w:rPr>
        <w:t>205.06 f</w:t>
      </w:r>
      <w:r w:rsidRPr="00220A81">
        <w:rPr>
          <w:rFonts w:eastAsia="Calibri"/>
        </w:rPr>
        <w:t xml:space="preserve">or the </w:t>
      </w:r>
      <w:r w:rsidR="00B57B78">
        <w:rPr>
          <w:szCs w:val="24"/>
        </w:rPr>
        <w:t>p</w:t>
      </w:r>
      <w:r w:rsidR="009501B9">
        <w:rPr>
          <w:szCs w:val="24"/>
        </w:rPr>
        <w:t xml:space="preserve">rimary </w:t>
      </w:r>
      <w:r w:rsidR="00B57B78">
        <w:rPr>
          <w:szCs w:val="24"/>
        </w:rPr>
        <w:t>c</w:t>
      </w:r>
      <w:r w:rsidR="009501B9">
        <w:rPr>
          <w:szCs w:val="24"/>
        </w:rPr>
        <w:t xml:space="preserve">are </w:t>
      </w:r>
      <w:r w:rsidR="00B57B78">
        <w:rPr>
          <w:szCs w:val="24"/>
        </w:rPr>
        <w:t>c</w:t>
      </w:r>
      <w:r w:rsidR="009501B9">
        <w:rPr>
          <w:szCs w:val="24"/>
        </w:rPr>
        <w:t>linician</w:t>
      </w:r>
      <w:r w:rsidRPr="00220A81">
        <w:rPr>
          <w:rFonts w:eastAsia="Calibri"/>
        </w:rPr>
        <w:t xml:space="preserve"> survey was calculated based on the 201</w:t>
      </w:r>
      <w:r>
        <w:rPr>
          <w:rFonts w:eastAsia="Calibri"/>
        </w:rPr>
        <w:t>9</w:t>
      </w:r>
      <w:r w:rsidRPr="00220A81">
        <w:rPr>
          <w:rFonts w:eastAsia="Calibri"/>
        </w:rPr>
        <w:t xml:space="preserve"> mean hourly wage rate for </w:t>
      </w:r>
      <w:r>
        <w:rPr>
          <w:rFonts w:eastAsia="Calibri"/>
        </w:rPr>
        <w:t>family medicine physician, $102.53</w:t>
      </w:r>
      <w:r w:rsidRPr="00220A81">
        <w:rPr>
          <w:rFonts w:eastAsia="Calibri"/>
        </w:rPr>
        <w:t xml:space="preserve"> (occupation code 29-1</w:t>
      </w:r>
      <w:r>
        <w:rPr>
          <w:rFonts w:eastAsia="Calibri"/>
        </w:rPr>
        <w:t>215</w:t>
      </w:r>
      <w:r w:rsidRPr="00220A81">
        <w:rPr>
          <w:rFonts w:eastAsia="Calibri"/>
        </w:rPr>
        <w:t>), doubled to account for employer overhead and fringe b</w:t>
      </w:r>
      <w:r>
        <w:rPr>
          <w:rFonts w:eastAsia="Calibri"/>
        </w:rPr>
        <w:t xml:space="preserve">enefits. </w:t>
      </w:r>
    </w:p>
    <w:p w:rsidRPr="00220A81" w:rsidR="003C4396" w:rsidP="003C4396" w:rsidRDefault="003C4396" w14:paraId="0A41EC28" w14:textId="77777777">
      <w:pPr>
        <w:tabs>
          <w:tab w:val="left" w:pos="0"/>
          <w:tab w:val="left" w:pos="180"/>
        </w:tabs>
        <w:spacing w:line="240" w:lineRule="auto"/>
        <w:ind w:firstLine="0"/>
        <w:rPr>
          <w:rFonts w:eastAsia="Calibri"/>
        </w:rPr>
      </w:pPr>
    </w:p>
    <w:p w:rsidR="00220A81" w:rsidP="003C4396" w:rsidRDefault="00220A81" w14:paraId="691315B5" w14:textId="6C628762">
      <w:pPr>
        <w:tabs>
          <w:tab w:val="left" w:pos="0"/>
          <w:tab w:val="left" w:pos="180"/>
        </w:tabs>
        <w:spacing w:line="240" w:lineRule="auto"/>
        <w:ind w:firstLine="0"/>
        <w:rPr>
          <w:rFonts w:eastAsia="Calibri"/>
        </w:rPr>
      </w:pPr>
      <w:r w:rsidRPr="00220A81">
        <w:rPr>
          <w:rFonts w:eastAsia="Calibri"/>
        </w:rPr>
        <w:t>Th</w:t>
      </w:r>
      <w:r>
        <w:rPr>
          <w:rFonts w:eastAsia="Calibri"/>
        </w:rPr>
        <w:t>e average hourly rate of $110.74</w:t>
      </w:r>
      <w:r w:rsidRPr="00220A81">
        <w:rPr>
          <w:rFonts w:eastAsia="Calibri"/>
        </w:rPr>
        <w:t xml:space="preserve"> for </w:t>
      </w:r>
      <w:r>
        <w:rPr>
          <w:rFonts w:eastAsia="Calibri"/>
        </w:rPr>
        <w:t>systems leaders</w:t>
      </w:r>
      <w:r w:rsidR="00DC3A18">
        <w:rPr>
          <w:rFonts w:eastAsia="Calibri"/>
        </w:rPr>
        <w:t xml:space="preserve">, </w:t>
      </w:r>
      <w:r w:rsidR="000167E1">
        <w:rPr>
          <w:rFonts w:eastAsia="Calibri"/>
        </w:rPr>
        <w:t>interviews, providing the QI measures, and member checking sessions</w:t>
      </w:r>
      <w:r w:rsidR="00DC3A18">
        <w:rPr>
          <w:rFonts w:eastAsia="Calibri"/>
        </w:rPr>
        <w:t xml:space="preserve"> </w:t>
      </w:r>
      <w:r w:rsidRPr="00220A81">
        <w:rPr>
          <w:rFonts w:eastAsia="Calibri"/>
        </w:rPr>
        <w:t>was calculated based on the 201</w:t>
      </w:r>
      <w:r w:rsidR="006B3B7A">
        <w:rPr>
          <w:rFonts w:eastAsia="Calibri"/>
        </w:rPr>
        <w:t>9</w:t>
      </w:r>
      <w:r w:rsidRPr="00220A81">
        <w:rPr>
          <w:rFonts w:eastAsia="Calibri"/>
        </w:rPr>
        <w:t xml:space="preserve"> mean hourly wage rate for medical and</w:t>
      </w:r>
      <w:r>
        <w:rPr>
          <w:rFonts w:eastAsia="Calibri"/>
        </w:rPr>
        <w:t xml:space="preserve"> health services managers, $55.37</w:t>
      </w:r>
      <w:r w:rsidRPr="00220A81">
        <w:rPr>
          <w:rFonts w:eastAsia="Calibri"/>
        </w:rPr>
        <w:t xml:space="preserve"> (occupation code 11-9111), doubled to account for employer overhead and fringe benefits. </w:t>
      </w:r>
    </w:p>
    <w:p w:rsidR="003C4396" w:rsidP="003C4396" w:rsidRDefault="003C4396" w14:paraId="0683DA68" w14:textId="77777777">
      <w:pPr>
        <w:tabs>
          <w:tab w:val="left" w:pos="0"/>
          <w:tab w:val="left" w:pos="180"/>
        </w:tabs>
        <w:spacing w:line="240" w:lineRule="auto"/>
        <w:ind w:firstLine="0"/>
        <w:rPr>
          <w:rFonts w:eastAsia="Calibri"/>
        </w:rPr>
      </w:pPr>
    </w:p>
    <w:p w:rsidR="00DC3A18" w:rsidP="003C4396" w:rsidRDefault="00DC3A18" w14:paraId="645981D1" w14:textId="1E0D7D12">
      <w:pPr>
        <w:tabs>
          <w:tab w:val="left" w:pos="0"/>
          <w:tab w:val="left" w:pos="180"/>
        </w:tabs>
        <w:spacing w:line="240" w:lineRule="auto"/>
        <w:ind w:firstLine="0"/>
        <w:rPr>
          <w:rFonts w:eastAsia="Calibri"/>
        </w:rPr>
      </w:pPr>
      <w:r>
        <w:rPr>
          <w:rFonts w:eastAsia="Calibri"/>
        </w:rPr>
        <w:t xml:space="preserve">The average hourly rate of $40.12 for patients was calculated based on the 2019 mean </w:t>
      </w:r>
      <w:r w:rsidRPr="00220A81">
        <w:rPr>
          <w:rFonts w:eastAsia="Calibri"/>
        </w:rPr>
        <w:t>hourly wage rate for medical and</w:t>
      </w:r>
      <w:r>
        <w:rPr>
          <w:rFonts w:eastAsia="Calibri"/>
        </w:rPr>
        <w:t xml:space="preserve"> health services managers, $20.06 (occupation code 47-2061</w:t>
      </w:r>
      <w:r w:rsidRPr="00220A81">
        <w:rPr>
          <w:rFonts w:eastAsia="Calibri"/>
        </w:rPr>
        <w:t>), doubled to account for employer overhead and fringe benefits.</w:t>
      </w:r>
    </w:p>
    <w:p w:rsidR="003C4396" w:rsidP="003C4396" w:rsidRDefault="003C4396" w14:paraId="44F2EA65" w14:textId="77777777">
      <w:pPr>
        <w:tabs>
          <w:tab w:val="left" w:pos="0"/>
          <w:tab w:val="left" w:pos="180"/>
        </w:tabs>
        <w:spacing w:line="240" w:lineRule="auto"/>
        <w:ind w:firstLine="0"/>
        <w:rPr>
          <w:rFonts w:eastAsia="Calibri"/>
        </w:rPr>
      </w:pPr>
    </w:p>
    <w:p w:rsidRPr="00220A81" w:rsidR="00220A81" w:rsidP="003C4396" w:rsidRDefault="00220A81" w14:paraId="1C34C049" w14:textId="0B5E8A79">
      <w:pPr>
        <w:tabs>
          <w:tab w:val="left" w:pos="0"/>
          <w:tab w:val="left" w:pos="180"/>
        </w:tabs>
        <w:spacing w:line="240" w:lineRule="auto"/>
        <w:ind w:firstLine="0"/>
        <w:rPr>
          <w:rFonts w:eastAsia="Calibri"/>
        </w:rPr>
      </w:pPr>
      <w:r>
        <w:rPr>
          <w:rFonts w:eastAsia="Calibri"/>
        </w:rPr>
        <w:t>The average hourly rate of $80.42</w:t>
      </w:r>
      <w:r w:rsidRPr="00220A81">
        <w:rPr>
          <w:rFonts w:eastAsia="Calibri"/>
        </w:rPr>
        <w:t xml:space="preserve"> for </w:t>
      </w:r>
      <w:r w:rsidR="00DC3A18">
        <w:rPr>
          <w:rFonts w:eastAsia="Calibri"/>
        </w:rPr>
        <w:t>health care staff</w:t>
      </w:r>
      <w:r w:rsidRPr="00220A81">
        <w:rPr>
          <w:rFonts w:eastAsia="Calibri"/>
        </w:rPr>
        <w:t xml:space="preserve"> was calculated based on the 201</w:t>
      </w:r>
      <w:r w:rsidR="006B3B7A">
        <w:rPr>
          <w:rFonts w:eastAsia="Calibri"/>
        </w:rPr>
        <w:t>9</w:t>
      </w:r>
      <w:r w:rsidRPr="00220A81">
        <w:rPr>
          <w:rFonts w:eastAsia="Calibri"/>
        </w:rPr>
        <w:t xml:space="preserve"> mean hourly wage rate for healthcare practitioners and technical occupations, $</w:t>
      </w:r>
      <w:r>
        <w:rPr>
          <w:rFonts w:eastAsia="Calibri"/>
        </w:rPr>
        <w:t>40.21</w:t>
      </w:r>
      <w:r w:rsidRPr="00220A81">
        <w:rPr>
          <w:rFonts w:eastAsia="Calibri"/>
        </w:rPr>
        <w:t xml:space="preserve"> (occupation code 29-0000), doubled to account for employer overhead and fringe benefits.</w:t>
      </w:r>
    </w:p>
    <w:p w:rsidR="003C4396" w:rsidP="003C4396" w:rsidRDefault="003C4396" w14:paraId="2C3ACD0D" w14:textId="77777777">
      <w:pPr>
        <w:tabs>
          <w:tab w:val="left" w:pos="0"/>
          <w:tab w:val="left" w:pos="180"/>
        </w:tabs>
        <w:spacing w:line="240" w:lineRule="auto"/>
        <w:ind w:firstLine="0"/>
        <w:rPr>
          <w:rFonts w:eastAsia="Calibri"/>
        </w:rPr>
      </w:pPr>
    </w:p>
    <w:p w:rsidR="00DC3A18" w:rsidP="003C4396" w:rsidRDefault="00DC3A18" w14:paraId="45B51D26" w14:textId="220C5CA5">
      <w:pPr>
        <w:tabs>
          <w:tab w:val="left" w:pos="0"/>
          <w:tab w:val="left" w:pos="180"/>
        </w:tabs>
        <w:spacing w:line="240" w:lineRule="auto"/>
        <w:ind w:firstLine="0"/>
        <w:rPr>
          <w:rFonts w:eastAsia="Calibri"/>
        </w:rPr>
      </w:pPr>
      <w:r>
        <w:rPr>
          <w:rFonts w:eastAsia="Calibri"/>
        </w:rPr>
        <w:lastRenderedPageBreak/>
        <w:t xml:space="preserve">The average hourly rate of $108.53 used for the case studies is an average of health care staff, </w:t>
      </w:r>
      <w:r w:rsidR="00B33DFD">
        <w:rPr>
          <w:rFonts w:eastAsia="Calibri"/>
        </w:rPr>
        <w:t>primary care clinicians,</w:t>
      </w:r>
      <w:r>
        <w:rPr>
          <w:rFonts w:eastAsia="Calibri"/>
        </w:rPr>
        <w:t xml:space="preserve"> and patients.</w:t>
      </w:r>
    </w:p>
    <w:p w:rsidR="00177CFD" w:rsidP="000167E1" w:rsidRDefault="00177CFD" w14:paraId="547BE6F2" w14:textId="77777777">
      <w:pPr>
        <w:tabs>
          <w:tab w:val="left" w:pos="0"/>
          <w:tab w:val="left" w:pos="180"/>
        </w:tabs>
        <w:spacing w:after="160" w:line="259" w:lineRule="auto"/>
        <w:ind w:firstLine="0"/>
        <w:rPr>
          <w:rFonts w:eastAsia="Calibri"/>
        </w:rPr>
      </w:pPr>
    </w:p>
    <w:p w:rsidRPr="00D22AD2" w:rsidR="00F35131" w:rsidP="000167E1" w:rsidRDefault="009A1F17" w14:paraId="4D355480" w14:textId="31BCA4A1">
      <w:pPr>
        <w:pStyle w:val="Heading2"/>
        <w:tabs>
          <w:tab w:val="clear" w:pos="432"/>
          <w:tab w:val="left" w:pos="0"/>
        </w:tabs>
        <w:ind w:left="0" w:firstLine="0"/>
        <w:rPr>
          <w:rFonts w:eastAsiaTheme="minorEastAsia"/>
        </w:rPr>
      </w:pPr>
      <w:bookmarkStart w:name="_Toc402259353" w:id="51"/>
      <w:bookmarkStart w:name="_Toc63079032" w:id="52"/>
      <w:r>
        <w:rPr>
          <w:rFonts w:eastAsiaTheme="minorEastAsia"/>
        </w:rPr>
        <w:t>A</w:t>
      </w:r>
      <w:r w:rsidRPr="00D22AD2" w:rsidR="00F35131">
        <w:rPr>
          <w:rFonts w:eastAsiaTheme="minorEastAsia"/>
        </w:rPr>
        <w:t>13.</w:t>
      </w:r>
      <w:r w:rsidRPr="00D22AD2" w:rsidR="00F35131">
        <w:rPr>
          <w:rFonts w:eastAsiaTheme="minorEastAsia"/>
        </w:rPr>
        <w:tab/>
        <w:t>Estimates of Other Total Annual Cost Burden to Respondents and Record Keepers</w:t>
      </w:r>
      <w:bookmarkEnd w:id="51"/>
      <w:bookmarkEnd w:id="52"/>
    </w:p>
    <w:p w:rsidRPr="0074799E" w:rsidR="000147E1" w:rsidP="000167E1" w:rsidRDefault="00AF6308" w14:paraId="3B3BED45" w14:textId="74B09EC2">
      <w:pPr>
        <w:tabs>
          <w:tab w:val="left" w:pos="0"/>
        </w:tabs>
        <w:spacing w:before="120" w:line="240" w:lineRule="auto"/>
        <w:ind w:firstLine="0"/>
      </w:pPr>
      <w:bookmarkStart w:name="_Toc402259354" w:id="53"/>
      <w:r w:rsidRPr="00202FE2">
        <w:t xml:space="preserve">No capital </w:t>
      </w:r>
      <w:r w:rsidRPr="00202FE2">
        <w:rPr>
          <w:color w:val="000000" w:themeColor="text1"/>
        </w:rPr>
        <w:t>or maintenance costs are expected</w:t>
      </w:r>
      <w:r>
        <w:rPr>
          <w:color w:val="000000" w:themeColor="text1"/>
        </w:rPr>
        <w:t xml:space="preserve">. </w:t>
      </w:r>
    </w:p>
    <w:p w:rsidRPr="00FA6A92" w:rsidR="000147E1" w:rsidP="000167E1" w:rsidRDefault="000147E1" w14:paraId="58D228A6" w14:textId="77777777">
      <w:pPr>
        <w:tabs>
          <w:tab w:val="left" w:pos="0"/>
        </w:tabs>
        <w:spacing w:before="120" w:line="240" w:lineRule="auto"/>
        <w:ind w:firstLine="0"/>
        <w:rPr>
          <w:szCs w:val="24"/>
        </w:rPr>
      </w:pPr>
    </w:p>
    <w:p w:rsidRPr="00952E17" w:rsidR="00DC1B3A" w:rsidP="00952E17" w:rsidRDefault="009A1F17" w14:paraId="2D7DEEEC" w14:textId="58804405">
      <w:pPr>
        <w:pStyle w:val="Heading2"/>
        <w:tabs>
          <w:tab w:val="clear" w:pos="432"/>
          <w:tab w:val="left" w:pos="0"/>
        </w:tabs>
        <w:ind w:left="0" w:firstLine="0"/>
        <w:rPr>
          <w:rFonts w:eastAsiaTheme="minorEastAsia"/>
        </w:rPr>
      </w:pPr>
      <w:bookmarkStart w:name="_Toc63079033" w:id="54"/>
      <w:r>
        <w:rPr>
          <w:rFonts w:eastAsiaTheme="minorEastAsia"/>
        </w:rPr>
        <w:t>A</w:t>
      </w:r>
      <w:r w:rsidRPr="00D22AD2" w:rsidR="00F35131">
        <w:rPr>
          <w:rFonts w:eastAsiaTheme="minorEastAsia"/>
        </w:rPr>
        <w:t>14.</w:t>
      </w:r>
      <w:r w:rsidR="00F35131">
        <w:rPr>
          <w:rFonts w:eastAsiaTheme="minorEastAsia"/>
        </w:rPr>
        <w:tab/>
      </w:r>
      <w:r w:rsidRPr="00B77BF8" w:rsidR="00F35131">
        <w:rPr>
          <w:rFonts w:eastAsiaTheme="minorEastAsia"/>
        </w:rPr>
        <w:t>Annualized Cost to the Federal Government</w:t>
      </w:r>
      <w:bookmarkStart w:name="_Hlk80828997" w:id="55"/>
      <w:bookmarkEnd w:id="53"/>
      <w:bookmarkEnd w:id="54"/>
      <w:bookmarkEnd w:id="49"/>
    </w:p>
    <w:p w:rsidR="00F3525F" w:rsidP="202DDC62" w:rsidRDefault="6283D952" w14:paraId="7607EFE1" w14:textId="5F923702">
      <w:pPr>
        <w:spacing w:line="240" w:lineRule="auto"/>
        <w:ind w:firstLine="0"/>
      </w:pPr>
      <w:r w:rsidRPr="202DDC62">
        <w:rPr>
          <w:color w:val="000000" w:themeColor="text1"/>
          <w:szCs w:val="24"/>
        </w:rPr>
        <w:t>Th</w:t>
      </w:r>
      <w:r w:rsidR="00FC64F3">
        <w:rPr>
          <w:color w:val="000000" w:themeColor="text1"/>
          <w:szCs w:val="24"/>
        </w:rPr>
        <w:t xml:space="preserve">is formative research study </w:t>
      </w:r>
      <w:r w:rsidRPr="202DDC62">
        <w:rPr>
          <w:color w:val="000000" w:themeColor="text1"/>
          <w:szCs w:val="24"/>
        </w:rPr>
        <w:t>will take place over a 3-year period. The total cost of th</w:t>
      </w:r>
      <w:r w:rsidR="009D00E7">
        <w:rPr>
          <w:color w:val="000000" w:themeColor="text1"/>
          <w:szCs w:val="24"/>
        </w:rPr>
        <w:t>is</w:t>
      </w:r>
      <w:r w:rsidRPr="202DDC62">
        <w:rPr>
          <w:color w:val="000000" w:themeColor="text1"/>
          <w:szCs w:val="24"/>
        </w:rPr>
        <w:t xml:space="preserve"> </w:t>
      </w:r>
      <w:r w:rsidR="009D00E7">
        <w:rPr>
          <w:color w:val="000000" w:themeColor="text1"/>
          <w:szCs w:val="24"/>
        </w:rPr>
        <w:t>formative research study</w:t>
      </w:r>
      <w:r w:rsidRPr="202DDC62" w:rsidR="009D00E7">
        <w:rPr>
          <w:color w:val="000000" w:themeColor="text1"/>
          <w:szCs w:val="24"/>
        </w:rPr>
        <w:t xml:space="preserve"> </w:t>
      </w:r>
      <w:r w:rsidRPr="202DDC62">
        <w:rPr>
          <w:color w:val="000000" w:themeColor="text1"/>
          <w:szCs w:val="24"/>
        </w:rPr>
        <w:t xml:space="preserve">to the </w:t>
      </w:r>
      <w:r w:rsidR="006F2154">
        <w:rPr>
          <w:color w:val="000000" w:themeColor="text1"/>
          <w:szCs w:val="24"/>
        </w:rPr>
        <w:t>Federal G</w:t>
      </w:r>
      <w:r w:rsidRPr="202DDC62">
        <w:rPr>
          <w:color w:val="000000" w:themeColor="text1"/>
          <w:szCs w:val="24"/>
        </w:rPr>
        <w:t xml:space="preserve">overnment </w:t>
      </w:r>
      <w:r w:rsidR="006F2154">
        <w:rPr>
          <w:color w:val="000000" w:themeColor="text1"/>
          <w:szCs w:val="24"/>
        </w:rPr>
        <w:t>will be</w:t>
      </w:r>
      <w:r w:rsidRPr="202DDC62">
        <w:rPr>
          <w:color w:val="000000" w:themeColor="text1"/>
          <w:szCs w:val="24"/>
        </w:rPr>
        <w:t xml:space="preserve"> $</w:t>
      </w:r>
      <w:r w:rsidR="000246C1">
        <w:rPr>
          <w:color w:val="000000" w:themeColor="text1"/>
          <w:szCs w:val="24"/>
        </w:rPr>
        <w:t>2,</w:t>
      </w:r>
      <w:r w:rsidR="005B3C24">
        <w:rPr>
          <w:color w:val="000000" w:themeColor="text1"/>
          <w:szCs w:val="24"/>
        </w:rPr>
        <w:t>4</w:t>
      </w:r>
      <w:r w:rsidR="000246C1">
        <w:rPr>
          <w:color w:val="000000" w:themeColor="text1"/>
          <w:szCs w:val="24"/>
        </w:rPr>
        <w:t>33,64</w:t>
      </w:r>
      <w:r w:rsidR="00F06313">
        <w:rPr>
          <w:color w:val="000000" w:themeColor="text1"/>
          <w:szCs w:val="24"/>
        </w:rPr>
        <w:t>7</w:t>
      </w:r>
      <w:r w:rsidR="000246C1">
        <w:rPr>
          <w:color w:val="000000" w:themeColor="text1"/>
          <w:szCs w:val="24"/>
        </w:rPr>
        <w:t>.</w:t>
      </w:r>
      <w:r w:rsidR="00F06313">
        <w:rPr>
          <w:color w:val="000000" w:themeColor="text1"/>
          <w:szCs w:val="24"/>
        </w:rPr>
        <w:t>70</w:t>
      </w:r>
      <w:r w:rsidR="00362D88">
        <w:rPr>
          <w:color w:val="000000" w:themeColor="text1"/>
          <w:szCs w:val="24"/>
        </w:rPr>
        <w:t xml:space="preserve">. </w:t>
      </w:r>
      <w:bookmarkEnd w:id="55"/>
      <w:r w:rsidR="51BAB2E7">
        <w:t xml:space="preserve">The government costs include personnel costs for </w:t>
      </w:r>
      <w:r w:rsidR="467C6D9F">
        <w:t>one federal employee</w:t>
      </w:r>
      <w:r w:rsidR="51BAB2E7">
        <w:t xml:space="preserve"> </w:t>
      </w:r>
      <w:r w:rsidR="3FC9AACF">
        <w:t>providing</w:t>
      </w:r>
      <w:r w:rsidR="51BAB2E7">
        <w:t xml:space="preserve"> project </w:t>
      </w:r>
      <w:r w:rsidR="213DACC8">
        <w:t xml:space="preserve">planning and </w:t>
      </w:r>
      <w:r w:rsidR="51BAB2E7">
        <w:t>oversight</w:t>
      </w:r>
      <w:r w:rsidR="3FC9AACF">
        <w:t xml:space="preserve"> at 15% FTE. </w:t>
      </w:r>
    </w:p>
    <w:p w:rsidR="202DDC62" w:rsidP="007D4975" w:rsidRDefault="202DDC62" w14:paraId="7EA08258" w14:textId="102B2619">
      <w:pPr>
        <w:spacing w:line="240" w:lineRule="auto"/>
        <w:ind w:firstLine="0"/>
        <w:rPr>
          <w:szCs w:val="24"/>
        </w:rPr>
      </w:pPr>
    </w:p>
    <w:p w:rsidR="002257F5" w:rsidP="202DDC62" w:rsidRDefault="6283D952" w14:paraId="4CA1D173" w14:textId="44D58EA3">
      <w:pPr>
        <w:spacing w:line="240" w:lineRule="auto"/>
        <w:ind w:firstLine="0"/>
        <w:rPr>
          <w:szCs w:val="24"/>
        </w:rPr>
      </w:pPr>
      <w:r w:rsidRPr="202DDC62">
        <w:rPr>
          <w:szCs w:val="24"/>
        </w:rPr>
        <w:t>The below table</w:t>
      </w:r>
      <w:r w:rsidR="00926A2D">
        <w:rPr>
          <w:szCs w:val="24"/>
        </w:rPr>
        <w:t xml:space="preserve"> </w:t>
      </w:r>
      <w:r w:rsidRPr="202DDC62">
        <w:rPr>
          <w:szCs w:val="24"/>
        </w:rPr>
        <w:t>describes total annual costs for: contract labor for planning and design, development of study protocols, recruitment, data collection, data preparation, data analysis, report writing, and dissemination of findings; CDC personnel labor for project oversight (15% of a GS-13 medical officer and scientist salary); and total estimated government costs.</w:t>
      </w:r>
    </w:p>
    <w:p w:rsidR="00004CE9" w:rsidP="202DDC62" w:rsidRDefault="00004CE9" w14:paraId="4FCDE692" w14:textId="29134356">
      <w:pPr>
        <w:spacing w:line="240" w:lineRule="auto"/>
        <w:ind w:firstLine="0"/>
        <w:rPr>
          <w:szCs w:val="24"/>
        </w:rPr>
      </w:pPr>
    </w:p>
    <w:p w:rsidRPr="00807538" w:rsidR="00AF6308" w:rsidP="00AD1B47" w:rsidRDefault="00AD1B47" w14:paraId="4DB173CC" w14:textId="2F2F10AE">
      <w:pPr>
        <w:keepNext/>
        <w:keepLines/>
        <w:tabs>
          <w:tab w:val="left" w:pos="900"/>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firstLine="0"/>
        <w:rPr>
          <w:color w:val="000000" w:themeColor="text1"/>
        </w:rPr>
      </w:pPr>
      <w:r>
        <w:rPr>
          <w:b/>
          <w:color w:val="000000" w:themeColor="text1"/>
        </w:rPr>
        <w:t>Exhibit 7.</w:t>
      </w:r>
      <w:r w:rsidRPr="00807538" w:rsidR="00AF6308">
        <w:rPr>
          <w:color w:val="000000" w:themeColor="text1"/>
        </w:rPr>
        <w:t xml:space="preserve"> Annualized Cost to the Government  </w:t>
      </w:r>
    </w:p>
    <w:tbl>
      <w:tblPr>
        <w:tblStyle w:val="TableGrid"/>
        <w:tblW w:w="0" w:type="auto"/>
        <w:tblLayout w:type="fixed"/>
        <w:tblLook w:val="04A0" w:firstRow="1" w:lastRow="0" w:firstColumn="1" w:lastColumn="0" w:noHBand="0" w:noVBand="1"/>
      </w:tblPr>
      <w:tblGrid>
        <w:gridCol w:w="2880"/>
        <w:gridCol w:w="2880"/>
        <w:gridCol w:w="2880"/>
      </w:tblGrid>
      <w:tr w:rsidR="202DDC62" w:rsidTr="202DDC62" w14:paraId="6B79DB56" w14:textId="77777777">
        <w:tc>
          <w:tcPr>
            <w:tcW w:w="2880" w:type="dxa"/>
            <w:tcBorders>
              <w:top w:val="single" w:color="auto" w:sz="8" w:space="0"/>
              <w:left w:val="single" w:color="auto" w:sz="8" w:space="0"/>
              <w:bottom w:val="single" w:color="auto" w:sz="8" w:space="0"/>
              <w:right w:val="single" w:color="auto" w:sz="8" w:space="0"/>
            </w:tcBorders>
          </w:tcPr>
          <w:p w:rsidR="202DDC62" w:rsidP="202DDC62" w:rsidRDefault="202DDC62" w14:paraId="79BF1059" w14:textId="37D435C1">
            <w:pPr>
              <w:spacing w:line="240" w:lineRule="auto"/>
            </w:pPr>
            <w:r w:rsidRPr="202DDC62">
              <w:rPr>
                <w:szCs w:val="24"/>
              </w:rPr>
              <w:t>Type of Cost</w:t>
            </w:r>
          </w:p>
        </w:tc>
        <w:tc>
          <w:tcPr>
            <w:tcW w:w="2880" w:type="dxa"/>
            <w:tcBorders>
              <w:top w:val="single" w:color="auto" w:sz="8" w:space="0"/>
              <w:left w:val="single" w:color="auto" w:sz="8" w:space="0"/>
              <w:bottom w:val="single" w:color="auto" w:sz="8" w:space="0"/>
              <w:right w:val="single" w:color="auto" w:sz="8" w:space="0"/>
            </w:tcBorders>
          </w:tcPr>
          <w:p w:rsidR="202DDC62" w:rsidP="202DDC62" w:rsidRDefault="202DDC62" w14:paraId="755C8B5B" w14:textId="210E2BBB">
            <w:pPr>
              <w:spacing w:line="240" w:lineRule="auto"/>
              <w:ind w:firstLine="0"/>
            </w:pPr>
            <w:r w:rsidRPr="202DDC62">
              <w:rPr>
                <w:szCs w:val="24"/>
              </w:rPr>
              <w:t>Description of Services</w:t>
            </w:r>
          </w:p>
        </w:tc>
        <w:tc>
          <w:tcPr>
            <w:tcW w:w="2880" w:type="dxa"/>
            <w:tcBorders>
              <w:top w:val="single" w:color="auto" w:sz="8" w:space="0"/>
              <w:left w:val="single" w:color="auto" w:sz="8" w:space="0"/>
              <w:bottom w:val="single" w:color="auto" w:sz="8" w:space="0"/>
              <w:right w:val="single" w:color="auto" w:sz="8" w:space="0"/>
            </w:tcBorders>
          </w:tcPr>
          <w:p w:rsidR="202DDC62" w:rsidP="202DDC62" w:rsidRDefault="202DDC62" w14:paraId="6765805F" w14:textId="59F9E671">
            <w:pPr>
              <w:spacing w:line="240" w:lineRule="auto"/>
            </w:pPr>
            <w:r w:rsidRPr="202DDC62">
              <w:rPr>
                <w:szCs w:val="24"/>
              </w:rPr>
              <w:t>Annual Cost</w:t>
            </w:r>
          </w:p>
        </w:tc>
      </w:tr>
      <w:tr w:rsidR="202DDC62" w:rsidTr="202DDC62" w14:paraId="79AA239F" w14:textId="77777777">
        <w:tc>
          <w:tcPr>
            <w:tcW w:w="2880" w:type="dxa"/>
            <w:tcBorders>
              <w:top w:val="single" w:color="auto" w:sz="8" w:space="0"/>
              <w:left w:val="single" w:color="auto" w:sz="8" w:space="0"/>
              <w:bottom w:val="single" w:color="auto" w:sz="8" w:space="0"/>
              <w:right w:val="single" w:color="auto" w:sz="8" w:space="0"/>
            </w:tcBorders>
          </w:tcPr>
          <w:p w:rsidR="202DDC62" w:rsidP="202DDC62" w:rsidRDefault="202DDC62" w14:paraId="76A96B02" w14:textId="1B3BF22F">
            <w:pPr>
              <w:spacing w:line="240" w:lineRule="auto"/>
              <w:ind w:firstLine="0"/>
            </w:pPr>
            <w:r w:rsidRPr="202DDC62">
              <w:rPr>
                <w:szCs w:val="24"/>
              </w:rPr>
              <w:t>Contractor</w:t>
            </w:r>
          </w:p>
        </w:tc>
        <w:tc>
          <w:tcPr>
            <w:tcW w:w="2880" w:type="dxa"/>
            <w:tcBorders>
              <w:top w:val="single" w:color="auto" w:sz="8" w:space="0"/>
              <w:left w:val="single" w:color="auto" w:sz="8" w:space="0"/>
              <w:bottom w:val="single" w:color="auto" w:sz="8" w:space="0"/>
              <w:right w:val="single" w:color="auto" w:sz="8" w:space="0"/>
            </w:tcBorders>
          </w:tcPr>
          <w:p w:rsidR="202DDC62" w:rsidP="202DDC62" w:rsidRDefault="202DDC62" w14:paraId="700992EA" w14:textId="32815808">
            <w:pPr>
              <w:spacing w:line="240" w:lineRule="auto"/>
              <w:ind w:firstLine="0"/>
            </w:pPr>
            <w:r w:rsidRPr="202DDC62">
              <w:rPr>
                <w:szCs w:val="24"/>
              </w:rPr>
              <w:t>Data collection, data analysis, project management</w:t>
            </w:r>
          </w:p>
        </w:tc>
        <w:tc>
          <w:tcPr>
            <w:tcW w:w="2880" w:type="dxa"/>
            <w:tcBorders>
              <w:top w:val="single" w:color="auto" w:sz="8" w:space="0"/>
              <w:left w:val="single" w:color="auto" w:sz="8" w:space="0"/>
              <w:bottom w:val="single" w:color="auto" w:sz="8" w:space="0"/>
              <w:right w:val="single" w:color="auto" w:sz="8" w:space="0"/>
            </w:tcBorders>
          </w:tcPr>
          <w:p w:rsidRPr="00F06313" w:rsidR="00F06313" w:rsidP="00F06313" w:rsidRDefault="202DDC62" w14:paraId="07211B82" w14:textId="3B6E36C2">
            <w:pPr>
              <w:spacing w:line="240" w:lineRule="auto"/>
              <w:rPr>
                <w:szCs w:val="24"/>
              </w:rPr>
            </w:pPr>
            <w:r w:rsidRPr="202DDC62">
              <w:rPr>
                <w:szCs w:val="24"/>
              </w:rPr>
              <w:t xml:space="preserve">$ </w:t>
            </w:r>
            <w:r w:rsidR="00F06313">
              <w:rPr>
                <w:color w:val="000000" w:themeColor="text1"/>
                <w:szCs w:val="24"/>
              </w:rPr>
              <w:t>782,976.00</w:t>
            </w:r>
          </w:p>
        </w:tc>
      </w:tr>
      <w:tr w:rsidR="202DDC62" w:rsidTr="202DDC62" w14:paraId="2196FC67" w14:textId="77777777">
        <w:tc>
          <w:tcPr>
            <w:tcW w:w="2880" w:type="dxa"/>
            <w:tcBorders>
              <w:top w:val="single" w:color="auto" w:sz="8" w:space="0"/>
              <w:left w:val="single" w:color="auto" w:sz="8" w:space="0"/>
              <w:bottom w:val="single" w:color="auto" w:sz="8" w:space="0"/>
              <w:right w:val="single" w:color="auto" w:sz="8" w:space="0"/>
            </w:tcBorders>
          </w:tcPr>
          <w:p w:rsidR="202DDC62" w:rsidP="202DDC62" w:rsidRDefault="202DDC62" w14:paraId="1DAAE752" w14:textId="47943E7C">
            <w:pPr>
              <w:spacing w:line="240" w:lineRule="auto"/>
              <w:ind w:firstLine="0"/>
            </w:pPr>
            <w:r w:rsidRPr="202DDC62">
              <w:rPr>
                <w:szCs w:val="24"/>
              </w:rPr>
              <w:t>Technical monitor at 15% FTE (CDC)</w:t>
            </w:r>
          </w:p>
          <w:p w:rsidR="202DDC62" w:rsidP="202DDC62" w:rsidRDefault="202DDC62" w14:paraId="5C85EE2D" w14:textId="647DC802">
            <w:pPr>
              <w:spacing w:line="240" w:lineRule="auto"/>
              <w:ind w:firstLine="0"/>
              <w:rPr>
                <w:szCs w:val="24"/>
              </w:rPr>
            </w:pPr>
          </w:p>
        </w:tc>
        <w:tc>
          <w:tcPr>
            <w:tcW w:w="2880" w:type="dxa"/>
            <w:tcBorders>
              <w:top w:val="single" w:color="auto" w:sz="8" w:space="0"/>
              <w:left w:val="single" w:color="auto" w:sz="8" w:space="0"/>
              <w:bottom w:val="single" w:color="auto" w:sz="8" w:space="0"/>
              <w:right w:val="single" w:color="auto" w:sz="8" w:space="0"/>
            </w:tcBorders>
          </w:tcPr>
          <w:p w:rsidR="202DDC62" w:rsidP="202DDC62" w:rsidRDefault="202DDC62" w14:paraId="0E31F54B" w14:textId="5AFC4FED">
            <w:pPr>
              <w:spacing w:line="240" w:lineRule="auto"/>
              <w:ind w:firstLine="0"/>
            </w:pPr>
            <w:r w:rsidRPr="202DDC62">
              <w:rPr>
                <w:szCs w:val="24"/>
              </w:rPr>
              <w:t>Study planning and project oversight</w:t>
            </w:r>
          </w:p>
        </w:tc>
        <w:tc>
          <w:tcPr>
            <w:tcW w:w="2880" w:type="dxa"/>
            <w:tcBorders>
              <w:top w:val="single" w:color="auto" w:sz="8" w:space="0"/>
              <w:left w:val="single" w:color="auto" w:sz="8" w:space="0"/>
              <w:bottom w:val="single" w:color="auto" w:sz="8" w:space="0"/>
              <w:right w:val="single" w:color="auto" w:sz="8" w:space="0"/>
            </w:tcBorders>
          </w:tcPr>
          <w:p w:rsidR="202DDC62" w:rsidP="202DDC62" w:rsidRDefault="202DDC62" w14:paraId="58AEB743" w14:textId="53C5FF38">
            <w:pPr>
              <w:spacing w:line="240" w:lineRule="auto"/>
            </w:pPr>
            <w:r w:rsidRPr="202DDC62">
              <w:rPr>
                <w:szCs w:val="24"/>
              </w:rPr>
              <w:t xml:space="preserve">   $28,239.90</w:t>
            </w:r>
          </w:p>
        </w:tc>
      </w:tr>
      <w:tr w:rsidR="202DDC62" w:rsidTr="202DDC62" w14:paraId="5E58CC0D" w14:textId="77777777">
        <w:tc>
          <w:tcPr>
            <w:tcW w:w="5760" w:type="dxa"/>
            <w:gridSpan w:val="2"/>
            <w:tcBorders>
              <w:top w:val="single" w:color="auto" w:sz="8" w:space="0"/>
              <w:left w:val="single" w:color="auto" w:sz="8" w:space="0"/>
              <w:bottom w:val="single" w:color="auto" w:sz="8" w:space="0"/>
              <w:right w:val="single" w:color="auto" w:sz="8" w:space="0"/>
            </w:tcBorders>
          </w:tcPr>
          <w:p w:rsidR="202DDC62" w:rsidP="202DDC62" w:rsidRDefault="202DDC62" w14:paraId="175FFD44" w14:textId="7A369417">
            <w:pPr>
              <w:spacing w:line="240" w:lineRule="auto"/>
              <w:ind w:firstLine="0"/>
              <w:rPr>
                <w:szCs w:val="24"/>
              </w:rPr>
            </w:pPr>
          </w:p>
          <w:p w:rsidR="202DDC62" w:rsidP="202DDC62" w:rsidRDefault="202DDC62" w14:paraId="5BE699F1" w14:textId="4DC4DFB4">
            <w:pPr>
              <w:spacing w:line="240" w:lineRule="auto"/>
              <w:ind w:firstLine="0"/>
            </w:pPr>
            <w:r w:rsidRPr="202DDC62">
              <w:rPr>
                <w:szCs w:val="24"/>
              </w:rPr>
              <w:t>Total Annual Estimated Government Costs</w:t>
            </w:r>
          </w:p>
        </w:tc>
        <w:tc>
          <w:tcPr>
            <w:tcW w:w="2880" w:type="dxa"/>
            <w:tcBorders>
              <w:top w:val="single" w:color="auto" w:sz="8" w:space="0"/>
              <w:left w:val="nil"/>
              <w:bottom w:val="single" w:color="auto" w:sz="8" w:space="0"/>
              <w:right w:val="single" w:color="auto" w:sz="8" w:space="0"/>
            </w:tcBorders>
          </w:tcPr>
          <w:p w:rsidR="202DDC62" w:rsidP="202DDC62" w:rsidRDefault="202DDC62" w14:paraId="46764B41" w14:textId="65C7AC4B">
            <w:pPr>
              <w:spacing w:line="240" w:lineRule="auto"/>
              <w:rPr>
                <w:szCs w:val="24"/>
              </w:rPr>
            </w:pPr>
          </w:p>
          <w:p w:rsidR="202DDC62" w:rsidP="202DDC62" w:rsidRDefault="202DDC62" w14:paraId="55EA76DC" w14:textId="258C578A">
            <w:pPr>
              <w:spacing w:line="240" w:lineRule="auto"/>
            </w:pPr>
            <w:r w:rsidRPr="202DDC62">
              <w:rPr>
                <w:szCs w:val="24"/>
              </w:rPr>
              <w:t xml:space="preserve">$ </w:t>
            </w:r>
            <w:r w:rsidR="008A06FE">
              <w:rPr>
                <w:szCs w:val="24"/>
              </w:rPr>
              <w:t>8</w:t>
            </w:r>
            <w:r w:rsidR="000246C1">
              <w:rPr>
                <w:szCs w:val="24"/>
              </w:rPr>
              <w:t>11,21</w:t>
            </w:r>
            <w:r w:rsidR="00F06313">
              <w:rPr>
                <w:szCs w:val="24"/>
              </w:rPr>
              <w:t>5</w:t>
            </w:r>
            <w:r w:rsidR="000246C1">
              <w:rPr>
                <w:szCs w:val="24"/>
              </w:rPr>
              <w:t>.</w:t>
            </w:r>
            <w:r w:rsidR="00F06313">
              <w:rPr>
                <w:szCs w:val="24"/>
              </w:rPr>
              <w:t>90</w:t>
            </w:r>
          </w:p>
        </w:tc>
      </w:tr>
    </w:tbl>
    <w:p w:rsidR="007617CA" w:rsidP="202DDC62" w:rsidRDefault="007617CA" w14:paraId="4F21FABB" w14:textId="1D340CB7">
      <w:pPr>
        <w:ind w:firstLine="0"/>
        <w:rPr>
          <w:rFonts w:eastAsiaTheme="minorEastAsia"/>
          <w:szCs w:val="24"/>
        </w:rPr>
      </w:pPr>
    </w:p>
    <w:p w:rsidRPr="00D22AD2" w:rsidR="00F35131" w:rsidP="202DDC62" w:rsidRDefault="009A1F17" w14:paraId="67E562B3" w14:textId="6DD6CD74">
      <w:pPr>
        <w:pStyle w:val="Heading2"/>
        <w:ind w:left="0" w:firstLine="0"/>
        <w:rPr>
          <w:rFonts w:eastAsiaTheme="minorEastAsia"/>
        </w:rPr>
      </w:pPr>
      <w:bookmarkStart w:name="_Toc402259355" w:id="56"/>
      <w:bookmarkStart w:name="_Toc63079034" w:id="57"/>
      <w:r>
        <w:rPr>
          <w:rFonts w:eastAsiaTheme="minorEastAsia"/>
        </w:rPr>
        <w:t>A</w:t>
      </w:r>
      <w:r w:rsidRPr="00D22AD2" w:rsidR="00F35131">
        <w:rPr>
          <w:rFonts w:eastAsiaTheme="minorEastAsia"/>
        </w:rPr>
        <w:t>15.</w:t>
      </w:r>
      <w:r w:rsidR="00F35131">
        <w:rPr>
          <w:rFonts w:eastAsiaTheme="minorEastAsia"/>
        </w:rPr>
        <w:tab/>
      </w:r>
      <w:r w:rsidRPr="00D22AD2" w:rsidR="00F35131">
        <w:rPr>
          <w:rFonts w:eastAsiaTheme="minorEastAsia"/>
        </w:rPr>
        <w:t>Explanation for Program Changes or Adjustments</w:t>
      </w:r>
      <w:bookmarkEnd w:id="56"/>
      <w:bookmarkEnd w:id="57"/>
    </w:p>
    <w:p w:rsidRPr="00057DDA" w:rsidR="002617D5" w:rsidP="000167E1" w:rsidRDefault="00AA7245" w14:paraId="66085028" w14:textId="27BCEB97">
      <w:pPr>
        <w:pStyle w:val="NormalSS"/>
        <w:tabs>
          <w:tab w:val="left" w:pos="0"/>
        </w:tabs>
        <w:ind w:firstLine="0"/>
        <w:rPr>
          <w:rFonts w:eastAsiaTheme="minorEastAsia"/>
        </w:rPr>
      </w:pPr>
      <w:r w:rsidRPr="00057DDA">
        <w:rPr>
          <w:rFonts w:eastAsiaTheme="minorEastAsia"/>
        </w:rPr>
        <w:t xml:space="preserve">This is a new information </w:t>
      </w:r>
      <w:r w:rsidRPr="00057DDA" w:rsidR="002617D5">
        <w:rPr>
          <w:rFonts w:eastAsiaTheme="minorEastAsia"/>
        </w:rPr>
        <w:t>collection.</w:t>
      </w:r>
    </w:p>
    <w:p w:rsidRPr="00D22AD2" w:rsidR="00F35131" w:rsidP="000167E1" w:rsidRDefault="009A1F17" w14:paraId="67F7F448" w14:textId="61EC49EA">
      <w:pPr>
        <w:pStyle w:val="Heading2"/>
        <w:tabs>
          <w:tab w:val="clear" w:pos="432"/>
          <w:tab w:val="left" w:pos="0"/>
        </w:tabs>
        <w:ind w:left="0" w:firstLine="0"/>
        <w:rPr>
          <w:rFonts w:eastAsiaTheme="minorEastAsia"/>
        </w:rPr>
      </w:pPr>
      <w:bookmarkStart w:name="_Toc402259356" w:id="58"/>
      <w:bookmarkStart w:name="_Toc63079035" w:id="59"/>
      <w:r>
        <w:rPr>
          <w:rFonts w:eastAsiaTheme="minorEastAsia"/>
        </w:rPr>
        <w:t>A</w:t>
      </w:r>
      <w:r w:rsidRPr="00D22AD2" w:rsidR="00F35131">
        <w:rPr>
          <w:rFonts w:eastAsiaTheme="minorEastAsia"/>
        </w:rPr>
        <w:t>16.</w:t>
      </w:r>
      <w:r w:rsidRPr="00D22AD2" w:rsidR="00F35131">
        <w:rPr>
          <w:rFonts w:eastAsiaTheme="minorEastAsia"/>
        </w:rPr>
        <w:tab/>
        <w:t>Plans for Tabulation and Publication and Project Time Schedule</w:t>
      </w:r>
      <w:bookmarkEnd w:id="58"/>
      <w:bookmarkEnd w:id="59"/>
    </w:p>
    <w:p w:rsidRPr="00DA5ED4" w:rsidR="00524B55" w:rsidP="00524B55" w:rsidRDefault="00524B55" w14:paraId="33E858E9" w14:textId="679474E4">
      <w:pPr>
        <w:pStyle w:val="BodyText"/>
        <w:ind w:left="0" w:right="0"/>
      </w:pPr>
      <w:bookmarkStart w:name="_Toc399336343" w:id="60"/>
      <w:r>
        <w:t xml:space="preserve">For the survey results we will run descriptive and univariate statistics by system. We will compute means, medians and standard deviations. We will plot the distributions of continuous </w:t>
      </w:r>
      <w:r w:rsidR="00C83282">
        <w:t>variables and</w:t>
      </w:r>
      <w:r>
        <w:t xml:space="preserve"> create frequency tables and plots for categorical variables. </w:t>
      </w:r>
    </w:p>
    <w:p w:rsidRPr="004A4B94" w:rsidR="00524B55" w:rsidP="00524B55" w:rsidRDefault="00524B55" w14:paraId="73A7B1EA" w14:textId="77777777">
      <w:pPr>
        <w:pStyle w:val="MarkforTableTitle"/>
        <w:rPr>
          <w:rFonts w:asciiTheme="minorHAnsi" w:hAnsiTheme="minorHAnsi" w:cstheme="minorBidi"/>
          <w:b/>
          <w:bCs/>
          <w:szCs w:val="22"/>
        </w:rPr>
      </w:pPr>
      <w:bookmarkStart w:name="_Toc399336346" w:id="61"/>
      <w:r>
        <w:rPr>
          <w:rFonts w:ascii="Times New Roman" w:hAnsi="Times New Roman"/>
          <w:b/>
          <w:color w:val="000000" w:themeColor="text1"/>
          <w:sz w:val="24"/>
        </w:rPr>
        <w:t>Exhibit 8.</w:t>
      </w:r>
      <w:r w:rsidRPr="00F872F2">
        <w:rPr>
          <w:rFonts w:ascii="Times New Roman" w:hAnsi="Times New Roman"/>
          <w:b/>
          <w:color w:val="000000" w:themeColor="text1"/>
          <w:sz w:val="24"/>
        </w:rPr>
        <w:t xml:space="preserve"> Project Time Schedule</w:t>
      </w:r>
      <w:bookmarkEnd w:id="61"/>
    </w:p>
    <w:tbl>
      <w:tblPr>
        <w:tblStyle w:val="AbtFinal1"/>
        <w:tblpPr w:leftFromText="180" w:rightFromText="180" w:vertAnchor="text" w:horzAnchor="margin" w:tblpY="142"/>
        <w:tblW w:w="9785" w:type="dxa"/>
        <w:tblLook w:val="04A0" w:firstRow="1" w:lastRow="0" w:firstColumn="1" w:lastColumn="0" w:noHBand="0" w:noVBand="1"/>
      </w:tblPr>
      <w:tblGrid>
        <w:gridCol w:w="6867"/>
        <w:gridCol w:w="2918"/>
      </w:tblGrid>
      <w:tr w:rsidRPr="007B6D19" w:rsidR="00524B55" w:rsidTr="007B01E1" w14:paraId="7CE37D4D" w14:textId="77777777">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6867" w:type="dxa"/>
            <w:shd w:val="clear" w:color="auto" w:fill="31849B" w:themeFill="accent5" w:themeFillShade="BF"/>
          </w:tcPr>
          <w:p w:rsidRPr="00A36702" w:rsidR="00524B55" w:rsidP="007B01E1" w:rsidRDefault="00524B55" w14:paraId="036164F5" w14:textId="77777777">
            <w:pPr>
              <w:tabs>
                <w:tab w:val="left" w:pos="0"/>
              </w:tabs>
              <w:spacing w:line="240" w:lineRule="auto"/>
              <w:ind w:firstLine="0"/>
              <w:rPr>
                <w:rFonts w:ascii="Arial Narrow" w:hAnsi="Arial Narrow"/>
                <w:sz w:val="22"/>
              </w:rPr>
            </w:pPr>
            <w:r w:rsidRPr="00A36702">
              <w:rPr>
                <w:rFonts w:ascii="Arial Narrow" w:hAnsi="Arial Narrow"/>
                <w:sz w:val="22"/>
              </w:rPr>
              <w:t>Deliverable</w:t>
            </w:r>
          </w:p>
        </w:tc>
        <w:tc>
          <w:tcPr>
            <w:tcW w:w="2918" w:type="dxa"/>
            <w:shd w:val="clear" w:color="auto" w:fill="31849B" w:themeFill="accent5" w:themeFillShade="BF"/>
          </w:tcPr>
          <w:p w:rsidRPr="00A36702" w:rsidR="00524B55" w:rsidP="007B01E1" w:rsidRDefault="00524B55" w14:paraId="4A6AC3B9" w14:textId="77777777">
            <w:pPr>
              <w:tabs>
                <w:tab w:val="left" w:pos="0"/>
              </w:tabs>
              <w:spacing w:line="240" w:lineRule="auto"/>
              <w:ind w:firstLine="0"/>
              <w:cnfStyle w:val="100000000000" w:firstRow="1" w:lastRow="0" w:firstColumn="0" w:lastColumn="0" w:oddVBand="0" w:evenVBand="0" w:oddHBand="0" w:evenHBand="0" w:firstRowFirstColumn="0" w:firstRowLastColumn="0" w:lastRowFirstColumn="0" w:lastRowLastColumn="0"/>
              <w:rPr>
                <w:rFonts w:ascii="Arial Narrow" w:hAnsi="Arial Narrow"/>
                <w:sz w:val="22"/>
              </w:rPr>
            </w:pPr>
            <w:r w:rsidRPr="00A36702">
              <w:rPr>
                <w:rFonts w:ascii="Arial Narrow" w:hAnsi="Arial Narrow"/>
                <w:sz w:val="22"/>
              </w:rPr>
              <w:t>Due Date</w:t>
            </w:r>
          </w:p>
        </w:tc>
      </w:tr>
      <w:tr w:rsidRPr="007B6D19" w:rsidR="007374A3" w:rsidTr="007B01E1" w14:paraId="12E75638" w14:textId="7777777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6867" w:type="dxa"/>
          </w:tcPr>
          <w:p w:rsidRPr="005B464E" w:rsidR="007374A3" w:rsidP="007374A3" w:rsidRDefault="007374A3" w14:paraId="3E4ADECB" w14:textId="002B7B77">
            <w:pPr>
              <w:tabs>
                <w:tab w:val="left" w:pos="0"/>
              </w:tabs>
              <w:spacing w:line="240" w:lineRule="auto"/>
              <w:ind w:firstLine="0"/>
              <w:rPr>
                <w:rFonts w:ascii="Times New Roman" w:hAnsi="Times New Roman"/>
                <w:sz w:val="22"/>
              </w:rPr>
            </w:pPr>
            <w:r w:rsidRPr="005B464E">
              <w:rPr>
                <w:rFonts w:ascii="Times New Roman" w:hAnsi="Times New Roman"/>
                <w:sz w:val="22"/>
                <w:szCs w:val="22"/>
              </w:rPr>
              <w:lastRenderedPageBreak/>
              <w:t>Administration of patient and clinician surveys, health system leader interviews, case studies interviews</w:t>
            </w:r>
          </w:p>
        </w:tc>
        <w:tc>
          <w:tcPr>
            <w:tcW w:w="2918" w:type="dxa"/>
          </w:tcPr>
          <w:p w:rsidRPr="005B464E" w:rsidR="007374A3" w:rsidP="007374A3" w:rsidRDefault="007374A3" w14:paraId="38FB11D1" w14:textId="7EB8288B">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B464E">
              <w:rPr>
                <w:rFonts w:ascii="Times New Roman" w:hAnsi="Times New Roman"/>
                <w:sz w:val="22"/>
                <w:szCs w:val="22"/>
              </w:rPr>
              <w:t xml:space="preserve"> </w:t>
            </w:r>
            <w:r>
              <w:rPr>
                <w:rFonts w:ascii="Times New Roman" w:hAnsi="Times New Roman"/>
                <w:sz w:val="22"/>
                <w:szCs w:val="22"/>
              </w:rPr>
              <w:t>Ongoing 1-36 months after OMB approval</w:t>
            </w:r>
          </w:p>
        </w:tc>
      </w:tr>
      <w:tr w:rsidRPr="007B6D19" w:rsidR="00524B55" w:rsidTr="007B01E1" w14:paraId="5B747088" w14:textId="77777777">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6867" w:type="dxa"/>
          </w:tcPr>
          <w:p w:rsidRPr="005B464E" w:rsidR="00524B55" w:rsidP="007B01E1" w:rsidRDefault="00524B55" w14:paraId="4FE36D45" w14:textId="77777777">
            <w:pPr>
              <w:spacing w:line="240" w:lineRule="auto"/>
              <w:ind w:firstLine="0"/>
              <w:rPr>
                <w:rFonts w:ascii="Times New Roman" w:hAnsi="Times New Roman"/>
                <w:sz w:val="22"/>
                <w:szCs w:val="22"/>
              </w:rPr>
            </w:pPr>
            <w:r>
              <w:rPr>
                <w:rFonts w:ascii="Times New Roman" w:hAnsi="Times New Roman"/>
                <w:sz w:val="22"/>
                <w:szCs w:val="22"/>
              </w:rPr>
              <w:t>Abstraction</w:t>
            </w:r>
            <w:r w:rsidRPr="005B464E">
              <w:rPr>
                <w:rFonts w:ascii="Times New Roman" w:hAnsi="Times New Roman"/>
                <w:sz w:val="22"/>
                <w:szCs w:val="22"/>
              </w:rPr>
              <w:t xml:space="preserve"> of secondary data from health systems (e.g., EHR and claims data)</w:t>
            </w:r>
          </w:p>
        </w:tc>
        <w:tc>
          <w:tcPr>
            <w:tcW w:w="2918" w:type="dxa"/>
          </w:tcPr>
          <w:p w:rsidRPr="005B464E" w:rsidR="00524B55" w:rsidP="007B01E1" w:rsidRDefault="00524B55" w14:paraId="62E3E27B" w14:textId="77777777">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2"/>
                <w:szCs w:val="22"/>
              </w:rPr>
            </w:pPr>
            <w:r w:rsidRPr="005B464E">
              <w:rPr>
                <w:rFonts w:ascii="Times New Roman" w:hAnsi="Times New Roman"/>
                <w:sz w:val="22"/>
                <w:szCs w:val="22"/>
              </w:rPr>
              <w:t xml:space="preserve">Ongoing until </w:t>
            </w:r>
            <w:r>
              <w:rPr>
                <w:rFonts w:ascii="Times New Roman" w:hAnsi="Times New Roman"/>
                <w:sz w:val="22"/>
                <w:szCs w:val="22"/>
              </w:rPr>
              <w:t>36</w:t>
            </w:r>
            <w:r w:rsidRPr="005B464E">
              <w:rPr>
                <w:rFonts w:ascii="Times New Roman" w:hAnsi="Times New Roman"/>
                <w:sz w:val="22"/>
                <w:szCs w:val="22"/>
              </w:rPr>
              <w:t xml:space="preserve"> months after OMB approval</w:t>
            </w:r>
          </w:p>
        </w:tc>
      </w:tr>
    </w:tbl>
    <w:p w:rsidRPr="00524B55" w:rsidR="00524B55" w:rsidP="00524B55" w:rsidRDefault="00524B55" w14:paraId="1939FA1A" w14:textId="77777777">
      <w:pPr>
        <w:pStyle w:val="Heading2"/>
        <w:spacing w:before="360"/>
        <w:ind w:left="0" w:firstLine="0"/>
        <w:rPr>
          <w:rFonts w:eastAsiaTheme="minorEastAsia"/>
          <w:b/>
          <w:bCs/>
          <w:szCs w:val="22"/>
        </w:rPr>
      </w:pPr>
      <w:bookmarkStart w:name="_Toc402259357" w:id="62"/>
      <w:bookmarkStart w:name="_Toc63079037" w:id="63"/>
      <w:r w:rsidRPr="00524B55">
        <w:rPr>
          <w:rFonts w:eastAsiaTheme="minorEastAsia"/>
          <w:b/>
          <w:bCs/>
          <w:szCs w:val="22"/>
        </w:rPr>
        <w:t>A17.</w:t>
      </w:r>
      <w:r w:rsidRPr="00524B55">
        <w:rPr>
          <w:szCs w:val="22"/>
        </w:rPr>
        <w:tab/>
      </w:r>
      <w:r w:rsidRPr="00524B55">
        <w:rPr>
          <w:rFonts w:eastAsiaTheme="minorEastAsia"/>
          <w:b/>
          <w:bCs/>
          <w:szCs w:val="22"/>
        </w:rPr>
        <w:t>Reason(s) Display of OMB Expiration Date is Inappropriate</w:t>
      </w:r>
      <w:bookmarkEnd w:id="62"/>
      <w:bookmarkEnd w:id="63"/>
    </w:p>
    <w:p w:rsidRPr="00335C55" w:rsidR="00524B55" w:rsidP="00524B55" w:rsidRDefault="00524B55" w14:paraId="603C72B6" w14:textId="77777777">
      <w:pPr>
        <w:rPr>
          <w:szCs w:val="24"/>
        </w:rPr>
      </w:pPr>
      <w:bookmarkStart w:name="_Toc402259358" w:id="64"/>
      <w:r w:rsidRPr="00335C55">
        <w:rPr>
          <w:szCs w:val="24"/>
        </w:rPr>
        <w:t>The display of the OMB expiration date is appropriate.</w:t>
      </w:r>
    </w:p>
    <w:p w:rsidRPr="00524B55" w:rsidR="00524B55" w:rsidP="00524B55" w:rsidRDefault="00524B55" w14:paraId="0A09A3F6" w14:textId="77777777">
      <w:pPr>
        <w:pStyle w:val="Heading2"/>
        <w:tabs>
          <w:tab w:val="clear" w:pos="432"/>
          <w:tab w:val="left" w:pos="0"/>
        </w:tabs>
        <w:ind w:left="0" w:firstLine="0"/>
        <w:rPr>
          <w:rFonts w:eastAsiaTheme="minorEastAsia"/>
          <w:b/>
          <w:szCs w:val="22"/>
        </w:rPr>
      </w:pPr>
      <w:bookmarkStart w:name="_Toc63079038" w:id="65"/>
      <w:r w:rsidRPr="00524B55">
        <w:rPr>
          <w:rFonts w:eastAsiaTheme="minorEastAsia"/>
          <w:b/>
          <w:szCs w:val="22"/>
        </w:rPr>
        <w:t>A18.</w:t>
      </w:r>
      <w:r w:rsidRPr="00524B55">
        <w:rPr>
          <w:rFonts w:eastAsiaTheme="minorEastAsia"/>
          <w:b/>
          <w:szCs w:val="22"/>
        </w:rPr>
        <w:tab/>
        <w:t>Exceptions to Certification for Paperwork Reduction Act Submissions</w:t>
      </w:r>
      <w:bookmarkEnd w:id="64"/>
      <w:bookmarkEnd w:id="65"/>
    </w:p>
    <w:p w:rsidRPr="00EB1504" w:rsidR="000167E1" w:rsidP="00AB2A49" w:rsidRDefault="00524B55" w14:paraId="16BBD6EC" w14:textId="6D54456A">
      <w:pPr>
        <w:pStyle w:val="NormalSS"/>
        <w:tabs>
          <w:tab w:val="left" w:pos="0"/>
        </w:tabs>
        <w:ind w:firstLine="0"/>
        <w:rPr>
          <w:rFonts w:eastAsiaTheme="minorEastAsia"/>
        </w:rPr>
      </w:pPr>
      <w:r w:rsidRPr="00EB1504">
        <w:rPr>
          <w:szCs w:val="24"/>
        </w:rPr>
        <w:t>There are no exceptions to the certification</w:t>
      </w:r>
      <w:r w:rsidR="003C517B">
        <w:rPr>
          <w:szCs w:val="24"/>
        </w:rPr>
        <w:t>.</w:t>
      </w:r>
      <w:bookmarkEnd w:id="60"/>
    </w:p>
    <w:sectPr w:rsidRPr="00EB1504" w:rsidR="000167E1" w:rsidSect="000167E1">
      <w:headerReference w:type="default" r:id="rId20"/>
      <w:footerReference w:type="default" r:id="rId21"/>
      <w:pgSz w:w="12240" w:h="15840"/>
      <w:pgMar w:top="1440" w:right="1440" w:bottom="1440" w:left="1440" w:header="720" w:footer="720" w:gutter="0"/>
      <w:pgBorders w:offsetFrom="page">
        <w:bottom w:val="single" w:color="FFFFFF" w:themeColor="background1"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9F6D" w14:textId="77777777" w:rsidR="007B01E1" w:rsidRDefault="007B01E1" w:rsidP="002E3E35">
      <w:pPr>
        <w:spacing w:line="240" w:lineRule="auto"/>
      </w:pPr>
      <w:r>
        <w:separator/>
      </w:r>
    </w:p>
  </w:endnote>
  <w:endnote w:type="continuationSeparator" w:id="0">
    <w:p w14:paraId="7E384975" w14:textId="77777777" w:rsidR="007B01E1" w:rsidRDefault="007B01E1" w:rsidP="002E3E35">
      <w:pPr>
        <w:spacing w:line="240" w:lineRule="auto"/>
      </w:pPr>
      <w:r>
        <w:continuationSeparator/>
      </w:r>
    </w:p>
  </w:endnote>
  <w:endnote w:type="continuationNotice" w:id="1">
    <w:p w14:paraId="1D96BE4B" w14:textId="77777777" w:rsidR="007B01E1" w:rsidRDefault="007B01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SimSun">
    <w:charset w:val="86"/>
    <w:family w:val="modern"/>
    <w:pitch w:val="fixed"/>
    <w:sig w:usb0="00000283" w:usb1="288F0000" w:usb2="00000016" w:usb3="00000000" w:csb0="00040001" w:csb1="00000000"/>
  </w:font>
  <w:font w:name="EEAGN D+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ycmfpAdvTT86d47313">
    <w:altName w:val="Cambria"/>
    <w:panose1 w:val="00000000000000000000"/>
    <w:charset w:val="00"/>
    <w:family w:val="roman"/>
    <w:notTrueType/>
    <w:pitch w:val="default"/>
    <w:sig w:usb0="00000003" w:usb1="00000000" w:usb2="00000000" w:usb3="00000000" w:csb0="00000001"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BD92" w14:textId="77777777" w:rsidR="009D1CBA" w:rsidRDefault="009D1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9411" w14:textId="77777777" w:rsidR="009D1CBA" w:rsidRDefault="009D1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42DF" w14:textId="77777777" w:rsidR="007B01E1" w:rsidRPr="00A12B64" w:rsidRDefault="007B01E1" w:rsidP="005E1A90">
    <w:pPr>
      <w:pStyle w:val="Footer"/>
      <w:pBdr>
        <w:bottom w:val="none" w:sz="0" w:space="0" w:color="auto"/>
      </w:pBdr>
      <w:tabs>
        <w:tab w:val="clear" w:pos="4320"/>
        <w:tab w:val="right" w:leader="underscore" w:pos="8539"/>
      </w:tabs>
      <w:spacing w:line="192" w:lineRule="auto"/>
      <w:rPr>
        <w:rFonts w:cs="Arial"/>
        <w:snapToGrid w:val="0"/>
        <w:szCs w:val="14"/>
      </w:rPr>
    </w:pPr>
  </w:p>
  <w:p w14:paraId="6CFD28E6" w14:textId="77777777" w:rsidR="007B01E1" w:rsidRDefault="007B01E1" w:rsidP="005E1A90">
    <w:pPr>
      <w:pStyle w:val="Footer"/>
      <w:pBdr>
        <w:top w:val="single" w:sz="2" w:space="1" w:color="auto"/>
        <w:bottom w:val="none" w:sz="0" w:space="0" w:color="auto"/>
      </w:pBdr>
      <w:spacing w:line="192" w:lineRule="auto"/>
      <w:rPr>
        <w:rStyle w:val="PageNumber"/>
      </w:rPr>
    </w:pPr>
  </w:p>
  <w:p w14:paraId="4716DFC3" w14:textId="46BFD662" w:rsidR="007B01E1" w:rsidRPr="00964AB7" w:rsidRDefault="007B01E1" w:rsidP="005E1A90">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9</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707065"/>
      <w:docPartObj>
        <w:docPartGallery w:val="Page Numbers (Bottom of Page)"/>
        <w:docPartUnique/>
      </w:docPartObj>
    </w:sdtPr>
    <w:sdtEndPr>
      <w:rPr>
        <w:noProof/>
      </w:rPr>
    </w:sdtEndPr>
    <w:sdtContent>
      <w:p w14:paraId="2D6C938D" w14:textId="7E4AF5B1" w:rsidR="007B01E1" w:rsidRDefault="007B01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3C0757" w14:textId="76E0E98C" w:rsidR="007B01E1" w:rsidRPr="00964AB7" w:rsidRDefault="007B01E1" w:rsidP="005E1A90">
    <w:pPr>
      <w:pStyle w:val="Footer"/>
      <w:pBdr>
        <w:top w:val="single" w:sz="2" w:space="1" w:color="auto"/>
        <w:bottom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78F8" w14:textId="68031660" w:rsidR="007B01E1" w:rsidRPr="00964AB7" w:rsidRDefault="007B01E1" w:rsidP="00370BC5">
    <w:pPr>
      <w:pStyle w:val="Footer"/>
      <w:pBdr>
        <w:top w:val="single" w:sz="2" w:space="1" w:color="auto"/>
        <w:bottom w:val="none" w:sz="0"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0F803" w14:textId="77777777" w:rsidR="007B01E1" w:rsidRDefault="007B01E1" w:rsidP="00203E3B">
      <w:pPr>
        <w:spacing w:line="240" w:lineRule="auto"/>
        <w:ind w:firstLine="0"/>
      </w:pPr>
      <w:r>
        <w:separator/>
      </w:r>
    </w:p>
  </w:footnote>
  <w:footnote w:type="continuationSeparator" w:id="0">
    <w:p w14:paraId="7AB2464D" w14:textId="77777777" w:rsidR="007B01E1" w:rsidRDefault="007B01E1" w:rsidP="00203E3B">
      <w:pPr>
        <w:spacing w:line="240" w:lineRule="auto"/>
        <w:ind w:firstLine="0"/>
      </w:pPr>
      <w:r>
        <w:separator/>
      </w:r>
    </w:p>
    <w:p w14:paraId="243FF16F" w14:textId="77777777" w:rsidR="007B01E1" w:rsidRPr="00157CA2" w:rsidRDefault="007B01E1" w:rsidP="00203E3B">
      <w:pPr>
        <w:spacing w:after="120" w:line="240" w:lineRule="auto"/>
        <w:ind w:firstLine="0"/>
        <w:rPr>
          <w:sz w:val="20"/>
        </w:rPr>
      </w:pPr>
      <w:r w:rsidRPr="00157CA2">
        <w:rPr>
          <w:i/>
          <w:sz w:val="20"/>
        </w:rPr>
        <w:t>(continued)</w:t>
      </w:r>
    </w:p>
  </w:footnote>
  <w:footnote w:type="continuationNotice" w:id="1">
    <w:p w14:paraId="4C1C46EB" w14:textId="77777777" w:rsidR="007B01E1" w:rsidRDefault="007B01E1">
      <w:pPr>
        <w:spacing w:line="240" w:lineRule="auto"/>
      </w:pPr>
    </w:p>
  </w:footnote>
  <w:footnote w:id="2">
    <w:p w14:paraId="5B6A3E67" w14:textId="7A210CD2" w:rsidR="007B01E1" w:rsidRDefault="007B01E1" w:rsidP="00135DC6">
      <w:pPr>
        <w:pStyle w:val="CommentText"/>
        <w:ind w:firstLine="0"/>
        <w:rPr>
          <w:rStyle w:val="Hyperlink"/>
          <w:color w:val="auto"/>
          <w:u w:val="none"/>
        </w:rPr>
      </w:pPr>
      <w:r w:rsidRPr="00A7388B">
        <w:rPr>
          <w:rStyle w:val="FootnoteReference"/>
          <w:sz w:val="20"/>
        </w:rPr>
        <w:footnoteRef/>
      </w:r>
      <w:r w:rsidRPr="00744700">
        <w:t xml:space="preserve"> Wide-ranging online data for epidemiologic research (WONDER). Atlanta, GA: CDC, National Center for Health Statistics; 2020. Available at </w:t>
      </w:r>
      <w:hyperlink r:id="rId1">
        <w:r w:rsidRPr="00744700">
          <w:rPr>
            <w:rStyle w:val="Hyperlink"/>
            <w:color w:val="auto"/>
            <w:u w:val="none"/>
          </w:rPr>
          <w:t>http://wonder.cdc.gov.</w:t>
        </w:r>
      </w:hyperlink>
    </w:p>
    <w:p w14:paraId="60F5DF81" w14:textId="77777777" w:rsidR="007B01E1" w:rsidRPr="00744700" w:rsidRDefault="007B01E1" w:rsidP="00135DC6">
      <w:pPr>
        <w:pStyle w:val="CommentText"/>
        <w:ind w:firstLine="0"/>
      </w:pPr>
    </w:p>
  </w:footnote>
  <w:footnote w:id="3">
    <w:p w14:paraId="27D8560D" w14:textId="623C6E1B" w:rsidR="007B01E1" w:rsidRDefault="007B01E1">
      <w:pPr>
        <w:pStyle w:val="FootnoteText"/>
      </w:pPr>
      <w:r w:rsidRPr="00A7388B">
        <w:rPr>
          <w:rStyle w:val="FootnoteReference"/>
          <w:sz w:val="20"/>
        </w:rPr>
        <w:footnoteRef/>
      </w:r>
      <w:r w:rsidRPr="00744700">
        <w:t xml:space="preserve"> Mattson CL, Tanz LJ, Quinn K, Kariisa M, Patel P, Davis NL. Trends and Geographic Patterns in Drug and Synthetic Opioid Overdose Deaths — United States, 2013–2019. MMWR Morb Mortal Wkly Rep 2021;70:202–207.</w:t>
      </w:r>
    </w:p>
  </w:footnote>
  <w:footnote w:id="4">
    <w:p w14:paraId="0A87DC5C" w14:textId="3BF273A9" w:rsidR="007B01E1" w:rsidRDefault="007B01E1">
      <w:pPr>
        <w:pStyle w:val="FootnoteText"/>
      </w:pPr>
      <w:r>
        <w:rPr>
          <w:rStyle w:val="FootnoteReference"/>
        </w:rPr>
        <w:footnoteRef/>
      </w:r>
      <w:r>
        <w:t xml:space="preserve"> Wide-ranging online data for epidemiologic research (WONDER). Atlanta, GA: CDC, National Center for Health Statistics; 2020. Available at http://wonder.cdc.gov.</w:t>
      </w:r>
    </w:p>
  </w:footnote>
  <w:footnote w:id="5">
    <w:p w14:paraId="58178D52" w14:textId="77777777" w:rsidR="007B01E1" w:rsidRPr="00521ABE" w:rsidRDefault="007B01E1" w:rsidP="00D9218A">
      <w:pPr>
        <w:pStyle w:val="FootnoteText"/>
        <w:spacing w:after="0"/>
      </w:pPr>
      <w:r w:rsidRPr="008D0F29">
        <w:rPr>
          <w:rStyle w:val="FootnoteReference"/>
          <w:sz w:val="20"/>
        </w:rPr>
        <w:footnoteRef/>
      </w:r>
      <w:r w:rsidRPr="00744700">
        <w:t xml:space="preserve"> </w:t>
      </w:r>
      <w:r>
        <w:t>From “</w:t>
      </w:r>
      <w:r w:rsidRPr="00521ABE">
        <w:t>CDC Strategic Framework and Priorities</w:t>
      </w:r>
      <w:r>
        <w:t xml:space="preserve">,” </w:t>
      </w:r>
      <w:hyperlink r:id="rId2" w:history="1">
        <w:r w:rsidRPr="00141AA3">
          <w:rPr>
            <w:rStyle w:val="Hyperlink"/>
            <w:rFonts w:eastAsia="Calibri"/>
          </w:rPr>
          <w:t>https://www.cdc.gov/about/organization/strategic-framework/index.html</w:t>
        </w:r>
      </w:hyperlink>
      <w:r>
        <w:rPr>
          <w:rFonts w:eastAsia="Calibri"/>
        </w:rPr>
        <w:t>, accessed August 31, 2021.</w:t>
      </w:r>
    </w:p>
  </w:footnote>
  <w:footnote w:id="6">
    <w:p w14:paraId="1A956553" w14:textId="77777777" w:rsidR="007B01E1" w:rsidRDefault="007B01E1" w:rsidP="00D9218A">
      <w:pPr>
        <w:pStyle w:val="FootnoteText"/>
        <w:spacing w:after="0"/>
      </w:pPr>
      <w:r w:rsidRPr="008F2A7B">
        <w:rPr>
          <w:rStyle w:val="FootnoteReference"/>
          <w:sz w:val="20"/>
        </w:rPr>
        <w:footnoteRef/>
      </w:r>
      <w:r>
        <w:t xml:space="preserve"> From “U.S. Department of Health and Human Services Strategy to Combat Opioid Abuse, Misuse, and Overdose</w:t>
      </w:r>
    </w:p>
    <w:p w14:paraId="705CCF28" w14:textId="77777777" w:rsidR="007B01E1" w:rsidRPr="0004330C" w:rsidRDefault="007B01E1" w:rsidP="00D9218A">
      <w:pPr>
        <w:pStyle w:val="FootnoteText"/>
        <w:spacing w:after="0"/>
      </w:pPr>
      <w:r>
        <w:t xml:space="preserve">A Framework Based on the Five Point Strategy,” available at </w:t>
      </w:r>
      <w:hyperlink r:id="rId3" w:history="1">
        <w:r w:rsidRPr="00876D1D">
          <w:rPr>
            <w:rStyle w:val="Hyperlink"/>
            <w:rFonts w:eastAsia="Calibri"/>
          </w:rPr>
          <w:t>https://www.hhs.gov/opioids/sites/default/files/2018-09/opioid-fivepoint-strategy-20180917-508compliant.pdf</w:t>
        </w:r>
      </w:hyperlink>
      <w:r w:rsidRPr="0004330C">
        <w:rPr>
          <w:rFonts w:eastAsia="Calibri"/>
        </w:rPr>
        <w:t>, accessed August 31, 2021.</w:t>
      </w:r>
    </w:p>
  </w:footnote>
  <w:footnote w:id="7">
    <w:p w14:paraId="3F7C5FC4" w14:textId="245DC22F" w:rsidR="007B01E1" w:rsidRDefault="007B01E1">
      <w:pPr>
        <w:pStyle w:val="FootnoteText"/>
      </w:pPr>
      <w:r>
        <w:rPr>
          <w:rStyle w:val="FootnoteReference"/>
        </w:rPr>
        <w:footnoteRef/>
      </w:r>
      <w:r>
        <w:t xml:space="preserve"> </w:t>
      </w:r>
      <w:r w:rsidRPr="00F854F2">
        <w:t>https://www.ahrq.gov/cahps/index.html</w:t>
      </w:r>
    </w:p>
  </w:footnote>
  <w:footnote w:id="8">
    <w:p w14:paraId="04004D99" w14:textId="77777777" w:rsidR="007B01E1" w:rsidRDefault="007B01E1" w:rsidP="008D7F7E">
      <w:pPr>
        <w:pStyle w:val="FootnoteText"/>
      </w:pPr>
      <w:r>
        <w:rPr>
          <w:rStyle w:val="FootnoteReference"/>
        </w:rPr>
        <w:footnoteRef/>
      </w:r>
      <w:r>
        <w:t xml:space="preserve"> </w:t>
      </w:r>
      <w:r>
        <w:tab/>
      </w:r>
      <w:r w:rsidRPr="00EC427C">
        <w:t>Creswell, J. W., &amp; Miller, D. L. (2000). Getting good qualitative data to improve educational practice, Theory Into Practice, 39(3), 124-130.</w:t>
      </w:r>
    </w:p>
  </w:footnote>
  <w:footnote w:id="9">
    <w:p w14:paraId="1AAD8EBF" w14:textId="77777777" w:rsidR="007B01E1" w:rsidRDefault="007B01E1" w:rsidP="008D7F7E">
      <w:pPr>
        <w:pStyle w:val="FootnoteText"/>
      </w:pPr>
      <w:r>
        <w:rPr>
          <w:rStyle w:val="FootnoteReference"/>
        </w:rPr>
        <w:footnoteRef/>
      </w:r>
      <w:r>
        <w:t xml:space="preserve"> </w:t>
      </w:r>
      <w:r>
        <w:tab/>
      </w:r>
      <w:r w:rsidRPr="00EC427C">
        <w:t>Candela AG. Exploring the function of member checking. The Qualitative Report. 2019 Mar 1;</w:t>
      </w:r>
      <w:r>
        <w:t xml:space="preserve"> </w:t>
      </w:r>
      <w:r w:rsidRPr="00EC427C">
        <w:t>24(3):619-28.</w:t>
      </w:r>
    </w:p>
  </w:footnote>
  <w:footnote w:id="10">
    <w:p w14:paraId="0F49F6A7" w14:textId="77777777" w:rsidR="007B01E1" w:rsidRDefault="007B01E1" w:rsidP="008D7F7E">
      <w:pPr>
        <w:pStyle w:val="FootnoteText"/>
      </w:pPr>
      <w:r>
        <w:rPr>
          <w:rStyle w:val="FootnoteReference"/>
        </w:rPr>
        <w:footnoteRef/>
      </w:r>
      <w:r>
        <w:t xml:space="preserve"> </w:t>
      </w:r>
      <w:r>
        <w:tab/>
      </w:r>
      <w:r w:rsidRPr="0036605D">
        <w:t>Cohen DJ, Balasubramanian BA, Gordon L, Marino M, Ono S, Solberg LI, Crabtree BF, Stange KC, Davis M, Miller WL, Damschroder LJ. A national evaluation of a dissemination and implementation initiative to enhance primary care practice capacity and improve cardiovascular disease care: the ESCALATES study protocol. Implementation Science. 2015 Dec;</w:t>
      </w:r>
      <w:r>
        <w:t xml:space="preserve"> </w:t>
      </w:r>
      <w:r w:rsidRPr="0036605D">
        <w:t>11(1):86.</w:t>
      </w:r>
    </w:p>
  </w:footnote>
  <w:footnote w:id="11">
    <w:p w14:paraId="2388202A" w14:textId="77777777" w:rsidR="007B01E1" w:rsidRDefault="007B01E1" w:rsidP="008D7F7E">
      <w:pPr>
        <w:pStyle w:val="FootnoteText"/>
      </w:pPr>
      <w:r>
        <w:rPr>
          <w:rStyle w:val="FootnoteReference"/>
        </w:rPr>
        <w:footnoteRef/>
      </w:r>
      <w:r>
        <w:t xml:space="preserve"> </w:t>
      </w:r>
      <w:r>
        <w:tab/>
      </w:r>
      <w:r w:rsidRPr="00EC427C">
        <w:t>Lincoln YS, Guba EG. But is it rigorous? Trustworthiness and authenticity in naturalistic evaluation. N Dir Eval. 1986;</w:t>
      </w:r>
      <w:r>
        <w:t xml:space="preserve"> 1986 (30):73–84.</w:t>
      </w:r>
    </w:p>
  </w:footnote>
  <w:footnote w:id="12">
    <w:p w14:paraId="3846A747" w14:textId="77777777" w:rsidR="007B01E1" w:rsidRDefault="007B01E1" w:rsidP="008D7F7E">
      <w:pPr>
        <w:pStyle w:val="FootnoteText"/>
      </w:pPr>
      <w:r>
        <w:rPr>
          <w:rStyle w:val="FootnoteReference"/>
        </w:rPr>
        <w:footnoteRef/>
      </w:r>
      <w:r>
        <w:t xml:space="preserve"> </w:t>
      </w:r>
      <w:r>
        <w:tab/>
      </w:r>
      <w:r w:rsidRPr="00DB0CCF">
        <w:t>Cohen DJ, Crabtree BF. Evaluative criteria for qualitative research in health care: controversies and recommendations. The Annals of Family Medicine. 2008 Jul 1;</w:t>
      </w:r>
      <w:r>
        <w:t xml:space="preserve"> </w:t>
      </w:r>
      <w:r w:rsidRPr="00DB0CCF">
        <w:t>6(4):331-9.</w:t>
      </w:r>
    </w:p>
  </w:footnote>
  <w:footnote w:id="13">
    <w:p w14:paraId="0ECB7474" w14:textId="77777777" w:rsidR="007B01E1" w:rsidRPr="00E96D76" w:rsidRDefault="007B01E1" w:rsidP="00B416CA">
      <w:pPr>
        <w:pStyle w:val="CommentText"/>
      </w:pPr>
      <w:r w:rsidRPr="00E96D76">
        <w:rPr>
          <w:rStyle w:val="FootnoteReference"/>
        </w:rPr>
        <w:footnoteRef/>
      </w:r>
      <w:r w:rsidRPr="00E96D76">
        <w:t xml:space="preserve"> </w:t>
      </w:r>
      <w:r w:rsidRPr="00E96D76">
        <w:rPr>
          <w:color w:val="212121"/>
          <w:shd w:val="clear" w:color="auto" w:fill="FFFFFF"/>
        </w:rPr>
        <w:t>Bohnert ASB, Guy GP Jr, Losby JL. Opioid Prescribing in the United States Before and After the Centers for Disease Control and Prevention's 2016 Opioid Guideline. Ann Intern Med. 2018 Sep 18;169(6):367-375. doi: 10.7326/M18-1243. Epub 2018 Aug 28. PMID: 30167651; PMCID: PMC6176709.</w:t>
      </w:r>
    </w:p>
    <w:p w14:paraId="2E3F3965" w14:textId="77777777" w:rsidR="007B01E1" w:rsidRDefault="007B01E1" w:rsidP="00B416CA">
      <w:pPr>
        <w:pStyle w:val="FootnoteText"/>
      </w:pPr>
    </w:p>
  </w:footnote>
  <w:footnote w:id="14">
    <w:p w14:paraId="42689478" w14:textId="128CFBA1" w:rsidR="007B01E1" w:rsidRPr="0030340D" w:rsidRDefault="007B01E1">
      <w:pPr>
        <w:pStyle w:val="FootnoteText"/>
        <w:rPr>
          <w:i/>
        </w:rPr>
      </w:pPr>
      <w:r>
        <w:rPr>
          <w:rStyle w:val="FootnoteReference"/>
        </w:rPr>
        <w:footnoteRef/>
      </w:r>
      <w:r>
        <w:t xml:space="preserve"> </w:t>
      </w:r>
      <w:r w:rsidRPr="0030340D">
        <w:t xml:space="preserve">Edwards P, Roberts I, Clarke M, DiGuiseppi C, Pratap S, Wentz R, Kwan I.  Increasing response rates to postal questionnaires:  systematic review.  </w:t>
      </w:r>
      <w:r w:rsidRPr="0030340D">
        <w:rPr>
          <w:i/>
        </w:rPr>
        <w:t xml:space="preserve">British Medical Journal.  </w:t>
      </w:r>
      <w:r w:rsidRPr="0030340D">
        <w:t>2002;324:1183.</w:t>
      </w:r>
    </w:p>
  </w:footnote>
  <w:footnote w:id="15">
    <w:p w14:paraId="269CE4FD" w14:textId="77777777" w:rsidR="007B01E1" w:rsidRDefault="007B01E1" w:rsidP="00CA1218">
      <w:pPr>
        <w:pStyle w:val="FootnoteText"/>
      </w:pPr>
      <w:r>
        <w:rPr>
          <w:rStyle w:val="FootnoteReference"/>
        </w:rPr>
        <w:footnoteRef/>
      </w:r>
      <w:r>
        <w:t xml:space="preserve"> </w:t>
      </w:r>
      <w:r w:rsidRPr="00325422">
        <w:t>Ajay D. Wasan, MD, MSc, Simone P. Taubenberger, PhD, Walter M. Robinson, MD, MPH, Reasons for Participation in Pain Research: Can They Indicate a Lack of Informed Consent?, </w:t>
      </w:r>
      <w:r w:rsidRPr="00325422">
        <w:rPr>
          <w:i/>
          <w:iCs/>
        </w:rPr>
        <w:t>Pain Medicine</w:t>
      </w:r>
      <w:r w:rsidRPr="00325422">
        <w:t>, Volume 10, Issue 1, January 2009, Pages 111–119, </w:t>
      </w:r>
      <w:r w:rsidRPr="003C0130">
        <w:t>https://doi.org/10.1111/j.1526-4637.2008.00481.</w:t>
      </w:r>
    </w:p>
  </w:footnote>
  <w:footnote w:id="16">
    <w:p w14:paraId="152E78B4" w14:textId="5546C024" w:rsidR="007B01E1" w:rsidRDefault="007B01E1">
      <w:pPr>
        <w:pStyle w:val="FootnoteText"/>
      </w:pPr>
      <w:r>
        <w:rPr>
          <w:rStyle w:val="FootnoteReference"/>
        </w:rPr>
        <w:footnoteRef/>
      </w:r>
      <w:r>
        <w:t xml:space="preserve"> Beebe, T. J., Davern, M. E., McAlpine, D. D., Call, K. T., Rockwood, T. H. (2005). Increasing response rates in a survey of Medicaid enrolless: the effect of a prepaid monetary incentive and mixed modes (mail and telephone). </w:t>
      </w:r>
      <w:r w:rsidRPr="00560C6A">
        <w:rPr>
          <w:i/>
          <w:iCs/>
        </w:rPr>
        <w:t>Medical Care, 43</w:t>
      </w:r>
      <w:r>
        <w:t>, 411-414.</w:t>
      </w:r>
    </w:p>
  </w:footnote>
  <w:footnote w:id="17">
    <w:p w14:paraId="6E1E54B4" w14:textId="707DAA16" w:rsidR="007B01E1" w:rsidRDefault="007B01E1">
      <w:pPr>
        <w:pStyle w:val="FootnoteText"/>
      </w:pPr>
      <w:r>
        <w:rPr>
          <w:rStyle w:val="FootnoteReference"/>
        </w:rPr>
        <w:footnoteRef/>
      </w:r>
      <w:r>
        <w:t xml:space="preserve"> Dykema, J., Stevenson, J., Kniss, C., et al. (2012). Use of monetary and nonmonetary incentives to increase response rates among African Americans in the Wisconsis Pregnancy Risk Assessment Monitoring System. </w:t>
      </w:r>
      <w:r w:rsidRPr="00560C6A">
        <w:rPr>
          <w:i/>
          <w:iCs/>
        </w:rPr>
        <w:t>Maternal Child Health Journal, 16</w:t>
      </w:r>
      <w:r>
        <w:t>, 785-791.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C485" w14:textId="77777777" w:rsidR="009D1CBA" w:rsidRDefault="009D1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558A" w14:textId="22B044AD" w:rsidR="007B01E1" w:rsidRDefault="007B01E1" w:rsidP="00A36702">
    <w:pPr>
      <w:pStyle w:val="Header"/>
      <w:tabs>
        <w:tab w:val="clear" w:pos="9360"/>
        <w:tab w:val="left" w:pos="2880"/>
      </w:tabs>
    </w:pPr>
    <w:r>
      <w:tab/>
    </w:r>
    <w:r>
      <w:tab/>
    </w:r>
    <w:r>
      <w:tab/>
    </w:r>
    <w:r>
      <w:tab/>
    </w:r>
    <w:r>
      <w:tab/>
    </w:r>
    <w:r>
      <w:tab/>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17EB" w14:textId="77777777" w:rsidR="009D1CBA" w:rsidRDefault="009D1C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4BAC" w14:textId="77777777" w:rsidR="007B01E1" w:rsidRPr="00305979" w:rsidRDefault="007B01E1" w:rsidP="00E90E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CD7C" w14:textId="77777777" w:rsidR="007B01E1" w:rsidRPr="00C44B5B" w:rsidRDefault="007B01E1" w:rsidP="00291CC9">
    <w:pPr>
      <w:pStyle w:val="Header"/>
      <w:rPr>
        <w:rFonts w:cs="Arial"/>
        <w:i/>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C0"/>
    <w:multiLevelType w:val="hybridMultilevel"/>
    <w:tmpl w:val="6BBEE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96A9F"/>
    <w:multiLevelType w:val="hybridMultilevel"/>
    <w:tmpl w:val="61509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78018C"/>
    <w:multiLevelType w:val="hybridMultilevel"/>
    <w:tmpl w:val="07E6655E"/>
    <w:lvl w:ilvl="0" w:tplc="4C108BD0">
      <w:start w:val="1"/>
      <w:numFmt w:val="bullet"/>
      <w:pStyle w:val="TableBullets"/>
      <w:lvlText w:val=""/>
      <w:lvlJc w:val="left"/>
      <w:pPr>
        <w:ind w:left="900" w:hanging="360"/>
      </w:pPr>
      <w:rPr>
        <w:rFonts w:ascii="Symbol" w:hAnsi="Symbol" w:hint="default"/>
        <w:color w:val="DA291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30DA7"/>
    <w:multiLevelType w:val="hybridMultilevel"/>
    <w:tmpl w:val="E22A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67470"/>
    <w:multiLevelType w:val="hybridMultilevel"/>
    <w:tmpl w:val="82EAB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440D84"/>
    <w:multiLevelType w:val="hybridMultilevel"/>
    <w:tmpl w:val="DFF2CB94"/>
    <w:lvl w:ilvl="0" w:tplc="9D6A7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C78DB"/>
    <w:multiLevelType w:val="hybridMultilevel"/>
    <w:tmpl w:val="7EC84A54"/>
    <w:lvl w:ilvl="0" w:tplc="04090001">
      <w:start w:val="1"/>
      <w:numFmt w:val="bullet"/>
      <w:lvlText w:val=""/>
      <w:lvlJc w:val="left"/>
      <w:pPr>
        <w:ind w:left="2550" w:hanging="360"/>
      </w:pPr>
      <w:rPr>
        <w:rFonts w:ascii="Symbol" w:hAnsi="Symbo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8" w15:restartNumberingAfterBreak="0">
    <w:nsid w:val="23BD46E0"/>
    <w:multiLevelType w:val="hybridMultilevel"/>
    <w:tmpl w:val="775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15:restartNumberingAfterBreak="0">
    <w:nsid w:val="26AE2419"/>
    <w:multiLevelType w:val="hybridMultilevel"/>
    <w:tmpl w:val="158E582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561B0"/>
    <w:multiLevelType w:val="hybridMultilevel"/>
    <w:tmpl w:val="E62E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355B3504"/>
    <w:multiLevelType w:val="hybridMultilevel"/>
    <w:tmpl w:val="16365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4C6A2A"/>
    <w:multiLevelType w:val="hybridMultilevel"/>
    <w:tmpl w:val="0A2A3FC0"/>
    <w:lvl w:ilvl="0" w:tplc="F7506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30C3F"/>
    <w:multiLevelType w:val="hybridMultilevel"/>
    <w:tmpl w:val="3D46F286"/>
    <w:styleLink w:val="MPROutlin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757319"/>
    <w:multiLevelType w:val="hybridMultilevel"/>
    <w:tmpl w:val="5C0C90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C6048B"/>
    <w:multiLevelType w:val="singleLevel"/>
    <w:tmpl w:val="F11C7886"/>
    <w:lvl w:ilvl="0">
      <w:start w:val="1"/>
      <w:numFmt w:val="decimal"/>
      <w:pStyle w:val="NumberedBullet"/>
      <w:lvlText w:val="%1."/>
      <w:lvlJc w:val="left"/>
      <w:pPr>
        <w:ind w:left="432" w:hanging="432"/>
      </w:pPr>
      <w:rPr>
        <w:rFonts w:hint="default"/>
      </w:rPr>
    </w:lvl>
  </w:abstractNum>
  <w:abstractNum w:abstractNumId="1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803A9"/>
    <w:multiLevelType w:val="hybridMultilevel"/>
    <w:tmpl w:val="60DE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D7C5E"/>
    <w:multiLevelType w:val="hybridMultilevel"/>
    <w:tmpl w:val="539E4A34"/>
    <w:lvl w:ilvl="0" w:tplc="34B8D3F4">
      <w:start w:val="1"/>
      <w:numFmt w:val="bullet"/>
      <w:pStyle w:val="TableBullets2"/>
      <w:lvlText w:val=""/>
      <w:lvlJc w:val="left"/>
      <w:pPr>
        <w:ind w:left="767" w:hanging="360"/>
      </w:pPr>
      <w:rPr>
        <w:rFonts w:ascii="Symbol" w:hAnsi="Symbol" w:hint="default"/>
        <w:color w:val="000000" w:themeColor="text1"/>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1" w15:restartNumberingAfterBreak="0">
    <w:nsid w:val="5C172B76"/>
    <w:multiLevelType w:val="hybridMultilevel"/>
    <w:tmpl w:val="25849F86"/>
    <w:lvl w:ilvl="0" w:tplc="4D7845F2">
      <w:start w:val="1"/>
      <w:numFmt w:val="decimal"/>
      <w:pStyle w:val="tabletextnumbered"/>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F05681"/>
    <w:multiLevelType w:val="hybridMultilevel"/>
    <w:tmpl w:val="BB8C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0478C"/>
    <w:multiLevelType w:val="hybridMultilevel"/>
    <w:tmpl w:val="A0288AC6"/>
    <w:lvl w:ilvl="0" w:tplc="B6882E88">
      <w:start w:val="1"/>
      <w:numFmt w:val="bullet"/>
      <w:pStyle w:val="Bullet"/>
      <w:lvlText w:val=""/>
      <w:lvlJc w:val="left"/>
      <w:pPr>
        <w:ind w:left="1584" w:hanging="360"/>
      </w:pPr>
      <w:rPr>
        <w:rFonts w:ascii="Symbol" w:hAnsi="Symbol" w:hint="default"/>
      </w:rPr>
    </w:lvl>
    <w:lvl w:ilvl="1" w:tplc="677427C6">
      <w:start w:val="1"/>
      <w:numFmt w:val="bullet"/>
      <w:lvlText w:val="-"/>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70E42EB9"/>
    <w:multiLevelType w:val="hybridMultilevel"/>
    <w:tmpl w:val="16DA146C"/>
    <w:lvl w:ilvl="0" w:tplc="C49069F4">
      <w:start w:val="1"/>
      <w:numFmt w:val="decimal"/>
      <w:pStyle w:val="TableNumberedBulle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C46718"/>
    <w:multiLevelType w:val="hybridMultilevel"/>
    <w:tmpl w:val="BC42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E0EA7"/>
    <w:multiLevelType w:val="hybridMultilevel"/>
    <w:tmpl w:val="788291AE"/>
    <w:lvl w:ilvl="0" w:tplc="F3A81E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F7770"/>
    <w:multiLevelType w:val="hybridMultilevel"/>
    <w:tmpl w:val="8EBEB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D63DA6"/>
    <w:multiLevelType w:val="singleLevel"/>
    <w:tmpl w:val="DB2CDB26"/>
    <w:lvl w:ilvl="0">
      <w:start w:val="1"/>
      <w:numFmt w:val="bullet"/>
      <w:pStyle w:val="Bullets"/>
      <w:lvlText w:val=""/>
      <w:lvlJc w:val="left"/>
      <w:pPr>
        <w:ind w:left="360" w:hanging="360"/>
      </w:pPr>
      <w:rPr>
        <w:rFonts w:ascii="Symbol" w:hAnsi="Symbol" w:hint="default"/>
        <w:color w:val="000000" w:themeColor="text1"/>
        <w:sz w:val="22"/>
      </w:rPr>
    </w:lvl>
  </w:abstractNum>
  <w:abstractNum w:abstractNumId="31" w15:restartNumberingAfterBreak="0">
    <w:nsid w:val="7CE538DB"/>
    <w:multiLevelType w:val="hybridMultilevel"/>
    <w:tmpl w:val="DA9EA0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F753D"/>
    <w:multiLevelType w:val="hybridMultilevel"/>
    <w:tmpl w:val="37225A8E"/>
    <w:lvl w:ilvl="0" w:tplc="5122E43C">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8"/>
  </w:num>
  <w:num w:numId="3">
    <w:abstractNumId w:val="27"/>
  </w:num>
  <w:num w:numId="4">
    <w:abstractNumId w:val="5"/>
  </w:num>
  <w:num w:numId="5">
    <w:abstractNumId w:val="25"/>
  </w:num>
  <w:num w:numId="6">
    <w:abstractNumId w:val="17"/>
  </w:num>
  <w:num w:numId="7">
    <w:abstractNumId w:val="12"/>
  </w:num>
  <w:num w:numId="8">
    <w:abstractNumId w:val="9"/>
  </w:num>
  <w:num w:numId="9">
    <w:abstractNumId w:val="2"/>
  </w:num>
  <w:num w:numId="10">
    <w:abstractNumId w:val="15"/>
  </w:num>
  <w:num w:numId="11">
    <w:abstractNumId w:val="24"/>
  </w:num>
  <w:num w:numId="12">
    <w:abstractNumId w:val="32"/>
  </w:num>
  <w:num w:numId="13">
    <w:abstractNumId w:val="0"/>
  </w:num>
  <w:num w:numId="14">
    <w:abstractNumId w:val="26"/>
  </w:num>
  <w:num w:numId="15">
    <w:abstractNumId w:val="30"/>
  </w:num>
  <w:num w:numId="16">
    <w:abstractNumId w:val="21"/>
  </w:num>
  <w:num w:numId="17">
    <w:abstractNumId w:val="31"/>
  </w:num>
  <w:num w:numId="18">
    <w:abstractNumId w:val="8"/>
  </w:num>
  <w:num w:numId="19">
    <w:abstractNumId w:val="20"/>
  </w:num>
  <w:num w:numId="20">
    <w:abstractNumId w:val="7"/>
  </w:num>
  <w:num w:numId="21">
    <w:abstractNumId w:val="13"/>
  </w:num>
  <w:num w:numId="22">
    <w:abstractNumId w:val="16"/>
  </w:num>
  <w:num w:numId="23">
    <w:abstractNumId w:val="10"/>
  </w:num>
  <w:num w:numId="24">
    <w:abstractNumId w:val="29"/>
  </w:num>
  <w:num w:numId="25">
    <w:abstractNumId w:val="10"/>
  </w:num>
  <w:num w:numId="26">
    <w:abstractNumId w:val="22"/>
  </w:num>
  <w:num w:numId="27">
    <w:abstractNumId w:val="14"/>
  </w:num>
  <w:num w:numId="28">
    <w:abstractNumId w:val="3"/>
  </w:num>
  <w:num w:numId="29">
    <w:abstractNumId w:val="28"/>
  </w:num>
  <w:num w:numId="30">
    <w:abstractNumId w:val="19"/>
  </w:num>
  <w:num w:numId="31">
    <w:abstractNumId w:val="1"/>
  </w:num>
  <w:num w:numId="32">
    <w:abstractNumId w:val="6"/>
  </w:num>
  <w:num w:numId="33">
    <w:abstractNumId w:val="30"/>
  </w:num>
  <w:num w:numId="34">
    <w:abstractNumId w:val="30"/>
  </w:num>
  <w:num w:numId="35">
    <w:abstractNumId w:val="4"/>
  </w:num>
  <w:num w:numId="3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isplayHorizontalDrawingGridEvery w:val="2"/>
  <w:characterSpacingControl w:val="doNotCompress"/>
  <w:hdrShapeDefaults>
    <o:shapedefaults v:ext="edit" spidmax="216065" style="mso-width-relative:margin;mso-height-relative:margin" fill="f" fillcolor="window" strokecolor="#4f81bd">
      <v:fill color="window" on="f"/>
      <v:stroke color="#4f81bd" weight="2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22"/>
    <w:rsid w:val="00001D38"/>
    <w:rsid w:val="00002417"/>
    <w:rsid w:val="00002418"/>
    <w:rsid w:val="00002496"/>
    <w:rsid w:val="00002E21"/>
    <w:rsid w:val="000030B1"/>
    <w:rsid w:val="00004CE9"/>
    <w:rsid w:val="000051BE"/>
    <w:rsid w:val="00005268"/>
    <w:rsid w:val="000058B3"/>
    <w:rsid w:val="000065B7"/>
    <w:rsid w:val="0000667F"/>
    <w:rsid w:val="00010CEE"/>
    <w:rsid w:val="0001131A"/>
    <w:rsid w:val="0001134B"/>
    <w:rsid w:val="0001226C"/>
    <w:rsid w:val="000136A7"/>
    <w:rsid w:val="000145C0"/>
    <w:rsid w:val="000147E1"/>
    <w:rsid w:val="00015334"/>
    <w:rsid w:val="0001587F"/>
    <w:rsid w:val="00016500"/>
    <w:rsid w:val="000167E1"/>
    <w:rsid w:val="00016D34"/>
    <w:rsid w:val="0002091B"/>
    <w:rsid w:val="00020BF5"/>
    <w:rsid w:val="000213AD"/>
    <w:rsid w:val="00021E52"/>
    <w:rsid w:val="0002238E"/>
    <w:rsid w:val="000227FA"/>
    <w:rsid w:val="0002322B"/>
    <w:rsid w:val="0002335E"/>
    <w:rsid w:val="00023A13"/>
    <w:rsid w:val="00024615"/>
    <w:rsid w:val="000246C1"/>
    <w:rsid w:val="00024DFA"/>
    <w:rsid w:val="000265E3"/>
    <w:rsid w:val="000268E3"/>
    <w:rsid w:val="00026F27"/>
    <w:rsid w:val="0002754E"/>
    <w:rsid w:val="00030CFD"/>
    <w:rsid w:val="000314BB"/>
    <w:rsid w:val="00031A0A"/>
    <w:rsid w:val="00031D5F"/>
    <w:rsid w:val="0003265D"/>
    <w:rsid w:val="00032E0A"/>
    <w:rsid w:val="00032E4E"/>
    <w:rsid w:val="00033A0D"/>
    <w:rsid w:val="00033A29"/>
    <w:rsid w:val="00034185"/>
    <w:rsid w:val="00034667"/>
    <w:rsid w:val="00037398"/>
    <w:rsid w:val="00037739"/>
    <w:rsid w:val="00037BDB"/>
    <w:rsid w:val="00037C99"/>
    <w:rsid w:val="00040203"/>
    <w:rsid w:val="00040668"/>
    <w:rsid w:val="00040B2C"/>
    <w:rsid w:val="00041D40"/>
    <w:rsid w:val="000423BE"/>
    <w:rsid w:val="00042419"/>
    <w:rsid w:val="00042A2C"/>
    <w:rsid w:val="00042FA8"/>
    <w:rsid w:val="0004330C"/>
    <w:rsid w:val="0004377E"/>
    <w:rsid w:val="00043A9A"/>
    <w:rsid w:val="00043B27"/>
    <w:rsid w:val="00043B97"/>
    <w:rsid w:val="00043EB0"/>
    <w:rsid w:val="000449AC"/>
    <w:rsid w:val="000457E9"/>
    <w:rsid w:val="000463D7"/>
    <w:rsid w:val="000468DF"/>
    <w:rsid w:val="00047159"/>
    <w:rsid w:val="00047BDD"/>
    <w:rsid w:val="00050473"/>
    <w:rsid w:val="00050DB0"/>
    <w:rsid w:val="000511C3"/>
    <w:rsid w:val="00051295"/>
    <w:rsid w:val="000512C4"/>
    <w:rsid w:val="000513A3"/>
    <w:rsid w:val="00051971"/>
    <w:rsid w:val="00052AFF"/>
    <w:rsid w:val="00052EA3"/>
    <w:rsid w:val="00053227"/>
    <w:rsid w:val="000541AE"/>
    <w:rsid w:val="0005460C"/>
    <w:rsid w:val="000555A0"/>
    <w:rsid w:val="0005584B"/>
    <w:rsid w:val="0005600F"/>
    <w:rsid w:val="000561B9"/>
    <w:rsid w:val="00056513"/>
    <w:rsid w:val="00056BC1"/>
    <w:rsid w:val="000575D5"/>
    <w:rsid w:val="000578BB"/>
    <w:rsid w:val="00057DDA"/>
    <w:rsid w:val="00057EED"/>
    <w:rsid w:val="00060579"/>
    <w:rsid w:val="00060766"/>
    <w:rsid w:val="00060B83"/>
    <w:rsid w:val="00060F85"/>
    <w:rsid w:val="0006225E"/>
    <w:rsid w:val="000624E3"/>
    <w:rsid w:val="000624E4"/>
    <w:rsid w:val="000633AA"/>
    <w:rsid w:val="000633FE"/>
    <w:rsid w:val="00063400"/>
    <w:rsid w:val="00065B14"/>
    <w:rsid w:val="0006749E"/>
    <w:rsid w:val="000674D4"/>
    <w:rsid w:val="00067D5A"/>
    <w:rsid w:val="0007041A"/>
    <w:rsid w:val="00071B98"/>
    <w:rsid w:val="00072491"/>
    <w:rsid w:val="00072E2D"/>
    <w:rsid w:val="00074194"/>
    <w:rsid w:val="00074504"/>
    <w:rsid w:val="00074521"/>
    <w:rsid w:val="0007489E"/>
    <w:rsid w:val="00074AFE"/>
    <w:rsid w:val="000753AF"/>
    <w:rsid w:val="0007540D"/>
    <w:rsid w:val="000754FD"/>
    <w:rsid w:val="00075734"/>
    <w:rsid w:val="00075CB4"/>
    <w:rsid w:val="0007691B"/>
    <w:rsid w:val="00076C62"/>
    <w:rsid w:val="000778AA"/>
    <w:rsid w:val="000810ED"/>
    <w:rsid w:val="000816A0"/>
    <w:rsid w:val="00081F32"/>
    <w:rsid w:val="00082CA0"/>
    <w:rsid w:val="000840F4"/>
    <w:rsid w:val="00084434"/>
    <w:rsid w:val="0008456C"/>
    <w:rsid w:val="00085056"/>
    <w:rsid w:val="0008527F"/>
    <w:rsid w:val="000855BD"/>
    <w:rsid w:val="00086066"/>
    <w:rsid w:val="00086906"/>
    <w:rsid w:val="00086AA4"/>
    <w:rsid w:val="00086AD9"/>
    <w:rsid w:val="00086E37"/>
    <w:rsid w:val="00090AFC"/>
    <w:rsid w:val="0009143A"/>
    <w:rsid w:val="00091593"/>
    <w:rsid w:val="00091863"/>
    <w:rsid w:val="00092AD8"/>
    <w:rsid w:val="00093888"/>
    <w:rsid w:val="00093FB3"/>
    <w:rsid w:val="00094737"/>
    <w:rsid w:val="00094DD7"/>
    <w:rsid w:val="0009546F"/>
    <w:rsid w:val="000956EF"/>
    <w:rsid w:val="00095D5F"/>
    <w:rsid w:val="000972E1"/>
    <w:rsid w:val="00097341"/>
    <w:rsid w:val="000A131E"/>
    <w:rsid w:val="000A1606"/>
    <w:rsid w:val="000A1617"/>
    <w:rsid w:val="000A18E9"/>
    <w:rsid w:val="000A1E9A"/>
    <w:rsid w:val="000A1EA8"/>
    <w:rsid w:val="000A2330"/>
    <w:rsid w:val="000A2A01"/>
    <w:rsid w:val="000A2B35"/>
    <w:rsid w:val="000A3C35"/>
    <w:rsid w:val="000A403F"/>
    <w:rsid w:val="000A41C0"/>
    <w:rsid w:val="000A445C"/>
    <w:rsid w:val="000A47C3"/>
    <w:rsid w:val="000A5A8D"/>
    <w:rsid w:val="000A6591"/>
    <w:rsid w:val="000A745E"/>
    <w:rsid w:val="000A7604"/>
    <w:rsid w:val="000A793C"/>
    <w:rsid w:val="000A7B37"/>
    <w:rsid w:val="000A7B5E"/>
    <w:rsid w:val="000A7FB4"/>
    <w:rsid w:val="000B040E"/>
    <w:rsid w:val="000B1CF2"/>
    <w:rsid w:val="000B222C"/>
    <w:rsid w:val="000B2BD2"/>
    <w:rsid w:val="000B331D"/>
    <w:rsid w:val="000B33F8"/>
    <w:rsid w:val="000B4299"/>
    <w:rsid w:val="000B4A1E"/>
    <w:rsid w:val="000B5122"/>
    <w:rsid w:val="000B521D"/>
    <w:rsid w:val="000B54E6"/>
    <w:rsid w:val="000B555A"/>
    <w:rsid w:val="000B55F0"/>
    <w:rsid w:val="000B5DAA"/>
    <w:rsid w:val="000B5EE6"/>
    <w:rsid w:val="000B764C"/>
    <w:rsid w:val="000C08D2"/>
    <w:rsid w:val="000C159D"/>
    <w:rsid w:val="000C2567"/>
    <w:rsid w:val="000C2E3B"/>
    <w:rsid w:val="000C3C0F"/>
    <w:rsid w:val="000C413E"/>
    <w:rsid w:val="000C5436"/>
    <w:rsid w:val="000C57F1"/>
    <w:rsid w:val="000C6017"/>
    <w:rsid w:val="000C603E"/>
    <w:rsid w:val="000C615E"/>
    <w:rsid w:val="000C763F"/>
    <w:rsid w:val="000C7D4D"/>
    <w:rsid w:val="000D05AC"/>
    <w:rsid w:val="000D1C24"/>
    <w:rsid w:val="000D27A3"/>
    <w:rsid w:val="000D27AA"/>
    <w:rsid w:val="000D29C2"/>
    <w:rsid w:val="000D2CB1"/>
    <w:rsid w:val="000D32B1"/>
    <w:rsid w:val="000D400A"/>
    <w:rsid w:val="000D4B15"/>
    <w:rsid w:val="000D4F19"/>
    <w:rsid w:val="000D5639"/>
    <w:rsid w:val="000D5B34"/>
    <w:rsid w:val="000D5C81"/>
    <w:rsid w:val="000D6190"/>
    <w:rsid w:val="000D6A59"/>
    <w:rsid w:val="000D6C5B"/>
    <w:rsid w:val="000D6CEC"/>
    <w:rsid w:val="000D6D88"/>
    <w:rsid w:val="000D706F"/>
    <w:rsid w:val="000D7160"/>
    <w:rsid w:val="000D751A"/>
    <w:rsid w:val="000D7BAB"/>
    <w:rsid w:val="000E0694"/>
    <w:rsid w:val="000E0AAF"/>
    <w:rsid w:val="000E1C2B"/>
    <w:rsid w:val="000E1E94"/>
    <w:rsid w:val="000E2169"/>
    <w:rsid w:val="000E2274"/>
    <w:rsid w:val="000E260A"/>
    <w:rsid w:val="000E2BD3"/>
    <w:rsid w:val="000E323E"/>
    <w:rsid w:val="000E48F9"/>
    <w:rsid w:val="000E4C3F"/>
    <w:rsid w:val="000E61EB"/>
    <w:rsid w:val="000E632D"/>
    <w:rsid w:val="000E76F9"/>
    <w:rsid w:val="000F10D2"/>
    <w:rsid w:val="000F1466"/>
    <w:rsid w:val="000F1990"/>
    <w:rsid w:val="000F1A21"/>
    <w:rsid w:val="000F2EA8"/>
    <w:rsid w:val="000F347B"/>
    <w:rsid w:val="000F4D7B"/>
    <w:rsid w:val="000F677B"/>
    <w:rsid w:val="000F76B5"/>
    <w:rsid w:val="000F7A39"/>
    <w:rsid w:val="000F7AE6"/>
    <w:rsid w:val="0010155A"/>
    <w:rsid w:val="0010302A"/>
    <w:rsid w:val="001030EC"/>
    <w:rsid w:val="00103DFD"/>
    <w:rsid w:val="00103E8D"/>
    <w:rsid w:val="00103FB7"/>
    <w:rsid w:val="00104D23"/>
    <w:rsid w:val="0010593B"/>
    <w:rsid w:val="00107520"/>
    <w:rsid w:val="00107F77"/>
    <w:rsid w:val="00110116"/>
    <w:rsid w:val="0011017A"/>
    <w:rsid w:val="001111B7"/>
    <w:rsid w:val="00111535"/>
    <w:rsid w:val="001115EE"/>
    <w:rsid w:val="00111630"/>
    <w:rsid w:val="001119F8"/>
    <w:rsid w:val="00111F37"/>
    <w:rsid w:val="0011255C"/>
    <w:rsid w:val="00112A5E"/>
    <w:rsid w:val="00113165"/>
    <w:rsid w:val="00113CC8"/>
    <w:rsid w:val="00113DD4"/>
    <w:rsid w:val="00114E2A"/>
    <w:rsid w:val="001152B1"/>
    <w:rsid w:val="00115378"/>
    <w:rsid w:val="00115392"/>
    <w:rsid w:val="00116196"/>
    <w:rsid w:val="001167E9"/>
    <w:rsid w:val="001168D9"/>
    <w:rsid w:val="00120B1B"/>
    <w:rsid w:val="001230B3"/>
    <w:rsid w:val="00123301"/>
    <w:rsid w:val="00123375"/>
    <w:rsid w:val="00125193"/>
    <w:rsid w:val="0012608E"/>
    <w:rsid w:val="00126DDE"/>
    <w:rsid w:val="001273AA"/>
    <w:rsid w:val="001279B3"/>
    <w:rsid w:val="001279E2"/>
    <w:rsid w:val="00130C03"/>
    <w:rsid w:val="00131115"/>
    <w:rsid w:val="001311F7"/>
    <w:rsid w:val="00131231"/>
    <w:rsid w:val="0013123D"/>
    <w:rsid w:val="0013184F"/>
    <w:rsid w:val="00131B3E"/>
    <w:rsid w:val="00131F00"/>
    <w:rsid w:val="0013281E"/>
    <w:rsid w:val="00132CDC"/>
    <w:rsid w:val="001330E7"/>
    <w:rsid w:val="00134F66"/>
    <w:rsid w:val="00135DC6"/>
    <w:rsid w:val="00136858"/>
    <w:rsid w:val="0013709C"/>
    <w:rsid w:val="00137112"/>
    <w:rsid w:val="00137739"/>
    <w:rsid w:val="001422E2"/>
    <w:rsid w:val="001442BE"/>
    <w:rsid w:val="001449CD"/>
    <w:rsid w:val="00144BF1"/>
    <w:rsid w:val="00144D91"/>
    <w:rsid w:val="00144EF5"/>
    <w:rsid w:val="00145407"/>
    <w:rsid w:val="001459C9"/>
    <w:rsid w:val="00145E17"/>
    <w:rsid w:val="00146CE3"/>
    <w:rsid w:val="00147515"/>
    <w:rsid w:val="00147A74"/>
    <w:rsid w:val="00147C76"/>
    <w:rsid w:val="0015014A"/>
    <w:rsid w:val="0015055C"/>
    <w:rsid w:val="001510DC"/>
    <w:rsid w:val="00151715"/>
    <w:rsid w:val="00151D08"/>
    <w:rsid w:val="00152248"/>
    <w:rsid w:val="00153087"/>
    <w:rsid w:val="00153430"/>
    <w:rsid w:val="001543E2"/>
    <w:rsid w:val="00154DF1"/>
    <w:rsid w:val="00155DD8"/>
    <w:rsid w:val="00155E82"/>
    <w:rsid w:val="00156075"/>
    <w:rsid w:val="00157CA2"/>
    <w:rsid w:val="00157E2A"/>
    <w:rsid w:val="00160C7F"/>
    <w:rsid w:val="00161B29"/>
    <w:rsid w:val="001628C3"/>
    <w:rsid w:val="001636E3"/>
    <w:rsid w:val="00163BE7"/>
    <w:rsid w:val="00164528"/>
    <w:rsid w:val="001649D5"/>
    <w:rsid w:val="00164BC2"/>
    <w:rsid w:val="00164CF5"/>
    <w:rsid w:val="0016553A"/>
    <w:rsid w:val="00166004"/>
    <w:rsid w:val="00166064"/>
    <w:rsid w:val="001669F0"/>
    <w:rsid w:val="00167017"/>
    <w:rsid w:val="0016768E"/>
    <w:rsid w:val="00167E6F"/>
    <w:rsid w:val="00167F2A"/>
    <w:rsid w:val="00170997"/>
    <w:rsid w:val="00170CB2"/>
    <w:rsid w:val="001712CD"/>
    <w:rsid w:val="0017157F"/>
    <w:rsid w:val="001718A3"/>
    <w:rsid w:val="00172946"/>
    <w:rsid w:val="001739F1"/>
    <w:rsid w:val="00174800"/>
    <w:rsid w:val="00175253"/>
    <w:rsid w:val="00177CFD"/>
    <w:rsid w:val="0018016D"/>
    <w:rsid w:val="0018120C"/>
    <w:rsid w:val="001812EF"/>
    <w:rsid w:val="00181AC8"/>
    <w:rsid w:val="00182936"/>
    <w:rsid w:val="001833C1"/>
    <w:rsid w:val="00183A1B"/>
    <w:rsid w:val="00183B3A"/>
    <w:rsid w:val="00183DCD"/>
    <w:rsid w:val="0018439E"/>
    <w:rsid w:val="00184421"/>
    <w:rsid w:val="00185CEF"/>
    <w:rsid w:val="0018642B"/>
    <w:rsid w:val="00186D26"/>
    <w:rsid w:val="00186FC7"/>
    <w:rsid w:val="0018738A"/>
    <w:rsid w:val="001879B3"/>
    <w:rsid w:val="00190ABC"/>
    <w:rsid w:val="00191C6B"/>
    <w:rsid w:val="001921A4"/>
    <w:rsid w:val="001921FA"/>
    <w:rsid w:val="0019339A"/>
    <w:rsid w:val="00193461"/>
    <w:rsid w:val="00193959"/>
    <w:rsid w:val="00194A0E"/>
    <w:rsid w:val="00195444"/>
    <w:rsid w:val="00195DC6"/>
    <w:rsid w:val="00196077"/>
    <w:rsid w:val="0019660F"/>
    <w:rsid w:val="001969F1"/>
    <w:rsid w:val="00196E5A"/>
    <w:rsid w:val="00197023"/>
    <w:rsid w:val="001971AF"/>
    <w:rsid w:val="00197503"/>
    <w:rsid w:val="0019EF2C"/>
    <w:rsid w:val="001A0091"/>
    <w:rsid w:val="001A07C4"/>
    <w:rsid w:val="001A1B50"/>
    <w:rsid w:val="001A232C"/>
    <w:rsid w:val="001A2CC5"/>
    <w:rsid w:val="001A2DAE"/>
    <w:rsid w:val="001A3781"/>
    <w:rsid w:val="001A4251"/>
    <w:rsid w:val="001A4E2C"/>
    <w:rsid w:val="001A6811"/>
    <w:rsid w:val="001A750C"/>
    <w:rsid w:val="001A7C11"/>
    <w:rsid w:val="001A7D61"/>
    <w:rsid w:val="001A7E42"/>
    <w:rsid w:val="001B08B1"/>
    <w:rsid w:val="001B107D"/>
    <w:rsid w:val="001B1C41"/>
    <w:rsid w:val="001B299A"/>
    <w:rsid w:val="001B5028"/>
    <w:rsid w:val="001B56D6"/>
    <w:rsid w:val="001B62CD"/>
    <w:rsid w:val="001B7203"/>
    <w:rsid w:val="001C0356"/>
    <w:rsid w:val="001C2740"/>
    <w:rsid w:val="001C3A97"/>
    <w:rsid w:val="001C3BFF"/>
    <w:rsid w:val="001C3C38"/>
    <w:rsid w:val="001C4B00"/>
    <w:rsid w:val="001C4B54"/>
    <w:rsid w:val="001C4D35"/>
    <w:rsid w:val="001C52DA"/>
    <w:rsid w:val="001C5C76"/>
    <w:rsid w:val="001C5E7E"/>
    <w:rsid w:val="001C6A25"/>
    <w:rsid w:val="001C79FD"/>
    <w:rsid w:val="001C7FBE"/>
    <w:rsid w:val="001D0C84"/>
    <w:rsid w:val="001D14F7"/>
    <w:rsid w:val="001D19A9"/>
    <w:rsid w:val="001D2B50"/>
    <w:rsid w:val="001D2D04"/>
    <w:rsid w:val="001D2FBA"/>
    <w:rsid w:val="001D3125"/>
    <w:rsid w:val="001D3544"/>
    <w:rsid w:val="001D3902"/>
    <w:rsid w:val="001D39AA"/>
    <w:rsid w:val="001D39EC"/>
    <w:rsid w:val="001D3BB7"/>
    <w:rsid w:val="001D3E4E"/>
    <w:rsid w:val="001D418D"/>
    <w:rsid w:val="001D48A7"/>
    <w:rsid w:val="001D4B20"/>
    <w:rsid w:val="001D5DD4"/>
    <w:rsid w:val="001D6595"/>
    <w:rsid w:val="001D661F"/>
    <w:rsid w:val="001D7029"/>
    <w:rsid w:val="001D7B65"/>
    <w:rsid w:val="001E06C8"/>
    <w:rsid w:val="001E0D30"/>
    <w:rsid w:val="001E2F31"/>
    <w:rsid w:val="001E4AC5"/>
    <w:rsid w:val="001E4F7F"/>
    <w:rsid w:val="001E4FFB"/>
    <w:rsid w:val="001E5050"/>
    <w:rsid w:val="001E58C7"/>
    <w:rsid w:val="001E682E"/>
    <w:rsid w:val="001E6E5A"/>
    <w:rsid w:val="001E7206"/>
    <w:rsid w:val="001E72EE"/>
    <w:rsid w:val="001E773F"/>
    <w:rsid w:val="001F03DD"/>
    <w:rsid w:val="001F0944"/>
    <w:rsid w:val="001F1A93"/>
    <w:rsid w:val="001F1E35"/>
    <w:rsid w:val="001F1EF0"/>
    <w:rsid w:val="001F525E"/>
    <w:rsid w:val="001F58C0"/>
    <w:rsid w:val="001F6FCA"/>
    <w:rsid w:val="001F73E1"/>
    <w:rsid w:val="001FECF4"/>
    <w:rsid w:val="00201448"/>
    <w:rsid w:val="0020160E"/>
    <w:rsid w:val="00201DB9"/>
    <w:rsid w:val="00201E7E"/>
    <w:rsid w:val="002024E9"/>
    <w:rsid w:val="00203681"/>
    <w:rsid w:val="00203A0F"/>
    <w:rsid w:val="00203A91"/>
    <w:rsid w:val="00203C90"/>
    <w:rsid w:val="00203E3B"/>
    <w:rsid w:val="00203FF9"/>
    <w:rsid w:val="002042E9"/>
    <w:rsid w:val="00204AB9"/>
    <w:rsid w:val="00204B23"/>
    <w:rsid w:val="00205C35"/>
    <w:rsid w:val="00206485"/>
    <w:rsid w:val="00206664"/>
    <w:rsid w:val="002066D8"/>
    <w:rsid w:val="00211700"/>
    <w:rsid w:val="002118D6"/>
    <w:rsid w:val="002146BA"/>
    <w:rsid w:val="0021475D"/>
    <w:rsid w:val="00214D40"/>
    <w:rsid w:val="00214E0B"/>
    <w:rsid w:val="00215C5A"/>
    <w:rsid w:val="00215E4D"/>
    <w:rsid w:val="00216077"/>
    <w:rsid w:val="00216A33"/>
    <w:rsid w:val="00216FC2"/>
    <w:rsid w:val="0021721B"/>
    <w:rsid w:val="00217FA0"/>
    <w:rsid w:val="00220A81"/>
    <w:rsid w:val="00222C35"/>
    <w:rsid w:val="0022359D"/>
    <w:rsid w:val="00223985"/>
    <w:rsid w:val="00225121"/>
    <w:rsid w:val="002257F5"/>
    <w:rsid w:val="00225817"/>
    <w:rsid w:val="00225954"/>
    <w:rsid w:val="00225E51"/>
    <w:rsid w:val="00226A09"/>
    <w:rsid w:val="0022714B"/>
    <w:rsid w:val="002272CB"/>
    <w:rsid w:val="002300C0"/>
    <w:rsid w:val="00230291"/>
    <w:rsid w:val="0023055C"/>
    <w:rsid w:val="00231607"/>
    <w:rsid w:val="00231AEC"/>
    <w:rsid w:val="00232A3F"/>
    <w:rsid w:val="00232C6B"/>
    <w:rsid w:val="00233185"/>
    <w:rsid w:val="002332E6"/>
    <w:rsid w:val="00233D0A"/>
    <w:rsid w:val="00233E0B"/>
    <w:rsid w:val="0023505E"/>
    <w:rsid w:val="002360EB"/>
    <w:rsid w:val="002379D1"/>
    <w:rsid w:val="00237AA4"/>
    <w:rsid w:val="00237D12"/>
    <w:rsid w:val="0024078C"/>
    <w:rsid w:val="00241054"/>
    <w:rsid w:val="002425E1"/>
    <w:rsid w:val="00243492"/>
    <w:rsid w:val="00244190"/>
    <w:rsid w:val="0024420C"/>
    <w:rsid w:val="00244A10"/>
    <w:rsid w:val="00244F4B"/>
    <w:rsid w:val="0024501B"/>
    <w:rsid w:val="002453AA"/>
    <w:rsid w:val="00245690"/>
    <w:rsid w:val="00245F9D"/>
    <w:rsid w:val="00246663"/>
    <w:rsid w:val="00246C1C"/>
    <w:rsid w:val="00247945"/>
    <w:rsid w:val="00250198"/>
    <w:rsid w:val="002501D5"/>
    <w:rsid w:val="00250936"/>
    <w:rsid w:val="00251C3B"/>
    <w:rsid w:val="00254C89"/>
    <w:rsid w:val="00254E2D"/>
    <w:rsid w:val="002555BF"/>
    <w:rsid w:val="002559C4"/>
    <w:rsid w:val="00256D04"/>
    <w:rsid w:val="00257E7B"/>
    <w:rsid w:val="00260240"/>
    <w:rsid w:val="0026025C"/>
    <w:rsid w:val="00260717"/>
    <w:rsid w:val="002617D5"/>
    <w:rsid w:val="00261994"/>
    <w:rsid w:val="0026313A"/>
    <w:rsid w:val="0026379F"/>
    <w:rsid w:val="00263AED"/>
    <w:rsid w:val="002653B8"/>
    <w:rsid w:val="002669E8"/>
    <w:rsid w:val="0026713B"/>
    <w:rsid w:val="0026731B"/>
    <w:rsid w:val="00271C83"/>
    <w:rsid w:val="0027245E"/>
    <w:rsid w:val="002733A4"/>
    <w:rsid w:val="00273598"/>
    <w:rsid w:val="00273C22"/>
    <w:rsid w:val="00273D64"/>
    <w:rsid w:val="0027533E"/>
    <w:rsid w:val="002759CD"/>
    <w:rsid w:val="00277489"/>
    <w:rsid w:val="00277D90"/>
    <w:rsid w:val="0028056A"/>
    <w:rsid w:val="00281A5F"/>
    <w:rsid w:val="002824FE"/>
    <w:rsid w:val="00282790"/>
    <w:rsid w:val="002827A6"/>
    <w:rsid w:val="00282812"/>
    <w:rsid w:val="00283304"/>
    <w:rsid w:val="0028360E"/>
    <w:rsid w:val="00283E44"/>
    <w:rsid w:val="0028433E"/>
    <w:rsid w:val="00284998"/>
    <w:rsid w:val="00284DC5"/>
    <w:rsid w:val="00286072"/>
    <w:rsid w:val="0028632A"/>
    <w:rsid w:val="002869EF"/>
    <w:rsid w:val="002872E2"/>
    <w:rsid w:val="0028746D"/>
    <w:rsid w:val="002874A3"/>
    <w:rsid w:val="002878E7"/>
    <w:rsid w:val="00287C93"/>
    <w:rsid w:val="0029042C"/>
    <w:rsid w:val="00290827"/>
    <w:rsid w:val="00291CC9"/>
    <w:rsid w:val="002923BE"/>
    <w:rsid w:val="00292933"/>
    <w:rsid w:val="00292A7F"/>
    <w:rsid w:val="00292D1D"/>
    <w:rsid w:val="00292DE1"/>
    <w:rsid w:val="00292EB8"/>
    <w:rsid w:val="0029361E"/>
    <w:rsid w:val="00293CCF"/>
    <w:rsid w:val="00295003"/>
    <w:rsid w:val="00295E55"/>
    <w:rsid w:val="00296C92"/>
    <w:rsid w:val="00297266"/>
    <w:rsid w:val="002A00E4"/>
    <w:rsid w:val="002A0A05"/>
    <w:rsid w:val="002A0B68"/>
    <w:rsid w:val="002A1074"/>
    <w:rsid w:val="002A2808"/>
    <w:rsid w:val="002A3123"/>
    <w:rsid w:val="002A395E"/>
    <w:rsid w:val="002A441F"/>
    <w:rsid w:val="002A46AC"/>
    <w:rsid w:val="002A4EF2"/>
    <w:rsid w:val="002A4F27"/>
    <w:rsid w:val="002A56D6"/>
    <w:rsid w:val="002A57AD"/>
    <w:rsid w:val="002A6357"/>
    <w:rsid w:val="002A6512"/>
    <w:rsid w:val="002A6552"/>
    <w:rsid w:val="002A69A5"/>
    <w:rsid w:val="002A6A17"/>
    <w:rsid w:val="002B0E82"/>
    <w:rsid w:val="002B1435"/>
    <w:rsid w:val="002B1676"/>
    <w:rsid w:val="002B3222"/>
    <w:rsid w:val="002B5391"/>
    <w:rsid w:val="002B5A3E"/>
    <w:rsid w:val="002B5B16"/>
    <w:rsid w:val="002B5F91"/>
    <w:rsid w:val="002B61F0"/>
    <w:rsid w:val="002B71CD"/>
    <w:rsid w:val="002B76AB"/>
    <w:rsid w:val="002B7C37"/>
    <w:rsid w:val="002B7C79"/>
    <w:rsid w:val="002B95C7"/>
    <w:rsid w:val="002C009D"/>
    <w:rsid w:val="002C0132"/>
    <w:rsid w:val="002C0BB8"/>
    <w:rsid w:val="002C0DB2"/>
    <w:rsid w:val="002C1014"/>
    <w:rsid w:val="002C1507"/>
    <w:rsid w:val="002C1B4D"/>
    <w:rsid w:val="002C1D63"/>
    <w:rsid w:val="002C1D9F"/>
    <w:rsid w:val="002C1DFF"/>
    <w:rsid w:val="002C2082"/>
    <w:rsid w:val="002C2552"/>
    <w:rsid w:val="002C3CA5"/>
    <w:rsid w:val="002C5E93"/>
    <w:rsid w:val="002C70B1"/>
    <w:rsid w:val="002C71CA"/>
    <w:rsid w:val="002C7365"/>
    <w:rsid w:val="002C7530"/>
    <w:rsid w:val="002C7810"/>
    <w:rsid w:val="002D12A1"/>
    <w:rsid w:val="002D19B9"/>
    <w:rsid w:val="002D262A"/>
    <w:rsid w:val="002D4F94"/>
    <w:rsid w:val="002D515F"/>
    <w:rsid w:val="002D5304"/>
    <w:rsid w:val="002D54C4"/>
    <w:rsid w:val="002D57F6"/>
    <w:rsid w:val="002D59BB"/>
    <w:rsid w:val="002D5DD7"/>
    <w:rsid w:val="002D6763"/>
    <w:rsid w:val="002D6817"/>
    <w:rsid w:val="002D6A8C"/>
    <w:rsid w:val="002D6C55"/>
    <w:rsid w:val="002D7B39"/>
    <w:rsid w:val="002E06F1"/>
    <w:rsid w:val="002E2440"/>
    <w:rsid w:val="002E2B5D"/>
    <w:rsid w:val="002E319E"/>
    <w:rsid w:val="002E3B89"/>
    <w:rsid w:val="002E3D53"/>
    <w:rsid w:val="002E3E35"/>
    <w:rsid w:val="002E45E6"/>
    <w:rsid w:val="002E71DD"/>
    <w:rsid w:val="002E7AF6"/>
    <w:rsid w:val="002F0E9E"/>
    <w:rsid w:val="002F10B3"/>
    <w:rsid w:val="002F128B"/>
    <w:rsid w:val="002F1646"/>
    <w:rsid w:val="002F17CE"/>
    <w:rsid w:val="002F1CEC"/>
    <w:rsid w:val="002F1DC1"/>
    <w:rsid w:val="002F1E4A"/>
    <w:rsid w:val="002F3158"/>
    <w:rsid w:val="002F3381"/>
    <w:rsid w:val="002F3589"/>
    <w:rsid w:val="002F36D5"/>
    <w:rsid w:val="002F376A"/>
    <w:rsid w:val="002F37CC"/>
    <w:rsid w:val="002F4A50"/>
    <w:rsid w:val="002F54A6"/>
    <w:rsid w:val="002F5548"/>
    <w:rsid w:val="002F5551"/>
    <w:rsid w:val="002F59B2"/>
    <w:rsid w:val="002F5C06"/>
    <w:rsid w:val="002F6DEB"/>
    <w:rsid w:val="002F6E35"/>
    <w:rsid w:val="002F7673"/>
    <w:rsid w:val="002F7B4D"/>
    <w:rsid w:val="002F7CA6"/>
    <w:rsid w:val="00300CF5"/>
    <w:rsid w:val="003013FC"/>
    <w:rsid w:val="00301C8F"/>
    <w:rsid w:val="0030242C"/>
    <w:rsid w:val="0030251E"/>
    <w:rsid w:val="00302890"/>
    <w:rsid w:val="00302CDA"/>
    <w:rsid w:val="00303164"/>
    <w:rsid w:val="0030340D"/>
    <w:rsid w:val="00304192"/>
    <w:rsid w:val="003057DD"/>
    <w:rsid w:val="00305979"/>
    <w:rsid w:val="003061B4"/>
    <w:rsid w:val="00306499"/>
    <w:rsid w:val="00306F1E"/>
    <w:rsid w:val="00307921"/>
    <w:rsid w:val="00307DF8"/>
    <w:rsid w:val="00310CB1"/>
    <w:rsid w:val="00310CBE"/>
    <w:rsid w:val="00310FB9"/>
    <w:rsid w:val="003110AB"/>
    <w:rsid w:val="00312610"/>
    <w:rsid w:val="00313E15"/>
    <w:rsid w:val="0031483C"/>
    <w:rsid w:val="00314F9D"/>
    <w:rsid w:val="00315DEC"/>
    <w:rsid w:val="00316927"/>
    <w:rsid w:val="00316D27"/>
    <w:rsid w:val="0031740A"/>
    <w:rsid w:val="00317426"/>
    <w:rsid w:val="00317765"/>
    <w:rsid w:val="00317E8F"/>
    <w:rsid w:val="00317FDB"/>
    <w:rsid w:val="003200B5"/>
    <w:rsid w:val="003221B8"/>
    <w:rsid w:val="00322310"/>
    <w:rsid w:val="00323317"/>
    <w:rsid w:val="00324562"/>
    <w:rsid w:val="00324BCD"/>
    <w:rsid w:val="003250D8"/>
    <w:rsid w:val="0032510E"/>
    <w:rsid w:val="00325422"/>
    <w:rsid w:val="0032564B"/>
    <w:rsid w:val="003259A5"/>
    <w:rsid w:val="00325A58"/>
    <w:rsid w:val="00325CF0"/>
    <w:rsid w:val="003265A8"/>
    <w:rsid w:val="00327634"/>
    <w:rsid w:val="0032789F"/>
    <w:rsid w:val="0033074D"/>
    <w:rsid w:val="003308C3"/>
    <w:rsid w:val="00330AFF"/>
    <w:rsid w:val="00330B68"/>
    <w:rsid w:val="00330F4B"/>
    <w:rsid w:val="00331215"/>
    <w:rsid w:val="00331825"/>
    <w:rsid w:val="00331ADC"/>
    <w:rsid w:val="00331C24"/>
    <w:rsid w:val="00332AF4"/>
    <w:rsid w:val="00332B18"/>
    <w:rsid w:val="00332C8C"/>
    <w:rsid w:val="0033319B"/>
    <w:rsid w:val="003350DD"/>
    <w:rsid w:val="00335244"/>
    <w:rsid w:val="00335C55"/>
    <w:rsid w:val="00336AAE"/>
    <w:rsid w:val="00336CC2"/>
    <w:rsid w:val="00337634"/>
    <w:rsid w:val="00337B2F"/>
    <w:rsid w:val="0034119C"/>
    <w:rsid w:val="00341682"/>
    <w:rsid w:val="003426BF"/>
    <w:rsid w:val="00343853"/>
    <w:rsid w:val="00343A2D"/>
    <w:rsid w:val="00343C54"/>
    <w:rsid w:val="00344C8D"/>
    <w:rsid w:val="00344DBD"/>
    <w:rsid w:val="00345223"/>
    <w:rsid w:val="0034552B"/>
    <w:rsid w:val="00345556"/>
    <w:rsid w:val="003462A6"/>
    <w:rsid w:val="00346481"/>
    <w:rsid w:val="00346E5F"/>
    <w:rsid w:val="00347068"/>
    <w:rsid w:val="003478E9"/>
    <w:rsid w:val="00347B01"/>
    <w:rsid w:val="00347BDA"/>
    <w:rsid w:val="0035039F"/>
    <w:rsid w:val="00350962"/>
    <w:rsid w:val="00351133"/>
    <w:rsid w:val="00352616"/>
    <w:rsid w:val="003527AA"/>
    <w:rsid w:val="00353247"/>
    <w:rsid w:val="00353F34"/>
    <w:rsid w:val="0035525E"/>
    <w:rsid w:val="0035526C"/>
    <w:rsid w:val="003561AC"/>
    <w:rsid w:val="00356A8A"/>
    <w:rsid w:val="00357B5C"/>
    <w:rsid w:val="00360307"/>
    <w:rsid w:val="00360688"/>
    <w:rsid w:val="00361281"/>
    <w:rsid w:val="003616BC"/>
    <w:rsid w:val="00362B8E"/>
    <w:rsid w:val="00362D88"/>
    <w:rsid w:val="00363410"/>
    <w:rsid w:val="00363825"/>
    <w:rsid w:val="00363A19"/>
    <w:rsid w:val="00364C7D"/>
    <w:rsid w:val="003654A4"/>
    <w:rsid w:val="003656C4"/>
    <w:rsid w:val="00365859"/>
    <w:rsid w:val="00366754"/>
    <w:rsid w:val="0036677D"/>
    <w:rsid w:val="00366F93"/>
    <w:rsid w:val="00367B0E"/>
    <w:rsid w:val="00367DF6"/>
    <w:rsid w:val="00370490"/>
    <w:rsid w:val="00370BC5"/>
    <w:rsid w:val="00370BDE"/>
    <w:rsid w:val="00370D5B"/>
    <w:rsid w:val="0037153A"/>
    <w:rsid w:val="0037193F"/>
    <w:rsid w:val="00371B82"/>
    <w:rsid w:val="003735C9"/>
    <w:rsid w:val="0037391B"/>
    <w:rsid w:val="003763BB"/>
    <w:rsid w:val="0037732D"/>
    <w:rsid w:val="0038017B"/>
    <w:rsid w:val="0038033C"/>
    <w:rsid w:val="00380990"/>
    <w:rsid w:val="00380C96"/>
    <w:rsid w:val="00380F0E"/>
    <w:rsid w:val="00381D96"/>
    <w:rsid w:val="00382D39"/>
    <w:rsid w:val="00382DAA"/>
    <w:rsid w:val="00383133"/>
    <w:rsid w:val="003833CB"/>
    <w:rsid w:val="00383D0B"/>
    <w:rsid w:val="00384A00"/>
    <w:rsid w:val="00384E5E"/>
    <w:rsid w:val="003859D9"/>
    <w:rsid w:val="00385F70"/>
    <w:rsid w:val="003860E7"/>
    <w:rsid w:val="003868F3"/>
    <w:rsid w:val="00390186"/>
    <w:rsid w:val="0039112E"/>
    <w:rsid w:val="003921CA"/>
    <w:rsid w:val="00394544"/>
    <w:rsid w:val="003946B6"/>
    <w:rsid w:val="0039491A"/>
    <w:rsid w:val="00394DAA"/>
    <w:rsid w:val="003959E0"/>
    <w:rsid w:val="00395C93"/>
    <w:rsid w:val="003969F2"/>
    <w:rsid w:val="00396EBA"/>
    <w:rsid w:val="00396FD7"/>
    <w:rsid w:val="0039764E"/>
    <w:rsid w:val="003A16DA"/>
    <w:rsid w:val="003A17D8"/>
    <w:rsid w:val="003A1AB4"/>
    <w:rsid w:val="003A1E2E"/>
    <w:rsid w:val="003A27B9"/>
    <w:rsid w:val="003A33E5"/>
    <w:rsid w:val="003A501E"/>
    <w:rsid w:val="003A5FC7"/>
    <w:rsid w:val="003A61B2"/>
    <w:rsid w:val="003A63C1"/>
    <w:rsid w:val="003A6F00"/>
    <w:rsid w:val="003B0389"/>
    <w:rsid w:val="003B04F5"/>
    <w:rsid w:val="003B0B85"/>
    <w:rsid w:val="003B2FA8"/>
    <w:rsid w:val="003B35D6"/>
    <w:rsid w:val="003B36B7"/>
    <w:rsid w:val="003B3836"/>
    <w:rsid w:val="003B3F80"/>
    <w:rsid w:val="003B41D7"/>
    <w:rsid w:val="003B48EE"/>
    <w:rsid w:val="003B4B90"/>
    <w:rsid w:val="003B558B"/>
    <w:rsid w:val="003B5A09"/>
    <w:rsid w:val="003B5DD4"/>
    <w:rsid w:val="003B702E"/>
    <w:rsid w:val="003B737A"/>
    <w:rsid w:val="003C0130"/>
    <w:rsid w:val="003C0E6A"/>
    <w:rsid w:val="003C0F08"/>
    <w:rsid w:val="003C1420"/>
    <w:rsid w:val="003C1CB0"/>
    <w:rsid w:val="003C1CF3"/>
    <w:rsid w:val="003C2BA0"/>
    <w:rsid w:val="003C2DF5"/>
    <w:rsid w:val="003C3464"/>
    <w:rsid w:val="003C36CD"/>
    <w:rsid w:val="003C3702"/>
    <w:rsid w:val="003C3CEE"/>
    <w:rsid w:val="003C3D79"/>
    <w:rsid w:val="003C4305"/>
    <w:rsid w:val="003C4396"/>
    <w:rsid w:val="003C516B"/>
    <w:rsid w:val="003C517B"/>
    <w:rsid w:val="003C5909"/>
    <w:rsid w:val="003C5BF3"/>
    <w:rsid w:val="003C6CB7"/>
    <w:rsid w:val="003C78DA"/>
    <w:rsid w:val="003C7FBD"/>
    <w:rsid w:val="003D0599"/>
    <w:rsid w:val="003D1922"/>
    <w:rsid w:val="003D1E25"/>
    <w:rsid w:val="003D1FF2"/>
    <w:rsid w:val="003D23B9"/>
    <w:rsid w:val="003D2C5E"/>
    <w:rsid w:val="003D3ED1"/>
    <w:rsid w:val="003D487C"/>
    <w:rsid w:val="003D753B"/>
    <w:rsid w:val="003D77FC"/>
    <w:rsid w:val="003D7E99"/>
    <w:rsid w:val="003E01D5"/>
    <w:rsid w:val="003E11A6"/>
    <w:rsid w:val="003E1520"/>
    <w:rsid w:val="003E1CD8"/>
    <w:rsid w:val="003E3431"/>
    <w:rsid w:val="003E3505"/>
    <w:rsid w:val="003E3F72"/>
    <w:rsid w:val="003E418E"/>
    <w:rsid w:val="003E516D"/>
    <w:rsid w:val="003E5266"/>
    <w:rsid w:val="003E64D4"/>
    <w:rsid w:val="003E6E91"/>
    <w:rsid w:val="003E753D"/>
    <w:rsid w:val="003E7979"/>
    <w:rsid w:val="003E7CEE"/>
    <w:rsid w:val="003F017E"/>
    <w:rsid w:val="003F06EB"/>
    <w:rsid w:val="003F1155"/>
    <w:rsid w:val="003F159F"/>
    <w:rsid w:val="003F349B"/>
    <w:rsid w:val="003F374A"/>
    <w:rsid w:val="003F3906"/>
    <w:rsid w:val="003F3C2B"/>
    <w:rsid w:val="003F4ADD"/>
    <w:rsid w:val="003F5366"/>
    <w:rsid w:val="003F6122"/>
    <w:rsid w:val="003F6EA5"/>
    <w:rsid w:val="003F7027"/>
    <w:rsid w:val="003F7963"/>
    <w:rsid w:val="003F7D6D"/>
    <w:rsid w:val="0040075A"/>
    <w:rsid w:val="00400893"/>
    <w:rsid w:val="00401862"/>
    <w:rsid w:val="00401ED6"/>
    <w:rsid w:val="00401F49"/>
    <w:rsid w:val="004022EF"/>
    <w:rsid w:val="004023FE"/>
    <w:rsid w:val="0040258B"/>
    <w:rsid w:val="00402BDE"/>
    <w:rsid w:val="00404FB1"/>
    <w:rsid w:val="00404FDF"/>
    <w:rsid w:val="00405903"/>
    <w:rsid w:val="00406760"/>
    <w:rsid w:val="004074E0"/>
    <w:rsid w:val="0041044D"/>
    <w:rsid w:val="004117AF"/>
    <w:rsid w:val="00411CFB"/>
    <w:rsid w:val="004126C0"/>
    <w:rsid w:val="00412C97"/>
    <w:rsid w:val="004137EF"/>
    <w:rsid w:val="00416BD9"/>
    <w:rsid w:val="004170AA"/>
    <w:rsid w:val="00417963"/>
    <w:rsid w:val="00417C92"/>
    <w:rsid w:val="00417E7F"/>
    <w:rsid w:val="00420A27"/>
    <w:rsid w:val="004211D8"/>
    <w:rsid w:val="004212AC"/>
    <w:rsid w:val="00421493"/>
    <w:rsid w:val="00421ABA"/>
    <w:rsid w:val="00422A57"/>
    <w:rsid w:val="00422D2D"/>
    <w:rsid w:val="004237D9"/>
    <w:rsid w:val="004242E4"/>
    <w:rsid w:val="004244B7"/>
    <w:rsid w:val="00424A0C"/>
    <w:rsid w:val="004255F7"/>
    <w:rsid w:val="00425C13"/>
    <w:rsid w:val="00425E1B"/>
    <w:rsid w:val="004266AC"/>
    <w:rsid w:val="00426CD0"/>
    <w:rsid w:val="004275C5"/>
    <w:rsid w:val="00427A8E"/>
    <w:rsid w:val="00427C5F"/>
    <w:rsid w:val="00427F9F"/>
    <w:rsid w:val="00430257"/>
    <w:rsid w:val="0043099D"/>
    <w:rsid w:val="00430A83"/>
    <w:rsid w:val="00430B12"/>
    <w:rsid w:val="0043101F"/>
    <w:rsid w:val="00431084"/>
    <w:rsid w:val="004314E1"/>
    <w:rsid w:val="00431B5D"/>
    <w:rsid w:val="00431D8C"/>
    <w:rsid w:val="00431ECA"/>
    <w:rsid w:val="00432C0F"/>
    <w:rsid w:val="00432F91"/>
    <w:rsid w:val="00433F78"/>
    <w:rsid w:val="00434595"/>
    <w:rsid w:val="004345EA"/>
    <w:rsid w:val="00434A9D"/>
    <w:rsid w:val="00435539"/>
    <w:rsid w:val="00436131"/>
    <w:rsid w:val="0043643C"/>
    <w:rsid w:val="00436AD7"/>
    <w:rsid w:val="00436B58"/>
    <w:rsid w:val="00436BEA"/>
    <w:rsid w:val="00437868"/>
    <w:rsid w:val="004406E3"/>
    <w:rsid w:val="0044158A"/>
    <w:rsid w:val="0044243E"/>
    <w:rsid w:val="004426DD"/>
    <w:rsid w:val="0044335E"/>
    <w:rsid w:val="004439A9"/>
    <w:rsid w:val="00444971"/>
    <w:rsid w:val="00444F2F"/>
    <w:rsid w:val="00446BD5"/>
    <w:rsid w:val="00446DA5"/>
    <w:rsid w:val="00450A24"/>
    <w:rsid w:val="00450B9C"/>
    <w:rsid w:val="00451CCA"/>
    <w:rsid w:val="00451CE7"/>
    <w:rsid w:val="00451D7C"/>
    <w:rsid w:val="004533DB"/>
    <w:rsid w:val="00453935"/>
    <w:rsid w:val="00453AAB"/>
    <w:rsid w:val="00454200"/>
    <w:rsid w:val="00455A17"/>
    <w:rsid w:val="00455BBD"/>
    <w:rsid w:val="00455D47"/>
    <w:rsid w:val="004560DA"/>
    <w:rsid w:val="00457945"/>
    <w:rsid w:val="00460DC3"/>
    <w:rsid w:val="00460EA7"/>
    <w:rsid w:val="00460F57"/>
    <w:rsid w:val="00461114"/>
    <w:rsid w:val="004620FF"/>
    <w:rsid w:val="00462212"/>
    <w:rsid w:val="00462633"/>
    <w:rsid w:val="00462F7C"/>
    <w:rsid w:val="0046343C"/>
    <w:rsid w:val="00464A29"/>
    <w:rsid w:val="00464B7F"/>
    <w:rsid w:val="00464CD0"/>
    <w:rsid w:val="00464F06"/>
    <w:rsid w:val="004655C1"/>
    <w:rsid w:val="00465789"/>
    <w:rsid w:val="00465BC1"/>
    <w:rsid w:val="004662C5"/>
    <w:rsid w:val="0047001E"/>
    <w:rsid w:val="004701AA"/>
    <w:rsid w:val="004728CC"/>
    <w:rsid w:val="004753F9"/>
    <w:rsid w:val="0047593C"/>
    <w:rsid w:val="00476534"/>
    <w:rsid w:val="00480202"/>
    <w:rsid w:val="004802DB"/>
    <w:rsid w:val="00480779"/>
    <w:rsid w:val="00480AC8"/>
    <w:rsid w:val="00480E36"/>
    <w:rsid w:val="004825A9"/>
    <w:rsid w:val="004828F0"/>
    <w:rsid w:val="004833FD"/>
    <w:rsid w:val="00484A4A"/>
    <w:rsid w:val="00484BDA"/>
    <w:rsid w:val="00486346"/>
    <w:rsid w:val="004867C2"/>
    <w:rsid w:val="00486CC9"/>
    <w:rsid w:val="004870C4"/>
    <w:rsid w:val="0048723F"/>
    <w:rsid w:val="004876A6"/>
    <w:rsid w:val="0049195D"/>
    <w:rsid w:val="00491AB9"/>
    <w:rsid w:val="00492030"/>
    <w:rsid w:val="00492246"/>
    <w:rsid w:val="00492A0B"/>
    <w:rsid w:val="00492FBB"/>
    <w:rsid w:val="004934BE"/>
    <w:rsid w:val="0049397A"/>
    <w:rsid w:val="00493B9B"/>
    <w:rsid w:val="00493DE4"/>
    <w:rsid w:val="00493E36"/>
    <w:rsid w:val="00493F87"/>
    <w:rsid w:val="00494117"/>
    <w:rsid w:val="0049447A"/>
    <w:rsid w:val="00494748"/>
    <w:rsid w:val="00494A7A"/>
    <w:rsid w:val="00494C7D"/>
    <w:rsid w:val="00494FFB"/>
    <w:rsid w:val="00495AD4"/>
    <w:rsid w:val="00495DE3"/>
    <w:rsid w:val="0049641D"/>
    <w:rsid w:val="00496D82"/>
    <w:rsid w:val="00496EC4"/>
    <w:rsid w:val="00497051"/>
    <w:rsid w:val="004A0572"/>
    <w:rsid w:val="004A1900"/>
    <w:rsid w:val="004A2173"/>
    <w:rsid w:val="004A308C"/>
    <w:rsid w:val="004A37FE"/>
    <w:rsid w:val="004A3A6C"/>
    <w:rsid w:val="004A427D"/>
    <w:rsid w:val="004A432E"/>
    <w:rsid w:val="004A4935"/>
    <w:rsid w:val="004A4B94"/>
    <w:rsid w:val="004A5C05"/>
    <w:rsid w:val="004A5C50"/>
    <w:rsid w:val="004A7C6E"/>
    <w:rsid w:val="004B0361"/>
    <w:rsid w:val="004B119D"/>
    <w:rsid w:val="004B2F49"/>
    <w:rsid w:val="004B32A6"/>
    <w:rsid w:val="004B39CB"/>
    <w:rsid w:val="004B3D6B"/>
    <w:rsid w:val="004B47D3"/>
    <w:rsid w:val="004B5729"/>
    <w:rsid w:val="004C134F"/>
    <w:rsid w:val="004C25EE"/>
    <w:rsid w:val="004C29B7"/>
    <w:rsid w:val="004C30FC"/>
    <w:rsid w:val="004C438D"/>
    <w:rsid w:val="004C4496"/>
    <w:rsid w:val="004C467F"/>
    <w:rsid w:val="004C498B"/>
    <w:rsid w:val="004C49D9"/>
    <w:rsid w:val="004C507A"/>
    <w:rsid w:val="004C57BD"/>
    <w:rsid w:val="004C5DB3"/>
    <w:rsid w:val="004C67B1"/>
    <w:rsid w:val="004C6BA3"/>
    <w:rsid w:val="004C7167"/>
    <w:rsid w:val="004D0EC2"/>
    <w:rsid w:val="004D1EAA"/>
    <w:rsid w:val="004D1EDE"/>
    <w:rsid w:val="004D2711"/>
    <w:rsid w:val="004D2825"/>
    <w:rsid w:val="004D2C35"/>
    <w:rsid w:val="004D2CFF"/>
    <w:rsid w:val="004D45D2"/>
    <w:rsid w:val="004D4721"/>
    <w:rsid w:val="004D510D"/>
    <w:rsid w:val="004D5211"/>
    <w:rsid w:val="004D54BA"/>
    <w:rsid w:val="004D5E4F"/>
    <w:rsid w:val="004D679F"/>
    <w:rsid w:val="004D6B97"/>
    <w:rsid w:val="004D71DA"/>
    <w:rsid w:val="004D762A"/>
    <w:rsid w:val="004D77B0"/>
    <w:rsid w:val="004D782C"/>
    <w:rsid w:val="004D7CFF"/>
    <w:rsid w:val="004D7FDA"/>
    <w:rsid w:val="004E049B"/>
    <w:rsid w:val="004E1126"/>
    <w:rsid w:val="004E1FD5"/>
    <w:rsid w:val="004E229F"/>
    <w:rsid w:val="004E3161"/>
    <w:rsid w:val="004E3AC8"/>
    <w:rsid w:val="004E40E7"/>
    <w:rsid w:val="004E5C55"/>
    <w:rsid w:val="004E5E72"/>
    <w:rsid w:val="004E6584"/>
    <w:rsid w:val="004E69F7"/>
    <w:rsid w:val="004E74D1"/>
    <w:rsid w:val="004E7BAD"/>
    <w:rsid w:val="004F015A"/>
    <w:rsid w:val="004F0B20"/>
    <w:rsid w:val="004F2710"/>
    <w:rsid w:val="004F2BAC"/>
    <w:rsid w:val="004F318F"/>
    <w:rsid w:val="004F31EE"/>
    <w:rsid w:val="004F36C4"/>
    <w:rsid w:val="004F3F76"/>
    <w:rsid w:val="004F4106"/>
    <w:rsid w:val="004F419F"/>
    <w:rsid w:val="004F41FC"/>
    <w:rsid w:val="004F43C6"/>
    <w:rsid w:val="004F64B5"/>
    <w:rsid w:val="004F6981"/>
    <w:rsid w:val="004F7231"/>
    <w:rsid w:val="004F7CF4"/>
    <w:rsid w:val="004F7DDA"/>
    <w:rsid w:val="0050038C"/>
    <w:rsid w:val="0050082E"/>
    <w:rsid w:val="005009D0"/>
    <w:rsid w:val="0050198F"/>
    <w:rsid w:val="00501AE1"/>
    <w:rsid w:val="00503C1E"/>
    <w:rsid w:val="005048B2"/>
    <w:rsid w:val="00504ABF"/>
    <w:rsid w:val="00504CA1"/>
    <w:rsid w:val="005054B4"/>
    <w:rsid w:val="00506CA5"/>
    <w:rsid w:val="00506F79"/>
    <w:rsid w:val="0050753E"/>
    <w:rsid w:val="00510A85"/>
    <w:rsid w:val="00511301"/>
    <w:rsid w:val="005115DB"/>
    <w:rsid w:val="0051330B"/>
    <w:rsid w:val="00514074"/>
    <w:rsid w:val="00514456"/>
    <w:rsid w:val="00514F63"/>
    <w:rsid w:val="00515717"/>
    <w:rsid w:val="0051594D"/>
    <w:rsid w:val="00516D0E"/>
    <w:rsid w:val="005172C7"/>
    <w:rsid w:val="005205BF"/>
    <w:rsid w:val="00520614"/>
    <w:rsid w:val="00521ABE"/>
    <w:rsid w:val="00521EFC"/>
    <w:rsid w:val="00522466"/>
    <w:rsid w:val="005231DF"/>
    <w:rsid w:val="00523326"/>
    <w:rsid w:val="00524B55"/>
    <w:rsid w:val="0052540E"/>
    <w:rsid w:val="005257EC"/>
    <w:rsid w:val="00525F94"/>
    <w:rsid w:val="00526321"/>
    <w:rsid w:val="00526576"/>
    <w:rsid w:val="00526D08"/>
    <w:rsid w:val="005271A9"/>
    <w:rsid w:val="00527915"/>
    <w:rsid w:val="00530597"/>
    <w:rsid w:val="005309DE"/>
    <w:rsid w:val="00530F57"/>
    <w:rsid w:val="00530FC4"/>
    <w:rsid w:val="00531B95"/>
    <w:rsid w:val="00532435"/>
    <w:rsid w:val="00532891"/>
    <w:rsid w:val="005328A9"/>
    <w:rsid w:val="005334D9"/>
    <w:rsid w:val="00533D55"/>
    <w:rsid w:val="005341B2"/>
    <w:rsid w:val="00534DBA"/>
    <w:rsid w:val="00535221"/>
    <w:rsid w:val="00535A83"/>
    <w:rsid w:val="00535BAA"/>
    <w:rsid w:val="00536396"/>
    <w:rsid w:val="0053675A"/>
    <w:rsid w:val="00536FEB"/>
    <w:rsid w:val="005371F7"/>
    <w:rsid w:val="00540352"/>
    <w:rsid w:val="005403E8"/>
    <w:rsid w:val="005410FD"/>
    <w:rsid w:val="00541D9C"/>
    <w:rsid w:val="00543087"/>
    <w:rsid w:val="0054396A"/>
    <w:rsid w:val="0054469D"/>
    <w:rsid w:val="005446B6"/>
    <w:rsid w:val="005458DB"/>
    <w:rsid w:val="00545D2B"/>
    <w:rsid w:val="00546A5E"/>
    <w:rsid w:val="00546E7D"/>
    <w:rsid w:val="005470FA"/>
    <w:rsid w:val="00547CB2"/>
    <w:rsid w:val="00550723"/>
    <w:rsid w:val="005508D6"/>
    <w:rsid w:val="005509EC"/>
    <w:rsid w:val="00551D48"/>
    <w:rsid w:val="005521E7"/>
    <w:rsid w:val="00552C41"/>
    <w:rsid w:val="005538E3"/>
    <w:rsid w:val="00554637"/>
    <w:rsid w:val="005547CA"/>
    <w:rsid w:val="00555F68"/>
    <w:rsid w:val="00557000"/>
    <w:rsid w:val="005576F8"/>
    <w:rsid w:val="00557D7C"/>
    <w:rsid w:val="00557E9E"/>
    <w:rsid w:val="00560672"/>
    <w:rsid w:val="00560D9D"/>
    <w:rsid w:val="00560F2D"/>
    <w:rsid w:val="005611FA"/>
    <w:rsid w:val="00562537"/>
    <w:rsid w:val="005630C2"/>
    <w:rsid w:val="00563E21"/>
    <w:rsid w:val="005642DE"/>
    <w:rsid w:val="00565244"/>
    <w:rsid w:val="00566436"/>
    <w:rsid w:val="00566466"/>
    <w:rsid w:val="0056727F"/>
    <w:rsid w:val="00567F91"/>
    <w:rsid w:val="005713C0"/>
    <w:rsid w:val="00571A6A"/>
    <w:rsid w:val="00571F36"/>
    <w:rsid w:val="005720EB"/>
    <w:rsid w:val="005723B3"/>
    <w:rsid w:val="00573560"/>
    <w:rsid w:val="0057399B"/>
    <w:rsid w:val="00573BC6"/>
    <w:rsid w:val="00573F07"/>
    <w:rsid w:val="0057456A"/>
    <w:rsid w:val="0057464F"/>
    <w:rsid w:val="0057547C"/>
    <w:rsid w:val="005778B0"/>
    <w:rsid w:val="00577FCD"/>
    <w:rsid w:val="00580A6C"/>
    <w:rsid w:val="0058179A"/>
    <w:rsid w:val="00581FC5"/>
    <w:rsid w:val="005820B6"/>
    <w:rsid w:val="00582960"/>
    <w:rsid w:val="00583682"/>
    <w:rsid w:val="00583AED"/>
    <w:rsid w:val="005848D8"/>
    <w:rsid w:val="00584BD3"/>
    <w:rsid w:val="00584DAE"/>
    <w:rsid w:val="00585F60"/>
    <w:rsid w:val="00586969"/>
    <w:rsid w:val="00586B11"/>
    <w:rsid w:val="00587425"/>
    <w:rsid w:val="005903AC"/>
    <w:rsid w:val="0059080A"/>
    <w:rsid w:val="0059088F"/>
    <w:rsid w:val="00590CF9"/>
    <w:rsid w:val="00590FD7"/>
    <w:rsid w:val="005915BE"/>
    <w:rsid w:val="0059179D"/>
    <w:rsid w:val="00591D38"/>
    <w:rsid w:val="005920E1"/>
    <w:rsid w:val="005925C5"/>
    <w:rsid w:val="00593008"/>
    <w:rsid w:val="00593396"/>
    <w:rsid w:val="00593F03"/>
    <w:rsid w:val="00594EA5"/>
    <w:rsid w:val="005954F5"/>
    <w:rsid w:val="0059557C"/>
    <w:rsid w:val="005962C3"/>
    <w:rsid w:val="00596358"/>
    <w:rsid w:val="00596A47"/>
    <w:rsid w:val="00596D13"/>
    <w:rsid w:val="00596DFB"/>
    <w:rsid w:val="00596EA6"/>
    <w:rsid w:val="00597529"/>
    <w:rsid w:val="005975FE"/>
    <w:rsid w:val="005A151B"/>
    <w:rsid w:val="005A1C13"/>
    <w:rsid w:val="005A30F8"/>
    <w:rsid w:val="005A3E19"/>
    <w:rsid w:val="005A4540"/>
    <w:rsid w:val="005A45F5"/>
    <w:rsid w:val="005A62C4"/>
    <w:rsid w:val="005A7739"/>
    <w:rsid w:val="005A7F69"/>
    <w:rsid w:val="005B02BC"/>
    <w:rsid w:val="005B07C3"/>
    <w:rsid w:val="005B191D"/>
    <w:rsid w:val="005B23FE"/>
    <w:rsid w:val="005B2A0E"/>
    <w:rsid w:val="005B33E5"/>
    <w:rsid w:val="005B3BFB"/>
    <w:rsid w:val="005B3C24"/>
    <w:rsid w:val="005B4032"/>
    <w:rsid w:val="005B41E1"/>
    <w:rsid w:val="005B459D"/>
    <w:rsid w:val="005B464E"/>
    <w:rsid w:val="005B4DBF"/>
    <w:rsid w:val="005B51FD"/>
    <w:rsid w:val="005B5A68"/>
    <w:rsid w:val="005B6DC2"/>
    <w:rsid w:val="005B77EB"/>
    <w:rsid w:val="005B7973"/>
    <w:rsid w:val="005B7C96"/>
    <w:rsid w:val="005C0D2A"/>
    <w:rsid w:val="005C289D"/>
    <w:rsid w:val="005C2B76"/>
    <w:rsid w:val="005C2E96"/>
    <w:rsid w:val="005C3332"/>
    <w:rsid w:val="005C40D5"/>
    <w:rsid w:val="005C40E0"/>
    <w:rsid w:val="005C46B0"/>
    <w:rsid w:val="005C523F"/>
    <w:rsid w:val="005C5F56"/>
    <w:rsid w:val="005C63BD"/>
    <w:rsid w:val="005C66D5"/>
    <w:rsid w:val="005D0A2E"/>
    <w:rsid w:val="005D116A"/>
    <w:rsid w:val="005D1DEB"/>
    <w:rsid w:val="005D20C6"/>
    <w:rsid w:val="005D29AF"/>
    <w:rsid w:val="005D2D29"/>
    <w:rsid w:val="005D356A"/>
    <w:rsid w:val="005D3CD3"/>
    <w:rsid w:val="005D46F4"/>
    <w:rsid w:val="005D54BD"/>
    <w:rsid w:val="005D5551"/>
    <w:rsid w:val="005D5D21"/>
    <w:rsid w:val="005D5D45"/>
    <w:rsid w:val="005D5F01"/>
    <w:rsid w:val="005D612F"/>
    <w:rsid w:val="005D66A9"/>
    <w:rsid w:val="005D6915"/>
    <w:rsid w:val="005D761A"/>
    <w:rsid w:val="005E03CB"/>
    <w:rsid w:val="005E1A90"/>
    <w:rsid w:val="005E1BF8"/>
    <w:rsid w:val="005E22BB"/>
    <w:rsid w:val="005E2B24"/>
    <w:rsid w:val="005E3156"/>
    <w:rsid w:val="005E3460"/>
    <w:rsid w:val="005E3574"/>
    <w:rsid w:val="005E3815"/>
    <w:rsid w:val="005E454D"/>
    <w:rsid w:val="005E4715"/>
    <w:rsid w:val="005E593D"/>
    <w:rsid w:val="005E616A"/>
    <w:rsid w:val="005E6BF8"/>
    <w:rsid w:val="005E726D"/>
    <w:rsid w:val="005F071C"/>
    <w:rsid w:val="005F0F29"/>
    <w:rsid w:val="005F0F2C"/>
    <w:rsid w:val="005F1D3B"/>
    <w:rsid w:val="005F24C7"/>
    <w:rsid w:val="005F28ED"/>
    <w:rsid w:val="005F2BD9"/>
    <w:rsid w:val="005F2FEA"/>
    <w:rsid w:val="005F3513"/>
    <w:rsid w:val="005F4D09"/>
    <w:rsid w:val="005F6BE6"/>
    <w:rsid w:val="005F6F8C"/>
    <w:rsid w:val="005F7146"/>
    <w:rsid w:val="005F716D"/>
    <w:rsid w:val="005F7ADD"/>
    <w:rsid w:val="005F7FEA"/>
    <w:rsid w:val="00600875"/>
    <w:rsid w:val="0060150C"/>
    <w:rsid w:val="00602DCC"/>
    <w:rsid w:val="00603C3E"/>
    <w:rsid w:val="00604683"/>
    <w:rsid w:val="00604AE9"/>
    <w:rsid w:val="00604D39"/>
    <w:rsid w:val="00605202"/>
    <w:rsid w:val="00605459"/>
    <w:rsid w:val="00606687"/>
    <w:rsid w:val="00606A2B"/>
    <w:rsid w:val="00606B62"/>
    <w:rsid w:val="006075CC"/>
    <w:rsid w:val="00610457"/>
    <w:rsid w:val="00610AD4"/>
    <w:rsid w:val="0061104D"/>
    <w:rsid w:val="006115E0"/>
    <w:rsid w:val="00611958"/>
    <w:rsid w:val="00611A58"/>
    <w:rsid w:val="00612BEC"/>
    <w:rsid w:val="00613910"/>
    <w:rsid w:val="00613E22"/>
    <w:rsid w:val="00614494"/>
    <w:rsid w:val="006144DE"/>
    <w:rsid w:val="00614BF4"/>
    <w:rsid w:val="00614C7C"/>
    <w:rsid w:val="00614D70"/>
    <w:rsid w:val="0061536E"/>
    <w:rsid w:val="00615A6E"/>
    <w:rsid w:val="00616DE6"/>
    <w:rsid w:val="00616F0E"/>
    <w:rsid w:val="00620664"/>
    <w:rsid w:val="00621D98"/>
    <w:rsid w:val="00622372"/>
    <w:rsid w:val="006231A4"/>
    <w:rsid w:val="00623A1C"/>
    <w:rsid w:val="00623E13"/>
    <w:rsid w:val="00624826"/>
    <w:rsid w:val="0062545D"/>
    <w:rsid w:val="00625C71"/>
    <w:rsid w:val="0062624D"/>
    <w:rsid w:val="006262AD"/>
    <w:rsid w:val="00630268"/>
    <w:rsid w:val="00630BEF"/>
    <w:rsid w:val="00630E12"/>
    <w:rsid w:val="006332F3"/>
    <w:rsid w:val="00633BA8"/>
    <w:rsid w:val="00633E77"/>
    <w:rsid w:val="00634241"/>
    <w:rsid w:val="00634CDA"/>
    <w:rsid w:val="00635142"/>
    <w:rsid w:val="00635AD0"/>
    <w:rsid w:val="0063644E"/>
    <w:rsid w:val="00636D6D"/>
    <w:rsid w:val="006371A1"/>
    <w:rsid w:val="00637A5C"/>
    <w:rsid w:val="00637E12"/>
    <w:rsid w:val="00637E6A"/>
    <w:rsid w:val="006404FF"/>
    <w:rsid w:val="00640A59"/>
    <w:rsid w:val="00640C9A"/>
    <w:rsid w:val="006410A9"/>
    <w:rsid w:val="00641793"/>
    <w:rsid w:val="00642ADA"/>
    <w:rsid w:val="00643403"/>
    <w:rsid w:val="006435FE"/>
    <w:rsid w:val="006436E9"/>
    <w:rsid w:val="00643F7D"/>
    <w:rsid w:val="00644DC8"/>
    <w:rsid w:val="00645765"/>
    <w:rsid w:val="00645F3D"/>
    <w:rsid w:val="00646823"/>
    <w:rsid w:val="00646F13"/>
    <w:rsid w:val="00646F94"/>
    <w:rsid w:val="00650EDC"/>
    <w:rsid w:val="00651946"/>
    <w:rsid w:val="00652E4B"/>
    <w:rsid w:val="00654229"/>
    <w:rsid w:val="006544C5"/>
    <w:rsid w:val="006545DB"/>
    <w:rsid w:val="00654777"/>
    <w:rsid w:val="006548A5"/>
    <w:rsid w:val="00655F8B"/>
    <w:rsid w:val="00656F9A"/>
    <w:rsid w:val="00657777"/>
    <w:rsid w:val="006579AE"/>
    <w:rsid w:val="0066009C"/>
    <w:rsid w:val="0066062F"/>
    <w:rsid w:val="006617B1"/>
    <w:rsid w:val="006618CB"/>
    <w:rsid w:val="00662640"/>
    <w:rsid w:val="0066273C"/>
    <w:rsid w:val="00663A1B"/>
    <w:rsid w:val="00663A7E"/>
    <w:rsid w:val="006651F1"/>
    <w:rsid w:val="00665B06"/>
    <w:rsid w:val="006662B6"/>
    <w:rsid w:val="00666D97"/>
    <w:rsid w:val="00670A39"/>
    <w:rsid w:val="00671099"/>
    <w:rsid w:val="006714B5"/>
    <w:rsid w:val="00671A5D"/>
    <w:rsid w:val="0067210B"/>
    <w:rsid w:val="00672D9C"/>
    <w:rsid w:val="0067358F"/>
    <w:rsid w:val="0067395C"/>
    <w:rsid w:val="00673D61"/>
    <w:rsid w:val="0067488E"/>
    <w:rsid w:val="00674A21"/>
    <w:rsid w:val="00674C8B"/>
    <w:rsid w:val="0067644C"/>
    <w:rsid w:val="00676A56"/>
    <w:rsid w:val="00676C56"/>
    <w:rsid w:val="00676F40"/>
    <w:rsid w:val="00677738"/>
    <w:rsid w:val="00677CE3"/>
    <w:rsid w:val="006805A0"/>
    <w:rsid w:val="00680807"/>
    <w:rsid w:val="00680853"/>
    <w:rsid w:val="00680982"/>
    <w:rsid w:val="00680E24"/>
    <w:rsid w:val="0068183A"/>
    <w:rsid w:val="006818E4"/>
    <w:rsid w:val="0068215C"/>
    <w:rsid w:val="0068230E"/>
    <w:rsid w:val="00682429"/>
    <w:rsid w:val="00682B2F"/>
    <w:rsid w:val="00682E92"/>
    <w:rsid w:val="00683424"/>
    <w:rsid w:val="00685EF7"/>
    <w:rsid w:val="00686C85"/>
    <w:rsid w:val="006901A4"/>
    <w:rsid w:val="00690C8B"/>
    <w:rsid w:val="00691E49"/>
    <w:rsid w:val="006927E4"/>
    <w:rsid w:val="00692B5A"/>
    <w:rsid w:val="006942EF"/>
    <w:rsid w:val="00694DDE"/>
    <w:rsid w:val="006956EA"/>
    <w:rsid w:val="00696153"/>
    <w:rsid w:val="00696571"/>
    <w:rsid w:val="00696B94"/>
    <w:rsid w:val="00696E0B"/>
    <w:rsid w:val="00696FD3"/>
    <w:rsid w:val="0069799C"/>
    <w:rsid w:val="00697DC5"/>
    <w:rsid w:val="00697E5B"/>
    <w:rsid w:val="006A02A7"/>
    <w:rsid w:val="006A10F7"/>
    <w:rsid w:val="006A177F"/>
    <w:rsid w:val="006A260C"/>
    <w:rsid w:val="006A3695"/>
    <w:rsid w:val="006A3CA2"/>
    <w:rsid w:val="006A4468"/>
    <w:rsid w:val="006A465C"/>
    <w:rsid w:val="006A4A70"/>
    <w:rsid w:val="006A4A7A"/>
    <w:rsid w:val="006A4FFC"/>
    <w:rsid w:val="006B1110"/>
    <w:rsid w:val="006B1180"/>
    <w:rsid w:val="006B1203"/>
    <w:rsid w:val="006B188A"/>
    <w:rsid w:val="006B201A"/>
    <w:rsid w:val="006B2425"/>
    <w:rsid w:val="006B3B7A"/>
    <w:rsid w:val="006B4E3F"/>
    <w:rsid w:val="006B4F07"/>
    <w:rsid w:val="006B540E"/>
    <w:rsid w:val="006B5CB9"/>
    <w:rsid w:val="006B5EDA"/>
    <w:rsid w:val="006B5F9A"/>
    <w:rsid w:val="006B602D"/>
    <w:rsid w:val="006B6112"/>
    <w:rsid w:val="006B6D4A"/>
    <w:rsid w:val="006B6E13"/>
    <w:rsid w:val="006C12A5"/>
    <w:rsid w:val="006C2620"/>
    <w:rsid w:val="006C3304"/>
    <w:rsid w:val="006C3409"/>
    <w:rsid w:val="006C35D1"/>
    <w:rsid w:val="006C42A0"/>
    <w:rsid w:val="006C572C"/>
    <w:rsid w:val="006C58B6"/>
    <w:rsid w:val="006C5E2C"/>
    <w:rsid w:val="006C6417"/>
    <w:rsid w:val="006C722C"/>
    <w:rsid w:val="006C7956"/>
    <w:rsid w:val="006D03BB"/>
    <w:rsid w:val="006D1686"/>
    <w:rsid w:val="006D1692"/>
    <w:rsid w:val="006D21FF"/>
    <w:rsid w:val="006D220A"/>
    <w:rsid w:val="006D253D"/>
    <w:rsid w:val="006D27C0"/>
    <w:rsid w:val="006D2ABE"/>
    <w:rsid w:val="006D2F31"/>
    <w:rsid w:val="006D30F3"/>
    <w:rsid w:val="006D3A7B"/>
    <w:rsid w:val="006D4429"/>
    <w:rsid w:val="006D4CC2"/>
    <w:rsid w:val="006D504F"/>
    <w:rsid w:val="006D541B"/>
    <w:rsid w:val="006D6007"/>
    <w:rsid w:val="006D67D7"/>
    <w:rsid w:val="006D732B"/>
    <w:rsid w:val="006D7CC3"/>
    <w:rsid w:val="006E004A"/>
    <w:rsid w:val="006E3BD4"/>
    <w:rsid w:val="006E3D04"/>
    <w:rsid w:val="006E40C9"/>
    <w:rsid w:val="006E4164"/>
    <w:rsid w:val="006E5E5B"/>
    <w:rsid w:val="006E6D2D"/>
    <w:rsid w:val="006F05A2"/>
    <w:rsid w:val="006F092B"/>
    <w:rsid w:val="006F0D87"/>
    <w:rsid w:val="006F0E2A"/>
    <w:rsid w:val="006F1424"/>
    <w:rsid w:val="006F188B"/>
    <w:rsid w:val="006F192F"/>
    <w:rsid w:val="006F1F95"/>
    <w:rsid w:val="006F2154"/>
    <w:rsid w:val="006F2213"/>
    <w:rsid w:val="006F265F"/>
    <w:rsid w:val="006F2EA9"/>
    <w:rsid w:val="006F3E8F"/>
    <w:rsid w:val="006F424C"/>
    <w:rsid w:val="006F44F5"/>
    <w:rsid w:val="006F4AFC"/>
    <w:rsid w:val="006F4CBD"/>
    <w:rsid w:val="006F5E3E"/>
    <w:rsid w:val="006F6350"/>
    <w:rsid w:val="006F730C"/>
    <w:rsid w:val="006F7368"/>
    <w:rsid w:val="006F73F3"/>
    <w:rsid w:val="006F795E"/>
    <w:rsid w:val="006F7E90"/>
    <w:rsid w:val="006F7F6A"/>
    <w:rsid w:val="00701102"/>
    <w:rsid w:val="00701330"/>
    <w:rsid w:val="0070177C"/>
    <w:rsid w:val="00702901"/>
    <w:rsid w:val="00702EB1"/>
    <w:rsid w:val="00702F11"/>
    <w:rsid w:val="00702F6D"/>
    <w:rsid w:val="00703C43"/>
    <w:rsid w:val="007043FD"/>
    <w:rsid w:val="007050B2"/>
    <w:rsid w:val="00705114"/>
    <w:rsid w:val="00705C7D"/>
    <w:rsid w:val="00706782"/>
    <w:rsid w:val="00707736"/>
    <w:rsid w:val="00707D06"/>
    <w:rsid w:val="00710542"/>
    <w:rsid w:val="00710ABE"/>
    <w:rsid w:val="00711B96"/>
    <w:rsid w:val="00713F35"/>
    <w:rsid w:val="00714606"/>
    <w:rsid w:val="00714799"/>
    <w:rsid w:val="0071616C"/>
    <w:rsid w:val="00716504"/>
    <w:rsid w:val="00716595"/>
    <w:rsid w:val="00717268"/>
    <w:rsid w:val="00720FF5"/>
    <w:rsid w:val="0072154F"/>
    <w:rsid w:val="00721AFF"/>
    <w:rsid w:val="0072218D"/>
    <w:rsid w:val="007222A0"/>
    <w:rsid w:val="007228C9"/>
    <w:rsid w:val="00723949"/>
    <w:rsid w:val="00723D3C"/>
    <w:rsid w:val="00724E04"/>
    <w:rsid w:val="00726285"/>
    <w:rsid w:val="007265DF"/>
    <w:rsid w:val="0072685E"/>
    <w:rsid w:val="00726EA8"/>
    <w:rsid w:val="00730173"/>
    <w:rsid w:val="00730B4C"/>
    <w:rsid w:val="00730E35"/>
    <w:rsid w:val="007312B4"/>
    <w:rsid w:val="0073154A"/>
    <w:rsid w:val="007333DF"/>
    <w:rsid w:val="007354D3"/>
    <w:rsid w:val="0073745B"/>
    <w:rsid w:val="007374A3"/>
    <w:rsid w:val="00737595"/>
    <w:rsid w:val="007379A4"/>
    <w:rsid w:val="0074039B"/>
    <w:rsid w:val="0074107B"/>
    <w:rsid w:val="00741A3B"/>
    <w:rsid w:val="00741C73"/>
    <w:rsid w:val="00743319"/>
    <w:rsid w:val="007439CC"/>
    <w:rsid w:val="00743CF0"/>
    <w:rsid w:val="00744700"/>
    <w:rsid w:val="00745C60"/>
    <w:rsid w:val="0074611E"/>
    <w:rsid w:val="0074799E"/>
    <w:rsid w:val="00750096"/>
    <w:rsid w:val="00750342"/>
    <w:rsid w:val="00750DD7"/>
    <w:rsid w:val="00752327"/>
    <w:rsid w:val="00752A15"/>
    <w:rsid w:val="00752A29"/>
    <w:rsid w:val="007536E5"/>
    <w:rsid w:val="00753E3C"/>
    <w:rsid w:val="0075488B"/>
    <w:rsid w:val="0075502A"/>
    <w:rsid w:val="007559ED"/>
    <w:rsid w:val="00755C07"/>
    <w:rsid w:val="00756044"/>
    <w:rsid w:val="00756AF5"/>
    <w:rsid w:val="00756EA2"/>
    <w:rsid w:val="007570C3"/>
    <w:rsid w:val="00757848"/>
    <w:rsid w:val="00757E7E"/>
    <w:rsid w:val="0076008C"/>
    <w:rsid w:val="007614D4"/>
    <w:rsid w:val="007617CA"/>
    <w:rsid w:val="007618E4"/>
    <w:rsid w:val="007619BB"/>
    <w:rsid w:val="00761C9D"/>
    <w:rsid w:val="00761DA6"/>
    <w:rsid w:val="00761E1D"/>
    <w:rsid w:val="007623D6"/>
    <w:rsid w:val="0076292F"/>
    <w:rsid w:val="00762A5A"/>
    <w:rsid w:val="00763C73"/>
    <w:rsid w:val="00763E72"/>
    <w:rsid w:val="00764524"/>
    <w:rsid w:val="007656E2"/>
    <w:rsid w:val="00765ADE"/>
    <w:rsid w:val="00767847"/>
    <w:rsid w:val="007700B1"/>
    <w:rsid w:val="00770544"/>
    <w:rsid w:val="00772351"/>
    <w:rsid w:val="00773007"/>
    <w:rsid w:val="007739F4"/>
    <w:rsid w:val="00773D26"/>
    <w:rsid w:val="0077419A"/>
    <w:rsid w:val="007741EE"/>
    <w:rsid w:val="0077488F"/>
    <w:rsid w:val="00775781"/>
    <w:rsid w:val="00775C16"/>
    <w:rsid w:val="00776B88"/>
    <w:rsid w:val="00776DB6"/>
    <w:rsid w:val="00777839"/>
    <w:rsid w:val="00777DAB"/>
    <w:rsid w:val="00780A1E"/>
    <w:rsid w:val="00780B38"/>
    <w:rsid w:val="007814FC"/>
    <w:rsid w:val="00781F52"/>
    <w:rsid w:val="00782097"/>
    <w:rsid w:val="007825D9"/>
    <w:rsid w:val="00782742"/>
    <w:rsid w:val="0078514F"/>
    <w:rsid w:val="0078551A"/>
    <w:rsid w:val="00785601"/>
    <w:rsid w:val="0078638B"/>
    <w:rsid w:val="00786632"/>
    <w:rsid w:val="00787CE7"/>
    <w:rsid w:val="00790789"/>
    <w:rsid w:val="0079310C"/>
    <w:rsid w:val="00793FD8"/>
    <w:rsid w:val="00794AE8"/>
    <w:rsid w:val="00795150"/>
    <w:rsid w:val="00795171"/>
    <w:rsid w:val="0079593D"/>
    <w:rsid w:val="007963EB"/>
    <w:rsid w:val="007979D2"/>
    <w:rsid w:val="00797DF5"/>
    <w:rsid w:val="007A1493"/>
    <w:rsid w:val="007A185C"/>
    <w:rsid w:val="007A2CE6"/>
    <w:rsid w:val="007A2D95"/>
    <w:rsid w:val="007A2E39"/>
    <w:rsid w:val="007A336F"/>
    <w:rsid w:val="007A36E9"/>
    <w:rsid w:val="007A475A"/>
    <w:rsid w:val="007A4ADA"/>
    <w:rsid w:val="007A4F3F"/>
    <w:rsid w:val="007A4F44"/>
    <w:rsid w:val="007A4F91"/>
    <w:rsid w:val="007A4FD7"/>
    <w:rsid w:val="007A5C96"/>
    <w:rsid w:val="007A60DB"/>
    <w:rsid w:val="007A645D"/>
    <w:rsid w:val="007A67AA"/>
    <w:rsid w:val="007A6DEC"/>
    <w:rsid w:val="007A7895"/>
    <w:rsid w:val="007A7E0A"/>
    <w:rsid w:val="007B01C9"/>
    <w:rsid w:val="007B01E1"/>
    <w:rsid w:val="007B035E"/>
    <w:rsid w:val="007B036F"/>
    <w:rsid w:val="007B063B"/>
    <w:rsid w:val="007B0A18"/>
    <w:rsid w:val="007B0B7E"/>
    <w:rsid w:val="007B1192"/>
    <w:rsid w:val="007B1305"/>
    <w:rsid w:val="007B1336"/>
    <w:rsid w:val="007B1E87"/>
    <w:rsid w:val="007B1FBB"/>
    <w:rsid w:val="007B2E74"/>
    <w:rsid w:val="007B3514"/>
    <w:rsid w:val="007B3A13"/>
    <w:rsid w:val="007B3FF6"/>
    <w:rsid w:val="007B446F"/>
    <w:rsid w:val="007B4870"/>
    <w:rsid w:val="007B53B5"/>
    <w:rsid w:val="007B69D4"/>
    <w:rsid w:val="007B6D19"/>
    <w:rsid w:val="007B7600"/>
    <w:rsid w:val="007C0267"/>
    <w:rsid w:val="007C17FB"/>
    <w:rsid w:val="007C1EEB"/>
    <w:rsid w:val="007C2A16"/>
    <w:rsid w:val="007C42FA"/>
    <w:rsid w:val="007C4700"/>
    <w:rsid w:val="007C4BE5"/>
    <w:rsid w:val="007C564D"/>
    <w:rsid w:val="007C6B92"/>
    <w:rsid w:val="007D032C"/>
    <w:rsid w:val="007D0586"/>
    <w:rsid w:val="007D06F6"/>
    <w:rsid w:val="007D23A0"/>
    <w:rsid w:val="007D2796"/>
    <w:rsid w:val="007D2AD5"/>
    <w:rsid w:val="007D2B5B"/>
    <w:rsid w:val="007D2B67"/>
    <w:rsid w:val="007D3F6C"/>
    <w:rsid w:val="007D4145"/>
    <w:rsid w:val="007D4975"/>
    <w:rsid w:val="007D5468"/>
    <w:rsid w:val="007D6073"/>
    <w:rsid w:val="007D6AE7"/>
    <w:rsid w:val="007D6CFB"/>
    <w:rsid w:val="007E0DAC"/>
    <w:rsid w:val="007E1B3E"/>
    <w:rsid w:val="007E1F7C"/>
    <w:rsid w:val="007E2478"/>
    <w:rsid w:val="007E33D0"/>
    <w:rsid w:val="007E3CC6"/>
    <w:rsid w:val="007E4678"/>
    <w:rsid w:val="007E49BA"/>
    <w:rsid w:val="007E574B"/>
    <w:rsid w:val="007E5750"/>
    <w:rsid w:val="007E6923"/>
    <w:rsid w:val="007E6A8E"/>
    <w:rsid w:val="007E737A"/>
    <w:rsid w:val="007E77BE"/>
    <w:rsid w:val="007F03B5"/>
    <w:rsid w:val="007F0FC3"/>
    <w:rsid w:val="007F1F48"/>
    <w:rsid w:val="007F2B0D"/>
    <w:rsid w:val="007F2D14"/>
    <w:rsid w:val="007F2F77"/>
    <w:rsid w:val="007F44D5"/>
    <w:rsid w:val="007F472B"/>
    <w:rsid w:val="007F4BCF"/>
    <w:rsid w:val="007F50D9"/>
    <w:rsid w:val="007F5802"/>
    <w:rsid w:val="007F58DA"/>
    <w:rsid w:val="007F5A95"/>
    <w:rsid w:val="007F6953"/>
    <w:rsid w:val="007F6B20"/>
    <w:rsid w:val="007F6E1D"/>
    <w:rsid w:val="00800B92"/>
    <w:rsid w:val="0080125A"/>
    <w:rsid w:val="00802250"/>
    <w:rsid w:val="0080231E"/>
    <w:rsid w:val="00802640"/>
    <w:rsid w:val="0080264C"/>
    <w:rsid w:val="008029FE"/>
    <w:rsid w:val="008042BD"/>
    <w:rsid w:val="00805511"/>
    <w:rsid w:val="008059AC"/>
    <w:rsid w:val="00806128"/>
    <w:rsid w:val="008075CF"/>
    <w:rsid w:val="0081014D"/>
    <w:rsid w:val="008105DF"/>
    <w:rsid w:val="00810D4D"/>
    <w:rsid w:val="00811638"/>
    <w:rsid w:val="00811740"/>
    <w:rsid w:val="008132F8"/>
    <w:rsid w:val="00814AE7"/>
    <w:rsid w:val="00815382"/>
    <w:rsid w:val="00816195"/>
    <w:rsid w:val="0081743B"/>
    <w:rsid w:val="00820BCF"/>
    <w:rsid w:val="00820C4D"/>
    <w:rsid w:val="00820F6E"/>
    <w:rsid w:val="00821341"/>
    <w:rsid w:val="00821B24"/>
    <w:rsid w:val="00822021"/>
    <w:rsid w:val="00822C17"/>
    <w:rsid w:val="0082301F"/>
    <w:rsid w:val="00824C6A"/>
    <w:rsid w:val="00824F77"/>
    <w:rsid w:val="008252FD"/>
    <w:rsid w:val="00825C82"/>
    <w:rsid w:val="00825D9F"/>
    <w:rsid w:val="008262A2"/>
    <w:rsid w:val="008265DE"/>
    <w:rsid w:val="008270F5"/>
    <w:rsid w:val="0082741A"/>
    <w:rsid w:val="008274D1"/>
    <w:rsid w:val="0083028B"/>
    <w:rsid w:val="00830296"/>
    <w:rsid w:val="008309D8"/>
    <w:rsid w:val="00830C52"/>
    <w:rsid w:val="0083109E"/>
    <w:rsid w:val="008321D0"/>
    <w:rsid w:val="00833369"/>
    <w:rsid w:val="00833B51"/>
    <w:rsid w:val="00836FF6"/>
    <w:rsid w:val="00837702"/>
    <w:rsid w:val="008402BA"/>
    <w:rsid w:val="008403EE"/>
    <w:rsid w:val="008405D8"/>
    <w:rsid w:val="008410C7"/>
    <w:rsid w:val="00841251"/>
    <w:rsid w:val="00841793"/>
    <w:rsid w:val="00842655"/>
    <w:rsid w:val="0084569E"/>
    <w:rsid w:val="00845839"/>
    <w:rsid w:val="00845FDC"/>
    <w:rsid w:val="00852D7A"/>
    <w:rsid w:val="008540D9"/>
    <w:rsid w:val="008541A1"/>
    <w:rsid w:val="00854473"/>
    <w:rsid w:val="00854B29"/>
    <w:rsid w:val="00854CC7"/>
    <w:rsid w:val="00854FD1"/>
    <w:rsid w:val="00855375"/>
    <w:rsid w:val="00855F49"/>
    <w:rsid w:val="00856678"/>
    <w:rsid w:val="00856928"/>
    <w:rsid w:val="00857A2A"/>
    <w:rsid w:val="00860521"/>
    <w:rsid w:val="00861F22"/>
    <w:rsid w:val="008622FD"/>
    <w:rsid w:val="00862427"/>
    <w:rsid w:val="00862A1B"/>
    <w:rsid w:val="0086489F"/>
    <w:rsid w:val="00864EBD"/>
    <w:rsid w:val="00865AD4"/>
    <w:rsid w:val="00866C9A"/>
    <w:rsid w:val="0086770F"/>
    <w:rsid w:val="00870BFC"/>
    <w:rsid w:val="00871AFC"/>
    <w:rsid w:val="008720D9"/>
    <w:rsid w:val="00872125"/>
    <w:rsid w:val="00872A9C"/>
    <w:rsid w:val="008754FF"/>
    <w:rsid w:val="00875ECD"/>
    <w:rsid w:val="008767FC"/>
    <w:rsid w:val="00876C7E"/>
    <w:rsid w:val="008774AE"/>
    <w:rsid w:val="008775B4"/>
    <w:rsid w:val="00877B02"/>
    <w:rsid w:val="00880DEC"/>
    <w:rsid w:val="008813AB"/>
    <w:rsid w:val="0088194F"/>
    <w:rsid w:val="00882713"/>
    <w:rsid w:val="00882C58"/>
    <w:rsid w:val="00882E5C"/>
    <w:rsid w:val="00882F68"/>
    <w:rsid w:val="008861CD"/>
    <w:rsid w:val="008866E0"/>
    <w:rsid w:val="00886AEE"/>
    <w:rsid w:val="008872B6"/>
    <w:rsid w:val="00887B85"/>
    <w:rsid w:val="00887D72"/>
    <w:rsid w:val="00890C3C"/>
    <w:rsid w:val="0089100B"/>
    <w:rsid w:val="00891640"/>
    <w:rsid w:val="0089292F"/>
    <w:rsid w:val="008932CA"/>
    <w:rsid w:val="0089611E"/>
    <w:rsid w:val="00896611"/>
    <w:rsid w:val="008972A4"/>
    <w:rsid w:val="008A06FE"/>
    <w:rsid w:val="008A0D48"/>
    <w:rsid w:val="008A1353"/>
    <w:rsid w:val="008A2450"/>
    <w:rsid w:val="008A26AF"/>
    <w:rsid w:val="008A4552"/>
    <w:rsid w:val="008A54F9"/>
    <w:rsid w:val="008A58EF"/>
    <w:rsid w:val="008A5A7E"/>
    <w:rsid w:val="008A694A"/>
    <w:rsid w:val="008A6B78"/>
    <w:rsid w:val="008A705A"/>
    <w:rsid w:val="008A7098"/>
    <w:rsid w:val="008A70E1"/>
    <w:rsid w:val="008B030F"/>
    <w:rsid w:val="008B07B5"/>
    <w:rsid w:val="008B2105"/>
    <w:rsid w:val="008B2A5D"/>
    <w:rsid w:val="008B2BAC"/>
    <w:rsid w:val="008B3534"/>
    <w:rsid w:val="008B413B"/>
    <w:rsid w:val="008B4482"/>
    <w:rsid w:val="008B46F9"/>
    <w:rsid w:val="008B4E7B"/>
    <w:rsid w:val="008B592B"/>
    <w:rsid w:val="008B5ADA"/>
    <w:rsid w:val="008B7087"/>
    <w:rsid w:val="008B7607"/>
    <w:rsid w:val="008C0044"/>
    <w:rsid w:val="008C013D"/>
    <w:rsid w:val="008C08DC"/>
    <w:rsid w:val="008C0E72"/>
    <w:rsid w:val="008C12AA"/>
    <w:rsid w:val="008C16FA"/>
    <w:rsid w:val="008C2C04"/>
    <w:rsid w:val="008C3556"/>
    <w:rsid w:val="008C39E1"/>
    <w:rsid w:val="008C41BE"/>
    <w:rsid w:val="008C42DA"/>
    <w:rsid w:val="008C466D"/>
    <w:rsid w:val="008C5468"/>
    <w:rsid w:val="008C5C77"/>
    <w:rsid w:val="008C60DE"/>
    <w:rsid w:val="008C76C6"/>
    <w:rsid w:val="008C784B"/>
    <w:rsid w:val="008C792F"/>
    <w:rsid w:val="008C799F"/>
    <w:rsid w:val="008C7CAD"/>
    <w:rsid w:val="008C7DB0"/>
    <w:rsid w:val="008C7F74"/>
    <w:rsid w:val="008D0002"/>
    <w:rsid w:val="008D0F29"/>
    <w:rsid w:val="008D1412"/>
    <w:rsid w:val="008D19C5"/>
    <w:rsid w:val="008D314C"/>
    <w:rsid w:val="008D5335"/>
    <w:rsid w:val="008D539C"/>
    <w:rsid w:val="008D5632"/>
    <w:rsid w:val="008D5EEF"/>
    <w:rsid w:val="008D647A"/>
    <w:rsid w:val="008D680C"/>
    <w:rsid w:val="008D6A8B"/>
    <w:rsid w:val="008D7308"/>
    <w:rsid w:val="008D7A1E"/>
    <w:rsid w:val="008D7A58"/>
    <w:rsid w:val="008D7F7E"/>
    <w:rsid w:val="008E0151"/>
    <w:rsid w:val="008E02F7"/>
    <w:rsid w:val="008E0A70"/>
    <w:rsid w:val="008E16A9"/>
    <w:rsid w:val="008E1A49"/>
    <w:rsid w:val="008E1D68"/>
    <w:rsid w:val="008E20AC"/>
    <w:rsid w:val="008E2376"/>
    <w:rsid w:val="008E30BB"/>
    <w:rsid w:val="008E354A"/>
    <w:rsid w:val="008E402A"/>
    <w:rsid w:val="008E4524"/>
    <w:rsid w:val="008E4769"/>
    <w:rsid w:val="008E48EC"/>
    <w:rsid w:val="008E4ACA"/>
    <w:rsid w:val="008E4BA9"/>
    <w:rsid w:val="008E5F73"/>
    <w:rsid w:val="008E6AB9"/>
    <w:rsid w:val="008E725C"/>
    <w:rsid w:val="008F01E3"/>
    <w:rsid w:val="008F01E5"/>
    <w:rsid w:val="008F1B46"/>
    <w:rsid w:val="008F2169"/>
    <w:rsid w:val="008F2984"/>
    <w:rsid w:val="008F2A7B"/>
    <w:rsid w:val="008F4290"/>
    <w:rsid w:val="008F4C51"/>
    <w:rsid w:val="009008D3"/>
    <w:rsid w:val="009008EA"/>
    <w:rsid w:val="00900A3B"/>
    <w:rsid w:val="00900AE0"/>
    <w:rsid w:val="00901CA4"/>
    <w:rsid w:val="00903D1B"/>
    <w:rsid w:val="00904561"/>
    <w:rsid w:val="009059B9"/>
    <w:rsid w:val="00906D40"/>
    <w:rsid w:val="00907B98"/>
    <w:rsid w:val="00910B00"/>
    <w:rsid w:val="009128C5"/>
    <w:rsid w:val="0091313F"/>
    <w:rsid w:val="009132E5"/>
    <w:rsid w:val="00913E88"/>
    <w:rsid w:val="0091443C"/>
    <w:rsid w:val="00914738"/>
    <w:rsid w:val="009147A0"/>
    <w:rsid w:val="00914BDE"/>
    <w:rsid w:val="00914C06"/>
    <w:rsid w:val="009152C6"/>
    <w:rsid w:val="009157AF"/>
    <w:rsid w:val="009157C5"/>
    <w:rsid w:val="00915A84"/>
    <w:rsid w:val="00915E41"/>
    <w:rsid w:val="0091677A"/>
    <w:rsid w:val="00916903"/>
    <w:rsid w:val="0091711A"/>
    <w:rsid w:val="00917733"/>
    <w:rsid w:val="00917F77"/>
    <w:rsid w:val="00920411"/>
    <w:rsid w:val="0092292E"/>
    <w:rsid w:val="00922D0F"/>
    <w:rsid w:val="00922EE6"/>
    <w:rsid w:val="009237FD"/>
    <w:rsid w:val="009247F8"/>
    <w:rsid w:val="00924AC8"/>
    <w:rsid w:val="009250ED"/>
    <w:rsid w:val="00925178"/>
    <w:rsid w:val="009259C2"/>
    <w:rsid w:val="009263B3"/>
    <w:rsid w:val="009267CD"/>
    <w:rsid w:val="00926A2D"/>
    <w:rsid w:val="00926CE8"/>
    <w:rsid w:val="0093058E"/>
    <w:rsid w:val="00931483"/>
    <w:rsid w:val="00931A01"/>
    <w:rsid w:val="0093204A"/>
    <w:rsid w:val="00932881"/>
    <w:rsid w:val="00932E4E"/>
    <w:rsid w:val="00933086"/>
    <w:rsid w:val="009337C6"/>
    <w:rsid w:val="00933DCA"/>
    <w:rsid w:val="00935069"/>
    <w:rsid w:val="009354DF"/>
    <w:rsid w:val="00935598"/>
    <w:rsid w:val="00935B15"/>
    <w:rsid w:val="00935F7F"/>
    <w:rsid w:val="009366B9"/>
    <w:rsid w:val="00936DE3"/>
    <w:rsid w:val="0093767A"/>
    <w:rsid w:val="009409D9"/>
    <w:rsid w:val="0094113D"/>
    <w:rsid w:val="0094176A"/>
    <w:rsid w:val="00941796"/>
    <w:rsid w:val="00941969"/>
    <w:rsid w:val="00941B86"/>
    <w:rsid w:val="009424EF"/>
    <w:rsid w:val="009437BC"/>
    <w:rsid w:val="00943B0E"/>
    <w:rsid w:val="00943FA9"/>
    <w:rsid w:val="00944A25"/>
    <w:rsid w:val="00944B1F"/>
    <w:rsid w:val="00944C5E"/>
    <w:rsid w:val="00945792"/>
    <w:rsid w:val="0094631C"/>
    <w:rsid w:val="00946596"/>
    <w:rsid w:val="00947455"/>
    <w:rsid w:val="00950145"/>
    <w:rsid w:val="009501B9"/>
    <w:rsid w:val="00950A08"/>
    <w:rsid w:val="00950C96"/>
    <w:rsid w:val="00950D4B"/>
    <w:rsid w:val="00951112"/>
    <w:rsid w:val="00951A8D"/>
    <w:rsid w:val="00952160"/>
    <w:rsid w:val="00952436"/>
    <w:rsid w:val="00952BEF"/>
    <w:rsid w:val="00952E17"/>
    <w:rsid w:val="009536B1"/>
    <w:rsid w:val="00953971"/>
    <w:rsid w:val="00953A9B"/>
    <w:rsid w:val="00954AF5"/>
    <w:rsid w:val="00955505"/>
    <w:rsid w:val="009555B9"/>
    <w:rsid w:val="00955E14"/>
    <w:rsid w:val="009570E9"/>
    <w:rsid w:val="009600CC"/>
    <w:rsid w:val="0096071E"/>
    <w:rsid w:val="00961AD2"/>
    <w:rsid w:val="00961ECE"/>
    <w:rsid w:val="00962492"/>
    <w:rsid w:val="009625E7"/>
    <w:rsid w:val="009634E4"/>
    <w:rsid w:val="00963972"/>
    <w:rsid w:val="00963AD0"/>
    <w:rsid w:val="00963C12"/>
    <w:rsid w:val="00964824"/>
    <w:rsid w:val="00964AA6"/>
    <w:rsid w:val="00964B48"/>
    <w:rsid w:val="00964D00"/>
    <w:rsid w:val="00965125"/>
    <w:rsid w:val="00965653"/>
    <w:rsid w:val="009660BE"/>
    <w:rsid w:val="00971589"/>
    <w:rsid w:val="0097374F"/>
    <w:rsid w:val="00974046"/>
    <w:rsid w:val="0097534B"/>
    <w:rsid w:val="009762E8"/>
    <w:rsid w:val="009766F4"/>
    <w:rsid w:val="00976BF5"/>
    <w:rsid w:val="00977C45"/>
    <w:rsid w:val="00981FE2"/>
    <w:rsid w:val="00982052"/>
    <w:rsid w:val="00982410"/>
    <w:rsid w:val="00982902"/>
    <w:rsid w:val="00983610"/>
    <w:rsid w:val="0098588C"/>
    <w:rsid w:val="009859D2"/>
    <w:rsid w:val="00986433"/>
    <w:rsid w:val="009865CA"/>
    <w:rsid w:val="00986AAE"/>
    <w:rsid w:val="00986EE6"/>
    <w:rsid w:val="00987DFE"/>
    <w:rsid w:val="00990180"/>
    <w:rsid w:val="0099171B"/>
    <w:rsid w:val="00992A6D"/>
    <w:rsid w:val="00993AAB"/>
    <w:rsid w:val="009940EF"/>
    <w:rsid w:val="00995271"/>
    <w:rsid w:val="00995D54"/>
    <w:rsid w:val="00995E6B"/>
    <w:rsid w:val="00996234"/>
    <w:rsid w:val="00996818"/>
    <w:rsid w:val="00996BC2"/>
    <w:rsid w:val="00996DE8"/>
    <w:rsid w:val="00997909"/>
    <w:rsid w:val="00997AC2"/>
    <w:rsid w:val="00997B82"/>
    <w:rsid w:val="00997C09"/>
    <w:rsid w:val="009A1008"/>
    <w:rsid w:val="009A10D9"/>
    <w:rsid w:val="009A1723"/>
    <w:rsid w:val="009A192A"/>
    <w:rsid w:val="009A1F17"/>
    <w:rsid w:val="009A2669"/>
    <w:rsid w:val="009A38B3"/>
    <w:rsid w:val="009A4432"/>
    <w:rsid w:val="009A450F"/>
    <w:rsid w:val="009A45FC"/>
    <w:rsid w:val="009A46C2"/>
    <w:rsid w:val="009A4D0C"/>
    <w:rsid w:val="009A5344"/>
    <w:rsid w:val="009A5591"/>
    <w:rsid w:val="009A7276"/>
    <w:rsid w:val="009A79EC"/>
    <w:rsid w:val="009B11C3"/>
    <w:rsid w:val="009B2E7D"/>
    <w:rsid w:val="009B4C33"/>
    <w:rsid w:val="009B6532"/>
    <w:rsid w:val="009B69E2"/>
    <w:rsid w:val="009B76DA"/>
    <w:rsid w:val="009B7769"/>
    <w:rsid w:val="009C041F"/>
    <w:rsid w:val="009C1A50"/>
    <w:rsid w:val="009C2090"/>
    <w:rsid w:val="009C26D3"/>
    <w:rsid w:val="009C3E7E"/>
    <w:rsid w:val="009C40AE"/>
    <w:rsid w:val="009C49AD"/>
    <w:rsid w:val="009C4DC0"/>
    <w:rsid w:val="009C52C1"/>
    <w:rsid w:val="009C6E21"/>
    <w:rsid w:val="009D00E7"/>
    <w:rsid w:val="009D0795"/>
    <w:rsid w:val="009D0C11"/>
    <w:rsid w:val="009D0EC6"/>
    <w:rsid w:val="009D1782"/>
    <w:rsid w:val="009D1CBA"/>
    <w:rsid w:val="009D25B0"/>
    <w:rsid w:val="009D2CB4"/>
    <w:rsid w:val="009D30DC"/>
    <w:rsid w:val="009D3422"/>
    <w:rsid w:val="009D4818"/>
    <w:rsid w:val="009D4D51"/>
    <w:rsid w:val="009D504D"/>
    <w:rsid w:val="009D58C3"/>
    <w:rsid w:val="009D58E7"/>
    <w:rsid w:val="009D728A"/>
    <w:rsid w:val="009D749B"/>
    <w:rsid w:val="009D7F1B"/>
    <w:rsid w:val="009E0579"/>
    <w:rsid w:val="009E0758"/>
    <w:rsid w:val="009E0832"/>
    <w:rsid w:val="009E12D0"/>
    <w:rsid w:val="009E2852"/>
    <w:rsid w:val="009E3121"/>
    <w:rsid w:val="009E41DD"/>
    <w:rsid w:val="009E5848"/>
    <w:rsid w:val="009E69BF"/>
    <w:rsid w:val="009E6C29"/>
    <w:rsid w:val="009E715C"/>
    <w:rsid w:val="009E756D"/>
    <w:rsid w:val="009E7C89"/>
    <w:rsid w:val="009F0E23"/>
    <w:rsid w:val="009F1729"/>
    <w:rsid w:val="009F2FD3"/>
    <w:rsid w:val="009F33C2"/>
    <w:rsid w:val="009F37BF"/>
    <w:rsid w:val="009F4861"/>
    <w:rsid w:val="009F53DB"/>
    <w:rsid w:val="009F57A8"/>
    <w:rsid w:val="009F5AE5"/>
    <w:rsid w:val="00A000C5"/>
    <w:rsid w:val="00A01047"/>
    <w:rsid w:val="00A014A0"/>
    <w:rsid w:val="00A03732"/>
    <w:rsid w:val="00A04656"/>
    <w:rsid w:val="00A05222"/>
    <w:rsid w:val="00A05B0B"/>
    <w:rsid w:val="00A064A6"/>
    <w:rsid w:val="00A06BAC"/>
    <w:rsid w:val="00A0769C"/>
    <w:rsid w:val="00A076CE"/>
    <w:rsid w:val="00A0C817"/>
    <w:rsid w:val="00A11727"/>
    <w:rsid w:val="00A119F8"/>
    <w:rsid w:val="00A11D64"/>
    <w:rsid w:val="00A12B94"/>
    <w:rsid w:val="00A12E55"/>
    <w:rsid w:val="00A134E7"/>
    <w:rsid w:val="00A13733"/>
    <w:rsid w:val="00A138AE"/>
    <w:rsid w:val="00A14093"/>
    <w:rsid w:val="00A153A9"/>
    <w:rsid w:val="00A155CB"/>
    <w:rsid w:val="00A15C30"/>
    <w:rsid w:val="00A15FAF"/>
    <w:rsid w:val="00A164FD"/>
    <w:rsid w:val="00A16558"/>
    <w:rsid w:val="00A16562"/>
    <w:rsid w:val="00A1695D"/>
    <w:rsid w:val="00A20C5C"/>
    <w:rsid w:val="00A219A4"/>
    <w:rsid w:val="00A22899"/>
    <w:rsid w:val="00A22953"/>
    <w:rsid w:val="00A23711"/>
    <w:rsid w:val="00A23A6F"/>
    <w:rsid w:val="00A2537E"/>
    <w:rsid w:val="00A2543D"/>
    <w:rsid w:val="00A25844"/>
    <w:rsid w:val="00A268BB"/>
    <w:rsid w:val="00A26E0C"/>
    <w:rsid w:val="00A270F8"/>
    <w:rsid w:val="00A27C27"/>
    <w:rsid w:val="00A30853"/>
    <w:rsid w:val="00A311C2"/>
    <w:rsid w:val="00A32BC3"/>
    <w:rsid w:val="00A32ED6"/>
    <w:rsid w:val="00A33C40"/>
    <w:rsid w:val="00A34077"/>
    <w:rsid w:val="00A34190"/>
    <w:rsid w:val="00A343A5"/>
    <w:rsid w:val="00A34984"/>
    <w:rsid w:val="00A3603E"/>
    <w:rsid w:val="00A36702"/>
    <w:rsid w:val="00A3715B"/>
    <w:rsid w:val="00A3751A"/>
    <w:rsid w:val="00A40FBE"/>
    <w:rsid w:val="00A42563"/>
    <w:rsid w:val="00A42C06"/>
    <w:rsid w:val="00A42EA9"/>
    <w:rsid w:val="00A434AC"/>
    <w:rsid w:val="00A44058"/>
    <w:rsid w:val="00A456EB"/>
    <w:rsid w:val="00A469D3"/>
    <w:rsid w:val="00A4730C"/>
    <w:rsid w:val="00A517A4"/>
    <w:rsid w:val="00A51A78"/>
    <w:rsid w:val="00A529D1"/>
    <w:rsid w:val="00A52FAF"/>
    <w:rsid w:val="00A53B8D"/>
    <w:rsid w:val="00A548FF"/>
    <w:rsid w:val="00A55168"/>
    <w:rsid w:val="00A5566C"/>
    <w:rsid w:val="00A557F5"/>
    <w:rsid w:val="00A60236"/>
    <w:rsid w:val="00A60379"/>
    <w:rsid w:val="00A606CF"/>
    <w:rsid w:val="00A61A6E"/>
    <w:rsid w:val="00A61FB8"/>
    <w:rsid w:val="00A63679"/>
    <w:rsid w:val="00A63B31"/>
    <w:rsid w:val="00A64749"/>
    <w:rsid w:val="00A66515"/>
    <w:rsid w:val="00A66A4E"/>
    <w:rsid w:val="00A6716B"/>
    <w:rsid w:val="00A676A9"/>
    <w:rsid w:val="00A6791C"/>
    <w:rsid w:val="00A67C0A"/>
    <w:rsid w:val="00A700AF"/>
    <w:rsid w:val="00A70326"/>
    <w:rsid w:val="00A7136C"/>
    <w:rsid w:val="00A71442"/>
    <w:rsid w:val="00A7166F"/>
    <w:rsid w:val="00A71816"/>
    <w:rsid w:val="00A7281A"/>
    <w:rsid w:val="00A7285E"/>
    <w:rsid w:val="00A7388B"/>
    <w:rsid w:val="00A73F2F"/>
    <w:rsid w:val="00A740F8"/>
    <w:rsid w:val="00A74785"/>
    <w:rsid w:val="00A74AFC"/>
    <w:rsid w:val="00A74C4D"/>
    <w:rsid w:val="00A74DA4"/>
    <w:rsid w:val="00A75417"/>
    <w:rsid w:val="00A76A48"/>
    <w:rsid w:val="00A76CF0"/>
    <w:rsid w:val="00A7729D"/>
    <w:rsid w:val="00A775B5"/>
    <w:rsid w:val="00A77C90"/>
    <w:rsid w:val="00A80612"/>
    <w:rsid w:val="00A8076E"/>
    <w:rsid w:val="00A80EBA"/>
    <w:rsid w:val="00A814ED"/>
    <w:rsid w:val="00A81DEC"/>
    <w:rsid w:val="00A81E86"/>
    <w:rsid w:val="00A8271A"/>
    <w:rsid w:val="00A827BD"/>
    <w:rsid w:val="00A829EA"/>
    <w:rsid w:val="00A8321F"/>
    <w:rsid w:val="00A83250"/>
    <w:rsid w:val="00A8500B"/>
    <w:rsid w:val="00A85B59"/>
    <w:rsid w:val="00A8684E"/>
    <w:rsid w:val="00A876F4"/>
    <w:rsid w:val="00A900BC"/>
    <w:rsid w:val="00A90BCD"/>
    <w:rsid w:val="00A90D22"/>
    <w:rsid w:val="00A91AA0"/>
    <w:rsid w:val="00A91FCB"/>
    <w:rsid w:val="00A92089"/>
    <w:rsid w:val="00A93BA4"/>
    <w:rsid w:val="00A948A5"/>
    <w:rsid w:val="00A9517D"/>
    <w:rsid w:val="00A96CD2"/>
    <w:rsid w:val="00A97B56"/>
    <w:rsid w:val="00AA0DDC"/>
    <w:rsid w:val="00AA1231"/>
    <w:rsid w:val="00AA2CE0"/>
    <w:rsid w:val="00AA2E20"/>
    <w:rsid w:val="00AA419E"/>
    <w:rsid w:val="00AA4612"/>
    <w:rsid w:val="00AA506C"/>
    <w:rsid w:val="00AA57EB"/>
    <w:rsid w:val="00AA595F"/>
    <w:rsid w:val="00AA7245"/>
    <w:rsid w:val="00AA795E"/>
    <w:rsid w:val="00AB0799"/>
    <w:rsid w:val="00AB0A72"/>
    <w:rsid w:val="00AB105E"/>
    <w:rsid w:val="00AB2A49"/>
    <w:rsid w:val="00AB3245"/>
    <w:rsid w:val="00AB44FA"/>
    <w:rsid w:val="00AB496C"/>
    <w:rsid w:val="00AB535A"/>
    <w:rsid w:val="00AB58C2"/>
    <w:rsid w:val="00AB5CD4"/>
    <w:rsid w:val="00AB6098"/>
    <w:rsid w:val="00AB7AB9"/>
    <w:rsid w:val="00AB7DAD"/>
    <w:rsid w:val="00AC14B5"/>
    <w:rsid w:val="00AC15BB"/>
    <w:rsid w:val="00AC175E"/>
    <w:rsid w:val="00AC2990"/>
    <w:rsid w:val="00AC4426"/>
    <w:rsid w:val="00AC488B"/>
    <w:rsid w:val="00AC4986"/>
    <w:rsid w:val="00AC603E"/>
    <w:rsid w:val="00AD170B"/>
    <w:rsid w:val="00AD1B47"/>
    <w:rsid w:val="00AD1D59"/>
    <w:rsid w:val="00AD2206"/>
    <w:rsid w:val="00AD24F3"/>
    <w:rsid w:val="00AD2549"/>
    <w:rsid w:val="00AD3814"/>
    <w:rsid w:val="00AD5681"/>
    <w:rsid w:val="00AD6A7C"/>
    <w:rsid w:val="00ADCF47"/>
    <w:rsid w:val="00AE0370"/>
    <w:rsid w:val="00AE05F3"/>
    <w:rsid w:val="00AE067D"/>
    <w:rsid w:val="00AE08CB"/>
    <w:rsid w:val="00AE0967"/>
    <w:rsid w:val="00AE1EDB"/>
    <w:rsid w:val="00AE25BF"/>
    <w:rsid w:val="00AE2BAC"/>
    <w:rsid w:val="00AE333D"/>
    <w:rsid w:val="00AE3619"/>
    <w:rsid w:val="00AE36C4"/>
    <w:rsid w:val="00AE3BB6"/>
    <w:rsid w:val="00AE3DBB"/>
    <w:rsid w:val="00AE3FB8"/>
    <w:rsid w:val="00AE438D"/>
    <w:rsid w:val="00AE4BD1"/>
    <w:rsid w:val="00AE5E9F"/>
    <w:rsid w:val="00AE6AC2"/>
    <w:rsid w:val="00AE6CDF"/>
    <w:rsid w:val="00AE7C41"/>
    <w:rsid w:val="00AF02AD"/>
    <w:rsid w:val="00AF0545"/>
    <w:rsid w:val="00AF0FE7"/>
    <w:rsid w:val="00AF16D7"/>
    <w:rsid w:val="00AF253C"/>
    <w:rsid w:val="00AF25B3"/>
    <w:rsid w:val="00AF2EE3"/>
    <w:rsid w:val="00AF31A3"/>
    <w:rsid w:val="00AF38F0"/>
    <w:rsid w:val="00AF3EAA"/>
    <w:rsid w:val="00AF417C"/>
    <w:rsid w:val="00AF41E0"/>
    <w:rsid w:val="00AF49FF"/>
    <w:rsid w:val="00AF4C13"/>
    <w:rsid w:val="00AF4CAF"/>
    <w:rsid w:val="00AF4FC7"/>
    <w:rsid w:val="00AF5A3F"/>
    <w:rsid w:val="00AF6308"/>
    <w:rsid w:val="00AF6AC0"/>
    <w:rsid w:val="00B000BE"/>
    <w:rsid w:val="00B0102C"/>
    <w:rsid w:val="00B01117"/>
    <w:rsid w:val="00B019D6"/>
    <w:rsid w:val="00B01A6A"/>
    <w:rsid w:val="00B01BAF"/>
    <w:rsid w:val="00B01CB5"/>
    <w:rsid w:val="00B023D9"/>
    <w:rsid w:val="00B02C9E"/>
    <w:rsid w:val="00B04792"/>
    <w:rsid w:val="00B04DDB"/>
    <w:rsid w:val="00B05359"/>
    <w:rsid w:val="00B059AC"/>
    <w:rsid w:val="00B07B9D"/>
    <w:rsid w:val="00B07D51"/>
    <w:rsid w:val="00B108BB"/>
    <w:rsid w:val="00B10EB3"/>
    <w:rsid w:val="00B113A2"/>
    <w:rsid w:val="00B1153A"/>
    <w:rsid w:val="00B11994"/>
    <w:rsid w:val="00B11C13"/>
    <w:rsid w:val="00B11C90"/>
    <w:rsid w:val="00B11E53"/>
    <w:rsid w:val="00B11F80"/>
    <w:rsid w:val="00B12240"/>
    <w:rsid w:val="00B14F68"/>
    <w:rsid w:val="00B15A7B"/>
    <w:rsid w:val="00B16469"/>
    <w:rsid w:val="00B16D8E"/>
    <w:rsid w:val="00B1708E"/>
    <w:rsid w:val="00B176FD"/>
    <w:rsid w:val="00B17E33"/>
    <w:rsid w:val="00B208EE"/>
    <w:rsid w:val="00B21611"/>
    <w:rsid w:val="00B21AFC"/>
    <w:rsid w:val="00B231FB"/>
    <w:rsid w:val="00B24358"/>
    <w:rsid w:val="00B2460F"/>
    <w:rsid w:val="00B24AE9"/>
    <w:rsid w:val="00B2525F"/>
    <w:rsid w:val="00B25801"/>
    <w:rsid w:val="00B26318"/>
    <w:rsid w:val="00B265C6"/>
    <w:rsid w:val="00B27E8D"/>
    <w:rsid w:val="00B302E9"/>
    <w:rsid w:val="00B30610"/>
    <w:rsid w:val="00B3079F"/>
    <w:rsid w:val="00B30878"/>
    <w:rsid w:val="00B31071"/>
    <w:rsid w:val="00B31BB6"/>
    <w:rsid w:val="00B331F4"/>
    <w:rsid w:val="00B33BD4"/>
    <w:rsid w:val="00B33DFD"/>
    <w:rsid w:val="00B35105"/>
    <w:rsid w:val="00B35AD2"/>
    <w:rsid w:val="00B3758D"/>
    <w:rsid w:val="00B401A0"/>
    <w:rsid w:val="00B4102C"/>
    <w:rsid w:val="00B4120C"/>
    <w:rsid w:val="00B416CA"/>
    <w:rsid w:val="00B41970"/>
    <w:rsid w:val="00B42423"/>
    <w:rsid w:val="00B424D7"/>
    <w:rsid w:val="00B434D6"/>
    <w:rsid w:val="00B43BE8"/>
    <w:rsid w:val="00B441F5"/>
    <w:rsid w:val="00B44689"/>
    <w:rsid w:val="00B44EF3"/>
    <w:rsid w:val="00B457EC"/>
    <w:rsid w:val="00B45B86"/>
    <w:rsid w:val="00B46040"/>
    <w:rsid w:val="00B4783B"/>
    <w:rsid w:val="00B50AF2"/>
    <w:rsid w:val="00B518EB"/>
    <w:rsid w:val="00B53ECF"/>
    <w:rsid w:val="00B54307"/>
    <w:rsid w:val="00B54D37"/>
    <w:rsid w:val="00B56C09"/>
    <w:rsid w:val="00B56CE7"/>
    <w:rsid w:val="00B573D1"/>
    <w:rsid w:val="00B57B78"/>
    <w:rsid w:val="00B57DCF"/>
    <w:rsid w:val="00B6037C"/>
    <w:rsid w:val="00B60D63"/>
    <w:rsid w:val="00B615CB"/>
    <w:rsid w:val="00B63305"/>
    <w:rsid w:val="00B63678"/>
    <w:rsid w:val="00B63BED"/>
    <w:rsid w:val="00B63C02"/>
    <w:rsid w:val="00B64D9E"/>
    <w:rsid w:val="00B65C94"/>
    <w:rsid w:val="00B664F1"/>
    <w:rsid w:val="00B666EE"/>
    <w:rsid w:val="00B673DD"/>
    <w:rsid w:val="00B715B2"/>
    <w:rsid w:val="00B71BC2"/>
    <w:rsid w:val="00B71DBF"/>
    <w:rsid w:val="00B72214"/>
    <w:rsid w:val="00B72218"/>
    <w:rsid w:val="00B72C2C"/>
    <w:rsid w:val="00B7311A"/>
    <w:rsid w:val="00B73D4C"/>
    <w:rsid w:val="00B743C8"/>
    <w:rsid w:val="00B7496F"/>
    <w:rsid w:val="00B75025"/>
    <w:rsid w:val="00B76356"/>
    <w:rsid w:val="00B763DE"/>
    <w:rsid w:val="00B771BB"/>
    <w:rsid w:val="00B77BF8"/>
    <w:rsid w:val="00B805CA"/>
    <w:rsid w:val="00B81FAE"/>
    <w:rsid w:val="00B820BB"/>
    <w:rsid w:val="00B82556"/>
    <w:rsid w:val="00B82769"/>
    <w:rsid w:val="00B828E0"/>
    <w:rsid w:val="00B83219"/>
    <w:rsid w:val="00B8322F"/>
    <w:rsid w:val="00B83B64"/>
    <w:rsid w:val="00B83F52"/>
    <w:rsid w:val="00B841F6"/>
    <w:rsid w:val="00B848DE"/>
    <w:rsid w:val="00B85ECC"/>
    <w:rsid w:val="00B8624F"/>
    <w:rsid w:val="00B86797"/>
    <w:rsid w:val="00B86E7E"/>
    <w:rsid w:val="00B87EEE"/>
    <w:rsid w:val="00B90696"/>
    <w:rsid w:val="00B9069A"/>
    <w:rsid w:val="00B90E1D"/>
    <w:rsid w:val="00B91FEA"/>
    <w:rsid w:val="00B9260B"/>
    <w:rsid w:val="00B928F1"/>
    <w:rsid w:val="00B9327E"/>
    <w:rsid w:val="00B949A7"/>
    <w:rsid w:val="00B95A8D"/>
    <w:rsid w:val="00B960E0"/>
    <w:rsid w:val="00B969A5"/>
    <w:rsid w:val="00B973C9"/>
    <w:rsid w:val="00BA0177"/>
    <w:rsid w:val="00BA021B"/>
    <w:rsid w:val="00BA0343"/>
    <w:rsid w:val="00BA1D50"/>
    <w:rsid w:val="00BA233A"/>
    <w:rsid w:val="00BA2760"/>
    <w:rsid w:val="00BA363A"/>
    <w:rsid w:val="00BA36B1"/>
    <w:rsid w:val="00BA79D9"/>
    <w:rsid w:val="00BB000E"/>
    <w:rsid w:val="00BB06E3"/>
    <w:rsid w:val="00BB21B6"/>
    <w:rsid w:val="00BB2F52"/>
    <w:rsid w:val="00BB31B3"/>
    <w:rsid w:val="00BB379F"/>
    <w:rsid w:val="00BB3868"/>
    <w:rsid w:val="00BB3F7E"/>
    <w:rsid w:val="00BB4F8E"/>
    <w:rsid w:val="00BB5573"/>
    <w:rsid w:val="00BB5649"/>
    <w:rsid w:val="00BB702B"/>
    <w:rsid w:val="00BB704F"/>
    <w:rsid w:val="00BB7AA1"/>
    <w:rsid w:val="00BC09B6"/>
    <w:rsid w:val="00BC2562"/>
    <w:rsid w:val="00BC3468"/>
    <w:rsid w:val="00BC3D60"/>
    <w:rsid w:val="00BC4082"/>
    <w:rsid w:val="00BC44E8"/>
    <w:rsid w:val="00BC50E6"/>
    <w:rsid w:val="00BC5358"/>
    <w:rsid w:val="00BC6101"/>
    <w:rsid w:val="00BC62FD"/>
    <w:rsid w:val="00BC69E0"/>
    <w:rsid w:val="00BD08B4"/>
    <w:rsid w:val="00BD0E0A"/>
    <w:rsid w:val="00BD24B8"/>
    <w:rsid w:val="00BD28B7"/>
    <w:rsid w:val="00BD4D6B"/>
    <w:rsid w:val="00BD57CD"/>
    <w:rsid w:val="00BD5B2C"/>
    <w:rsid w:val="00BD5F57"/>
    <w:rsid w:val="00BD618D"/>
    <w:rsid w:val="00BD6AC8"/>
    <w:rsid w:val="00BD6F04"/>
    <w:rsid w:val="00BD73EF"/>
    <w:rsid w:val="00BD7599"/>
    <w:rsid w:val="00BD766D"/>
    <w:rsid w:val="00BD7E14"/>
    <w:rsid w:val="00BD7E8F"/>
    <w:rsid w:val="00BD7F14"/>
    <w:rsid w:val="00BD7FED"/>
    <w:rsid w:val="00BE03AC"/>
    <w:rsid w:val="00BE0461"/>
    <w:rsid w:val="00BE10B2"/>
    <w:rsid w:val="00BE12EB"/>
    <w:rsid w:val="00BE18A5"/>
    <w:rsid w:val="00BE18DB"/>
    <w:rsid w:val="00BE19A3"/>
    <w:rsid w:val="00BE207A"/>
    <w:rsid w:val="00BE2A62"/>
    <w:rsid w:val="00BE3108"/>
    <w:rsid w:val="00BE316E"/>
    <w:rsid w:val="00BE33C8"/>
    <w:rsid w:val="00BE3D15"/>
    <w:rsid w:val="00BE420A"/>
    <w:rsid w:val="00BE5018"/>
    <w:rsid w:val="00BE51DD"/>
    <w:rsid w:val="00BE5325"/>
    <w:rsid w:val="00BE5F25"/>
    <w:rsid w:val="00BE6894"/>
    <w:rsid w:val="00BE74F3"/>
    <w:rsid w:val="00BF0700"/>
    <w:rsid w:val="00BF0D66"/>
    <w:rsid w:val="00BF0DD2"/>
    <w:rsid w:val="00BF1030"/>
    <w:rsid w:val="00BF1049"/>
    <w:rsid w:val="00BF122F"/>
    <w:rsid w:val="00BF1CE7"/>
    <w:rsid w:val="00BF1E55"/>
    <w:rsid w:val="00BF33AB"/>
    <w:rsid w:val="00BF39D4"/>
    <w:rsid w:val="00BF3F82"/>
    <w:rsid w:val="00BF48F6"/>
    <w:rsid w:val="00BF4990"/>
    <w:rsid w:val="00BF4FFC"/>
    <w:rsid w:val="00BF58DA"/>
    <w:rsid w:val="00BF5AEF"/>
    <w:rsid w:val="00BF5DA9"/>
    <w:rsid w:val="00BF7077"/>
    <w:rsid w:val="00BF7326"/>
    <w:rsid w:val="00C0008C"/>
    <w:rsid w:val="00C01822"/>
    <w:rsid w:val="00C01B24"/>
    <w:rsid w:val="00C029B7"/>
    <w:rsid w:val="00C02D3D"/>
    <w:rsid w:val="00C02D6B"/>
    <w:rsid w:val="00C0347B"/>
    <w:rsid w:val="00C03960"/>
    <w:rsid w:val="00C043D2"/>
    <w:rsid w:val="00C04693"/>
    <w:rsid w:val="00C056EE"/>
    <w:rsid w:val="00C0788C"/>
    <w:rsid w:val="00C1049E"/>
    <w:rsid w:val="00C12E35"/>
    <w:rsid w:val="00C138B9"/>
    <w:rsid w:val="00C138DD"/>
    <w:rsid w:val="00C14871"/>
    <w:rsid w:val="00C14E90"/>
    <w:rsid w:val="00C15493"/>
    <w:rsid w:val="00C15679"/>
    <w:rsid w:val="00C1595E"/>
    <w:rsid w:val="00C1689A"/>
    <w:rsid w:val="00C16965"/>
    <w:rsid w:val="00C1758D"/>
    <w:rsid w:val="00C17DF3"/>
    <w:rsid w:val="00C20682"/>
    <w:rsid w:val="00C20C4C"/>
    <w:rsid w:val="00C21449"/>
    <w:rsid w:val="00C2150E"/>
    <w:rsid w:val="00C21669"/>
    <w:rsid w:val="00C21818"/>
    <w:rsid w:val="00C21B0E"/>
    <w:rsid w:val="00C21DB6"/>
    <w:rsid w:val="00C2349F"/>
    <w:rsid w:val="00C23608"/>
    <w:rsid w:val="00C23EE1"/>
    <w:rsid w:val="00C247F2"/>
    <w:rsid w:val="00C259EE"/>
    <w:rsid w:val="00C25D62"/>
    <w:rsid w:val="00C26333"/>
    <w:rsid w:val="00C267DD"/>
    <w:rsid w:val="00C27003"/>
    <w:rsid w:val="00C272D8"/>
    <w:rsid w:val="00C274D0"/>
    <w:rsid w:val="00C2798C"/>
    <w:rsid w:val="00C30144"/>
    <w:rsid w:val="00C30479"/>
    <w:rsid w:val="00C3213A"/>
    <w:rsid w:val="00C32247"/>
    <w:rsid w:val="00C32BCA"/>
    <w:rsid w:val="00C33E25"/>
    <w:rsid w:val="00C34308"/>
    <w:rsid w:val="00C34DAB"/>
    <w:rsid w:val="00C35C19"/>
    <w:rsid w:val="00C36109"/>
    <w:rsid w:val="00C36A88"/>
    <w:rsid w:val="00C36B60"/>
    <w:rsid w:val="00C37920"/>
    <w:rsid w:val="00C37C99"/>
    <w:rsid w:val="00C37D68"/>
    <w:rsid w:val="00C40778"/>
    <w:rsid w:val="00C412AE"/>
    <w:rsid w:val="00C4142C"/>
    <w:rsid w:val="00C415E3"/>
    <w:rsid w:val="00C4186B"/>
    <w:rsid w:val="00C4322D"/>
    <w:rsid w:val="00C4367D"/>
    <w:rsid w:val="00C4483B"/>
    <w:rsid w:val="00C44910"/>
    <w:rsid w:val="00C44D41"/>
    <w:rsid w:val="00C451C9"/>
    <w:rsid w:val="00C45A45"/>
    <w:rsid w:val="00C45D90"/>
    <w:rsid w:val="00C45FFA"/>
    <w:rsid w:val="00C46E7E"/>
    <w:rsid w:val="00C473AB"/>
    <w:rsid w:val="00C47A9D"/>
    <w:rsid w:val="00C51094"/>
    <w:rsid w:val="00C51EF6"/>
    <w:rsid w:val="00C5262A"/>
    <w:rsid w:val="00C536C6"/>
    <w:rsid w:val="00C53C9C"/>
    <w:rsid w:val="00C53FE3"/>
    <w:rsid w:val="00C54126"/>
    <w:rsid w:val="00C5662D"/>
    <w:rsid w:val="00C57D5F"/>
    <w:rsid w:val="00C600C6"/>
    <w:rsid w:val="00C60C35"/>
    <w:rsid w:val="00C614F2"/>
    <w:rsid w:val="00C61A82"/>
    <w:rsid w:val="00C62485"/>
    <w:rsid w:val="00C62A58"/>
    <w:rsid w:val="00C62FC2"/>
    <w:rsid w:val="00C63136"/>
    <w:rsid w:val="00C632A4"/>
    <w:rsid w:val="00C63E69"/>
    <w:rsid w:val="00C63E8C"/>
    <w:rsid w:val="00C6450B"/>
    <w:rsid w:val="00C65D0F"/>
    <w:rsid w:val="00C660C4"/>
    <w:rsid w:val="00C660CA"/>
    <w:rsid w:val="00C675E6"/>
    <w:rsid w:val="00C67EB1"/>
    <w:rsid w:val="00C701B8"/>
    <w:rsid w:val="00C70D93"/>
    <w:rsid w:val="00C7138D"/>
    <w:rsid w:val="00C71F97"/>
    <w:rsid w:val="00C72A4D"/>
    <w:rsid w:val="00C740CC"/>
    <w:rsid w:val="00C74321"/>
    <w:rsid w:val="00C7488A"/>
    <w:rsid w:val="00C749D7"/>
    <w:rsid w:val="00C74BBB"/>
    <w:rsid w:val="00C75151"/>
    <w:rsid w:val="00C75717"/>
    <w:rsid w:val="00C76DCE"/>
    <w:rsid w:val="00C776E9"/>
    <w:rsid w:val="00C77B5E"/>
    <w:rsid w:val="00C8015F"/>
    <w:rsid w:val="00C804A1"/>
    <w:rsid w:val="00C814DF"/>
    <w:rsid w:val="00C8150E"/>
    <w:rsid w:val="00C81C15"/>
    <w:rsid w:val="00C81CE4"/>
    <w:rsid w:val="00C81DCD"/>
    <w:rsid w:val="00C82958"/>
    <w:rsid w:val="00C83282"/>
    <w:rsid w:val="00C83353"/>
    <w:rsid w:val="00C8351B"/>
    <w:rsid w:val="00C83544"/>
    <w:rsid w:val="00C83AC1"/>
    <w:rsid w:val="00C83E9B"/>
    <w:rsid w:val="00C843EF"/>
    <w:rsid w:val="00C85004"/>
    <w:rsid w:val="00C85D2D"/>
    <w:rsid w:val="00C86CFE"/>
    <w:rsid w:val="00C870FD"/>
    <w:rsid w:val="00C87442"/>
    <w:rsid w:val="00C87510"/>
    <w:rsid w:val="00C8759C"/>
    <w:rsid w:val="00C907D0"/>
    <w:rsid w:val="00C90D7D"/>
    <w:rsid w:val="00C90E75"/>
    <w:rsid w:val="00C90FA2"/>
    <w:rsid w:val="00C91819"/>
    <w:rsid w:val="00C91A7A"/>
    <w:rsid w:val="00C91FEC"/>
    <w:rsid w:val="00C92600"/>
    <w:rsid w:val="00C92DE8"/>
    <w:rsid w:val="00C934EB"/>
    <w:rsid w:val="00C94B60"/>
    <w:rsid w:val="00C94BEA"/>
    <w:rsid w:val="00C95148"/>
    <w:rsid w:val="00C957DA"/>
    <w:rsid w:val="00C95CEC"/>
    <w:rsid w:val="00C9683C"/>
    <w:rsid w:val="00C96A5C"/>
    <w:rsid w:val="00C96AF6"/>
    <w:rsid w:val="00C97099"/>
    <w:rsid w:val="00C971DE"/>
    <w:rsid w:val="00C97D26"/>
    <w:rsid w:val="00CA03DF"/>
    <w:rsid w:val="00CA118E"/>
    <w:rsid w:val="00CA1218"/>
    <w:rsid w:val="00CA150D"/>
    <w:rsid w:val="00CA16D4"/>
    <w:rsid w:val="00CA1C4E"/>
    <w:rsid w:val="00CA1E6F"/>
    <w:rsid w:val="00CA1FFC"/>
    <w:rsid w:val="00CA3642"/>
    <w:rsid w:val="00CA3DA9"/>
    <w:rsid w:val="00CA4112"/>
    <w:rsid w:val="00CA486C"/>
    <w:rsid w:val="00CA49BE"/>
    <w:rsid w:val="00CA49E8"/>
    <w:rsid w:val="00CA5686"/>
    <w:rsid w:val="00CA6471"/>
    <w:rsid w:val="00CA64CC"/>
    <w:rsid w:val="00CA6AFA"/>
    <w:rsid w:val="00CA7160"/>
    <w:rsid w:val="00CA73BC"/>
    <w:rsid w:val="00CA7845"/>
    <w:rsid w:val="00CA7F45"/>
    <w:rsid w:val="00CB095B"/>
    <w:rsid w:val="00CB0D86"/>
    <w:rsid w:val="00CB13DB"/>
    <w:rsid w:val="00CB2967"/>
    <w:rsid w:val="00CB3406"/>
    <w:rsid w:val="00CB3552"/>
    <w:rsid w:val="00CB40DA"/>
    <w:rsid w:val="00CB44D5"/>
    <w:rsid w:val="00CB45A4"/>
    <w:rsid w:val="00CB4AFD"/>
    <w:rsid w:val="00CB5665"/>
    <w:rsid w:val="00CB5D47"/>
    <w:rsid w:val="00CB6550"/>
    <w:rsid w:val="00CB6E65"/>
    <w:rsid w:val="00CB77C1"/>
    <w:rsid w:val="00CC0749"/>
    <w:rsid w:val="00CC109E"/>
    <w:rsid w:val="00CC2B56"/>
    <w:rsid w:val="00CC2D20"/>
    <w:rsid w:val="00CC2F1E"/>
    <w:rsid w:val="00CC3200"/>
    <w:rsid w:val="00CC333D"/>
    <w:rsid w:val="00CC43B8"/>
    <w:rsid w:val="00CC5202"/>
    <w:rsid w:val="00CC5C66"/>
    <w:rsid w:val="00CC6B6F"/>
    <w:rsid w:val="00CC6DA4"/>
    <w:rsid w:val="00CC7177"/>
    <w:rsid w:val="00CC72F2"/>
    <w:rsid w:val="00CC770D"/>
    <w:rsid w:val="00CC7948"/>
    <w:rsid w:val="00CD0D49"/>
    <w:rsid w:val="00CD148B"/>
    <w:rsid w:val="00CD1808"/>
    <w:rsid w:val="00CD1E17"/>
    <w:rsid w:val="00CD24B3"/>
    <w:rsid w:val="00CD2591"/>
    <w:rsid w:val="00CD2657"/>
    <w:rsid w:val="00CD3C25"/>
    <w:rsid w:val="00CD3F1F"/>
    <w:rsid w:val="00CD73B0"/>
    <w:rsid w:val="00CD7CFB"/>
    <w:rsid w:val="00CE0308"/>
    <w:rsid w:val="00CE198B"/>
    <w:rsid w:val="00CE2D14"/>
    <w:rsid w:val="00CE3044"/>
    <w:rsid w:val="00CE347E"/>
    <w:rsid w:val="00CE3519"/>
    <w:rsid w:val="00CE365D"/>
    <w:rsid w:val="00CE3AD4"/>
    <w:rsid w:val="00CE4751"/>
    <w:rsid w:val="00CE55BF"/>
    <w:rsid w:val="00CE614C"/>
    <w:rsid w:val="00CE6A76"/>
    <w:rsid w:val="00CE71AE"/>
    <w:rsid w:val="00CE7964"/>
    <w:rsid w:val="00CF215D"/>
    <w:rsid w:val="00CF2F64"/>
    <w:rsid w:val="00CF2FAC"/>
    <w:rsid w:val="00CF43B0"/>
    <w:rsid w:val="00CF4A2D"/>
    <w:rsid w:val="00CF4BA4"/>
    <w:rsid w:val="00CF66DB"/>
    <w:rsid w:val="00CF6E72"/>
    <w:rsid w:val="00CF7624"/>
    <w:rsid w:val="00CF773F"/>
    <w:rsid w:val="00CF791A"/>
    <w:rsid w:val="00CF7A1C"/>
    <w:rsid w:val="00CF7B9E"/>
    <w:rsid w:val="00D00249"/>
    <w:rsid w:val="00D01A1B"/>
    <w:rsid w:val="00D01A1F"/>
    <w:rsid w:val="00D026BD"/>
    <w:rsid w:val="00D02887"/>
    <w:rsid w:val="00D029AA"/>
    <w:rsid w:val="00D03090"/>
    <w:rsid w:val="00D03519"/>
    <w:rsid w:val="00D049CC"/>
    <w:rsid w:val="00D04B5A"/>
    <w:rsid w:val="00D057BA"/>
    <w:rsid w:val="00D059ED"/>
    <w:rsid w:val="00D05BD4"/>
    <w:rsid w:val="00D067FC"/>
    <w:rsid w:val="00D06CBF"/>
    <w:rsid w:val="00D07018"/>
    <w:rsid w:val="00D10583"/>
    <w:rsid w:val="00D10B22"/>
    <w:rsid w:val="00D11658"/>
    <w:rsid w:val="00D13A18"/>
    <w:rsid w:val="00D13C5B"/>
    <w:rsid w:val="00D14514"/>
    <w:rsid w:val="00D14717"/>
    <w:rsid w:val="00D14C0F"/>
    <w:rsid w:val="00D154AE"/>
    <w:rsid w:val="00D1639F"/>
    <w:rsid w:val="00D16408"/>
    <w:rsid w:val="00D1682A"/>
    <w:rsid w:val="00D16FB4"/>
    <w:rsid w:val="00D171B4"/>
    <w:rsid w:val="00D17BAD"/>
    <w:rsid w:val="00D17C7F"/>
    <w:rsid w:val="00D206F1"/>
    <w:rsid w:val="00D208AC"/>
    <w:rsid w:val="00D20C45"/>
    <w:rsid w:val="00D22756"/>
    <w:rsid w:val="00D22AD2"/>
    <w:rsid w:val="00D22B26"/>
    <w:rsid w:val="00D22C02"/>
    <w:rsid w:val="00D231BC"/>
    <w:rsid w:val="00D24531"/>
    <w:rsid w:val="00D252B8"/>
    <w:rsid w:val="00D26EB3"/>
    <w:rsid w:val="00D3011C"/>
    <w:rsid w:val="00D30553"/>
    <w:rsid w:val="00D30DF2"/>
    <w:rsid w:val="00D30E63"/>
    <w:rsid w:val="00D3206B"/>
    <w:rsid w:val="00D3248E"/>
    <w:rsid w:val="00D3259C"/>
    <w:rsid w:val="00D32D01"/>
    <w:rsid w:val="00D33037"/>
    <w:rsid w:val="00D33214"/>
    <w:rsid w:val="00D33416"/>
    <w:rsid w:val="00D33B65"/>
    <w:rsid w:val="00D341D3"/>
    <w:rsid w:val="00D34A9E"/>
    <w:rsid w:val="00D34DBE"/>
    <w:rsid w:val="00D35A85"/>
    <w:rsid w:val="00D367C0"/>
    <w:rsid w:val="00D36A2A"/>
    <w:rsid w:val="00D36C14"/>
    <w:rsid w:val="00D426AD"/>
    <w:rsid w:val="00D428C1"/>
    <w:rsid w:val="00D43797"/>
    <w:rsid w:val="00D44594"/>
    <w:rsid w:val="00D46699"/>
    <w:rsid w:val="00D46CC5"/>
    <w:rsid w:val="00D474A1"/>
    <w:rsid w:val="00D47B4B"/>
    <w:rsid w:val="00D50127"/>
    <w:rsid w:val="00D5296B"/>
    <w:rsid w:val="00D52C3F"/>
    <w:rsid w:val="00D534D9"/>
    <w:rsid w:val="00D5395E"/>
    <w:rsid w:val="00D541E7"/>
    <w:rsid w:val="00D5439D"/>
    <w:rsid w:val="00D547D3"/>
    <w:rsid w:val="00D569B4"/>
    <w:rsid w:val="00D569E7"/>
    <w:rsid w:val="00D56E74"/>
    <w:rsid w:val="00D571A2"/>
    <w:rsid w:val="00D57396"/>
    <w:rsid w:val="00D60298"/>
    <w:rsid w:val="00D60B3C"/>
    <w:rsid w:val="00D60E02"/>
    <w:rsid w:val="00D6218C"/>
    <w:rsid w:val="00D62544"/>
    <w:rsid w:val="00D62D51"/>
    <w:rsid w:val="00D64C53"/>
    <w:rsid w:val="00D64E16"/>
    <w:rsid w:val="00D6517D"/>
    <w:rsid w:val="00D67F06"/>
    <w:rsid w:val="00D7041C"/>
    <w:rsid w:val="00D706DC"/>
    <w:rsid w:val="00D709F1"/>
    <w:rsid w:val="00D70B7C"/>
    <w:rsid w:val="00D710BC"/>
    <w:rsid w:val="00D7113B"/>
    <w:rsid w:val="00D71B98"/>
    <w:rsid w:val="00D73254"/>
    <w:rsid w:val="00D740BF"/>
    <w:rsid w:val="00D74723"/>
    <w:rsid w:val="00D74998"/>
    <w:rsid w:val="00D75294"/>
    <w:rsid w:val="00D7553B"/>
    <w:rsid w:val="00D75B6E"/>
    <w:rsid w:val="00D75EBE"/>
    <w:rsid w:val="00D7646C"/>
    <w:rsid w:val="00D76704"/>
    <w:rsid w:val="00D778C4"/>
    <w:rsid w:val="00D8023F"/>
    <w:rsid w:val="00D80B42"/>
    <w:rsid w:val="00D81BB3"/>
    <w:rsid w:val="00D81EC7"/>
    <w:rsid w:val="00D8247F"/>
    <w:rsid w:val="00D830C3"/>
    <w:rsid w:val="00D83626"/>
    <w:rsid w:val="00D83DA5"/>
    <w:rsid w:val="00D8418D"/>
    <w:rsid w:val="00D84575"/>
    <w:rsid w:val="00D854D7"/>
    <w:rsid w:val="00D85C20"/>
    <w:rsid w:val="00D85FB3"/>
    <w:rsid w:val="00D86218"/>
    <w:rsid w:val="00D8659F"/>
    <w:rsid w:val="00D8771A"/>
    <w:rsid w:val="00D87B32"/>
    <w:rsid w:val="00D87B81"/>
    <w:rsid w:val="00D87BAC"/>
    <w:rsid w:val="00D9053C"/>
    <w:rsid w:val="00D9057D"/>
    <w:rsid w:val="00D90EB9"/>
    <w:rsid w:val="00D9218A"/>
    <w:rsid w:val="00D923C0"/>
    <w:rsid w:val="00D93831"/>
    <w:rsid w:val="00D9439C"/>
    <w:rsid w:val="00D94579"/>
    <w:rsid w:val="00D94792"/>
    <w:rsid w:val="00D95836"/>
    <w:rsid w:val="00D97493"/>
    <w:rsid w:val="00DA0C72"/>
    <w:rsid w:val="00DA25C2"/>
    <w:rsid w:val="00DA2C10"/>
    <w:rsid w:val="00DA3EA2"/>
    <w:rsid w:val="00DA4D87"/>
    <w:rsid w:val="00DA4E74"/>
    <w:rsid w:val="00DA5029"/>
    <w:rsid w:val="00DA5D91"/>
    <w:rsid w:val="00DA62D0"/>
    <w:rsid w:val="00DA6AE5"/>
    <w:rsid w:val="00DA7BF2"/>
    <w:rsid w:val="00DB0CFD"/>
    <w:rsid w:val="00DB15D1"/>
    <w:rsid w:val="00DB2324"/>
    <w:rsid w:val="00DB24BD"/>
    <w:rsid w:val="00DB2532"/>
    <w:rsid w:val="00DB48A6"/>
    <w:rsid w:val="00DB53BE"/>
    <w:rsid w:val="00DB571B"/>
    <w:rsid w:val="00DB60B6"/>
    <w:rsid w:val="00DB6CC9"/>
    <w:rsid w:val="00DB72CD"/>
    <w:rsid w:val="00DB7E85"/>
    <w:rsid w:val="00DC02C5"/>
    <w:rsid w:val="00DC0518"/>
    <w:rsid w:val="00DC11CF"/>
    <w:rsid w:val="00DC18E9"/>
    <w:rsid w:val="00DC1B3A"/>
    <w:rsid w:val="00DC1F96"/>
    <w:rsid w:val="00DC2044"/>
    <w:rsid w:val="00DC3066"/>
    <w:rsid w:val="00DC3206"/>
    <w:rsid w:val="00DC3300"/>
    <w:rsid w:val="00DC3A18"/>
    <w:rsid w:val="00DC43B7"/>
    <w:rsid w:val="00DC55CE"/>
    <w:rsid w:val="00DC57DB"/>
    <w:rsid w:val="00DC59DE"/>
    <w:rsid w:val="00DC62CD"/>
    <w:rsid w:val="00DC6D31"/>
    <w:rsid w:val="00DC700D"/>
    <w:rsid w:val="00DC728B"/>
    <w:rsid w:val="00DC79AF"/>
    <w:rsid w:val="00DD0389"/>
    <w:rsid w:val="00DD03DA"/>
    <w:rsid w:val="00DD0BAA"/>
    <w:rsid w:val="00DD1891"/>
    <w:rsid w:val="00DD1A3D"/>
    <w:rsid w:val="00DD1B6E"/>
    <w:rsid w:val="00DD27F7"/>
    <w:rsid w:val="00DD27FB"/>
    <w:rsid w:val="00DD2ADB"/>
    <w:rsid w:val="00DD4EA0"/>
    <w:rsid w:val="00DD5238"/>
    <w:rsid w:val="00DD55BF"/>
    <w:rsid w:val="00DD5906"/>
    <w:rsid w:val="00DD5BE4"/>
    <w:rsid w:val="00DD5BE7"/>
    <w:rsid w:val="00DD5F17"/>
    <w:rsid w:val="00DD5F93"/>
    <w:rsid w:val="00DD74D6"/>
    <w:rsid w:val="00DD774E"/>
    <w:rsid w:val="00DE0306"/>
    <w:rsid w:val="00DE135A"/>
    <w:rsid w:val="00DE222B"/>
    <w:rsid w:val="00DE271A"/>
    <w:rsid w:val="00DE2984"/>
    <w:rsid w:val="00DE4C36"/>
    <w:rsid w:val="00DE590A"/>
    <w:rsid w:val="00DE602C"/>
    <w:rsid w:val="00DE64AA"/>
    <w:rsid w:val="00DE66B8"/>
    <w:rsid w:val="00DE695E"/>
    <w:rsid w:val="00DE739F"/>
    <w:rsid w:val="00DF0049"/>
    <w:rsid w:val="00DF063F"/>
    <w:rsid w:val="00DF08B5"/>
    <w:rsid w:val="00DF097A"/>
    <w:rsid w:val="00DF0B2B"/>
    <w:rsid w:val="00DF0D4F"/>
    <w:rsid w:val="00DF1BE0"/>
    <w:rsid w:val="00DF1D79"/>
    <w:rsid w:val="00DF24BE"/>
    <w:rsid w:val="00DF2808"/>
    <w:rsid w:val="00DF2B5F"/>
    <w:rsid w:val="00DF3111"/>
    <w:rsid w:val="00DF3815"/>
    <w:rsid w:val="00DF3883"/>
    <w:rsid w:val="00DF3B17"/>
    <w:rsid w:val="00DF4330"/>
    <w:rsid w:val="00DF4837"/>
    <w:rsid w:val="00DF4F75"/>
    <w:rsid w:val="00DF57D1"/>
    <w:rsid w:val="00DF5887"/>
    <w:rsid w:val="00DF6125"/>
    <w:rsid w:val="00DF62EA"/>
    <w:rsid w:val="00DF650A"/>
    <w:rsid w:val="00DF6A68"/>
    <w:rsid w:val="00DF6CCB"/>
    <w:rsid w:val="00DF7006"/>
    <w:rsid w:val="00DF7416"/>
    <w:rsid w:val="00DF7951"/>
    <w:rsid w:val="00E009E7"/>
    <w:rsid w:val="00E00B0B"/>
    <w:rsid w:val="00E02893"/>
    <w:rsid w:val="00E03DB4"/>
    <w:rsid w:val="00E03F0E"/>
    <w:rsid w:val="00E04222"/>
    <w:rsid w:val="00E04592"/>
    <w:rsid w:val="00E04CD0"/>
    <w:rsid w:val="00E058F3"/>
    <w:rsid w:val="00E06BEB"/>
    <w:rsid w:val="00E06D02"/>
    <w:rsid w:val="00E0703D"/>
    <w:rsid w:val="00E0711C"/>
    <w:rsid w:val="00E07301"/>
    <w:rsid w:val="00E07B47"/>
    <w:rsid w:val="00E07BB4"/>
    <w:rsid w:val="00E10044"/>
    <w:rsid w:val="00E10FA1"/>
    <w:rsid w:val="00E11806"/>
    <w:rsid w:val="00E1281D"/>
    <w:rsid w:val="00E130D7"/>
    <w:rsid w:val="00E13AC8"/>
    <w:rsid w:val="00E13FFA"/>
    <w:rsid w:val="00E14194"/>
    <w:rsid w:val="00E141D5"/>
    <w:rsid w:val="00E14264"/>
    <w:rsid w:val="00E148F8"/>
    <w:rsid w:val="00E14BCA"/>
    <w:rsid w:val="00E15665"/>
    <w:rsid w:val="00E15AD4"/>
    <w:rsid w:val="00E16443"/>
    <w:rsid w:val="00E202FA"/>
    <w:rsid w:val="00E20E72"/>
    <w:rsid w:val="00E2126A"/>
    <w:rsid w:val="00E218CA"/>
    <w:rsid w:val="00E219C9"/>
    <w:rsid w:val="00E22625"/>
    <w:rsid w:val="00E22896"/>
    <w:rsid w:val="00E23331"/>
    <w:rsid w:val="00E2458E"/>
    <w:rsid w:val="00E253D5"/>
    <w:rsid w:val="00E254F5"/>
    <w:rsid w:val="00E25645"/>
    <w:rsid w:val="00E258E4"/>
    <w:rsid w:val="00E268DE"/>
    <w:rsid w:val="00E26C76"/>
    <w:rsid w:val="00E318FA"/>
    <w:rsid w:val="00E33216"/>
    <w:rsid w:val="00E33763"/>
    <w:rsid w:val="00E3467A"/>
    <w:rsid w:val="00E37AE3"/>
    <w:rsid w:val="00E37BA5"/>
    <w:rsid w:val="00E37D4E"/>
    <w:rsid w:val="00E4054A"/>
    <w:rsid w:val="00E4096D"/>
    <w:rsid w:val="00E4122F"/>
    <w:rsid w:val="00E4125F"/>
    <w:rsid w:val="00E41FF2"/>
    <w:rsid w:val="00E42570"/>
    <w:rsid w:val="00E4271B"/>
    <w:rsid w:val="00E4301C"/>
    <w:rsid w:val="00E43411"/>
    <w:rsid w:val="00E4454C"/>
    <w:rsid w:val="00E4482D"/>
    <w:rsid w:val="00E4515B"/>
    <w:rsid w:val="00E45B77"/>
    <w:rsid w:val="00E473EE"/>
    <w:rsid w:val="00E502BE"/>
    <w:rsid w:val="00E50C28"/>
    <w:rsid w:val="00E50C9B"/>
    <w:rsid w:val="00E512F2"/>
    <w:rsid w:val="00E523AD"/>
    <w:rsid w:val="00E538AE"/>
    <w:rsid w:val="00E54761"/>
    <w:rsid w:val="00E55240"/>
    <w:rsid w:val="00E5610A"/>
    <w:rsid w:val="00E5612D"/>
    <w:rsid w:val="00E561C6"/>
    <w:rsid w:val="00E56DE4"/>
    <w:rsid w:val="00E57389"/>
    <w:rsid w:val="00E57A14"/>
    <w:rsid w:val="00E60031"/>
    <w:rsid w:val="00E60D37"/>
    <w:rsid w:val="00E61491"/>
    <w:rsid w:val="00E6337E"/>
    <w:rsid w:val="00E6408B"/>
    <w:rsid w:val="00E6423E"/>
    <w:rsid w:val="00E64393"/>
    <w:rsid w:val="00E64649"/>
    <w:rsid w:val="00E64671"/>
    <w:rsid w:val="00E650E0"/>
    <w:rsid w:val="00E655FB"/>
    <w:rsid w:val="00E66129"/>
    <w:rsid w:val="00E66440"/>
    <w:rsid w:val="00E66D1D"/>
    <w:rsid w:val="00E66FD7"/>
    <w:rsid w:val="00E67AF9"/>
    <w:rsid w:val="00E67B9D"/>
    <w:rsid w:val="00E708D3"/>
    <w:rsid w:val="00E71EDC"/>
    <w:rsid w:val="00E73D77"/>
    <w:rsid w:val="00E73EC1"/>
    <w:rsid w:val="00E75448"/>
    <w:rsid w:val="00E75754"/>
    <w:rsid w:val="00E7595D"/>
    <w:rsid w:val="00E76316"/>
    <w:rsid w:val="00E76AAE"/>
    <w:rsid w:val="00E76F5D"/>
    <w:rsid w:val="00E77EEF"/>
    <w:rsid w:val="00E81DAA"/>
    <w:rsid w:val="00E82105"/>
    <w:rsid w:val="00E82FBC"/>
    <w:rsid w:val="00E83917"/>
    <w:rsid w:val="00E84576"/>
    <w:rsid w:val="00E85477"/>
    <w:rsid w:val="00E8583D"/>
    <w:rsid w:val="00E85E24"/>
    <w:rsid w:val="00E85F06"/>
    <w:rsid w:val="00E862ED"/>
    <w:rsid w:val="00E8687F"/>
    <w:rsid w:val="00E875C5"/>
    <w:rsid w:val="00E877DB"/>
    <w:rsid w:val="00E87E99"/>
    <w:rsid w:val="00E90ECF"/>
    <w:rsid w:val="00E91F82"/>
    <w:rsid w:val="00E938D6"/>
    <w:rsid w:val="00E93AAF"/>
    <w:rsid w:val="00E94BEF"/>
    <w:rsid w:val="00E95708"/>
    <w:rsid w:val="00E95F87"/>
    <w:rsid w:val="00E968D5"/>
    <w:rsid w:val="00E9717A"/>
    <w:rsid w:val="00E973EE"/>
    <w:rsid w:val="00EA0334"/>
    <w:rsid w:val="00EA0EFE"/>
    <w:rsid w:val="00EA1F8C"/>
    <w:rsid w:val="00EA27E3"/>
    <w:rsid w:val="00EA2F43"/>
    <w:rsid w:val="00EA4144"/>
    <w:rsid w:val="00EA469F"/>
    <w:rsid w:val="00EA47DF"/>
    <w:rsid w:val="00EA538D"/>
    <w:rsid w:val="00EA5CD9"/>
    <w:rsid w:val="00EA65F6"/>
    <w:rsid w:val="00EA7017"/>
    <w:rsid w:val="00EB027B"/>
    <w:rsid w:val="00EB0534"/>
    <w:rsid w:val="00EB1218"/>
    <w:rsid w:val="00EB1504"/>
    <w:rsid w:val="00EB175C"/>
    <w:rsid w:val="00EB1B71"/>
    <w:rsid w:val="00EB1C99"/>
    <w:rsid w:val="00EB2F72"/>
    <w:rsid w:val="00EB3468"/>
    <w:rsid w:val="00EB45C0"/>
    <w:rsid w:val="00EB685B"/>
    <w:rsid w:val="00EB7B14"/>
    <w:rsid w:val="00EC0A0A"/>
    <w:rsid w:val="00EC15F0"/>
    <w:rsid w:val="00EC1A14"/>
    <w:rsid w:val="00EC1F1F"/>
    <w:rsid w:val="00EC21E3"/>
    <w:rsid w:val="00EC246E"/>
    <w:rsid w:val="00EC27CD"/>
    <w:rsid w:val="00EC2AC0"/>
    <w:rsid w:val="00EC44A9"/>
    <w:rsid w:val="00EC4A25"/>
    <w:rsid w:val="00EC4EF7"/>
    <w:rsid w:val="00EC5649"/>
    <w:rsid w:val="00EC7A86"/>
    <w:rsid w:val="00ED010D"/>
    <w:rsid w:val="00ED0202"/>
    <w:rsid w:val="00ED04AF"/>
    <w:rsid w:val="00ED165E"/>
    <w:rsid w:val="00ED1748"/>
    <w:rsid w:val="00ED19D2"/>
    <w:rsid w:val="00ED1AA3"/>
    <w:rsid w:val="00ED2786"/>
    <w:rsid w:val="00ED495A"/>
    <w:rsid w:val="00ED5CBF"/>
    <w:rsid w:val="00ED5D8B"/>
    <w:rsid w:val="00ED5E10"/>
    <w:rsid w:val="00ED66D2"/>
    <w:rsid w:val="00ED67C6"/>
    <w:rsid w:val="00ED6A99"/>
    <w:rsid w:val="00ED7239"/>
    <w:rsid w:val="00EE060A"/>
    <w:rsid w:val="00EE0BB8"/>
    <w:rsid w:val="00EE0C3B"/>
    <w:rsid w:val="00EE11F8"/>
    <w:rsid w:val="00EE1912"/>
    <w:rsid w:val="00EE1A1A"/>
    <w:rsid w:val="00EE3084"/>
    <w:rsid w:val="00EE38F1"/>
    <w:rsid w:val="00EE3C1D"/>
    <w:rsid w:val="00EE50B7"/>
    <w:rsid w:val="00EE5DAF"/>
    <w:rsid w:val="00EE7441"/>
    <w:rsid w:val="00EF14A1"/>
    <w:rsid w:val="00EF14AC"/>
    <w:rsid w:val="00EF1F1C"/>
    <w:rsid w:val="00EF2082"/>
    <w:rsid w:val="00EF2B67"/>
    <w:rsid w:val="00EF3827"/>
    <w:rsid w:val="00EF4D53"/>
    <w:rsid w:val="00EF51A7"/>
    <w:rsid w:val="00EF572F"/>
    <w:rsid w:val="00EF62A5"/>
    <w:rsid w:val="00EF68AF"/>
    <w:rsid w:val="00EF6F94"/>
    <w:rsid w:val="00F00998"/>
    <w:rsid w:val="00F014D1"/>
    <w:rsid w:val="00F01A50"/>
    <w:rsid w:val="00F02CE7"/>
    <w:rsid w:val="00F02E4C"/>
    <w:rsid w:val="00F04514"/>
    <w:rsid w:val="00F04524"/>
    <w:rsid w:val="00F0473C"/>
    <w:rsid w:val="00F0490D"/>
    <w:rsid w:val="00F04972"/>
    <w:rsid w:val="00F056B4"/>
    <w:rsid w:val="00F06313"/>
    <w:rsid w:val="00F07599"/>
    <w:rsid w:val="00F07F71"/>
    <w:rsid w:val="00F1029B"/>
    <w:rsid w:val="00F1050F"/>
    <w:rsid w:val="00F1055D"/>
    <w:rsid w:val="00F1133C"/>
    <w:rsid w:val="00F11657"/>
    <w:rsid w:val="00F12333"/>
    <w:rsid w:val="00F12C2A"/>
    <w:rsid w:val="00F143CD"/>
    <w:rsid w:val="00F14FB0"/>
    <w:rsid w:val="00F14FDC"/>
    <w:rsid w:val="00F15210"/>
    <w:rsid w:val="00F15930"/>
    <w:rsid w:val="00F1699A"/>
    <w:rsid w:val="00F16B16"/>
    <w:rsid w:val="00F2029D"/>
    <w:rsid w:val="00F20E22"/>
    <w:rsid w:val="00F20F04"/>
    <w:rsid w:val="00F21B98"/>
    <w:rsid w:val="00F220AC"/>
    <w:rsid w:val="00F22BF0"/>
    <w:rsid w:val="00F22C5D"/>
    <w:rsid w:val="00F2315C"/>
    <w:rsid w:val="00F2441D"/>
    <w:rsid w:val="00F24943"/>
    <w:rsid w:val="00F25333"/>
    <w:rsid w:val="00F269D4"/>
    <w:rsid w:val="00F318F6"/>
    <w:rsid w:val="00F326A0"/>
    <w:rsid w:val="00F3300C"/>
    <w:rsid w:val="00F343D0"/>
    <w:rsid w:val="00F34590"/>
    <w:rsid w:val="00F34A73"/>
    <w:rsid w:val="00F35131"/>
    <w:rsid w:val="00F3525F"/>
    <w:rsid w:val="00F362DF"/>
    <w:rsid w:val="00F367A4"/>
    <w:rsid w:val="00F367DF"/>
    <w:rsid w:val="00F36888"/>
    <w:rsid w:val="00F37151"/>
    <w:rsid w:val="00F37410"/>
    <w:rsid w:val="00F3741D"/>
    <w:rsid w:val="00F37920"/>
    <w:rsid w:val="00F37BB8"/>
    <w:rsid w:val="00F40D20"/>
    <w:rsid w:val="00F410E0"/>
    <w:rsid w:val="00F415D7"/>
    <w:rsid w:val="00F43593"/>
    <w:rsid w:val="00F4367A"/>
    <w:rsid w:val="00F44272"/>
    <w:rsid w:val="00F44450"/>
    <w:rsid w:val="00F44631"/>
    <w:rsid w:val="00F44653"/>
    <w:rsid w:val="00F459A4"/>
    <w:rsid w:val="00F45FFD"/>
    <w:rsid w:val="00F46DF6"/>
    <w:rsid w:val="00F50109"/>
    <w:rsid w:val="00F51ECF"/>
    <w:rsid w:val="00F53F5B"/>
    <w:rsid w:val="00F542C7"/>
    <w:rsid w:val="00F549B9"/>
    <w:rsid w:val="00F553C3"/>
    <w:rsid w:val="00F55FF6"/>
    <w:rsid w:val="00F567E2"/>
    <w:rsid w:val="00F57165"/>
    <w:rsid w:val="00F57521"/>
    <w:rsid w:val="00F5772A"/>
    <w:rsid w:val="00F604E6"/>
    <w:rsid w:val="00F6063A"/>
    <w:rsid w:val="00F60738"/>
    <w:rsid w:val="00F6110C"/>
    <w:rsid w:val="00F61242"/>
    <w:rsid w:val="00F6274E"/>
    <w:rsid w:val="00F62930"/>
    <w:rsid w:val="00F633B8"/>
    <w:rsid w:val="00F6350E"/>
    <w:rsid w:val="00F6356F"/>
    <w:rsid w:val="00F656F0"/>
    <w:rsid w:val="00F65CDE"/>
    <w:rsid w:val="00F6616E"/>
    <w:rsid w:val="00F662AA"/>
    <w:rsid w:val="00F67EBA"/>
    <w:rsid w:val="00F67EC1"/>
    <w:rsid w:val="00F67EEC"/>
    <w:rsid w:val="00F70118"/>
    <w:rsid w:val="00F71BFE"/>
    <w:rsid w:val="00F72672"/>
    <w:rsid w:val="00F74D1A"/>
    <w:rsid w:val="00F7557E"/>
    <w:rsid w:val="00F75A0B"/>
    <w:rsid w:val="00F75BBD"/>
    <w:rsid w:val="00F75BFA"/>
    <w:rsid w:val="00F76DE0"/>
    <w:rsid w:val="00F770B2"/>
    <w:rsid w:val="00F80EAF"/>
    <w:rsid w:val="00F81A8F"/>
    <w:rsid w:val="00F81B53"/>
    <w:rsid w:val="00F81C42"/>
    <w:rsid w:val="00F81DA7"/>
    <w:rsid w:val="00F8301B"/>
    <w:rsid w:val="00F83B1E"/>
    <w:rsid w:val="00F83EFD"/>
    <w:rsid w:val="00F85145"/>
    <w:rsid w:val="00F854F2"/>
    <w:rsid w:val="00F85583"/>
    <w:rsid w:val="00F85C22"/>
    <w:rsid w:val="00F865A5"/>
    <w:rsid w:val="00F8713A"/>
    <w:rsid w:val="00F872F2"/>
    <w:rsid w:val="00F878DF"/>
    <w:rsid w:val="00F903F2"/>
    <w:rsid w:val="00F90732"/>
    <w:rsid w:val="00F90990"/>
    <w:rsid w:val="00F90BB3"/>
    <w:rsid w:val="00F9109D"/>
    <w:rsid w:val="00F91523"/>
    <w:rsid w:val="00F915A3"/>
    <w:rsid w:val="00F91C73"/>
    <w:rsid w:val="00F91E3D"/>
    <w:rsid w:val="00F92064"/>
    <w:rsid w:val="00F9218C"/>
    <w:rsid w:val="00F92D70"/>
    <w:rsid w:val="00F93A13"/>
    <w:rsid w:val="00F949CD"/>
    <w:rsid w:val="00F9509D"/>
    <w:rsid w:val="00F95E35"/>
    <w:rsid w:val="00FA023A"/>
    <w:rsid w:val="00FA03B3"/>
    <w:rsid w:val="00FA14D9"/>
    <w:rsid w:val="00FA2FD7"/>
    <w:rsid w:val="00FA302F"/>
    <w:rsid w:val="00FA3B07"/>
    <w:rsid w:val="00FA3E42"/>
    <w:rsid w:val="00FA3F79"/>
    <w:rsid w:val="00FA4380"/>
    <w:rsid w:val="00FA4ACE"/>
    <w:rsid w:val="00FA5397"/>
    <w:rsid w:val="00FA6A92"/>
    <w:rsid w:val="00FB0258"/>
    <w:rsid w:val="00FB0524"/>
    <w:rsid w:val="00FB054D"/>
    <w:rsid w:val="00FB0F18"/>
    <w:rsid w:val="00FB10AE"/>
    <w:rsid w:val="00FB1842"/>
    <w:rsid w:val="00FB1B27"/>
    <w:rsid w:val="00FB1B3C"/>
    <w:rsid w:val="00FB1DF7"/>
    <w:rsid w:val="00FB2CA6"/>
    <w:rsid w:val="00FB37D3"/>
    <w:rsid w:val="00FB510E"/>
    <w:rsid w:val="00FB6690"/>
    <w:rsid w:val="00FB72D0"/>
    <w:rsid w:val="00FB77B7"/>
    <w:rsid w:val="00FB7CEB"/>
    <w:rsid w:val="00FC05EF"/>
    <w:rsid w:val="00FC13E9"/>
    <w:rsid w:val="00FC2144"/>
    <w:rsid w:val="00FC283B"/>
    <w:rsid w:val="00FC3D96"/>
    <w:rsid w:val="00FC50A5"/>
    <w:rsid w:val="00FC6324"/>
    <w:rsid w:val="00FC64F3"/>
    <w:rsid w:val="00FC6B25"/>
    <w:rsid w:val="00FC6C17"/>
    <w:rsid w:val="00FC701D"/>
    <w:rsid w:val="00FC70BF"/>
    <w:rsid w:val="00FC75F4"/>
    <w:rsid w:val="00FC7F31"/>
    <w:rsid w:val="00FC7FA4"/>
    <w:rsid w:val="00FD0AC8"/>
    <w:rsid w:val="00FD0AFC"/>
    <w:rsid w:val="00FD15E9"/>
    <w:rsid w:val="00FD24B5"/>
    <w:rsid w:val="00FD2866"/>
    <w:rsid w:val="00FD2913"/>
    <w:rsid w:val="00FD29FD"/>
    <w:rsid w:val="00FD2E91"/>
    <w:rsid w:val="00FD3225"/>
    <w:rsid w:val="00FD327B"/>
    <w:rsid w:val="00FD5E46"/>
    <w:rsid w:val="00FD7295"/>
    <w:rsid w:val="00FD744E"/>
    <w:rsid w:val="00FD7500"/>
    <w:rsid w:val="00FD7CC6"/>
    <w:rsid w:val="00FE02B5"/>
    <w:rsid w:val="00FE1081"/>
    <w:rsid w:val="00FE1835"/>
    <w:rsid w:val="00FE1900"/>
    <w:rsid w:val="00FE27C8"/>
    <w:rsid w:val="00FE3270"/>
    <w:rsid w:val="00FE3FE7"/>
    <w:rsid w:val="00FE4718"/>
    <w:rsid w:val="00FE4E64"/>
    <w:rsid w:val="00FE5257"/>
    <w:rsid w:val="00FE5C3D"/>
    <w:rsid w:val="00FE7DA9"/>
    <w:rsid w:val="00FF005B"/>
    <w:rsid w:val="00FF0D1E"/>
    <w:rsid w:val="00FF0F59"/>
    <w:rsid w:val="00FF2654"/>
    <w:rsid w:val="00FF27E4"/>
    <w:rsid w:val="00FF333E"/>
    <w:rsid w:val="00FF4446"/>
    <w:rsid w:val="00FF57F7"/>
    <w:rsid w:val="00FF6D2E"/>
    <w:rsid w:val="00FF6E3F"/>
    <w:rsid w:val="00FF7346"/>
    <w:rsid w:val="010CB4D6"/>
    <w:rsid w:val="0123936D"/>
    <w:rsid w:val="0135A3C5"/>
    <w:rsid w:val="01626044"/>
    <w:rsid w:val="0162A147"/>
    <w:rsid w:val="0168FB42"/>
    <w:rsid w:val="016F47AD"/>
    <w:rsid w:val="018DEFC5"/>
    <w:rsid w:val="0191D295"/>
    <w:rsid w:val="0192DE22"/>
    <w:rsid w:val="01D11ACC"/>
    <w:rsid w:val="01D17DCF"/>
    <w:rsid w:val="01D22D40"/>
    <w:rsid w:val="01D23232"/>
    <w:rsid w:val="01D78A15"/>
    <w:rsid w:val="01D94FBD"/>
    <w:rsid w:val="01E30E8B"/>
    <w:rsid w:val="01E6A772"/>
    <w:rsid w:val="01FCC00C"/>
    <w:rsid w:val="02093E06"/>
    <w:rsid w:val="02176A55"/>
    <w:rsid w:val="02248FD0"/>
    <w:rsid w:val="02361312"/>
    <w:rsid w:val="02377C1C"/>
    <w:rsid w:val="0279943F"/>
    <w:rsid w:val="02A0FE40"/>
    <w:rsid w:val="02EFF9DB"/>
    <w:rsid w:val="02F3525C"/>
    <w:rsid w:val="02FC590F"/>
    <w:rsid w:val="02FF6E09"/>
    <w:rsid w:val="031B9519"/>
    <w:rsid w:val="031EBC47"/>
    <w:rsid w:val="0323A2A7"/>
    <w:rsid w:val="0327BE9C"/>
    <w:rsid w:val="036B2613"/>
    <w:rsid w:val="0372094F"/>
    <w:rsid w:val="0379B465"/>
    <w:rsid w:val="039C0B52"/>
    <w:rsid w:val="03A071A3"/>
    <w:rsid w:val="03BB2A9A"/>
    <w:rsid w:val="03BEBBE0"/>
    <w:rsid w:val="03CE5992"/>
    <w:rsid w:val="03D95225"/>
    <w:rsid w:val="03DEE6C6"/>
    <w:rsid w:val="03E1E7AF"/>
    <w:rsid w:val="03F7A139"/>
    <w:rsid w:val="03FA6B5B"/>
    <w:rsid w:val="040FBCB3"/>
    <w:rsid w:val="043F983D"/>
    <w:rsid w:val="04419658"/>
    <w:rsid w:val="04459C84"/>
    <w:rsid w:val="045D6A76"/>
    <w:rsid w:val="047CB14C"/>
    <w:rsid w:val="04908383"/>
    <w:rsid w:val="04914BE2"/>
    <w:rsid w:val="049EB2BD"/>
    <w:rsid w:val="04A251D0"/>
    <w:rsid w:val="04AA6A6C"/>
    <w:rsid w:val="04C1CC08"/>
    <w:rsid w:val="04CAEEB6"/>
    <w:rsid w:val="04F5441E"/>
    <w:rsid w:val="0501900D"/>
    <w:rsid w:val="05108711"/>
    <w:rsid w:val="0515FF1E"/>
    <w:rsid w:val="0535F867"/>
    <w:rsid w:val="053C076F"/>
    <w:rsid w:val="053C31E2"/>
    <w:rsid w:val="053D8A1A"/>
    <w:rsid w:val="05B935D3"/>
    <w:rsid w:val="05C9838D"/>
    <w:rsid w:val="05D2B372"/>
    <w:rsid w:val="05F3C8D8"/>
    <w:rsid w:val="060DA774"/>
    <w:rsid w:val="06151E24"/>
    <w:rsid w:val="0619A1EB"/>
    <w:rsid w:val="061D7002"/>
    <w:rsid w:val="0625FAF0"/>
    <w:rsid w:val="062F1878"/>
    <w:rsid w:val="0637472A"/>
    <w:rsid w:val="0645A8F9"/>
    <w:rsid w:val="064C7FDC"/>
    <w:rsid w:val="0653FEF5"/>
    <w:rsid w:val="06656504"/>
    <w:rsid w:val="066A5A67"/>
    <w:rsid w:val="06771551"/>
    <w:rsid w:val="06CAFF04"/>
    <w:rsid w:val="06EB86CD"/>
    <w:rsid w:val="06F024F8"/>
    <w:rsid w:val="06FCEF82"/>
    <w:rsid w:val="070AA8AF"/>
    <w:rsid w:val="07193642"/>
    <w:rsid w:val="073745FB"/>
    <w:rsid w:val="07380ED1"/>
    <w:rsid w:val="078967AE"/>
    <w:rsid w:val="07A5F19B"/>
    <w:rsid w:val="07A84B9F"/>
    <w:rsid w:val="07C02CC8"/>
    <w:rsid w:val="07CBDB43"/>
    <w:rsid w:val="07DEBCEC"/>
    <w:rsid w:val="07E492B8"/>
    <w:rsid w:val="080999F7"/>
    <w:rsid w:val="08275E2C"/>
    <w:rsid w:val="08370063"/>
    <w:rsid w:val="084CA6E2"/>
    <w:rsid w:val="088EF44E"/>
    <w:rsid w:val="08B43EDA"/>
    <w:rsid w:val="08D36C24"/>
    <w:rsid w:val="08DCED5C"/>
    <w:rsid w:val="08E5455B"/>
    <w:rsid w:val="08F2C6E4"/>
    <w:rsid w:val="08FB1CAB"/>
    <w:rsid w:val="09160ECE"/>
    <w:rsid w:val="0930AE07"/>
    <w:rsid w:val="09A1EADF"/>
    <w:rsid w:val="09F3DD22"/>
    <w:rsid w:val="0A1F4139"/>
    <w:rsid w:val="0A690FAA"/>
    <w:rsid w:val="0A7298CA"/>
    <w:rsid w:val="0A76903A"/>
    <w:rsid w:val="0A772066"/>
    <w:rsid w:val="0A7DEF20"/>
    <w:rsid w:val="0A81DE60"/>
    <w:rsid w:val="0A8B5307"/>
    <w:rsid w:val="0AA9075C"/>
    <w:rsid w:val="0AAA9AF3"/>
    <w:rsid w:val="0AC256F7"/>
    <w:rsid w:val="0B1FFED6"/>
    <w:rsid w:val="0B41E995"/>
    <w:rsid w:val="0B800B85"/>
    <w:rsid w:val="0B901518"/>
    <w:rsid w:val="0B94F910"/>
    <w:rsid w:val="0BA4CC3D"/>
    <w:rsid w:val="0BAAD4A8"/>
    <w:rsid w:val="0BAB9CAE"/>
    <w:rsid w:val="0BC426C7"/>
    <w:rsid w:val="0BDB7636"/>
    <w:rsid w:val="0BE07133"/>
    <w:rsid w:val="0BE28A8C"/>
    <w:rsid w:val="0BE37C13"/>
    <w:rsid w:val="0BEDF8EB"/>
    <w:rsid w:val="0BFA4690"/>
    <w:rsid w:val="0C1F4C72"/>
    <w:rsid w:val="0C2DA837"/>
    <w:rsid w:val="0C335BE3"/>
    <w:rsid w:val="0C5F2265"/>
    <w:rsid w:val="0C79C1CA"/>
    <w:rsid w:val="0CADFFBA"/>
    <w:rsid w:val="0CB6D819"/>
    <w:rsid w:val="0CD147D2"/>
    <w:rsid w:val="0CE0FDA2"/>
    <w:rsid w:val="0D0D5803"/>
    <w:rsid w:val="0D115AD1"/>
    <w:rsid w:val="0D20A4A9"/>
    <w:rsid w:val="0D21F771"/>
    <w:rsid w:val="0D260991"/>
    <w:rsid w:val="0D3BB6CE"/>
    <w:rsid w:val="0D4C0FCE"/>
    <w:rsid w:val="0D5E1E3A"/>
    <w:rsid w:val="0D67C897"/>
    <w:rsid w:val="0D899345"/>
    <w:rsid w:val="0D9CCC63"/>
    <w:rsid w:val="0DA3B269"/>
    <w:rsid w:val="0DBA13C3"/>
    <w:rsid w:val="0DF9A740"/>
    <w:rsid w:val="0E0ACA44"/>
    <w:rsid w:val="0E0B8EDD"/>
    <w:rsid w:val="0E1629A3"/>
    <w:rsid w:val="0E1DC412"/>
    <w:rsid w:val="0E283EFC"/>
    <w:rsid w:val="0E3154AA"/>
    <w:rsid w:val="0E37A829"/>
    <w:rsid w:val="0E52598D"/>
    <w:rsid w:val="0E5575FF"/>
    <w:rsid w:val="0E5D7605"/>
    <w:rsid w:val="0E621DCB"/>
    <w:rsid w:val="0E6E5A84"/>
    <w:rsid w:val="0E73251A"/>
    <w:rsid w:val="0E9C3EF7"/>
    <w:rsid w:val="0E9D89FE"/>
    <w:rsid w:val="0EA98D0B"/>
    <w:rsid w:val="0ED7872F"/>
    <w:rsid w:val="0EE1FB71"/>
    <w:rsid w:val="0F1A0C07"/>
    <w:rsid w:val="0F2F645A"/>
    <w:rsid w:val="0F3947F8"/>
    <w:rsid w:val="0F40E5B0"/>
    <w:rsid w:val="0F4DF799"/>
    <w:rsid w:val="0F55E424"/>
    <w:rsid w:val="0F8D4A06"/>
    <w:rsid w:val="0F8F8DBB"/>
    <w:rsid w:val="0FB963C6"/>
    <w:rsid w:val="0FC3E814"/>
    <w:rsid w:val="0FD00EFC"/>
    <w:rsid w:val="100FB3AE"/>
    <w:rsid w:val="101BD397"/>
    <w:rsid w:val="103A7C0C"/>
    <w:rsid w:val="104723D4"/>
    <w:rsid w:val="10484E7D"/>
    <w:rsid w:val="105A51CD"/>
    <w:rsid w:val="106B3476"/>
    <w:rsid w:val="1074EB7A"/>
    <w:rsid w:val="108C0FB1"/>
    <w:rsid w:val="10A5E591"/>
    <w:rsid w:val="10B332C7"/>
    <w:rsid w:val="10BAF8A7"/>
    <w:rsid w:val="10C979BD"/>
    <w:rsid w:val="10D23E82"/>
    <w:rsid w:val="10EA7FAC"/>
    <w:rsid w:val="11088305"/>
    <w:rsid w:val="110FCD9A"/>
    <w:rsid w:val="1121B307"/>
    <w:rsid w:val="1122274D"/>
    <w:rsid w:val="1135B686"/>
    <w:rsid w:val="114C0998"/>
    <w:rsid w:val="114DB105"/>
    <w:rsid w:val="11551CCD"/>
    <w:rsid w:val="11591F32"/>
    <w:rsid w:val="116B1C42"/>
    <w:rsid w:val="117FEA35"/>
    <w:rsid w:val="118A8B3B"/>
    <w:rsid w:val="1194DAA6"/>
    <w:rsid w:val="119C1B8F"/>
    <w:rsid w:val="11B82C5A"/>
    <w:rsid w:val="11BB5388"/>
    <w:rsid w:val="11BC750A"/>
    <w:rsid w:val="11BFE9E3"/>
    <w:rsid w:val="11C5BFC8"/>
    <w:rsid w:val="11D1255B"/>
    <w:rsid w:val="11E8B157"/>
    <w:rsid w:val="11F8E38C"/>
    <w:rsid w:val="11FB3EFD"/>
    <w:rsid w:val="12061786"/>
    <w:rsid w:val="120F0F17"/>
    <w:rsid w:val="1213C146"/>
    <w:rsid w:val="121EB3D6"/>
    <w:rsid w:val="12301FBC"/>
    <w:rsid w:val="1231A8AF"/>
    <w:rsid w:val="123A144E"/>
    <w:rsid w:val="124492CF"/>
    <w:rsid w:val="12469DF1"/>
    <w:rsid w:val="1258DF2A"/>
    <w:rsid w:val="1269237D"/>
    <w:rsid w:val="126B40FB"/>
    <w:rsid w:val="1286E699"/>
    <w:rsid w:val="1291B748"/>
    <w:rsid w:val="1296A2ED"/>
    <w:rsid w:val="1297D682"/>
    <w:rsid w:val="12B96B7E"/>
    <w:rsid w:val="12C32E0F"/>
    <w:rsid w:val="12EF667C"/>
    <w:rsid w:val="130734F9"/>
    <w:rsid w:val="131F3811"/>
    <w:rsid w:val="1335A400"/>
    <w:rsid w:val="13515975"/>
    <w:rsid w:val="137E6CB0"/>
    <w:rsid w:val="138147D9"/>
    <w:rsid w:val="1392317A"/>
    <w:rsid w:val="13A3B196"/>
    <w:rsid w:val="13B41EDD"/>
    <w:rsid w:val="13C98131"/>
    <w:rsid w:val="13E1EB90"/>
    <w:rsid w:val="13F01DF5"/>
    <w:rsid w:val="13FC0285"/>
    <w:rsid w:val="14085865"/>
    <w:rsid w:val="1416B32D"/>
    <w:rsid w:val="14349FD0"/>
    <w:rsid w:val="14398BB6"/>
    <w:rsid w:val="143DA639"/>
    <w:rsid w:val="143EDA7E"/>
    <w:rsid w:val="144A87E7"/>
    <w:rsid w:val="144B5149"/>
    <w:rsid w:val="14600BA5"/>
    <w:rsid w:val="147360AE"/>
    <w:rsid w:val="14823656"/>
    <w:rsid w:val="14862752"/>
    <w:rsid w:val="14882316"/>
    <w:rsid w:val="14A30EF1"/>
    <w:rsid w:val="14AA3EB5"/>
    <w:rsid w:val="14B5B7B7"/>
    <w:rsid w:val="14BAA3A5"/>
    <w:rsid w:val="14BD63AC"/>
    <w:rsid w:val="14DEBD1B"/>
    <w:rsid w:val="151B5169"/>
    <w:rsid w:val="155CA69B"/>
    <w:rsid w:val="157264EC"/>
    <w:rsid w:val="1585799C"/>
    <w:rsid w:val="160C598A"/>
    <w:rsid w:val="160E1123"/>
    <w:rsid w:val="1617F38D"/>
    <w:rsid w:val="16197052"/>
    <w:rsid w:val="161FB65F"/>
    <w:rsid w:val="16670D32"/>
    <w:rsid w:val="16925B18"/>
    <w:rsid w:val="16ACC6B5"/>
    <w:rsid w:val="16B65EB1"/>
    <w:rsid w:val="16B8E89B"/>
    <w:rsid w:val="16B8F1EE"/>
    <w:rsid w:val="16D6DE00"/>
    <w:rsid w:val="16E27153"/>
    <w:rsid w:val="16E367FF"/>
    <w:rsid w:val="16EFC73A"/>
    <w:rsid w:val="16F04816"/>
    <w:rsid w:val="16F59F04"/>
    <w:rsid w:val="170E6484"/>
    <w:rsid w:val="171165A1"/>
    <w:rsid w:val="17183E37"/>
    <w:rsid w:val="172149FD"/>
    <w:rsid w:val="1735260D"/>
    <w:rsid w:val="174A94AF"/>
    <w:rsid w:val="17572085"/>
    <w:rsid w:val="175992A2"/>
    <w:rsid w:val="1761F5CF"/>
    <w:rsid w:val="176EF8D5"/>
    <w:rsid w:val="17802F3A"/>
    <w:rsid w:val="1796C206"/>
    <w:rsid w:val="17973E87"/>
    <w:rsid w:val="17A6D709"/>
    <w:rsid w:val="17D8E6FA"/>
    <w:rsid w:val="17E08178"/>
    <w:rsid w:val="17E6B507"/>
    <w:rsid w:val="17F5DA56"/>
    <w:rsid w:val="180220F1"/>
    <w:rsid w:val="1808BC57"/>
    <w:rsid w:val="181CA4AB"/>
    <w:rsid w:val="1821AB67"/>
    <w:rsid w:val="182550E7"/>
    <w:rsid w:val="1837E9FF"/>
    <w:rsid w:val="183B426C"/>
    <w:rsid w:val="1848D89F"/>
    <w:rsid w:val="184C3727"/>
    <w:rsid w:val="1857143E"/>
    <w:rsid w:val="185FD74D"/>
    <w:rsid w:val="1860E0DA"/>
    <w:rsid w:val="1862E016"/>
    <w:rsid w:val="186CBF5F"/>
    <w:rsid w:val="186F37FA"/>
    <w:rsid w:val="1872C776"/>
    <w:rsid w:val="18828B36"/>
    <w:rsid w:val="189A0085"/>
    <w:rsid w:val="18BA4466"/>
    <w:rsid w:val="18BEF996"/>
    <w:rsid w:val="18E7FA37"/>
    <w:rsid w:val="18F55E31"/>
    <w:rsid w:val="1962E4A9"/>
    <w:rsid w:val="1966BAD6"/>
    <w:rsid w:val="199542DC"/>
    <w:rsid w:val="199838FB"/>
    <w:rsid w:val="19B268B1"/>
    <w:rsid w:val="19C9B2F5"/>
    <w:rsid w:val="19DBCE29"/>
    <w:rsid w:val="19EE8F8E"/>
    <w:rsid w:val="19FD667B"/>
    <w:rsid w:val="1A08C811"/>
    <w:rsid w:val="1A090A0F"/>
    <w:rsid w:val="1A1C6224"/>
    <w:rsid w:val="1A22275C"/>
    <w:rsid w:val="1A3A7242"/>
    <w:rsid w:val="1A40B6A3"/>
    <w:rsid w:val="1A435F1C"/>
    <w:rsid w:val="1A690D14"/>
    <w:rsid w:val="1A77DBA7"/>
    <w:rsid w:val="1A7CBF26"/>
    <w:rsid w:val="1A8718F0"/>
    <w:rsid w:val="1A890696"/>
    <w:rsid w:val="1A9CB2BE"/>
    <w:rsid w:val="1AA3DF30"/>
    <w:rsid w:val="1AE2CE91"/>
    <w:rsid w:val="1AE58FCD"/>
    <w:rsid w:val="1B13C3D0"/>
    <w:rsid w:val="1B474804"/>
    <w:rsid w:val="1B6B147D"/>
    <w:rsid w:val="1B8F585A"/>
    <w:rsid w:val="1BAEA208"/>
    <w:rsid w:val="1BC894A9"/>
    <w:rsid w:val="1BD97347"/>
    <w:rsid w:val="1BF235C8"/>
    <w:rsid w:val="1BFF548C"/>
    <w:rsid w:val="1BFF6CEC"/>
    <w:rsid w:val="1C3AF76D"/>
    <w:rsid w:val="1C408F8D"/>
    <w:rsid w:val="1C8548B6"/>
    <w:rsid w:val="1CA1587B"/>
    <w:rsid w:val="1CA24F5B"/>
    <w:rsid w:val="1CAF53CA"/>
    <w:rsid w:val="1CB30252"/>
    <w:rsid w:val="1CB5C94A"/>
    <w:rsid w:val="1CB642AD"/>
    <w:rsid w:val="1CDC0360"/>
    <w:rsid w:val="1CED6ED9"/>
    <w:rsid w:val="1CF8141E"/>
    <w:rsid w:val="1D28C94B"/>
    <w:rsid w:val="1D52B618"/>
    <w:rsid w:val="1D59AD7A"/>
    <w:rsid w:val="1D5EC2E9"/>
    <w:rsid w:val="1D60B170"/>
    <w:rsid w:val="1D647C18"/>
    <w:rsid w:val="1D6A211E"/>
    <w:rsid w:val="1D6BFA5B"/>
    <w:rsid w:val="1D90028D"/>
    <w:rsid w:val="1D97B7F3"/>
    <w:rsid w:val="1DA52F30"/>
    <w:rsid w:val="1DD04E98"/>
    <w:rsid w:val="1DDB7CF6"/>
    <w:rsid w:val="1DDD0706"/>
    <w:rsid w:val="1DE9D495"/>
    <w:rsid w:val="1DFECD92"/>
    <w:rsid w:val="1E1AA263"/>
    <w:rsid w:val="1E1E2A43"/>
    <w:rsid w:val="1E206CA8"/>
    <w:rsid w:val="1E29C92B"/>
    <w:rsid w:val="1E2A68E3"/>
    <w:rsid w:val="1E38EAA8"/>
    <w:rsid w:val="1E3CC726"/>
    <w:rsid w:val="1E45F6E0"/>
    <w:rsid w:val="1E4DFBC4"/>
    <w:rsid w:val="1E51B9FB"/>
    <w:rsid w:val="1E534C8D"/>
    <w:rsid w:val="1E5CABAD"/>
    <w:rsid w:val="1E67D376"/>
    <w:rsid w:val="1E739016"/>
    <w:rsid w:val="1E8FC030"/>
    <w:rsid w:val="1EA15DD8"/>
    <w:rsid w:val="1ED18DBC"/>
    <w:rsid w:val="1EDAEEBC"/>
    <w:rsid w:val="1EF5C13E"/>
    <w:rsid w:val="1EFC624F"/>
    <w:rsid w:val="1F0E05E7"/>
    <w:rsid w:val="1F1352E5"/>
    <w:rsid w:val="1F1F78E8"/>
    <w:rsid w:val="1F21AA48"/>
    <w:rsid w:val="1F27CB15"/>
    <w:rsid w:val="1F3F162F"/>
    <w:rsid w:val="1F46FC80"/>
    <w:rsid w:val="1F4E909B"/>
    <w:rsid w:val="1F61DADF"/>
    <w:rsid w:val="1F691719"/>
    <w:rsid w:val="1F76D99E"/>
    <w:rsid w:val="1F7CE09C"/>
    <w:rsid w:val="1F849197"/>
    <w:rsid w:val="1F87E6E3"/>
    <w:rsid w:val="1F945384"/>
    <w:rsid w:val="1F953EA1"/>
    <w:rsid w:val="1FC0AE4E"/>
    <w:rsid w:val="200619B9"/>
    <w:rsid w:val="202DDC62"/>
    <w:rsid w:val="203D6BE1"/>
    <w:rsid w:val="204C63AC"/>
    <w:rsid w:val="205147B4"/>
    <w:rsid w:val="205693A0"/>
    <w:rsid w:val="2068B486"/>
    <w:rsid w:val="20709455"/>
    <w:rsid w:val="20796D91"/>
    <w:rsid w:val="20862CEA"/>
    <w:rsid w:val="2087E94E"/>
    <w:rsid w:val="208F45F4"/>
    <w:rsid w:val="20946752"/>
    <w:rsid w:val="20998EA1"/>
    <w:rsid w:val="20A92837"/>
    <w:rsid w:val="20B458DD"/>
    <w:rsid w:val="20BF18E4"/>
    <w:rsid w:val="20C91316"/>
    <w:rsid w:val="20D176F5"/>
    <w:rsid w:val="20E73933"/>
    <w:rsid w:val="20EC8A0B"/>
    <w:rsid w:val="211654DF"/>
    <w:rsid w:val="21167C7C"/>
    <w:rsid w:val="212733C5"/>
    <w:rsid w:val="21342800"/>
    <w:rsid w:val="2134D7F5"/>
    <w:rsid w:val="213DACC8"/>
    <w:rsid w:val="2143C312"/>
    <w:rsid w:val="21473B7B"/>
    <w:rsid w:val="214D3C6C"/>
    <w:rsid w:val="21548789"/>
    <w:rsid w:val="215DB8DF"/>
    <w:rsid w:val="215E9699"/>
    <w:rsid w:val="21606B78"/>
    <w:rsid w:val="217D16F1"/>
    <w:rsid w:val="2197B3D3"/>
    <w:rsid w:val="22273FB2"/>
    <w:rsid w:val="2229C56D"/>
    <w:rsid w:val="223312EA"/>
    <w:rsid w:val="2255F055"/>
    <w:rsid w:val="2262BF00"/>
    <w:rsid w:val="22656024"/>
    <w:rsid w:val="22D1DDD5"/>
    <w:rsid w:val="22E2E2A1"/>
    <w:rsid w:val="22E3A827"/>
    <w:rsid w:val="22E3AA6D"/>
    <w:rsid w:val="22F2449D"/>
    <w:rsid w:val="2303B5F0"/>
    <w:rsid w:val="23141680"/>
    <w:rsid w:val="231B368A"/>
    <w:rsid w:val="23375CF2"/>
    <w:rsid w:val="2358BD75"/>
    <w:rsid w:val="237A5FC0"/>
    <w:rsid w:val="238763C9"/>
    <w:rsid w:val="23ACF1BB"/>
    <w:rsid w:val="23B034C5"/>
    <w:rsid w:val="23B3F3EC"/>
    <w:rsid w:val="23B5339C"/>
    <w:rsid w:val="23C61F5A"/>
    <w:rsid w:val="23C84EAD"/>
    <w:rsid w:val="240FC145"/>
    <w:rsid w:val="241AF36C"/>
    <w:rsid w:val="242D0066"/>
    <w:rsid w:val="2437987F"/>
    <w:rsid w:val="244240F6"/>
    <w:rsid w:val="24522C6F"/>
    <w:rsid w:val="24738DBB"/>
    <w:rsid w:val="247415ED"/>
    <w:rsid w:val="248A84B5"/>
    <w:rsid w:val="24A33DE5"/>
    <w:rsid w:val="24EE7E61"/>
    <w:rsid w:val="25095ABC"/>
    <w:rsid w:val="25212E27"/>
    <w:rsid w:val="25246F3C"/>
    <w:rsid w:val="255A7854"/>
    <w:rsid w:val="2564DA03"/>
    <w:rsid w:val="25753303"/>
    <w:rsid w:val="2582B904"/>
    <w:rsid w:val="25833410"/>
    <w:rsid w:val="25AFFF1C"/>
    <w:rsid w:val="25B9EA67"/>
    <w:rsid w:val="25D0575C"/>
    <w:rsid w:val="25F51495"/>
    <w:rsid w:val="25FA1B96"/>
    <w:rsid w:val="26206402"/>
    <w:rsid w:val="262DD00F"/>
    <w:rsid w:val="26317BEE"/>
    <w:rsid w:val="26376E39"/>
    <w:rsid w:val="264ABC2B"/>
    <w:rsid w:val="264F1883"/>
    <w:rsid w:val="26528A05"/>
    <w:rsid w:val="2688A6DB"/>
    <w:rsid w:val="2688EAEC"/>
    <w:rsid w:val="268B441F"/>
    <w:rsid w:val="268B8F03"/>
    <w:rsid w:val="268E0E10"/>
    <w:rsid w:val="26926E65"/>
    <w:rsid w:val="26B03997"/>
    <w:rsid w:val="26CBCA6C"/>
    <w:rsid w:val="26DF63F6"/>
    <w:rsid w:val="26E3C2DE"/>
    <w:rsid w:val="26E52F37"/>
    <w:rsid w:val="26E78207"/>
    <w:rsid w:val="26F5F7AD"/>
    <w:rsid w:val="27114E1F"/>
    <w:rsid w:val="271B8FA9"/>
    <w:rsid w:val="2726C3F3"/>
    <w:rsid w:val="273609C5"/>
    <w:rsid w:val="273F5B4D"/>
    <w:rsid w:val="27548BA2"/>
    <w:rsid w:val="2764CF10"/>
    <w:rsid w:val="277206DA"/>
    <w:rsid w:val="27773CF4"/>
    <w:rsid w:val="2793D095"/>
    <w:rsid w:val="279ADD75"/>
    <w:rsid w:val="27B0B4C3"/>
    <w:rsid w:val="27B4024A"/>
    <w:rsid w:val="27B624F2"/>
    <w:rsid w:val="27B7B34A"/>
    <w:rsid w:val="27BBD58C"/>
    <w:rsid w:val="27D837A1"/>
    <w:rsid w:val="282D201F"/>
    <w:rsid w:val="283AB5FB"/>
    <w:rsid w:val="284F91CA"/>
    <w:rsid w:val="2866A179"/>
    <w:rsid w:val="286C3B71"/>
    <w:rsid w:val="288A214A"/>
    <w:rsid w:val="289408A4"/>
    <w:rsid w:val="2894B372"/>
    <w:rsid w:val="28BD1746"/>
    <w:rsid w:val="28C1E277"/>
    <w:rsid w:val="28C37D9A"/>
    <w:rsid w:val="28E4730B"/>
    <w:rsid w:val="28FF8E20"/>
    <w:rsid w:val="2908D6CE"/>
    <w:rsid w:val="2936E52A"/>
    <w:rsid w:val="29436584"/>
    <w:rsid w:val="296B8E13"/>
    <w:rsid w:val="2972955A"/>
    <w:rsid w:val="2974C28B"/>
    <w:rsid w:val="29786B89"/>
    <w:rsid w:val="297E10D7"/>
    <w:rsid w:val="29A5C045"/>
    <w:rsid w:val="29B2BD7B"/>
    <w:rsid w:val="29BB964B"/>
    <w:rsid w:val="29C103F5"/>
    <w:rsid w:val="29DBECFF"/>
    <w:rsid w:val="29F7D666"/>
    <w:rsid w:val="2A0B584E"/>
    <w:rsid w:val="2A2A78F1"/>
    <w:rsid w:val="2A3F7F76"/>
    <w:rsid w:val="2A4F5289"/>
    <w:rsid w:val="2A53A7AC"/>
    <w:rsid w:val="2A5AB292"/>
    <w:rsid w:val="2A5FD12D"/>
    <w:rsid w:val="2A9D3CBA"/>
    <w:rsid w:val="2AA7D15A"/>
    <w:rsid w:val="2AB90E55"/>
    <w:rsid w:val="2ACF886B"/>
    <w:rsid w:val="2AEC2E86"/>
    <w:rsid w:val="2AF87E7F"/>
    <w:rsid w:val="2B0D0D92"/>
    <w:rsid w:val="2B1B651F"/>
    <w:rsid w:val="2B2423CE"/>
    <w:rsid w:val="2B36C3A6"/>
    <w:rsid w:val="2B43546C"/>
    <w:rsid w:val="2B437377"/>
    <w:rsid w:val="2B655859"/>
    <w:rsid w:val="2B6C3C52"/>
    <w:rsid w:val="2B78067F"/>
    <w:rsid w:val="2B87E889"/>
    <w:rsid w:val="2B977E18"/>
    <w:rsid w:val="2BB0D6CC"/>
    <w:rsid w:val="2BBAF32A"/>
    <w:rsid w:val="2BCC1729"/>
    <w:rsid w:val="2BD0BE46"/>
    <w:rsid w:val="2BDB7D9F"/>
    <w:rsid w:val="2BDF688C"/>
    <w:rsid w:val="2C5F1AB4"/>
    <w:rsid w:val="2C6ACCAE"/>
    <w:rsid w:val="2C70F638"/>
    <w:rsid w:val="2C732E24"/>
    <w:rsid w:val="2CA32994"/>
    <w:rsid w:val="2CA4CFD6"/>
    <w:rsid w:val="2CBA01A9"/>
    <w:rsid w:val="2CC0D1B7"/>
    <w:rsid w:val="2CE16EAE"/>
    <w:rsid w:val="2CE4BFA4"/>
    <w:rsid w:val="2D320843"/>
    <w:rsid w:val="2D3B934D"/>
    <w:rsid w:val="2D3DB57E"/>
    <w:rsid w:val="2D404627"/>
    <w:rsid w:val="2D4078CC"/>
    <w:rsid w:val="2D4248C6"/>
    <w:rsid w:val="2D472482"/>
    <w:rsid w:val="2D60E6B8"/>
    <w:rsid w:val="2D745270"/>
    <w:rsid w:val="2D7D9AEA"/>
    <w:rsid w:val="2D85224B"/>
    <w:rsid w:val="2D902BC9"/>
    <w:rsid w:val="2DCE2064"/>
    <w:rsid w:val="2DF18233"/>
    <w:rsid w:val="2E37F3A9"/>
    <w:rsid w:val="2E67D8A3"/>
    <w:rsid w:val="2E6C23CD"/>
    <w:rsid w:val="2E841BB1"/>
    <w:rsid w:val="2E8705C4"/>
    <w:rsid w:val="2EA804D4"/>
    <w:rsid w:val="2EB0F5C2"/>
    <w:rsid w:val="2EC9F6F9"/>
    <w:rsid w:val="2ECB39D2"/>
    <w:rsid w:val="2EE35FDA"/>
    <w:rsid w:val="2EE7EAA8"/>
    <w:rsid w:val="2F17D731"/>
    <w:rsid w:val="2F196B4B"/>
    <w:rsid w:val="2F334698"/>
    <w:rsid w:val="2F337CC3"/>
    <w:rsid w:val="2F378B7B"/>
    <w:rsid w:val="2F3A7C3D"/>
    <w:rsid w:val="2F3BF148"/>
    <w:rsid w:val="2F584EE5"/>
    <w:rsid w:val="2F626DB4"/>
    <w:rsid w:val="2F668AF6"/>
    <w:rsid w:val="2F6A5B3A"/>
    <w:rsid w:val="2F6EEE2B"/>
    <w:rsid w:val="2F7543C2"/>
    <w:rsid w:val="2F94771A"/>
    <w:rsid w:val="2F973406"/>
    <w:rsid w:val="2F99285A"/>
    <w:rsid w:val="2FAD20C9"/>
    <w:rsid w:val="2FAF9FBB"/>
    <w:rsid w:val="2FB77816"/>
    <w:rsid w:val="2FBE82DE"/>
    <w:rsid w:val="2FC00326"/>
    <w:rsid w:val="2FDAB115"/>
    <w:rsid w:val="2FEC4AA9"/>
    <w:rsid w:val="2FEE44A2"/>
    <w:rsid w:val="30211ABF"/>
    <w:rsid w:val="30413C0A"/>
    <w:rsid w:val="3044D15D"/>
    <w:rsid w:val="3056FCD3"/>
    <w:rsid w:val="305BA94B"/>
    <w:rsid w:val="30770A4B"/>
    <w:rsid w:val="3077E6E9"/>
    <w:rsid w:val="3087C438"/>
    <w:rsid w:val="30A1184E"/>
    <w:rsid w:val="30AC7C06"/>
    <w:rsid w:val="30BC36B0"/>
    <w:rsid w:val="30E1CEB0"/>
    <w:rsid w:val="30EFA869"/>
    <w:rsid w:val="31044261"/>
    <w:rsid w:val="3109ED15"/>
    <w:rsid w:val="310D3DEF"/>
    <w:rsid w:val="310E7777"/>
    <w:rsid w:val="31197FEC"/>
    <w:rsid w:val="312E2A9E"/>
    <w:rsid w:val="313A13A1"/>
    <w:rsid w:val="3157488D"/>
    <w:rsid w:val="31660440"/>
    <w:rsid w:val="31999D68"/>
    <w:rsid w:val="319C2383"/>
    <w:rsid w:val="31A67981"/>
    <w:rsid w:val="31B8187C"/>
    <w:rsid w:val="31BF62F7"/>
    <w:rsid w:val="31D011E9"/>
    <w:rsid w:val="31D6B2CC"/>
    <w:rsid w:val="31DDD9D2"/>
    <w:rsid w:val="31E82B8E"/>
    <w:rsid w:val="31E8F095"/>
    <w:rsid w:val="31F87BE4"/>
    <w:rsid w:val="32039518"/>
    <w:rsid w:val="32183006"/>
    <w:rsid w:val="323D611C"/>
    <w:rsid w:val="323DBE6D"/>
    <w:rsid w:val="3241CA07"/>
    <w:rsid w:val="324A915B"/>
    <w:rsid w:val="3274C4A7"/>
    <w:rsid w:val="327DECF6"/>
    <w:rsid w:val="328B5DFF"/>
    <w:rsid w:val="328D0435"/>
    <w:rsid w:val="328F10C7"/>
    <w:rsid w:val="32A891A3"/>
    <w:rsid w:val="32B3066F"/>
    <w:rsid w:val="32B858AE"/>
    <w:rsid w:val="32C46491"/>
    <w:rsid w:val="32E0B0CF"/>
    <w:rsid w:val="32E82A09"/>
    <w:rsid w:val="32EE43E0"/>
    <w:rsid w:val="33054D5B"/>
    <w:rsid w:val="332169B4"/>
    <w:rsid w:val="333029DE"/>
    <w:rsid w:val="3339DF76"/>
    <w:rsid w:val="334012BD"/>
    <w:rsid w:val="336EAF69"/>
    <w:rsid w:val="337D9B57"/>
    <w:rsid w:val="33822BF2"/>
    <w:rsid w:val="338B9AB0"/>
    <w:rsid w:val="33B4464D"/>
    <w:rsid w:val="33D6FDC9"/>
    <w:rsid w:val="344EB0C4"/>
    <w:rsid w:val="3474F387"/>
    <w:rsid w:val="3479A3DE"/>
    <w:rsid w:val="347CE5D7"/>
    <w:rsid w:val="34910B83"/>
    <w:rsid w:val="34989945"/>
    <w:rsid w:val="349C7AF5"/>
    <w:rsid w:val="34AA814C"/>
    <w:rsid w:val="34B57EDA"/>
    <w:rsid w:val="34BB1B69"/>
    <w:rsid w:val="34C7A4D7"/>
    <w:rsid w:val="34DDA5EC"/>
    <w:rsid w:val="34F65894"/>
    <w:rsid w:val="352D99E6"/>
    <w:rsid w:val="3545ABC0"/>
    <w:rsid w:val="35ABF1D7"/>
    <w:rsid w:val="35E9A254"/>
    <w:rsid w:val="35F79B8B"/>
    <w:rsid w:val="35FD963C"/>
    <w:rsid w:val="361BD2DF"/>
    <w:rsid w:val="363FA2C7"/>
    <w:rsid w:val="3665194B"/>
    <w:rsid w:val="367CB547"/>
    <w:rsid w:val="369D711B"/>
    <w:rsid w:val="36A6F012"/>
    <w:rsid w:val="36A7D82F"/>
    <w:rsid w:val="36BB2F87"/>
    <w:rsid w:val="36C0966F"/>
    <w:rsid w:val="36D7A187"/>
    <w:rsid w:val="36E12A68"/>
    <w:rsid w:val="36EC6041"/>
    <w:rsid w:val="36F46B81"/>
    <w:rsid w:val="36F6065F"/>
    <w:rsid w:val="3725D094"/>
    <w:rsid w:val="3739EBDE"/>
    <w:rsid w:val="373F9D7D"/>
    <w:rsid w:val="374F4F20"/>
    <w:rsid w:val="3753E00A"/>
    <w:rsid w:val="3758BFAB"/>
    <w:rsid w:val="3797D535"/>
    <w:rsid w:val="37AE92F8"/>
    <w:rsid w:val="37B0BA24"/>
    <w:rsid w:val="37C11BC9"/>
    <w:rsid w:val="37C1615C"/>
    <w:rsid w:val="37F84E98"/>
    <w:rsid w:val="37FAF9AE"/>
    <w:rsid w:val="3805FA08"/>
    <w:rsid w:val="3830E0E0"/>
    <w:rsid w:val="38353338"/>
    <w:rsid w:val="383DE714"/>
    <w:rsid w:val="384410C7"/>
    <w:rsid w:val="38474192"/>
    <w:rsid w:val="386E6874"/>
    <w:rsid w:val="387F255B"/>
    <w:rsid w:val="388B18E0"/>
    <w:rsid w:val="38930566"/>
    <w:rsid w:val="38A4081B"/>
    <w:rsid w:val="38A49BF9"/>
    <w:rsid w:val="38A751CB"/>
    <w:rsid w:val="38AA5677"/>
    <w:rsid w:val="38AE0AAE"/>
    <w:rsid w:val="38BA7C09"/>
    <w:rsid w:val="38E7615E"/>
    <w:rsid w:val="391068E8"/>
    <w:rsid w:val="392621DE"/>
    <w:rsid w:val="395152FB"/>
    <w:rsid w:val="396312D7"/>
    <w:rsid w:val="3963C979"/>
    <w:rsid w:val="396CDD71"/>
    <w:rsid w:val="3975D868"/>
    <w:rsid w:val="398EED29"/>
    <w:rsid w:val="39A02291"/>
    <w:rsid w:val="39A751A0"/>
    <w:rsid w:val="39C92E72"/>
    <w:rsid w:val="39CA2BF7"/>
    <w:rsid w:val="39E3743D"/>
    <w:rsid w:val="39EC0712"/>
    <w:rsid w:val="39F6FBBD"/>
    <w:rsid w:val="3A34875A"/>
    <w:rsid w:val="3A3557CB"/>
    <w:rsid w:val="3A43619F"/>
    <w:rsid w:val="3A52CF23"/>
    <w:rsid w:val="3A55A181"/>
    <w:rsid w:val="3A564C6A"/>
    <w:rsid w:val="3A5F9194"/>
    <w:rsid w:val="3A7D6252"/>
    <w:rsid w:val="3A86BD94"/>
    <w:rsid w:val="3ABDEAB6"/>
    <w:rsid w:val="3AD56321"/>
    <w:rsid w:val="3ADDF667"/>
    <w:rsid w:val="3AE892C2"/>
    <w:rsid w:val="3B18E543"/>
    <w:rsid w:val="3B2094D7"/>
    <w:rsid w:val="3B22FBAE"/>
    <w:rsid w:val="3B23C7AF"/>
    <w:rsid w:val="3B335E06"/>
    <w:rsid w:val="3B5D9D0B"/>
    <w:rsid w:val="3B6D1549"/>
    <w:rsid w:val="3B7577FC"/>
    <w:rsid w:val="3B80E24A"/>
    <w:rsid w:val="3B9F904A"/>
    <w:rsid w:val="3BC9674F"/>
    <w:rsid w:val="3BCD5773"/>
    <w:rsid w:val="3BD48651"/>
    <w:rsid w:val="3BE28EB1"/>
    <w:rsid w:val="3BE3BA07"/>
    <w:rsid w:val="3BE7F50C"/>
    <w:rsid w:val="3BF07086"/>
    <w:rsid w:val="3BF2095B"/>
    <w:rsid w:val="3C0CBFF3"/>
    <w:rsid w:val="3C39270F"/>
    <w:rsid w:val="3C4DF196"/>
    <w:rsid w:val="3C8ED715"/>
    <w:rsid w:val="3CB80D83"/>
    <w:rsid w:val="3CC7FEB7"/>
    <w:rsid w:val="3CC9190C"/>
    <w:rsid w:val="3CDF3B49"/>
    <w:rsid w:val="3CE29956"/>
    <w:rsid w:val="3CE951F5"/>
    <w:rsid w:val="3CED80C8"/>
    <w:rsid w:val="3D025307"/>
    <w:rsid w:val="3D0B90F7"/>
    <w:rsid w:val="3D690171"/>
    <w:rsid w:val="3D90AF46"/>
    <w:rsid w:val="3DB2D97C"/>
    <w:rsid w:val="3DB80F77"/>
    <w:rsid w:val="3DBB1D7F"/>
    <w:rsid w:val="3DC323A9"/>
    <w:rsid w:val="3DD0F637"/>
    <w:rsid w:val="3DD55B21"/>
    <w:rsid w:val="3DE0822A"/>
    <w:rsid w:val="3E0FF61A"/>
    <w:rsid w:val="3E15E3EC"/>
    <w:rsid w:val="3E1C8C4A"/>
    <w:rsid w:val="3E2C4FEE"/>
    <w:rsid w:val="3E41BFEC"/>
    <w:rsid w:val="3E5F5350"/>
    <w:rsid w:val="3E6910AD"/>
    <w:rsid w:val="3E8AB2EA"/>
    <w:rsid w:val="3E90C328"/>
    <w:rsid w:val="3E950C11"/>
    <w:rsid w:val="3E9AE5C2"/>
    <w:rsid w:val="3EA01BA6"/>
    <w:rsid w:val="3EA47247"/>
    <w:rsid w:val="3EABE5DE"/>
    <w:rsid w:val="3ECB2CDA"/>
    <w:rsid w:val="3ECE1F83"/>
    <w:rsid w:val="3EEECAEC"/>
    <w:rsid w:val="3F0361D9"/>
    <w:rsid w:val="3F1693C4"/>
    <w:rsid w:val="3F40D401"/>
    <w:rsid w:val="3F41CDFD"/>
    <w:rsid w:val="3F484F72"/>
    <w:rsid w:val="3F519DBE"/>
    <w:rsid w:val="3F5C08EC"/>
    <w:rsid w:val="3F691466"/>
    <w:rsid w:val="3FABC67B"/>
    <w:rsid w:val="3FB6D758"/>
    <w:rsid w:val="3FC62E58"/>
    <w:rsid w:val="3FC9AACF"/>
    <w:rsid w:val="3FD59F2D"/>
    <w:rsid w:val="3FE69E98"/>
    <w:rsid w:val="4008806F"/>
    <w:rsid w:val="40122F7B"/>
    <w:rsid w:val="4032FFC3"/>
    <w:rsid w:val="4038559A"/>
    <w:rsid w:val="405547B8"/>
    <w:rsid w:val="4055AB2B"/>
    <w:rsid w:val="405D05DB"/>
    <w:rsid w:val="4068D346"/>
    <w:rsid w:val="406EB5C6"/>
    <w:rsid w:val="40807E4F"/>
    <w:rsid w:val="4081EAA8"/>
    <w:rsid w:val="409E9905"/>
    <w:rsid w:val="40A71CA6"/>
    <w:rsid w:val="40CA34FB"/>
    <w:rsid w:val="40CD4BBB"/>
    <w:rsid w:val="40CEDD09"/>
    <w:rsid w:val="40EED7BE"/>
    <w:rsid w:val="411AE6BA"/>
    <w:rsid w:val="41280E32"/>
    <w:rsid w:val="4129693E"/>
    <w:rsid w:val="41358CF2"/>
    <w:rsid w:val="413ADA82"/>
    <w:rsid w:val="41503880"/>
    <w:rsid w:val="4177EC1B"/>
    <w:rsid w:val="417F6194"/>
    <w:rsid w:val="41A390FC"/>
    <w:rsid w:val="41BBAF8C"/>
    <w:rsid w:val="41D3E911"/>
    <w:rsid w:val="41DA48B6"/>
    <w:rsid w:val="41E3E3E9"/>
    <w:rsid w:val="41EAC9BD"/>
    <w:rsid w:val="41F9CD6F"/>
    <w:rsid w:val="420967B1"/>
    <w:rsid w:val="420CCD32"/>
    <w:rsid w:val="420D98F7"/>
    <w:rsid w:val="420FBA99"/>
    <w:rsid w:val="4220DCA5"/>
    <w:rsid w:val="4224A0DD"/>
    <w:rsid w:val="42489D5B"/>
    <w:rsid w:val="42509065"/>
    <w:rsid w:val="425E7880"/>
    <w:rsid w:val="426D0D76"/>
    <w:rsid w:val="4275829B"/>
    <w:rsid w:val="4277BA4A"/>
    <w:rsid w:val="427B44AC"/>
    <w:rsid w:val="428029AC"/>
    <w:rsid w:val="429C735F"/>
    <w:rsid w:val="42A83EDA"/>
    <w:rsid w:val="42D0AF13"/>
    <w:rsid w:val="431CEBC4"/>
    <w:rsid w:val="43208231"/>
    <w:rsid w:val="432D2B50"/>
    <w:rsid w:val="433BEE4D"/>
    <w:rsid w:val="43469FBA"/>
    <w:rsid w:val="4348F7EC"/>
    <w:rsid w:val="436AD5F5"/>
    <w:rsid w:val="4387E862"/>
    <w:rsid w:val="43995003"/>
    <w:rsid w:val="439D59F0"/>
    <w:rsid w:val="43AE6884"/>
    <w:rsid w:val="43BA8AD7"/>
    <w:rsid w:val="43C4D7A9"/>
    <w:rsid w:val="43D1D3D6"/>
    <w:rsid w:val="43E14D86"/>
    <w:rsid w:val="441E2AE8"/>
    <w:rsid w:val="4426AB96"/>
    <w:rsid w:val="442D17F6"/>
    <w:rsid w:val="44387F5F"/>
    <w:rsid w:val="44427196"/>
    <w:rsid w:val="444D5071"/>
    <w:rsid w:val="44701108"/>
    <w:rsid w:val="4475BADD"/>
    <w:rsid w:val="44773465"/>
    <w:rsid w:val="449F8338"/>
    <w:rsid w:val="44BD1196"/>
    <w:rsid w:val="44CE76E4"/>
    <w:rsid w:val="44E0ADD3"/>
    <w:rsid w:val="44E69E61"/>
    <w:rsid w:val="44FF4464"/>
    <w:rsid w:val="4508BC6F"/>
    <w:rsid w:val="4524F9B2"/>
    <w:rsid w:val="452A0D9B"/>
    <w:rsid w:val="453FFBCC"/>
    <w:rsid w:val="4543E272"/>
    <w:rsid w:val="4547D407"/>
    <w:rsid w:val="457A67ED"/>
    <w:rsid w:val="45CAB605"/>
    <w:rsid w:val="45F7FD37"/>
    <w:rsid w:val="45FDDFD9"/>
    <w:rsid w:val="4603201D"/>
    <w:rsid w:val="46070F5D"/>
    <w:rsid w:val="4634055A"/>
    <w:rsid w:val="46371FC3"/>
    <w:rsid w:val="46399FAB"/>
    <w:rsid w:val="4648A8FF"/>
    <w:rsid w:val="4662B016"/>
    <w:rsid w:val="467C6D9F"/>
    <w:rsid w:val="467C9C72"/>
    <w:rsid w:val="46832066"/>
    <w:rsid w:val="4693E00B"/>
    <w:rsid w:val="46A3CA8B"/>
    <w:rsid w:val="46B174A6"/>
    <w:rsid w:val="46BEC58F"/>
    <w:rsid w:val="46EF1511"/>
    <w:rsid w:val="46F56D69"/>
    <w:rsid w:val="47125A8C"/>
    <w:rsid w:val="47129BD7"/>
    <w:rsid w:val="47177FC7"/>
    <w:rsid w:val="471B1B6A"/>
    <w:rsid w:val="47442257"/>
    <w:rsid w:val="4744B16F"/>
    <w:rsid w:val="475B8733"/>
    <w:rsid w:val="4763BB40"/>
    <w:rsid w:val="477532DA"/>
    <w:rsid w:val="4793882C"/>
    <w:rsid w:val="47A0EA92"/>
    <w:rsid w:val="47A56FB8"/>
    <w:rsid w:val="47BD42DF"/>
    <w:rsid w:val="47CEEA16"/>
    <w:rsid w:val="47E82DB1"/>
    <w:rsid w:val="47EDCEB2"/>
    <w:rsid w:val="47EE4B57"/>
    <w:rsid w:val="47EFF3AB"/>
    <w:rsid w:val="480448A1"/>
    <w:rsid w:val="4819C569"/>
    <w:rsid w:val="4829E71B"/>
    <w:rsid w:val="48339806"/>
    <w:rsid w:val="486E907A"/>
    <w:rsid w:val="487422B7"/>
    <w:rsid w:val="4880545A"/>
    <w:rsid w:val="48842BE8"/>
    <w:rsid w:val="48869D4A"/>
    <w:rsid w:val="4893A9AF"/>
    <w:rsid w:val="48A1B188"/>
    <w:rsid w:val="48A544F9"/>
    <w:rsid w:val="48A65D20"/>
    <w:rsid w:val="48A92BE3"/>
    <w:rsid w:val="48C79F82"/>
    <w:rsid w:val="48C8C151"/>
    <w:rsid w:val="48C9851C"/>
    <w:rsid w:val="48D10142"/>
    <w:rsid w:val="48D72C0B"/>
    <w:rsid w:val="4901349E"/>
    <w:rsid w:val="49123109"/>
    <w:rsid w:val="49137A41"/>
    <w:rsid w:val="4917CB1D"/>
    <w:rsid w:val="4918AAAC"/>
    <w:rsid w:val="49264E90"/>
    <w:rsid w:val="49445915"/>
    <w:rsid w:val="494585D2"/>
    <w:rsid w:val="495431C0"/>
    <w:rsid w:val="496E9654"/>
    <w:rsid w:val="4985A981"/>
    <w:rsid w:val="498BC40C"/>
    <w:rsid w:val="498F78A7"/>
    <w:rsid w:val="49AA913F"/>
    <w:rsid w:val="49AC892A"/>
    <w:rsid w:val="49B096A2"/>
    <w:rsid w:val="49BA54E0"/>
    <w:rsid w:val="49BDFD79"/>
    <w:rsid w:val="49C228EF"/>
    <w:rsid w:val="49F3F21C"/>
    <w:rsid w:val="4A089187"/>
    <w:rsid w:val="4A0CE468"/>
    <w:rsid w:val="4A36155E"/>
    <w:rsid w:val="4A40B0B3"/>
    <w:rsid w:val="4A59DF1A"/>
    <w:rsid w:val="4A6ADACC"/>
    <w:rsid w:val="4A6F3540"/>
    <w:rsid w:val="4A6FD6FD"/>
    <w:rsid w:val="4A805241"/>
    <w:rsid w:val="4A9CF98B"/>
    <w:rsid w:val="4A9FAAF0"/>
    <w:rsid w:val="4AAE764F"/>
    <w:rsid w:val="4AB1F6D4"/>
    <w:rsid w:val="4AB63CFC"/>
    <w:rsid w:val="4AD72DF7"/>
    <w:rsid w:val="4AE01F3A"/>
    <w:rsid w:val="4AE9DFBD"/>
    <w:rsid w:val="4AFFAF59"/>
    <w:rsid w:val="4B0C4596"/>
    <w:rsid w:val="4B0F878F"/>
    <w:rsid w:val="4B16F4B5"/>
    <w:rsid w:val="4B33B3F5"/>
    <w:rsid w:val="4B34AF91"/>
    <w:rsid w:val="4B3D62CB"/>
    <w:rsid w:val="4B43E4C2"/>
    <w:rsid w:val="4B4E1557"/>
    <w:rsid w:val="4B6A966A"/>
    <w:rsid w:val="4B7F3626"/>
    <w:rsid w:val="4B83BF15"/>
    <w:rsid w:val="4B9BF3E6"/>
    <w:rsid w:val="4BAF9657"/>
    <w:rsid w:val="4BBFF579"/>
    <w:rsid w:val="4BD2FE94"/>
    <w:rsid w:val="4BD89C40"/>
    <w:rsid w:val="4BDCE5BB"/>
    <w:rsid w:val="4BE26FFC"/>
    <w:rsid w:val="4C0385B6"/>
    <w:rsid w:val="4C2A7B94"/>
    <w:rsid w:val="4C3FCCA2"/>
    <w:rsid w:val="4C5B1C28"/>
    <w:rsid w:val="4C6E6F7E"/>
    <w:rsid w:val="4C9A99C6"/>
    <w:rsid w:val="4C9E8C71"/>
    <w:rsid w:val="4CC3EAB0"/>
    <w:rsid w:val="4CCBF881"/>
    <w:rsid w:val="4CD39615"/>
    <w:rsid w:val="4CE0FE3B"/>
    <w:rsid w:val="4CFA766F"/>
    <w:rsid w:val="4CFF9CCF"/>
    <w:rsid w:val="4D04B937"/>
    <w:rsid w:val="4D2B9714"/>
    <w:rsid w:val="4D31E554"/>
    <w:rsid w:val="4D35DB9A"/>
    <w:rsid w:val="4D3961A7"/>
    <w:rsid w:val="4D3FE1F9"/>
    <w:rsid w:val="4D403249"/>
    <w:rsid w:val="4D40DCBB"/>
    <w:rsid w:val="4D48825B"/>
    <w:rsid w:val="4D494AA1"/>
    <w:rsid w:val="4D54E9BD"/>
    <w:rsid w:val="4D5D3057"/>
    <w:rsid w:val="4D697383"/>
    <w:rsid w:val="4D95A7FC"/>
    <w:rsid w:val="4D972806"/>
    <w:rsid w:val="4D9FA2AB"/>
    <w:rsid w:val="4DB0716B"/>
    <w:rsid w:val="4DBFB65F"/>
    <w:rsid w:val="4DD1CAA9"/>
    <w:rsid w:val="4DDB9F5E"/>
    <w:rsid w:val="4DDCA970"/>
    <w:rsid w:val="4DDD616E"/>
    <w:rsid w:val="4DEF52C1"/>
    <w:rsid w:val="4DFB30C3"/>
    <w:rsid w:val="4E10D8FD"/>
    <w:rsid w:val="4E3574C6"/>
    <w:rsid w:val="4E6E45F2"/>
    <w:rsid w:val="4E7E230A"/>
    <w:rsid w:val="4E943164"/>
    <w:rsid w:val="4EAC8C7D"/>
    <w:rsid w:val="4ECA5969"/>
    <w:rsid w:val="4ED36381"/>
    <w:rsid w:val="4ED73C01"/>
    <w:rsid w:val="4EDF375C"/>
    <w:rsid w:val="4EF28D7C"/>
    <w:rsid w:val="4F07BF4A"/>
    <w:rsid w:val="4F114484"/>
    <w:rsid w:val="4F12961D"/>
    <w:rsid w:val="4F156B3F"/>
    <w:rsid w:val="4F17C3D6"/>
    <w:rsid w:val="4F2CC03E"/>
    <w:rsid w:val="4F3B2EE4"/>
    <w:rsid w:val="4F42258C"/>
    <w:rsid w:val="4F74F01D"/>
    <w:rsid w:val="4F8CAC21"/>
    <w:rsid w:val="4FB1EEEE"/>
    <w:rsid w:val="50458FBF"/>
    <w:rsid w:val="50708635"/>
    <w:rsid w:val="509AF837"/>
    <w:rsid w:val="50BD4B34"/>
    <w:rsid w:val="50C7DCDD"/>
    <w:rsid w:val="50D194DF"/>
    <w:rsid w:val="50F5ADFB"/>
    <w:rsid w:val="51041AED"/>
    <w:rsid w:val="510F5629"/>
    <w:rsid w:val="51141068"/>
    <w:rsid w:val="513EABED"/>
    <w:rsid w:val="516D1FDC"/>
    <w:rsid w:val="517828D4"/>
    <w:rsid w:val="51791CC7"/>
    <w:rsid w:val="517DBCC1"/>
    <w:rsid w:val="5197F6B7"/>
    <w:rsid w:val="51B335A8"/>
    <w:rsid w:val="51BAB2E7"/>
    <w:rsid w:val="51C6349C"/>
    <w:rsid w:val="51C7D308"/>
    <w:rsid w:val="51CEC9C2"/>
    <w:rsid w:val="51D31636"/>
    <w:rsid w:val="51DCBA38"/>
    <w:rsid w:val="51DF7F60"/>
    <w:rsid w:val="51E3FFD5"/>
    <w:rsid w:val="52189AB2"/>
    <w:rsid w:val="521C5385"/>
    <w:rsid w:val="5246D40F"/>
    <w:rsid w:val="5267B408"/>
    <w:rsid w:val="526BBC5D"/>
    <w:rsid w:val="5271AD5E"/>
    <w:rsid w:val="5282C443"/>
    <w:rsid w:val="528B355D"/>
    <w:rsid w:val="52B3C166"/>
    <w:rsid w:val="52C3379E"/>
    <w:rsid w:val="52FEBD27"/>
    <w:rsid w:val="530522D5"/>
    <w:rsid w:val="531195FF"/>
    <w:rsid w:val="53180308"/>
    <w:rsid w:val="532BC513"/>
    <w:rsid w:val="533F7771"/>
    <w:rsid w:val="5357563C"/>
    <w:rsid w:val="539A7149"/>
    <w:rsid w:val="53A06ADF"/>
    <w:rsid w:val="53A0AA47"/>
    <w:rsid w:val="53A1C7C5"/>
    <w:rsid w:val="53A3D1D3"/>
    <w:rsid w:val="53A885FF"/>
    <w:rsid w:val="53BB9C2E"/>
    <w:rsid w:val="53C8BF4B"/>
    <w:rsid w:val="53D672E5"/>
    <w:rsid w:val="53DADB9D"/>
    <w:rsid w:val="53ED30A3"/>
    <w:rsid w:val="540935A1"/>
    <w:rsid w:val="542A53AE"/>
    <w:rsid w:val="542CC6CE"/>
    <w:rsid w:val="5458E0A2"/>
    <w:rsid w:val="5463471C"/>
    <w:rsid w:val="5464C700"/>
    <w:rsid w:val="5464E7E0"/>
    <w:rsid w:val="54A82409"/>
    <w:rsid w:val="54AD1186"/>
    <w:rsid w:val="54D95225"/>
    <w:rsid w:val="54DBBA93"/>
    <w:rsid w:val="54DD18FB"/>
    <w:rsid w:val="54EC7A37"/>
    <w:rsid w:val="54F7C530"/>
    <w:rsid w:val="54FAC6D4"/>
    <w:rsid w:val="553474B0"/>
    <w:rsid w:val="553DC963"/>
    <w:rsid w:val="554F2572"/>
    <w:rsid w:val="555B40DD"/>
    <w:rsid w:val="555DAEAB"/>
    <w:rsid w:val="556391B0"/>
    <w:rsid w:val="55697C47"/>
    <w:rsid w:val="55699949"/>
    <w:rsid w:val="556DD1E2"/>
    <w:rsid w:val="55713D37"/>
    <w:rsid w:val="5576A8E9"/>
    <w:rsid w:val="5578AAD3"/>
    <w:rsid w:val="557E37AE"/>
    <w:rsid w:val="55860889"/>
    <w:rsid w:val="55A1A9A5"/>
    <w:rsid w:val="55B95496"/>
    <w:rsid w:val="55D1032C"/>
    <w:rsid w:val="55EAB2CE"/>
    <w:rsid w:val="562E21BB"/>
    <w:rsid w:val="563267AF"/>
    <w:rsid w:val="56391DCF"/>
    <w:rsid w:val="5640709F"/>
    <w:rsid w:val="5654EB26"/>
    <w:rsid w:val="5656F05B"/>
    <w:rsid w:val="565A1789"/>
    <w:rsid w:val="5670A49D"/>
    <w:rsid w:val="567249A2"/>
    <w:rsid w:val="567C65F9"/>
    <w:rsid w:val="56B29147"/>
    <w:rsid w:val="56CBDC42"/>
    <w:rsid w:val="56D700FF"/>
    <w:rsid w:val="56DC51B0"/>
    <w:rsid w:val="56E69861"/>
    <w:rsid w:val="56E96E50"/>
    <w:rsid w:val="57016087"/>
    <w:rsid w:val="57068987"/>
    <w:rsid w:val="571E7F9D"/>
    <w:rsid w:val="571F90D9"/>
    <w:rsid w:val="572141A1"/>
    <w:rsid w:val="5726FB21"/>
    <w:rsid w:val="574BA18D"/>
    <w:rsid w:val="575A8BC7"/>
    <w:rsid w:val="57681AAD"/>
    <w:rsid w:val="577EE1F9"/>
    <w:rsid w:val="578A19C7"/>
    <w:rsid w:val="579638F2"/>
    <w:rsid w:val="57A2FBD7"/>
    <w:rsid w:val="57C47628"/>
    <w:rsid w:val="57E3FDFD"/>
    <w:rsid w:val="57F1DAAB"/>
    <w:rsid w:val="57F55551"/>
    <w:rsid w:val="57F8DC47"/>
    <w:rsid w:val="581D9980"/>
    <w:rsid w:val="583A47E4"/>
    <w:rsid w:val="58443662"/>
    <w:rsid w:val="58486127"/>
    <w:rsid w:val="58841CD3"/>
    <w:rsid w:val="58A1DBBF"/>
    <w:rsid w:val="58CF7C0B"/>
    <w:rsid w:val="5914F112"/>
    <w:rsid w:val="5924AEA7"/>
    <w:rsid w:val="592A5A9F"/>
    <w:rsid w:val="592B19EF"/>
    <w:rsid w:val="592C3954"/>
    <w:rsid w:val="593E9747"/>
    <w:rsid w:val="5955E0F9"/>
    <w:rsid w:val="596D2392"/>
    <w:rsid w:val="598071E1"/>
    <w:rsid w:val="59AC825E"/>
    <w:rsid w:val="59B2B2DF"/>
    <w:rsid w:val="59CE10D6"/>
    <w:rsid w:val="59CE5D0D"/>
    <w:rsid w:val="59D0FCF6"/>
    <w:rsid w:val="59D55AA4"/>
    <w:rsid w:val="59D5C599"/>
    <w:rsid w:val="59D5E5D7"/>
    <w:rsid w:val="5A292A74"/>
    <w:rsid w:val="5A30E9B6"/>
    <w:rsid w:val="5A361E77"/>
    <w:rsid w:val="5A3CA3C1"/>
    <w:rsid w:val="5A5078FF"/>
    <w:rsid w:val="5A5DA5E5"/>
    <w:rsid w:val="5A5E9947"/>
    <w:rsid w:val="5A64E2A4"/>
    <w:rsid w:val="5A99194B"/>
    <w:rsid w:val="5AA216F9"/>
    <w:rsid w:val="5AA93013"/>
    <w:rsid w:val="5AB9F5A9"/>
    <w:rsid w:val="5AC3C51E"/>
    <w:rsid w:val="5AC50356"/>
    <w:rsid w:val="5ACB0404"/>
    <w:rsid w:val="5AE1DBD1"/>
    <w:rsid w:val="5AEBC447"/>
    <w:rsid w:val="5AF474FE"/>
    <w:rsid w:val="5AFA6EA4"/>
    <w:rsid w:val="5B1BA9CC"/>
    <w:rsid w:val="5B4D6B17"/>
    <w:rsid w:val="5B6171FF"/>
    <w:rsid w:val="5B6472F0"/>
    <w:rsid w:val="5B76E40D"/>
    <w:rsid w:val="5B7C8368"/>
    <w:rsid w:val="5B94D96E"/>
    <w:rsid w:val="5BA5F9B5"/>
    <w:rsid w:val="5BADA788"/>
    <w:rsid w:val="5BB4DF0E"/>
    <w:rsid w:val="5BBD078E"/>
    <w:rsid w:val="5BBF66FC"/>
    <w:rsid w:val="5BBFA51E"/>
    <w:rsid w:val="5BD4EE9B"/>
    <w:rsid w:val="5BDE9A14"/>
    <w:rsid w:val="5BE86488"/>
    <w:rsid w:val="5BF9E8DE"/>
    <w:rsid w:val="5BFE2B09"/>
    <w:rsid w:val="5C200A12"/>
    <w:rsid w:val="5C2112AA"/>
    <w:rsid w:val="5C250BBD"/>
    <w:rsid w:val="5C3A0EDD"/>
    <w:rsid w:val="5C4EEDB6"/>
    <w:rsid w:val="5C52AFCD"/>
    <w:rsid w:val="5CB4C437"/>
    <w:rsid w:val="5CBC799E"/>
    <w:rsid w:val="5CC06F68"/>
    <w:rsid w:val="5CC0A004"/>
    <w:rsid w:val="5CC96940"/>
    <w:rsid w:val="5CD30C00"/>
    <w:rsid w:val="5CDFE287"/>
    <w:rsid w:val="5CEAF301"/>
    <w:rsid w:val="5D06AE9C"/>
    <w:rsid w:val="5D0C08BB"/>
    <w:rsid w:val="5D36C48F"/>
    <w:rsid w:val="5D59F691"/>
    <w:rsid w:val="5D5C8AA4"/>
    <w:rsid w:val="5D5EBD9D"/>
    <w:rsid w:val="5D73918A"/>
    <w:rsid w:val="5D73C9B1"/>
    <w:rsid w:val="5D7CA96B"/>
    <w:rsid w:val="5D7EE2AC"/>
    <w:rsid w:val="5D854363"/>
    <w:rsid w:val="5D90CB03"/>
    <w:rsid w:val="5DD279EA"/>
    <w:rsid w:val="5DD38EF3"/>
    <w:rsid w:val="5E06747F"/>
    <w:rsid w:val="5E108B3F"/>
    <w:rsid w:val="5E1D2690"/>
    <w:rsid w:val="5E307F4F"/>
    <w:rsid w:val="5E35D14C"/>
    <w:rsid w:val="5E40DA42"/>
    <w:rsid w:val="5E45419B"/>
    <w:rsid w:val="5E49AE9C"/>
    <w:rsid w:val="5E4C5C4A"/>
    <w:rsid w:val="5E51EAC6"/>
    <w:rsid w:val="5E6416DD"/>
    <w:rsid w:val="5E6C0F42"/>
    <w:rsid w:val="5EA4FC35"/>
    <w:rsid w:val="5EA59B3B"/>
    <w:rsid w:val="5EBF0226"/>
    <w:rsid w:val="5ED88A10"/>
    <w:rsid w:val="5EDB19EE"/>
    <w:rsid w:val="5EE39359"/>
    <w:rsid w:val="5EF75332"/>
    <w:rsid w:val="5F0246C7"/>
    <w:rsid w:val="5F40D8D3"/>
    <w:rsid w:val="5F53AD95"/>
    <w:rsid w:val="5F73473D"/>
    <w:rsid w:val="5F7F36C3"/>
    <w:rsid w:val="5F8332AC"/>
    <w:rsid w:val="5F840443"/>
    <w:rsid w:val="5FA61A53"/>
    <w:rsid w:val="5FB0FF41"/>
    <w:rsid w:val="5FB2B5B8"/>
    <w:rsid w:val="5FBA64D9"/>
    <w:rsid w:val="5FC6CE74"/>
    <w:rsid w:val="5FCCA63F"/>
    <w:rsid w:val="5FE87EAB"/>
    <w:rsid w:val="5FFF883B"/>
    <w:rsid w:val="5FFFCD60"/>
    <w:rsid w:val="600B4ED2"/>
    <w:rsid w:val="6011E089"/>
    <w:rsid w:val="601A3148"/>
    <w:rsid w:val="6045BC3F"/>
    <w:rsid w:val="604B74D1"/>
    <w:rsid w:val="60993F3A"/>
    <w:rsid w:val="60A0626F"/>
    <w:rsid w:val="60A3E7D1"/>
    <w:rsid w:val="60AEFECA"/>
    <w:rsid w:val="60BB4DB1"/>
    <w:rsid w:val="60D07519"/>
    <w:rsid w:val="60D5A018"/>
    <w:rsid w:val="60EC49D2"/>
    <w:rsid w:val="61038DC1"/>
    <w:rsid w:val="611081B2"/>
    <w:rsid w:val="61151038"/>
    <w:rsid w:val="611FD58F"/>
    <w:rsid w:val="613089C2"/>
    <w:rsid w:val="615C563A"/>
    <w:rsid w:val="61717914"/>
    <w:rsid w:val="617585B3"/>
    <w:rsid w:val="61A1CE30"/>
    <w:rsid w:val="61CBD26B"/>
    <w:rsid w:val="61E71265"/>
    <w:rsid w:val="62157CF0"/>
    <w:rsid w:val="622CEEFB"/>
    <w:rsid w:val="62306957"/>
    <w:rsid w:val="62423250"/>
    <w:rsid w:val="62460BA6"/>
    <w:rsid w:val="62473AD4"/>
    <w:rsid w:val="625C000B"/>
    <w:rsid w:val="625D715C"/>
    <w:rsid w:val="62693CF3"/>
    <w:rsid w:val="626C457A"/>
    <w:rsid w:val="627B432A"/>
    <w:rsid w:val="6283D952"/>
    <w:rsid w:val="62A1CB73"/>
    <w:rsid w:val="62DF04EA"/>
    <w:rsid w:val="62E5466C"/>
    <w:rsid w:val="62F72B93"/>
    <w:rsid w:val="6318FB1E"/>
    <w:rsid w:val="6338AAC4"/>
    <w:rsid w:val="633F7E99"/>
    <w:rsid w:val="638EFA93"/>
    <w:rsid w:val="63977179"/>
    <w:rsid w:val="63BA2BAA"/>
    <w:rsid w:val="63C2E485"/>
    <w:rsid w:val="63C8017C"/>
    <w:rsid w:val="63D29012"/>
    <w:rsid w:val="63D87A45"/>
    <w:rsid w:val="63F0E69B"/>
    <w:rsid w:val="63F96F31"/>
    <w:rsid w:val="6404A2B6"/>
    <w:rsid w:val="640DEE45"/>
    <w:rsid w:val="640EFC78"/>
    <w:rsid w:val="641F739A"/>
    <w:rsid w:val="6442EB1B"/>
    <w:rsid w:val="648052B0"/>
    <w:rsid w:val="649C1388"/>
    <w:rsid w:val="649CA5F2"/>
    <w:rsid w:val="64B17C81"/>
    <w:rsid w:val="64B28E7B"/>
    <w:rsid w:val="64D37D5B"/>
    <w:rsid w:val="64EC7548"/>
    <w:rsid w:val="64F2593B"/>
    <w:rsid w:val="64FE723C"/>
    <w:rsid w:val="651BB06F"/>
    <w:rsid w:val="652D5F3F"/>
    <w:rsid w:val="6537E618"/>
    <w:rsid w:val="6540ADEC"/>
    <w:rsid w:val="6542D384"/>
    <w:rsid w:val="65478B20"/>
    <w:rsid w:val="65549F36"/>
    <w:rsid w:val="655C87D0"/>
    <w:rsid w:val="655CE07A"/>
    <w:rsid w:val="656F6182"/>
    <w:rsid w:val="65736559"/>
    <w:rsid w:val="6581D535"/>
    <w:rsid w:val="65A6D405"/>
    <w:rsid w:val="65BF230F"/>
    <w:rsid w:val="65CE1282"/>
    <w:rsid w:val="65E9A774"/>
    <w:rsid w:val="65F16E80"/>
    <w:rsid w:val="6602E929"/>
    <w:rsid w:val="6612183A"/>
    <w:rsid w:val="661F9933"/>
    <w:rsid w:val="663F14A0"/>
    <w:rsid w:val="66401055"/>
    <w:rsid w:val="664BAF8F"/>
    <w:rsid w:val="665FDA41"/>
    <w:rsid w:val="666A7438"/>
    <w:rsid w:val="667B2A5C"/>
    <w:rsid w:val="667D84B3"/>
    <w:rsid w:val="6696DF82"/>
    <w:rsid w:val="669A8708"/>
    <w:rsid w:val="66B82957"/>
    <w:rsid w:val="66ECD454"/>
    <w:rsid w:val="6703C6B9"/>
    <w:rsid w:val="67080DDA"/>
    <w:rsid w:val="670F2D46"/>
    <w:rsid w:val="67501FCC"/>
    <w:rsid w:val="675A74AC"/>
    <w:rsid w:val="675D8BCB"/>
    <w:rsid w:val="675F9A03"/>
    <w:rsid w:val="677040EF"/>
    <w:rsid w:val="6775BB2C"/>
    <w:rsid w:val="6778C10D"/>
    <w:rsid w:val="677B2006"/>
    <w:rsid w:val="678BAE48"/>
    <w:rsid w:val="6792F945"/>
    <w:rsid w:val="67B30436"/>
    <w:rsid w:val="67B3EA2D"/>
    <w:rsid w:val="67DB1223"/>
    <w:rsid w:val="67F00E7E"/>
    <w:rsid w:val="6800DFF5"/>
    <w:rsid w:val="68114170"/>
    <w:rsid w:val="681148A7"/>
    <w:rsid w:val="681EDA22"/>
    <w:rsid w:val="684DB249"/>
    <w:rsid w:val="684E90CA"/>
    <w:rsid w:val="6873AB22"/>
    <w:rsid w:val="6874AC26"/>
    <w:rsid w:val="6881BEC3"/>
    <w:rsid w:val="6886BDF7"/>
    <w:rsid w:val="6898F4AD"/>
    <w:rsid w:val="68A6182F"/>
    <w:rsid w:val="68B8F13A"/>
    <w:rsid w:val="68C7B25C"/>
    <w:rsid w:val="68E797D1"/>
    <w:rsid w:val="68FE8901"/>
    <w:rsid w:val="6904CF92"/>
    <w:rsid w:val="69146937"/>
    <w:rsid w:val="6933D43C"/>
    <w:rsid w:val="693E040F"/>
    <w:rsid w:val="694E50D3"/>
    <w:rsid w:val="6965CA59"/>
    <w:rsid w:val="69694292"/>
    <w:rsid w:val="697AB65A"/>
    <w:rsid w:val="69836D2E"/>
    <w:rsid w:val="698EEC29"/>
    <w:rsid w:val="6990D9FB"/>
    <w:rsid w:val="69AC2723"/>
    <w:rsid w:val="69AF647C"/>
    <w:rsid w:val="69AF7EC4"/>
    <w:rsid w:val="69CB8B4B"/>
    <w:rsid w:val="69D5E04E"/>
    <w:rsid w:val="69E2AF61"/>
    <w:rsid w:val="69F3DF0D"/>
    <w:rsid w:val="6A1ECF51"/>
    <w:rsid w:val="6A41E3E5"/>
    <w:rsid w:val="6A4A59DD"/>
    <w:rsid w:val="6A6508E4"/>
    <w:rsid w:val="6A953CB6"/>
    <w:rsid w:val="6A9F808C"/>
    <w:rsid w:val="6AABA755"/>
    <w:rsid w:val="6AB916B5"/>
    <w:rsid w:val="6AEFF88B"/>
    <w:rsid w:val="6AFB37C8"/>
    <w:rsid w:val="6B085F76"/>
    <w:rsid w:val="6B08A7A2"/>
    <w:rsid w:val="6B1DA52D"/>
    <w:rsid w:val="6B2007D8"/>
    <w:rsid w:val="6B35D3CA"/>
    <w:rsid w:val="6B4D2052"/>
    <w:rsid w:val="6B693585"/>
    <w:rsid w:val="6B6B1A52"/>
    <w:rsid w:val="6B7D4120"/>
    <w:rsid w:val="6B99D14B"/>
    <w:rsid w:val="6BBA4073"/>
    <w:rsid w:val="6BD1677A"/>
    <w:rsid w:val="6BE4BF63"/>
    <w:rsid w:val="6BF00028"/>
    <w:rsid w:val="6BF00386"/>
    <w:rsid w:val="6C34DF6C"/>
    <w:rsid w:val="6C42A5C2"/>
    <w:rsid w:val="6C4890BE"/>
    <w:rsid w:val="6C4C6A70"/>
    <w:rsid w:val="6C638B2E"/>
    <w:rsid w:val="6C72B8E7"/>
    <w:rsid w:val="6CD29A6F"/>
    <w:rsid w:val="6CDDA83D"/>
    <w:rsid w:val="6CDEB3C6"/>
    <w:rsid w:val="6CE3F27E"/>
    <w:rsid w:val="6D014712"/>
    <w:rsid w:val="6D2AFF8B"/>
    <w:rsid w:val="6D2C9878"/>
    <w:rsid w:val="6D5465A5"/>
    <w:rsid w:val="6D863718"/>
    <w:rsid w:val="6DB103B3"/>
    <w:rsid w:val="6DB971F3"/>
    <w:rsid w:val="6DBE137C"/>
    <w:rsid w:val="6DDDFD82"/>
    <w:rsid w:val="6E3C5194"/>
    <w:rsid w:val="6E4662CD"/>
    <w:rsid w:val="6E841CD3"/>
    <w:rsid w:val="6E85F184"/>
    <w:rsid w:val="6EAC08EB"/>
    <w:rsid w:val="6EC3688B"/>
    <w:rsid w:val="6ED3CC4C"/>
    <w:rsid w:val="6EE83767"/>
    <w:rsid w:val="6EE88C3A"/>
    <w:rsid w:val="6EFCDBD1"/>
    <w:rsid w:val="6F035FAC"/>
    <w:rsid w:val="6F05D193"/>
    <w:rsid w:val="6F1658A8"/>
    <w:rsid w:val="6F2F2E93"/>
    <w:rsid w:val="6F325D59"/>
    <w:rsid w:val="6F471394"/>
    <w:rsid w:val="6F7274C2"/>
    <w:rsid w:val="6F808739"/>
    <w:rsid w:val="6FA6BCBF"/>
    <w:rsid w:val="6FA8052E"/>
    <w:rsid w:val="6FB0E731"/>
    <w:rsid w:val="6FBB79BB"/>
    <w:rsid w:val="6FBFAEB1"/>
    <w:rsid w:val="6FD279BF"/>
    <w:rsid w:val="6FD322C9"/>
    <w:rsid w:val="6FD5B27F"/>
    <w:rsid w:val="6FE1743B"/>
    <w:rsid w:val="6FEB4949"/>
    <w:rsid w:val="6FED21B4"/>
    <w:rsid w:val="6FF23F73"/>
    <w:rsid w:val="6FF3C2DF"/>
    <w:rsid w:val="7002DF10"/>
    <w:rsid w:val="7011224C"/>
    <w:rsid w:val="70141DA9"/>
    <w:rsid w:val="70203914"/>
    <w:rsid w:val="702A1ED8"/>
    <w:rsid w:val="7031930E"/>
    <w:rsid w:val="70449158"/>
    <w:rsid w:val="70480E98"/>
    <w:rsid w:val="7079FABF"/>
    <w:rsid w:val="707D613F"/>
    <w:rsid w:val="7085C6AF"/>
    <w:rsid w:val="70901826"/>
    <w:rsid w:val="70B7428E"/>
    <w:rsid w:val="70E1200D"/>
    <w:rsid w:val="70E7D3E9"/>
    <w:rsid w:val="70F37E97"/>
    <w:rsid w:val="7105A017"/>
    <w:rsid w:val="71140584"/>
    <w:rsid w:val="711E3FD7"/>
    <w:rsid w:val="71241DD6"/>
    <w:rsid w:val="716FEBAF"/>
    <w:rsid w:val="7191F55B"/>
    <w:rsid w:val="71944908"/>
    <w:rsid w:val="7199A02E"/>
    <w:rsid w:val="71AC274B"/>
    <w:rsid w:val="71CB7A4A"/>
    <w:rsid w:val="71F312CF"/>
    <w:rsid w:val="72008F51"/>
    <w:rsid w:val="7212D7A8"/>
    <w:rsid w:val="72202CFC"/>
    <w:rsid w:val="7238F757"/>
    <w:rsid w:val="725D08E6"/>
    <w:rsid w:val="72673A85"/>
    <w:rsid w:val="7267CB47"/>
    <w:rsid w:val="7269FE84"/>
    <w:rsid w:val="726D8078"/>
    <w:rsid w:val="7296D58F"/>
    <w:rsid w:val="72AECBB4"/>
    <w:rsid w:val="72BBAA6A"/>
    <w:rsid w:val="72C35243"/>
    <w:rsid w:val="72D6725A"/>
    <w:rsid w:val="72DCEA21"/>
    <w:rsid w:val="72DEC228"/>
    <w:rsid w:val="730BBC10"/>
    <w:rsid w:val="7315729D"/>
    <w:rsid w:val="73197F95"/>
    <w:rsid w:val="732DE93A"/>
    <w:rsid w:val="73391E39"/>
    <w:rsid w:val="7356F1B3"/>
    <w:rsid w:val="7358594B"/>
    <w:rsid w:val="735AF6EF"/>
    <w:rsid w:val="739F4247"/>
    <w:rsid w:val="739FE96A"/>
    <w:rsid w:val="73A95616"/>
    <w:rsid w:val="73CDFF61"/>
    <w:rsid w:val="73E8B8A3"/>
    <w:rsid w:val="73EBC00A"/>
    <w:rsid w:val="73F7E72F"/>
    <w:rsid w:val="74189A25"/>
    <w:rsid w:val="741DD789"/>
    <w:rsid w:val="74258479"/>
    <w:rsid w:val="74417602"/>
    <w:rsid w:val="7444DE33"/>
    <w:rsid w:val="744EA4B2"/>
    <w:rsid w:val="7460E1C7"/>
    <w:rsid w:val="746C8898"/>
    <w:rsid w:val="747CC830"/>
    <w:rsid w:val="74995524"/>
    <w:rsid w:val="74A9173D"/>
    <w:rsid w:val="74BF9FB2"/>
    <w:rsid w:val="74C44AB8"/>
    <w:rsid w:val="74C4B637"/>
    <w:rsid w:val="74D979A5"/>
    <w:rsid w:val="74E5968E"/>
    <w:rsid w:val="74E97192"/>
    <w:rsid w:val="74F26499"/>
    <w:rsid w:val="74FD447F"/>
    <w:rsid w:val="7506AA0F"/>
    <w:rsid w:val="752E452B"/>
    <w:rsid w:val="753B452C"/>
    <w:rsid w:val="7543D1D4"/>
    <w:rsid w:val="754911B4"/>
    <w:rsid w:val="75565C0F"/>
    <w:rsid w:val="75655B47"/>
    <w:rsid w:val="756F91C7"/>
    <w:rsid w:val="757DBA11"/>
    <w:rsid w:val="758EE075"/>
    <w:rsid w:val="7597CD10"/>
    <w:rsid w:val="759AC67D"/>
    <w:rsid w:val="75D8B596"/>
    <w:rsid w:val="75E20631"/>
    <w:rsid w:val="75E4FA9D"/>
    <w:rsid w:val="75F51819"/>
    <w:rsid w:val="75FE1E55"/>
    <w:rsid w:val="7606EAF5"/>
    <w:rsid w:val="760DF1D7"/>
    <w:rsid w:val="761A9720"/>
    <w:rsid w:val="761ED0F7"/>
    <w:rsid w:val="7628680A"/>
    <w:rsid w:val="7632C60C"/>
    <w:rsid w:val="769352D1"/>
    <w:rsid w:val="76990B57"/>
    <w:rsid w:val="769AE4D3"/>
    <w:rsid w:val="76ABFFD2"/>
    <w:rsid w:val="76BCC128"/>
    <w:rsid w:val="76E1980B"/>
    <w:rsid w:val="76E88C8E"/>
    <w:rsid w:val="76F97DB2"/>
    <w:rsid w:val="76FD09F7"/>
    <w:rsid w:val="7700A419"/>
    <w:rsid w:val="77028CB4"/>
    <w:rsid w:val="770465C0"/>
    <w:rsid w:val="7716EBAB"/>
    <w:rsid w:val="7728E878"/>
    <w:rsid w:val="772A071B"/>
    <w:rsid w:val="77366672"/>
    <w:rsid w:val="7752D83C"/>
    <w:rsid w:val="775A54C8"/>
    <w:rsid w:val="775A952C"/>
    <w:rsid w:val="7760593F"/>
    <w:rsid w:val="7764B851"/>
    <w:rsid w:val="777618D7"/>
    <w:rsid w:val="77883AD5"/>
    <w:rsid w:val="779F389A"/>
    <w:rsid w:val="77AAE959"/>
    <w:rsid w:val="77E3E29C"/>
    <w:rsid w:val="77EF2330"/>
    <w:rsid w:val="77FECCE9"/>
    <w:rsid w:val="7815A814"/>
    <w:rsid w:val="7832E2C1"/>
    <w:rsid w:val="785815AA"/>
    <w:rsid w:val="785CF4C7"/>
    <w:rsid w:val="788C2BA8"/>
    <w:rsid w:val="788E6178"/>
    <w:rsid w:val="78A9C23F"/>
    <w:rsid w:val="78AE63AF"/>
    <w:rsid w:val="78B4F439"/>
    <w:rsid w:val="78B5CBBA"/>
    <w:rsid w:val="78B7D864"/>
    <w:rsid w:val="78BD42B6"/>
    <w:rsid w:val="78DD54D9"/>
    <w:rsid w:val="78E3DA2D"/>
    <w:rsid w:val="78F67120"/>
    <w:rsid w:val="7923B0AB"/>
    <w:rsid w:val="792CE542"/>
    <w:rsid w:val="7935BF17"/>
    <w:rsid w:val="79381F23"/>
    <w:rsid w:val="795B1B36"/>
    <w:rsid w:val="7964F78B"/>
    <w:rsid w:val="798039A0"/>
    <w:rsid w:val="79910CF5"/>
    <w:rsid w:val="7995147E"/>
    <w:rsid w:val="799A9D4A"/>
    <w:rsid w:val="79A1AF17"/>
    <w:rsid w:val="79A73AB8"/>
    <w:rsid w:val="79B73791"/>
    <w:rsid w:val="79D41046"/>
    <w:rsid w:val="79D4978B"/>
    <w:rsid w:val="79D4FC4A"/>
    <w:rsid w:val="79DA410B"/>
    <w:rsid w:val="79DE96C7"/>
    <w:rsid w:val="79F12502"/>
    <w:rsid w:val="79FCBF50"/>
    <w:rsid w:val="79FF8B13"/>
    <w:rsid w:val="7A06FFFA"/>
    <w:rsid w:val="7A279257"/>
    <w:rsid w:val="7A2A208A"/>
    <w:rsid w:val="7A2A7342"/>
    <w:rsid w:val="7A3023F6"/>
    <w:rsid w:val="7A3436A1"/>
    <w:rsid w:val="7A3D8AB7"/>
    <w:rsid w:val="7A51C6C4"/>
    <w:rsid w:val="7A5FF1C2"/>
    <w:rsid w:val="7A62B029"/>
    <w:rsid w:val="7A972E1C"/>
    <w:rsid w:val="7A98AAA8"/>
    <w:rsid w:val="7A9C80DC"/>
    <w:rsid w:val="7AD02F1F"/>
    <w:rsid w:val="7AF2263A"/>
    <w:rsid w:val="7AFCA0EE"/>
    <w:rsid w:val="7B056329"/>
    <w:rsid w:val="7B25953F"/>
    <w:rsid w:val="7B2AC439"/>
    <w:rsid w:val="7B322C1F"/>
    <w:rsid w:val="7B4C7ED2"/>
    <w:rsid w:val="7B73AF8E"/>
    <w:rsid w:val="7B8B931F"/>
    <w:rsid w:val="7B91E17B"/>
    <w:rsid w:val="7B924205"/>
    <w:rsid w:val="7BA042C3"/>
    <w:rsid w:val="7BB16EFB"/>
    <w:rsid w:val="7BB5D46B"/>
    <w:rsid w:val="7BE98617"/>
    <w:rsid w:val="7BEAC1C7"/>
    <w:rsid w:val="7BF6BD12"/>
    <w:rsid w:val="7BFBB3F7"/>
    <w:rsid w:val="7C0A7738"/>
    <w:rsid w:val="7C100F36"/>
    <w:rsid w:val="7C108E0E"/>
    <w:rsid w:val="7C148303"/>
    <w:rsid w:val="7C1B7A78"/>
    <w:rsid w:val="7C2C82B3"/>
    <w:rsid w:val="7C4B3E6A"/>
    <w:rsid w:val="7C575E41"/>
    <w:rsid w:val="7C6CE236"/>
    <w:rsid w:val="7C852128"/>
    <w:rsid w:val="7C878386"/>
    <w:rsid w:val="7C9B5D7F"/>
    <w:rsid w:val="7CA48E47"/>
    <w:rsid w:val="7CB8301C"/>
    <w:rsid w:val="7CCAC09E"/>
    <w:rsid w:val="7CD91697"/>
    <w:rsid w:val="7CE4F77F"/>
    <w:rsid w:val="7D01EC14"/>
    <w:rsid w:val="7D2FD752"/>
    <w:rsid w:val="7D30054C"/>
    <w:rsid w:val="7D33CE26"/>
    <w:rsid w:val="7D4DB706"/>
    <w:rsid w:val="7D5728C8"/>
    <w:rsid w:val="7D5DFBE0"/>
    <w:rsid w:val="7D6F8B98"/>
    <w:rsid w:val="7D794023"/>
    <w:rsid w:val="7D87EB44"/>
    <w:rsid w:val="7D9415E7"/>
    <w:rsid w:val="7DC424FE"/>
    <w:rsid w:val="7DC499DC"/>
    <w:rsid w:val="7DD2139F"/>
    <w:rsid w:val="7E02BECA"/>
    <w:rsid w:val="7E08B297"/>
    <w:rsid w:val="7E1F41B5"/>
    <w:rsid w:val="7E1F8947"/>
    <w:rsid w:val="7E24C907"/>
    <w:rsid w:val="7E2ABD6D"/>
    <w:rsid w:val="7E452BC6"/>
    <w:rsid w:val="7E5459F1"/>
    <w:rsid w:val="7E62F48C"/>
    <w:rsid w:val="7E765237"/>
    <w:rsid w:val="7E7A87AD"/>
    <w:rsid w:val="7E7C8EE9"/>
    <w:rsid w:val="7E80AAA2"/>
    <w:rsid w:val="7E8C001E"/>
    <w:rsid w:val="7E9B23F5"/>
    <w:rsid w:val="7EA2696C"/>
    <w:rsid w:val="7EB4A372"/>
    <w:rsid w:val="7EBE791C"/>
    <w:rsid w:val="7EDD585D"/>
    <w:rsid w:val="7EF34266"/>
    <w:rsid w:val="7F116B3A"/>
    <w:rsid w:val="7F30A5CC"/>
    <w:rsid w:val="7F548B4C"/>
    <w:rsid w:val="7F56DAFE"/>
    <w:rsid w:val="7F589089"/>
    <w:rsid w:val="7F5F6562"/>
    <w:rsid w:val="7F6C55D8"/>
    <w:rsid w:val="7F6FA300"/>
    <w:rsid w:val="7F731866"/>
    <w:rsid w:val="7F8415EE"/>
    <w:rsid w:val="7F9B94CB"/>
    <w:rsid w:val="7FA80D7C"/>
    <w:rsid w:val="7FABFE98"/>
    <w:rsid w:val="7FE2879B"/>
    <w:rsid w:val="7FE79B88"/>
    <w:rsid w:val="7FEAD8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6065" style="mso-width-relative:margin;mso-height-relative:margin" fill="f" fillcolor="window" strokecolor="#4f81bd">
      <v:fill color="window" on="f"/>
      <v:stroke color="#4f81bd" weight="2pt"/>
    </o:shapedefaults>
    <o:shapelayout v:ext="edit">
      <o:idmap v:ext="edit" data="1"/>
    </o:shapelayout>
  </w:shapeDefaults>
  <w:decimalSymbol w:val="."/>
  <w:listSeparator w:val=","/>
  <w14:docId w14:val="0B7008BF"/>
  <w15:docId w15:val="{4A945C46-8AD7-4386-AE82-C902C078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EC"/>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7"/>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BF4FFC"/>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2617D5"/>
    <w:pPr>
      <w:outlineLvl w:val="8"/>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10"/>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6"/>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F2FEA"/>
    <w:pPr>
      <w:tabs>
        <w:tab w:val="left" w:pos="2430"/>
        <w:tab w:val="right" w:leader="dot" w:pos="9360"/>
      </w:tabs>
      <w:spacing w:after="180" w:line="240" w:lineRule="exact"/>
      <w:ind w:left="1710" w:right="720" w:hanging="1710"/>
    </w:pPr>
    <w:rPr>
      <w:rFonts w:ascii="Arial" w:eastAsia="Times New Roman" w:hAnsi="Arial" w:cs="Times New Roman"/>
      <w:caps/>
      <w:sz w:val="20"/>
      <w:szCs w:val="20"/>
    </w:rPr>
  </w:style>
  <w:style w:type="paragraph" w:styleId="TOC2">
    <w:name w:val="toc 2"/>
    <w:next w:val="Normal"/>
    <w:autoRedefine/>
    <w:uiPriority w:val="39"/>
    <w:qFormat/>
    <w:rsid w:val="002F7CA6"/>
    <w:pPr>
      <w:tabs>
        <w:tab w:val="left" w:pos="1080"/>
        <w:tab w:val="right" w:leader="dot" w:pos="9360"/>
      </w:tabs>
      <w:spacing w:after="180" w:line="240" w:lineRule="exact"/>
      <w:ind w:left="864" w:right="720" w:hanging="864"/>
    </w:pPr>
    <w:rPr>
      <w:rFonts w:ascii="Arial" w:eastAsia="Times New Roman" w:hAnsi="Arial" w:cs="Times New Roman"/>
      <w:noProof/>
      <w:sz w:val="20"/>
      <w:szCs w:val="20"/>
    </w:rPr>
  </w:style>
  <w:style w:type="paragraph" w:styleId="TOC3">
    <w:name w:val="toc 3"/>
    <w:basedOn w:val="TOC2"/>
    <w:next w:val="Normal"/>
    <w:autoRedefine/>
    <w:uiPriority w:val="39"/>
    <w:qFormat/>
    <w:rsid w:val="00597529"/>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unhideWhenUsed/>
    <w:qFormat/>
    <w:rsid w:val="00F35131"/>
    <w:rPr>
      <w:sz w:val="16"/>
      <w:szCs w:val="16"/>
    </w:rPr>
  </w:style>
  <w:style w:type="paragraph" w:styleId="CommentText">
    <w:name w:val="annotation text"/>
    <w:basedOn w:val="Normal"/>
    <w:link w:val="CommentTextChar"/>
    <w:uiPriority w:val="99"/>
    <w:unhideWhenUsed/>
    <w:qFormat/>
    <w:rsid w:val="00F35131"/>
    <w:pPr>
      <w:spacing w:line="240" w:lineRule="auto"/>
    </w:pPr>
    <w:rPr>
      <w:sz w:val="20"/>
    </w:rPr>
  </w:style>
  <w:style w:type="character" w:customStyle="1" w:styleId="CommentTextChar">
    <w:name w:val="Comment Text Char"/>
    <w:basedOn w:val="DefaultParagraphFont"/>
    <w:link w:val="CommentText"/>
    <w:uiPriority w:val="99"/>
    <w:qFormat/>
    <w:rsid w:val="00F351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5131"/>
    <w:rPr>
      <w:b/>
      <w:bCs/>
    </w:rPr>
  </w:style>
  <w:style w:type="character" w:customStyle="1" w:styleId="CommentSubjectChar">
    <w:name w:val="Comment Subject Char"/>
    <w:basedOn w:val="CommentTextChar"/>
    <w:link w:val="CommentSubject"/>
    <w:uiPriority w:val="99"/>
    <w:semiHidden/>
    <w:rsid w:val="00F35131"/>
    <w:rPr>
      <w:rFonts w:eastAsia="Times New Roman" w:cs="Times New Roman"/>
      <w:b/>
      <w:bCs/>
      <w:sz w:val="20"/>
      <w:szCs w:val="20"/>
    </w:rPr>
  </w:style>
  <w:style w:type="paragraph" w:styleId="Revision">
    <w:name w:val="Revision"/>
    <w:hidden/>
    <w:uiPriority w:val="99"/>
    <w:semiHidden/>
    <w:rsid w:val="00F35131"/>
    <w:pPr>
      <w:spacing w:after="0"/>
    </w:pPr>
    <w:rPr>
      <w:rFonts w:eastAsia="Times New Roman" w:cs="Times New Roman"/>
      <w:szCs w:val="20"/>
    </w:rPr>
  </w:style>
  <w:style w:type="paragraph" w:customStyle="1" w:styleId="Headings">
    <w:name w:val="Heading s"/>
    <w:basedOn w:val="Heading3"/>
    <w:rsid w:val="00F35131"/>
    <w:rPr>
      <w:rFonts w:eastAsiaTheme="minorEastAsia"/>
    </w:rPr>
  </w:style>
  <w:style w:type="paragraph" w:customStyle="1" w:styleId="coverdate">
    <w:name w:val="cover date"/>
    <w:qFormat/>
    <w:rsid w:val="00652E4B"/>
    <w:pPr>
      <w:spacing w:after="0" w:line="440" w:lineRule="exact"/>
    </w:pPr>
    <w:rPr>
      <w:rFonts w:ascii="Arial" w:eastAsia="Times New Roman" w:hAnsi="Arial" w:cs="Times New Roman"/>
      <w:sz w:val="34"/>
      <w:szCs w:val="26"/>
    </w:rPr>
  </w:style>
  <w:style w:type="paragraph" w:customStyle="1" w:styleId="covertext">
    <w:name w:val="cover text"/>
    <w:qFormat/>
    <w:rsid w:val="00652E4B"/>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652E4B"/>
    <w:pPr>
      <w:pBdr>
        <w:bottom w:val="single" w:sz="2" w:space="1" w:color="auto"/>
      </w:pBdr>
      <w:spacing w:line="240" w:lineRule="auto"/>
    </w:pPr>
  </w:style>
  <w:style w:type="paragraph" w:customStyle="1" w:styleId="covertextnoline">
    <w:name w:val="cover text (no line)"/>
    <w:basedOn w:val="Normal"/>
    <w:qFormat/>
    <w:rsid w:val="00652E4B"/>
    <w:pPr>
      <w:spacing w:line="240" w:lineRule="auto"/>
      <w:ind w:firstLine="0"/>
    </w:pPr>
    <w:rPr>
      <w:rFonts w:ascii="Arial Black" w:hAnsi="Arial Black"/>
      <w:noProof/>
      <w:sz w:val="16"/>
      <w:szCs w:val="19"/>
    </w:rPr>
  </w:style>
  <w:style w:type="table" w:customStyle="1" w:styleId="Table">
    <w:name w:val="Table"/>
    <w:basedOn w:val="TableNormal"/>
    <w:uiPriority w:val="99"/>
    <w:qFormat/>
    <w:locked/>
    <w:rsid w:val="006D504F"/>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NSimSun" w:hAnsi="@NSimSun"/>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character" w:customStyle="1" w:styleId="NormalSSChar">
    <w:name w:val="NormalSS Char"/>
    <w:link w:val="NormalSS"/>
    <w:locked/>
    <w:rsid w:val="006A4468"/>
    <w:rPr>
      <w:rFonts w:eastAsia="Times New Roman" w:cs="Times New Roman"/>
      <w:szCs w:val="20"/>
    </w:rPr>
  </w:style>
  <w:style w:type="character" w:styleId="Hyperlink">
    <w:name w:val="Hyperlink"/>
    <w:basedOn w:val="DefaultParagraphFont"/>
    <w:uiPriority w:val="99"/>
    <w:unhideWhenUsed/>
    <w:rsid w:val="006A4468"/>
    <w:rPr>
      <w:color w:val="0000FF" w:themeColor="hyperlink"/>
      <w:u w:val="single"/>
    </w:rPr>
  </w:style>
  <w:style w:type="paragraph" w:styleId="NoSpacing">
    <w:name w:val="No Spacing"/>
    <w:basedOn w:val="Normal"/>
    <w:uiPriority w:val="1"/>
    <w:qFormat/>
    <w:rsid w:val="00525F94"/>
    <w:pPr>
      <w:spacing w:line="240" w:lineRule="auto"/>
      <w:ind w:firstLine="0"/>
    </w:pPr>
    <w:rPr>
      <w:rFonts w:asciiTheme="minorHAnsi" w:eastAsiaTheme="minorHAnsi" w:hAnsiTheme="minorHAnsi" w:cstheme="minorBidi"/>
      <w:sz w:val="22"/>
      <w:szCs w:val="22"/>
    </w:rPr>
  </w:style>
  <w:style w:type="paragraph" w:styleId="ListParagraph">
    <w:name w:val="List Paragraph"/>
    <w:aliases w:val="Primary Bullet List,Bullet List,FooterText,List Paragraph1,Proposal Bullet List,Paragraph,3,POCG Table Text,Issue Action POC,Dot pt,F5 List Paragraph,List Paragraph Char Char Char,Indicator Text,Colorful List - Accent 11,Numbered Para 1"/>
    <w:basedOn w:val="Normal"/>
    <w:link w:val="ListParagraphChar"/>
    <w:uiPriority w:val="34"/>
    <w:qFormat/>
    <w:rsid w:val="00525F94"/>
    <w:pPr>
      <w:spacing w:after="200" w:line="276" w:lineRule="auto"/>
      <w:ind w:left="720" w:firstLine="0"/>
      <w:contextualSpacing/>
    </w:pPr>
    <w:rPr>
      <w:rFonts w:asciiTheme="minorHAnsi" w:eastAsiaTheme="minorHAnsi" w:hAnsiTheme="minorHAnsi" w:cstheme="minorBidi"/>
      <w:sz w:val="22"/>
      <w:szCs w:val="22"/>
    </w:rPr>
  </w:style>
  <w:style w:type="table" w:styleId="TableGrid">
    <w:name w:val="Table Grid"/>
    <w:basedOn w:val="TableNormal"/>
    <w:uiPriority w:val="39"/>
    <w:locked/>
    <w:rsid w:val="003D77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B41E1"/>
    <w:rPr>
      <w:color w:val="800080" w:themeColor="followedHyperlink"/>
      <w:u w:val="single"/>
    </w:rPr>
  </w:style>
  <w:style w:type="paragraph" w:customStyle="1" w:styleId="Default">
    <w:name w:val="Default"/>
    <w:rsid w:val="00682E92"/>
    <w:pPr>
      <w:widowControl w:val="0"/>
      <w:autoSpaceDE w:val="0"/>
      <w:autoSpaceDN w:val="0"/>
      <w:adjustRightInd w:val="0"/>
      <w:spacing w:after="0"/>
    </w:pPr>
    <w:rPr>
      <w:rFonts w:ascii="EEAGN D+ Melior" w:eastAsia="Times New Roman" w:hAnsi="EEAGN D+ Melior" w:cs="EEAGN D+ Melior"/>
      <w:color w:val="000000"/>
    </w:rPr>
  </w:style>
  <w:style w:type="paragraph" w:customStyle="1" w:styleId="MarkforTableHeading">
    <w:name w:val="Mark for Table Heading"/>
    <w:basedOn w:val="Normal"/>
    <w:next w:val="NormalSS"/>
    <w:qFormat/>
    <w:rsid w:val="00E60031"/>
    <w:pPr>
      <w:keepNext/>
      <w:spacing w:after="60" w:line="240" w:lineRule="auto"/>
      <w:ind w:firstLine="0"/>
    </w:pPr>
    <w:rPr>
      <w:rFonts w:ascii="Arial Black" w:hAnsi="Arial Black"/>
      <w:sz w:val="22"/>
    </w:rPr>
  </w:style>
  <w:style w:type="character" w:styleId="Emphasis">
    <w:name w:val="Emphasis"/>
    <w:basedOn w:val="DefaultParagraphFont"/>
    <w:uiPriority w:val="20"/>
    <w:qFormat/>
    <w:rsid w:val="0033074D"/>
    <w:rPr>
      <w:i/>
      <w:iCs/>
    </w:rPr>
  </w:style>
  <w:style w:type="paragraph" w:styleId="BodyText">
    <w:name w:val="Body Text"/>
    <w:basedOn w:val="Normal"/>
    <w:link w:val="BodyTextChar"/>
    <w:uiPriority w:val="1"/>
    <w:rsid w:val="00811740"/>
    <w:pPr>
      <w:spacing w:after="120" w:line="240" w:lineRule="auto"/>
      <w:ind w:left="750" w:right="662" w:firstLine="0"/>
    </w:pPr>
    <w:rPr>
      <w:rFonts w:eastAsiaTheme="minorEastAsia"/>
      <w:szCs w:val="24"/>
    </w:rPr>
  </w:style>
  <w:style w:type="character" w:customStyle="1" w:styleId="BodyTextChar">
    <w:name w:val="Body Text Char"/>
    <w:basedOn w:val="DefaultParagraphFont"/>
    <w:link w:val="BodyText"/>
    <w:uiPriority w:val="1"/>
    <w:rsid w:val="00811740"/>
    <w:rPr>
      <w:rFonts w:cs="Times New Roman"/>
    </w:rPr>
  </w:style>
  <w:style w:type="paragraph" w:customStyle="1" w:styleId="1Hang5">
    <w:name w:val="1 Hang .5"/>
    <w:basedOn w:val="Normal"/>
    <w:rsid w:val="00795150"/>
    <w:pPr>
      <w:keepLines/>
      <w:spacing w:line="240" w:lineRule="auto"/>
      <w:ind w:left="2160" w:firstLine="0"/>
    </w:pPr>
    <w:rPr>
      <w:color w:val="000000"/>
      <w:sz w:val="20"/>
    </w:rPr>
  </w:style>
  <w:style w:type="character" w:customStyle="1" w:styleId="UnresolvedMention1">
    <w:name w:val="Unresolved Mention1"/>
    <w:basedOn w:val="DefaultParagraphFont"/>
    <w:uiPriority w:val="99"/>
    <w:semiHidden/>
    <w:unhideWhenUsed/>
    <w:rsid w:val="00B208EE"/>
    <w:rPr>
      <w:color w:val="605E5C"/>
      <w:shd w:val="clear" w:color="auto" w:fill="E1DFDD"/>
    </w:rPr>
  </w:style>
  <w:style w:type="paragraph" w:styleId="IntenseQuote">
    <w:name w:val="Intense Quote"/>
    <w:basedOn w:val="Normal"/>
    <w:next w:val="Normal"/>
    <w:link w:val="IntenseQuoteChar"/>
    <w:uiPriority w:val="30"/>
    <w:qFormat/>
    <w:rsid w:val="00762A5A"/>
    <w:pPr>
      <w:pBdr>
        <w:left w:val="single" w:sz="18" w:space="12" w:color="4F81BD" w:themeColor="accent1"/>
      </w:pBdr>
      <w:spacing w:before="100" w:beforeAutospacing="1" w:after="120" w:line="300" w:lineRule="auto"/>
      <w:ind w:left="1224" w:right="1224" w:firstLine="0"/>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762A5A"/>
    <w:rPr>
      <w:rFonts w:asciiTheme="majorHAnsi" w:eastAsiaTheme="majorEastAsia" w:hAnsiTheme="majorHAnsi" w:cstheme="majorBidi"/>
      <w:color w:val="4F81BD" w:themeColor="accent1"/>
      <w:sz w:val="28"/>
      <w:szCs w:val="28"/>
    </w:rPr>
  </w:style>
  <w:style w:type="table" w:customStyle="1" w:styleId="TableGrid2">
    <w:name w:val="Table Grid2"/>
    <w:basedOn w:val="TableNormal"/>
    <w:next w:val="TableGrid"/>
    <w:uiPriority w:val="39"/>
    <w:rsid w:val="00522466"/>
    <w:pPr>
      <w:spacing w:after="0"/>
    </w:pPr>
    <w:rPr>
      <w:rFonts w:asciiTheme="minorHAnsi" w:eastAsia="Calibr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7D4145"/>
    <w:pPr>
      <w:spacing w:after="160" w:line="240" w:lineRule="auto"/>
      <w:ind w:firstLine="0"/>
    </w:pPr>
    <w:rPr>
      <w:rFonts w:ascii="Verdana" w:eastAsia="MS Mincho" w:hAnsi="Verdana"/>
      <w:sz w:val="20"/>
    </w:rPr>
  </w:style>
  <w:style w:type="paragraph" w:styleId="EndnoteText">
    <w:name w:val="endnote text"/>
    <w:basedOn w:val="Normal"/>
    <w:link w:val="EndnoteTextChar"/>
    <w:semiHidden/>
    <w:unhideWhenUsed/>
    <w:rsid w:val="00460EA7"/>
    <w:pPr>
      <w:spacing w:line="240" w:lineRule="auto"/>
    </w:pPr>
    <w:rPr>
      <w:sz w:val="20"/>
    </w:rPr>
  </w:style>
  <w:style w:type="character" w:customStyle="1" w:styleId="EndnoteTextChar">
    <w:name w:val="Endnote Text Char"/>
    <w:basedOn w:val="DefaultParagraphFont"/>
    <w:link w:val="EndnoteText"/>
    <w:semiHidden/>
    <w:rsid w:val="00460EA7"/>
    <w:rPr>
      <w:rFonts w:eastAsia="Times New Roman" w:cs="Times New Roman"/>
      <w:sz w:val="20"/>
      <w:szCs w:val="20"/>
    </w:rPr>
  </w:style>
  <w:style w:type="character" w:styleId="EndnoteReference">
    <w:name w:val="endnote reference"/>
    <w:basedOn w:val="DefaultParagraphFont"/>
    <w:semiHidden/>
    <w:unhideWhenUsed/>
    <w:rsid w:val="00460EA7"/>
    <w:rPr>
      <w:vertAlign w:val="superscript"/>
    </w:rPr>
  </w:style>
  <w:style w:type="paragraph" w:customStyle="1" w:styleId="Numbers">
    <w:name w:val="Numbers"/>
    <w:basedOn w:val="BodyText"/>
    <w:qFormat/>
    <w:rsid w:val="006D67D7"/>
    <w:pPr>
      <w:numPr>
        <w:numId w:val="8"/>
      </w:numPr>
      <w:spacing w:after="180"/>
      <w:ind w:left="720" w:right="0"/>
    </w:pPr>
    <w:rPr>
      <w:rFonts w:eastAsia="Times New Roman"/>
      <w:sz w:val="22"/>
      <w:szCs w:val="20"/>
      <w:lang w:val="en"/>
    </w:rPr>
  </w:style>
  <w:style w:type="paragraph" w:styleId="Caption">
    <w:name w:val="caption"/>
    <w:aliases w:val="Credit,table,TableCaption,ca,Caption Char Char1 Char,Caption Char1 Char Char1 Char1,Caption Char Char Char Char1 Char2,Caption Char1 Char Char Char Char1 Char,Caption Char Char Char Char Char Char2 Char,FPG Figure Caption,cp,cp1"/>
    <w:basedOn w:val="Normal"/>
    <w:next w:val="BodyText"/>
    <w:link w:val="CaptionChar"/>
    <w:qFormat/>
    <w:rsid w:val="006D67D7"/>
    <w:pPr>
      <w:tabs>
        <w:tab w:val="left" w:pos="1260"/>
      </w:tabs>
      <w:spacing w:after="120" w:line="240" w:lineRule="auto"/>
      <w:ind w:left="1260" w:hanging="1260"/>
    </w:pPr>
    <w:rPr>
      <w:rFonts w:ascii="Arial" w:eastAsiaTheme="minorHAnsi" w:hAnsi="Arial" w:cs="Arial"/>
      <w:b/>
      <w:sz w:val="20"/>
      <w:szCs w:val="22"/>
    </w:rPr>
  </w:style>
  <w:style w:type="paragraph" w:customStyle="1" w:styleId="TableBullets">
    <w:name w:val="Table Bullets"/>
    <w:basedOn w:val="ListParagraph"/>
    <w:qFormat/>
    <w:rsid w:val="006D67D7"/>
    <w:pPr>
      <w:numPr>
        <w:numId w:val="9"/>
      </w:numPr>
      <w:spacing w:after="0" w:line="240" w:lineRule="auto"/>
      <w:ind w:left="720"/>
      <w:contextualSpacing w:val="0"/>
    </w:pPr>
    <w:rPr>
      <w:rFonts w:ascii="Arial Narrow" w:hAnsi="Arial Narrow"/>
      <w:bCs/>
      <w:sz w:val="20"/>
      <w:szCs w:val="20"/>
    </w:rPr>
  </w:style>
  <w:style w:type="paragraph" w:customStyle="1" w:styleId="TableColumnHeader">
    <w:name w:val="Table Column Header"/>
    <w:basedOn w:val="Normal"/>
    <w:qFormat/>
    <w:rsid w:val="006D67D7"/>
    <w:pPr>
      <w:spacing w:before="20" w:after="20" w:line="240" w:lineRule="auto"/>
      <w:ind w:firstLine="0"/>
      <w:jc w:val="center"/>
    </w:pPr>
    <w:rPr>
      <w:rFonts w:ascii="Arial Narrow" w:hAnsi="Arial Narrow"/>
      <w:b/>
      <w:color w:val="FFFFFF" w:themeColor="background1"/>
      <w:sz w:val="20"/>
    </w:rPr>
  </w:style>
  <w:style w:type="character" w:customStyle="1" w:styleId="CaptionChar">
    <w:name w:val="Caption Char"/>
    <w:aliases w:val="Credit Char,table Char,TableCaption Char,ca Char,Caption Char Char1 Char Char,Caption Char1 Char Char1 Char1 Char,Caption Char Char Char Char1 Char2 Char,Caption Char1 Char Char Char Char1 Char Char,FPG Figure Caption Char,cp Char,cp1 Char"/>
    <w:basedOn w:val="DefaultParagraphFont"/>
    <w:link w:val="Caption"/>
    <w:locked/>
    <w:rsid w:val="006D67D7"/>
    <w:rPr>
      <w:rFonts w:ascii="Arial" w:eastAsiaTheme="minorHAnsi" w:hAnsi="Arial" w:cs="Arial"/>
      <w:b/>
      <w:sz w:val="20"/>
      <w:szCs w:val="22"/>
    </w:rPr>
  </w:style>
  <w:style w:type="table" w:customStyle="1" w:styleId="AbtFinal">
    <w:name w:val="Abt Final"/>
    <w:basedOn w:val="TableNormal"/>
    <w:uiPriority w:val="99"/>
    <w:rsid w:val="00E13AC8"/>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SycmfpAdvTT86d47313" w:hAnsi="SycmfpAdvTT86d47313"/>
        <w:b/>
        <w:caps w:val="0"/>
        <w:smallCaps w:val="0"/>
        <w:strike w:val="0"/>
        <w:dstrike w:val="0"/>
        <w:vanish w:val="0"/>
        <w:color w:val="FFFFFF" w:themeColor="background1"/>
        <w:sz w:val="20"/>
        <w:vertAlign w:val="baseline"/>
      </w:rPr>
      <w:tblPr/>
      <w:tcPr>
        <w:shd w:val="clear" w:color="auto" w:fill="1F497D" w:themeFill="text2"/>
      </w:tcPr>
    </w:tblStylePr>
    <w:tblStylePr w:type="lastRow">
      <w:pPr>
        <w:jc w:val="left"/>
      </w:pPr>
      <w:rPr>
        <w:rFonts w:ascii="SycmfpAdvTT86d47313" w:hAnsi="SycmfpAdvTT86d47313"/>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hemeFill="accent2"/>
      </w:tcPr>
    </w:tblStylePr>
    <w:tblStylePr w:type="firstCol">
      <w:rPr>
        <w:rFonts w:ascii="SycmfpAdvTT86d47313" w:hAnsi="SycmfpAdvTT86d47313"/>
        <w:sz w:val="20"/>
      </w:rPr>
    </w:tblStylePr>
    <w:tblStylePr w:type="lastCol">
      <w:rPr>
        <w:rFonts w:ascii="SycmfpAdvTT86d47313" w:hAnsi="SycmfpAdvTT86d47313"/>
        <w:sz w:val="20"/>
      </w:rPr>
    </w:tblStylePr>
    <w:tblStylePr w:type="band1Horz">
      <w:rPr>
        <w:rFonts w:ascii="SycmfpAdvTT86d47313" w:hAnsi="SycmfpAdvTT86d47313"/>
        <w:sz w:val="20"/>
      </w:rPr>
    </w:tblStylePr>
    <w:tblStylePr w:type="band2Horz">
      <w:rPr>
        <w:rFonts w:ascii="SycmfpAdvTT86d47313" w:hAnsi="SycmfpAdvTT86d47313"/>
        <w:sz w:val="20"/>
      </w:rPr>
    </w:tblStylePr>
  </w:style>
  <w:style w:type="character" w:customStyle="1" w:styleId="ListParagraphChar">
    <w:name w:val="List Paragraph Char"/>
    <w:aliases w:val="Primary Bullet List Char,Bullet List Char,FooterText Char,List Paragraph1 Char,Proposal Bullet List Char,Paragraph Char,3 Char,POCG Table Text Char,Issue Action POC Char,Dot pt Char,F5 List Paragraph Char,Indicator Text Char"/>
    <w:link w:val="ListParagraph"/>
    <w:uiPriority w:val="34"/>
    <w:qFormat/>
    <w:locked/>
    <w:rsid w:val="00B108BB"/>
    <w:rPr>
      <w:rFonts w:asciiTheme="minorHAnsi" w:eastAsiaTheme="minorHAnsi" w:hAnsiTheme="minorHAnsi"/>
      <w:sz w:val="22"/>
      <w:szCs w:val="22"/>
    </w:rPr>
  </w:style>
  <w:style w:type="table" w:customStyle="1" w:styleId="TableGrid17">
    <w:name w:val="Table Grid17"/>
    <w:basedOn w:val="TableNormal"/>
    <w:next w:val="TableGrid"/>
    <w:uiPriority w:val="59"/>
    <w:rsid w:val="007B6D19"/>
    <w:pPr>
      <w:spacing w:after="0"/>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Final1">
    <w:name w:val="Abt Final1"/>
    <w:basedOn w:val="TableNormal"/>
    <w:uiPriority w:val="99"/>
    <w:rsid w:val="007B6D19"/>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SycmfpAdvTT86d47313" w:hAnsi="SycmfpAdvTT86d47313"/>
        <w:b/>
        <w:caps w:val="0"/>
        <w:smallCaps w:val="0"/>
        <w:strike w:val="0"/>
        <w:dstrike w:val="0"/>
        <w:vanish w:val="0"/>
        <w:color w:val="FFFFFF"/>
        <w:sz w:val="20"/>
        <w:vertAlign w:val="baseline"/>
      </w:rPr>
      <w:tblPr/>
      <w:tcPr>
        <w:shd w:val="clear" w:color="auto" w:fill="1F497D"/>
      </w:tcPr>
    </w:tblStylePr>
    <w:tblStylePr w:type="lastRow">
      <w:pPr>
        <w:jc w:val="left"/>
      </w:pPr>
      <w:rPr>
        <w:rFonts w:ascii="SycmfpAdvTT86d47313" w:hAnsi="SycmfpAdvTT86d47313"/>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SycmfpAdvTT86d47313" w:hAnsi="SycmfpAdvTT86d47313"/>
        <w:sz w:val="20"/>
      </w:rPr>
    </w:tblStylePr>
    <w:tblStylePr w:type="lastCol">
      <w:rPr>
        <w:rFonts w:ascii="SycmfpAdvTT86d47313" w:hAnsi="SycmfpAdvTT86d47313"/>
        <w:sz w:val="20"/>
      </w:rPr>
    </w:tblStylePr>
    <w:tblStylePr w:type="band1Horz">
      <w:rPr>
        <w:rFonts w:ascii="SycmfpAdvTT86d47313" w:hAnsi="SycmfpAdvTT86d47313"/>
        <w:sz w:val="20"/>
      </w:rPr>
    </w:tblStylePr>
    <w:tblStylePr w:type="band2Horz">
      <w:rPr>
        <w:rFonts w:ascii="SycmfpAdvTT86d47313" w:hAnsi="SycmfpAdvTT86d47313"/>
        <w:sz w:val="20"/>
      </w:rPr>
    </w:tblStylePr>
  </w:style>
  <w:style w:type="table" w:customStyle="1" w:styleId="AbtFinal2">
    <w:name w:val="Abt Final2"/>
    <w:basedOn w:val="TableNormal"/>
    <w:uiPriority w:val="99"/>
    <w:rsid w:val="005778B0"/>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SycmfpAdvTT86d47313" w:hAnsi="SycmfpAdvTT86d47313"/>
        <w:b/>
        <w:caps w:val="0"/>
        <w:smallCaps w:val="0"/>
        <w:strike w:val="0"/>
        <w:dstrike w:val="0"/>
        <w:vanish w:val="0"/>
        <w:color w:val="FFFFFF"/>
        <w:sz w:val="20"/>
        <w:vertAlign w:val="baseline"/>
      </w:rPr>
      <w:tblPr/>
      <w:tcPr>
        <w:shd w:val="clear" w:color="auto" w:fill="44546A"/>
      </w:tcPr>
    </w:tblStylePr>
    <w:tblStylePr w:type="lastRow">
      <w:pPr>
        <w:jc w:val="left"/>
      </w:pPr>
      <w:rPr>
        <w:rFonts w:ascii="SycmfpAdvTT86d47313" w:hAnsi="SycmfpAdvTT86d47313"/>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firstCol">
      <w:rPr>
        <w:rFonts w:ascii="SycmfpAdvTT86d47313" w:hAnsi="SycmfpAdvTT86d47313"/>
        <w:sz w:val="20"/>
      </w:rPr>
    </w:tblStylePr>
    <w:tblStylePr w:type="lastCol">
      <w:rPr>
        <w:rFonts w:ascii="SycmfpAdvTT86d47313" w:hAnsi="SycmfpAdvTT86d47313"/>
        <w:sz w:val="20"/>
      </w:rPr>
    </w:tblStylePr>
    <w:tblStylePr w:type="band1Horz">
      <w:rPr>
        <w:rFonts w:ascii="SycmfpAdvTT86d47313" w:hAnsi="SycmfpAdvTT86d47313"/>
        <w:sz w:val="20"/>
      </w:rPr>
    </w:tblStylePr>
    <w:tblStylePr w:type="band2Horz">
      <w:rPr>
        <w:rFonts w:ascii="SycmfpAdvTT86d47313" w:hAnsi="SycmfpAdvTT86d47313"/>
        <w:sz w:val="20"/>
      </w:rPr>
    </w:tblStylePr>
  </w:style>
  <w:style w:type="paragraph" w:customStyle="1" w:styleId="TableNumberedBullets">
    <w:name w:val="Table Numbered Bullets"/>
    <w:basedOn w:val="TableBullets"/>
    <w:qFormat/>
    <w:rsid w:val="00583682"/>
    <w:pPr>
      <w:numPr>
        <w:numId w:val="11"/>
      </w:numPr>
    </w:pPr>
    <w:rPr>
      <w:bCs w:val="0"/>
    </w:rPr>
  </w:style>
  <w:style w:type="paragraph" w:customStyle="1" w:styleId="Bullet2">
    <w:name w:val="Bullet2"/>
    <w:basedOn w:val="Normal"/>
    <w:rsid w:val="00E00B0B"/>
    <w:pPr>
      <w:numPr>
        <w:numId w:val="12"/>
      </w:numPr>
      <w:spacing w:after="120" w:line="240" w:lineRule="auto"/>
    </w:pPr>
    <w:rPr>
      <w:sz w:val="22"/>
    </w:rPr>
  </w:style>
  <w:style w:type="paragraph" w:customStyle="1" w:styleId="Bullets">
    <w:name w:val="Bullets"/>
    <w:basedOn w:val="BodyText"/>
    <w:rsid w:val="00720FF5"/>
    <w:pPr>
      <w:numPr>
        <w:numId w:val="15"/>
      </w:numPr>
      <w:tabs>
        <w:tab w:val="left" w:pos="360"/>
      </w:tabs>
      <w:ind w:right="0"/>
    </w:pPr>
    <w:rPr>
      <w:rFonts w:eastAsia="Times New Roman"/>
      <w:sz w:val="22"/>
      <w:szCs w:val="20"/>
      <w:lang w:val="en"/>
    </w:rPr>
  </w:style>
  <w:style w:type="paragraph" w:customStyle="1" w:styleId="BulletsLast">
    <w:name w:val="BulletsLast"/>
    <w:basedOn w:val="Bullets"/>
    <w:qFormat/>
    <w:rsid w:val="00720FF5"/>
    <w:pPr>
      <w:spacing w:after="240"/>
    </w:pPr>
  </w:style>
  <w:style w:type="paragraph" w:customStyle="1" w:styleId="tabletextnumbered">
    <w:name w:val="table text numbered"/>
    <w:basedOn w:val="ListParagraph"/>
    <w:qFormat/>
    <w:rsid w:val="00720FF5"/>
    <w:pPr>
      <w:numPr>
        <w:numId w:val="16"/>
      </w:numPr>
      <w:spacing w:after="0" w:line="240" w:lineRule="auto"/>
      <w:ind w:left="317" w:hanging="270"/>
    </w:pPr>
    <w:rPr>
      <w:rFonts w:ascii="Arial Narrow" w:eastAsia="Calibri" w:hAnsi="Arial Narrow"/>
      <w:sz w:val="20"/>
    </w:rPr>
  </w:style>
  <w:style w:type="paragraph" w:customStyle="1" w:styleId="TableRowHeader">
    <w:name w:val="Table Row Header"/>
    <w:rsid w:val="00156075"/>
    <w:pPr>
      <w:spacing w:before="20" w:after="20"/>
    </w:pPr>
    <w:rPr>
      <w:rFonts w:ascii="Arial Narrow" w:eastAsiaTheme="minorHAnsi" w:hAnsi="Arial Narrow" w:cs="SycmfpAdvTT86d47313"/>
      <w:b/>
      <w:color w:val="FFFFFF" w:themeColor="background1"/>
      <w:sz w:val="20"/>
      <w:szCs w:val="20"/>
    </w:rPr>
  </w:style>
  <w:style w:type="table" w:styleId="GridTable4-Accent1">
    <w:name w:val="Grid Table 4 Accent 1"/>
    <w:basedOn w:val="TableNormal"/>
    <w:uiPriority w:val="49"/>
    <w:rsid w:val="00156075"/>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2">
    <w:name w:val="Table Bullets2"/>
    <w:basedOn w:val="TableBullets"/>
    <w:qFormat/>
    <w:rsid w:val="00156075"/>
    <w:pPr>
      <w:numPr>
        <w:numId w:val="19"/>
      </w:numPr>
      <w:ind w:left="677"/>
    </w:pPr>
  </w:style>
  <w:style w:type="paragraph" w:customStyle="1" w:styleId="TableSource">
    <w:name w:val="Table Source"/>
    <w:basedOn w:val="Normal"/>
    <w:next w:val="BodyText"/>
    <w:qFormat/>
    <w:rsid w:val="00156075"/>
    <w:pPr>
      <w:spacing w:after="120" w:line="240" w:lineRule="auto"/>
      <w:ind w:firstLine="0"/>
    </w:pPr>
    <w:rPr>
      <w:rFonts w:ascii="Arial Narrow" w:hAnsi="Arial Narrow" w:cs="Arial"/>
      <w:sz w:val="18"/>
    </w:rPr>
  </w:style>
  <w:style w:type="paragraph" w:customStyle="1" w:styleId="CoverDate0">
    <w:name w:val="Cover Date"/>
    <w:basedOn w:val="Normal"/>
    <w:qFormat/>
    <w:rsid w:val="002C7365"/>
    <w:pPr>
      <w:spacing w:line="240" w:lineRule="auto"/>
      <w:ind w:firstLine="0"/>
    </w:pPr>
    <w:rPr>
      <w:rFonts w:ascii="Arial Narrow" w:hAnsi="Arial Narrow"/>
      <w:b/>
      <w:color w:val="FFFFFF" w:themeColor="background1"/>
      <w:sz w:val="40"/>
    </w:rPr>
  </w:style>
  <w:style w:type="character" w:styleId="UnresolvedMention">
    <w:name w:val="Unresolved Mention"/>
    <w:basedOn w:val="DefaultParagraphFont"/>
    <w:uiPriority w:val="99"/>
    <w:semiHidden/>
    <w:unhideWhenUsed/>
    <w:rsid w:val="004126C0"/>
    <w:rPr>
      <w:color w:val="605E5C"/>
      <w:shd w:val="clear" w:color="auto" w:fill="E1DFDD"/>
    </w:rPr>
  </w:style>
  <w:style w:type="paragraph" w:customStyle="1" w:styleId="BodyText1">
    <w:name w:val="Body Text1"/>
    <w:basedOn w:val="Normal"/>
    <w:link w:val="bodytextChar0"/>
    <w:rsid w:val="00C67EB1"/>
    <w:pPr>
      <w:spacing w:after="120" w:line="360" w:lineRule="auto"/>
      <w:ind w:firstLine="720"/>
    </w:pPr>
  </w:style>
  <w:style w:type="character" w:customStyle="1" w:styleId="bodytextChar0">
    <w:name w:val="body text Char"/>
    <w:basedOn w:val="DefaultParagraphFont"/>
    <w:link w:val="BodyText1"/>
    <w:rsid w:val="00C67EB1"/>
    <w:rPr>
      <w:rFonts w:eastAsia="Times New Roman" w:cs="Times New Roman"/>
      <w:szCs w:val="20"/>
    </w:rPr>
  </w:style>
  <w:style w:type="paragraph" w:customStyle="1" w:styleId="m-4824437483153403386msocommenttext">
    <w:name w:val="m_-4824437483153403386msocommenttext"/>
    <w:basedOn w:val="Normal"/>
    <w:rsid w:val="002453AA"/>
    <w:pPr>
      <w:spacing w:before="100" w:beforeAutospacing="1" w:after="100" w:afterAutospacing="1" w:line="240" w:lineRule="auto"/>
      <w:ind w:firstLine="0"/>
    </w:pPr>
    <w:rPr>
      <w:szCs w:val="24"/>
    </w:rPr>
  </w:style>
  <w:style w:type="paragraph" w:customStyle="1" w:styleId="body">
    <w:name w:val="body"/>
    <w:basedOn w:val="Normal"/>
    <w:rsid w:val="00AF6308"/>
    <w:pPr>
      <w:spacing w:line="240" w:lineRule="auto"/>
      <w:ind w:firstLine="0"/>
    </w:pPr>
    <w:rPr>
      <w:snapToGrid w:val="0"/>
    </w:rPr>
  </w:style>
  <w:style w:type="paragraph" w:customStyle="1" w:styleId="biblio">
    <w:name w:val="biblio"/>
    <w:basedOn w:val="Normal"/>
    <w:rsid w:val="002F5C06"/>
    <w:pPr>
      <w:keepLines/>
      <w:spacing w:after="240" w:line="240" w:lineRule="auto"/>
      <w:ind w:left="720" w:hanging="720"/>
    </w:pPr>
  </w:style>
  <w:style w:type="paragraph" w:styleId="NormalWeb">
    <w:name w:val="Normal (Web)"/>
    <w:basedOn w:val="Normal"/>
    <w:uiPriority w:val="99"/>
    <w:semiHidden/>
    <w:unhideWhenUsed/>
    <w:rsid w:val="00AB0799"/>
    <w:pPr>
      <w:spacing w:before="100" w:beforeAutospacing="1" w:after="100" w:afterAutospacing="1" w:line="240" w:lineRule="auto"/>
      <w:ind w:firstLine="0"/>
    </w:pPr>
    <w:rPr>
      <w:rFonts w:ascii="Calibri" w:eastAsiaTheme="minorHAnsi" w:hAnsi="Calibri" w:cs="Calibri"/>
      <w:sz w:val="22"/>
      <w:szCs w:val="22"/>
    </w:rPr>
  </w:style>
  <w:style w:type="paragraph" w:customStyle="1" w:styleId="EndNoteBibliography">
    <w:name w:val="EndNote Bibliography"/>
    <w:basedOn w:val="Normal"/>
    <w:link w:val="EndNoteBibliographyChar"/>
    <w:rsid w:val="00A52FAF"/>
    <w:pPr>
      <w:spacing w:line="240" w:lineRule="auto"/>
      <w:ind w:firstLine="0"/>
    </w:pPr>
    <w:rPr>
      <w:noProof/>
      <w:szCs w:val="24"/>
    </w:rPr>
  </w:style>
  <w:style w:type="character" w:customStyle="1" w:styleId="EndNoteBibliographyChar">
    <w:name w:val="EndNote Bibliography Char"/>
    <w:basedOn w:val="DefaultParagraphFont"/>
    <w:link w:val="EndNoteBibliography"/>
    <w:rsid w:val="00A52FAF"/>
    <w:rPr>
      <w:rFonts w:eastAsia="Times New Roman" w:cs="Times New Roman"/>
      <w:noProof/>
    </w:rPr>
  </w:style>
  <w:style w:type="paragraph" w:customStyle="1" w:styleId="title1">
    <w:name w:val="title1"/>
    <w:basedOn w:val="Normal"/>
    <w:rsid w:val="0043099D"/>
    <w:pPr>
      <w:spacing w:line="240" w:lineRule="auto"/>
      <w:ind w:firstLine="0"/>
    </w:pPr>
    <w:rPr>
      <w:sz w:val="27"/>
      <w:szCs w:val="27"/>
    </w:rPr>
  </w:style>
  <w:style w:type="paragraph" w:customStyle="1" w:styleId="Pa15">
    <w:name w:val="Pa15"/>
    <w:basedOn w:val="Default"/>
    <w:next w:val="Default"/>
    <w:uiPriority w:val="99"/>
    <w:rsid w:val="006D253D"/>
    <w:pPr>
      <w:widowControl/>
      <w:spacing w:line="181" w:lineRule="atLeast"/>
    </w:pPr>
    <w:rPr>
      <w:rFonts w:ascii="Adobe Caslon Pro" w:eastAsiaTheme="minorEastAsia" w:hAnsi="Adobe Caslon Pro" w:cstheme="minorBidi"/>
      <w:color w:val="auto"/>
    </w:rPr>
  </w:style>
  <w:style w:type="character" w:customStyle="1" w:styleId="normaltextrun">
    <w:name w:val="normaltextrun"/>
    <w:basedOn w:val="DefaultParagraphFont"/>
    <w:rsid w:val="00D0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7399">
      <w:bodyDiv w:val="1"/>
      <w:marLeft w:val="0"/>
      <w:marRight w:val="0"/>
      <w:marTop w:val="0"/>
      <w:marBottom w:val="0"/>
      <w:divBdr>
        <w:top w:val="none" w:sz="0" w:space="0" w:color="auto"/>
        <w:left w:val="none" w:sz="0" w:space="0" w:color="auto"/>
        <w:bottom w:val="none" w:sz="0" w:space="0" w:color="auto"/>
        <w:right w:val="none" w:sz="0" w:space="0" w:color="auto"/>
      </w:divBdr>
    </w:div>
    <w:div w:id="66073083">
      <w:bodyDiv w:val="1"/>
      <w:marLeft w:val="0"/>
      <w:marRight w:val="0"/>
      <w:marTop w:val="0"/>
      <w:marBottom w:val="0"/>
      <w:divBdr>
        <w:top w:val="none" w:sz="0" w:space="0" w:color="auto"/>
        <w:left w:val="none" w:sz="0" w:space="0" w:color="auto"/>
        <w:bottom w:val="none" w:sz="0" w:space="0" w:color="auto"/>
        <w:right w:val="none" w:sz="0" w:space="0" w:color="auto"/>
      </w:divBdr>
    </w:div>
    <w:div w:id="89475677">
      <w:bodyDiv w:val="1"/>
      <w:marLeft w:val="0"/>
      <w:marRight w:val="0"/>
      <w:marTop w:val="0"/>
      <w:marBottom w:val="0"/>
      <w:divBdr>
        <w:top w:val="none" w:sz="0" w:space="0" w:color="auto"/>
        <w:left w:val="none" w:sz="0" w:space="0" w:color="auto"/>
        <w:bottom w:val="none" w:sz="0" w:space="0" w:color="auto"/>
        <w:right w:val="none" w:sz="0" w:space="0" w:color="auto"/>
      </w:divBdr>
    </w:div>
    <w:div w:id="140973145">
      <w:bodyDiv w:val="1"/>
      <w:marLeft w:val="0"/>
      <w:marRight w:val="0"/>
      <w:marTop w:val="0"/>
      <w:marBottom w:val="0"/>
      <w:divBdr>
        <w:top w:val="none" w:sz="0" w:space="0" w:color="auto"/>
        <w:left w:val="none" w:sz="0" w:space="0" w:color="auto"/>
        <w:bottom w:val="none" w:sz="0" w:space="0" w:color="auto"/>
        <w:right w:val="none" w:sz="0" w:space="0" w:color="auto"/>
      </w:divBdr>
    </w:div>
    <w:div w:id="179973001">
      <w:bodyDiv w:val="1"/>
      <w:marLeft w:val="0"/>
      <w:marRight w:val="0"/>
      <w:marTop w:val="0"/>
      <w:marBottom w:val="0"/>
      <w:divBdr>
        <w:top w:val="none" w:sz="0" w:space="0" w:color="auto"/>
        <w:left w:val="none" w:sz="0" w:space="0" w:color="auto"/>
        <w:bottom w:val="none" w:sz="0" w:space="0" w:color="auto"/>
        <w:right w:val="none" w:sz="0" w:space="0" w:color="auto"/>
      </w:divBdr>
    </w:div>
    <w:div w:id="236060692">
      <w:bodyDiv w:val="1"/>
      <w:marLeft w:val="0"/>
      <w:marRight w:val="0"/>
      <w:marTop w:val="0"/>
      <w:marBottom w:val="0"/>
      <w:divBdr>
        <w:top w:val="none" w:sz="0" w:space="0" w:color="auto"/>
        <w:left w:val="none" w:sz="0" w:space="0" w:color="auto"/>
        <w:bottom w:val="none" w:sz="0" w:space="0" w:color="auto"/>
        <w:right w:val="none" w:sz="0" w:space="0" w:color="auto"/>
      </w:divBdr>
    </w:div>
    <w:div w:id="342439493">
      <w:bodyDiv w:val="1"/>
      <w:marLeft w:val="0"/>
      <w:marRight w:val="0"/>
      <w:marTop w:val="0"/>
      <w:marBottom w:val="0"/>
      <w:divBdr>
        <w:top w:val="none" w:sz="0" w:space="0" w:color="auto"/>
        <w:left w:val="none" w:sz="0" w:space="0" w:color="auto"/>
        <w:bottom w:val="none" w:sz="0" w:space="0" w:color="auto"/>
        <w:right w:val="none" w:sz="0" w:space="0" w:color="auto"/>
      </w:divBdr>
    </w:div>
    <w:div w:id="418983906">
      <w:bodyDiv w:val="1"/>
      <w:marLeft w:val="0"/>
      <w:marRight w:val="0"/>
      <w:marTop w:val="0"/>
      <w:marBottom w:val="0"/>
      <w:divBdr>
        <w:top w:val="none" w:sz="0" w:space="0" w:color="auto"/>
        <w:left w:val="none" w:sz="0" w:space="0" w:color="auto"/>
        <w:bottom w:val="none" w:sz="0" w:space="0" w:color="auto"/>
        <w:right w:val="none" w:sz="0" w:space="0" w:color="auto"/>
      </w:divBdr>
    </w:div>
    <w:div w:id="467820265">
      <w:bodyDiv w:val="1"/>
      <w:marLeft w:val="0"/>
      <w:marRight w:val="0"/>
      <w:marTop w:val="0"/>
      <w:marBottom w:val="0"/>
      <w:divBdr>
        <w:top w:val="none" w:sz="0" w:space="0" w:color="auto"/>
        <w:left w:val="none" w:sz="0" w:space="0" w:color="auto"/>
        <w:bottom w:val="none" w:sz="0" w:space="0" w:color="auto"/>
        <w:right w:val="none" w:sz="0" w:space="0" w:color="auto"/>
      </w:divBdr>
    </w:div>
    <w:div w:id="473648186">
      <w:bodyDiv w:val="1"/>
      <w:marLeft w:val="0"/>
      <w:marRight w:val="0"/>
      <w:marTop w:val="0"/>
      <w:marBottom w:val="0"/>
      <w:divBdr>
        <w:top w:val="none" w:sz="0" w:space="0" w:color="auto"/>
        <w:left w:val="none" w:sz="0" w:space="0" w:color="auto"/>
        <w:bottom w:val="none" w:sz="0" w:space="0" w:color="auto"/>
        <w:right w:val="none" w:sz="0" w:space="0" w:color="auto"/>
      </w:divBdr>
    </w:div>
    <w:div w:id="550926435">
      <w:bodyDiv w:val="1"/>
      <w:marLeft w:val="0"/>
      <w:marRight w:val="0"/>
      <w:marTop w:val="0"/>
      <w:marBottom w:val="0"/>
      <w:divBdr>
        <w:top w:val="none" w:sz="0" w:space="0" w:color="auto"/>
        <w:left w:val="none" w:sz="0" w:space="0" w:color="auto"/>
        <w:bottom w:val="none" w:sz="0" w:space="0" w:color="auto"/>
        <w:right w:val="none" w:sz="0" w:space="0" w:color="auto"/>
      </w:divBdr>
    </w:div>
    <w:div w:id="611085108">
      <w:bodyDiv w:val="1"/>
      <w:marLeft w:val="0"/>
      <w:marRight w:val="0"/>
      <w:marTop w:val="0"/>
      <w:marBottom w:val="0"/>
      <w:divBdr>
        <w:top w:val="none" w:sz="0" w:space="0" w:color="auto"/>
        <w:left w:val="none" w:sz="0" w:space="0" w:color="auto"/>
        <w:bottom w:val="none" w:sz="0" w:space="0" w:color="auto"/>
        <w:right w:val="none" w:sz="0" w:space="0" w:color="auto"/>
      </w:divBdr>
    </w:div>
    <w:div w:id="674772021">
      <w:bodyDiv w:val="1"/>
      <w:marLeft w:val="0"/>
      <w:marRight w:val="0"/>
      <w:marTop w:val="0"/>
      <w:marBottom w:val="0"/>
      <w:divBdr>
        <w:top w:val="none" w:sz="0" w:space="0" w:color="auto"/>
        <w:left w:val="none" w:sz="0" w:space="0" w:color="auto"/>
        <w:bottom w:val="none" w:sz="0" w:space="0" w:color="auto"/>
        <w:right w:val="none" w:sz="0" w:space="0" w:color="auto"/>
      </w:divBdr>
    </w:div>
    <w:div w:id="697853793">
      <w:bodyDiv w:val="1"/>
      <w:marLeft w:val="0"/>
      <w:marRight w:val="0"/>
      <w:marTop w:val="0"/>
      <w:marBottom w:val="0"/>
      <w:divBdr>
        <w:top w:val="none" w:sz="0" w:space="0" w:color="auto"/>
        <w:left w:val="none" w:sz="0" w:space="0" w:color="auto"/>
        <w:bottom w:val="none" w:sz="0" w:space="0" w:color="auto"/>
        <w:right w:val="none" w:sz="0" w:space="0" w:color="auto"/>
      </w:divBdr>
    </w:div>
    <w:div w:id="735783603">
      <w:bodyDiv w:val="1"/>
      <w:marLeft w:val="0"/>
      <w:marRight w:val="0"/>
      <w:marTop w:val="0"/>
      <w:marBottom w:val="0"/>
      <w:divBdr>
        <w:top w:val="none" w:sz="0" w:space="0" w:color="auto"/>
        <w:left w:val="none" w:sz="0" w:space="0" w:color="auto"/>
        <w:bottom w:val="none" w:sz="0" w:space="0" w:color="auto"/>
        <w:right w:val="none" w:sz="0" w:space="0" w:color="auto"/>
      </w:divBdr>
    </w:div>
    <w:div w:id="791217416">
      <w:bodyDiv w:val="1"/>
      <w:marLeft w:val="0"/>
      <w:marRight w:val="0"/>
      <w:marTop w:val="0"/>
      <w:marBottom w:val="0"/>
      <w:divBdr>
        <w:top w:val="none" w:sz="0" w:space="0" w:color="auto"/>
        <w:left w:val="none" w:sz="0" w:space="0" w:color="auto"/>
        <w:bottom w:val="none" w:sz="0" w:space="0" w:color="auto"/>
        <w:right w:val="none" w:sz="0" w:space="0" w:color="auto"/>
      </w:divBdr>
    </w:div>
    <w:div w:id="795684152">
      <w:bodyDiv w:val="1"/>
      <w:marLeft w:val="0"/>
      <w:marRight w:val="0"/>
      <w:marTop w:val="0"/>
      <w:marBottom w:val="0"/>
      <w:divBdr>
        <w:top w:val="none" w:sz="0" w:space="0" w:color="auto"/>
        <w:left w:val="none" w:sz="0" w:space="0" w:color="auto"/>
        <w:bottom w:val="none" w:sz="0" w:space="0" w:color="auto"/>
        <w:right w:val="none" w:sz="0" w:space="0" w:color="auto"/>
      </w:divBdr>
    </w:div>
    <w:div w:id="798105102">
      <w:bodyDiv w:val="1"/>
      <w:marLeft w:val="0"/>
      <w:marRight w:val="0"/>
      <w:marTop w:val="0"/>
      <w:marBottom w:val="0"/>
      <w:divBdr>
        <w:top w:val="none" w:sz="0" w:space="0" w:color="auto"/>
        <w:left w:val="none" w:sz="0" w:space="0" w:color="auto"/>
        <w:bottom w:val="none" w:sz="0" w:space="0" w:color="auto"/>
        <w:right w:val="none" w:sz="0" w:space="0" w:color="auto"/>
      </w:divBdr>
    </w:div>
    <w:div w:id="805390025">
      <w:bodyDiv w:val="1"/>
      <w:marLeft w:val="0"/>
      <w:marRight w:val="0"/>
      <w:marTop w:val="0"/>
      <w:marBottom w:val="0"/>
      <w:divBdr>
        <w:top w:val="none" w:sz="0" w:space="0" w:color="auto"/>
        <w:left w:val="none" w:sz="0" w:space="0" w:color="auto"/>
        <w:bottom w:val="none" w:sz="0" w:space="0" w:color="auto"/>
        <w:right w:val="none" w:sz="0" w:space="0" w:color="auto"/>
      </w:divBdr>
    </w:div>
    <w:div w:id="841942378">
      <w:bodyDiv w:val="1"/>
      <w:marLeft w:val="0"/>
      <w:marRight w:val="0"/>
      <w:marTop w:val="0"/>
      <w:marBottom w:val="0"/>
      <w:divBdr>
        <w:top w:val="none" w:sz="0" w:space="0" w:color="auto"/>
        <w:left w:val="none" w:sz="0" w:space="0" w:color="auto"/>
        <w:bottom w:val="none" w:sz="0" w:space="0" w:color="auto"/>
        <w:right w:val="none" w:sz="0" w:space="0" w:color="auto"/>
      </w:divBdr>
    </w:div>
    <w:div w:id="852035871">
      <w:bodyDiv w:val="1"/>
      <w:marLeft w:val="0"/>
      <w:marRight w:val="0"/>
      <w:marTop w:val="0"/>
      <w:marBottom w:val="0"/>
      <w:divBdr>
        <w:top w:val="none" w:sz="0" w:space="0" w:color="auto"/>
        <w:left w:val="none" w:sz="0" w:space="0" w:color="auto"/>
        <w:bottom w:val="none" w:sz="0" w:space="0" w:color="auto"/>
        <w:right w:val="none" w:sz="0" w:space="0" w:color="auto"/>
      </w:divBdr>
    </w:div>
    <w:div w:id="876309306">
      <w:bodyDiv w:val="1"/>
      <w:marLeft w:val="0"/>
      <w:marRight w:val="0"/>
      <w:marTop w:val="0"/>
      <w:marBottom w:val="0"/>
      <w:divBdr>
        <w:top w:val="none" w:sz="0" w:space="0" w:color="auto"/>
        <w:left w:val="none" w:sz="0" w:space="0" w:color="auto"/>
        <w:bottom w:val="none" w:sz="0" w:space="0" w:color="auto"/>
        <w:right w:val="none" w:sz="0" w:space="0" w:color="auto"/>
      </w:divBdr>
    </w:div>
    <w:div w:id="941495295">
      <w:bodyDiv w:val="1"/>
      <w:marLeft w:val="0"/>
      <w:marRight w:val="0"/>
      <w:marTop w:val="0"/>
      <w:marBottom w:val="0"/>
      <w:divBdr>
        <w:top w:val="none" w:sz="0" w:space="0" w:color="auto"/>
        <w:left w:val="none" w:sz="0" w:space="0" w:color="auto"/>
        <w:bottom w:val="none" w:sz="0" w:space="0" w:color="auto"/>
        <w:right w:val="none" w:sz="0" w:space="0" w:color="auto"/>
      </w:divBdr>
    </w:div>
    <w:div w:id="943927533">
      <w:bodyDiv w:val="1"/>
      <w:marLeft w:val="0"/>
      <w:marRight w:val="0"/>
      <w:marTop w:val="0"/>
      <w:marBottom w:val="0"/>
      <w:divBdr>
        <w:top w:val="none" w:sz="0" w:space="0" w:color="auto"/>
        <w:left w:val="none" w:sz="0" w:space="0" w:color="auto"/>
        <w:bottom w:val="none" w:sz="0" w:space="0" w:color="auto"/>
        <w:right w:val="none" w:sz="0" w:space="0" w:color="auto"/>
      </w:divBdr>
    </w:div>
    <w:div w:id="997928068">
      <w:bodyDiv w:val="1"/>
      <w:marLeft w:val="0"/>
      <w:marRight w:val="0"/>
      <w:marTop w:val="0"/>
      <w:marBottom w:val="0"/>
      <w:divBdr>
        <w:top w:val="none" w:sz="0" w:space="0" w:color="auto"/>
        <w:left w:val="none" w:sz="0" w:space="0" w:color="auto"/>
        <w:bottom w:val="none" w:sz="0" w:space="0" w:color="auto"/>
        <w:right w:val="none" w:sz="0" w:space="0" w:color="auto"/>
      </w:divBdr>
    </w:div>
    <w:div w:id="1182432600">
      <w:bodyDiv w:val="1"/>
      <w:marLeft w:val="0"/>
      <w:marRight w:val="0"/>
      <w:marTop w:val="0"/>
      <w:marBottom w:val="0"/>
      <w:divBdr>
        <w:top w:val="none" w:sz="0" w:space="0" w:color="auto"/>
        <w:left w:val="none" w:sz="0" w:space="0" w:color="auto"/>
        <w:bottom w:val="none" w:sz="0" w:space="0" w:color="auto"/>
        <w:right w:val="none" w:sz="0" w:space="0" w:color="auto"/>
      </w:divBdr>
    </w:div>
    <w:div w:id="1211461497">
      <w:bodyDiv w:val="1"/>
      <w:marLeft w:val="0"/>
      <w:marRight w:val="0"/>
      <w:marTop w:val="0"/>
      <w:marBottom w:val="0"/>
      <w:divBdr>
        <w:top w:val="none" w:sz="0" w:space="0" w:color="auto"/>
        <w:left w:val="none" w:sz="0" w:space="0" w:color="auto"/>
        <w:bottom w:val="none" w:sz="0" w:space="0" w:color="auto"/>
        <w:right w:val="none" w:sz="0" w:space="0" w:color="auto"/>
      </w:divBdr>
    </w:div>
    <w:div w:id="1311715641">
      <w:bodyDiv w:val="1"/>
      <w:marLeft w:val="0"/>
      <w:marRight w:val="0"/>
      <w:marTop w:val="0"/>
      <w:marBottom w:val="0"/>
      <w:divBdr>
        <w:top w:val="none" w:sz="0" w:space="0" w:color="auto"/>
        <w:left w:val="none" w:sz="0" w:space="0" w:color="auto"/>
        <w:bottom w:val="none" w:sz="0" w:space="0" w:color="auto"/>
        <w:right w:val="none" w:sz="0" w:space="0" w:color="auto"/>
      </w:divBdr>
    </w:div>
    <w:div w:id="1350450634">
      <w:bodyDiv w:val="1"/>
      <w:marLeft w:val="0"/>
      <w:marRight w:val="0"/>
      <w:marTop w:val="0"/>
      <w:marBottom w:val="0"/>
      <w:divBdr>
        <w:top w:val="none" w:sz="0" w:space="0" w:color="auto"/>
        <w:left w:val="none" w:sz="0" w:space="0" w:color="auto"/>
        <w:bottom w:val="none" w:sz="0" w:space="0" w:color="auto"/>
        <w:right w:val="none" w:sz="0" w:space="0" w:color="auto"/>
      </w:divBdr>
    </w:div>
    <w:div w:id="1416976323">
      <w:bodyDiv w:val="1"/>
      <w:marLeft w:val="0"/>
      <w:marRight w:val="0"/>
      <w:marTop w:val="0"/>
      <w:marBottom w:val="0"/>
      <w:divBdr>
        <w:top w:val="none" w:sz="0" w:space="0" w:color="auto"/>
        <w:left w:val="none" w:sz="0" w:space="0" w:color="auto"/>
        <w:bottom w:val="none" w:sz="0" w:space="0" w:color="auto"/>
        <w:right w:val="none" w:sz="0" w:space="0" w:color="auto"/>
      </w:divBdr>
    </w:div>
    <w:div w:id="1476071193">
      <w:bodyDiv w:val="1"/>
      <w:marLeft w:val="0"/>
      <w:marRight w:val="0"/>
      <w:marTop w:val="0"/>
      <w:marBottom w:val="0"/>
      <w:divBdr>
        <w:top w:val="none" w:sz="0" w:space="0" w:color="auto"/>
        <w:left w:val="none" w:sz="0" w:space="0" w:color="auto"/>
        <w:bottom w:val="none" w:sz="0" w:space="0" w:color="auto"/>
        <w:right w:val="none" w:sz="0" w:space="0" w:color="auto"/>
      </w:divBdr>
    </w:div>
    <w:div w:id="1503079638">
      <w:bodyDiv w:val="1"/>
      <w:marLeft w:val="0"/>
      <w:marRight w:val="0"/>
      <w:marTop w:val="0"/>
      <w:marBottom w:val="0"/>
      <w:divBdr>
        <w:top w:val="none" w:sz="0" w:space="0" w:color="auto"/>
        <w:left w:val="none" w:sz="0" w:space="0" w:color="auto"/>
        <w:bottom w:val="none" w:sz="0" w:space="0" w:color="auto"/>
        <w:right w:val="none" w:sz="0" w:space="0" w:color="auto"/>
      </w:divBdr>
    </w:div>
    <w:div w:id="1506363675">
      <w:bodyDiv w:val="1"/>
      <w:marLeft w:val="0"/>
      <w:marRight w:val="0"/>
      <w:marTop w:val="0"/>
      <w:marBottom w:val="0"/>
      <w:divBdr>
        <w:top w:val="none" w:sz="0" w:space="0" w:color="auto"/>
        <w:left w:val="none" w:sz="0" w:space="0" w:color="auto"/>
        <w:bottom w:val="none" w:sz="0" w:space="0" w:color="auto"/>
        <w:right w:val="none" w:sz="0" w:space="0" w:color="auto"/>
      </w:divBdr>
    </w:div>
    <w:div w:id="1512329695">
      <w:bodyDiv w:val="1"/>
      <w:marLeft w:val="0"/>
      <w:marRight w:val="0"/>
      <w:marTop w:val="0"/>
      <w:marBottom w:val="0"/>
      <w:divBdr>
        <w:top w:val="none" w:sz="0" w:space="0" w:color="auto"/>
        <w:left w:val="none" w:sz="0" w:space="0" w:color="auto"/>
        <w:bottom w:val="none" w:sz="0" w:space="0" w:color="auto"/>
        <w:right w:val="none" w:sz="0" w:space="0" w:color="auto"/>
      </w:divBdr>
    </w:div>
    <w:div w:id="1541238878">
      <w:bodyDiv w:val="1"/>
      <w:marLeft w:val="0"/>
      <w:marRight w:val="0"/>
      <w:marTop w:val="0"/>
      <w:marBottom w:val="0"/>
      <w:divBdr>
        <w:top w:val="none" w:sz="0" w:space="0" w:color="auto"/>
        <w:left w:val="none" w:sz="0" w:space="0" w:color="auto"/>
        <w:bottom w:val="none" w:sz="0" w:space="0" w:color="auto"/>
        <w:right w:val="none" w:sz="0" w:space="0" w:color="auto"/>
      </w:divBdr>
    </w:div>
    <w:div w:id="1679575445">
      <w:bodyDiv w:val="1"/>
      <w:marLeft w:val="0"/>
      <w:marRight w:val="0"/>
      <w:marTop w:val="0"/>
      <w:marBottom w:val="0"/>
      <w:divBdr>
        <w:top w:val="none" w:sz="0" w:space="0" w:color="auto"/>
        <w:left w:val="none" w:sz="0" w:space="0" w:color="auto"/>
        <w:bottom w:val="none" w:sz="0" w:space="0" w:color="auto"/>
        <w:right w:val="none" w:sz="0" w:space="0" w:color="auto"/>
      </w:divBdr>
    </w:div>
    <w:div w:id="1697804510">
      <w:bodyDiv w:val="1"/>
      <w:marLeft w:val="0"/>
      <w:marRight w:val="0"/>
      <w:marTop w:val="0"/>
      <w:marBottom w:val="0"/>
      <w:divBdr>
        <w:top w:val="none" w:sz="0" w:space="0" w:color="auto"/>
        <w:left w:val="none" w:sz="0" w:space="0" w:color="auto"/>
        <w:bottom w:val="none" w:sz="0" w:space="0" w:color="auto"/>
        <w:right w:val="none" w:sz="0" w:space="0" w:color="auto"/>
      </w:divBdr>
    </w:div>
    <w:div w:id="1808015050">
      <w:bodyDiv w:val="1"/>
      <w:marLeft w:val="0"/>
      <w:marRight w:val="0"/>
      <w:marTop w:val="0"/>
      <w:marBottom w:val="0"/>
      <w:divBdr>
        <w:top w:val="none" w:sz="0" w:space="0" w:color="auto"/>
        <w:left w:val="none" w:sz="0" w:space="0" w:color="auto"/>
        <w:bottom w:val="none" w:sz="0" w:space="0" w:color="auto"/>
        <w:right w:val="none" w:sz="0" w:space="0" w:color="auto"/>
      </w:divBdr>
    </w:div>
    <w:div w:id="1837646770">
      <w:bodyDiv w:val="1"/>
      <w:marLeft w:val="0"/>
      <w:marRight w:val="0"/>
      <w:marTop w:val="0"/>
      <w:marBottom w:val="0"/>
      <w:divBdr>
        <w:top w:val="none" w:sz="0" w:space="0" w:color="auto"/>
        <w:left w:val="none" w:sz="0" w:space="0" w:color="auto"/>
        <w:bottom w:val="none" w:sz="0" w:space="0" w:color="auto"/>
        <w:right w:val="none" w:sz="0" w:space="0" w:color="auto"/>
      </w:divBdr>
    </w:div>
    <w:div w:id="1898665032">
      <w:bodyDiv w:val="1"/>
      <w:marLeft w:val="0"/>
      <w:marRight w:val="0"/>
      <w:marTop w:val="0"/>
      <w:marBottom w:val="0"/>
      <w:divBdr>
        <w:top w:val="none" w:sz="0" w:space="0" w:color="auto"/>
        <w:left w:val="none" w:sz="0" w:space="0" w:color="auto"/>
        <w:bottom w:val="none" w:sz="0" w:space="0" w:color="auto"/>
        <w:right w:val="none" w:sz="0" w:space="0" w:color="auto"/>
      </w:divBdr>
    </w:div>
    <w:div w:id="1937398311">
      <w:bodyDiv w:val="1"/>
      <w:marLeft w:val="0"/>
      <w:marRight w:val="0"/>
      <w:marTop w:val="0"/>
      <w:marBottom w:val="0"/>
      <w:divBdr>
        <w:top w:val="none" w:sz="0" w:space="0" w:color="auto"/>
        <w:left w:val="none" w:sz="0" w:space="0" w:color="auto"/>
        <w:bottom w:val="none" w:sz="0" w:space="0" w:color="auto"/>
        <w:right w:val="none" w:sz="0" w:space="0" w:color="auto"/>
      </w:divBdr>
    </w:div>
    <w:div w:id="1997496049">
      <w:bodyDiv w:val="1"/>
      <w:marLeft w:val="0"/>
      <w:marRight w:val="0"/>
      <w:marTop w:val="0"/>
      <w:marBottom w:val="0"/>
      <w:divBdr>
        <w:top w:val="none" w:sz="0" w:space="0" w:color="auto"/>
        <w:left w:val="none" w:sz="0" w:space="0" w:color="auto"/>
        <w:bottom w:val="none" w:sz="0" w:space="0" w:color="auto"/>
        <w:right w:val="none" w:sz="0" w:space="0" w:color="auto"/>
      </w:divBdr>
    </w:div>
    <w:div w:id="2007395472">
      <w:bodyDiv w:val="1"/>
      <w:marLeft w:val="0"/>
      <w:marRight w:val="0"/>
      <w:marTop w:val="0"/>
      <w:marBottom w:val="0"/>
      <w:divBdr>
        <w:top w:val="none" w:sz="0" w:space="0" w:color="auto"/>
        <w:left w:val="none" w:sz="0" w:space="0" w:color="auto"/>
        <w:bottom w:val="none" w:sz="0" w:space="0" w:color="auto"/>
        <w:right w:val="none" w:sz="0" w:space="0" w:color="auto"/>
      </w:divBdr>
    </w:div>
    <w:div w:id="21221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ls.gov/oes/current/oes_na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hs.gov/opioids/sites/default/files/2018-09/opioid-fivepoint-strategy-20180917-508compliant.pdf" TargetMode="External"/><Relationship Id="rId2" Type="http://schemas.openxmlformats.org/officeDocument/2006/relationships/hyperlink" Target="https://www.cdc.gov/about/organization/strategic-framework/index.html" TargetMode="External"/><Relationship Id="rId1" Type="http://schemas.openxmlformats.org/officeDocument/2006/relationships/hyperlink" Target="http://wonder.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44F2226E8654BA2F35CC67C4444B4" ma:contentTypeVersion="2" ma:contentTypeDescription="Create a new document." ma:contentTypeScope="" ma:versionID="ce483d2f7e9f0402da88e9efcadbe62d">
  <xsd:schema xmlns:xsd="http://www.w3.org/2001/XMLSchema" xmlns:xs="http://www.w3.org/2001/XMLSchema" xmlns:p="http://schemas.microsoft.com/office/2006/metadata/properties" xmlns:ns2="f8495237-1a57-4136-a23f-74328abdff37" targetNamespace="http://schemas.microsoft.com/office/2006/metadata/properties" ma:root="true" ma:fieldsID="38a9960198c44af6fe8affda2d15cc37" ns2:_="">
    <xsd:import namespace="f8495237-1a57-4136-a23f-74328abdff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95237-1a57-4136-a23f-74328abdf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C2E77-76B7-459E-B869-7CA98C344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95237-1a57-4136-a23f-74328abdf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1E6B5-CA52-4F65-8942-5E7D4AC189DF}">
  <ds:schemaRefs>
    <ds:schemaRef ds:uri="http://schemas.openxmlformats.org/officeDocument/2006/bibliography"/>
  </ds:schemaRefs>
</ds:datastoreItem>
</file>

<file path=customXml/itemProps3.xml><?xml version="1.0" encoding="utf-8"?>
<ds:datastoreItem xmlns:ds="http://schemas.openxmlformats.org/officeDocument/2006/customXml" ds:itemID="{56B08CF2-5E75-45DC-B5A1-7EB453EF69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5B4670-EB53-4110-B46D-94EC03C7D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7634</Words>
  <Characters>43517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Wharton</dc:creator>
  <cp:keywords/>
  <dc:description/>
  <cp:lastModifiedBy>Angel, Karen C. (CDC/DDNID/NCIPC/OD)</cp:lastModifiedBy>
  <cp:revision>5</cp:revision>
  <cp:lastPrinted>2020-02-04T17:03:00Z</cp:lastPrinted>
  <dcterms:created xsi:type="dcterms:W3CDTF">2022-01-27T02:13:00Z</dcterms:created>
  <dcterms:modified xsi:type="dcterms:W3CDTF">2022-01-27T02:39:00Z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0x01010017B44F2226E8654BA2F35CC67C4444B4</vt:lpwstr>
  </property>
  <property fmtid="{D5CDD505-2E9C-101B-9397-08002B2CF9AE}" pid="3" name="_dlc_DocIdItemGuid">
    <vt:lpwstr>191f12d7-2981-481a-aa6b-27811a9b696a</vt:lpwstr>
  </property>
  <property fmtid="{D5CDD505-2E9C-101B-9397-08002B2CF9AE}" pid="4" name="MSIP_Label_7b94a7b8-f06c-4dfe-bdcc-9b548fd58c31_Enabled">
    <vt:lpwstr>true</vt:lpwstr>
  </property>
  <property fmtid="{D5CDD505-2E9C-101B-9397-08002B2CF9AE}" pid="5" name="MSIP_Label_7b94a7b8-f06c-4dfe-bdcc-9b548fd58c31_SetDate">
    <vt:lpwstr>2021-02-24T02:16:33Z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036d5fea-5202-4d0a-a896-1f58cb66e5c4</vt:lpwstr>
  </property>
  <property fmtid="{D5CDD505-2E9C-101B-9397-08002B2CF9AE}" pid="10" name="MSIP_Label_7b94a7b8-f06c-4dfe-bdcc-9b548fd58c31_ContentBits">
    <vt:lpwstr>0</vt:lpwstr>
  </property>
</Properties>
</file>