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58CB" w:rsidP="000B4B0A" w:rsidRDefault="00D958CB" w14:paraId="6B443BB8" w14:textId="682ED76F">
      <w:pPr>
        <w:pStyle w:val="BodyText1"/>
        <w:spacing w:line="240" w:lineRule="auto"/>
        <w:ind w:firstLine="0"/>
      </w:pPr>
      <w:r>
        <w:t xml:space="preserve">Attachment L – Supplemental information. </w:t>
      </w:r>
    </w:p>
    <w:p w:rsidR="00D958CB" w:rsidP="000B4B0A" w:rsidRDefault="00D958CB" w14:paraId="202921D9" w14:textId="229DCEA5">
      <w:pPr>
        <w:pStyle w:val="BodyText1"/>
        <w:spacing w:line="240" w:lineRule="auto"/>
        <w:ind w:firstLine="0"/>
      </w:pPr>
    </w:p>
    <w:p w:rsidRPr="00B23BF7" w:rsidR="000B4B0A" w:rsidP="000B4B0A" w:rsidRDefault="000B4B0A" w14:paraId="131A2428" w14:textId="0848C899">
      <w:pPr>
        <w:pStyle w:val="BodyText1"/>
        <w:spacing w:line="240" w:lineRule="auto"/>
        <w:ind w:firstLine="0"/>
        <w:rPr>
          <w:i/>
          <w:iCs/>
        </w:rPr>
      </w:pPr>
      <w:r w:rsidRPr="00B708D3">
        <w:rPr>
          <w:b/>
          <w:bCs/>
        </w:rPr>
        <w:t>Exhibit 1</w:t>
      </w:r>
      <w:r>
        <w:t xml:space="preserve"> presents examples of guidelines at different levels that may be relevant, including the </w:t>
      </w:r>
      <w:r w:rsidRPr="009E0832">
        <w:rPr>
          <w:i/>
          <w:iCs/>
        </w:rPr>
        <w:t>CDC Guideline for Prescribing Opioids for Chronic Pain</w:t>
      </w:r>
      <w:r>
        <w:t xml:space="preserve">.  </w:t>
      </w:r>
    </w:p>
    <w:p w:rsidRPr="00F0473C" w:rsidR="000B4B0A" w:rsidP="000B4B0A" w:rsidRDefault="000B4B0A" w14:paraId="6CE9DFC8" w14:textId="77777777">
      <w:pPr>
        <w:pStyle w:val="BodyText"/>
        <w:ind w:left="0"/>
      </w:pPr>
    </w:p>
    <w:p w:rsidRPr="00B708D3" w:rsidR="000B4B0A" w:rsidP="000B4B0A" w:rsidRDefault="000B4B0A" w14:paraId="633ADFE9" w14:textId="77777777">
      <w:pPr>
        <w:pStyle w:val="Caption"/>
        <w:tabs>
          <w:tab w:val="left" w:pos="0"/>
        </w:tabs>
        <w:ind w:left="0" w:firstLine="0"/>
        <w:rPr>
          <w:rFonts w:asciiTheme="minorHAnsi" w:hAnsiTheme="minorHAnsi" w:cstheme="minorHAnsi"/>
          <w:b w:val="0"/>
          <w:bCs/>
          <w:sz w:val="22"/>
        </w:rPr>
      </w:pPr>
      <w:r w:rsidRPr="00B708D3">
        <w:rPr>
          <w:rFonts w:asciiTheme="minorHAnsi" w:hAnsiTheme="minorHAnsi" w:cstheme="minorHAnsi"/>
          <w:b w:val="0"/>
          <w:bCs/>
          <w:sz w:val="22"/>
        </w:rPr>
        <w:t>Exhibit 1. Examples of Policies and Guidelines</w:t>
      </w:r>
    </w:p>
    <w:tbl>
      <w:tblPr>
        <w:tblStyle w:val="TableGrid"/>
        <w:tblW w:w="9707" w:type="dxa"/>
        <w:tblInd w:w="-5" w:type="dxa"/>
        <w:tblLook w:val="04A0" w:firstRow="1" w:lastRow="0" w:firstColumn="1" w:lastColumn="0" w:noHBand="0" w:noVBand="1"/>
      </w:tblPr>
      <w:tblGrid>
        <w:gridCol w:w="2333"/>
        <w:gridCol w:w="7374"/>
      </w:tblGrid>
      <w:tr w:rsidRPr="007F7F56" w:rsidR="000B4B0A" w:rsidTr="00853D70" w14:paraId="4FC7FF0C" w14:textId="77777777">
        <w:trPr>
          <w:trHeight w:val="280"/>
          <w:tblHeader/>
        </w:trPr>
        <w:tc>
          <w:tcPr>
            <w:tcW w:w="2333" w:type="dxa"/>
            <w:shd w:val="clear" w:color="auto" w:fill="2E6E80"/>
            <w:vAlign w:val="center"/>
          </w:tcPr>
          <w:p w:rsidRPr="00E55BF9" w:rsidR="000B4B0A" w:rsidP="00853D70" w:rsidRDefault="000B4B0A" w14:paraId="64ACC8FB" w14:textId="77777777">
            <w:pPr>
              <w:pStyle w:val="TableColumnHeader"/>
              <w:tabs>
                <w:tab w:val="left" w:pos="0"/>
              </w:tabs>
            </w:pPr>
            <w:r w:rsidRPr="007F7F56">
              <w:t>Policy/Guideline Level</w:t>
            </w:r>
          </w:p>
        </w:tc>
        <w:tc>
          <w:tcPr>
            <w:tcW w:w="7374" w:type="dxa"/>
            <w:shd w:val="clear" w:color="auto" w:fill="2E6E80"/>
            <w:vAlign w:val="center"/>
          </w:tcPr>
          <w:p w:rsidRPr="00E55BF9" w:rsidR="000B4B0A" w:rsidP="00853D70" w:rsidRDefault="000B4B0A" w14:paraId="53A72F22" w14:textId="77777777">
            <w:pPr>
              <w:pStyle w:val="TableColumnHeader"/>
              <w:tabs>
                <w:tab w:val="left" w:pos="0"/>
              </w:tabs>
            </w:pPr>
            <w:r w:rsidRPr="007F7F56">
              <w:t>Description</w:t>
            </w:r>
          </w:p>
        </w:tc>
      </w:tr>
      <w:tr w:rsidRPr="00DC17F5" w:rsidR="000B4B0A" w:rsidTr="00853D70" w14:paraId="64E5510A" w14:textId="77777777">
        <w:trPr>
          <w:trHeight w:val="778"/>
        </w:trPr>
        <w:tc>
          <w:tcPr>
            <w:tcW w:w="2333" w:type="dxa"/>
            <w:vAlign w:val="center"/>
          </w:tcPr>
          <w:p w:rsidRPr="000B222C" w:rsidR="000B4B0A" w:rsidP="00853D70" w:rsidRDefault="000B4B0A" w14:paraId="46904514" w14:textId="77777777">
            <w:pPr>
              <w:pStyle w:val="TableText"/>
              <w:tabs>
                <w:tab w:val="left" w:pos="0"/>
              </w:tabs>
              <w:rPr>
                <w:rFonts w:ascii="Times New Roman" w:hAnsi="Times New Roman"/>
                <w:sz w:val="20"/>
              </w:rPr>
            </w:pPr>
            <w:r w:rsidRPr="000B222C">
              <w:rPr>
                <w:rFonts w:ascii="Times New Roman" w:hAnsi="Times New Roman"/>
                <w:sz w:val="20"/>
              </w:rPr>
              <w:t>Federal</w:t>
            </w:r>
          </w:p>
        </w:tc>
        <w:tc>
          <w:tcPr>
            <w:tcW w:w="7374" w:type="dxa"/>
            <w:vAlign w:val="center"/>
          </w:tcPr>
          <w:p w:rsidRPr="00F57165" w:rsidR="000B4B0A" w:rsidP="00853D70" w:rsidRDefault="000B4B0A" w14:paraId="27B6E250" w14:textId="77777777">
            <w:pPr>
              <w:pStyle w:val="TableBullets"/>
              <w:tabs>
                <w:tab w:val="clear" w:pos="360"/>
                <w:tab w:val="left" w:pos="0"/>
              </w:tabs>
              <w:ind w:left="0" w:firstLine="0"/>
              <w:rPr>
                <w:rFonts w:ascii="Times New Roman" w:hAnsi="Times New Roman" w:cs="Times New Roman"/>
              </w:rPr>
            </w:pPr>
            <w:r w:rsidRPr="00F57165">
              <w:rPr>
                <w:rFonts w:ascii="Times New Roman" w:hAnsi="Times New Roman" w:cs="Times New Roman"/>
              </w:rPr>
              <w:t>CDC Guideline for Prescribing Opioids for Chronic Pain</w:t>
            </w:r>
          </w:p>
          <w:p w:rsidRPr="00F57165" w:rsidR="000B4B0A" w:rsidP="00853D70" w:rsidRDefault="000B4B0A" w14:paraId="2E14ECEF" w14:textId="77777777">
            <w:pPr>
              <w:pStyle w:val="TableBullets"/>
              <w:tabs>
                <w:tab w:val="clear" w:pos="360"/>
                <w:tab w:val="left" w:pos="0"/>
              </w:tabs>
              <w:ind w:left="0" w:firstLine="0"/>
              <w:rPr>
                <w:rFonts w:ascii="Times New Roman" w:hAnsi="Times New Roman" w:cs="Times New Roman"/>
              </w:rPr>
            </w:pPr>
            <w:r w:rsidRPr="00F57165">
              <w:rPr>
                <w:rFonts w:ascii="Times New Roman" w:hAnsi="Times New Roman" w:cs="Times New Roman"/>
              </w:rPr>
              <w:t xml:space="preserve">SAMHSA Opioid Overdose Prevention Toolkit </w:t>
            </w:r>
          </w:p>
          <w:p w:rsidRPr="00F57165" w:rsidR="000B4B0A" w:rsidP="00853D70" w:rsidRDefault="000B4B0A" w14:paraId="73D24671" w14:textId="77777777">
            <w:pPr>
              <w:pStyle w:val="TableBullets"/>
              <w:tabs>
                <w:tab w:val="clear" w:pos="360"/>
                <w:tab w:val="left" w:pos="0"/>
              </w:tabs>
              <w:ind w:left="0" w:firstLine="0"/>
              <w:rPr>
                <w:rFonts w:ascii="Times New Roman" w:hAnsi="Times New Roman" w:cs="Times New Roman"/>
              </w:rPr>
            </w:pPr>
            <w:r w:rsidRPr="00F57165">
              <w:rPr>
                <w:rFonts w:ascii="Times New Roman" w:hAnsi="Times New Roman" w:cs="Times New Roman"/>
              </w:rPr>
              <w:t>VA/DoD Guidelines</w:t>
            </w:r>
          </w:p>
        </w:tc>
      </w:tr>
      <w:tr w:rsidRPr="00DC17F5" w:rsidR="000B4B0A" w:rsidTr="00853D70" w14:paraId="00406C6F" w14:textId="77777777">
        <w:trPr>
          <w:trHeight w:val="778"/>
        </w:trPr>
        <w:tc>
          <w:tcPr>
            <w:tcW w:w="2333" w:type="dxa"/>
            <w:vAlign w:val="center"/>
          </w:tcPr>
          <w:p w:rsidRPr="000B222C" w:rsidR="000B4B0A" w:rsidP="00853D70" w:rsidRDefault="000B4B0A" w14:paraId="4C62CD5D" w14:textId="77777777">
            <w:pPr>
              <w:pStyle w:val="TableText"/>
              <w:tabs>
                <w:tab w:val="left" w:pos="0"/>
              </w:tabs>
              <w:rPr>
                <w:rFonts w:ascii="Times New Roman" w:hAnsi="Times New Roman"/>
                <w:sz w:val="20"/>
              </w:rPr>
            </w:pPr>
            <w:r w:rsidRPr="000B222C">
              <w:rPr>
                <w:rFonts w:ascii="Times New Roman" w:hAnsi="Times New Roman"/>
                <w:sz w:val="20"/>
              </w:rPr>
              <w:t xml:space="preserve">State </w:t>
            </w:r>
          </w:p>
        </w:tc>
        <w:tc>
          <w:tcPr>
            <w:tcW w:w="7374" w:type="dxa"/>
            <w:vAlign w:val="center"/>
          </w:tcPr>
          <w:p w:rsidRPr="00F57165" w:rsidR="000B4B0A" w:rsidP="00853D70" w:rsidRDefault="000B4B0A" w14:paraId="056D55BC" w14:textId="77777777">
            <w:pPr>
              <w:pStyle w:val="TableBullets"/>
              <w:tabs>
                <w:tab w:val="clear" w:pos="360"/>
                <w:tab w:val="left" w:pos="0"/>
              </w:tabs>
              <w:ind w:left="0" w:firstLine="0"/>
              <w:rPr>
                <w:rFonts w:ascii="Times New Roman" w:hAnsi="Times New Roman" w:cs="Times New Roman"/>
              </w:rPr>
            </w:pPr>
            <w:r w:rsidRPr="00F57165">
              <w:rPr>
                <w:rFonts w:ascii="Times New Roman" w:hAnsi="Times New Roman" w:cs="Times New Roman"/>
              </w:rPr>
              <w:t>Clinician registration and use of PDMPs when prescribing controlled substances</w:t>
            </w:r>
          </w:p>
          <w:p w:rsidRPr="00F57165" w:rsidR="000B4B0A" w:rsidP="00853D70" w:rsidRDefault="000B4B0A" w14:paraId="4E7EC4D1" w14:textId="77777777">
            <w:pPr>
              <w:pStyle w:val="TableBullets"/>
              <w:tabs>
                <w:tab w:val="clear" w:pos="360"/>
                <w:tab w:val="left" w:pos="0"/>
              </w:tabs>
              <w:ind w:left="0" w:firstLine="0"/>
              <w:rPr>
                <w:rFonts w:ascii="Times New Roman" w:hAnsi="Times New Roman" w:cs="Times New Roman"/>
              </w:rPr>
            </w:pPr>
            <w:r w:rsidRPr="00F57165">
              <w:rPr>
                <w:rFonts w:ascii="Times New Roman" w:hAnsi="Times New Roman" w:cs="Times New Roman"/>
              </w:rPr>
              <w:t>Days’ supply limits to opioid prescriptions for acute pain</w:t>
            </w:r>
          </w:p>
          <w:p w:rsidRPr="00F57165" w:rsidR="000B4B0A" w:rsidP="00853D70" w:rsidRDefault="000B4B0A" w14:paraId="7051769E" w14:textId="77777777">
            <w:pPr>
              <w:pStyle w:val="TableBullets"/>
              <w:tabs>
                <w:tab w:val="clear" w:pos="360"/>
                <w:tab w:val="left" w:pos="0"/>
              </w:tabs>
              <w:ind w:left="0" w:firstLine="0"/>
              <w:rPr>
                <w:rFonts w:ascii="Times New Roman" w:hAnsi="Times New Roman" w:cs="Times New Roman"/>
              </w:rPr>
            </w:pPr>
            <w:r w:rsidRPr="00F57165">
              <w:rPr>
                <w:rFonts w:ascii="Times New Roman" w:hAnsi="Times New Roman" w:cs="Times New Roman"/>
              </w:rPr>
              <w:t>Substance misuse assessment prior to prescribing</w:t>
            </w:r>
          </w:p>
        </w:tc>
      </w:tr>
      <w:tr w:rsidRPr="00DC17F5" w:rsidR="000B4B0A" w:rsidTr="00853D70" w14:paraId="1EB26989" w14:textId="77777777">
        <w:trPr>
          <w:trHeight w:val="255"/>
        </w:trPr>
        <w:tc>
          <w:tcPr>
            <w:tcW w:w="2333" w:type="dxa"/>
            <w:vAlign w:val="center"/>
          </w:tcPr>
          <w:p w:rsidRPr="000B222C" w:rsidR="000B4B0A" w:rsidP="00853D70" w:rsidRDefault="000B4B0A" w14:paraId="428C9A7E" w14:textId="77777777">
            <w:pPr>
              <w:pStyle w:val="TableText"/>
              <w:tabs>
                <w:tab w:val="left" w:pos="0"/>
              </w:tabs>
              <w:rPr>
                <w:rFonts w:ascii="Times New Roman" w:hAnsi="Times New Roman"/>
                <w:sz w:val="20"/>
              </w:rPr>
            </w:pPr>
            <w:r w:rsidRPr="000B222C">
              <w:rPr>
                <w:rFonts w:ascii="Times New Roman" w:hAnsi="Times New Roman"/>
                <w:sz w:val="20"/>
              </w:rPr>
              <w:t>Local: municipal, county</w:t>
            </w:r>
          </w:p>
        </w:tc>
        <w:tc>
          <w:tcPr>
            <w:tcW w:w="7374" w:type="dxa"/>
            <w:vAlign w:val="center"/>
          </w:tcPr>
          <w:p w:rsidRPr="00F57165" w:rsidR="000B4B0A" w:rsidP="00853D70" w:rsidRDefault="000B4B0A" w14:paraId="270FA825" w14:textId="77777777">
            <w:pPr>
              <w:pStyle w:val="TableBullets"/>
              <w:tabs>
                <w:tab w:val="clear" w:pos="360"/>
                <w:tab w:val="left" w:pos="0"/>
              </w:tabs>
              <w:ind w:left="0" w:firstLine="0"/>
              <w:rPr>
                <w:rFonts w:ascii="Times New Roman" w:hAnsi="Times New Roman" w:cs="Times New Roman"/>
              </w:rPr>
            </w:pPr>
            <w:r w:rsidRPr="00F57165">
              <w:rPr>
                <w:rFonts w:ascii="Times New Roman" w:hAnsi="Times New Roman" w:cs="Times New Roman"/>
              </w:rPr>
              <w:t>Naloxone access without a prescription, standing orders</w:t>
            </w:r>
          </w:p>
        </w:tc>
      </w:tr>
      <w:tr w:rsidRPr="00DC17F5" w:rsidR="000B4B0A" w:rsidTr="00853D70" w14:paraId="3C595CD1" w14:textId="77777777">
        <w:trPr>
          <w:trHeight w:val="1479"/>
        </w:trPr>
        <w:tc>
          <w:tcPr>
            <w:tcW w:w="2333" w:type="dxa"/>
            <w:vAlign w:val="center"/>
          </w:tcPr>
          <w:p w:rsidRPr="000B222C" w:rsidR="000B4B0A" w:rsidP="00853D70" w:rsidRDefault="000B4B0A" w14:paraId="3D877B4B" w14:textId="77777777">
            <w:pPr>
              <w:pStyle w:val="TableText"/>
              <w:tabs>
                <w:tab w:val="left" w:pos="0"/>
              </w:tabs>
              <w:rPr>
                <w:rFonts w:ascii="Times New Roman" w:hAnsi="Times New Roman"/>
                <w:sz w:val="20"/>
              </w:rPr>
            </w:pPr>
            <w:r w:rsidRPr="000B222C">
              <w:rPr>
                <w:rFonts w:ascii="Times New Roman" w:hAnsi="Times New Roman"/>
                <w:sz w:val="20"/>
              </w:rPr>
              <w:t>Health System/</w:t>
            </w:r>
            <w:r>
              <w:rPr>
                <w:rFonts w:ascii="Times New Roman" w:hAnsi="Times New Roman"/>
                <w:sz w:val="20"/>
              </w:rPr>
              <w:t xml:space="preserve"> </w:t>
            </w:r>
            <w:r w:rsidRPr="000B222C">
              <w:rPr>
                <w:rFonts w:ascii="Times New Roman" w:hAnsi="Times New Roman"/>
                <w:sz w:val="20"/>
              </w:rPr>
              <w:t>Organization</w:t>
            </w:r>
          </w:p>
        </w:tc>
        <w:tc>
          <w:tcPr>
            <w:tcW w:w="7374" w:type="dxa"/>
            <w:vAlign w:val="center"/>
          </w:tcPr>
          <w:p w:rsidRPr="00F57165" w:rsidR="000B4B0A" w:rsidP="00853D70" w:rsidRDefault="000B4B0A" w14:paraId="1191D3E0" w14:textId="77777777">
            <w:pPr>
              <w:pStyle w:val="TableBullets"/>
              <w:tabs>
                <w:tab w:val="clear" w:pos="360"/>
                <w:tab w:val="left" w:pos="0"/>
              </w:tabs>
              <w:ind w:left="0" w:firstLine="0"/>
              <w:rPr>
                <w:rFonts w:ascii="Times New Roman" w:hAnsi="Times New Roman" w:cs="Times New Roman"/>
              </w:rPr>
            </w:pPr>
            <w:r w:rsidRPr="00F57165">
              <w:rPr>
                <w:rFonts w:ascii="Times New Roman" w:hAnsi="Times New Roman" w:cs="Times New Roman"/>
              </w:rPr>
              <w:t xml:space="preserve">Clinical guidelines or policies on: </w:t>
            </w:r>
          </w:p>
          <w:p w:rsidRPr="00F57165" w:rsidR="000B4B0A" w:rsidP="00853D70" w:rsidRDefault="000B4B0A" w14:paraId="2279F3DF" w14:textId="77777777">
            <w:pPr>
              <w:pStyle w:val="TableBullets"/>
              <w:numPr>
                <w:ilvl w:val="1"/>
                <w:numId w:val="1"/>
              </w:numPr>
              <w:tabs>
                <w:tab w:val="left" w:pos="0"/>
              </w:tabs>
              <w:ind w:left="976"/>
              <w:rPr>
                <w:rFonts w:ascii="Times New Roman" w:hAnsi="Times New Roman" w:cs="Times New Roman"/>
              </w:rPr>
            </w:pPr>
            <w:r w:rsidRPr="00F57165">
              <w:rPr>
                <w:rFonts w:ascii="Times New Roman" w:hAnsi="Times New Roman" w:cs="Times New Roman"/>
              </w:rPr>
              <w:t>Assessing risk and addressing harms of opioid use</w:t>
            </w:r>
          </w:p>
          <w:p w:rsidRPr="00F57165" w:rsidR="000B4B0A" w:rsidP="00853D70" w:rsidRDefault="000B4B0A" w14:paraId="3B8D6E08" w14:textId="77777777">
            <w:pPr>
              <w:pStyle w:val="TableBullets"/>
              <w:numPr>
                <w:ilvl w:val="1"/>
                <w:numId w:val="1"/>
              </w:numPr>
              <w:tabs>
                <w:tab w:val="left" w:pos="0"/>
              </w:tabs>
              <w:ind w:left="976"/>
              <w:rPr>
                <w:rFonts w:ascii="Times New Roman" w:hAnsi="Times New Roman" w:cs="Times New Roman"/>
              </w:rPr>
            </w:pPr>
            <w:r w:rsidRPr="00F57165">
              <w:rPr>
                <w:rFonts w:ascii="Times New Roman" w:hAnsi="Times New Roman" w:cs="Times New Roman"/>
              </w:rPr>
              <w:t>When to initiate or continue opioids for chronic pain</w:t>
            </w:r>
          </w:p>
          <w:p w:rsidRPr="00F57165" w:rsidR="000B4B0A" w:rsidP="00853D70" w:rsidRDefault="000B4B0A" w14:paraId="3BC2EF57" w14:textId="77777777">
            <w:pPr>
              <w:pStyle w:val="TableBullets"/>
              <w:numPr>
                <w:ilvl w:val="1"/>
                <w:numId w:val="1"/>
              </w:numPr>
              <w:tabs>
                <w:tab w:val="left" w:pos="0"/>
              </w:tabs>
              <w:ind w:left="976"/>
              <w:rPr>
                <w:rFonts w:ascii="Times New Roman" w:hAnsi="Times New Roman" w:cs="Times New Roman"/>
              </w:rPr>
            </w:pPr>
            <w:r w:rsidRPr="00F57165">
              <w:rPr>
                <w:rFonts w:ascii="Times New Roman" w:hAnsi="Times New Roman" w:cs="Times New Roman"/>
              </w:rPr>
              <w:t>Opioid selection, dosage, follow-up, and discontinuation</w:t>
            </w:r>
          </w:p>
          <w:p w:rsidRPr="00F57165" w:rsidR="000B4B0A" w:rsidP="00853D70" w:rsidRDefault="000B4B0A" w14:paraId="4064AC8E" w14:textId="77777777">
            <w:pPr>
              <w:pStyle w:val="TableBullets"/>
              <w:numPr>
                <w:ilvl w:val="1"/>
                <w:numId w:val="1"/>
              </w:numPr>
              <w:tabs>
                <w:tab w:val="left" w:pos="0"/>
              </w:tabs>
              <w:ind w:left="976"/>
              <w:rPr>
                <w:rFonts w:ascii="Times New Roman" w:hAnsi="Times New Roman" w:cs="Times New Roman"/>
              </w:rPr>
            </w:pPr>
            <w:r w:rsidRPr="00F57165">
              <w:rPr>
                <w:rFonts w:ascii="Times New Roman" w:hAnsi="Times New Roman" w:cs="Times New Roman"/>
              </w:rPr>
              <w:t>Referral to addiction or pain specialists for treatment when needed</w:t>
            </w:r>
          </w:p>
          <w:p w:rsidRPr="00F57165" w:rsidR="000B4B0A" w:rsidP="00853D70" w:rsidRDefault="000B4B0A" w14:paraId="713C9627" w14:textId="77777777">
            <w:pPr>
              <w:pStyle w:val="TableBullets"/>
              <w:numPr>
                <w:ilvl w:val="1"/>
                <w:numId w:val="1"/>
              </w:numPr>
              <w:tabs>
                <w:tab w:val="left" w:pos="0"/>
              </w:tabs>
              <w:ind w:left="976"/>
              <w:rPr>
                <w:rFonts w:ascii="Times New Roman" w:hAnsi="Times New Roman" w:cs="Times New Roman"/>
              </w:rPr>
            </w:pPr>
            <w:r w:rsidRPr="00F57165">
              <w:rPr>
                <w:rFonts w:ascii="Times New Roman" w:hAnsi="Times New Roman" w:cs="Times New Roman"/>
              </w:rPr>
              <w:t>Medications for OUD (MOUD) within primary care clinician’s practice</w:t>
            </w:r>
          </w:p>
        </w:tc>
      </w:tr>
    </w:tbl>
    <w:p w:rsidR="000B4B0A" w:rsidP="000B4B0A" w:rsidRDefault="000B4B0A" w14:paraId="4B4A8123" w14:textId="77777777">
      <w:pPr>
        <w:pStyle w:val="BodyText"/>
        <w:tabs>
          <w:tab w:val="left" w:pos="0"/>
        </w:tabs>
        <w:ind w:left="0" w:right="0"/>
      </w:pPr>
    </w:p>
    <w:p w:rsidR="000B4B0A" w:rsidP="000B4B0A" w:rsidRDefault="00F66389" w14:paraId="7D9C7EC8" w14:textId="1B0D5A93">
      <w:pPr>
        <w:pStyle w:val="BodyText"/>
        <w:tabs>
          <w:tab w:val="left" w:pos="0"/>
        </w:tabs>
        <w:ind w:left="0" w:right="0"/>
      </w:pPr>
      <w:r w:rsidRPr="00B708D3">
        <w:rPr>
          <w:b/>
          <w:bCs/>
        </w:rPr>
        <w:t xml:space="preserve">Exhibit </w:t>
      </w:r>
      <w:r w:rsidRPr="00B708D3">
        <w:rPr>
          <w:b/>
          <w:bCs/>
        </w:rPr>
        <w:t>2</w:t>
      </w:r>
      <w:r>
        <w:t xml:space="preserve"> presents </w:t>
      </w:r>
      <w:r>
        <w:t xml:space="preserve">a logic model </w:t>
      </w:r>
      <w:r>
        <w:t xml:space="preserve">of </w:t>
      </w:r>
      <w:r>
        <w:t xml:space="preserve">the implementation of </w:t>
      </w:r>
      <w:r>
        <w:t xml:space="preserve">guidelines </w:t>
      </w:r>
      <w:r>
        <w:t xml:space="preserve">and policies </w:t>
      </w:r>
    </w:p>
    <w:p w:rsidR="00B708D3" w:rsidP="000B4B0A" w:rsidRDefault="00B708D3" w14:paraId="6A586994" w14:textId="77777777">
      <w:pPr>
        <w:pStyle w:val="BodyText"/>
        <w:tabs>
          <w:tab w:val="left" w:pos="0"/>
        </w:tabs>
        <w:ind w:left="0" w:right="0"/>
      </w:pPr>
    </w:p>
    <w:p w:rsidRPr="00B708D3" w:rsidR="000B4B0A" w:rsidP="000B4B0A" w:rsidRDefault="000B4B0A" w14:paraId="77B8B531" w14:textId="77777777">
      <w:pPr>
        <w:pStyle w:val="Caption"/>
        <w:ind w:left="0" w:firstLine="0"/>
        <w:rPr>
          <w:rFonts w:asciiTheme="minorHAnsi" w:hAnsiTheme="minorHAnsi" w:cstheme="minorBidi"/>
          <w:b w:val="0"/>
          <w:bCs/>
          <w:sz w:val="22"/>
        </w:rPr>
      </w:pPr>
      <w:r w:rsidRPr="00B708D3">
        <w:rPr>
          <w:rFonts w:asciiTheme="minorHAnsi" w:hAnsiTheme="minorHAnsi" w:cstheme="minorBidi"/>
          <w:b w:val="0"/>
          <w:bCs/>
          <w:sz w:val="22"/>
        </w:rPr>
        <w:t>Exhibit 2. Logic Model of Health Systems’ Implementation of Opioid Policies or Guidelines</w:t>
      </w:r>
    </w:p>
    <w:p w:rsidRPr="00E13AC8" w:rsidR="000B4B0A" w:rsidP="000B4B0A" w:rsidRDefault="000B4B0A" w14:paraId="040C006E" w14:textId="77777777">
      <w:pPr>
        <w:pStyle w:val="NormalSS"/>
        <w:tabs>
          <w:tab w:val="left" w:pos="0"/>
        </w:tabs>
        <w:ind w:firstLine="0"/>
        <w:rPr>
          <w:b/>
        </w:rPr>
      </w:pPr>
      <w:r>
        <w:rPr>
          <w:b/>
          <w:noProof/>
        </w:rPr>
        <w:drawing>
          <wp:inline distT="0" distB="0" distL="0" distR="0" wp14:anchorId="441EF30E" wp14:editId="725F3354">
            <wp:extent cx="6169189" cy="3870960"/>
            <wp:effectExtent l="0" t="0" r="317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0359" cy="3877969"/>
                    </a:xfrm>
                    <a:prstGeom prst="rect">
                      <a:avLst/>
                    </a:prstGeom>
                    <a:noFill/>
                  </pic:spPr>
                </pic:pic>
              </a:graphicData>
            </a:graphic>
          </wp:inline>
        </w:drawing>
      </w:r>
    </w:p>
    <w:p w:rsidR="000B4B0A" w:rsidP="000B4B0A" w:rsidRDefault="000B4B0A" w14:paraId="5B793787" w14:textId="77777777">
      <w:pPr>
        <w:spacing w:line="240" w:lineRule="auto"/>
        <w:ind w:firstLine="0"/>
      </w:pPr>
    </w:p>
    <w:p w:rsidR="00FC70C6" w:rsidP="00B708D3" w:rsidRDefault="00B708D3" w14:paraId="702DE52B" w14:textId="38A61BCC">
      <w:pPr>
        <w:spacing w:line="240" w:lineRule="auto"/>
        <w:ind w:firstLine="0"/>
      </w:pPr>
      <w:r w:rsidRPr="00B708D3">
        <w:rPr>
          <w:b/>
          <w:bCs/>
        </w:rPr>
        <w:t>Exhibit 3</w:t>
      </w:r>
      <w:r>
        <w:t xml:space="preserve"> outlines the formative research questions, their data source(s), and the intended use of the data obtained from each question.</w:t>
      </w:r>
    </w:p>
    <w:p w:rsidR="00B708D3" w:rsidP="00B708D3" w:rsidRDefault="00B708D3" w14:paraId="2DA7087A" w14:textId="77777777">
      <w:pPr>
        <w:spacing w:line="240" w:lineRule="auto"/>
        <w:ind w:firstLine="0"/>
      </w:pPr>
    </w:p>
    <w:p w:rsidRPr="00B708D3" w:rsidR="00612659" w:rsidP="00612659" w:rsidRDefault="00612659" w14:paraId="7CC82497" w14:textId="2F390F31">
      <w:pPr>
        <w:pStyle w:val="MarkforTableHeading"/>
        <w:spacing w:after="0"/>
        <w:rPr>
          <w:rFonts w:asciiTheme="minorHAnsi" w:hAnsiTheme="minorHAnsi" w:cstheme="minorBidi"/>
          <w:lang w:bidi="en-US"/>
        </w:rPr>
      </w:pPr>
      <w:r w:rsidRPr="00B708D3">
        <w:rPr>
          <w:rFonts w:asciiTheme="minorHAnsi" w:hAnsiTheme="minorHAnsi" w:cstheme="minorBidi"/>
          <w:lang w:bidi="en-US"/>
        </w:rPr>
        <w:t>Exhibit 3. Summary of Formative Research Questions, by Data Source</w:t>
      </w:r>
    </w:p>
    <w:tbl>
      <w:tblPr>
        <w:tblStyle w:val="AbtFinal2"/>
        <w:tblW w:w="4955" w:type="pct"/>
        <w:tblLayout w:type="fixed"/>
        <w:tblLook w:val="04A0" w:firstRow="1" w:lastRow="0" w:firstColumn="1" w:lastColumn="0" w:noHBand="0" w:noVBand="1"/>
      </w:tblPr>
      <w:tblGrid>
        <w:gridCol w:w="6404"/>
        <w:gridCol w:w="640"/>
        <w:gridCol w:w="601"/>
        <w:gridCol w:w="525"/>
        <w:gridCol w:w="525"/>
        <w:gridCol w:w="607"/>
        <w:gridCol w:w="677"/>
      </w:tblGrid>
      <w:tr w:rsidRPr="007A2798" w:rsidR="00612659" w:rsidTr="00612659" w14:paraId="08B2331B" w14:textId="77777777">
        <w:trPr>
          <w:cnfStyle w:val="100000000000" w:firstRow="1" w:lastRow="0" w:firstColumn="0" w:lastColumn="0" w:oddVBand="0" w:evenVBand="0" w:oddHBand="0" w:evenHBand="0" w:firstRowFirstColumn="0" w:firstRowLastColumn="0" w:lastRowFirstColumn="0" w:lastRowLastColumn="0"/>
          <w:trHeight w:val="1471"/>
        </w:trPr>
        <w:tc>
          <w:tcPr>
            <w:cnfStyle w:val="001000000000" w:firstRow="0" w:lastRow="0" w:firstColumn="1" w:lastColumn="0" w:oddVBand="0" w:evenVBand="0" w:oddHBand="0" w:evenHBand="0" w:firstRowFirstColumn="0" w:firstRowLastColumn="0" w:lastRowFirstColumn="0" w:lastRowLastColumn="0"/>
            <w:tcW w:w="3209" w:type="pct"/>
          </w:tcPr>
          <w:p w:rsidRPr="00A944FC" w:rsidR="00612659" w:rsidP="00853D70" w:rsidRDefault="00612659" w14:paraId="2530BF53" w14:textId="77777777">
            <w:pPr>
              <w:pStyle w:val="TableColumnHeader"/>
              <w:tabs>
                <w:tab w:val="left" w:pos="0"/>
              </w:tabs>
              <w:rPr>
                <w:b/>
              </w:rPr>
            </w:pPr>
            <w:r>
              <w:rPr>
                <w:b/>
              </w:rPr>
              <w:t>Formative Research</w:t>
            </w:r>
            <w:r w:rsidRPr="00A944FC">
              <w:rPr>
                <w:b/>
              </w:rPr>
              <w:t xml:space="preserve"> Questions</w:t>
            </w:r>
          </w:p>
        </w:tc>
        <w:tc>
          <w:tcPr>
            <w:tcW w:w="321" w:type="pct"/>
            <w:textDirection w:val="btLr"/>
          </w:tcPr>
          <w:p w:rsidRPr="00A944FC" w:rsidR="00612659" w:rsidP="00853D70" w:rsidRDefault="00612659" w14:paraId="5A28A067" w14:textId="77777777">
            <w:pPr>
              <w:pStyle w:val="TableColumnHeader"/>
              <w:tabs>
                <w:tab w:val="left" w:pos="0"/>
              </w:tabs>
              <w:jc w:val="left"/>
              <w:cnfStyle w:val="100000000000" w:firstRow="1" w:lastRow="0" w:firstColumn="0" w:lastColumn="0" w:oddVBand="0" w:evenVBand="0" w:oddHBand="0" w:evenHBand="0" w:firstRowFirstColumn="0" w:firstRowLastColumn="0" w:lastRowFirstColumn="0" w:lastRowLastColumn="0"/>
              <w:rPr>
                <w:b/>
              </w:rPr>
            </w:pPr>
            <w:r w:rsidRPr="00A944FC">
              <w:rPr>
                <w:b/>
              </w:rPr>
              <w:t>Patient-level data</w:t>
            </w:r>
          </w:p>
        </w:tc>
        <w:tc>
          <w:tcPr>
            <w:tcW w:w="301" w:type="pct"/>
            <w:textDirection w:val="btLr"/>
          </w:tcPr>
          <w:p w:rsidRPr="00C660C4" w:rsidR="00612659" w:rsidP="00853D70" w:rsidRDefault="00612659" w14:paraId="639E73AC" w14:textId="77777777">
            <w:pPr>
              <w:pStyle w:val="TableColumnHeader"/>
              <w:tabs>
                <w:tab w:val="left" w:pos="0"/>
              </w:tabs>
              <w:jc w:val="left"/>
              <w:cnfStyle w:val="100000000000" w:firstRow="1" w:lastRow="0" w:firstColumn="0" w:lastColumn="0" w:oddVBand="0" w:evenVBand="0" w:oddHBand="0" w:evenHBand="0" w:firstRowFirstColumn="0" w:firstRowLastColumn="0" w:lastRowFirstColumn="0" w:lastRowLastColumn="0"/>
              <w:rPr>
                <w:b/>
                <w:sz w:val="18"/>
                <w:szCs w:val="18"/>
              </w:rPr>
            </w:pPr>
            <w:r w:rsidRPr="00C660C4">
              <w:rPr>
                <w:b/>
                <w:sz w:val="18"/>
                <w:szCs w:val="18"/>
              </w:rPr>
              <w:t>Systems QI Measures</w:t>
            </w:r>
          </w:p>
        </w:tc>
        <w:tc>
          <w:tcPr>
            <w:tcW w:w="263" w:type="pct"/>
            <w:textDirection w:val="btLr"/>
          </w:tcPr>
          <w:p w:rsidRPr="00A944FC" w:rsidR="00612659" w:rsidP="00853D70" w:rsidRDefault="00612659" w14:paraId="50C868AC" w14:textId="77777777">
            <w:pPr>
              <w:pStyle w:val="TableColumnHeader"/>
              <w:tabs>
                <w:tab w:val="left" w:pos="0"/>
              </w:tabs>
              <w:jc w:val="left"/>
              <w:cnfStyle w:val="100000000000" w:firstRow="1" w:lastRow="0" w:firstColumn="0" w:lastColumn="0" w:oddVBand="0" w:evenVBand="0" w:oddHBand="0" w:evenHBand="0" w:firstRowFirstColumn="0" w:firstRowLastColumn="0" w:lastRowFirstColumn="0" w:lastRowLastColumn="0"/>
              <w:rPr>
                <w:b/>
              </w:rPr>
            </w:pPr>
            <w:r>
              <w:rPr>
                <w:b/>
              </w:rPr>
              <w:t>Clinician</w:t>
            </w:r>
            <w:r w:rsidRPr="00A944FC">
              <w:rPr>
                <w:b/>
              </w:rPr>
              <w:t xml:space="preserve"> Survey</w:t>
            </w:r>
          </w:p>
        </w:tc>
        <w:tc>
          <w:tcPr>
            <w:tcW w:w="263" w:type="pct"/>
            <w:textDirection w:val="btLr"/>
          </w:tcPr>
          <w:p w:rsidRPr="00A944FC" w:rsidR="00612659" w:rsidP="00853D70" w:rsidRDefault="00612659" w14:paraId="33646A7F" w14:textId="77777777">
            <w:pPr>
              <w:pStyle w:val="TableColumnHeader"/>
              <w:tabs>
                <w:tab w:val="left" w:pos="0"/>
              </w:tabs>
              <w:jc w:val="left"/>
              <w:cnfStyle w:val="100000000000" w:firstRow="1" w:lastRow="0" w:firstColumn="0" w:lastColumn="0" w:oddVBand="0" w:evenVBand="0" w:oddHBand="0" w:evenHBand="0" w:firstRowFirstColumn="0" w:firstRowLastColumn="0" w:lastRowFirstColumn="0" w:lastRowLastColumn="0"/>
              <w:rPr>
                <w:b/>
              </w:rPr>
            </w:pPr>
            <w:r w:rsidRPr="00A944FC">
              <w:rPr>
                <w:b/>
              </w:rPr>
              <w:t>Patient Survey</w:t>
            </w:r>
          </w:p>
        </w:tc>
        <w:tc>
          <w:tcPr>
            <w:tcW w:w="304" w:type="pct"/>
            <w:textDirection w:val="btLr"/>
          </w:tcPr>
          <w:p w:rsidRPr="00A944FC" w:rsidR="00612659" w:rsidP="00853D70" w:rsidRDefault="00612659" w14:paraId="2E566613" w14:textId="77777777">
            <w:pPr>
              <w:pStyle w:val="TableColumnHeader"/>
              <w:tabs>
                <w:tab w:val="left" w:pos="0"/>
              </w:tabs>
              <w:jc w:val="left"/>
              <w:cnfStyle w:val="100000000000" w:firstRow="1" w:lastRow="0" w:firstColumn="0" w:lastColumn="0" w:oddVBand="0" w:evenVBand="0" w:oddHBand="0" w:evenHBand="0" w:firstRowFirstColumn="0" w:firstRowLastColumn="0" w:lastRowFirstColumn="0" w:lastRowLastColumn="0"/>
              <w:rPr>
                <w:b/>
              </w:rPr>
            </w:pPr>
            <w:r w:rsidRPr="00A944FC">
              <w:rPr>
                <w:b/>
              </w:rPr>
              <w:t xml:space="preserve">Leader Interviews </w:t>
            </w:r>
          </w:p>
        </w:tc>
        <w:tc>
          <w:tcPr>
            <w:tcW w:w="339" w:type="pct"/>
            <w:textDirection w:val="btLr"/>
          </w:tcPr>
          <w:p w:rsidRPr="00A944FC" w:rsidR="00612659" w:rsidP="00853D70" w:rsidRDefault="00612659" w14:paraId="4396BBDF" w14:textId="77777777">
            <w:pPr>
              <w:pStyle w:val="TableColumnHeader"/>
              <w:tabs>
                <w:tab w:val="left" w:pos="0"/>
              </w:tabs>
              <w:jc w:val="left"/>
              <w:cnfStyle w:val="100000000000" w:firstRow="1" w:lastRow="0" w:firstColumn="0" w:lastColumn="0" w:oddVBand="0" w:evenVBand="0" w:oddHBand="0" w:evenHBand="0" w:firstRowFirstColumn="0" w:firstRowLastColumn="0" w:lastRowFirstColumn="0" w:lastRowLastColumn="0"/>
            </w:pPr>
            <w:r w:rsidRPr="00A944FC">
              <w:rPr>
                <w:b/>
              </w:rPr>
              <w:t xml:space="preserve">Case Studies </w:t>
            </w:r>
          </w:p>
        </w:tc>
      </w:tr>
      <w:tr w:rsidRPr="007A2798" w:rsidR="00612659" w:rsidTr="00612659" w14:paraId="5E48C474" w14:textId="7777777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3209" w:type="pct"/>
          </w:tcPr>
          <w:p w:rsidR="00612659" w:rsidP="00853D70" w:rsidRDefault="00612659" w14:paraId="375F4529" w14:textId="77777777">
            <w:pPr>
              <w:pStyle w:val="TableNumberedBullets"/>
              <w:ind w:left="0" w:firstLine="0"/>
            </w:pPr>
            <w:r>
              <w:t xml:space="preserve">To what extent were chronic pain management and opioid prescribing guidelines/policies implemented by health systems? How were they implemented? Which implementation strategies were used? </w:t>
            </w:r>
          </w:p>
          <w:p w:rsidR="00612659" w:rsidP="00853D70" w:rsidRDefault="00612659" w14:paraId="5CED1221" w14:textId="77777777">
            <w:pPr>
              <w:pStyle w:val="TableNumberedBullets"/>
              <w:numPr>
                <w:ilvl w:val="0"/>
                <w:numId w:val="0"/>
              </w:numPr>
              <w:tabs>
                <w:tab w:val="left" w:pos="0"/>
              </w:tabs>
            </w:pPr>
          </w:p>
          <w:p w:rsidRPr="00506E75" w:rsidR="00612659" w:rsidP="00853D70" w:rsidRDefault="00612659" w14:paraId="0DDD6CD5" w14:textId="77777777">
            <w:pPr>
              <w:pStyle w:val="TableNumberedBullets"/>
              <w:numPr>
                <w:ilvl w:val="0"/>
                <w:numId w:val="0"/>
              </w:numPr>
            </w:pPr>
            <w:r w:rsidRPr="5FA61A53">
              <w:rPr>
                <w:u w:val="single"/>
              </w:rPr>
              <w:t>Intended Use</w:t>
            </w:r>
            <w:r>
              <w:t xml:space="preserve">: To identify which chronic pain management and opioid prescribing policies and guidelines were most commonly implemented and to understand health systems’ approaches and lessons learned </w:t>
            </w:r>
          </w:p>
        </w:tc>
        <w:tc>
          <w:tcPr>
            <w:tcW w:w="321" w:type="pct"/>
          </w:tcPr>
          <w:p w:rsidRPr="00506E75" w:rsidR="00612659" w:rsidP="00853D70" w:rsidRDefault="00612659" w14:paraId="02A4EFFD"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301" w:type="pct"/>
          </w:tcPr>
          <w:p w:rsidRPr="00506E75" w:rsidR="00612659" w:rsidP="00853D70" w:rsidRDefault="00612659" w14:paraId="0C9770C4"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263" w:type="pct"/>
          </w:tcPr>
          <w:p w:rsidRPr="00506E75" w:rsidR="00612659" w:rsidP="00853D70" w:rsidRDefault="00612659" w14:paraId="28CDB6FE"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263" w:type="pct"/>
          </w:tcPr>
          <w:p w:rsidRPr="00506E75" w:rsidR="00612659" w:rsidP="00853D70" w:rsidRDefault="00612659" w14:paraId="76F20A0C"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304" w:type="pct"/>
          </w:tcPr>
          <w:p w:rsidRPr="00506E75" w:rsidR="00612659" w:rsidP="00853D70" w:rsidRDefault="00612659" w14:paraId="3E7872DF"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r w:rsidRPr="00506E75">
              <w:rPr>
                <w:b/>
              </w:rPr>
              <w:t>X</w:t>
            </w:r>
          </w:p>
        </w:tc>
        <w:tc>
          <w:tcPr>
            <w:tcW w:w="339" w:type="pct"/>
          </w:tcPr>
          <w:p w:rsidRPr="00506E75" w:rsidR="00612659" w:rsidP="00853D70" w:rsidRDefault="00612659" w14:paraId="2DDBA4A9"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r>
      <w:tr w:rsidRPr="007A2798" w:rsidR="00612659" w:rsidTr="00612659" w14:paraId="483B33DD" w14:textId="77777777">
        <w:trPr>
          <w:cnfStyle w:val="000000010000" w:firstRow="0" w:lastRow="0" w:firstColumn="0" w:lastColumn="0" w:oddVBand="0" w:evenVBand="0" w:oddHBand="0" w:evenHBand="1"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3209" w:type="pct"/>
          </w:tcPr>
          <w:p w:rsidR="00612659" w:rsidP="00853D70" w:rsidRDefault="00612659" w14:paraId="28A586E9" w14:textId="77777777">
            <w:pPr>
              <w:pStyle w:val="TableNumberedBullets"/>
              <w:ind w:left="0" w:firstLine="0"/>
            </w:pPr>
            <w:r>
              <w:t>Is the implementation of these policies or guidelines associated with changes in prescribing practices and guideline-concordant care in health systems? Do associations vary with patient characteristics (e.g., does the change in outcomes after implementation vary by race/ethnicity or socioeconomic status)?</w:t>
            </w:r>
          </w:p>
          <w:p w:rsidR="00612659" w:rsidP="00853D70" w:rsidRDefault="00612659" w14:paraId="71355A47" w14:textId="77777777">
            <w:pPr>
              <w:pStyle w:val="TableNumberedBullets"/>
              <w:numPr>
                <w:ilvl w:val="0"/>
                <w:numId w:val="0"/>
              </w:numPr>
              <w:tabs>
                <w:tab w:val="left" w:pos="0"/>
              </w:tabs>
            </w:pPr>
          </w:p>
          <w:p w:rsidRPr="00506E75" w:rsidR="00612659" w:rsidP="00853D70" w:rsidRDefault="00612659" w14:paraId="26D55A7E" w14:textId="77777777">
            <w:pPr>
              <w:pStyle w:val="TableNumberedBullets"/>
              <w:numPr>
                <w:ilvl w:val="0"/>
                <w:numId w:val="0"/>
              </w:numPr>
            </w:pPr>
            <w:r w:rsidRPr="5FA61A53">
              <w:rPr>
                <w:u w:val="single"/>
              </w:rPr>
              <w:t>Intended Use</w:t>
            </w:r>
            <w:r>
              <w:t>: To determine if the implementation of these policies or guidelines resulted in changes in patient outcomes, and if these outcomes varied between patient demographic characteristics</w:t>
            </w:r>
          </w:p>
        </w:tc>
        <w:tc>
          <w:tcPr>
            <w:tcW w:w="321" w:type="pct"/>
          </w:tcPr>
          <w:p w:rsidRPr="00506E75" w:rsidR="00612659" w:rsidP="00853D70" w:rsidRDefault="00612659" w14:paraId="61FD619F"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r w:rsidRPr="00506E75">
              <w:rPr>
                <w:b/>
              </w:rPr>
              <w:t>X</w:t>
            </w:r>
          </w:p>
        </w:tc>
        <w:tc>
          <w:tcPr>
            <w:tcW w:w="301" w:type="pct"/>
          </w:tcPr>
          <w:p w:rsidRPr="00506E75" w:rsidR="00612659" w:rsidP="00853D70" w:rsidRDefault="00612659" w14:paraId="50970666"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c>
          <w:tcPr>
            <w:tcW w:w="263" w:type="pct"/>
          </w:tcPr>
          <w:p w:rsidRPr="00506E75" w:rsidR="00612659" w:rsidP="00853D70" w:rsidRDefault="00612659" w14:paraId="4CDD57A3"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c>
          <w:tcPr>
            <w:tcW w:w="263" w:type="pct"/>
          </w:tcPr>
          <w:p w:rsidRPr="00506E75" w:rsidR="00612659" w:rsidP="00853D70" w:rsidRDefault="00612659" w14:paraId="6277E739"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c>
          <w:tcPr>
            <w:tcW w:w="304" w:type="pct"/>
          </w:tcPr>
          <w:p w:rsidRPr="00506E75" w:rsidR="00612659" w:rsidP="00853D70" w:rsidRDefault="00612659" w14:paraId="2CEE5BD6"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c>
          <w:tcPr>
            <w:tcW w:w="339" w:type="pct"/>
          </w:tcPr>
          <w:p w:rsidRPr="00506E75" w:rsidR="00612659" w:rsidP="00853D70" w:rsidRDefault="00612659" w14:paraId="4F45EA52"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r>
      <w:tr w:rsidRPr="007A2798" w:rsidR="00612659" w:rsidTr="00612659" w14:paraId="7758B650" w14:textId="77777777">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3209" w:type="pct"/>
          </w:tcPr>
          <w:p w:rsidR="00612659" w:rsidP="00853D70" w:rsidRDefault="00612659" w14:paraId="22418A97" w14:textId="77777777">
            <w:pPr>
              <w:pStyle w:val="TableNumberedBullets"/>
              <w:ind w:left="0" w:firstLine="0"/>
            </w:pPr>
            <w:r>
              <w:t>To what extent have these policies or guidelines implemented by a health system affected clinician prescribing practices or guideline-concordant care and patient outcomes?</w:t>
            </w:r>
          </w:p>
          <w:p w:rsidR="00612659" w:rsidP="00853D70" w:rsidRDefault="00612659" w14:paraId="476E8C83" w14:textId="77777777">
            <w:pPr>
              <w:pStyle w:val="TableNumberedBullets"/>
              <w:numPr>
                <w:ilvl w:val="0"/>
                <w:numId w:val="0"/>
              </w:numPr>
              <w:tabs>
                <w:tab w:val="left" w:pos="0"/>
              </w:tabs>
            </w:pPr>
          </w:p>
          <w:p w:rsidRPr="00506E75" w:rsidR="00612659" w:rsidP="00853D70" w:rsidRDefault="00612659" w14:paraId="77114644" w14:textId="77777777">
            <w:pPr>
              <w:pStyle w:val="TableNumberedBullets"/>
              <w:numPr>
                <w:ilvl w:val="0"/>
                <w:numId w:val="0"/>
              </w:numPr>
            </w:pPr>
            <w:r w:rsidRPr="5FA61A53">
              <w:rPr>
                <w:u w:val="single"/>
              </w:rPr>
              <w:t>Intended Use</w:t>
            </w:r>
            <w:r>
              <w:t>: To identify which and to what extent these policies or guidelines have directly resulted in practice change and in turn patient outcomes</w:t>
            </w:r>
          </w:p>
        </w:tc>
        <w:tc>
          <w:tcPr>
            <w:tcW w:w="321" w:type="pct"/>
          </w:tcPr>
          <w:p w:rsidRPr="00506E75" w:rsidR="00612659" w:rsidP="00853D70" w:rsidRDefault="00612659" w14:paraId="6CC1A63F" w14:textId="77777777">
            <w:pPr>
              <w:pStyle w:val="TableText"/>
              <w:tabs>
                <w:tab w:val="left" w:pos="0"/>
              </w:tabs>
              <w:cnfStyle w:val="000000100000" w:firstRow="0" w:lastRow="0" w:firstColumn="0" w:lastColumn="0" w:oddVBand="0" w:evenVBand="0" w:oddHBand="1" w:evenHBand="0" w:firstRowFirstColumn="0" w:firstRowLastColumn="0" w:lastRowFirstColumn="0" w:lastRowLastColumn="0"/>
              <w:rPr>
                <w:b/>
              </w:rPr>
            </w:pPr>
          </w:p>
        </w:tc>
        <w:tc>
          <w:tcPr>
            <w:tcW w:w="301" w:type="pct"/>
          </w:tcPr>
          <w:p w:rsidRPr="00506E75" w:rsidR="00612659" w:rsidP="00853D70" w:rsidRDefault="00612659" w14:paraId="5C13AF5A"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r w:rsidRPr="00506E75">
              <w:rPr>
                <w:b/>
              </w:rPr>
              <w:t>X</w:t>
            </w:r>
          </w:p>
        </w:tc>
        <w:tc>
          <w:tcPr>
            <w:tcW w:w="263" w:type="pct"/>
          </w:tcPr>
          <w:p w:rsidRPr="00506E75" w:rsidR="00612659" w:rsidP="00853D70" w:rsidRDefault="00612659" w14:paraId="7A3B0242"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263" w:type="pct"/>
          </w:tcPr>
          <w:p w:rsidRPr="00506E75" w:rsidR="00612659" w:rsidP="00853D70" w:rsidRDefault="00612659" w14:paraId="44D293C4"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304" w:type="pct"/>
          </w:tcPr>
          <w:p w:rsidRPr="00506E75" w:rsidR="00612659" w:rsidP="00853D70" w:rsidRDefault="00612659" w14:paraId="5D7B8E5C"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339" w:type="pct"/>
          </w:tcPr>
          <w:p w:rsidRPr="00506E75" w:rsidR="00612659" w:rsidP="00853D70" w:rsidRDefault="00612659" w14:paraId="68113630"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r>
      <w:tr w:rsidRPr="007A2798" w:rsidR="00612659" w:rsidTr="00612659" w14:paraId="60BD9D06" w14:textId="77777777">
        <w:trPr>
          <w:cnfStyle w:val="000000010000" w:firstRow="0" w:lastRow="0" w:firstColumn="0" w:lastColumn="0" w:oddVBand="0" w:evenVBand="0" w:oddHBand="0" w:evenHBand="1"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3209" w:type="pct"/>
          </w:tcPr>
          <w:p w:rsidR="00612659" w:rsidP="00853D70" w:rsidRDefault="00612659" w14:paraId="215703F7" w14:textId="77777777">
            <w:pPr>
              <w:pStyle w:val="TableNumberedBullets"/>
              <w:tabs>
                <w:tab w:val="left" w:pos="0"/>
              </w:tabs>
              <w:ind w:left="0" w:firstLine="0"/>
            </w:pPr>
            <w:r>
              <w:t>To what extent have policies or guidelines implemented by a health system affected clinician-patient communication?</w:t>
            </w:r>
          </w:p>
          <w:p w:rsidR="00612659" w:rsidP="00853D70" w:rsidRDefault="00612659" w14:paraId="223FD999" w14:textId="77777777">
            <w:pPr>
              <w:pStyle w:val="TableNumberedBullets"/>
              <w:numPr>
                <w:ilvl w:val="0"/>
                <w:numId w:val="0"/>
              </w:numPr>
              <w:tabs>
                <w:tab w:val="left" w:pos="0"/>
              </w:tabs>
            </w:pPr>
          </w:p>
          <w:p w:rsidRPr="00506E75" w:rsidR="00612659" w:rsidP="00853D70" w:rsidRDefault="00612659" w14:paraId="068B8546" w14:textId="77777777">
            <w:pPr>
              <w:pStyle w:val="TableNumberedBullets"/>
              <w:numPr>
                <w:ilvl w:val="0"/>
                <w:numId w:val="0"/>
              </w:numPr>
            </w:pPr>
            <w:r w:rsidRPr="5FA61A53">
              <w:rPr>
                <w:u w:val="single"/>
              </w:rPr>
              <w:t>Intended Use</w:t>
            </w:r>
            <w:r>
              <w:t xml:space="preserve">: To identify policies or guidelines that improved or impeded clinician-patient communication </w:t>
            </w:r>
          </w:p>
        </w:tc>
        <w:tc>
          <w:tcPr>
            <w:tcW w:w="321" w:type="pct"/>
          </w:tcPr>
          <w:p w:rsidRPr="00506E75" w:rsidR="00612659" w:rsidP="00853D70" w:rsidRDefault="00612659" w14:paraId="318474DE"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c>
          <w:tcPr>
            <w:tcW w:w="301" w:type="pct"/>
          </w:tcPr>
          <w:p w:rsidRPr="00506E75" w:rsidR="00612659" w:rsidP="00853D70" w:rsidRDefault="00612659" w14:paraId="41844975"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c>
          <w:tcPr>
            <w:tcW w:w="263" w:type="pct"/>
          </w:tcPr>
          <w:p w:rsidRPr="00506E75" w:rsidR="00612659" w:rsidP="00853D70" w:rsidRDefault="00612659" w14:paraId="0B02DB0F" w14:textId="77777777">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2229C56D">
              <w:rPr>
                <w:b/>
                <w:bCs/>
              </w:rPr>
              <w:t>X</w:t>
            </w:r>
          </w:p>
        </w:tc>
        <w:tc>
          <w:tcPr>
            <w:tcW w:w="263" w:type="pct"/>
          </w:tcPr>
          <w:p w:rsidRPr="00506E75" w:rsidR="00612659" w:rsidP="00853D70" w:rsidRDefault="00612659" w14:paraId="079A81DB"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r w:rsidRPr="00506E75">
              <w:rPr>
                <w:b/>
              </w:rPr>
              <w:t>X</w:t>
            </w:r>
          </w:p>
        </w:tc>
        <w:tc>
          <w:tcPr>
            <w:tcW w:w="304" w:type="pct"/>
          </w:tcPr>
          <w:p w:rsidRPr="00506E75" w:rsidR="00612659" w:rsidP="00853D70" w:rsidRDefault="00612659" w14:paraId="4D7452E6"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c>
          <w:tcPr>
            <w:tcW w:w="339" w:type="pct"/>
          </w:tcPr>
          <w:p w:rsidRPr="00506E75" w:rsidR="00612659" w:rsidP="00853D70" w:rsidRDefault="00612659" w14:paraId="029D1F12"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r w:rsidRPr="00506E75">
              <w:rPr>
                <w:b/>
              </w:rPr>
              <w:t>X</w:t>
            </w:r>
          </w:p>
        </w:tc>
      </w:tr>
      <w:tr w:rsidRPr="007A2798" w:rsidR="00612659" w:rsidTr="00612659" w14:paraId="7F8C5C6D" w14:textId="77777777">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3209" w:type="pct"/>
          </w:tcPr>
          <w:p w:rsidR="00612659" w:rsidP="00853D70" w:rsidRDefault="00612659" w14:paraId="653DE4D1" w14:textId="77777777">
            <w:pPr>
              <w:pStyle w:val="TableNumberedBullets"/>
              <w:ind w:left="0" w:firstLine="0"/>
            </w:pPr>
            <w:r>
              <w:t>To what extent have there been unintended benefits and consequences for patients and clinicians related to policies or guidelines?</w:t>
            </w:r>
          </w:p>
          <w:p w:rsidR="00612659" w:rsidP="00853D70" w:rsidRDefault="00612659" w14:paraId="12801D84" w14:textId="77777777">
            <w:pPr>
              <w:pStyle w:val="TableNumberedBullets"/>
              <w:numPr>
                <w:ilvl w:val="0"/>
                <w:numId w:val="0"/>
              </w:numPr>
              <w:tabs>
                <w:tab w:val="left" w:pos="0"/>
              </w:tabs>
            </w:pPr>
          </w:p>
          <w:p w:rsidRPr="00506E75" w:rsidR="00612659" w:rsidP="00853D70" w:rsidRDefault="00612659" w14:paraId="57F90088" w14:textId="77777777">
            <w:pPr>
              <w:pStyle w:val="TableNumberedBullets"/>
              <w:numPr>
                <w:ilvl w:val="0"/>
                <w:numId w:val="0"/>
              </w:numPr>
            </w:pPr>
            <w:r w:rsidRPr="5FA61A53">
              <w:rPr>
                <w:u w:val="single"/>
              </w:rPr>
              <w:t>Intended Use</w:t>
            </w:r>
            <w:r>
              <w:t>: To identify areas for enhanced translation and communication about guidelines and policies</w:t>
            </w:r>
          </w:p>
        </w:tc>
        <w:tc>
          <w:tcPr>
            <w:tcW w:w="321" w:type="pct"/>
          </w:tcPr>
          <w:p w:rsidRPr="00506E75" w:rsidR="00612659" w:rsidP="00853D70" w:rsidRDefault="00612659" w14:paraId="0696485D"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301" w:type="pct"/>
          </w:tcPr>
          <w:p w:rsidRPr="00506E75" w:rsidR="00612659" w:rsidP="00853D70" w:rsidRDefault="00612659" w14:paraId="4E62BAED"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263" w:type="pct"/>
          </w:tcPr>
          <w:p w:rsidRPr="00506E75" w:rsidR="00612659" w:rsidP="00853D70" w:rsidRDefault="00612659" w14:paraId="3CA9F735"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r w:rsidRPr="00506E75">
              <w:rPr>
                <w:b/>
              </w:rPr>
              <w:t>X</w:t>
            </w:r>
          </w:p>
        </w:tc>
        <w:tc>
          <w:tcPr>
            <w:tcW w:w="263" w:type="pct"/>
          </w:tcPr>
          <w:p w:rsidRPr="00506E75" w:rsidR="00612659" w:rsidP="00853D70" w:rsidRDefault="00612659" w14:paraId="5F7D6F50"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r w:rsidRPr="00506E75">
              <w:rPr>
                <w:b/>
              </w:rPr>
              <w:t>X</w:t>
            </w:r>
          </w:p>
        </w:tc>
        <w:tc>
          <w:tcPr>
            <w:tcW w:w="304" w:type="pct"/>
          </w:tcPr>
          <w:p w:rsidRPr="00506E75" w:rsidR="00612659" w:rsidP="00853D70" w:rsidRDefault="00612659" w14:paraId="6A243FB4"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r w:rsidRPr="00506E75">
              <w:rPr>
                <w:b/>
              </w:rPr>
              <w:t>X</w:t>
            </w:r>
          </w:p>
        </w:tc>
        <w:tc>
          <w:tcPr>
            <w:tcW w:w="339" w:type="pct"/>
          </w:tcPr>
          <w:p w:rsidRPr="00506E75" w:rsidR="00612659" w:rsidP="00853D70" w:rsidRDefault="00612659" w14:paraId="0BACCEF6"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r>
      <w:tr w:rsidRPr="007A2798" w:rsidR="00612659" w:rsidTr="00612659" w14:paraId="10EFC68A" w14:textId="7777777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09" w:type="pct"/>
          </w:tcPr>
          <w:p w:rsidR="00612659" w:rsidP="00853D70" w:rsidRDefault="00612659" w14:paraId="46C2B01E" w14:textId="77777777">
            <w:pPr>
              <w:pStyle w:val="TableNumberedBullets"/>
              <w:tabs>
                <w:tab w:val="left" w:pos="0"/>
              </w:tabs>
              <w:ind w:left="0" w:firstLine="0"/>
            </w:pPr>
            <w:r>
              <w:t>What are clinicians’, health system administrators’ and patients’ attitudes, beliefs, and knowledge of policies or guidelines?</w:t>
            </w:r>
          </w:p>
          <w:p w:rsidR="00612659" w:rsidP="00853D70" w:rsidRDefault="00612659" w14:paraId="35EB45BE" w14:textId="77777777">
            <w:pPr>
              <w:pStyle w:val="TableNumberedBullets"/>
              <w:numPr>
                <w:ilvl w:val="0"/>
                <w:numId w:val="0"/>
              </w:numPr>
              <w:tabs>
                <w:tab w:val="left" w:pos="0"/>
              </w:tabs>
            </w:pPr>
          </w:p>
          <w:p w:rsidRPr="00506E75" w:rsidR="00612659" w:rsidP="00853D70" w:rsidRDefault="00612659" w14:paraId="1DDF5182" w14:textId="77777777">
            <w:pPr>
              <w:pStyle w:val="TableNumberedBullets"/>
              <w:numPr>
                <w:ilvl w:val="0"/>
                <w:numId w:val="0"/>
              </w:numPr>
            </w:pPr>
            <w:r w:rsidRPr="638EFA93">
              <w:rPr>
                <w:u w:val="single"/>
              </w:rPr>
              <w:t>Intended Use</w:t>
            </w:r>
            <w:r>
              <w:t>: To identify factors that influence effective uptake and implementation of policies or guidelines</w:t>
            </w:r>
          </w:p>
        </w:tc>
        <w:tc>
          <w:tcPr>
            <w:tcW w:w="321" w:type="pct"/>
          </w:tcPr>
          <w:p w:rsidRPr="00506E75" w:rsidR="00612659" w:rsidP="00853D70" w:rsidRDefault="00612659" w14:paraId="1B46A6A5"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c>
          <w:tcPr>
            <w:tcW w:w="301" w:type="pct"/>
          </w:tcPr>
          <w:p w:rsidRPr="00506E75" w:rsidR="00612659" w:rsidP="00853D70" w:rsidRDefault="00612659" w14:paraId="0073C72F"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c>
          <w:tcPr>
            <w:tcW w:w="263" w:type="pct"/>
          </w:tcPr>
          <w:p w:rsidRPr="00506E75" w:rsidR="00612659" w:rsidP="00853D70" w:rsidRDefault="00612659" w14:paraId="74AD153C"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r w:rsidRPr="00506E75">
              <w:rPr>
                <w:b/>
              </w:rPr>
              <w:t>X</w:t>
            </w:r>
          </w:p>
        </w:tc>
        <w:tc>
          <w:tcPr>
            <w:tcW w:w="263" w:type="pct"/>
          </w:tcPr>
          <w:p w:rsidRPr="00506E75" w:rsidR="00612659" w:rsidP="00853D70" w:rsidRDefault="00612659" w14:paraId="2F14A3B9"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r w:rsidRPr="00506E75">
              <w:rPr>
                <w:b/>
              </w:rPr>
              <w:t>X</w:t>
            </w:r>
          </w:p>
        </w:tc>
        <w:tc>
          <w:tcPr>
            <w:tcW w:w="304" w:type="pct"/>
          </w:tcPr>
          <w:p w:rsidRPr="00506E75" w:rsidR="00612659" w:rsidP="00853D70" w:rsidRDefault="00612659" w14:paraId="45D9B810"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r>
              <w:rPr>
                <w:b/>
              </w:rPr>
              <w:t>X</w:t>
            </w:r>
          </w:p>
        </w:tc>
        <w:tc>
          <w:tcPr>
            <w:tcW w:w="339" w:type="pct"/>
          </w:tcPr>
          <w:p w:rsidR="00612659" w:rsidP="00853D70" w:rsidRDefault="00612659" w14:paraId="4C771F12"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p>
        </w:tc>
      </w:tr>
      <w:tr w:rsidRPr="007A2798" w:rsidR="00612659" w:rsidTr="00612659" w14:paraId="165529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pct"/>
          </w:tcPr>
          <w:p w:rsidR="00612659" w:rsidP="00853D70" w:rsidRDefault="00612659" w14:paraId="59A05D2B" w14:textId="77777777">
            <w:pPr>
              <w:pStyle w:val="TableNumberedBullets"/>
              <w:ind w:left="0" w:firstLine="0"/>
            </w:pPr>
            <w:r>
              <w:t xml:space="preserve">What were the facilitators and barriers for implementation of policies or guidelines? What were the determinants of success? </w:t>
            </w:r>
          </w:p>
          <w:p w:rsidR="00612659" w:rsidP="00853D70" w:rsidRDefault="00612659" w14:paraId="78232DEF" w14:textId="77777777">
            <w:pPr>
              <w:pStyle w:val="TableNumberedBullets"/>
              <w:numPr>
                <w:ilvl w:val="0"/>
                <w:numId w:val="0"/>
              </w:numPr>
              <w:tabs>
                <w:tab w:val="left" w:pos="0"/>
              </w:tabs>
            </w:pPr>
          </w:p>
          <w:p w:rsidRPr="00506E75" w:rsidR="00612659" w:rsidP="00853D70" w:rsidRDefault="00612659" w14:paraId="78A61891" w14:textId="77777777">
            <w:pPr>
              <w:pStyle w:val="TableNumberedBullets"/>
              <w:numPr>
                <w:ilvl w:val="0"/>
                <w:numId w:val="0"/>
              </w:numPr>
            </w:pPr>
            <w:r w:rsidRPr="5FA61A53">
              <w:rPr>
                <w:u w:val="single"/>
              </w:rPr>
              <w:t>Intended Use</w:t>
            </w:r>
            <w:r>
              <w:t>: To better understand health system-level drivers of success or failure in guideline/policy implementation efforts</w:t>
            </w:r>
          </w:p>
        </w:tc>
        <w:tc>
          <w:tcPr>
            <w:tcW w:w="321" w:type="pct"/>
          </w:tcPr>
          <w:p w:rsidRPr="00506E75" w:rsidR="00612659" w:rsidP="00853D70" w:rsidRDefault="00612659" w14:paraId="17095E80"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301" w:type="pct"/>
          </w:tcPr>
          <w:p w:rsidRPr="00506E75" w:rsidR="00612659" w:rsidP="00853D70" w:rsidRDefault="00612659" w14:paraId="5D7B16A9"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p>
        </w:tc>
        <w:tc>
          <w:tcPr>
            <w:tcW w:w="263" w:type="pct"/>
          </w:tcPr>
          <w:p w:rsidRPr="00506E75" w:rsidR="00612659" w:rsidP="00853D70" w:rsidRDefault="00612659" w14:paraId="56213A25"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r w:rsidRPr="00506E75">
              <w:rPr>
                <w:b/>
              </w:rPr>
              <w:t>X</w:t>
            </w:r>
          </w:p>
        </w:tc>
        <w:tc>
          <w:tcPr>
            <w:tcW w:w="263" w:type="pct"/>
          </w:tcPr>
          <w:p w:rsidRPr="00506E75" w:rsidR="00612659" w:rsidP="00853D70" w:rsidRDefault="00612659" w14:paraId="53C074BB"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r w:rsidRPr="00506E75">
              <w:rPr>
                <w:b/>
              </w:rPr>
              <w:t>X</w:t>
            </w:r>
          </w:p>
        </w:tc>
        <w:tc>
          <w:tcPr>
            <w:tcW w:w="304" w:type="pct"/>
          </w:tcPr>
          <w:p w:rsidRPr="00506E75" w:rsidR="00612659" w:rsidP="00853D70" w:rsidRDefault="00612659" w14:paraId="194B1B3A"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r w:rsidRPr="00506E75">
              <w:rPr>
                <w:b/>
              </w:rPr>
              <w:t>X</w:t>
            </w:r>
          </w:p>
        </w:tc>
        <w:tc>
          <w:tcPr>
            <w:tcW w:w="339" w:type="pct"/>
          </w:tcPr>
          <w:p w:rsidRPr="00506E75" w:rsidR="00612659" w:rsidP="00853D70" w:rsidRDefault="00612659" w14:paraId="71604C1F" w14:textId="77777777">
            <w:pPr>
              <w:pStyle w:val="TableText"/>
              <w:tabs>
                <w:tab w:val="left" w:pos="0"/>
              </w:tabs>
              <w:jc w:val="center"/>
              <w:cnfStyle w:val="000000100000" w:firstRow="0" w:lastRow="0" w:firstColumn="0" w:lastColumn="0" w:oddVBand="0" w:evenVBand="0" w:oddHBand="1" w:evenHBand="0" w:firstRowFirstColumn="0" w:firstRowLastColumn="0" w:lastRowFirstColumn="0" w:lastRowLastColumn="0"/>
              <w:rPr>
                <w:b/>
              </w:rPr>
            </w:pPr>
            <w:r w:rsidRPr="00506E75">
              <w:rPr>
                <w:b/>
              </w:rPr>
              <w:t>X</w:t>
            </w:r>
          </w:p>
        </w:tc>
      </w:tr>
      <w:tr w:rsidRPr="00987C8D" w:rsidR="00612659" w:rsidTr="00612659" w14:paraId="7E56D5D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pct"/>
          </w:tcPr>
          <w:p w:rsidR="00612659" w:rsidP="00853D70" w:rsidRDefault="00612659" w14:paraId="5C170E15" w14:textId="77777777">
            <w:pPr>
              <w:pStyle w:val="TableNumberedBullets"/>
              <w:ind w:left="0" w:firstLine="0"/>
            </w:pPr>
            <w:r>
              <w:t>Do the implemented guidelines/policies address racial/ethnic disparities in the management of chronic pain, opioid prescribing, and/or provision of MOUD?</w:t>
            </w:r>
          </w:p>
          <w:p w:rsidRPr="00506E75" w:rsidR="00612659" w:rsidP="00853D70" w:rsidRDefault="00612659" w14:paraId="7B841F94" w14:textId="77777777">
            <w:pPr>
              <w:pStyle w:val="TableNumberedBullets"/>
              <w:numPr>
                <w:ilvl w:val="0"/>
                <w:numId w:val="0"/>
              </w:numPr>
            </w:pPr>
            <w:r w:rsidRPr="5FA61A53">
              <w:rPr>
                <w:u w:val="single"/>
              </w:rPr>
              <w:t>Intended Use</w:t>
            </w:r>
            <w:r>
              <w:t>: To identify ways in which implemented guidelines/policies may address known population-level racial/ethnic disparities in chronic pain management, opioid prescribing, and access to MOUD</w:t>
            </w:r>
          </w:p>
        </w:tc>
        <w:tc>
          <w:tcPr>
            <w:tcW w:w="321" w:type="pct"/>
          </w:tcPr>
          <w:p w:rsidRPr="00987C8D" w:rsidR="00612659" w:rsidP="00853D70" w:rsidRDefault="00612659" w14:paraId="16BC7CCF"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pPr>
          </w:p>
        </w:tc>
        <w:tc>
          <w:tcPr>
            <w:tcW w:w="301" w:type="pct"/>
          </w:tcPr>
          <w:p w:rsidRPr="00987C8D" w:rsidR="00612659" w:rsidP="00853D70" w:rsidRDefault="00612659" w14:paraId="580CD768"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pPr>
          </w:p>
        </w:tc>
        <w:tc>
          <w:tcPr>
            <w:tcW w:w="263" w:type="pct"/>
          </w:tcPr>
          <w:p w:rsidRPr="00987C8D" w:rsidR="00612659" w:rsidP="00853D70" w:rsidRDefault="00612659" w14:paraId="7FB0922F"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pPr>
          </w:p>
        </w:tc>
        <w:tc>
          <w:tcPr>
            <w:tcW w:w="263" w:type="pct"/>
          </w:tcPr>
          <w:p w:rsidRPr="00987C8D" w:rsidR="00612659" w:rsidP="00853D70" w:rsidRDefault="00612659" w14:paraId="33E51A5F"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pPr>
          </w:p>
        </w:tc>
        <w:tc>
          <w:tcPr>
            <w:tcW w:w="304" w:type="pct"/>
          </w:tcPr>
          <w:p w:rsidRPr="00506E75" w:rsidR="00612659" w:rsidP="00853D70" w:rsidRDefault="00612659" w14:paraId="77318DBE"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r>
              <w:rPr>
                <w:b/>
              </w:rPr>
              <w:t>X</w:t>
            </w:r>
          </w:p>
        </w:tc>
        <w:tc>
          <w:tcPr>
            <w:tcW w:w="339" w:type="pct"/>
          </w:tcPr>
          <w:p w:rsidR="00612659" w:rsidP="00853D70" w:rsidRDefault="00612659" w14:paraId="4317AD0E" w14:textId="77777777">
            <w:pPr>
              <w:pStyle w:val="TableText"/>
              <w:tabs>
                <w:tab w:val="left" w:pos="0"/>
              </w:tabs>
              <w:jc w:val="center"/>
              <w:cnfStyle w:val="000000010000" w:firstRow="0" w:lastRow="0" w:firstColumn="0" w:lastColumn="0" w:oddVBand="0" w:evenVBand="0" w:oddHBand="0" w:evenHBand="1" w:firstRowFirstColumn="0" w:firstRowLastColumn="0" w:lastRowFirstColumn="0" w:lastRowLastColumn="0"/>
              <w:rPr>
                <w:b/>
              </w:rPr>
            </w:pPr>
            <w:r w:rsidRPr="00506E75">
              <w:rPr>
                <w:b/>
              </w:rPr>
              <w:t>X</w:t>
            </w:r>
          </w:p>
        </w:tc>
      </w:tr>
    </w:tbl>
    <w:p w:rsidRPr="00B708D3" w:rsidR="00B708D3" w:rsidP="00B708D3" w:rsidRDefault="00B708D3" w14:paraId="125D637A" w14:textId="54C976B2">
      <w:pPr>
        <w:pStyle w:val="BodyText"/>
        <w:tabs>
          <w:tab w:val="left" w:pos="0"/>
        </w:tabs>
        <w:ind w:left="0" w:right="0"/>
        <w:rPr>
          <w:b/>
          <w:bCs/>
        </w:rPr>
      </w:pPr>
      <w:r w:rsidRPr="00B708D3">
        <w:rPr>
          <w:b/>
          <w:bCs/>
        </w:rPr>
        <w:lastRenderedPageBreak/>
        <w:t xml:space="preserve">Description of </w:t>
      </w:r>
      <w:r w:rsidRPr="00B708D3">
        <w:rPr>
          <w:b/>
          <w:bCs/>
        </w:rPr>
        <w:t>previous</w:t>
      </w:r>
      <w:r w:rsidR="004B074E">
        <w:rPr>
          <w:b/>
          <w:bCs/>
        </w:rPr>
        <w:t xml:space="preserve"> </w:t>
      </w:r>
      <w:r w:rsidRPr="00B708D3">
        <w:rPr>
          <w:b/>
          <w:bCs/>
        </w:rPr>
        <w:t xml:space="preserve">work </w:t>
      </w:r>
      <w:r w:rsidRPr="00B708D3">
        <w:rPr>
          <w:b/>
          <w:bCs/>
        </w:rPr>
        <w:t>conducted</w:t>
      </w:r>
      <w:r w:rsidRPr="00B708D3">
        <w:rPr>
          <w:b/>
          <w:bCs/>
        </w:rPr>
        <w:t>.</w:t>
      </w:r>
    </w:p>
    <w:p w:rsidR="00B708D3" w:rsidP="00B708D3" w:rsidRDefault="00B708D3" w14:paraId="0DE4D9B6" w14:textId="77777777">
      <w:pPr>
        <w:pStyle w:val="BodyText"/>
        <w:tabs>
          <w:tab w:val="left" w:pos="0"/>
        </w:tabs>
        <w:ind w:left="0" w:right="0"/>
      </w:pPr>
    </w:p>
    <w:p w:rsidRPr="00D958CB" w:rsidR="00B708D3" w:rsidP="00B708D3" w:rsidRDefault="00B708D3" w14:paraId="12D16D2A" w14:textId="32A58148">
      <w:pPr>
        <w:pStyle w:val="BodyText"/>
        <w:tabs>
          <w:tab w:val="left" w:pos="0"/>
        </w:tabs>
        <w:ind w:left="0" w:right="0"/>
      </w:pPr>
      <w:r w:rsidRPr="00D958CB">
        <w:t xml:space="preserve">To design this formative research study, we previously conducted and completed the exploratory work “Feasibility Assessment of Health Systems (Surveys)” to determine the range of policies and guidelines being implemented by health systems. We also completed an “evaluability assessment” by means of interviews with leaders of nine health systems, both described below.  </w:t>
      </w:r>
    </w:p>
    <w:p w:rsidR="00B708D3" w:rsidP="00B708D3" w:rsidRDefault="00B708D3" w14:paraId="0755A8E5" w14:textId="77777777">
      <w:pPr>
        <w:spacing w:line="240" w:lineRule="auto"/>
        <w:ind w:firstLine="0"/>
      </w:pPr>
    </w:p>
    <w:p w:rsidRPr="00344C8D" w:rsidR="00B708D3" w:rsidP="00B708D3" w:rsidRDefault="00B708D3" w14:paraId="7C3D1B5A" w14:textId="77777777">
      <w:pPr>
        <w:pStyle w:val="BodyText"/>
        <w:numPr>
          <w:ilvl w:val="0"/>
          <w:numId w:val="5"/>
        </w:numPr>
        <w:tabs>
          <w:tab w:val="left" w:pos="0"/>
        </w:tabs>
        <w:ind w:right="0"/>
        <w:rPr>
          <w:i/>
        </w:rPr>
      </w:pPr>
      <w:r w:rsidRPr="00CB45A4">
        <w:rPr>
          <w:i/>
        </w:rPr>
        <w:t>Feasibility Assessment of Health Systems</w:t>
      </w:r>
      <w:r>
        <w:rPr>
          <w:iCs/>
        </w:rPr>
        <w:t>: “</w:t>
      </w:r>
      <w:r w:rsidRPr="00344C8D">
        <w:rPr>
          <w:i/>
        </w:rPr>
        <w:t xml:space="preserve">Feedback on the </w:t>
      </w:r>
      <w:r>
        <w:rPr>
          <w:i/>
        </w:rPr>
        <w:t>U</w:t>
      </w:r>
      <w:r w:rsidRPr="00344C8D">
        <w:rPr>
          <w:i/>
        </w:rPr>
        <w:t>se of the CDC Guideline for Prescribing Opioids for Chronic Pain</w:t>
      </w:r>
      <w:r>
        <w:rPr>
          <w:i/>
        </w:rPr>
        <w:t>”</w:t>
      </w:r>
      <w:r w:rsidRPr="00344C8D" w:rsidDel="00FC75F4">
        <w:rPr>
          <w:i/>
        </w:rPr>
        <w:t xml:space="preserve"> </w:t>
      </w:r>
      <w:bookmarkStart w:name="_Hlk79411687" w:id="0"/>
    </w:p>
    <w:p w:rsidRPr="00344C8D" w:rsidR="00B708D3" w:rsidP="00B708D3" w:rsidRDefault="00B708D3" w14:paraId="4F4F3472" w14:textId="77777777">
      <w:pPr>
        <w:pStyle w:val="BodyText"/>
        <w:tabs>
          <w:tab w:val="left" w:pos="0"/>
        </w:tabs>
        <w:ind w:left="0" w:right="0"/>
        <w:rPr>
          <w:i/>
        </w:rPr>
      </w:pPr>
      <w:r w:rsidRPr="00C12E35">
        <w:rPr>
          <w:iCs/>
        </w:rPr>
        <w:t xml:space="preserve">In early 2020, CDC requested OMB approval for a </w:t>
      </w:r>
      <w:r w:rsidRPr="00344C8D">
        <w:rPr>
          <w:iCs/>
        </w:rPr>
        <w:t>Feasibility Assessment of Health Systems (</w:t>
      </w:r>
      <w:r>
        <w:rPr>
          <w:iCs/>
        </w:rPr>
        <w:t>“</w:t>
      </w:r>
      <w:r w:rsidRPr="004A2E70">
        <w:rPr>
          <w:i/>
        </w:rPr>
        <w:t xml:space="preserve">Feedback on the </w:t>
      </w:r>
      <w:r>
        <w:rPr>
          <w:i/>
        </w:rPr>
        <w:t>U</w:t>
      </w:r>
      <w:r w:rsidRPr="004A2E70">
        <w:rPr>
          <w:i/>
        </w:rPr>
        <w:t>se of the CDC Guideline for Prescribing Opioids for Chronic Pain</w:t>
      </w:r>
      <w:r>
        <w:rPr>
          <w:i/>
        </w:rPr>
        <w:t>”</w:t>
      </w:r>
      <w:r w:rsidRPr="00344C8D">
        <w:rPr>
          <w:iCs/>
        </w:rPr>
        <w:t>)</w:t>
      </w:r>
      <w:r>
        <w:rPr>
          <w:iCs/>
        </w:rPr>
        <w:t xml:space="preserve"> through the “</w:t>
      </w:r>
      <w:r w:rsidRPr="00FC75F4">
        <w:rPr>
          <w:iCs/>
        </w:rPr>
        <w:t>Generic Clearance for the Collection of Routine Customer Feedback” (OMB Control Number: 0920-1050)</w:t>
      </w:r>
      <w:r>
        <w:rPr>
          <w:iCs/>
        </w:rPr>
        <w:t xml:space="preserve">. </w:t>
      </w:r>
      <w:r>
        <w:t xml:space="preserve">This brief eligibility assessment, consisting of surveys, was sent to approximately 250 health systems to understand the landscape of health systems and the types of guidelines or policies implemented, and what strategies were used to do so. </w:t>
      </w:r>
    </w:p>
    <w:bookmarkEnd w:id="0"/>
    <w:p w:rsidRPr="00286072" w:rsidR="00B708D3" w:rsidP="00B708D3" w:rsidRDefault="00B708D3" w14:paraId="2C9BD0DB" w14:textId="77777777">
      <w:pPr>
        <w:pStyle w:val="BodyText"/>
        <w:tabs>
          <w:tab w:val="left" w:pos="0"/>
        </w:tabs>
        <w:ind w:left="0" w:right="0"/>
      </w:pPr>
      <w:r w:rsidRPr="00286072">
        <w:t xml:space="preserve">The feasibility assessment included questions in the following domains: </w:t>
      </w:r>
    </w:p>
    <w:p w:rsidRPr="00286072" w:rsidR="00B708D3" w:rsidP="00B708D3" w:rsidRDefault="00B708D3" w14:paraId="70A83A6C" w14:textId="77777777">
      <w:pPr>
        <w:pStyle w:val="Bullets"/>
        <w:numPr>
          <w:ilvl w:val="0"/>
          <w:numId w:val="3"/>
        </w:numPr>
        <w:tabs>
          <w:tab w:val="left" w:pos="0"/>
        </w:tabs>
        <w:spacing w:after="0"/>
        <w:ind w:left="0" w:firstLine="0"/>
        <w:rPr>
          <w:sz w:val="24"/>
          <w:szCs w:val="24"/>
        </w:rPr>
      </w:pPr>
      <w:r w:rsidRPr="00286072">
        <w:rPr>
          <w:sz w:val="24"/>
          <w:szCs w:val="24"/>
        </w:rPr>
        <w:t>Health system characteristics and structure (e.g., ownership, geography, size, integration)</w:t>
      </w:r>
    </w:p>
    <w:p w:rsidRPr="00286072" w:rsidR="00B708D3" w:rsidP="00B708D3" w:rsidRDefault="00B708D3" w14:paraId="00D62B69" w14:textId="77777777">
      <w:pPr>
        <w:pStyle w:val="Bullets"/>
        <w:numPr>
          <w:ilvl w:val="0"/>
          <w:numId w:val="3"/>
        </w:numPr>
        <w:spacing w:after="0"/>
        <w:ind w:left="0" w:firstLine="0"/>
        <w:rPr>
          <w:sz w:val="24"/>
          <w:szCs w:val="24"/>
        </w:rPr>
      </w:pPr>
      <w:r w:rsidRPr="775A952C">
        <w:rPr>
          <w:sz w:val="24"/>
          <w:szCs w:val="24"/>
        </w:rPr>
        <w:t>Levels/types of chronic pain management policies health systems have or are planning to implement (e.g., opioid prescribing, MOUD)</w:t>
      </w:r>
    </w:p>
    <w:p w:rsidRPr="00286072" w:rsidR="00B708D3" w:rsidP="00B708D3" w:rsidRDefault="00B708D3" w14:paraId="334C1D75" w14:textId="77777777">
      <w:pPr>
        <w:pStyle w:val="Bullets"/>
        <w:numPr>
          <w:ilvl w:val="0"/>
          <w:numId w:val="3"/>
        </w:numPr>
        <w:tabs>
          <w:tab w:val="left" w:pos="0"/>
        </w:tabs>
        <w:spacing w:after="0"/>
        <w:ind w:left="0" w:firstLine="0"/>
        <w:rPr>
          <w:sz w:val="24"/>
          <w:szCs w:val="24"/>
        </w:rPr>
      </w:pPr>
      <w:r w:rsidRPr="00286072">
        <w:rPr>
          <w:sz w:val="24"/>
          <w:szCs w:val="24"/>
        </w:rPr>
        <w:t>The stage of implementation of each policy/guideline or when they were implemented</w:t>
      </w:r>
    </w:p>
    <w:p w:rsidR="00B708D3" w:rsidP="00B708D3" w:rsidRDefault="00B708D3" w14:paraId="0A12E1D5" w14:textId="77777777">
      <w:pPr>
        <w:pStyle w:val="BulletsLast"/>
        <w:numPr>
          <w:ilvl w:val="0"/>
          <w:numId w:val="3"/>
        </w:numPr>
        <w:spacing w:after="0"/>
        <w:ind w:left="0" w:firstLine="0"/>
        <w:rPr>
          <w:sz w:val="24"/>
          <w:szCs w:val="24"/>
        </w:rPr>
      </w:pPr>
      <w:r w:rsidRPr="2229C56D">
        <w:rPr>
          <w:sz w:val="24"/>
          <w:szCs w:val="24"/>
        </w:rPr>
        <w:t xml:space="preserve">The primary strategies for implementing polices/guidelines (e.g., policy only, training/ education, incentives, EHR and/or electronic clinical decision support (CDS) tools, use of quality improvement (QI) measures, ‘audit and feedback’, etc.) </w:t>
      </w:r>
    </w:p>
    <w:p w:rsidRPr="00AD1D59" w:rsidR="00B708D3" w:rsidP="00B708D3" w:rsidRDefault="00B708D3" w14:paraId="116E5C92" w14:textId="77777777">
      <w:pPr>
        <w:pStyle w:val="BulletsLast"/>
        <w:numPr>
          <w:ilvl w:val="0"/>
          <w:numId w:val="3"/>
        </w:numPr>
        <w:spacing w:after="0"/>
        <w:ind w:left="0" w:firstLine="0"/>
        <w:rPr>
          <w:sz w:val="24"/>
          <w:szCs w:val="24"/>
        </w:rPr>
      </w:pPr>
      <w:r w:rsidRPr="5FA61A53">
        <w:rPr>
          <w:sz w:val="24"/>
          <w:szCs w:val="24"/>
        </w:rPr>
        <w:t>Data systems and availability (e.g., access to full EHR reports, savvy IT analytics team, access to claims and type of claims, structured data for capturing care processes)</w:t>
      </w:r>
    </w:p>
    <w:p w:rsidR="00B708D3" w:rsidP="00B708D3" w:rsidRDefault="00B708D3" w14:paraId="51E20100" w14:textId="77777777">
      <w:pPr>
        <w:pStyle w:val="Bullets"/>
        <w:numPr>
          <w:ilvl w:val="0"/>
          <w:numId w:val="0"/>
        </w:numPr>
        <w:spacing w:after="0"/>
        <w:rPr>
          <w:sz w:val="24"/>
          <w:szCs w:val="24"/>
        </w:rPr>
      </w:pPr>
    </w:p>
    <w:p w:rsidR="00B708D3" w:rsidP="00B708D3" w:rsidRDefault="00B708D3" w14:paraId="664D48C8" w14:textId="77777777">
      <w:pPr>
        <w:pStyle w:val="Bullets"/>
        <w:numPr>
          <w:ilvl w:val="0"/>
          <w:numId w:val="0"/>
        </w:numPr>
        <w:rPr>
          <w:sz w:val="24"/>
          <w:szCs w:val="24"/>
        </w:rPr>
      </w:pPr>
      <w:r w:rsidRPr="5AF474FE">
        <w:rPr>
          <w:sz w:val="24"/>
          <w:szCs w:val="24"/>
        </w:rPr>
        <w:t>Of 250 health systems contacted, 46 responded and were considered for the following preliminary phase, the evaluability assessment.</w:t>
      </w:r>
    </w:p>
    <w:p w:rsidR="00B708D3" w:rsidP="00B708D3" w:rsidRDefault="00B708D3" w14:paraId="3DEE18D7" w14:textId="77777777">
      <w:pPr>
        <w:pStyle w:val="Bullets"/>
        <w:numPr>
          <w:ilvl w:val="0"/>
          <w:numId w:val="0"/>
        </w:numPr>
        <w:tabs>
          <w:tab w:val="left" w:pos="0"/>
        </w:tabs>
        <w:rPr>
          <w:i/>
          <w:sz w:val="24"/>
          <w:szCs w:val="24"/>
        </w:rPr>
      </w:pPr>
    </w:p>
    <w:p w:rsidR="00B708D3" w:rsidP="00B708D3" w:rsidRDefault="00B708D3" w14:paraId="723BD76E" w14:textId="77777777">
      <w:pPr>
        <w:pStyle w:val="Bullets"/>
        <w:numPr>
          <w:ilvl w:val="0"/>
          <w:numId w:val="6"/>
        </w:numPr>
        <w:tabs>
          <w:tab w:val="left" w:pos="0"/>
        </w:tabs>
        <w:rPr>
          <w:i/>
          <w:sz w:val="24"/>
          <w:szCs w:val="24"/>
        </w:rPr>
      </w:pPr>
      <w:r w:rsidRPr="00CB45A4">
        <w:rPr>
          <w:i/>
          <w:sz w:val="24"/>
          <w:szCs w:val="24"/>
        </w:rPr>
        <w:t>Evaluability Assessment of Health Systems (Interviews)</w:t>
      </w:r>
    </w:p>
    <w:p w:rsidRPr="008D314C" w:rsidR="00B708D3" w:rsidP="00B708D3" w:rsidRDefault="00B708D3" w14:paraId="7CC4834E" w14:textId="77777777">
      <w:pPr>
        <w:pStyle w:val="BodyText"/>
        <w:ind w:left="0"/>
      </w:pPr>
      <w:r>
        <w:t xml:space="preserve">Among the 46 health systems who completed the feasibility assessment surveys, nine were selected for a more in-depth “evaluability assessment” based on a number of factors identified in the initial feasibility (survey) assessment, as well as other expert knowledge of potential systems. </w:t>
      </w:r>
    </w:p>
    <w:p w:rsidRPr="008D314C" w:rsidR="00B708D3" w:rsidP="00B708D3" w:rsidRDefault="00B708D3" w14:paraId="19EE3A5B" w14:textId="77777777">
      <w:pPr>
        <w:pStyle w:val="BodyText"/>
        <w:ind w:left="0"/>
      </w:pPr>
      <w:r>
        <w:t>Specific criteria used to select the nine health systems for interviews included:</w:t>
      </w:r>
    </w:p>
    <w:p w:rsidRPr="008D314C" w:rsidR="00B708D3" w:rsidP="00B708D3" w:rsidRDefault="00B708D3" w14:paraId="634161A4" w14:textId="77777777">
      <w:pPr>
        <w:pStyle w:val="Bullets"/>
        <w:spacing w:after="0"/>
        <w:ind w:left="720"/>
        <w:rPr>
          <w:sz w:val="24"/>
          <w:szCs w:val="24"/>
          <w:lang w:val="en-US"/>
        </w:rPr>
      </w:pPr>
      <w:r w:rsidRPr="5FA61A53">
        <w:rPr>
          <w:sz w:val="24"/>
          <w:szCs w:val="24"/>
          <w:lang w:val="en-US"/>
        </w:rPr>
        <w:t xml:space="preserve">Years of guideline implementation: at least three years to ensure sufficient time for full implementation (i.e., implementation occurred 2017 or earlier) </w:t>
      </w:r>
    </w:p>
    <w:p w:rsidRPr="008D314C" w:rsidR="00B708D3" w:rsidP="00B708D3" w:rsidRDefault="00B708D3" w14:paraId="5E4BAD56" w14:textId="77777777">
      <w:pPr>
        <w:pStyle w:val="Bullets"/>
        <w:spacing w:after="0"/>
        <w:ind w:left="720"/>
        <w:rPr>
          <w:sz w:val="24"/>
          <w:szCs w:val="24"/>
          <w:lang w:val="en-US"/>
        </w:rPr>
      </w:pPr>
      <w:r w:rsidRPr="775A952C">
        <w:rPr>
          <w:sz w:val="24"/>
          <w:szCs w:val="24"/>
          <w:lang w:val="en-US"/>
        </w:rPr>
        <w:t>Broad range of specific guideline recommendations implemented</w:t>
      </w:r>
    </w:p>
    <w:p w:rsidRPr="008D314C" w:rsidR="00B708D3" w:rsidP="00B708D3" w:rsidRDefault="00B708D3" w14:paraId="1845B781" w14:textId="77777777">
      <w:pPr>
        <w:pStyle w:val="Bullets"/>
        <w:spacing w:after="0"/>
        <w:ind w:left="720"/>
        <w:rPr>
          <w:sz w:val="24"/>
          <w:szCs w:val="24"/>
          <w:lang w:val="en-US"/>
        </w:rPr>
      </w:pPr>
      <w:r w:rsidRPr="775A952C">
        <w:rPr>
          <w:sz w:val="24"/>
          <w:szCs w:val="24"/>
          <w:lang w:val="en-US"/>
        </w:rPr>
        <w:t>Geographic representation across the United States</w:t>
      </w:r>
    </w:p>
    <w:p w:rsidRPr="008D314C" w:rsidR="00B708D3" w:rsidP="00B708D3" w:rsidRDefault="00B708D3" w14:paraId="459D7B9F" w14:textId="77777777">
      <w:pPr>
        <w:pStyle w:val="Bullets"/>
        <w:spacing w:after="0"/>
        <w:ind w:left="720"/>
        <w:rPr>
          <w:sz w:val="24"/>
          <w:szCs w:val="24"/>
          <w:lang w:val="en-US"/>
        </w:rPr>
      </w:pPr>
      <w:r w:rsidRPr="775A952C">
        <w:rPr>
          <w:sz w:val="24"/>
          <w:szCs w:val="24"/>
          <w:lang w:val="en-US"/>
        </w:rPr>
        <w:t>Mix of urban and rural population served, including racial, ethnic and socioeconomic variation</w:t>
      </w:r>
    </w:p>
    <w:p w:rsidRPr="008D314C" w:rsidR="00B708D3" w:rsidP="00B708D3" w:rsidRDefault="00B708D3" w14:paraId="459C5F99" w14:textId="77777777">
      <w:pPr>
        <w:pStyle w:val="Bullets"/>
        <w:spacing w:after="0"/>
        <w:ind w:left="720"/>
        <w:rPr>
          <w:sz w:val="24"/>
          <w:szCs w:val="24"/>
          <w:lang w:val="en-US"/>
        </w:rPr>
      </w:pPr>
      <w:r w:rsidRPr="775A952C">
        <w:rPr>
          <w:sz w:val="24"/>
          <w:szCs w:val="24"/>
          <w:lang w:val="en-US"/>
        </w:rPr>
        <w:t>Presence of primary care clinicians who prescribe opioids for chronic pain management (as opposed to prescribing solely by pain management specialists)</w:t>
      </w:r>
    </w:p>
    <w:p w:rsidRPr="008D314C" w:rsidR="00B708D3" w:rsidP="00B708D3" w:rsidRDefault="00B708D3" w14:paraId="1B0C4C72" w14:textId="77777777">
      <w:pPr>
        <w:pStyle w:val="Bullets"/>
        <w:spacing w:after="0"/>
        <w:ind w:left="720"/>
        <w:rPr>
          <w:rFonts w:asciiTheme="minorHAnsi" w:hAnsiTheme="minorHAnsi" w:eastAsiaTheme="minorEastAsia" w:cstheme="minorBidi"/>
          <w:sz w:val="24"/>
          <w:szCs w:val="24"/>
          <w:u w:val="single"/>
          <w:lang w:val="en-US"/>
        </w:rPr>
      </w:pPr>
      <w:r w:rsidRPr="775A952C">
        <w:rPr>
          <w:sz w:val="24"/>
          <w:szCs w:val="24"/>
          <w:lang w:val="en-US"/>
        </w:rPr>
        <w:t>Availability of structured data on physician practices and patient outcomes related to specific guidelines, from before and after implementation</w:t>
      </w:r>
    </w:p>
    <w:p w:rsidRPr="008D314C" w:rsidR="00B708D3" w:rsidP="00B708D3" w:rsidRDefault="00B708D3" w14:paraId="41DD7F6A" w14:textId="77777777">
      <w:pPr>
        <w:pStyle w:val="Bullets"/>
        <w:spacing w:after="0"/>
        <w:ind w:left="720"/>
        <w:rPr>
          <w:sz w:val="24"/>
          <w:szCs w:val="24"/>
        </w:rPr>
      </w:pPr>
      <w:r>
        <w:rPr>
          <w:sz w:val="24"/>
          <w:szCs w:val="24"/>
        </w:rPr>
        <w:lastRenderedPageBreak/>
        <w:t>M</w:t>
      </w:r>
      <w:r w:rsidRPr="775A952C">
        <w:rPr>
          <w:sz w:val="24"/>
          <w:szCs w:val="24"/>
        </w:rPr>
        <w:t>embers</w:t>
      </w:r>
      <w:r>
        <w:rPr>
          <w:sz w:val="24"/>
          <w:szCs w:val="24"/>
        </w:rPr>
        <w:t>hip of health systems</w:t>
      </w:r>
      <w:r w:rsidRPr="775A952C">
        <w:rPr>
          <w:sz w:val="24"/>
          <w:szCs w:val="24"/>
        </w:rPr>
        <w:t xml:space="preserve"> </w:t>
      </w:r>
      <w:r>
        <w:rPr>
          <w:sz w:val="24"/>
          <w:szCs w:val="24"/>
        </w:rPr>
        <w:t xml:space="preserve">in </w:t>
      </w:r>
      <w:r w:rsidRPr="775A952C">
        <w:rPr>
          <w:sz w:val="24"/>
          <w:szCs w:val="24"/>
        </w:rPr>
        <w:t xml:space="preserve">AMGA </w:t>
      </w:r>
      <w:r>
        <w:rPr>
          <w:sz w:val="24"/>
          <w:szCs w:val="24"/>
        </w:rPr>
        <w:t>that</w:t>
      </w:r>
      <w:r w:rsidRPr="775A952C">
        <w:rPr>
          <w:sz w:val="24"/>
          <w:szCs w:val="24"/>
        </w:rPr>
        <w:t xml:space="preserve"> have expressed interest in participating and/or participated in previous research projects</w:t>
      </w:r>
    </w:p>
    <w:p w:rsidR="00B708D3" w:rsidP="00B708D3" w:rsidRDefault="00B708D3" w14:paraId="696DE2B7" w14:textId="77777777">
      <w:pPr>
        <w:pStyle w:val="Bullets"/>
        <w:numPr>
          <w:ilvl w:val="0"/>
          <w:numId w:val="0"/>
        </w:numPr>
        <w:rPr>
          <w:sz w:val="24"/>
          <w:szCs w:val="24"/>
        </w:rPr>
      </w:pPr>
    </w:p>
    <w:p w:rsidRPr="005B464E" w:rsidR="00B708D3" w:rsidP="00B708D3" w:rsidRDefault="00B708D3" w14:paraId="379F852F" w14:textId="77777777">
      <w:pPr>
        <w:pStyle w:val="Bullets"/>
        <w:numPr>
          <w:ilvl w:val="0"/>
          <w:numId w:val="0"/>
        </w:numPr>
        <w:rPr>
          <w:sz w:val="24"/>
          <w:szCs w:val="24"/>
          <w:lang w:val="en-US"/>
        </w:rPr>
      </w:pPr>
      <w:r w:rsidRPr="5FA61A53">
        <w:rPr>
          <w:sz w:val="24"/>
          <w:szCs w:val="24"/>
        </w:rPr>
        <w:t xml:space="preserve">We excluded systems that implemented guidelines more recently (defined as initiation of guidelines in 2018 or later) and therefore had insufficient time to observe changes over time, those with no primary care clinicians who prescribed opioids, and those without structured data.  </w:t>
      </w:r>
    </w:p>
    <w:p w:rsidR="00B708D3" w:rsidP="00B708D3" w:rsidRDefault="00B708D3" w14:paraId="7DC53BD4" w14:textId="77777777">
      <w:pPr>
        <w:pStyle w:val="BodyText"/>
        <w:ind w:left="0" w:right="0"/>
      </w:pPr>
      <w:r>
        <w:t xml:space="preserve">This evaluability assessment of the selected nine systems consisted of interviews involving a more in-depth discussion of each system’s chronic pain management, opioid prescribing, and MOUD policy and guideline implementation as well as availability of data. Interviews were conducted by telephone or on a virtual meeting platform with a key informant from each system (e.g., lead for quality and/or safety in ambulatory settings, chief medical officer, or other leaders in the systems) who were knowledgeable about the specific policies and guidelines implemented, including implementation strategies (e.g., communications and trainings), timeline for implementation, barriers or facilitators to implementation, and availability of data regarding implementation of MOUD, special populations (e.g., race, ethnicity, and income), and patient outcomes. The interviews were recorded following informed consent from participants. Each interview was summarized in a Word document based on information from the notes and, when needed, the recording. All data was stored on Abt Associates’s secure server and will be destroyed after six years. </w:t>
      </w:r>
    </w:p>
    <w:p w:rsidRPr="00286072" w:rsidR="00B708D3" w:rsidP="00B708D3" w:rsidRDefault="00B708D3" w14:paraId="12953977" w14:textId="77777777">
      <w:pPr>
        <w:pStyle w:val="BodyText"/>
        <w:tabs>
          <w:tab w:val="left" w:pos="0"/>
        </w:tabs>
        <w:ind w:left="0" w:right="0"/>
      </w:pPr>
      <w:r w:rsidRPr="00286072">
        <w:t>The interviews included questions in the following domains:</w:t>
      </w:r>
    </w:p>
    <w:p w:rsidRPr="00286072" w:rsidR="00B708D3" w:rsidP="00B708D3" w:rsidRDefault="00B708D3" w14:paraId="01CA510B" w14:textId="77777777">
      <w:pPr>
        <w:pStyle w:val="Bullets"/>
        <w:numPr>
          <w:ilvl w:val="0"/>
          <w:numId w:val="4"/>
        </w:numPr>
        <w:tabs>
          <w:tab w:val="left" w:pos="0"/>
        </w:tabs>
        <w:spacing w:after="0"/>
        <w:ind w:left="0" w:firstLine="0"/>
        <w:rPr>
          <w:sz w:val="24"/>
          <w:szCs w:val="24"/>
        </w:rPr>
      </w:pPr>
      <w:r w:rsidRPr="00286072">
        <w:rPr>
          <w:sz w:val="24"/>
          <w:szCs w:val="24"/>
        </w:rPr>
        <w:t xml:space="preserve">Background on </w:t>
      </w:r>
      <w:r>
        <w:rPr>
          <w:sz w:val="24"/>
          <w:szCs w:val="24"/>
        </w:rPr>
        <w:t>h</w:t>
      </w:r>
      <w:r w:rsidRPr="00286072">
        <w:rPr>
          <w:sz w:val="24"/>
          <w:szCs w:val="24"/>
        </w:rPr>
        <w:t xml:space="preserve">ealth </w:t>
      </w:r>
      <w:r>
        <w:rPr>
          <w:sz w:val="24"/>
          <w:szCs w:val="24"/>
        </w:rPr>
        <w:t>s</w:t>
      </w:r>
      <w:r w:rsidRPr="00286072">
        <w:rPr>
          <w:sz w:val="24"/>
          <w:szCs w:val="24"/>
        </w:rPr>
        <w:t xml:space="preserve">ystem </w:t>
      </w:r>
      <w:r>
        <w:rPr>
          <w:sz w:val="24"/>
          <w:szCs w:val="24"/>
        </w:rPr>
        <w:t>c</w:t>
      </w:r>
      <w:r w:rsidRPr="00286072">
        <w:rPr>
          <w:sz w:val="24"/>
          <w:szCs w:val="24"/>
        </w:rPr>
        <w:t xml:space="preserve">haracteristics and </w:t>
      </w:r>
      <w:r>
        <w:rPr>
          <w:sz w:val="24"/>
          <w:szCs w:val="24"/>
        </w:rPr>
        <w:t>s</w:t>
      </w:r>
      <w:r w:rsidRPr="00286072">
        <w:rPr>
          <w:sz w:val="24"/>
          <w:szCs w:val="24"/>
        </w:rPr>
        <w:t xml:space="preserve">tructure </w:t>
      </w:r>
    </w:p>
    <w:p w:rsidRPr="00286072" w:rsidR="00B708D3" w:rsidP="00B708D3" w:rsidRDefault="00B708D3" w14:paraId="4993B90F" w14:textId="77777777">
      <w:pPr>
        <w:pStyle w:val="Bullets"/>
        <w:numPr>
          <w:ilvl w:val="0"/>
          <w:numId w:val="4"/>
        </w:numPr>
        <w:spacing w:after="0"/>
        <w:ind w:left="0" w:firstLine="0"/>
        <w:rPr>
          <w:sz w:val="24"/>
          <w:szCs w:val="24"/>
        </w:rPr>
      </w:pPr>
      <w:r w:rsidRPr="775A952C">
        <w:rPr>
          <w:sz w:val="24"/>
          <w:szCs w:val="24"/>
        </w:rPr>
        <w:t>Chronic pain management</w:t>
      </w:r>
      <w:r>
        <w:rPr>
          <w:sz w:val="24"/>
          <w:szCs w:val="24"/>
        </w:rPr>
        <w:t xml:space="preserve"> and </w:t>
      </w:r>
      <w:r w:rsidRPr="775A952C">
        <w:rPr>
          <w:sz w:val="24"/>
          <w:szCs w:val="24"/>
        </w:rPr>
        <w:t>opioid prescribing</w:t>
      </w:r>
      <w:r>
        <w:rPr>
          <w:sz w:val="24"/>
          <w:szCs w:val="24"/>
        </w:rPr>
        <w:t xml:space="preserve"> </w:t>
      </w:r>
      <w:r w:rsidRPr="775A952C">
        <w:rPr>
          <w:sz w:val="24"/>
          <w:szCs w:val="24"/>
        </w:rPr>
        <w:t>guidelines implemented</w:t>
      </w:r>
      <w:r>
        <w:rPr>
          <w:sz w:val="24"/>
          <w:szCs w:val="24"/>
        </w:rPr>
        <w:t xml:space="preserve"> </w:t>
      </w:r>
    </w:p>
    <w:p w:rsidRPr="00286072" w:rsidR="00B708D3" w:rsidP="00B708D3" w:rsidRDefault="00B708D3" w14:paraId="432F58C8" w14:textId="77777777">
      <w:pPr>
        <w:pStyle w:val="Bullets"/>
        <w:numPr>
          <w:ilvl w:val="0"/>
          <w:numId w:val="4"/>
        </w:numPr>
        <w:tabs>
          <w:tab w:val="left" w:pos="0"/>
        </w:tabs>
        <w:spacing w:after="0"/>
        <w:ind w:left="0" w:firstLine="0"/>
        <w:rPr>
          <w:sz w:val="24"/>
          <w:szCs w:val="24"/>
        </w:rPr>
      </w:pPr>
      <w:r w:rsidRPr="00286072">
        <w:rPr>
          <w:sz w:val="24"/>
          <w:szCs w:val="24"/>
        </w:rPr>
        <w:t xml:space="preserve">Implementation </w:t>
      </w:r>
      <w:r>
        <w:rPr>
          <w:sz w:val="24"/>
          <w:szCs w:val="24"/>
        </w:rPr>
        <w:t>s</w:t>
      </w:r>
      <w:r w:rsidRPr="00286072">
        <w:rPr>
          <w:sz w:val="24"/>
          <w:szCs w:val="24"/>
        </w:rPr>
        <w:t>trategies</w:t>
      </w:r>
    </w:p>
    <w:p w:rsidR="00B708D3" w:rsidP="00B708D3" w:rsidRDefault="00B708D3" w14:paraId="0A6DC375" w14:textId="77777777">
      <w:pPr>
        <w:pStyle w:val="Bullets"/>
        <w:numPr>
          <w:ilvl w:val="0"/>
          <w:numId w:val="4"/>
        </w:numPr>
        <w:tabs>
          <w:tab w:val="left" w:pos="0"/>
        </w:tabs>
        <w:spacing w:after="0"/>
        <w:ind w:left="0" w:firstLine="0"/>
        <w:rPr>
          <w:sz w:val="24"/>
          <w:szCs w:val="24"/>
        </w:rPr>
      </w:pPr>
      <w:r w:rsidRPr="00286072">
        <w:rPr>
          <w:sz w:val="24"/>
          <w:szCs w:val="24"/>
        </w:rPr>
        <w:t xml:space="preserve">Data </w:t>
      </w:r>
      <w:r>
        <w:rPr>
          <w:sz w:val="24"/>
          <w:szCs w:val="24"/>
        </w:rPr>
        <w:t>s</w:t>
      </w:r>
      <w:r w:rsidRPr="00286072">
        <w:rPr>
          <w:sz w:val="24"/>
          <w:szCs w:val="24"/>
        </w:rPr>
        <w:t>ystems</w:t>
      </w:r>
      <w:r>
        <w:rPr>
          <w:sz w:val="24"/>
          <w:szCs w:val="24"/>
        </w:rPr>
        <w:t xml:space="preserve"> available</w:t>
      </w:r>
      <w:r w:rsidRPr="00286072">
        <w:rPr>
          <w:sz w:val="24"/>
          <w:szCs w:val="24"/>
        </w:rPr>
        <w:t>, including types of de-identified information</w:t>
      </w:r>
    </w:p>
    <w:p w:rsidRPr="00B708D3" w:rsidR="00B708D3" w:rsidP="00B708D3" w:rsidRDefault="00B708D3" w14:paraId="2FF007F7" w14:textId="77777777">
      <w:pPr>
        <w:pStyle w:val="Bullets"/>
        <w:numPr>
          <w:ilvl w:val="0"/>
          <w:numId w:val="4"/>
        </w:numPr>
        <w:tabs>
          <w:tab w:val="left" w:pos="0"/>
        </w:tabs>
        <w:spacing w:after="0"/>
        <w:ind w:left="0" w:firstLine="0"/>
        <w:rPr>
          <w:sz w:val="24"/>
          <w:szCs w:val="24"/>
        </w:rPr>
      </w:pPr>
      <w:r w:rsidRPr="00B708D3">
        <w:rPr>
          <w:sz w:val="24"/>
          <w:szCs w:val="24"/>
        </w:rPr>
        <w:t>Efforts to address racial and ethnic disparities in chronic pain management, opioid prescribing, and access to MOUD</w:t>
      </w:r>
    </w:p>
    <w:p w:rsidR="00612659" w:rsidRDefault="00612659" w14:paraId="3B3DB0D5" w14:textId="77777777"/>
    <w:sectPr w:rsidR="00612659"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0BCC" w14:textId="77777777" w:rsidR="00D958CB" w:rsidRDefault="00D958CB" w:rsidP="00D958CB">
      <w:pPr>
        <w:spacing w:line="240" w:lineRule="auto"/>
      </w:pPr>
      <w:r>
        <w:separator/>
      </w:r>
    </w:p>
  </w:endnote>
  <w:endnote w:type="continuationSeparator" w:id="0">
    <w:p w14:paraId="575E690E" w14:textId="77777777" w:rsidR="00D958CB" w:rsidRDefault="00D958CB" w:rsidP="00D95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ycmfpAdvTT86d47313">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2D0F" w14:textId="77777777" w:rsidR="00D958CB" w:rsidRDefault="00D958CB" w:rsidP="00D958CB">
      <w:pPr>
        <w:spacing w:line="240" w:lineRule="auto"/>
      </w:pPr>
      <w:r>
        <w:separator/>
      </w:r>
    </w:p>
  </w:footnote>
  <w:footnote w:type="continuationSeparator" w:id="0">
    <w:p w14:paraId="6F3ECFB5" w14:textId="77777777" w:rsidR="00D958CB" w:rsidRDefault="00D958CB" w:rsidP="00D958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018C"/>
    <w:multiLevelType w:val="hybridMultilevel"/>
    <w:tmpl w:val="07E6655E"/>
    <w:lvl w:ilvl="0" w:tplc="4C108BD0">
      <w:start w:val="1"/>
      <w:numFmt w:val="bullet"/>
      <w:pStyle w:val="TableBullets"/>
      <w:lvlText w:val=""/>
      <w:lvlJc w:val="left"/>
      <w:pPr>
        <w:ind w:left="900" w:hanging="360"/>
      </w:pPr>
      <w:rPr>
        <w:rFonts w:ascii="Symbol" w:hAnsi="Symbol" w:hint="default"/>
        <w:color w:val="DA291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C78DB"/>
    <w:multiLevelType w:val="hybridMultilevel"/>
    <w:tmpl w:val="7EC84A54"/>
    <w:lvl w:ilvl="0" w:tplc="04090001">
      <w:start w:val="1"/>
      <w:numFmt w:val="bullet"/>
      <w:lvlText w:val=""/>
      <w:lvlJc w:val="left"/>
      <w:pPr>
        <w:ind w:left="2550" w:hanging="360"/>
      </w:pPr>
      <w:rPr>
        <w:rFonts w:ascii="Symbol" w:hAnsi="Symbo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 w15:restartNumberingAfterBreak="0">
    <w:nsid w:val="23A829BC"/>
    <w:multiLevelType w:val="hybridMultilevel"/>
    <w:tmpl w:val="EFC04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B3504"/>
    <w:multiLevelType w:val="hybridMultilevel"/>
    <w:tmpl w:val="16365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C63F0F"/>
    <w:multiLevelType w:val="hybridMultilevel"/>
    <w:tmpl w:val="C3C4D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42EB9"/>
    <w:multiLevelType w:val="hybridMultilevel"/>
    <w:tmpl w:val="16DA146C"/>
    <w:lvl w:ilvl="0" w:tplc="C49069F4">
      <w:start w:val="1"/>
      <w:numFmt w:val="decimal"/>
      <w:pStyle w:val="TableNumberedBulle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D63DA6"/>
    <w:multiLevelType w:val="singleLevel"/>
    <w:tmpl w:val="DB2CDB26"/>
    <w:lvl w:ilvl="0">
      <w:start w:val="1"/>
      <w:numFmt w:val="bullet"/>
      <w:pStyle w:val="Bullets"/>
      <w:lvlText w:val=""/>
      <w:lvlJc w:val="left"/>
      <w:pPr>
        <w:ind w:left="360" w:hanging="360"/>
      </w:pPr>
      <w:rPr>
        <w:rFonts w:ascii="Symbol" w:hAnsi="Symbol" w:hint="default"/>
        <w:color w:val="000000" w:themeColor="text1"/>
        <w:sz w:val="22"/>
      </w:r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0A"/>
    <w:rsid w:val="000B4B0A"/>
    <w:rsid w:val="001048A1"/>
    <w:rsid w:val="004B074E"/>
    <w:rsid w:val="00612659"/>
    <w:rsid w:val="00B2654E"/>
    <w:rsid w:val="00B708D3"/>
    <w:rsid w:val="00D26908"/>
    <w:rsid w:val="00D958CB"/>
    <w:rsid w:val="00F6638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BEF21"/>
  <w15:chartTrackingRefBased/>
  <w15:docId w15:val="{D1755175-881D-4606-8A65-361B099B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B0A"/>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0B4B0A"/>
    <w:pPr>
      <w:spacing w:after="240" w:line="240" w:lineRule="auto"/>
    </w:pPr>
  </w:style>
  <w:style w:type="paragraph" w:customStyle="1" w:styleId="TableText">
    <w:name w:val="Table Text"/>
    <w:basedOn w:val="Normal"/>
    <w:qFormat/>
    <w:rsid w:val="000B4B0A"/>
    <w:pPr>
      <w:spacing w:line="240" w:lineRule="auto"/>
      <w:ind w:firstLine="0"/>
    </w:pPr>
    <w:rPr>
      <w:rFonts w:ascii="Arial" w:hAnsi="Arial"/>
      <w:sz w:val="18"/>
    </w:rPr>
  </w:style>
  <w:style w:type="character" w:styleId="CommentReference">
    <w:name w:val="annotation reference"/>
    <w:basedOn w:val="DefaultParagraphFont"/>
    <w:uiPriority w:val="99"/>
    <w:unhideWhenUsed/>
    <w:qFormat/>
    <w:rsid w:val="000B4B0A"/>
    <w:rPr>
      <w:sz w:val="16"/>
      <w:szCs w:val="16"/>
    </w:rPr>
  </w:style>
  <w:style w:type="paragraph" w:styleId="CommentText">
    <w:name w:val="annotation text"/>
    <w:basedOn w:val="Normal"/>
    <w:link w:val="CommentTextChar"/>
    <w:uiPriority w:val="99"/>
    <w:unhideWhenUsed/>
    <w:qFormat/>
    <w:rsid w:val="000B4B0A"/>
    <w:pPr>
      <w:spacing w:line="240" w:lineRule="auto"/>
    </w:pPr>
    <w:rPr>
      <w:sz w:val="20"/>
    </w:rPr>
  </w:style>
  <w:style w:type="character" w:customStyle="1" w:styleId="CommentTextChar">
    <w:name w:val="Comment Text Char"/>
    <w:basedOn w:val="DefaultParagraphFont"/>
    <w:link w:val="CommentText"/>
    <w:uiPriority w:val="99"/>
    <w:qFormat/>
    <w:rsid w:val="000B4B0A"/>
    <w:rPr>
      <w:rFonts w:ascii="Times New Roman" w:eastAsia="Times New Roman" w:hAnsi="Times New Roman" w:cs="Times New Roman"/>
      <w:sz w:val="20"/>
      <w:szCs w:val="20"/>
    </w:rPr>
  </w:style>
  <w:style w:type="character" w:customStyle="1" w:styleId="NormalSSChar">
    <w:name w:val="NormalSS Char"/>
    <w:link w:val="NormalSS"/>
    <w:locked/>
    <w:rsid w:val="000B4B0A"/>
    <w:rPr>
      <w:rFonts w:ascii="Times New Roman" w:eastAsia="Times New Roman" w:hAnsi="Times New Roman" w:cs="Times New Roman"/>
      <w:sz w:val="24"/>
      <w:szCs w:val="20"/>
    </w:rPr>
  </w:style>
  <w:style w:type="table" w:styleId="TableGrid">
    <w:name w:val="Table Grid"/>
    <w:basedOn w:val="TableNormal"/>
    <w:uiPriority w:val="39"/>
    <w:rsid w:val="000B4B0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B4B0A"/>
    <w:pPr>
      <w:spacing w:after="120" w:line="240" w:lineRule="auto"/>
      <w:ind w:left="750" w:right="662" w:firstLine="0"/>
    </w:pPr>
    <w:rPr>
      <w:rFonts w:eastAsiaTheme="minorEastAsia"/>
      <w:szCs w:val="24"/>
    </w:rPr>
  </w:style>
  <w:style w:type="character" w:customStyle="1" w:styleId="BodyTextChar">
    <w:name w:val="Body Text Char"/>
    <w:basedOn w:val="DefaultParagraphFont"/>
    <w:link w:val="BodyText"/>
    <w:uiPriority w:val="1"/>
    <w:rsid w:val="000B4B0A"/>
    <w:rPr>
      <w:rFonts w:ascii="Times New Roman" w:eastAsiaTheme="minorEastAsia" w:hAnsi="Times New Roman" w:cs="Times New Roman"/>
      <w:sz w:val="24"/>
      <w:szCs w:val="24"/>
    </w:rPr>
  </w:style>
  <w:style w:type="paragraph" w:styleId="Caption">
    <w:name w:val="caption"/>
    <w:aliases w:val="Credit,table,TableCaption,ca,Caption Char Char1 Char,Caption Char1 Char Char1 Char1,Caption Char Char Char Char1 Char2,Caption Char1 Char Char Char Char1 Char,Caption Char Char Char Char Char Char2 Char,FPG Figure Caption,cp,cp1"/>
    <w:basedOn w:val="Normal"/>
    <w:next w:val="BodyText"/>
    <w:link w:val="CaptionChar"/>
    <w:qFormat/>
    <w:rsid w:val="000B4B0A"/>
    <w:pPr>
      <w:tabs>
        <w:tab w:val="left" w:pos="1260"/>
      </w:tabs>
      <w:spacing w:after="120" w:line="240" w:lineRule="auto"/>
      <w:ind w:left="1260" w:hanging="1260"/>
    </w:pPr>
    <w:rPr>
      <w:rFonts w:ascii="Arial" w:eastAsiaTheme="minorHAnsi" w:hAnsi="Arial" w:cs="Arial"/>
      <w:b/>
      <w:sz w:val="20"/>
      <w:szCs w:val="22"/>
    </w:rPr>
  </w:style>
  <w:style w:type="paragraph" w:customStyle="1" w:styleId="TableBullets">
    <w:name w:val="Table Bullets"/>
    <w:basedOn w:val="ListParagraph"/>
    <w:qFormat/>
    <w:rsid w:val="000B4B0A"/>
    <w:pPr>
      <w:numPr>
        <w:numId w:val="1"/>
      </w:numPr>
      <w:tabs>
        <w:tab w:val="num" w:pos="360"/>
      </w:tabs>
      <w:spacing w:line="240" w:lineRule="auto"/>
      <w:ind w:left="720" w:firstLine="432"/>
      <w:contextualSpacing w:val="0"/>
    </w:pPr>
    <w:rPr>
      <w:rFonts w:ascii="Arial Narrow" w:eastAsiaTheme="minorHAnsi" w:hAnsi="Arial Narrow" w:cstheme="minorBidi"/>
      <w:bCs/>
      <w:sz w:val="20"/>
    </w:rPr>
  </w:style>
  <w:style w:type="paragraph" w:customStyle="1" w:styleId="TableColumnHeader">
    <w:name w:val="Table Column Header"/>
    <w:basedOn w:val="Normal"/>
    <w:qFormat/>
    <w:rsid w:val="000B4B0A"/>
    <w:pPr>
      <w:spacing w:before="20" w:after="20" w:line="240" w:lineRule="auto"/>
      <w:ind w:firstLine="0"/>
      <w:jc w:val="center"/>
    </w:pPr>
    <w:rPr>
      <w:rFonts w:ascii="Arial Narrow" w:hAnsi="Arial Narrow"/>
      <w:b/>
      <w:color w:val="FFFFFF" w:themeColor="background1"/>
      <w:sz w:val="20"/>
    </w:rPr>
  </w:style>
  <w:style w:type="character" w:customStyle="1" w:styleId="CaptionChar">
    <w:name w:val="Caption Char"/>
    <w:aliases w:val="Credit Char,table Char,TableCaption Char,ca Char,Caption Char Char1 Char Char,Caption Char1 Char Char1 Char1 Char,Caption Char Char Char Char1 Char2 Char,Caption Char1 Char Char Char Char1 Char Char,FPG Figure Caption Char,cp Char,cp1 Char"/>
    <w:basedOn w:val="DefaultParagraphFont"/>
    <w:link w:val="Caption"/>
    <w:locked/>
    <w:rsid w:val="000B4B0A"/>
    <w:rPr>
      <w:rFonts w:ascii="Arial" w:hAnsi="Arial" w:cs="Arial"/>
      <w:b/>
      <w:sz w:val="20"/>
    </w:rPr>
  </w:style>
  <w:style w:type="paragraph" w:customStyle="1" w:styleId="Bullets">
    <w:name w:val="Bullets"/>
    <w:basedOn w:val="BodyText"/>
    <w:rsid w:val="000B4B0A"/>
    <w:pPr>
      <w:numPr>
        <w:numId w:val="2"/>
      </w:numPr>
      <w:tabs>
        <w:tab w:val="left" w:pos="360"/>
      </w:tabs>
      <w:ind w:right="0"/>
    </w:pPr>
    <w:rPr>
      <w:rFonts w:eastAsia="Times New Roman"/>
      <w:sz w:val="22"/>
      <w:szCs w:val="20"/>
      <w:lang w:val="en"/>
    </w:rPr>
  </w:style>
  <w:style w:type="paragraph" w:customStyle="1" w:styleId="BulletsLast">
    <w:name w:val="BulletsLast"/>
    <w:basedOn w:val="Bullets"/>
    <w:qFormat/>
    <w:rsid w:val="000B4B0A"/>
    <w:pPr>
      <w:spacing w:after="240"/>
    </w:pPr>
  </w:style>
  <w:style w:type="paragraph" w:customStyle="1" w:styleId="BodyText1">
    <w:name w:val="Body Text1"/>
    <w:basedOn w:val="Normal"/>
    <w:link w:val="bodytextChar0"/>
    <w:rsid w:val="000B4B0A"/>
    <w:pPr>
      <w:spacing w:after="120" w:line="360" w:lineRule="auto"/>
      <w:ind w:firstLine="720"/>
    </w:pPr>
  </w:style>
  <w:style w:type="character" w:customStyle="1" w:styleId="bodytextChar0">
    <w:name w:val="body text Char"/>
    <w:basedOn w:val="DefaultParagraphFont"/>
    <w:link w:val="BodyText1"/>
    <w:rsid w:val="000B4B0A"/>
    <w:rPr>
      <w:rFonts w:ascii="Times New Roman" w:eastAsia="Times New Roman" w:hAnsi="Times New Roman" w:cs="Times New Roman"/>
      <w:sz w:val="24"/>
      <w:szCs w:val="20"/>
    </w:rPr>
  </w:style>
  <w:style w:type="paragraph" w:styleId="ListParagraph">
    <w:name w:val="List Paragraph"/>
    <w:basedOn w:val="Normal"/>
    <w:uiPriority w:val="34"/>
    <w:qFormat/>
    <w:rsid w:val="000B4B0A"/>
    <w:pPr>
      <w:ind w:left="720"/>
      <w:contextualSpacing/>
    </w:pPr>
  </w:style>
  <w:style w:type="paragraph" w:customStyle="1" w:styleId="MarkforTableHeading">
    <w:name w:val="Mark for Table Heading"/>
    <w:basedOn w:val="Normal"/>
    <w:next w:val="Normal"/>
    <w:qFormat/>
    <w:rsid w:val="00612659"/>
    <w:pPr>
      <w:keepNext/>
      <w:spacing w:after="60" w:line="240" w:lineRule="auto"/>
      <w:ind w:firstLine="0"/>
    </w:pPr>
    <w:rPr>
      <w:rFonts w:ascii="Arial Black" w:hAnsi="Arial Black"/>
      <w:sz w:val="22"/>
    </w:rPr>
  </w:style>
  <w:style w:type="table" w:customStyle="1" w:styleId="AbtFinal2">
    <w:name w:val="Abt Final2"/>
    <w:basedOn w:val="TableNormal"/>
    <w:uiPriority w:val="99"/>
    <w:rsid w:val="00612659"/>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SycmfpAdvTT86d47313" w:hAnsi="SycmfpAdvTT86d47313"/>
        <w:b/>
        <w:caps w:val="0"/>
        <w:smallCaps w:val="0"/>
        <w:strike w:val="0"/>
        <w:dstrike w:val="0"/>
        <w:vanish w:val="0"/>
        <w:color w:val="FFFFFF"/>
        <w:sz w:val="20"/>
        <w:vertAlign w:val="baseline"/>
      </w:rPr>
      <w:tblPr/>
      <w:tcPr>
        <w:shd w:val="clear" w:color="auto" w:fill="44546A"/>
      </w:tcPr>
    </w:tblStylePr>
    <w:tblStylePr w:type="lastRow">
      <w:pPr>
        <w:jc w:val="left"/>
      </w:pPr>
      <w:rPr>
        <w:rFonts w:ascii="SycmfpAdvTT86d47313" w:hAnsi="SycmfpAdvTT86d47313"/>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firstCol">
      <w:rPr>
        <w:rFonts w:ascii="SycmfpAdvTT86d47313" w:hAnsi="SycmfpAdvTT86d47313"/>
        <w:sz w:val="20"/>
      </w:rPr>
    </w:tblStylePr>
    <w:tblStylePr w:type="lastCol">
      <w:rPr>
        <w:rFonts w:ascii="SycmfpAdvTT86d47313" w:hAnsi="SycmfpAdvTT86d47313"/>
        <w:sz w:val="20"/>
      </w:rPr>
    </w:tblStylePr>
    <w:tblStylePr w:type="band1Horz">
      <w:rPr>
        <w:rFonts w:ascii="SycmfpAdvTT86d47313" w:hAnsi="SycmfpAdvTT86d47313"/>
        <w:sz w:val="20"/>
      </w:rPr>
    </w:tblStylePr>
    <w:tblStylePr w:type="band2Horz">
      <w:rPr>
        <w:rFonts w:ascii="SycmfpAdvTT86d47313" w:hAnsi="SycmfpAdvTT86d47313"/>
        <w:sz w:val="20"/>
      </w:rPr>
    </w:tblStylePr>
  </w:style>
  <w:style w:type="paragraph" w:customStyle="1" w:styleId="TableNumberedBullets">
    <w:name w:val="Table Numbered Bullets"/>
    <w:basedOn w:val="Normal"/>
    <w:qFormat/>
    <w:rsid w:val="00612659"/>
    <w:pPr>
      <w:numPr>
        <w:numId w:val="7"/>
      </w:numPr>
      <w:spacing w:line="240" w:lineRule="auto"/>
    </w:pPr>
    <w:rPr>
      <w:rFonts w:ascii="Arial Narrow" w:eastAsiaTheme="minorHAnsi" w:hAnsi="Arial Narrow"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(CDC/DDNID/NCIPC/OD)</dc:creator>
  <cp:keywords/>
  <dc:description/>
  <cp:lastModifiedBy>Angel, Karen C. (CDC/DDNID/NCIPC/OD)</cp:lastModifiedBy>
  <cp:revision>5</cp:revision>
  <dcterms:created xsi:type="dcterms:W3CDTF">2022-01-26T20:51:00Z</dcterms:created>
  <dcterms:modified xsi:type="dcterms:W3CDTF">2022-01-27T01:28:00Z</dcterms:modified>
</cp:coreProperties>
</file>