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48" w:rsidRPr="00075348" w:rsidRDefault="00075348" w:rsidP="00075348">
      <w:pPr>
        <w:pStyle w:val="PlainText"/>
        <w:rPr>
          <w:sz w:val="22"/>
          <w:szCs w:val="22"/>
        </w:rPr>
      </w:pPr>
      <w:bookmarkStart w:id="0" w:name="_GoBack"/>
      <w:bookmarkEnd w:id="0"/>
      <w:r w:rsidRPr="00075348">
        <w:rPr>
          <w:sz w:val="22"/>
          <w:szCs w:val="22"/>
        </w:rPr>
        <w:t>3rd NCI Symposium on Cancer Health Disparities.</w:t>
      </w:r>
    </w:p>
    <w:p w:rsidR="00075348" w:rsidRPr="00075348" w:rsidRDefault="00075348" w:rsidP="00075348">
      <w:pPr>
        <w:pStyle w:val="PlainText"/>
        <w:rPr>
          <w:sz w:val="22"/>
          <w:szCs w:val="22"/>
        </w:rPr>
      </w:pPr>
      <w:r w:rsidRPr="00075348">
        <w:rPr>
          <w:sz w:val="22"/>
          <w:szCs w:val="22"/>
        </w:rPr>
        <w:t xml:space="preserve">Supported by CCR Cancer Health Disparities Interest Group </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Registration Now Open!</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Date: April 16-17, 2020.</w:t>
      </w:r>
    </w:p>
    <w:p w:rsidR="00075348" w:rsidRPr="00075348" w:rsidRDefault="00075348" w:rsidP="00075348">
      <w:pPr>
        <w:pStyle w:val="PlainText"/>
        <w:rPr>
          <w:sz w:val="22"/>
          <w:szCs w:val="22"/>
        </w:rPr>
      </w:pPr>
      <w:r w:rsidRPr="00075348">
        <w:rPr>
          <w:sz w:val="22"/>
          <w:szCs w:val="22"/>
        </w:rPr>
        <w:t xml:space="preserve">Location: Porter Neuroscience Center (Building 35A), Room 610/620/630, NIH. </w:t>
      </w:r>
    </w:p>
    <w:p w:rsidR="00075348" w:rsidRPr="00075348" w:rsidRDefault="00075348" w:rsidP="00075348">
      <w:pPr>
        <w:pStyle w:val="PlainText"/>
        <w:rPr>
          <w:sz w:val="22"/>
          <w:szCs w:val="22"/>
        </w:rPr>
      </w:pPr>
      <w:r w:rsidRPr="00075348">
        <w:rPr>
          <w:sz w:val="22"/>
          <w:szCs w:val="22"/>
        </w:rPr>
        <w:t xml:space="preserve">Event Website: </w:t>
      </w:r>
      <w:hyperlink r:id="rId5" w:history="1">
        <w:r w:rsidRPr="00075348">
          <w:rPr>
            <w:rStyle w:val="Hyperlink"/>
            <w:sz w:val="22"/>
            <w:szCs w:val="22"/>
          </w:rPr>
          <w:t>https://ncifrederick.cancer.gov/events/conferences/3rdNCICHD</w:t>
        </w:r>
      </w:hyperlink>
      <w:r w:rsidRPr="00075348">
        <w:rPr>
          <w:sz w:val="22"/>
          <w:szCs w:val="22"/>
        </w:rPr>
        <w:t>.</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Cancer health disparities affect millions of people across the United States. Disparities in cancer burden are evident by geography, race/ethnicity, genetic ancestry, immigrant status, culture, gender, sexual orientation (LGBTQ+), and socioeconomic class, among other factors. Cancer disparities are not only due to barriers in access to health care, but also due to cultural barriers, environmental disadvantage, ancestry-related risk factors, persistent co-morbidities, and chronic stress exposure because of discrimination and social isolation. For example, migration studies provided strong evidence that the environment defines cancer risk whereas additional findings from population studies suggest that differences in genetic ancestry can lead to population differences in cancer susceptibility. One such mechanism by which environmental and ancestry-related factors affect health outcomes is by inducing an adverse tumor biology, leading to an increased tumor mutational burden and an altered immune profile.</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This symposium will present recent advances in our understanding of the causes of cancer health disparities in rural populations and among Native Americans, focus on the roles of financial toxicity and the tumor immune profile in causing outcome disparities and discuss evidence-based strategies to reduce these disparities, including novel approaches to prevention and precision medicine.</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Main Topics.</w:t>
      </w:r>
    </w:p>
    <w:p w:rsidR="00075348" w:rsidRPr="00075348" w:rsidRDefault="00075348" w:rsidP="00075348">
      <w:pPr>
        <w:pStyle w:val="PlainText"/>
        <w:rPr>
          <w:sz w:val="22"/>
          <w:szCs w:val="22"/>
        </w:rPr>
      </w:pPr>
      <w:r w:rsidRPr="00075348">
        <w:rPr>
          <w:sz w:val="22"/>
          <w:szCs w:val="22"/>
        </w:rPr>
        <w:t>•       Cancer in Native Americans/Alaskan Natives.</w:t>
      </w:r>
    </w:p>
    <w:p w:rsidR="00075348" w:rsidRPr="00075348" w:rsidRDefault="00075348" w:rsidP="00075348">
      <w:pPr>
        <w:pStyle w:val="PlainText"/>
        <w:rPr>
          <w:sz w:val="22"/>
          <w:szCs w:val="22"/>
        </w:rPr>
      </w:pPr>
      <w:r w:rsidRPr="00075348">
        <w:rPr>
          <w:sz w:val="22"/>
          <w:szCs w:val="22"/>
        </w:rPr>
        <w:t>•       Evidence-Based Strategies to Reduce Health Disparities.</w:t>
      </w:r>
    </w:p>
    <w:p w:rsidR="00075348" w:rsidRPr="00075348" w:rsidRDefault="00075348" w:rsidP="00075348">
      <w:pPr>
        <w:pStyle w:val="PlainText"/>
        <w:rPr>
          <w:sz w:val="22"/>
          <w:szCs w:val="22"/>
        </w:rPr>
      </w:pPr>
      <w:r w:rsidRPr="00075348">
        <w:rPr>
          <w:sz w:val="22"/>
          <w:szCs w:val="22"/>
        </w:rPr>
        <w:t>•       Cancer in Rural Populations.</w:t>
      </w:r>
    </w:p>
    <w:p w:rsidR="00075348" w:rsidRPr="00075348" w:rsidRDefault="00075348" w:rsidP="00075348">
      <w:pPr>
        <w:pStyle w:val="PlainText"/>
        <w:rPr>
          <w:sz w:val="22"/>
          <w:szCs w:val="22"/>
        </w:rPr>
      </w:pPr>
      <w:r w:rsidRPr="00075348">
        <w:rPr>
          <w:sz w:val="22"/>
          <w:szCs w:val="22"/>
        </w:rPr>
        <w:t>•       Financial Toxicity.</w:t>
      </w:r>
    </w:p>
    <w:p w:rsidR="00075348" w:rsidRPr="00075348" w:rsidRDefault="00075348" w:rsidP="00075348">
      <w:pPr>
        <w:pStyle w:val="PlainText"/>
        <w:rPr>
          <w:sz w:val="22"/>
          <w:szCs w:val="22"/>
        </w:rPr>
      </w:pPr>
      <w:r w:rsidRPr="00075348">
        <w:rPr>
          <w:sz w:val="22"/>
          <w:szCs w:val="22"/>
        </w:rPr>
        <w:t>•       Current and Future Policies to Reduce Health Disparities.</w:t>
      </w:r>
    </w:p>
    <w:p w:rsidR="00075348" w:rsidRPr="00075348" w:rsidRDefault="00075348" w:rsidP="00075348">
      <w:pPr>
        <w:pStyle w:val="PlainText"/>
        <w:rPr>
          <w:sz w:val="22"/>
          <w:szCs w:val="22"/>
        </w:rPr>
      </w:pPr>
      <w:r w:rsidRPr="00075348">
        <w:rPr>
          <w:sz w:val="22"/>
          <w:szCs w:val="22"/>
        </w:rPr>
        <w:t>•       Hot Topics in Cancer Health Disparities.</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 xml:space="preserve">Important Dates: </w:t>
      </w:r>
    </w:p>
    <w:p w:rsidR="00075348" w:rsidRPr="00075348" w:rsidRDefault="00075348" w:rsidP="00075348">
      <w:pPr>
        <w:pStyle w:val="PlainText"/>
        <w:rPr>
          <w:sz w:val="22"/>
          <w:szCs w:val="22"/>
        </w:rPr>
      </w:pPr>
      <w:r w:rsidRPr="00075348">
        <w:rPr>
          <w:sz w:val="22"/>
          <w:szCs w:val="22"/>
        </w:rPr>
        <w:t>Abstract deadline is January 31, 2020.</w:t>
      </w:r>
    </w:p>
    <w:p w:rsidR="00075348" w:rsidRPr="00075348" w:rsidRDefault="00075348" w:rsidP="00075348">
      <w:pPr>
        <w:pStyle w:val="PlainText"/>
        <w:rPr>
          <w:sz w:val="22"/>
          <w:szCs w:val="22"/>
        </w:rPr>
      </w:pPr>
      <w:r w:rsidRPr="00075348">
        <w:rPr>
          <w:sz w:val="22"/>
          <w:szCs w:val="22"/>
        </w:rPr>
        <w:t>Registration deadline is April 3, 2020.</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Follow the conversation on twitter: #NCICHD20</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Organizing Committee: Brid Ryan, Stefan Ambs, Tiffany Wallace and Michael Cook.</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Registration is free, but seating is limited so be sure to register early!</w:t>
      </w:r>
    </w:p>
    <w:p w:rsidR="00075348" w:rsidRPr="00075348" w:rsidRDefault="00075348" w:rsidP="00075348">
      <w:pPr>
        <w:pStyle w:val="PlainText"/>
        <w:rPr>
          <w:sz w:val="22"/>
          <w:szCs w:val="22"/>
        </w:rPr>
      </w:pPr>
    </w:p>
    <w:p w:rsidR="00075348" w:rsidRPr="00075348" w:rsidRDefault="00075348" w:rsidP="00075348">
      <w:pPr>
        <w:pStyle w:val="PlainText"/>
        <w:rPr>
          <w:sz w:val="22"/>
          <w:szCs w:val="22"/>
        </w:rPr>
      </w:pPr>
      <w:r w:rsidRPr="00075348">
        <w:rPr>
          <w:sz w:val="22"/>
          <w:szCs w:val="22"/>
        </w:rPr>
        <w:t>Individuals with disabilities who need Sign Language Interpreters and/or reasonable accommodation to participate in this event should contact Romi Sawhney 240-760-7756 or the Federal Relay (1-800-877-8339).</w:t>
      </w:r>
    </w:p>
    <w:p w:rsidR="009962A2" w:rsidRDefault="009962A2"/>
    <w:sectPr w:rsidR="0099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48"/>
    <w:rsid w:val="00075348"/>
    <w:rsid w:val="001B0396"/>
    <w:rsid w:val="00941627"/>
    <w:rsid w:val="009962A2"/>
    <w:rsid w:val="00F3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1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31DD"/>
    <w:rPr>
      <w:rFonts w:asciiTheme="majorHAnsi" w:eastAsiaTheme="majorEastAsia" w:hAnsiTheme="majorHAnsi" w:cstheme="majorBidi"/>
      <w:b/>
      <w:bCs/>
      <w:kern w:val="28"/>
      <w:sz w:val="32"/>
      <w:szCs w:val="32"/>
    </w:rPr>
  </w:style>
  <w:style w:type="character" w:styleId="Hyperlink">
    <w:name w:val="Hyperlink"/>
    <w:basedOn w:val="DefaultParagraphFont"/>
    <w:uiPriority w:val="99"/>
    <w:semiHidden/>
    <w:unhideWhenUsed/>
    <w:rsid w:val="00075348"/>
    <w:rPr>
      <w:color w:val="0000FF" w:themeColor="hyperlink"/>
      <w:u w:val="single"/>
    </w:rPr>
  </w:style>
  <w:style w:type="paragraph" w:styleId="PlainText">
    <w:name w:val="Plain Text"/>
    <w:basedOn w:val="Normal"/>
    <w:link w:val="PlainTextChar"/>
    <w:uiPriority w:val="99"/>
    <w:semiHidden/>
    <w:unhideWhenUsed/>
    <w:rsid w:val="00075348"/>
    <w:pPr>
      <w:spacing w:after="0" w:line="240" w:lineRule="auto"/>
    </w:pPr>
    <w:rPr>
      <w:rFonts w:ascii="Calibri Light" w:eastAsiaTheme="minorHAnsi" w:hAnsi="Calibri Light" w:cstheme="minorBidi"/>
      <w:sz w:val="24"/>
      <w:szCs w:val="21"/>
    </w:rPr>
  </w:style>
  <w:style w:type="character" w:customStyle="1" w:styleId="PlainTextChar">
    <w:name w:val="Plain Text Char"/>
    <w:basedOn w:val="DefaultParagraphFont"/>
    <w:link w:val="PlainText"/>
    <w:uiPriority w:val="99"/>
    <w:semiHidden/>
    <w:rsid w:val="00075348"/>
    <w:rPr>
      <w:rFonts w:ascii="Calibri Light" w:eastAsiaTheme="minorHAnsi" w:hAnsi="Calibri Light" w:cstheme="minorBid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1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31DD"/>
    <w:rPr>
      <w:rFonts w:asciiTheme="majorHAnsi" w:eastAsiaTheme="majorEastAsia" w:hAnsiTheme="majorHAnsi" w:cstheme="majorBidi"/>
      <w:b/>
      <w:bCs/>
      <w:kern w:val="28"/>
      <w:sz w:val="32"/>
      <w:szCs w:val="32"/>
    </w:rPr>
  </w:style>
  <w:style w:type="character" w:styleId="Hyperlink">
    <w:name w:val="Hyperlink"/>
    <w:basedOn w:val="DefaultParagraphFont"/>
    <w:uiPriority w:val="99"/>
    <w:semiHidden/>
    <w:unhideWhenUsed/>
    <w:rsid w:val="00075348"/>
    <w:rPr>
      <w:color w:val="0000FF" w:themeColor="hyperlink"/>
      <w:u w:val="single"/>
    </w:rPr>
  </w:style>
  <w:style w:type="paragraph" w:styleId="PlainText">
    <w:name w:val="Plain Text"/>
    <w:basedOn w:val="Normal"/>
    <w:link w:val="PlainTextChar"/>
    <w:uiPriority w:val="99"/>
    <w:semiHidden/>
    <w:unhideWhenUsed/>
    <w:rsid w:val="00075348"/>
    <w:pPr>
      <w:spacing w:after="0" w:line="240" w:lineRule="auto"/>
    </w:pPr>
    <w:rPr>
      <w:rFonts w:ascii="Calibri Light" w:eastAsiaTheme="minorHAnsi" w:hAnsi="Calibri Light" w:cstheme="minorBidi"/>
      <w:sz w:val="24"/>
      <w:szCs w:val="21"/>
    </w:rPr>
  </w:style>
  <w:style w:type="character" w:customStyle="1" w:styleId="PlainTextChar">
    <w:name w:val="Plain Text Char"/>
    <w:basedOn w:val="DefaultParagraphFont"/>
    <w:link w:val="PlainText"/>
    <w:uiPriority w:val="99"/>
    <w:semiHidden/>
    <w:rsid w:val="00075348"/>
    <w:rPr>
      <w:rFonts w:ascii="Calibri Light" w:eastAsiaTheme="minorHAnsi" w:hAnsi="Calibri Light"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cifrederick.cancer.gov/events/conferences/3rdNCICH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Kreinbrink, Diane (NIH/NCI) [E]</dc:creator>
  <cp:keywords/>
  <dc:description/>
  <cp:lastModifiedBy>SYSTEM</cp:lastModifiedBy>
  <cp:revision>2</cp:revision>
  <dcterms:created xsi:type="dcterms:W3CDTF">2019-11-13T18:45:00Z</dcterms:created>
  <dcterms:modified xsi:type="dcterms:W3CDTF">2019-11-13T18:45:00Z</dcterms:modified>
</cp:coreProperties>
</file>