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5A2D2B" w:rsidR="00B07575" w:rsidP="0095558F" w:rsidRDefault="009128B5" w14:paraId="68A716D7" w14:textId="5E176CE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2F9B9C3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A5473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223B2A" w:rsidR="0095558F">
        <w:rPr>
          <w:snapToGrid w:val="0"/>
        </w:rPr>
        <w:t>National Cooperative Reprogrammed Cell Research Groups</w:t>
      </w:r>
      <w:r w:rsidR="0095558F">
        <w:rPr>
          <w:snapToGrid w:val="0"/>
        </w:rPr>
        <w:t xml:space="preserve"> (</w:t>
      </w:r>
      <w:r w:rsidR="0058323F">
        <w:t>N</w:t>
      </w:r>
      <w:r w:rsidR="00CC2660">
        <w:t>CRCRG</w:t>
      </w:r>
      <w:r w:rsidR="0095558F">
        <w:t>)</w:t>
      </w:r>
      <w:r w:rsidR="00CC2660">
        <w:t xml:space="preserve"> 2020 Consortium Registration</w:t>
      </w:r>
    </w:p>
    <w:p w:rsidR="005E714A" w:rsidRDefault="005E714A" w14:paraId="6D242C57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RDefault="001A420C" w14:paraId="5EA1CDCA" w14:textId="4C7EAA21">
      <w:r w:rsidRPr="001A420C">
        <w:rPr>
          <w:snapToGrid w:val="0"/>
        </w:rPr>
        <w:t xml:space="preserve">Collect preliminary information from participants in the </w:t>
      </w:r>
      <w:r w:rsidRPr="00223B2A" w:rsidR="00223B2A">
        <w:rPr>
          <w:snapToGrid w:val="0"/>
        </w:rPr>
        <w:t>National Cooperative Reprogrammed Cell Research Groups (NCRCRG)</w:t>
      </w:r>
      <w:r w:rsidR="000E3E7F">
        <w:rPr>
          <w:snapToGrid w:val="0"/>
        </w:rPr>
        <w:t xml:space="preserve"> and Convergent Neuroscience (CN)</w:t>
      </w:r>
      <w:r w:rsidR="00F42C6C">
        <w:rPr>
          <w:snapToGrid w:val="0"/>
        </w:rPr>
        <w:t xml:space="preserve"> </w:t>
      </w:r>
      <w:r w:rsidRPr="00223B2A" w:rsidR="00223B2A">
        <w:rPr>
          <w:snapToGrid w:val="0"/>
        </w:rPr>
        <w:t>2020 Consortium</w:t>
      </w:r>
      <w:r w:rsidRPr="001A420C">
        <w:rPr>
          <w:snapToGrid w:val="0"/>
        </w:rPr>
        <w:t>.</w:t>
      </w:r>
    </w:p>
    <w:p w:rsidR="00C8488C" w:rsidRDefault="00C8488C" w14:paraId="00609FCB" w14:textId="77777777"/>
    <w:p w:rsidRPr="00A00FDD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A00FDD">
        <w:rPr>
          <w:b/>
        </w:rPr>
        <w:t>DESCRIPTION OF RESPONDENTS</w:t>
      </w:r>
      <w:r w:rsidRPr="00A00FDD">
        <w:t xml:space="preserve">: </w:t>
      </w:r>
    </w:p>
    <w:p w:rsidR="00C8488C" w:rsidRDefault="001A420C" w14:paraId="3F136F90" w14:textId="5546D2C8">
      <w:r w:rsidRPr="00A00FDD">
        <w:t xml:space="preserve">Participants of the </w:t>
      </w:r>
      <w:r w:rsidR="00F47615">
        <w:t>consortium</w:t>
      </w:r>
      <w:r w:rsidRPr="00A00FDD">
        <w:t xml:space="preserve"> include</w:t>
      </w:r>
      <w:r w:rsidRPr="00A00FDD" w:rsidR="00223B2A">
        <w:t xml:space="preserve"> NIMH grantees</w:t>
      </w:r>
      <w:r w:rsidRPr="00A00FDD" w:rsidR="00B11579">
        <w:t xml:space="preserve"> in the field</w:t>
      </w:r>
      <w:r w:rsidRPr="00A00FDD" w:rsidR="00352F50">
        <w:t>s</w:t>
      </w:r>
      <w:r w:rsidRPr="00A00FDD" w:rsidR="00B11579">
        <w:t xml:space="preserve"> of </w:t>
      </w:r>
      <w:r w:rsidRPr="00A00FDD" w:rsidR="00352F50">
        <w:t>functional genomics, translational research, and convergent neuroscience.</w:t>
      </w:r>
    </w:p>
    <w:p w:rsidR="00E26329" w:rsidRDefault="00E26329" w14:paraId="3FE7ABD4" w14:textId="77777777">
      <w:pPr>
        <w:rPr>
          <w:b/>
        </w:rPr>
      </w:pPr>
    </w:p>
    <w:p w:rsidRPr="00DA7B4C" w:rsidR="00F06866" w:rsidRDefault="00F06866" w14:paraId="35B7B2C4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proofErr w:type="gramStart"/>
      <w:r w:rsidRPr="00DA7B4C" w:rsidR="00F06866">
        <w:rPr>
          <w:bCs/>
          <w:sz w:val="24"/>
        </w:rPr>
        <w:t>[ ]</w:t>
      </w:r>
      <w:proofErr w:type="gramEnd"/>
      <w:r w:rsidRPr="00DA7B4C" w:rsidR="00F06866">
        <w:rPr>
          <w:bCs/>
          <w:sz w:val="24"/>
        </w:rPr>
        <w:t xml:space="preserve">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52251F14">
      <w:r w:rsidRPr="00A00FDD">
        <w:t>Name:</w:t>
      </w:r>
      <w:r w:rsidRPr="00A00FDD" w:rsidR="00B07575">
        <w:tab/>
      </w:r>
      <w:r w:rsidRPr="00A00FDD" w:rsidR="00352F50">
        <w:rPr>
          <w:u w:val="single"/>
        </w:rPr>
        <w:t>Nicole North</w:t>
      </w:r>
      <w:r w:rsidRPr="00A00FDD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945DD" w:rsidRDefault="004945DD" w14:paraId="72B6D58A" w14:textId="17F72DBE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4"/>
        <w:gridCol w:w="1887"/>
        <w:gridCol w:w="2060"/>
        <w:gridCol w:w="1887"/>
        <w:gridCol w:w="1542"/>
      </w:tblGrid>
      <w:tr w:rsidRPr="00FD7FD7" w:rsidR="003668D6" w:rsidTr="00476DE5" w14:paraId="61D81E41" w14:textId="77777777">
        <w:trPr>
          <w:trHeight w:val="274"/>
        </w:trPr>
        <w:tc>
          <w:tcPr>
            <w:tcW w:w="1240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6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882F94" w14:paraId="0EE52E99" w14:textId="77777777">
        <w:trPr>
          <w:trHeight w:val="260"/>
        </w:trPr>
        <w:tc>
          <w:tcPr>
            <w:tcW w:w="1240" w:type="pct"/>
          </w:tcPr>
          <w:p w:rsidRPr="000A1FEB" w:rsidR="003668D6" w:rsidP="00F70DC4" w:rsidRDefault="00B07575" w14:paraId="3B0D8EE9" w14:textId="7EC7F164">
            <w:pPr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Private Sector</w:t>
            </w:r>
          </w:p>
        </w:tc>
        <w:tc>
          <w:tcPr>
            <w:tcW w:w="962" w:type="pct"/>
            <w:vAlign w:val="center"/>
          </w:tcPr>
          <w:p w:rsidRPr="00A00FDD" w:rsidR="003668D6" w:rsidP="0097631D" w:rsidRDefault="00C03B38" w14:paraId="12305EAF" w14:textId="0F4855E9">
            <w:pPr>
              <w:jc w:val="center"/>
              <w:rPr>
                <w:sz w:val="22"/>
                <w:szCs w:val="22"/>
              </w:rPr>
            </w:pPr>
            <w:r w:rsidRPr="00A00FDD">
              <w:rPr>
                <w:sz w:val="22"/>
                <w:szCs w:val="22"/>
              </w:rPr>
              <w:t>50</w:t>
            </w:r>
          </w:p>
        </w:tc>
        <w:tc>
          <w:tcPr>
            <w:tcW w:w="1050" w:type="pct"/>
            <w:vAlign w:val="center"/>
          </w:tcPr>
          <w:p w:rsidRPr="00A00FDD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A00FDD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A00FDD" w:rsidR="003668D6" w:rsidP="0097631D" w:rsidRDefault="00B870A0" w14:paraId="5E844E1C" w14:textId="4AFEFED0">
            <w:pPr>
              <w:jc w:val="center"/>
              <w:rPr>
                <w:sz w:val="22"/>
                <w:szCs w:val="22"/>
              </w:rPr>
            </w:pPr>
            <w:r w:rsidRPr="00A00FDD">
              <w:rPr>
                <w:sz w:val="22"/>
                <w:szCs w:val="22"/>
              </w:rPr>
              <w:t>1</w:t>
            </w:r>
            <w:r w:rsidRPr="00A00FDD" w:rsidR="00B07575">
              <w:rPr>
                <w:sz w:val="22"/>
                <w:szCs w:val="22"/>
              </w:rPr>
              <w:t>/60</w:t>
            </w:r>
          </w:p>
        </w:tc>
        <w:tc>
          <w:tcPr>
            <w:tcW w:w="786" w:type="pct"/>
            <w:vAlign w:val="center"/>
          </w:tcPr>
          <w:p w:rsidRPr="000A1FEB" w:rsidR="003668D6" w:rsidP="0097631D" w:rsidRDefault="00C03B38" w14:paraId="14B56B61" w14:textId="0E9F9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Pr="00FD7FD7" w:rsidR="003668D6" w:rsidTr="00882F94" w14:paraId="339A8307" w14:textId="77777777">
        <w:trPr>
          <w:trHeight w:val="289"/>
        </w:trPr>
        <w:tc>
          <w:tcPr>
            <w:tcW w:w="1240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A00FDD" w:rsidR="003668D6" w:rsidP="0097631D" w:rsidRDefault="003668D6" w14:paraId="7B06A115" w14:textId="420EF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E939B5" w:rsidR="003668D6" w:rsidP="0097631D" w:rsidRDefault="00E939B5" w14:paraId="485E8DDA" w14:textId="58BC2941">
            <w:pPr>
              <w:jc w:val="center"/>
              <w:rPr>
                <w:b/>
                <w:bCs/>
                <w:sz w:val="22"/>
                <w:szCs w:val="22"/>
              </w:rPr>
            </w:pPr>
            <w:r w:rsidRPr="00E939B5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2" w:type="pct"/>
            <w:vAlign w:val="center"/>
          </w:tcPr>
          <w:p w:rsidRPr="00A00FDD" w:rsidR="003668D6" w:rsidP="0097631D" w:rsidRDefault="003668D6" w14:paraId="6E74BB56" w14:textId="245C7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Pr="00FD7FD7" w:rsidR="003668D6" w:rsidP="0097631D" w:rsidRDefault="00C03B38" w14:paraId="0F43B59A" w14:textId="0EE7F9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B07575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B07575" w:rsidP="00F70DC4" w:rsidRDefault="00510997" w14:paraId="7174696D" w14:textId="2BA5E673">
            <w:pPr>
              <w:rPr>
                <w:sz w:val="22"/>
                <w:szCs w:val="22"/>
              </w:rPr>
            </w:pPr>
            <w:r w:rsidRPr="000F4021">
              <w:rPr>
                <w:sz w:val="22"/>
                <w:szCs w:val="22"/>
              </w:rPr>
              <w:t>Private Sector</w:t>
            </w:r>
          </w:p>
        </w:tc>
        <w:tc>
          <w:tcPr>
            <w:tcW w:w="1172" w:type="pct"/>
            <w:vAlign w:val="center"/>
          </w:tcPr>
          <w:p w:rsidRPr="000F4021" w:rsidR="00B07575" w:rsidP="0097631D" w:rsidRDefault="0087292B" w14:paraId="19FD75EF" w14:textId="7D239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4" w:type="pct"/>
            <w:vAlign w:val="center"/>
          </w:tcPr>
          <w:p w:rsidRPr="00FD7FD7" w:rsidR="00B07575" w:rsidP="0097631D" w:rsidRDefault="00E23E7E" w14:paraId="2BA204B4" w14:textId="048EABA6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$</w:t>
            </w:r>
            <w:r w:rsidR="0008613B">
              <w:rPr>
                <w:sz w:val="22"/>
                <w:szCs w:val="22"/>
              </w:rPr>
              <w:t>41</w:t>
            </w:r>
            <w:r w:rsidRPr="00FD7FD7">
              <w:rPr>
                <w:sz w:val="22"/>
                <w:szCs w:val="22"/>
              </w:rPr>
              <w:t>.</w:t>
            </w:r>
            <w:r w:rsidR="0008613B">
              <w:rPr>
                <w:sz w:val="22"/>
                <w:szCs w:val="22"/>
              </w:rPr>
              <w:t>2</w:t>
            </w:r>
            <w:r w:rsidRPr="00FD7FD7">
              <w:rPr>
                <w:sz w:val="22"/>
                <w:szCs w:val="22"/>
              </w:rPr>
              <w:t>9/</w:t>
            </w:r>
            <w:proofErr w:type="spellStart"/>
            <w:r w:rsidRPr="00FD7FD7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060" w:type="pct"/>
            <w:vAlign w:val="center"/>
          </w:tcPr>
          <w:p w:rsidRPr="00FD7FD7" w:rsidR="00B07575" w:rsidP="0097631D" w:rsidRDefault="00BA63EA" w14:paraId="019B2DAF" w14:textId="62B9C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7292B">
              <w:rPr>
                <w:sz w:val="22"/>
                <w:szCs w:val="22"/>
              </w:rPr>
              <w:t>41</w:t>
            </w: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0B5CF9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08E2B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FD7FD7" w:rsidR="00DB6C6E" w:rsidP="00DB6C6E" w:rsidRDefault="00DB6C6E" w14:paraId="42E738B3" w14:textId="65586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7292B">
              <w:rPr>
                <w:sz w:val="22"/>
                <w:szCs w:val="22"/>
              </w:rPr>
              <w:t>41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0A71FCDF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FD7FD7">
        <w:t xml:space="preserve"> </w:t>
      </w:r>
      <w:r w:rsidR="0095558F">
        <w:rPr>
          <w:u w:val="single"/>
        </w:rPr>
        <w:t>691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1096"/>
        <w:gridCol w:w="938"/>
        <w:gridCol w:w="887"/>
        <w:gridCol w:w="1840"/>
        <w:gridCol w:w="1674"/>
      </w:tblGrid>
      <w:tr w:rsidRPr="00476DE5" w:rsidR="009A036B" w:rsidTr="00020FC3" w14:paraId="6B479689" w14:textId="77777777">
        <w:trPr>
          <w:trHeight w:val="367"/>
        </w:trPr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020FC3" w14:paraId="174147F7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476DE5" w:rsidR="009A036B" w:rsidP="00AB4765" w:rsidRDefault="009A036B" w14:paraId="6E7F9D3C" w14:textId="411EB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A54808" w:rsidRDefault="009A036B" w14:paraId="30BFF88A" w14:textId="10C06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A54808" w:rsidRDefault="009A036B" w14:paraId="4FAE95C8" w14:textId="555DF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476DE5" w:rsidR="009A036B" w:rsidP="00AB4765" w:rsidRDefault="009A036B" w14:paraId="7469BB3F" w14:textId="68C1D812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020FC3" w:rsidTr="00020FC3" w14:paraId="175E3AFE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7292B" w:rsidR="00020FC3" w:rsidP="00020FC3" w:rsidRDefault="00020FC3" w14:paraId="3E728DBF" w14:textId="43BB3C0E">
            <w:pPr>
              <w:jc w:val="center"/>
              <w:rPr>
                <w:sz w:val="22"/>
                <w:szCs w:val="22"/>
                <w:highlight w:val="yellow"/>
              </w:rPr>
            </w:pPr>
            <w:r w:rsidRPr="00020FC3">
              <w:rPr>
                <w:sz w:val="22"/>
                <w:szCs w:val="22"/>
              </w:rPr>
              <w:t>Health Scientist Administrator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87292B" w:rsidR="00020FC3" w:rsidP="00020FC3" w:rsidRDefault="00020FC3" w14:paraId="4BB4A902" w14:textId="370365F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12/5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7292B" w:rsidR="00020FC3" w:rsidP="00020FC3" w:rsidRDefault="00020FC3" w14:paraId="6CC49CA6" w14:textId="186B812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$97,848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7292B" w:rsidR="00020FC3" w:rsidP="00020FC3" w:rsidRDefault="00020FC3" w14:paraId="4DBA6DDC" w14:textId="6F46BFD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.1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 w:rsidRPr="005B2388" w:rsidR="00020FC3" w:rsidP="00020FC3" w:rsidRDefault="00020FC3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5B2388" w:rsidR="00020FC3" w:rsidP="00020FC3" w:rsidRDefault="00020FC3" w14:paraId="478D6B67" w14:textId="6F8B1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$98</w:t>
            </w:r>
          </w:p>
        </w:tc>
      </w:tr>
      <w:tr w:rsidRPr="00476DE5" w:rsidR="00020FC3" w:rsidTr="00020FC3" w14:paraId="27B00A3A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59E70F42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104145A6" w14:textId="77777777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3319AFA5" w14:textId="77777777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7B742B93" w14:textId="77777777">
            <w:pPr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6D7B210E" w14:textId="77777777">
            <w:pPr>
              <w:rPr>
                <w:sz w:val="22"/>
                <w:szCs w:val="22"/>
              </w:rPr>
            </w:pPr>
          </w:p>
        </w:tc>
      </w:tr>
      <w:tr w:rsidRPr="00476DE5" w:rsidR="00020FC3" w:rsidTr="00020FC3" w14:paraId="3290972B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27851B87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4E93DE2E" w14:textId="77777777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19BF751D" w14:textId="77777777">
            <w:pPr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95558F" w14:paraId="5353026B" w14:textId="2E31E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$593</w:t>
            </w:r>
          </w:p>
        </w:tc>
      </w:tr>
      <w:tr w:rsidRPr="00476DE5" w:rsidR="00020FC3" w:rsidTr="00020FC3" w14:paraId="75420D64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020FC3" w:rsidTr="00020FC3" w14:paraId="064EBA7C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020FC3" w:rsidTr="00020FC3" w14:paraId="67EA9DE6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00F7DCD2" w14:textId="65698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3FDF0435" w14:textId="77777777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69B14DA1" w14:textId="77777777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51FBFFC4" w14:textId="77777777">
            <w:pPr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4B8FD9B8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020FC3" w:rsidP="00020FC3" w:rsidRDefault="00020FC3" w14:paraId="68A047AD" w14:textId="77777777">
            <w:pPr>
              <w:rPr>
                <w:sz w:val="22"/>
                <w:szCs w:val="22"/>
              </w:rPr>
            </w:pPr>
          </w:p>
        </w:tc>
      </w:tr>
      <w:tr w:rsidRPr="00476DE5" w:rsidR="00020FC3" w:rsidTr="00020FC3" w14:paraId="0EC6E4B7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F7924" w:rsidR="00020FC3" w:rsidP="00020FC3" w:rsidRDefault="00020FC3" w14:paraId="1554C89E" w14:textId="4F3945F1">
            <w:pPr>
              <w:rPr>
                <w:b/>
                <w:bCs/>
                <w:sz w:val="22"/>
                <w:szCs w:val="22"/>
              </w:rPr>
            </w:pPr>
            <w:r w:rsidRPr="009F792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020FC3" w:rsidP="00020FC3" w:rsidRDefault="00020FC3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020FC3" w:rsidP="00020FC3" w:rsidRDefault="00020FC3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476DE5" w:rsidR="00020FC3" w:rsidP="00020FC3" w:rsidRDefault="0095558F" w14:paraId="3F8FE813" w14:textId="5239C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$691</w:t>
            </w:r>
            <w:bookmarkStart w:name="_GoBack" w:id="0"/>
            <w:bookmarkEnd w:id="0"/>
          </w:p>
        </w:tc>
      </w:tr>
    </w:tbl>
    <w:p w:rsidRPr="00E23E7E" w:rsidR="009A036B" w:rsidP="009A036B" w:rsidRDefault="00155CB5" w14:paraId="1226591A" w14:textId="7777777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E23E7E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ECE095C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</w:t>
      </w:r>
      <w:r w:rsidR="00615E98">
        <w:t>X</w:t>
      </w:r>
      <w:r w:rsidRPr="00DA7B4C">
        <w:t>] Yes</w:t>
      </w:r>
      <w:r w:rsidRPr="00DA7B4C">
        <w:tab/>
      </w:r>
      <w:proofErr w:type="gramStart"/>
      <w:r w:rsidRPr="00DA7B4C">
        <w:t>[</w:t>
      </w:r>
      <w:r w:rsidR="003A61C7">
        <w:t xml:space="preserve"> </w:t>
      </w:r>
      <w:r w:rsidRPr="00DA7B4C">
        <w:t>]</w:t>
      </w:r>
      <w:proofErr w:type="gramEnd"/>
      <w:r w:rsidRPr="00DA7B4C">
        <w:t xml:space="preserve">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3DF8322C">
      <w:pPr>
        <w:pStyle w:val="ColorfulList-Accent11"/>
      </w:pPr>
      <w:r w:rsidRPr="00615E98">
        <w:t xml:space="preserve">We will send email </w:t>
      </w:r>
      <w:r w:rsidRPr="00615E98" w:rsidR="00D20AAF">
        <w:t>invitation</w:t>
      </w:r>
      <w:r w:rsidRPr="00615E98" w:rsidR="004D0B7A">
        <w:t>s</w:t>
      </w:r>
      <w:r w:rsidRPr="00615E98">
        <w:t xml:space="preserve"> (</w:t>
      </w:r>
      <w:r w:rsidRPr="00615E98" w:rsidR="00D003BF">
        <w:t>including</w:t>
      </w:r>
      <w:r w:rsidRPr="00615E98">
        <w:t xml:space="preserve"> registration link) to</w:t>
      </w:r>
      <w:r w:rsidRPr="00615E98" w:rsidR="00D20AAF">
        <w:t xml:space="preserve"> </w:t>
      </w:r>
      <w:r w:rsidRPr="00615E98" w:rsidR="0087292B">
        <w:t xml:space="preserve">grantees </w:t>
      </w:r>
      <w:r w:rsidRPr="00615E98" w:rsidR="00BA3BE1">
        <w:t xml:space="preserve">with funding </w:t>
      </w:r>
      <w:r w:rsidRPr="00615E98" w:rsidR="00D003BF">
        <w:t>through</w:t>
      </w:r>
      <w:r w:rsidRPr="00615E98" w:rsidR="00D20AAF">
        <w:t xml:space="preserve"> either</w:t>
      </w:r>
      <w:r w:rsidRPr="00615E98" w:rsidR="00BA3BE1">
        <w:t xml:space="preserve"> the N</w:t>
      </w:r>
      <w:r w:rsidRPr="00615E98" w:rsidR="00D83CDE">
        <w:t>ational Cooperative Reprogrammed Cell Research Groups</w:t>
      </w:r>
      <w:r w:rsidRPr="00615E98" w:rsidR="00BA3BE1">
        <w:t xml:space="preserve"> cooperative agreement (</w:t>
      </w:r>
      <w:hyperlink w:history="1" r:id="rId13">
        <w:r w:rsidRPr="00615E98" w:rsidR="00D20AAF">
          <w:rPr>
            <w:rStyle w:val="Hyperlink"/>
          </w:rPr>
          <w:t>PAR-13-225</w:t>
        </w:r>
      </w:hyperlink>
      <w:r w:rsidRPr="00615E98" w:rsidR="00D20AAF">
        <w:t xml:space="preserve">) or the </w:t>
      </w:r>
      <w:r w:rsidRPr="00615E98" w:rsidR="00592C50">
        <w:t>Convergent Neuroscience cooperative agreement (</w:t>
      </w:r>
      <w:hyperlink w:history="1" r:id="rId14">
        <w:r w:rsidRPr="00615E98" w:rsidR="00592C50">
          <w:rPr>
            <w:rStyle w:val="Hyperlink"/>
          </w:rPr>
          <w:t>PAR-17-179</w:t>
        </w:r>
      </w:hyperlink>
      <w:r w:rsidRPr="00615E98" w:rsidR="00592C50">
        <w:t>)</w:t>
      </w:r>
      <w:r w:rsidRPr="00615E98">
        <w:t xml:space="preserve">. </w:t>
      </w:r>
      <w:r w:rsidRPr="00615E98" w:rsidR="00512413">
        <w:t>On an ad hoc basis, w</w:t>
      </w:r>
      <w:r w:rsidRPr="00615E98" w:rsidR="009D5B83">
        <w:t>e will also send email invitation</w:t>
      </w:r>
      <w:r w:rsidRPr="00615E98" w:rsidR="004D0B7A">
        <w:t>s</w:t>
      </w:r>
      <w:r w:rsidRPr="00615E98" w:rsidR="009D5B83">
        <w:t xml:space="preserve"> to grantees from one or more relevant research projects, centers, networks or consortia, e.g., with NIH R01, P50, U01, U19, U54, U24 awardees, as well as other qualified scientists</w:t>
      </w:r>
      <w:r w:rsidRPr="00615E98" w:rsidR="00512413">
        <w:t xml:space="preserve">. </w:t>
      </w:r>
      <w:r w:rsidRPr="00615E98" w:rsidR="00512413">
        <w:lastRenderedPageBreak/>
        <w:t>A</w:t>
      </w:r>
      <w:r w:rsidRPr="00615E98">
        <w:t xml:space="preserve">nyone who </w:t>
      </w:r>
      <w:r w:rsidRPr="00615E98" w:rsidR="00512413">
        <w:t xml:space="preserve">is invited and </w:t>
      </w:r>
      <w:r w:rsidRPr="00615E98">
        <w:t xml:space="preserve">completes the registration form will be able to participate </w:t>
      </w:r>
      <w:r w:rsidRPr="00615E98" w:rsidR="00512413">
        <w:t>in the consortium</w:t>
      </w:r>
      <w:r w:rsidRPr="00615E98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DA7B4C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C6F6" w14:textId="77777777" w:rsidR="00AA34F0" w:rsidRDefault="00AA34F0">
      <w:r>
        <w:separator/>
      </w:r>
    </w:p>
  </w:endnote>
  <w:endnote w:type="continuationSeparator" w:id="0">
    <w:p w14:paraId="17BFC144" w14:textId="77777777" w:rsidR="00AA34F0" w:rsidRDefault="00AA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0AD5" w14:textId="77777777" w:rsidR="00AA34F0" w:rsidRDefault="00AA34F0">
      <w:r>
        <w:separator/>
      </w:r>
    </w:p>
  </w:footnote>
  <w:footnote w:type="continuationSeparator" w:id="0">
    <w:p w14:paraId="5598F0CB" w14:textId="77777777" w:rsidR="00AA34F0" w:rsidRDefault="00AA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FC3"/>
    <w:rsid w:val="0002148F"/>
    <w:rsid w:val="00023A57"/>
    <w:rsid w:val="000340EB"/>
    <w:rsid w:val="00035FB8"/>
    <w:rsid w:val="000458F3"/>
    <w:rsid w:val="00047A64"/>
    <w:rsid w:val="00067329"/>
    <w:rsid w:val="000722CE"/>
    <w:rsid w:val="000752F7"/>
    <w:rsid w:val="0008613B"/>
    <w:rsid w:val="000913EC"/>
    <w:rsid w:val="000A1FEB"/>
    <w:rsid w:val="000B0BCC"/>
    <w:rsid w:val="000B2838"/>
    <w:rsid w:val="000D44CA"/>
    <w:rsid w:val="000E200B"/>
    <w:rsid w:val="000E3E7F"/>
    <w:rsid w:val="000F4021"/>
    <w:rsid w:val="000F68BE"/>
    <w:rsid w:val="000F7731"/>
    <w:rsid w:val="00106DE8"/>
    <w:rsid w:val="0013139D"/>
    <w:rsid w:val="00155CB5"/>
    <w:rsid w:val="00162F83"/>
    <w:rsid w:val="001855D1"/>
    <w:rsid w:val="001927A4"/>
    <w:rsid w:val="00194AC6"/>
    <w:rsid w:val="001A23B0"/>
    <w:rsid w:val="001A25CC"/>
    <w:rsid w:val="001A420C"/>
    <w:rsid w:val="001A64A9"/>
    <w:rsid w:val="001B0AAA"/>
    <w:rsid w:val="001C0C9C"/>
    <w:rsid w:val="001C39F7"/>
    <w:rsid w:val="001C516E"/>
    <w:rsid w:val="001D5124"/>
    <w:rsid w:val="00223B2A"/>
    <w:rsid w:val="00237B48"/>
    <w:rsid w:val="0024521E"/>
    <w:rsid w:val="00253C26"/>
    <w:rsid w:val="00263C3D"/>
    <w:rsid w:val="00274D0B"/>
    <w:rsid w:val="00284110"/>
    <w:rsid w:val="00295699"/>
    <w:rsid w:val="0029644E"/>
    <w:rsid w:val="002A7434"/>
    <w:rsid w:val="002B3C95"/>
    <w:rsid w:val="002D0B92"/>
    <w:rsid w:val="002D26E2"/>
    <w:rsid w:val="002E0998"/>
    <w:rsid w:val="002E2062"/>
    <w:rsid w:val="002E6D94"/>
    <w:rsid w:val="00330E50"/>
    <w:rsid w:val="00335E28"/>
    <w:rsid w:val="00352F50"/>
    <w:rsid w:val="003668D6"/>
    <w:rsid w:val="00382FD8"/>
    <w:rsid w:val="003A61C7"/>
    <w:rsid w:val="003A7074"/>
    <w:rsid w:val="003A7E3F"/>
    <w:rsid w:val="003D5BBE"/>
    <w:rsid w:val="003E3C61"/>
    <w:rsid w:val="003F0BA2"/>
    <w:rsid w:val="003F1C5B"/>
    <w:rsid w:val="00417046"/>
    <w:rsid w:val="00431EB1"/>
    <w:rsid w:val="00434E33"/>
    <w:rsid w:val="00441434"/>
    <w:rsid w:val="0044710D"/>
    <w:rsid w:val="0045264C"/>
    <w:rsid w:val="00472DF1"/>
    <w:rsid w:val="00476DE5"/>
    <w:rsid w:val="004876EC"/>
    <w:rsid w:val="004945DD"/>
    <w:rsid w:val="004B2C8B"/>
    <w:rsid w:val="004D0B7A"/>
    <w:rsid w:val="004D6E14"/>
    <w:rsid w:val="004E0B52"/>
    <w:rsid w:val="004E46C8"/>
    <w:rsid w:val="004E48BF"/>
    <w:rsid w:val="004E56D6"/>
    <w:rsid w:val="004F0C9C"/>
    <w:rsid w:val="005009B0"/>
    <w:rsid w:val="00510997"/>
    <w:rsid w:val="00512413"/>
    <w:rsid w:val="00540CFA"/>
    <w:rsid w:val="005451A5"/>
    <w:rsid w:val="005516E6"/>
    <w:rsid w:val="005609E2"/>
    <w:rsid w:val="0058323F"/>
    <w:rsid w:val="00592C50"/>
    <w:rsid w:val="005A1006"/>
    <w:rsid w:val="005A2D2B"/>
    <w:rsid w:val="005A772A"/>
    <w:rsid w:val="005B2388"/>
    <w:rsid w:val="005D5469"/>
    <w:rsid w:val="005E0981"/>
    <w:rsid w:val="005E0E15"/>
    <w:rsid w:val="005E714A"/>
    <w:rsid w:val="005F55EF"/>
    <w:rsid w:val="0061146C"/>
    <w:rsid w:val="0061398D"/>
    <w:rsid w:val="006140A0"/>
    <w:rsid w:val="00615E98"/>
    <w:rsid w:val="00633F74"/>
    <w:rsid w:val="00636621"/>
    <w:rsid w:val="00642B49"/>
    <w:rsid w:val="00651B08"/>
    <w:rsid w:val="006733CF"/>
    <w:rsid w:val="006832D9"/>
    <w:rsid w:val="00686301"/>
    <w:rsid w:val="0069403B"/>
    <w:rsid w:val="006A04B8"/>
    <w:rsid w:val="006A0D31"/>
    <w:rsid w:val="006D4068"/>
    <w:rsid w:val="006D5F47"/>
    <w:rsid w:val="006D61A1"/>
    <w:rsid w:val="006E7380"/>
    <w:rsid w:val="006F3DDE"/>
    <w:rsid w:val="006F46AA"/>
    <w:rsid w:val="00704678"/>
    <w:rsid w:val="00714D99"/>
    <w:rsid w:val="00722E38"/>
    <w:rsid w:val="007425E7"/>
    <w:rsid w:val="00747F4E"/>
    <w:rsid w:val="00753CA4"/>
    <w:rsid w:val="00766D95"/>
    <w:rsid w:val="0077703F"/>
    <w:rsid w:val="007857D0"/>
    <w:rsid w:val="00790FAA"/>
    <w:rsid w:val="00791B2F"/>
    <w:rsid w:val="007B19D3"/>
    <w:rsid w:val="007C157A"/>
    <w:rsid w:val="00802607"/>
    <w:rsid w:val="008101A5"/>
    <w:rsid w:val="00822664"/>
    <w:rsid w:val="008242DD"/>
    <w:rsid w:val="00843796"/>
    <w:rsid w:val="0087292B"/>
    <w:rsid w:val="00882F94"/>
    <w:rsid w:val="00890408"/>
    <w:rsid w:val="00895229"/>
    <w:rsid w:val="008956A8"/>
    <w:rsid w:val="008E1AEB"/>
    <w:rsid w:val="008E3D6E"/>
    <w:rsid w:val="008F0203"/>
    <w:rsid w:val="008F50D4"/>
    <w:rsid w:val="009128B5"/>
    <w:rsid w:val="00917EB3"/>
    <w:rsid w:val="009238DF"/>
    <w:rsid w:val="009239AA"/>
    <w:rsid w:val="00935ADA"/>
    <w:rsid w:val="00935CDC"/>
    <w:rsid w:val="0094269D"/>
    <w:rsid w:val="00946B6C"/>
    <w:rsid w:val="0095558F"/>
    <w:rsid w:val="00955A71"/>
    <w:rsid w:val="00956282"/>
    <w:rsid w:val="0096108F"/>
    <w:rsid w:val="0097631D"/>
    <w:rsid w:val="009A036B"/>
    <w:rsid w:val="009C13B9"/>
    <w:rsid w:val="009D01A2"/>
    <w:rsid w:val="009D5B83"/>
    <w:rsid w:val="009E4D2F"/>
    <w:rsid w:val="009F5923"/>
    <w:rsid w:val="009F7924"/>
    <w:rsid w:val="00A00FDD"/>
    <w:rsid w:val="00A229F1"/>
    <w:rsid w:val="00A358FA"/>
    <w:rsid w:val="00A403BB"/>
    <w:rsid w:val="00A54808"/>
    <w:rsid w:val="00A674DF"/>
    <w:rsid w:val="00A805E3"/>
    <w:rsid w:val="00A81730"/>
    <w:rsid w:val="00A81E3B"/>
    <w:rsid w:val="00A83AA6"/>
    <w:rsid w:val="00AA34F0"/>
    <w:rsid w:val="00AA4A02"/>
    <w:rsid w:val="00AB0A87"/>
    <w:rsid w:val="00AB4765"/>
    <w:rsid w:val="00AC5AC7"/>
    <w:rsid w:val="00AC60E8"/>
    <w:rsid w:val="00AE14B1"/>
    <w:rsid w:val="00AE1809"/>
    <w:rsid w:val="00AF3465"/>
    <w:rsid w:val="00B01CEC"/>
    <w:rsid w:val="00B07575"/>
    <w:rsid w:val="00B11579"/>
    <w:rsid w:val="00B80D76"/>
    <w:rsid w:val="00B870A0"/>
    <w:rsid w:val="00B90AD9"/>
    <w:rsid w:val="00B9460E"/>
    <w:rsid w:val="00BA2105"/>
    <w:rsid w:val="00BA3BE1"/>
    <w:rsid w:val="00BA63EA"/>
    <w:rsid w:val="00BA7E06"/>
    <w:rsid w:val="00BB43B5"/>
    <w:rsid w:val="00BB6219"/>
    <w:rsid w:val="00BC676D"/>
    <w:rsid w:val="00BD290F"/>
    <w:rsid w:val="00BD453F"/>
    <w:rsid w:val="00BD4927"/>
    <w:rsid w:val="00BE02F4"/>
    <w:rsid w:val="00BE6202"/>
    <w:rsid w:val="00BF0486"/>
    <w:rsid w:val="00BF0779"/>
    <w:rsid w:val="00C03B38"/>
    <w:rsid w:val="00C14CC4"/>
    <w:rsid w:val="00C33C52"/>
    <w:rsid w:val="00C40D8B"/>
    <w:rsid w:val="00C7157F"/>
    <w:rsid w:val="00C8407A"/>
    <w:rsid w:val="00C84793"/>
    <w:rsid w:val="00C8488C"/>
    <w:rsid w:val="00C86E91"/>
    <w:rsid w:val="00CA19A3"/>
    <w:rsid w:val="00CA2010"/>
    <w:rsid w:val="00CA2650"/>
    <w:rsid w:val="00CB1078"/>
    <w:rsid w:val="00CC2660"/>
    <w:rsid w:val="00CC6FAF"/>
    <w:rsid w:val="00CD5612"/>
    <w:rsid w:val="00CE7594"/>
    <w:rsid w:val="00CF72B8"/>
    <w:rsid w:val="00D003BF"/>
    <w:rsid w:val="00D124C8"/>
    <w:rsid w:val="00D20AAF"/>
    <w:rsid w:val="00D24698"/>
    <w:rsid w:val="00D34D9A"/>
    <w:rsid w:val="00D461D8"/>
    <w:rsid w:val="00D6383F"/>
    <w:rsid w:val="00D83CDE"/>
    <w:rsid w:val="00D97378"/>
    <w:rsid w:val="00DA7B4C"/>
    <w:rsid w:val="00DB4A58"/>
    <w:rsid w:val="00DB59D0"/>
    <w:rsid w:val="00DB6C6E"/>
    <w:rsid w:val="00DC2A7E"/>
    <w:rsid w:val="00DC33D3"/>
    <w:rsid w:val="00DD7CAD"/>
    <w:rsid w:val="00E23E7E"/>
    <w:rsid w:val="00E26329"/>
    <w:rsid w:val="00E274AD"/>
    <w:rsid w:val="00E40B50"/>
    <w:rsid w:val="00E50293"/>
    <w:rsid w:val="00E65FAB"/>
    <w:rsid w:val="00E65FFC"/>
    <w:rsid w:val="00E80951"/>
    <w:rsid w:val="00E86CC6"/>
    <w:rsid w:val="00E939B5"/>
    <w:rsid w:val="00EB0B5F"/>
    <w:rsid w:val="00EB56B3"/>
    <w:rsid w:val="00EC03CA"/>
    <w:rsid w:val="00ED6492"/>
    <w:rsid w:val="00EF2095"/>
    <w:rsid w:val="00EF3C2A"/>
    <w:rsid w:val="00F06866"/>
    <w:rsid w:val="00F1145F"/>
    <w:rsid w:val="00F15956"/>
    <w:rsid w:val="00F24CFC"/>
    <w:rsid w:val="00F3170F"/>
    <w:rsid w:val="00F42C6C"/>
    <w:rsid w:val="00F47615"/>
    <w:rsid w:val="00F52EDC"/>
    <w:rsid w:val="00F54960"/>
    <w:rsid w:val="00F55676"/>
    <w:rsid w:val="00F55E23"/>
    <w:rsid w:val="00F70DC4"/>
    <w:rsid w:val="00F753EB"/>
    <w:rsid w:val="00F976B0"/>
    <w:rsid w:val="00FA6DE7"/>
    <w:rsid w:val="00FB7807"/>
    <w:rsid w:val="00FC0A8E"/>
    <w:rsid w:val="00FD7FD7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nts.nih.gov/grants/guide/pa-files/PAR-13-225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nts.nih.gov/grants/guide/pa-files/PAR-17-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A987C-AABE-4244-A4D8-A7AA6F6E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D6A9E-334F-4113-94F0-4C79AFA9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4455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2020-10-19T17:51:00Z</dcterms:created>
  <dcterms:modified xsi:type="dcterms:W3CDTF">2020-10-19T17:51:00Z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