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6"/>
      </w:tblGrid>
      <w:tr w:rsidR="00CF02FB" w:rsidTr="00CF02FB" w14:paraId="242E1A3B" w14:textId="77777777">
        <w:tc>
          <w:tcPr>
            <w:tcW w:w="0" w:type="auto"/>
            <w:tcMar>
              <w:top w:w="15" w:type="dxa"/>
              <w:left w:w="15" w:type="dxa"/>
              <w:bottom w:w="15" w:type="dxa"/>
              <w:right w:w="15" w:type="dxa"/>
            </w:tcMar>
            <w:vAlign w:val="center"/>
            <w:hideMark/>
          </w:tcPr>
          <w:p w:rsidR="00CF02FB" w:rsidRDefault="00CF02FB" w14:paraId="07D57D21" w14:textId="77777777">
            <w:bookmarkStart w:name="gd_top" w:id="0"/>
          </w:p>
        </w:tc>
      </w:tr>
    </w:tbl>
    <w:bookmarkEnd w:id="0"/>
    <w:p w:rsidRPr="00827DA9" w:rsidR="00CF02FB" w:rsidP="00CF02FB" w:rsidRDefault="00CF02FB" w14:paraId="17B1089A" w14:textId="04655F97">
      <w:pPr>
        <w:rPr>
          <w:rFonts w:ascii="Calibri" w:hAnsi="Calibri" w:cs="Calibri"/>
          <w:b/>
          <w:bCs/>
          <w:sz w:val="22"/>
          <w:szCs w:val="22"/>
          <w:u w:val="single"/>
        </w:rPr>
      </w:pPr>
      <w:r w:rsidRPr="00827DA9">
        <w:rPr>
          <w:b/>
          <w:bCs/>
          <w:u w:val="single"/>
          <w:lang w:val="en"/>
        </w:rPr>
        <w:t xml:space="preserve">Draft </w:t>
      </w:r>
      <w:r w:rsidR="00827DA9">
        <w:rPr>
          <w:b/>
          <w:bCs/>
          <w:u w:val="single"/>
          <w:lang w:val="en"/>
        </w:rPr>
        <w:t>R</w:t>
      </w:r>
      <w:r w:rsidRPr="00827DA9">
        <w:rPr>
          <w:b/>
          <w:bCs/>
          <w:u w:val="single"/>
          <w:lang w:val="en"/>
        </w:rPr>
        <w:t xml:space="preserve">ecruitment Materials for the </w:t>
      </w:r>
      <w:r w:rsidRPr="00827DA9" w:rsidR="00827DA9">
        <w:rPr>
          <w:b/>
          <w:bCs/>
          <w:u w:val="single"/>
          <w:lang w:val="en"/>
        </w:rPr>
        <w:t>NIMH SSPsyGene Technical Assistance Webinar</w:t>
      </w:r>
      <w:r w:rsidRPr="00827DA9">
        <w:rPr>
          <w:b/>
          <w:bCs/>
          <w:u w:val="single"/>
          <w:lang w:val="en"/>
        </w:rPr>
        <w:t>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CF02FB" w:rsidTr="00CF02FB" w14:paraId="5894C10F" w14:textId="77777777">
        <w:trPr>
          <w:tblCellSpacing w:w="0" w:type="dxa"/>
          <w:jc w:val="center"/>
        </w:trPr>
        <w:tc>
          <w:tcPr>
            <w:tcW w:w="0" w:type="auto"/>
            <w:shd w:val="clear" w:color="auto" w:fill="EEEEEE"/>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CF02FB" w14:paraId="3CD5813D" w14:textId="77777777">
              <w:trPr>
                <w:jc w:val="center"/>
              </w:trPr>
              <w:tc>
                <w:tcPr>
                  <w:tcW w:w="5000" w:type="pct"/>
                  <w:shd w:val="clear" w:color="auto" w:fill="EEEEEE"/>
                  <w:tcMar>
                    <w:top w:w="300" w:type="dxa"/>
                    <w:left w:w="0" w:type="dxa"/>
                    <w:bottom w:w="0"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F02FB" w14:paraId="28473A29"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CF02FB" w14:paraId="0C42ABC3" w14:textId="77777777">
                          <w:trPr>
                            <w:jc w:val="center"/>
                          </w:trPr>
                          <w:tc>
                            <w:tcPr>
                              <w:tcW w:w="5000" w:type="pct"/>
                              <w:shd w:val="clear" w:color="auto" w:fill="5C9BD5"/>
                              <w:tcMar>
                                <w:top w:w="150" w:type="dxa"/>
                                <w:left w:w="450" w:type="dxa"/>
                                <w:bottom w:w="0" w:type="dxa"/>
                                <w:right w:w="450" w:type="dxa"/>
                              </w:tcMar>
                              <w:vAlign w:val="center"/>
                              <w:hideMark/>
                            </w:tcPr>
                            <w:p w:rsidR="00CF02FB" w:rsidRDefault="00CF02FB" w14:paraId="7DA3B423" w14:textId="77777777">
                              <w:pPr>
                                <w:spacing w:before="150" w:after="225"/>
                                <w:jc w:val="center"/>
                              </w:pPr>
                              <w:r>
                                <w:rPr>
                                  <w:rFonts w:ascii="Arial" w:hAnsi="Arial" w:cs="Arial"/>
                                  <w:color w:val="000000"/>
                                  <w:sz w:val="21"/>
                                  <w:szCs w:val="21"/>
                                </w:rPr>
                                <w:t xml:space="preserve">We're now on Instagram! Follow us </w:t>
                              </w:r>
                              <w:hyperlink w:tgtFrame="_blank" w:history="1" r:id="rId5">
                                <w:r>
                                  <w:rPr>
                                    <w:rStyle w:val="Hyperlink"/>
                                    <w:rFonts w:ascii="Arial" w:hAnsi="Arial" w:cs="Arial"/>
                                    <w:color w:val="000000"/>
                                    <w:sz w:val="21"/>
                                    <w:szCs w:val="21"/>
                                  </w:rPr>
                                  <w:t>@NIMHgov</w:t>
                                </w:r>
                              </w:hyperlink>
                            </w:p>
                          </w:tc>
                        </w:tr>
                        <w:tr w:rsidR="00CF02FB" w14:paraId="5E6C6F30" w14:textId="77777777">
                          <w:trPr>
                            <w:jc w:val="center"/>
                          </w:trPr>
                          <w:tc>
                            <w:tcPr>
                              <w:tcW w:w="0" w:type="auto"/>
                              <w:shd w:val="clear" w:color="auto" w:fill="5C9BD5"/>
                              <w:tcMar>
                                <w:top w:w="0" w:type="dxa"/>
                                <w:left w:w="225" w:type="dxa"/>
                                <w:bottom w:w="225" w:type="dxa"/>
                                <w:right w:w="225" w:type="dxa"/>
                              </w:tcMar>
                              <w:vAlign w:val="center"/>
                              <w:hideMark/>
                            </w:tcPr>
                            <w:tbl>
                              <w:tblPr>
                                <w:tblW w:w="5000" w:type="pct"/>
                                <w:jc w:val="center"/>
                                <w:tblCellMar>
                                  <w:left w:w="0" w:type="dxa"/>
                                  <w:right w:w="0" w:type="dxa"/>
                                </w:tblCellMar>
                                <w:tblLook w:val="04A0" w:firstRow="1" w:lastRow="0" w:firstColumn="1" w:lastColumn="0" w:noHBand="0" w:noVBand="1"/>
                              </w:tblPr>
                              <w:tblGrid>
                                <w:gridCol w:w="3420"/>
                                <w:gridCol w:w="5130"/>
                              </w:tblGrid>
                              <w:tr w:rsidR="00CF02FB" w14:paraId="187C84C4" w14:textId="77777777">
                                <w:trPr>
                                  <w:jc w:val="center"/>
                                </w:trPr>
                                <w:tc>
                                  <w:tcPr>
                                    <w:tcW w:w="2000" w:type="pct"/>
                                    <w:hideMark/>
                                  </w:tcPr>
                                  <w:tbl>
                                    <w:tblPr>
                                      <w:tblW w:w="5000" w:type="pct"/>
                                      <w:jc w:val="center"/>
                                      <w:tblCellMar>
                                        <w:left w:w="0" w:type="dxa"/>
                                        <w:right w:w="0" w:type="dxa"/>
                                      </w:tblCellMar>
                                      <w:tblLook w:val="04A0" w:firstRow="1" w:lastRow="0" w:firstColumn="1" w:lastColumn="0" w:noHBand="0" w:noVBand="1"/>
                                    </w:tblPr>
                                    <w:tblGrid>
                                      <w:gridCol w:w="3420"/>
                                    </w:tblGrid>
                                    <w:tr w:rsidR="00CF02FB" w14:paraId="213AA55B" w14:textId="77777777">
                                      <w:trPr>
                                        <w:jc w:val="center"/>
                                      </w:trPr>
                                      <w:tc>
                                        <w:tcPr>
                                          <w:tcW w:w="5000" w:type="pct"/>
                                          <w:shd w:val="clear" w:color="auto" w:fill="5C9BD5"/>
                                          <w:tcMar>
                                            <w:top w:w="0" w:type="dxa"/>
                                            <w:left w:w="225" w:type="dxa"/>
                                            <w:bottom w:w="0" w:type="dxa"/>
                                            <w:right w:w="0" w:type="dxa"/>
                                          </w:tcMar>
                                          <w:vAlign w:val="center"/>
                                          <w:hideMark/>
                                        </w:tcPr>
                                        <w:p w:rsidR="00CF02FB" w:rsidRDefault="00CF02FB" w14:paraId="74C413DB" w14:textId="1F0EF261">
                                          <w:r>
                                            <w:rPr>
                                              <w:noProof/>
                                              <w:color w:val="0000EE"/>
                                              <w:sz w:val="22"/>
                                              <w:szCs w:val="22"/>
                                            </w:rPr>
                                            <w:drawing>
                                              <wp:inline distT="0" distB="0" distL="0" distR="0" wp14:anchorId="2FAFE5AF" wp14:editId="310B7186">
                                                <wp:extent cx="1990725" cy="495300"/>
                                                <wp:effectExtent l="0" t="0" r="9525" b="0"/>
                                                <wp:docPr id="13" name="Picture 13" descr="NIH National Institute of Mental Health">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 National Institute of Mental Heal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495300"/>
                                                        </a:xfrm>
                                                        <a:prstGeom prst="rect">
                                                          <a:avLst/>
                                                        </a:prstGeom>
                                                        <a:noFill/>
                                                        <a:ln>
                                                          <a:noFill/>
                                                        </a:ln>
                                                      </pic:spPr>
                                                    </pic:pic>
                                                  </a:graphicData>
                                                </a:graphic>
                                              </wp:inline>
                                            </w:drawing>
                                          </w:r>
                                        </w:p>
                                      </w:tc>
                                    </w:tr>
                                  </w:tbl>
                                  <w:p w:rsidR="00CF02FB" w:rsidRDefault="00CF02FB" w14:paraId="61E66401" w14:textId="77777777">
                                    <w:pPr>
                                      <w:jc w:val="center"/>
                                      <w:rPr>
                                        <w:rFonts w:ascii="Times New Roman" w:hAnsi="Times New Roman" w:eastAsia="Times New Roman" w:cs="Times New Roman"/>
                                      </w:rPr>
                                    </w:pPr>
                                  </w:p>
                                </w:tc>
                                <w:tc>
                                  <w:tcPr>
                                    <w:tcW w:w="3000" w:type="pct"/>
                                    <w:hideMark/>
                                  </w:tcPr>
                                  <w:tbl>
                                    <w:tblPr>
                                      <w:tblW w:w="5000" w:type="pct"/>
                                      <w:jc w:val="center"/>
                                      <w:tblCellMar>
                                        <w:left w:w="0" w:type="dxa"/>
                                        <w:right w:w="0" w:type="dxa"/>
                                      </w:tblCellMar>
                                      <w:tblLook w:val="04A0" w:firstRow="1" w:lastRow="0" w:firstColumn="1" w:lastColumn="0" w:noHBand="0" w:noVBand="1"/>
                                    </w:tblPr>
                                    <w:tblGrid>
                                      <w:gridCol w:w="5130"/>
                                    </w:tblGrid>
                                    <w:tr w:rsidR="00CF02FB" w14:paraId="732F0AE4" w14:textId="77777777">
                                      <w:trPr>
                                        <w:jc w:val="center"/>
                                      </w:trPr>
                                      <w:tc>
                                        <w:tcPr>
                                          <w:tcW w:w="5000" w:type="pct"/>
                                          <w:shd w:val="clear" w:color="auto" w:fill="5C9BD5"/>
                                          <w:tcMar>
                                            <w:top w:w="150" w:type="dxa"/>
                                            <w:left w:w="225" w:type="dxa"/>
                                            <w:bottom w:w="150" w:type="dxa"/>
                                            <w:right w:w="225" w:type="dxa"/>
                                          </w:tcMar>
                                          <w:vAlign w:val="center"/>
                                          <w:hideMark/>
                                        </w:tcPr>
                                        <w:p w:rsidR="00CF02FB" w:rsidRDefault="00CF02FB" w14:paraId="5E97734C" w14:textId="77777777">
                                          <w:pPr>
                                            <w:pStyle w:val="Heading1"/>
                                            <w:spacing w:before="0" w:after="150"/>
                                            <w:rPr>
                                              <w:rFonts w:ascii="Calibri" w:hAnsi="Calibri" w:eastAsia="Times New Roman" w:cs="Calibri"/>
                                            </w:rPr>
                                          </w:pPr>
                                          <w:r>
                                            <w:rPr>
                                              <w:rFonts w:ascii="Arial" w:hAnsi="Arial" w:eastAsia="Times New Roman" w:cs="Arial"/>
                                              <w:color w:val="FFFFFF"/>
                                              <w:sz w:val="45"/>
                                              <w:szCs w:val="45"/>
                                            </w:rPr>
                                            <w:t>FUNDING OPPORTUNITY ANNOUNCEMENT</w:t>
                                          </w:r>
                                        </w:p>
                                      </w:tc>
                                    </w:tr>
                                  </w:tbl>
                                  <w:p w:rsidR="00CF02FB" w:rsidRDefault="00CF02FB" w14:paraId="6EC1B653" w14:textId="77777777">
                                    <w:pPr>
                                      <w:jc w:val="center"/>
                                      <w:rPr>
                                        <w:rFonts w:ascii="Times New Roman" w:hAnsi="Times New Roman" w:eastAsia="Times New Roman" w:cs="Times New Roman"/>
                                      </w:rPr>
                                    </w:pPr>
                                  </w:p>
                                </w:tc>
                              </w:tr>
                            </w:tbl>
                            <w:p w:rsidR="00CF02FB" w:rsidRDefault="00CF02FB" w14:paraId="7BFE1B5B" w14:textId="77777777">
                              <w:pPr>
                                <w:jc w:val="center"/>
                                <w:rPr>
                                  <w:rFonts w:ascii="Times New Roman" w:hAnsi="Times New Roman" w:eastAsia="Times New Roman" w:cs="Times New Roman"/>
                                </w:rPr>
                              </w:pPr>
                            </w:p>
                          </w:tc>
                        </w:tr>
                        <w:tr w:rsidR="00CF02FB" w14:paraId="6F1184B3" w14:textId="77777777">
                          <w:trPr>
                            <w:jc w:val="center"/>
                          </w:trPr>
                          <w:tc>
                            <w:tcPr>
                              <w:tcW w:w="5000" w:type="pct"/>
                              <w:shd w:val="clear" w:color="auto" w:fill="FFFFFF"/>
                              <w:vAlign w:val="center"/>
                              <w:hideMark/>
                            </w:tcPr>
                            <w:p w:rsidR="00CF02FB" w:rsidRDefault="00CF02FB" w14:paraId="00F26B78" w14:textId="142B55E1">
                              <w:pPr>
                                <w:jc w:val="center"/>
                                <w:rPr>
                                  <w:rFonts w:ascii="Calibri" w:hAnsi="Calibri" w:cs="Calibri"/>
                                </w:rPr>
                              </w:pPr>
                              <w:r>
                                <w:rPr>
                                  <w:noProof/>
                                  <w:color w:val="000000"/>
                                  <w:sz w:val="22"/>
                                  <w:szCs w:val="22"/>
                                </w:rPr>
                                <w:drawing>
                                  <wp:inline distT="0" distB="0" distL="0" distR="0" wp14:anchorId="0A0B3A3A" wp14:editId="638F8698">
                                    <wp:extent cx="5715000" cy="53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533400"/>
                                            </a:xfrm>
                                            <a:prstGeom prst="rect">
                                              <a:avLst/>
                                            </a:prstGeom>
                                            <a:noFill/>
                                            <a:ln>
                                              <a:noFill/>
                                            </a:ln>
                                          </pic:spPr>
                                        </pic:pic>
                                      </a:graphicData>
                                    </a:graphic>
                                  </wp:inline>
                                </w:drawing>
                              </w:r>
                            </w:p>
                          </w:tc>
                        </w:tr>
                        <w:tr w:rsidR="00CF02FB" w14:paraId="5C73A34B" w14:textId="77777777">
                          <w:trPr>
                            <w:jc w:val="center"/>
                          </w:trPr>
                          <w:tc>
                            <w:tcPr>
                              <w:tcW w:w="5000" w:type="pct"/>
                              <w:shd w:val="clear" w:color="auto" w:fill="FFFFFF"/>
                              <w:tcMar>
                                <w:top w:w="300" w:type="dxa"/>
                                <w:left w:w="450" w:type="dxa"/>
                                <w:bottom w:w="450" w:type="dxa"/>
                                <w:right w:w="450" w:type="dxa"/>
                              </w:tcMar>
                              <w:vAlign w:val="center"/>
                              <w:hideMark/>
                            </w:tcPr>
                            <w:p w:rsidR="00CF02FB" w:rsidRDefault="00CF02FB" w14:paraId="0E1CCA62" w14:textId="77777777">
                              <w:pPr>
                                <w:pStyle w:val="Heading1"/>
                                <w:spacing w:before="0" w:after="150"/>
                                <w:rPr>
                                  <w:rFonts w:eastAsia="Times New Roman"/>
                                </w:rPr>
                              </w:pPr>
                              <w:r>
                                <w:rPr>
                                  <w:rFonts w:ascii="Arial" w:hAnsi="Arial" w:eastAsia="Times New Roman" w:cs="Arial"/>
                                  <w:color w:val="000000"/>
                                  <w:sz w:val="33"/>
                                  <w:szCs w:val="33"/>
                                </w:rPr>
                                <w:t>Scalable and Systematic Neurobiology of Psychiatric and Neurodevelopmental Disorder Risk Genes</w:t>
                              </w:r>
                            </w:p>
                            <w:p w:rsidR="00CF02FB" w:rsidRDefault="00CF02FB" w14:paraId="018CBA4B" w14:textId="77777777">
                              <w:pPr>
                                <w:spacing w:before="150" w:after="150"/>
                              </w:pPr>
                              <w:r>
                                <w:rPr>
                                  <w:color w:val="000000"/>
                                </w:rPr>
                                <w:t>NIMH is sponsoring a technical assistance webinar on Tuesday, March 15, 2022 from 1:00 – 2:30 p.m. ET via Zoom for all prospective applicants interested in the following companion Funding Opportunity Announcements (FOAs) for the Scalable and Systematic Neurobiology of Psychiatric and Neurodevelopmental Disorder Risk Genes (SSPsyGene) Consortium:</w:t>
                              </w:r>
                              <w:r>
                                <w:rPr>
                                  <w:color w:val="000000"/>
                                </w:rPr>
                                <w:br/>
                              </w:r>
                              <w:r>
                                <w:rPr>
                                  <w:color w:val="000000"/>
                                </w:rPr>
                                <w:br/>
                                <w:t>• RFA-MH-22-110 – Scalable and Systematic Neurobiology of Psychiatric and Neurodevelopmental Disorder Risk Genes: Data Resource and Administrative Coordination Center (U24)</w:t>
                              </w:r>
                              <w:r>
                                <w:rPr>
                                  <w:color w:val="000000"/>
                                </w:rPr>
                                <w:br/>
                                <w:t>• RFA-MH-22-111 – Scalable and Systematic Neurobiology of Psychiatric and Neurodevelopmental Disorder Risk Genes: Assay and Data Generation Centers (RM1)</w:t>
                              </w:r>
                              <w:r>
                                <w:rPr>
                                  <w:color w:val="000000"/>
                                </w:rPr>
                                <w:br/>
                              </w:r>
                              <w:r>
                                <w:rPr>
                                  <w:color w:val="000000"/>
                                </w:rPr>
                                <w:br/>
                                <w:t>The SSPsyGene Consortium will support multidisciplinary research centers to optimize and implement systematic and scalable approaches for characterizing the developmental, molecular, cellular, systems, and organismal neurobiological function of genes associated with risk for NPDs.</w:t>
                              </w:r>
                            </w:p>
                            <w:p w:rsidR="00CF02FB" w:rsidRDefault="00CF02FB" w14:paraId="0ED37490" w14:textId="77777777">
                              <w:pPr>
                                <w:spacing w:before="150" w:after="150"/>
                              </w:pPr>
                              <w:r>
                                <w:rPr>
                                  <w:color w:val="000000"/>
                                </w:rPr>
                                <w:t xml:space="preserve">During the webinar, NIMH staff will provide an overview of RFA-MH-110 and RFA-MH-111, and answer questions from prospective applicants. Registration is required to attend the webinar, but participation in the webinar is optional and is not required for the submission of an application in response to any of the related </w:t>
                              </w:r>
                              <w:r>
                                <w:rPr>
                                  <w:color w:val="000000"/>
                                </w:rPr>
                                <w:lastRenderedPageBreak/>
                                <w:t xml:space="preserve">announcements listed in the Notice. If you have questions about the webinar, please email </w:t>
                              </w:r>
                              <w:hyperlink w:history="1" r:id="rId9">
                                <w:r>
                                  <w:rPr>
                                    <w:rStyle w:val="Hyperlink"/>
                                  </w:rPr>
                                  <w:t>SSPsyGene@mail.nih.gov</w:t>
                                </w:r>
                              </w:hyperlink>
                              <w:r>
                                <w:rPr>
                                  <w:color w:val="000000"/>
                                </w:rPr>
                                <w:t>.</w:t>
                              </w:r>
                            </w:p>
                            <w:p w:rsidR="00CF02FB" w:rsidRDefault="009E250A" w14:paraId="612B7D52" w14:textId="77777777">
                              <w:pPr>
                                <w:pStyle w:val="Heading3"/>
                                <w:spacing w:before="450" w:after="300"/>
                                <w:jc w:val="center"/>
                                <w:rPr>
                                  <w:rFonts w:eastAsia="Times New Roman"/>
                                </w:rPr>
                              </w:pPr>
                              <w:hyperlink w:tgtFrame="_blank" w:history="1" r:id="rId10">
                                <w:r w:rsidR="00CF02FB">
                                  <w:rPr>
                                    <w:rStyle w:val="Hyperlink"/>
                                    <w:rFonts w:ascii="Arial" w:hAnsi="Arial" w:cs="Arial"/>
                                    <w:color w:val="000000"/>
                                    <w:sz w:val="26"/>
                                    <w:szCs w:val="26"/>
                                    <w:bdr w:val="single" w:color="FF9967" w:sz="48" w:space="0" w:frame="1"/>
                                    <w:shd w:val="clear" w:color="auto" w:fill="FF9967"/>
                                  </w:rPr>
                                  <w:t>Register for the webinar</w:t>
                                </w:r>
                              </w:hyperlink>
                            </w:p>
                          </w:tc>
                        </w:tr>
                        <w:tr w:rsidR="00CF02FB" w14:paraId="1AB28447" w14:textId="77777777">
                          <w:trPr>
                            <w:jc w:val="center"/>
                          </w:trPr>
                          <w:tc>
                            <w:tcPr>
                              <w:tcW w:w="5000" w:type="pct"/>
                              <w:shd w:val="clear" w:color="auto" w:fill="FFFFFF"/>
                              <w:vAlign w:val="center"/>
                              <w:hideMark/>
                            </w:tcPr>
                            <w:p w:rsidR="00CF02FB" w:rsidRDefault="00CF02FB" w14:paraId="5B4C5700" w14:textId="223FF19A">
                              <w:pPr>
                                <w:jc w:val="center"/>
                              </w:pPr>
                              <w:r>
                                <w:rPr>
                                  <w:noProof/>
                                  <w:color w:val="000000"/>
                                  <w:sz w:val="22"/>
                                  <w:szCs w:val="22"/>
                                </w:rPr>
                                <w:lastRenderedPageBreak/>
                                <w:drawing>
                                  <wp:inline distT="0" distB="0" distL="0" distR="0" wp14:anchorId="6BC579C4" wp14:editId="65A5BC91">
                                    <wp:extent cx="5715000" cy="66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66675"/>
                                            </a:xfrm>
                                            <a:prstGeom prst="rect">
                                              <a:avLst/>
                                            </a:prstGeom>
                                            <a:noFill/>
                                            <a:ln>
                                              <a:noFill/>
                                            </a:ln>
                                          </pic:spPr>
                                        </pic:pic>
                                      </a:graphicData>
                                    </a:graphic>
                                  </wp:inline>
                                </w:drawing>
                              </w:r>
                            </w:p>
                          </w:tc>
                        </w:tr>
                      </w:tbl>
                      <w:p w:rsidR="00CF02FB" w:rsidRDefault="00CF02FB" w14:paraId="4D895323" w14:textId="77777777">
                        <w:pPr>
                          <w:jc w:val="center"/>
                          <w:rPr>
                            <w:rFonts w:ascii="Times New Roman" w:hAnsi="Times New Roman" w:eastAsia="Times New Roman" w:cs="Times New Roman"/>
                          </w:rPr>
                        </w:pPr>
                      </w:p>
                    </w:tc>
                  </w:tr>
                </w:tbl>
                <w:p w:rsidR="00CF02FB" w:rsidRDefault="00CF02FB" w14:paraId="4F8F0592" w14:textId="77777777">
                  <w:pPr>
                    <w:jc w:val="center"/>
                    <w:rPr>
                      <w:rFonts w:ascii="Times New Roman" w:hAnsi="Times New Roman" w:eastAsia="Times New Roman" w:cs="Times New Roman"/>
                    </w:rPr>
                  </w:pPr>
                </w:p>
              </w:tc>
            </w:tr>
          </w:tbl>
          <w:p w:rsidR="00CF02FB" w:rsidRDefault="00CF02FB" w14:paraId="65CBDAC6" w14:textId="77777777">
            <w:pPr>
              <w:jc w:val="center"/>
              <w:rPr>
                <w:rFonts w:ascii="Times New Roman" w:hAnsi="Times New Roman" w:eastAsia="Times New Roman" w:cs="Times New Roman"/>
              </w:rPr>
            </w:pPr>
          </w:p>
        </w:tc>
      </w:tr>
    </w:tbl>
    <w:p w:rsidR="00CF02FB" w:rsidP="00CF02FB" w:rsidRDefault="00CF02FB" w14:paraId="5DBF4233" w14:textId="77777777">
      <w:pPr>
        <w:rPr>
          <w:rFonts w:ascii="Calibri" w:hAnsi="Calibri" w:cs="Calibri"/>
          <w:sz w:val="20"/>
          <w:szCs w:val="20"/>
        </w:rPr>
      </w:pPr>
      <w:r>
        <w:rPr>
          <w:sz w:val="22"/>
          <w:szCs w:val="22"/>
          <w:lang w:val="en"/>
        </w:rPr>
        <w:lastRenderedPageBreak/>
        <w:t> </w:t>
      </w:r>
    </w:p>
    <w:tbl>
      <w:tblPr>
        <w:tblW w:w="5000" w:type="pct"/>
        <w:jc w:val="center"/>
        <w:tblCellMar>
          <w:left w:w="0" w:type="dxa"/>
          <w:right w:w="0" w:type="dxa"/>
        </w:tblCellMar>
        <w:tblLook w:val="04A0" w:firstRow="1" w:lastRow="0" w:firstColumn="1" w:lastColumn="0" w:noHBand="0" w:noVBand="1"/>
      </w:tblPr>
      <w:tblGrid>
        <w:gridCol w:w="9360"/>
      </w:tblGrid>
      <w:tr w:rsidR="00CF02FB" w:rsidTr="00CF02FB" w14:paraId="60754488" w14:textId="77777777">
        <w:trPr>
          <w:jc w:val="center"/>
        </w:trPr>
        <w:tc>
          <w:tcPr>
            <w:tcW w:w="5000" w:type="pct"/>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F02FB" w14:paraId="3F63392C" w14:textId="77777777">
              <w:trPr>
                <w:jc w:val="center"/>
              </w:trPr>
              <w:tc>
                <w:tcPr>
                  <w:tcW w:w="0" w:type="auto"/>
                  <w:vAlign w:val="center"/>
                  <w:hideMark/>
                </w:tcPr>
                <w:tbl>
                  <w:tblPr>
                    <w:tblW w:w="5000" w:type="pct"/>
                    <w:jc w:val="center"/>
                    <w:shd w:val="clear" w:color="auto" w:fill="BFBFBF"/>
                    <w:tblCellMar>
                      <w:left w:w="0" w:type="dxa"/>
                      <w:right w:w="0" w:type="dxa"/>
                    </w:tblCellMar>
                    <w:tblLook w:val="04A0" w:firstRow="1" w:lastRow="0" w:firstColumn="1" w:lastColumn="0" w:noHBand="0" w:noVBand="1"/>
                  </w:tblPr>
                  <w:tblGrid>
                    <w:gridCol w:w="9000"/>
                  </w:tblGrid>
                  <w:tr w:rsidR="00CF02FB" w14:paraId="0927AAAE" w14:textId="77777777">
                    <w:trPr>
                      <w:jc w:val="center"/>
                    </w:trPr>
                    <w:tc>
                      <w:tcPr>
                        <w:tcW w:w="5000" w:type="pct"/>
                        <w:shd w:val="clear" w:color="auto" w:fill="005294"/>
                        <w:vAlign w:val="center"/>
                        <w:hideMark/>
                      </w:tcPr>
                      <w:tbl>
                        <w:tblPr>
                          <w:tblW w:w="5000" w:type="pct"/>
                          <w:jc w:val="center"/>
                          <w:tblCellMar>
                            <w:left w:w="0" w:type="dxa"/>
                            <w:right w:w="0" w:type="dxa"/>
                          </w:tblCellMar>
                          <w:tblLook w:val="04A0" w:firstRow="1" w:lastRow="0" w:firstColumn="1" w:lastColumn="0" w:noHBand="0" w:noVBand="1"/>
                        </w:tblPr>
                        <w:tblGrid>
                          <w:gridCol w:w="3000"/>
                          <w:gridCol w:w="3000"/>
                          <w:gridCol w:w="3000"/>
                        </w:tblGrid>
                        <w:tr w:rsidR="00CF02FB" w14:paraId="693E53A1" w14:textId="77777777">
                          <w:trPr>
                            <w:jc w:val="center"/>
                          </w:trPr>
                          <w:tc>
                            <w:tcPr>
                              <w:tcW w:w="1650" w:type="pct"/>
                              <w:hideMark/>
                            </w:tcPr>
                            <w:tbl>
                              <w:tblPr>
                                <w:tblW w:w="5000" w:type="pct"/>
                                <w:jc w:val="center"/>
                                <w:tblCellMar>
                                  <w:left w:w="0" w:type="dxa"/>
                                  <w:right w:w="0" w:type="dxa"/>
                                </w:tblCellMar>
                                <w:tblLook w:val="04A0" w:firstRow="1" w:lastRow="0" w:firstColumn="1" w:lastColumn="0" w:noHBand="0" w:noVBand="1"/>
                              </w:tblPr>
                              <w:tblGrid>
                                <w:gridCol w:w="3000"/>
                              </w:tblGrid>
                              <w:tr w:rsidR="00CF02FB" w14:paraId="50B6EB49" w14:textId="77777777">
                                <w:trPr>
                                  <w:jc w:val="center"/>
                                </w:trPr>
                                <w:tc>
                                  <w:tcPr>
                                    <w:tcW w:w="0" w:type="auto"/>
                                    <w:shd w:val="clear" w:color="auto" w:fill="005294"/>
                                    <w:tcMar>
                                      <w:top w:w="150" w:type="dxa"/>
                                      <w:left w:w="150" w:type="dxa"/>
                                      <w:bottom w:w="150" w:type="dxa"/>
                                      <w:right w:w="150" w:type="dxa"/>
                                    </w:tcMar>
                                    <w:vAlign w:val="center"/>
                                    <w:hideMark/>
                                  </w:tcPr>
                                  <w:p w:rsidR="00CF02FB" w:rsidRDefault="00CF02FB" w14:paraId="0D5B91FF" w14:textId="62436F2A">
                                    <w:pPr>
                                      <w:pStyle w:val="NormalWeb"/>
                                      <w:jc w:val="center"/>
                                    </w:pPr>
                                    <w:r>
                                      <w:rPr>
                                        <w:noProof/>
                                        <w:color w:val="0000FF"/>
                                      </w:rPr>
                                      <w:drawing>
                                        <wp:inline distT="0" distB="0" distL="0" distR="0" wp14:anchorId="11DD44F9" wp14:editId="140D6E0C">
                                          <wp:extent cx="714375" cy="714375"/>
                                          <wp:effectExtent l="0" t="0" r="9525" b="9525"/>
                                          <wp:docPr id="10" name="Picture 10" descr="More Science News icon">
                                            <a:hlinkClick xmlns:a="http://schemas.openxmlformats.org/drawingml/2006/main" r:id="rId12" tooltip="&quot;Link Titl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e Science News 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CF02FB" w:rsidRDefault="009E250A" w14:paraId="0CFC9398" w14:textId="77777777">
                                    <w:pPr>
                                      <w:pStyle w:val="NormalWeb"/>
                                      <w:jc w:val="center"/>
                                    </w:pPr>
                                    <w:hyperlink w:tgtFrame="_blank" w:tooltip="Science News" w:history="1" r:id="rId14">
                                      <w:r w:rsidR="00CF02FB">
                                        <w:rPr>
                                          <w:rStyle w:val="Hyperlink"/>
                                          <w:rFonts w:ascii="Arial" w:hAnsi="Arial" w:cs="Arial"/>
                                          <w:color w:val="FFFFFF"/>
                                        </w:rPr>
                                        <w:t>NIMH Science News</w:t>
                                      </w:r>
                                    </w:hyperlink>
                                  </w:p>
                                </w:tc>
                              </w:tr>
                            </w:tbl>
                            <w:p w:rsidR="00CF02FB" w:rsidRDefault="00CF02FB" w14:paraId="146D2AC9" w14:textId="77777777">
                              <w:pPr>
                                <w:jc w:val="center"/>
                                <w:rPr>
                                  <w:rFonts w:ascii="Times New Roman" w:hAnsi="Times New Roman" w:eastAsia="Times New Roman" w:cs="Times New Roman"/>
                                </w:rPr>
                              </w:pPr>
                            </w:p>
                          </w:tc>
                          <w:tc>
                            <w:tcPr>
                              <w:tcW w:w="1650" w:type="pct"/>
                              <w:hideMark/>
                            </w:tcPr>
                            <w:tbl>
                              <w:tblPr>
                                <w:tblW w:w="5000" w:type="pct"/>
                                <w:jc w:val="center"/>
                                <w:tblCellMar>
                                  <w:left w:w="0" w:type="dxa"/>
                                  <w:right w:w="0" w:type="dxa"/>
                                </w:tblCellMar>
                                <w:tblLook w:val="04A0" w:firstRow="1" w:lastRow="0" w:firstColumn="1" w:lastColumn="0" w:noHBand="0" w:noVBand="1"/>
                              </w:tblPr>
                              <w:tblGrid>
                                <w:gridCol w:w="3000"/>
                              </w:tblGrid>
                              <w:tr w:rsidR="00CF02FB" w14:paraId="2A1CDE40" w14:textId="77777777">
                                <w:trPr>
                                  <w:jc w:val="center"/>
                                </w:trPr>
                                <w:tc>
                                  <w:tcPr>
                                    <w:tcW w:w="0" w:type="auto"/>
                                    <w:shd w:val="clear" w:color="auto" w:fill="005294"/>
                                    <w:tcMar>
                                      <w:top w:w="150" w:type="dxa"/>
                                      <w:left w:w="150" w:type="dxa"/>
                                      <w:bottom w:w="150" w:type="dxa"/>
                                      <w:right w:w="150" w:type="dxa"/>
                                    </w:tcMar>
                                    <w:vAlign w:val="center"/>
                                    <w:hideMark/>
                                  </w:tcPr>
                                  <w:p w:rsidR="00CF02FB" w:rsidRDefault="00CF02FB" w14:paraId="3B0F1DA3" w14:textId="7C688621">
                                    <w:pPr>
                                      <w:pStyle w:val="NormalWeb"/>
                                      <w:jc w:val="center"/>
                                      <w:rPr>
                                        <w:rFonts w:ascii="Calibri" w:hAnsi="Calibri" w:cs="Calibri" w:eastAsiaTheme="minorHAnsi"/>
                                      </w:rPr>
                                    </w:pPr>
                                    <w:r>
                                      <w:rPr>
                                        <w:noProof/>
                                        <w:color w:val="0000FF"/>
                                      </w:rPr>
                                      <w:drawing>
                                        <wp:inline distT="0" distB="0" distL="0" distR="0" wp14:anchorId="70ABC62B" wp14:editId="41EB56AA">
                                          <wp:extent cx="1619250" cy="752475"/>
                                          <wp:effectExtent l="0" t="0" r="0" b="0"/>
                                          <wp:docPr id="9" name="Picture 9" descr="National Institute of Mental Health logo">
                                            <a:hlinkClick xmlns:a="http://schemas.openxmlformats.org/drawingml/2006/main" r:id="rId15" tooltip="&quot;Link Titl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Institute of Mental Health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752475"/>
                                                  </a:xfrm>
                                                  <a:prstGeom prst="rect">
                                                    <a:avLst/>
                                                  </a:prstGeom>
                                                  <a:noFill/>
                                                  <a:ln>
                                                    <a:noFill/>
                                                  </a:ln>
                                                </pic:spPr>
                                              </pic:pic>
                                            </a:graphicData>
                                          </a:graphic>
                                        </wp:inline>
                                      </w:drawing>
                                    </w:r>
                                  </w:p>
                                  <w:p w:rsidR="00CF02FB" w:rsidRDefault="00CF02FB" w14:paraId="4DF0CE08" w14:textId="77777777">
                                    <w:pPr>
                                      <w:pStyle w:val="NormalWeb"/>
                                      <w:jc w:val="center"/>
                                    </w:pPr>
                                    <w:r>
                                      <w:rPr>
                                        <w:rFonts w:ascii="Arial" w:hAnsi="Arial" w:cs="Arial"/>
                                        <w:color w:val="FFFFFF"/>
                                      </w:rPr>
                                      <w:t xml:space="preserve">Questions? </w:t>
                                    </w:r>
                                    <w:hyperlink w:tgtFrame="_blank" w:tooltip="Email NIMH" w:history="1" r:id="rId17">
                                      <w:r>
                                        <w:rPr>
                                          <w:rStyle w:val="Hyperlink"/>
                                          <w:rFonts w:ascii="Arial" w:hAnsi="Arial" w:cs="Arial"/>
                                          <w:color w:val="FFFFFF"/>
                                        </w:rPr>
                                        <w:t>Contact NIMH</w:t>
                                      </w:r>
                                    </w:hyperlink>
                                    <w:r>
                                      <w:rPr>
                                        <w:rFonts w:ascii="Arial" w:hAnsi="Arial" w:cs="Arial"/>
                                        <w:color w:val="FFFFFF"/>
                                      </w:rPr>
                                      <w:t>!</w:t>
                                    </w:r>
                                  </w:p>
                                </w:tc>
                              </w:tr>
                            </w:tbl>
                            <w:p w:rsidR="00CF02FB" w:rsidRDefault="00CF02FB" w14:paraId="308712D2" w14:textId="77777777">
                              <w:pPr>
                                <w:jc w:val="center"/>
                                <w:rPr>
                                  <w:rFonts w:ascii="Times New Roman" w:hAnsi="Times New Roman" w:eastAsia="Times New Roman" w:cs="Times New Roman"/>
                                </w:rPr>
                              </w:pPr>
                            </w:p>
                          </w:tc>
                          <w:tc>
                            <w:tcPr>
                              <w:tcW w:w="1650" w:type="pct"/>
                              <w:hideMark/>
                            </w:tcPr>
                            <w:tbl>
                              <w:tblPr>
                                <w:tblW w:w="5000" w:type="pct"/>
                                <w:jc w:val="center"/>
                                <w:tblCellMar>
                                  <w:left w:w="0" w:type="dxa"/>
                                  <w:right w:w="0" w:type="dxa"/>
                                </w:tblCellMar>
                                <w:tblLook w:val="04A0" w:firstRow="1" w:lastRow="0" w:firstColumn="1" w:lastColumn="0" w:noHBand="0" w:noVBand="1"/>
                              </w:tblPr>
                              <w:tblGrid>
                                <w:gridCol w:w="3000"/>
                              </w:tblGrid>
                              <w:tr w:rsidR="00CF02FB" w14:paraId="32D1CB7E" w14:textId="77777777">
                                <w:trPr>
                                  <w:jc w:val="center"/>
                                </w:trPr>
                                <w:tc>
                                  <w:tcPr>
                                    <w:tcW w:w="0" w:type="auto"/>
                                    <w:shd w:val="clear" w:color="auto" w:fill="005294"/>
                                    <w:tcMar>
                                      <w:top w:w="150" w:type="dxa"/>
                                      <w:left w:w="150" w:type="dxa"/>
                                      <w:bottom w:w="150" w:type="dxa"/>
                                      <w:right w:w="150" w:type="dxa"/>
                                    </w:tcMar>
                                    <w:vAlign w:val="center"/>
                                    <w:hideMark/>
                                  </w:tcPr>
                                  <w:p w:rsidR="00CF02FB" w:rsidRDefault="00CF02FB" w14:paraId="48E9C666" w14:textId="5662E25A">
                                    <w:pPr>
                                      <w:pStyle w:val="NormalWeb"/>
                                      <w:jc w:val="center"/>
                                      <w:rPr>
                                        <w:rFonts w:ascii="Calibri" w:hAnsi="Calibri" w:cs="Calibri" w:eastAsiaTheme="minorHAnsi"/>
                                      </w:rPr>
                                    </w:pPr>
                                    <w:r>
                                      <w:rPr>
                                        <w:noProof/>
                                        <w:color w:val="0000FF"/>
                                      </w:rPr>
                                      <w:drawing>
                                        <wp:inline distT="0" distB="0" distL="0" distR="0" wp14:anchorId="08DE44EE" wp14:editId="68105A3E">
                                          <wp:extent cx="762000" cy="762000"/>
                                          <wp:effectExtent l="0" t="0" r="0" b="0"/>
                                          <wp:docPr id="8" name="Picture 8" descr="Dr. Joshua Gordon imag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 Joshua Gordon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rsidR="00CF02FB" w:rsidRDefault="009E250A" w14:paraId="4B6D152A" w14:textId="77777777">
                                    <w:pPr>
                                      <w:pStyle w:val="NormalWeb"/>
                                      <w:jc w:val="center"/>
                                    </w:pPr>
                                    <w:hyperlink w:tgtFrame="_blank" w:history="1" r:id="rId20">
                                      <w:r w:rsidR="00CF02FB">
                                        <w:rPr>
                                          <w:rStyle w:val="Hyperlink"/>
                                          <w:rFonts w:ascii="Arial" w:hAnsi="Arial" w:cs="Arial"/>
                                          <w:color w:val="FFFFFF"/>
                                        </w:rPr>
                                        <w:t>Director's Messages</w:t>
                                      </w:r>
                                    </w:hyperlink>
                                  </w:p>
                                </w:tc>
                              </w:tr>
                            </w:tbl>
                            <w:p w:rsidR="00CF02FB" w:rsidRDefault="00CF02FB" w14:paraId="35787572" w14:textId="77777777">
                              <w:pPr>
                                <w:jc w:val="center"/>
                                <w:rPr>
                                  <w:rFonts w:ascii="Times New Roman" w:hAnsi="Times New Roman" w:eastAsia="Times New Roman" w:cs="Times New Roman"/>
                                </w:rPr>
                              </w:pPr>
                            </w:p>
                          </w:tc>
                        </w:tr>
                      </w:tbl>
                      <w:p w:rsidR="00CF02FB" w:rsidRDefault="00CF02FB" w14:paraId="171B30B1" w14:textId="77777777">
                        <w:pPr>
                          <w:jc w:val="center"/>
                          <w:rPr>
                            <w:rFonts w:ascii="Times New Roman" w:hAnsi="Times New Roman" w:eastAsia="Times New Roman" w:cs="Times New Roman"/>
                          </w:rPr>
                        </w:pPr>
                      </w:p>
                    </w:tc>
                  </w:tr>
                  <w:tr w:rsidR="00CF02FB" w14:paraId="5805CFEB" w14:textId="77777777">
                    <w:trPr>
                      <w:jc w:val="center"/>
                    </w:trPr>
                    <w:tc>
                      <w:tcPr>
                        <w:tcW w:w="0" w:type="auto"/>
                        <w:shd w:val="clear" w:color="auto" w:fill="FFFFFF"/>
                        <w:tcMar>
                          <w:top w:w="150" w:type="dxa"/>
                          <w:left w:w="0" w:type="dxa"/>
                          <w:bottom w:w="150" w:type="dxa"/>
                          <w:right w:w="0" w:type="dxa"/>
                        </w:tcMar>
                        <w:vAlign w:val="center"/>
                        <w:hideMark/>
                      </w:tcPr>
                      <w:tbl>
                        <w:tblPr>
                          <w:tblW w:w="4950" w:type="dxa"/>
                          <w:jc w:val="center"/>
                          <w:shd w:val="clear" w:color="auto" w:fill="FFFFFF"/>
                          <w:tblCellMar>
                            <w:left w:w="0" w:type="dxa"/>
                            <w:right w:w="0" w:type="dxa"/>
                          </w:tblCellMar>
                          <w:tblLook w:val="04A0" w:firstRow="1" w:lastRow="0" w:firstColumn="1" w:lastColumn="0" w:noHBand="0" w:noVBand="1"/>
                        </w:tblPr>
                        <w:tblGrid>
                          <w:gridCol w:w="820"/>
                          <w:gridCol w:w="820"/>
                          <w:gridCol w:w="820"/>
                          <w:gridCol w:w="820"/>
                          <w:gridCol w:w="850"/>
                          <w:gridCol w:w="820"/>
                        </w:tblGrid>
                        <w:tr w:rsidR="00CF02FB" w14:paraId="0D1808B4" w14:textId="77777777">
                          <w:trPr>
                            <w:jc w:val="center"/>
                          </w:trPr>
                          <w:tc>
                            <w:tcPr>
                              <w:tcW w:w="825" w:type="dxa"/>
                              <w:shd w:val="clear" w:color="auto" w:fill="FFFFFF"/>
                              <w:tcMar>
                                <w:top w:w="50" w:type="dxa"/>
                                <w:left w:w="50" w:type="dxa"/>
                                <w:bottom w:w="50" w:type="dxa"/>
                                <w:right w:w="50" w:type="dxa"/>
                              </w:tcMar>
                              <w:vAlign w:val="center"/>
                              <w:hideMark/>
                            </w:tcPr>
                            <w:p w:rsidR="00CF02FB" w:rsidRDefault="00CF02FB" w14:paraId="51CB876A" w14:textId="2174ECD1">
                              <w:pPr>
                                <w:jc w:val="center"/>
                                <w:rPr>
                                  <w:rFonts w:ascii="Calibri" w:hAnsi="Calibri" w:cs="Calibri"/>
                                </w:rPr>
                              </w:pPr>
                              <w:r>
                                <w:rPr>
                                  <w:noProof/>
                                  <w:color w:val="0000FF"/>
                                  <w:sz w:val="22"/>
                                  <w:szCs w:val="22"/>
                                </w:rPr>
                                <w:drawing>
                                  <wp:inline distT="0" distB="0" distL="0" distR="0" wp14:anchorId="520701C0" wp14:editId="483E84AE">
                                    <wp:extent cx="428625" cy="428625"/>
                                    <wp:effectExtent l="0" t="0" r="9525" b="9525"/>
                                    <wp:docPr id="7" name="Picture 7" descr="Facebook link">
                                      <a:hlinkClick xmlns:a="http://schemas.openxmlformats.org/drawingml/2006/main" r:id="rId21" tooltip="&quot;NIMH on Faceboo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lin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825" w:type="dxa"/>
                              <w:shd w:val="clear" w:color="auto" w:fill="FFFFFF"/>
                              <w:tcMar>
                                <w:top w:w="50" w:type="dxa"/>
                                <w:left w:w="50" w:type="dxa"/>
                                <w:bottom w:w="50" w:type="dxa"/>
                                <w:right w:w="50" w:type="dxa"/>
                              </w:tcMar>
                              <w:vAlign w:val="center"/>
                              <w:hideMark/>
                            </w:tcPr>
                            <w:p w:rsidR="00CF02FB" w:rsidRDefault="00CF02FB" w14:paraId="0816BBD0" w14:textId="4F86F746">
                              <w:pPr>
                                <w:jc w:val="center"/>
                              </w:pPr>
                              <w:r>
                                <w:rPr>
                                  <w:noProof/>
                                  <w:color w:val="0000FF"/>
                                  <w:sz w:val="22"/>
                                  <w:szCs w:val="22"/>
                                </w:rPr>
                                <w:drawing>
                                  <wp:inline distT="0" distB="0" distL="0" distR="0" wp14:anchorId="71DB11CA" wp14:editId="5F1BFB5D">
                                    <wp:extent cx="428625" cy="428625"/>
                                    <wp:effectExtent l="0" t="0" r="9525" b="9525"/>
                                    <wp:docPr id="6" name="Picture 6" descr="Twitter image">
                                      <a:hlinkClick xmlns:a="http://schemas.openxmlformats.org/drawingml/2006/main" r:id="rId23" tooltip="&quot;NIMH on Twitter&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825" w:type="dxa"/>
                              <w:shd w:val="clear" w:color="auto" w:fill="FFFFFF"/>
                              <w:tcMar>
                                <w:top w:w="50" w:type="dxa"/>
                                <w:left w:w="50" w:type="dxa"/>
                                <w:bottom w:w="50" w:type="dxa"/>
                                <w:right w:w="50" w:type="dxa"/>
                              </w:tcMar>
                              <w:vAlign w:val="center"/>
                              <w:hideMark/>
                            </w:tcPr>
                            <w:p w:rsidR="00CF02FB" w:rsidRDefault="00CF02FB" w14:paraId="6B2FC6EB" w14:textId="29AC6B86">
                              <w:pPr>
                                <w:jc w:val="center"/>
                              </w:pPr>
                              <w:r>
                                <w:rPr>
                                  <w:noProof/>
                                  <w:color w:val="0000FF"/>
                                  <w:sz w:val="22"/>
                                  <w:szCs w:val="22"/>
                                </w:rPr>
                                <w:drawing>
                                  <wp:inline distT="0" distB="0" distL="0" distR="0" wp14:anchorId="7C4679ED" wp14:editId="7DB5272A">
                                    <wp:extent cx="428625" cy="428625"/>
                                    <wp:effectExtent l="0" t="0" r="9525" b="9525"/>
                                    <wp:docPr id="5" name="Picture 5" descr="YouTube icon">
                                      <a:hlinkClick xmlns:a="http://schemas.openxmlformats.org/drawingml/2006/main" r:id="rId25" tooltip="&quot;NIMH on YouTub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ouTube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825" w:type="dxa"/>
                              <w:shd w:val="clear" w:color="auto" w:fill="FFFFFF"/>
                              <w:tcMar>
                                <w:top w:w="50" w:type="dxa"/>
                                <w:left w:w="50" w:type="dxa"/>
                                <w:bottom w:w="50" w:type="dxa"/>
                                <w:right w:w="50" w:type="dxa"/>
                              </w:tcMar>
                              <w:vAlign w:val="center"/>
                              <w:hideMark/>
                            </w:tcPr>
                            <w:p w:rsidR="00CF02FB" w:rsidRDefault="00CF02FB" w14:paraId="22EF1398" w14:textId="0D0327A8">
                              <w:pPr>
                                <w:jc w:val="center"/>
                              </w:pPr>
                              <w:r>
                                <w:rPr>
                                  <w:noProof/>
                                  <w:color w:val="0000FF"/>
                                  <w:sz w:val="22"/>
                                  <w:szCs w:val="22"/>
                                </w:rPr>
                                <w:drawing>
                                  <wp:inline distT="0" distB="0" distL="0" distR="0" wp14:anchorId="36C06991" wp14:editId="5E340726">
                                    <wp:extent cx="428625" cy="428625"/>
                                    <wp:effectExtent l="0" t="0" r="9525" b="9525"/>
                                    <wp:docPr id="4" name="Picture 4" descr="LinkedIn Icon">
                                      <a:hlinkClick xmlns:a="http://schemas.openxmlformats.org/drawingml/2006/main" r:id="rId27" tooltip="&quot;NIMH on LinkedIn&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kedIn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825" w:type="dxa"/>
                              <w:shd w:val="clear" w:color="auto" w:fill="FFFFFF"/>
                              <w:tcMar>
                                <w:top w:w="50" w:type="dxa"/>
                                <w:left w:w="50" w:type="dxa"/>
                                <w:bottom w:w="50" w:type="dxa"/>
                                <w:right w:w="50" w:type="dxa"/>
                              </w:tcMar>
                              <w:vAlign w:val="center"/>
                              <w:hideMark/>
                            </w:tcPr>
                            <w:p w:rsidR="00CF02FB" w:rsidRDefault="00CF02FB" w14:paraId="48CF6930" w14:textId="607C1A93">
                              <w:pPr>
                                <w:jc w:val="center"/>
                              </w:pPr>
                              <w:r>
                                <w:rPr>
                                  <w:noProof/>
                                  <w:color w:val="0000FF"/>
                                  <w:sz w:val="22"/>
                                  <w:szCs w:val="22"/>
                                </w:rPr>
                                <w:drawing>
                                  <wp:inline distT="0" distB="0" distL="0" distR="0" wp14:anchorId="0E9EABE2" wp14:editId="12584C84">
                                    <wp:extent cx="476250" cy="476250"/>
                                    <wp:effectExtent l="0" t="0" r="0" b="0"/>
                                    <wp:docPr id="3" name="Picture 3" descr="Instagram Icon">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tagram Ico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825" w:type="dxa"/>
                              <w:shd w:val="clear" w:color="auto" w:fill="FFFFFF"/>
                              <w:tcMar>
                                <w:top w:w="50" w:type="dxa"/>
                                <w:left w:w="50" w:type="dxa"/>
                                <w:bottom w:w="50" w:type="dxa"/>
                                <w:right w:w="50" w:type="dxa"/>
                              </w:tcMar>
                              <w:vAlign w:val="center"/>
                              <w:hideMark/>
                            </w:tcPr>
                            <w:p w:rsidR="00CF02FB" w:rsidRDefault="00CF02FB" w14:paraId="58032E67" w14:textId="28F4DBA7">
                              <w:pPr>
                                <w:jc w:val="center"/>
                              </w:pPr>
                              <w:r>
                                <w:rPr>
                                  <w:noProof/>
                                  <w:color w:val="0000FF"/>
                                  <w:sz w:val="22"/>
                                  <w:szCs w:val="22"/>
                                </w:rPr>
                                <w:drawing>
                                  <wp:inline distT="0" distB="0" distL="0" distR="0" wp14:anchorId="7834A629" wp14:editId="07497AB3">
                                    <wp:extent cx="428625" cy="428625"/>
                                    <wp:effectExtent l="0" t="0" r="9525" b="9525"/>
                                    <wp:docPr id="2" name="Picture 2" descr="Contact Us Icon">
                                      <a:hlinkClick xmlns:a="http://schemas.openxmlformats.org/drawingml/2006/main" r:id="rId17"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tact Us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rsidR="00CF02FB" w:rsidRDefault="00CF02FB" w14:paraId="6E12885A" w14:textId="77777777">
                        <w:pPr>
                          <w:jc w:val="center"/>
                          <w:rPr>
                            <w:rFonts w:ascii="Times New Roman" w:hAnsi="Times New Roman" w:eastAsia="Times New Roman" w:cs="Times New Roman"/>
                          </w:rPr>
                        </w:pPr>
                      </w:p>
                    </w:tc>
                  </w:tr>
                  <w:tr w:rsidR="00CF02FB" w14:paraId="750C21F1" w14:textId="77777777">
                    <w:trPr>
                      <w:jc w:val="center"/>
                    </w:trPr>
                    <w:tc>
                      <w:tcPr>
                        <w:tcW w:w="5000" w:type="pct"/>
                        <w:shd w:val="clear" w:color="auto" w:fill="BFBFBF"/>
                        <w:tcMar>
                          <w:top w:w="225" w:type="dxa"/>
                          <w:left w:w="300" w:type="dxa"/>
                          <w:bottom w:w="300" w:type="dxa"/>
                          <w:right w:w="300" w:type="dxa"/>
                        </w:tcMar>
                        <w:vAlign w:val="center"/>
                        <w:hideMark/>
                      </w:tcPr>
                      <w:p w:rsidR="00CF02FB" w:rsidRDefault="00CF02FB" w14:paraId="72064183" w14:textId="67DE3106">
                        <w:pPr>
                          <w:pStyle w:val="NormalWeb"/>
                          <w:spacing w:before="0" w:beforeAutospacing="0" w:after="0" w:afterAutospacing="0"/>
                          <w:jc w:val="center"/>
                          <w:rPr>
                            <w:rFonts w:ascii="Calibri" w:hAnsi="Calibri" w:cs="Calibri" w:eastAsiaTheme="minorHAnsi"/>
                          </w:rPr>
                        </w:pPr>
                        <w:r>
                          <w:rPr>
                            <w:rFonts w:ascii="Arial" w:hAnsi="Arial" w:cs="Arial"/>
                            <w:color w:val="000000"/>
                            <w:sz w:val="20"/>
                            <w:szCs w:val="20"/>
                          </w:rPr>
                          <w:t>SUBSCRIBER SERVICES:</w:t>
                        </w:r>
                        <w:r>
                          <w:rPr>
                            <w:color w:val="000000"/>
                          </w:rPr>
                          <w:br/>
                        </w:r>
                        <w:hyperlink w:tgtFrame="_blank" w:history="1" r:id="rId31">
                          <w:r>
                            <w:rPr>
                              <w:rStyle w:val="Hyperlink"/>
                              <w:rFonts w:ascii="Arial" w:hAnsi="Arial" w:cs="Arial"/>
                              <w:sz w:val="20"/>
                              <w:szCs w:val="20"/>
                            </w:rPr>
                            <w:t>Manage Preferences</w:t>
                          </w:r>
                        </w:hyperlink>
                        <w:r>
                          <w:rPr>
                            <w:rFonts w:ascii="Arial" w:hAnsi="Arial" w:cs="Arial"/>
                            <w:color w:val="000000"/>
                            <w:sz w:val="20"/>
                            <w:szCs w:val="20"/>
                          </w:rPr>
                          <w:t>  |  </w:t>
                        </w:r>
                        <w:hyperlink w:tgtFrame="_blank" w:history="1" r:id="rId32">
                          <w:r>
                            <w:rPr>
                              <w:rStyle w:val="Hyperlink"/>
                              <w:rFonts w:ascii="Arial" w:hAnsi="Arial" w:cs="Arial"/>
                              <w:sz w:val="20"/>
                              <w:szCs w:val="20"/>
                            </w:rPr>
                            <w:t>Unsubscribe</w:t>
                          </w:r>
                        </w:hyperlink>
                        <w:r>
                          <w:rPr>
                            <w:rFonts w:ascii="Arial" w:hAnsi="Arial" w:cs="Arial"/>
                            <w:color w:val="000000"/>
                            <w:sz w:val="20"/>
                            <w:szCs w:val="20"/>
                          </w:rPr>
                          <w:t>  |  </w:t>
                        </w:r>
                        <w:hyperlink w:history="1" r:id="rId33">
                          <w:r>
                            <w:rPr>
                              <w:rStyle w:val="Hyperlink"/>
                              <w:rFonts w:ascii="Arial" w:hAnsi="Arial" w:cs="Arial"/>
                              <w:sz w:val="20"/>
                              <w:szCs w:val="20"/>
                            </w:rPr>
                            <w:t>Help</w:t>
                          </w:r>
                        </w:hyperlink>
                        <w:r>
                          <w:rPr>
                            <w:rFonts w:ascii="Arial" w:hAnsi="Arial" w:cs="Arial"/>
                            <w:color w:val="000000"/>
                            <w:sz w:val="20"/>
                            <w:szCs w:val="20"/>
                          </w:rPr>
                          <w:t>  </w:t>
                        </w:r>
                      </w:p>
                    </w:tc>
                  </w:tr>
                </w:tbl>
                <w:p w:rsidR="00CF02FB" w:rsidRDefault="00CF02FB" w14:paraId="6D7F155B" w14:textId="77777777">
                  <w:pPr>
                    <w:jc w:val="center"/>
                    <w:rPr>
                      <w:rFonts w:ascii="Times New Roman" w:hAnsi="Times New Roman" w:eastAsia="Times New Roman" w:cs="Times New Roman"/>
                    </w:rPr>
                  </w:pPr>
                </w:p>
              </w:tc>
            </w:tr>
          </w:tbl>
          <w:p w:rsidR="00CF02FB" w:rsidRDefault="00CF02FB" w14:paraId="5C95233A" w14:textId="77777777">
            <w:pPr>
              <w:jc w:val="center"/>
              <w:rPr>
                <w:rFonts w:ascii="Times New Roman" w:hAnsi="Times New Roman" w:eastAsia="Times New Roman" w:cs="Times New Roman"/>
              </w:rPr>
            </w:pPr>
          </w:p>
        </w:tc>
      </w:tr>
    </w:tbl>
    <w:p w:rsidR="00CF02FB" w:rsidP="00CF02FB" w:rsidRDefault="009E250A" w14:paraId="0DD2F4CB" w14:textId="77777777">
      <w:pPr>
        <w:jc w:val="center"/>
        <w:rPr>
          <w:rFonts w:ascii="Calibri" w:hAnsi="Calibri" w:eastAsia="Times New Roman" w:cs="Calibri"/>
          <w:color w:val="000000"/>
          <w:sz w:val="22"/>
          <w:szCs w:val="22"/>
          <w:lang w:val="en"/>
        </w:rPr>
      </w:pPr>
      <w:r>
        <w:rPr>
          <w:rFonts w:eastAsia="Times New Roman"/>
          <w:color w:val="000000"/>
          <w:sz w:val="22"/>
          <w:szCs w:val="22"/>
          <w:lang w:val="en"/>
        </w:rPr>
        <w:pict w14:anchorId="16D7616B">
          <v:rect id="_x0000_i1025" style="width:468pt;height:.6pt" o:hr="t" o:hrstd="t" o:hralign="center" fillcolor="#a0a0a0" stroked="f"/>
        </w:pict>
      </w:r>
    </w:p>
    <w:tbl>
      <w:tblPr>
        <w:tblW w:w="5000" w:type="pct"/>
        <w:tblCellMar>
          <w:left w:w="0" w:type="dxa"/>
          <w:right w:w="0" w:type="dxa"/>
        </w:tblCellMar>
        <w:tblLook w:val="04A0" w:firstRow="1" w:lastRow="0" w:firstColumn="1" w:lastColumn="0" w:noHBand="0" w:noVBand="1"/>
      </w:tblPr>
      <w:tblGrid>
        <w:gridCol w:w="7620"/>
        <w:gridCol w:w="1740"/>
      </w:tblGrid>
      <w:tr w:rsidR="00CF02FB" w:rsidTr="00CF02FB" w14:paraId="7F314EE8" w14:textId="77777777">
        <w:tc>
          <w:tcPr>
            <w:tcW w:w="4450" w:type="pct"/>
            <w:vAlign w:val="center"/>
            <w:hideMark/>
          </w:tcPr>
          <w:p w:rsidR="00CF02FB" w:rsidRDefault="00CF02FB" w14:paraId="7105CBFC" w14:textId="77777777">
            <w:pPr>
              <w:rPr>
                <w:sz w:val="20"/>
                <w:szCs w:val="20"/>
              </w:rPr>
            </w:pPr>
            <w:r>
              <w:rPr>
                <w:rFonts w:ascii="Arial" w:hAnsi="Arial" w:cs="Arial"/>
                <w:color w:val="757575"/>
                <w:sz w:val="15"/>
                <w:szCs w:val="15"/>
              </w:rPr>
              <w:t>This email was sent to Email Address using GovDelivery Communications Cloud on behalf of: National Institute of Mental Health · 6001 Executive Boulevard · Bethesda, MD 20892-9663 · 1-866-615-6464</w:t>
            </w:r>
          </w:p>
        </w:tc>
        <w:tc>
          <w:tcPr>
            <w:tcW w:w="550" w:type="pct"/>
            <w:vAlign w:val="center"/>
            <w:hideMark/>
          </w:tcPr>
          <w:p w:rsidR="00CF02FB" w:rsidRDefault="00CF02FB" w14:paraId="066F8440" w14:textId="5001F861">
            <w:pPr>
              <w:jc w:val="right"/>
            </w:pPr>
            <w:r>
              <w:rPr>
                <w:noProof/>
                <w:color w:val="0000FF"/>
                <w:sz w:val="22"/>
                <w:szCs w:val="22"/>
              </w:rPr>
              <w:drawing>
                <wp:inline distT="0" distB="0" distL="0" distR="0" wp14:anchorId="5FC0F659" wp14:editId="4150B379">
                  <wp:extent cx="1095375" cy="276225"/>
                  <wp:effectExtent l="0" t="0" r="9525" b="9525"/>
                  <wp:docPr id="1" name="Picture 1" descr="GovDelivery logo">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ovDelivery log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95375" cy="276225"/>
                          </a:xfrm>
                          <a:prstGeom prst="rect">
                            <a:avLst/>
                          </a:prstGeom>
                          <a:noFill/>
                          <a:ln>
                            <a:noFill/>
                          </a:ln>
                        </pic:spPr>
                      </pic:pic>
                    </a:graphicData>
                  </a:graphic>
                </wp:inline>
              </w:drawing>
            </w:r>
          </w:p>
        </w:tc>
      </w:tr>
    </w:tbl>
    <w:p w:rsidR="00CF02FB" w:rsidP="00CF02FB" w:rsidRDefault="00CF02FB" w14:paraId="21AD1B4F" w14:textId="77777777">
      <w:pPr>
        <w:rPr>
          <w:rFonts w:ascii="Calibri" w:hAnsi="Calibri" w:cs="Calibri"/>
          <w:sz w:val="20"/>
          <w:szCs w:val="20"/>
        </w:rPr>
      </w:pPr>
      <w:r>
        <w:rPr>
          <w:color w:val="000000"/>
          <w:sz w:val="22"/>
          <w:szCs w:val="22"/>
        </w:rPr>
        <w:t> </w:t>
      </w:r>
    </w:p>
    <w:p w:rsidR="00CF02FB" w:rsidRDefault="00CF02FB" w14:paraId="71FCD05E" w14:textId="77777777">
      <w:pPr>
        <w:rPr>
          <w:rFonts w:ascii="Helvetica Neue" w:hAnsi="Helvetica Neue" w:eastAsia="Times New Roman" w:cs="Times New Roman"/>
          <w:color w:val="993366"/>
          <w:sz w:val="36"/>
          <w:szCs w:val="36"/>
        </w:rPr>
      </w:pPr>
      <w:r>
        <w:rPr>
          <w:rFonts w:ascii="Helvetica Neue" w:hAnsi="Helvetica Neue" w:eastAsia="Times New Roman" w:cs="Times New Roman"/>
          <w:color w:val="993366"/>
          <w:sz w:val="36"/>
          <w:szCs w:val="36"/>
        </w:rPr>
        <w:br w:type="page"/>
      </w:r>
    </w:p>
    <w:p w:rsidRPr="003827B4" w:rsidR="003827B4" w:rsidP="00221462" w:rsidRDefault="003827B4" w14:paraId="64B073F0" w14:textId="3048C00F">
      <w:pPr>
        <w:shd w:val="clear" w:color="auto" w:fill="FFFFFF"/>
        <w:rPr>
          <w:rFonts w:ascii="Helvetica Neue" w:hAnsi="Helvetica Neue" w:eastAsia="Times New Roman" w:cs="Times New Roman"/>
          <w:color w:val="993366"/>
          <w:sz w:val="36"/>
          <w:szCs w:val="36"/>
        </w:rPr>
      </w:pPr>
      <w:r w:rsidRPr="003827B4">
        <w:rPr>
          <w:rFonts w:ascii="Helvetica Neue" w:hAnsi="Helvetica Neue" w:eastAsia="Times New Roman" w:cs="Times New Roman"/>
          <w:color w:val="993366"/>
          <w:sz w:val="36"/>
          <w:szCs w:val="36"/>
        </w:rPr>
        <w:lastRenderedPageBreak/>
        <w:t>Notice of Technical Assistance Webinar for</w:t>
      </w:r>
      <w:r w:rsidR="00221462">
        <w:rPr>
          <w:rFonts w:ascii="Helvetica Neue" w:hAnsi="Helvetica Neue" w:eastAsia="Times New Roman" w:cs="Times New Roman"/>
          <w:color w:val="993366"/>
          <w:sz w:val="36"/>
          <w:szCs w:val="36"/>
        </w:rPr>
        <w:t xml:space="preserve"> </w:t>
      </w:r>
      <w:r w:rsidRPr="00221462" w:rsidR="00221462">
        <w:rPr>
          <w:rFonts w:ascii="Helvetica Neue" w:hAnsi="Helvetica Neue" w:eastAsia="Times New Roman" w:cs="Times New Roman"/>
          <w:color w:val="993366"/>
          <w:sz w:val="36"/>
          <w:szCs w:val="36"/>
        </w:rPr>
        <w:t>RFA-MH-22-110 – Scalable and Systematic Neurobiology of Psychiatric and Neurodevelopmental Disorder Risk Genes: Data Resource and Administrative Coordination Center (U24)</w:t>
      </w:r>
      <w:r w:rsidR="00221462">
        <w:rPr>
          <w:rFonts w:ascii="Helvetica Neue" w:hAnsi="Helvetica Neue" w:eastAsia="Times New Roman" w:cs="Times New Roman"/>
          <w:color w:val="993366"/>
          <w:sz w:val="36"/>
          <w:szCs w:val="36"/>
        </w:rPr>
        <w:t xml:space="preserve"> and </w:t>
      </w:r>
      <w:r w:rsidRPr="00221462" w:rsidR="00221462">
        <w:rPr>
          <w:rFonts w:ascii="Helvetica Neue" w:hAnsi="Helvetica Neue" w:eastAsia="Times New Roman" w:cs="Times New Roman"/>
          <w:color w:val="993366"/>
          <w:sz w:val="36"/>
          <w:szCs w:val="36"/>
        </w:rPr>
        <w:t>RFA-MH-22-111 – Scalable and Systematic Neurobiology of Psychiatric and Neurodevelopmental Disorder Risk Genes: Assay and Data Generation Centers (RM1)</w:t>
      </w:r>
    </w:p>
    <w:p w:rsidR="003827B4" w:rsidP="003827B4" w:rsidRDefault="003827B4" w14:paraId="43471123" w14:textId="77777777">
      <w:pPr>
        <w:shd w:val="clear" w:color="auto" w:fill="FFFFFF"/>
        <w:rPr>
          <w:rFonts w:ascii="Helvetica Neue" w:hAnsi="Helvetica Neue" w:eastAsia="Times New Roman" w:cs="Times New Roman"/>
          <w:b/>
          <w:bCs/>
          <w:color w:val="333333"/>
          <w:sz w:val="29"/>
          <w:szCs w:val="29"/>
        </w:rPr>
      </w:pPr>
    </w:p>
    <w:p w:rsidRPr="003827B4" w:rsidR="003827B4" w:rsidP="003827B4" w:rsidRDefault="003827B4" w14:paraId="605CB94B" w14:textId="644EEF81">
      <w:pPr>
        <w:shd w:val="clear" w:color="auto" w:fill="FFFFFF"/>
        <w:rPr>
          <w:rFonts w:ascii="Helvetica Neue" w:hAnsi="Helvetica Neue" w:eastAsia="Times New Roman" w:cs="Times New Roman"/>
          <w:b/>
          <w:bCs/>
          <w:color w:val="333333"/>
          <w:sz w:val="29"/>
          <w:szCs w:val="29"/>
        </w:rPr>
      </w:pPr>
      <w:r w:rsidRPr="003827B4">
        <w:rPr>
          <w:rFonts w:ascii="Helvetica Neue" w:hAnsi="Helvetica Neue" w:eastAsia="Times New Roman" w:cs="Times New Roman"/>
          <w:b/>
          <w:bCs/>
          <w:color w:val="333333"/>
          <w:sz w:val="29"/>
          <w:szCs w:val="29"/>
        </w:rPr>
        <w:t>Notice Number:</w:t>
      </w:r>
    </w:p>
    <w:p w:rsidRPr="003827B4" w:rsidR="003827B4" w:rsidP="003827B4" w:rsidRDefault="003827B4" w14:paraId="2D1DBCD3" w14:textId="77777777">
      <w:pPr>
        <w:shd w:val="clear" w:color="auto" w:fill="FFFFFF"/>
        <w:spacing w:before="300" w:after="150"/>
        <w:outlineLvl w:val="1"/>
        <w:rPr>
          <w:rFonts w:ascii="Helvetica Neue" w:hAnsi="Helvetica Neue" w:eastAsia="Times New Roman" w:cs="Times New Roman"/>
          <w:color w:val="993366"/>
          <w:sz w:val="36"/>
          <w:szCs w:val="36"/>
        </w:rPr>
      </w:pPr>
      <w:bookmarkStart w:name="_Key_Dates" w:id="1"/>
      <w:bookmarkEnd w:id="1"/>
      <w:r w:rsidRPr="003827B4">
        <w:rPr>
          <w:rFonts w:ascii="Helvetica Neue" w:hAnsi="Helvetica Neue" w:eastAsia="Times New Roman" w:cs="Times New Roman"/>
          <w:color w:val="993366"/>
          <w:sz w:val="36"/>
          <w:szCs w:val="36"/>
        </w:rPr>
        <w:t>Key Dates</w:t>
      </w:r>
    </w:p>
    <w:p w:rsidRPr="003827B4" w:rsidR="003827B4" w:rsidP="003827B4" w:rsidRDefault="003827B4" w14:paraId="68E1C5C3" w14:textId="77777777">
      <w:pPr>
        <w:shd w:val="clear" w:color="auto" w:fill="FFFFFF"/>
        <w:rPr>
          <w:rFonts w:ascii="Helvetica Neue" w:hAnsi="Helvetica Neue" w:eastAsia="Times New Roman" w:cs="Times New Roman"/>
          <w:b/>
          <w:bCs/>
          <w:color w:val="333333"/>
          <w:sz w:val="20"/>
          <w:szCs w:val="20"/>
        </w:rPr>
      </w:pPr>
      <w:r w:rsidRPr="003827B4">
        <w:rPr>
          <w:rFonts w:ascii="Helvetica Neue" w:hAnsi="Helvetica Neue" w:eastAsia="Times New Roman" w:cs="Times New Roman"/>
          <w:b/>
          <w:bCs/>
          <w:color w:val="333333"/>
          <w:sz w:val="20"/>
          <w:szCs w:val="20"/>
        </w:rPr>
        <w:t>Release Date:</w:t>
      </w:r>
    </w:p>
    <w:p w:rsidRPr="003827B4" w:rsidR="003827B4" w:rsidP="003827B4" w:rsidRDefault="003827B4" w14:paraId="3FD7E1F2" w14:textId="77777777">
      <w:pPr>
        <w:shd w:val="clear" w:color="auto" w:fill="FFFFFF"/>
        <w:spacing w:before="300" w:after="150"/>
        <w:outlineLvl w:val="1"/>
        <w:rPr>
          <w:rFonts w:ascii="Helvetica Neue" w:hAnsi="Helvetica Neue" w:eastAsia="Times New Roman" w:cs="Times New Roman"/>
          <w:color w:val="993366"/>
          <w:sz w:val="36"/>
          <w:szCs w:val="36"/>
        </w:rPr>
      </w:pPr>
      <w:bookmarkStart w:name="_" w:id="2"/>
      <w:r w:rsidRPr="003827B4">
        <w:rPr>
          <w:rFonts w:ascii="Helvetica Neue" w:hAnsi="Helvetica Neue" w:eastAsia="Times New Roman" w:cs="Times New Roman"/>
          <w:color w:val="993366"/>
          <w:sz w:val="36"/>
          <w:szCs w:val="36"/>
        </w:rPr>
        <w:t>Related Announcements</w:t>
      </w:r>
    </w:p>
    <w:p w:rsidR="003827B4" w:rsidP="003827B4" w:rsidRDefault="003827B4" w14:paraId="5803D582" w14:textId="6E3AEA04">
      <w:pPr>
        <w:shd w:val="clear" w:color="auto" w:fill="FFFFFF"/>
        <w:spacing w:after="150"/>
        <w:rPr>
          <w:rFonts w:ascii="Helvetica" w:hAnsi="Helvetica" w:eastAsia="Times New Roman" w:cs="Times New Roman"/>
          <w:color w:val="333333"/>
          <w:sz w:val="20"/>
          <w:szCs w:val="20"/>
        </w:rPr>
      </w:pPr>
      <w:r>
        <w:rPr>
          <w:rFonts w:ascii="Helvetica" w:hAnsi="Helvetica" w:eastAsia="Times New Roman" w:cs="Times New Roman"/>
          <w:color w:val="333333"/>
          <w:sz w:val="20"/>
          <w:szCs w:val="20"/>
        </w:rPr>
        <w:t>RFA-MH-22-110 –</w:t>
      </w:r>
      <w:r w:rsidRPr="00221462" w:rsidR="00221462">
        <w:t xml:space="preserve"> </w:t>
      </w:r>
      <w:r w:rsidRPr="00221462" w:rsidR="00221462">
        <w:rPr>
          <w:rFonts w:ascii="Helvetica" w:hAnsi="Helvetica" w:eastAsia="Times New Roman" w:cs="Times New Roman"/>
          <w:color w:val="333333"/>
          <w:sz w:val="20"/>
          <w:szCs w:val="20"/>
        </w:rPr>
        <w:t>Scalable and Systematic Neurobiology of Psychiatric and Neurodevelopmental Disorder Risk Genes: Data Resource and Administrative Coordination Center (U24)</w:t>
      </w:r>
    </w:p>
    <w:p w:rsidRPr="003827B4" w:rsidR="003827B4" w:rsidP="003827B4" w:rsidRDefault="003827B4" w14:paraId="4FFD5E10" w14:textId="635D6091">
      <w:pPr>
        <w:shd w:val="clear" w:color="auto" w:fill="FFFFFF"/>
        <w:spacing w:after="150"/>
        <w:rPr>
          <w:rFonts w:ascii="Helvetica" w:hAnsi="Helvetica" w:eastAsia="Times New Roman" w:cs="Times New Roman"/>
          <w:color w:val="333333"/>
          <w:sz w:val="20"/>
          <w:szCs w:val="20"/>
        </w:rPr>
      </w:pPr>
      <w:r>
        <w:rPr>
          <w:rFonts w:ascii="Helvetica" w:hAnsi="Helvetica" w:eastAsia="Times New Roman" w:cs="Times New Roman"/>
          <w:color w:val="333333"/>
          <w:sz w:val="20"/>
          <w:szCs w:val="20"/>
        </w:rPr>
        <w:t xml:space="preserve">RFA-MH-22-111 – </w:t>
      </w:r>
      <w:r w:rsidRPr="00221462" w:rsidR="00221462">
        <w:rPr>
          <w:rFonts w:ascii="Helvetica" w:hAnsi="Helvetica" w:eastAsia="Times New Roman" w:cs="Times New Roman"/>
          <w:color w:val="333333"/>
          <w:sz w:val="20"/>
          <w:szCs w:val="20"/>
        </w:rPr>
        <w:t>Scalable and Systematic Neurobiology of Psychiatric and Neurodevelopmental Disorder Risk Genes: Assay and Data Generation Centers (RM1)</w:t>
      </w:r>
    </w:p>
    <w:p w:rsidRPr="003827B4" w:rsidR="003827B4" w:rsidP="003827B4" w:rsidRDefault="003827B4" w14:paraId="2622B8D7" w14:textId="77777777">
      <w:pPr>
        <w:shd w:val="clear" w:color="auto" w:fill="FFFFFF"/>
        <w:spacing w:before="300" w:after="150"/>
        <w:outlineLvl w:val="1"/>
        <w:rPr>
          <w:rFonts w:ascii="Helvetica Neue" w:hAnsi="Helvetica Neue" w:eastAsia="Times New Roman" w:cs="Times New Roman"/>
          <w:color w:val="993366"/>
          <w:sz w:val="36"/>
          <w:szCs w:val="36"/>
        </w:rPr>
      </w:pPr>
      <w:r w:rsidRPr="003827B4">
        <w:rPr>
          <w:rFonts w:ascii="Helvetica Neue" w:hAnsi="Helvetica Neue" w:eastAsia="Times New Roman" w:cs="Times New Roman"/>
          <w:color w:val="993366"/>
          <w:sz w:val="36"/>
          <w:szCs w:val="36"/>
        </w:rPr>
        <w:t>Issued by</w:t>
      </w:r>
    </w:p>
    <w:p w:rsidRPr="003827B4" w:rsidR="003827B4" w:rsidP="003827B4" w:rsidRDefault="00221462" w14:paraId="1D19D711" w14:textId="38D302F3">
      <w:pPr>
        <w:shd w:val="clear" w:color="auto" w:fill="FFFFFF"/>
        <w:spacing w:after="150"/>
        <w:rPr>
          <w:rFonts w:ascii="Helvetica Neue" w:hAnsi="Helvetica Neue" w:eastAsia="Times New Roman" w:cs="Times New Roman"/>
          <w:color w:val="333333"/>
          <w:sz w:val="20"/>
          <w:szCs w:val="20"/>
        </w:rPr>
      </w:pPr>
      <w:r>
        <w:rPr>
          <w:rFonts w:ascii="Helvetica Neue" w:hAnsi="Helvetica Neue" w:eastAsia="Times New Roman" w:cs="Times New Roman"/>
          <w:color w:val="333333"/>
          <w:sz w:val="20"/>
          <w:szCs w:val="20"/>
        </w:rPr>
        <w:t>National Institute of Mental Health (</w:t>
      </w:r>
      <w:r w:rsidR="003827B4">
        <w:rPr>
          <w:rFonts w:ascii="Helvetica Neue" w:hAnsi="Helvetica Neue" w:eastAsia="Times New Roman" w:cs="Times New Roman"/>
          <w:color w:val="333333"/>
          <w:sz w:val="20"/>
          <w:szCs w:val="20"/>
        </w:rPr>
        <w:t>NIMH</w:t>
      </w:r>
      <w:r>
        <w:rPr>
          <w:rFonts w:ascii="Helvetica Neue" w:hAnsi="Helvetica Neue" w:eastAsia="Times New Roman" w:cs="Times New Roman"/>
          <w:color w:val="333333"/>
          <w:sz w:val="20"/>
          <w:szCs w:val="20"/>
        </w:rPr>
        <w:t>)</w:t>
      </w:r>
    </w:p>
    <w:p w:rsidRPr="003827B4" w:rsidR="003827B4" w:rsidP="003827B4" w:rsidRDefault="003827B4" w14:paraId="035C5B2E" w14:textId="77777777">
      <w:pPr>
        <w:shd w:val="clear" w:color="auto" w:fill="FFFFFF"/>
        <w:spacing w:before="300" w:after="150"/>
        <w:outlineLvl w:val="1"/>
        <w:rPr>
          <w:rFonts w:ascii="Helvetica Neue" w:hAnsi="Helvetica Neue" w:eastAsia="Times New Roman" w:cs="Times New Roman"/>
          <w:color w:val="993366"/>
          <w:sz w:val="36"/>
          <w:szCs w:val="36"/>
        </w:rPr>
      </w:pPr>
      <w:r w:rsidRPr="003827B4">
        <w:rPr>
          <w:rFonts w:ascii="Helvetica Neue" w:hAnsi="Helvetica Neue" w:eastAsia="Times New Roman" w:cs="Times New Roman"/>
          <w:color w:val="993366"/>
          <w:sz w:val="36"/>
          <w:szCs w:val="36"/>
        </w:rPr>
        <w:t>Purpose</w:t>
      </w:r>
    </w:p>
    <w:p w:rsidR="003827B4" w:rsidP="003827B4" w:rsidRDefault="003827B4" w14:paraId="0922A970" w14:textId="3C8F54A8">
      <w:pPr>
        <w:shd w:val="clear" w:color="auto" w:fill="FFFFFF"/>
        <w:spacing w:after="150"/>
        <w:rPr>
          <w:rFonts w:ascii="Helvetica" w:hAnsi="Helvetica" w:eastAsia="Times New Roman" w:cs="Times New Roman"/>
          <w:color w:val="333333"/>
          <w:sz w:val="20"/>
          <w:szCs w:val="20"/>
        </w:rPr>
      </w:pPr>
      <w:r w:rsidRPr="003827B4">
        <w:rPr>
          <w:rFonts w:ascii="Helvetica" w:hAnsi="Helvetica" w:eastAsia="Times New Roman" w:cs="Times New Roman"/>
          <w:color w:val="333333"/>
          <w:sz w:val="20"/>
          <w:szCs w:val="20"/>
        </w:rPr>
        <w:t xml:space="preserve">The </w:t>
      </w:r>
      <w:r>
        <w:rPr>
          <w:rFonts w:ascii="Helvetica" w:hAnsi="Helvetica" w:eastAsia="Times New Roman" w:cs="Times New Roman"/>
          <w:color w:val="333333"/>
          <w:sz w:val="20"/>
          <w:szCs w:val="20"/>
        </w:rPr>
        <w:t>National Institute of Mental Health is</w:t>
      </w:r>
      <w:r w:rsidRPr="003827B4">
        <w:rPr>
          <w:rFonts w:ascii="Helvetica" w:hAnsi="Helvetica" w:eastAsia="Times New Roman" w:cs="Times New Roman"/>
          <w:color w:val="333333"/>
          <w:sz w:val="20"/>
          <w:szCs w:val="20"/>
        </w:rPr>
        <w:t xml:space="preserve"> sponsoring a technical assistance webinar to be held on </w:t>
      </w:r>
      <w:r w:rsidRPr="003827B4">
        <w:rPr>
          <w:rFonts w:ascii="Helvetica" w:hAnsi="Helvetica" w:eastAsia="Times New Roman" w:cs="Times New Roman"/>
          <w:b/>
          <w:bCs/>
          <w:color w:val="333333"/>
          <w:sz w:val="20"/>
          <w:szCs w:val="20"/>
        </w:rPr>
        <w:t xml:space="preserve">Tuesday, </w:t>
      </w:r>
      <w:r>
        <w:rPr>
          <w:rFonts w:ascii="Helvetica" w:hAnsi="Helvetica" w:eastAsia="Times New Roman" w:cs="Times New Roman"/>
          <w:b/>
          <w:bCs/>
          <w:color w:val="333333"/>
          <w:sz w:val="20"/>
          <w:szCs w:val="20"/>
        </w:rPr>
        <w:t>March 15</w:t>
      </w:r>
      <w:r w:rsidRPr="003827B4">
        <w:rPr>
          <w:rFonts w:ascii="Helvetica" w:hAnsi="Helvetica" w:eastAsia="Times New Roman" w:cs="Times New Roman"/>
          <w:b/>
          <w:bCs/>
          <w:color w:val="333333"/>
          <w:sz w:val="20"/>
          <w:szCs w:val="20"/>
        </w:rPr>
        <w:t>,</w:t>
      </w:r>
      <w:r>
        <w:rPr>
          <w:rFonts w:ascii="Helvetica" w:hAnsi="Helvetica" w:eastAsia="Times New Roman" w:cs="Times New Roman"/>
          <w:b/>
          <w:bCs/>
          <w:color w:val="333333"/>
          <w:sz w:val="20"/>
          <w:szCs w:val="20"/>
        </w:rPr>
        <w:t xml:space="preserve"> </w:t>
      </w:r>
      <w:proofErr w:type="gramStart"/>
      <w:r>
        <w:rPr>
          <w:rFonts w:ascii="Helvetica" w:hAnsi="Helvetica" w:eastAsia="Times New Roman" w:cs="Times New Roman"/>
          <w:b/>
          <w:bCs/>
          <w:color w:val="333333"/>
          <w:sz w:val="20"/>
          <w:szCs w:val="20"/>
        </w:rPr>
        <w:t>2022</w:t>
      </w:r>
      <w:proofErr w:type="gramEnd"/>
      <w:r w:rsidRPr="003827B4">
        <w:rPr>
          <w:rFonts w:ascii="Helvetica" w:hAnsi="Helvetica" w:eastAsia="Times New Roman" w:cs="Times New Roman"/>
          <w:b/>
          <w:bCs/>
          <w:color w:val="333333"/>
          <w:sz w:val="20"/>
          <w:szCs w:val="20"/>
        </w:rPr>
        <w:t xml:space="preserve"> from </w:t>
      </w:r>
      <w:r>
        <w:rPr>
          <w:rFonts w:ascii="Helvetica" w:hAnsi="Helvetica" w:eastAsia="Times New Roman" w:cs="Times New Roman"/>
          <w:b/>
          <w:bCs/>
          <w:color w:val="333333"/>
          <w:sz w:val="20"/>
          <w:szCs w:val="20"/>
        </w:rPr>
        <w:t>1:00 – 2:30 pm</w:t>
      </w:r>
      <w:r w:rsidRPr="003827B4">
        <w:rPr>
          <w:rFonts w:ascii="Helvetica" w:hAnsi="Helvetica" w:eastAsia="Times New Roman" w:cs="Times New Roman"/>
          <w:b/>
          <w:bCs/>
          <w:color w:val="333333"/>
          <w:sz w:val="20"/>
          <w:szCs w:val="20"/>
        </w:rPr>
        <w:t xml:space="preserve"> (Eastern Time)</w:t>
      </w:r>
      <w:r w:rsidRPr="003827B4">
        <w:rPr>
          <w:rFonts w:ascii="Helvetica" w:hAnsi="Helvetica" w:eastAsia="Times New Roman" w:cs="Times New Roman"/>
          <w:color w:val="333333"/>
          <w:sz w:val="20"/>
          <w:szCs w:val="20"/>
        </w:rPr>
        <w:t xml:space="preserve"> for all prospective applicants interested in the following </w:t>
      </w:r>
      <w:r w:rsidRPr="00221462" w:rsidR="00221462">
        <w:rPr>
          <w:rFonts w:ascii="Helvetica" w:hAnsi="Helvetica" w:eastAsia="Times New Roman" w:cs="Times New Roman"/>
          <w:color w:val="333333"/>
          <w:sz w:val="20"/>
          <w:szCs w:val="20"/>
        </w:rPr>
        <w:t>companion Funding Opportunity Announcements (FOAs) for the Scalable and Systematic Neurobiology of Psychiatric and Neurodevelopmental Disorder Risk Genes (SSPsyGene) Consortium</w:t>
      </w:r>
      <w:r w:rsidR="00D96AF7">
        <w:rPr>
          <w:rFonts w:ascii="Helvetica" w:hAnsi="Helvetica" w:eastAsia="Times New Roman" w:cs="Times New Roman"/>
          <w:color w:val="333333"/>
          <w:sz w:val="20"/>
          <w:szCs w:val="20"/>
        </w:rPr>
        <w:t>:</w:t>
      </w:r>
    </w:p>
    <w:p w:rsidR="00D96AF7" w:rsidP="00D96AF7" w:rsidRDefault="00D96AF7" w14:paraId="4F3DA62E" w14:textId="0BC2BB82">
      <w:pPr>
        <w:pStyle w:val="ListParagraph"/>
        <w:numPr>
          <w:ilvl w:val="0"/>
          <w:numId w:val="2"/>
        </w:numPr>
        <w:shd w:val="clear" w:color="auto" w:fill="FFFFFF"/>
        <w:spacing w:after="150"/>
        <w:rPr>
          <w:rFonts w:ascii="Helvetica" w:hAnsi="Helvetica" w:eastAsia="Times New Roman" w:cs="Times New Roman"/>
          <w:color w:val="333333"/>
          <w:sz w:val="20"/>
          <w:szCs w:val="20"/>
        </w:rPr>
      </w:pPr>
      <w:r>
        <w:rPr>
          <w:rFonts w:ascii="Helvetica" w:hAnsi="Helvetica" w:eastAsia="Times New Roman" w:cs="Times New Roman"/>
          <w:color w:val="333333"/>
          <w:sz w:val="20"/>
          <w:szCs w:val="20"/>
        </w:rPr>
        <w:t xml:space="preserve">RFA-MH-22-110 – </w:t>
      </w:r>
      <w:r w:rsidRPr="00221462" w:rsidR="00221462">
        <w:rPr>
          <w:rFonts w:ascii="Helvetica" w:hAnsi="Helvetica" w:eastAsia="Times New Roman" w:cs="Times New Roman"/>
          <w:color w:val="333333"/>
          <w:sz w:val="20"/>
          <w:szCs w:val="20"/>
        </w:rPr>
        <w:t>Scalable and Systematic Neurobiology of Psychiatric and Neurodevelopmental Disorder Risk Genes: Data Resource and Administrative Coordination Center (U24)</w:t>
      </w:r>
    </w:p>
    <w:p w:rsidRPr="00221462" w:rsidR="00D96AF7" w:rsidP="00221462" w:rsidRDefault="00D96AF7" w14:paraId="27389721" w14:textId="7E393D19">
      <w:pPr>
        <w:pStyle w:val="ListParagraph"/>
        <w:numPr>
          <w:ilvl w:val="0"/>
          <w:numId w:val="2"/>
        </w:numPr>
        <w:shd w:val="clear" w:color="auto" w:fill="FFFFFF"/>
        <w:spacing w:after="150"/>
        <w:rPr>
          <w:rFonts w:ascii="Helvetica" w:hAnsi="Helvetica" w:eastAsia="Times New Roman" w:cs="Times New Roman"/>
          <w:color w:val="333333"/>
          <w:sz w:val="20"/>
          <w:szCs w:val="20"/>
        </w:rPr>
      </w:pPr>
      <w:r>
        <w:rPr>
          <w:rFonts w:ascii="Helvetica" w:hAnsi="Helvetica" w:eastAsia="Times New Roman" w:cs="Times New Roman"/>
          <w:color w:val="333333"/>
          <w:sz w:val="20"/>
          <w:szCs w:val="20"/>
        </w:rPr>
        <w:t>RFA-MH-22-111 –</w:t>
      </w:r>
      <w:r w:rsidRPr="00221462" w:rsidR="00221462">
        <w:t xml:space="preserve"> </w:t>
      </w:r>
      <w:r w:rsidRPr="00221462" w:rsidR="00221462">
        <w:rPr>
          <w:rFonts w:ascii="Helvetica" w:hAnsi="Helvetica" w:eastAsia="Times New Roman" w:cs="Times New Roman"/>
          <w:color w:val="333333"/>
          <w:sz w:val="20"/>
          <w:szCs w:val="20"/>
        </w:rPr>
        <w:t>Scalable and Systematic Neurobiology of Psychiatric and Neurodevelopmental Disorder Risk Genes: Assay and Data Generation Centers (RM1)</w:t>
      </w:r>
    </w:p>
    <w:p w:rsidRPr="003827B4" w:rsidR="003827B4" w:rsidP="003827B4" w:rsidRDefault="00D96AF7" w14:paraId="3088AA48" w14:textId="6E2E2A7D">
      <w:pPr>
        <w:shd w:val="clear" w:color="auto" w:fill="FFFFFF"/>
        <w:spacing w:after="150"/>
        <w:rPr>
          <w:rFonts w:ascii="Helvetica" w:hAnsi="Helvetica" w:eastAsia="Times New Roman" w:cs="Times New Roman"/>
          <w:color w:val="333333"/>
          <w:sz w:val="20"/>
          <w:szCs w:val="20"/>
        </w:rPr>
      </w:pPr>
      <w:r w:rsidRPr="00D96AF7">
        <w:rPr>
          <w:rFonts w:ascii="Helvetica" w:hAnsi="Helvetica" w:eastAsia="Times New Roman" w:cs="Times New Roman"/>
          <w:color w:val="333333"/>
          <w:sz w:val="20"/>
          <w:szCs w:val="20"/>
        </w:rPr>
        <w:t xml:space="preserve">The SSPsyGene Consortium will support multidisciplinary research centers to optimize and implement systematic and scalable approaches for characterizing the developmental, molecular, cellular, systems, and organismal neurobiological function of genes associated with risk for NPDs. These companion awards will be part of a collaborative consortium with the long-term goal of developing a comprehensive </w:t>
      </w:r>
      <w:r w:rsidRPr="00D96AF7">
        <w:rPr>
          <w:rFonts w:ascii="Helvetica" w:hAnsi="Helvetica" w:eastAsia="Times New Roman" w:cs="Times New Roman"/>
          <w:color w:val="333333"/>
          <w:sz w:val="20"/>
          <w:szCs w:val="20"/>
        </w:rPr>
        <w:lastRenderedPageBreak/>
        <w:t>phenotypic catalog across biological scales for genes and gene variants associated with neurodevelopmental and psychiatric disorders (NPDs). To accomplish this objective, NIMH intends to establish a consortium of investigators at multiple sites and with broad expertise in the areas of genomics, high throughput technology, and neurobiology</w:t>
      </w:r>
      <w:r>
        <w:rPr>
          <w:rFonts w:ascii="Helvetica" w:hAnsi="Helvetica" w:eastAsia="Times New Roman" w:cs="Times New Roman"/>
          <w:color w:val="333333"/>
          <w:sz w:val="20"/>
          <w:szCs w:val="20"/>
        </w:rPr>
        <w:t xml:space="preserve">. </w:t>
      </w:r>
      <w:r w:rsidRPr="003827B4" w:rsidR="003827B4">
        <w:rPr>
          <w:rFonts w:ascii="Helvetica" w:hAnsi="Helvetica" w:eastAsia="Times New Roman" w:cs="Times New Roman"/>
          <w:color w:val="333333"/>
          <w:sz w:val="20"/>
          <w:szCs w:val="20"/>
        </w:rPr>
        <w:t xml:space="preserve">During the webinar, staff from </w:t>
      </w:r>
      <w:r>
        <w:rPr>
          <w:rFonts w:ascii="Helvetica" w:hAnsi="Helvetica" w:eastAsia="Times New Roman" w:cs="Times New Roman"/>
          <w:color w:val="333333"/>
          <w:sz w:val="20"/>
          <w:szCs w:val="20"/>
        </w:rPr>
        <w:t>NIMH</w:t>
      </w:r>
      <w:r w:rsidRPr="003827B4" w:rsidR="003827B4">
        <w:rPr>
          <w:rFonts w:ascii="Helvetica" w:hAnsi="Helvetica" w:eastAsia="Times New Roman" w:cs="Times New Roman"/>
          <w:color w:val="333333"/>
          <w:sz w:val="20"/>
          <w:szCs w:val="20"/>
        </w:rPr>
        <w:t xml:space="preserve"> will provide an overview </w:t>
      </w:r>
      <w:r>
        <w:rPr>
          <w:rFonts w:ascii="Helvetica" w:hAnsi="Helvetica" w:eastAsia="Times New Roman" w:cs="Times New Roman"/>
          <w:color w:val="333333"/>
          <w:sz w:val="20"/>
          <w:szCs w:val="20"/>
        </w:rPr>
        <w:t xml:space="preserve">of </w:t>
      </w:r>
      <w:r w:rsidR="009671A4">
        <w:rPr>
          <w:rFonts w:ascii="Helvetica" w:hAnsi="Helvetica" w:eastAsia="Times New Roman" w:cs="Times New Roman"/>
          <w:color w:val="333333"/>
          <w:sz w:val="20"/>
          <w:szCs w:val="20"/>
        </w:rPr>
        <w:t xml:space="preserve">RFA-MH-110 and RFA-MH-111, and </w:t>
      </w:r>
      <w:r w:rsidRPr="003827B4" w:rsidR="003827B4">
        <w:rPr>
          <w:rFonts w:ascii="Helvetica" w:hAnsi="Helvetica" w:eastAsia="Times New Roman" w:cs="Times New Roman"/>
          <w:color w:val="333333"/>
          <w:sz w:val="20"/>
          <w:szCs w:val="20"/>
        </w:rPr>
        <w:t>answer questions from prospective applicants. Registration for the webinar is required.</w:t>
      </w:r>
    </w:p>
    <w:p w:rsidRPr="003827B4" w:rsidR="003827B4" w:rsidP="003827B4" w:rsidRDefault="003827B4" w14:paraId="05F965A0" w14:textId="2BBD146A">
      <w:pPr>
        <w:shd w:val="clear" w:color="auto" w:fill="FFFFFF"/>
        <w:spacing w:after="150"/>
        <w:rPr>
          <w:rFonts w:ascii="Helvetica" w:hAnsi="Helvetica" w:eastAsia="Times New Roman" w:cs="Times New Roman"/>
          <w:color w:val="333333"/>
          <w:sz w:val="20"/>
          <w:szCs w:val="20"/>
        </w:rPr>
      </w:pPr>
      <w:r w:rsidRPr="003827B4">
        <w:rPr>
          <w:rFonts w:ascii="Helvetica" w:hAnsi="Helvetica" w:eastAsia="Times New Roman" w:cs="Times New Roman"/>
          <w:color w:val="333333"/>
          <w:sz w:val="20"/>
          <w:szCs w:val="20"/>
        </w:rPr>
        <w:t>All prospective applicants are invited to attend and are highly encouraged to submit general questions in advance to maximize the use of time. Specific questions should be sent via email to </w:t>
      </w:r>
      <w:r w:rsidRPr="009671A4" w:rsidR="009671A4">
        <w:rPr>
          <w:rFonts w:ascii="Helvetica" w:hAnsi="Helvetica" w:eastAsia="Times New Roman" w:cs="Times New Roman"/>
          <w:color w:val="333333"/>
          <w:sz w:val="20"/>
          <w:szCs w:val="20"/>
        </w:rPr>
        <w:t>SSPsyGene@mail.nih.gov</w:t>
      </w:r>
      <w:r w:rsidRPr="003827B4" w:rsidR="009671A4">
        <w:rPr>
          <w:rFonts w:ascii="Helvetica" w:hAnsi="Helvetica" w:eastAsia="Times New Roman" w:cs="Times New Roman"/>
          <w:color w:val="333333"/>
          <w:sz w:val="20"/>
          <w:szCs w:val="20"/>
        </w:rPr>
        <w:t xml:space="preserve"> </w:t>
      </w:r>
      <w:r w:rsidR="009671A4">
        <w:rPr>
          <w:rFonts w:ascii="Helvetica" w:hAnsi="Helvetica" w:eastAsia="Times New Roman" w:cs="Times New Roman"/>
          <w:color w:val="333333"/>
          <w:sz w:val="20"/>
          <w:szCs w:val="20"/>
        </w:rPr>
        <w:t>by 1:00 pm EST on March 8, 2022.</w:t>
      </w:r>
      <w:r w:rsidRPr="003827B4">
        <w:rPr>
          <w:rFonts w:ascii="Helvetica" w:hAnsi="Helvetica" w:eastAsia="Times New Roman" w:cs="Times New Roman"/>
          <w:color w:val="333333"/>
          <w:sz w:val="20"/>
          <w:szCs w:val="20"/>
        </w:rPr>
        <w:t xml:space="preserve"> While an effort will be made to prioritize and include all questions in the webinar, it is possible that not all questions will be addressed during the event.</w:t>
      </w:r>
    </w:p>
    <w:p w:rsidRPr="003827B4" w:rsidR="003827B4" w:rsidP="003827B4" w:rsidRDefault="003827B4" w14:paraId="4BBC59F4" w14:textId="77777777">
      <w:pPr>
        <w:shd w:val="clear" w:color="auto" w:fill="FFFFFF"/>
        <w:spacing w:after="150"/>
        <w:rPr>
          <w:rFonts w:ascii="Helvetica" w:hAnsi="Helvetica" w:eastAsia="Times New Roman" w:cs="Times New Roman"/>
          <w:color w:val="333333"/>
          <w:sz w:val="20"/>
          <w:szCs w:val="20"/>
        </w:rPr>
      </w:pPr>
      <w:r w:rsidRPr="003827B4">
        <w:rPr>
          <w:rFonts w:ascii="Helvetica" w:hAnsi="Helvetica" w:eastAsia="Times New Roman" w:cs="Times New Roman"/>
          <w:b/>
          <w:bCs/>
          <w:color w:val="333333"/>
          <w:sz w:val="20"/>
          <w:szCs w:val="20"/>
        </w:rPr>
        <w:t>Webinar Information</w:t>
      </w:r>
    </w:p>
    <w:p w:rsidRPr="003827B4" w:rsidR="003827B4" w:rsidP="003827B4" w:rsidRDefault="003827B4" w14:paraId="13D3D3A3" w14:textId="1BA07B00">
      <w:pPr>
        <w:shd w:val="clear" w:color="auto" w:fill="FFFFFF"/>
        <w:spacing w:after="150"/>
        <w:rPr>
          <w:rFonts w:ascii="Helvetica" w:hAnsi="Helvetica" w:eastAsia="Times New Roman" w:cs="Times New Roman"/>
          <w:color w:val="333333"/>
          <w:sz w:val="20"/>
          <w:szCs w:val="20"/>
        </w:rPr>
      </w:pPr>
      <w:r w:rsidRPr="003827B4">
        <w:rPr>
          <w:rFonts w:ascii="Helvetica" w:hAnsi="Helvetica" w:eastAsia="Times New Roman" w:cs="Times New Roman"/>
          <w:color w:val="333333"/>
          <w:sz w:val="20"/>
          <w:szCs w:val="20"/>
        </w:rPr>
        <w:t xml:space="preserve">The webinar will be hosted through </w:t>
      </w:r>
      <w:r w:rsidR="009671A4">
        <w:rPr>
          <w:rFonts w:ascii="Helvetica" w:hAnsi="Helvetica" w:eastAsia="Times New Roman" w:cs="Times New Roman"/>
          <w:color w:val="333333"/>
          <w:sz w:val="20"/>
          <w:szCs w:val="20"/>
        </w:rPr>
        <w:t>Zoom</w:t>
      </w:r>
      <w:r w:rsidRPr="003827B4">
        <w:rPr>
          <w:rFonts w:ascii="Helvetica" w:hAnsi="Helvetica" w:eastAsia="Times New Roman" w:cs="Times New Roman"/>
          <w:color w:val="333333"/>
          <w:sz w:val="20"/>
          <w:szCs w:val="20"/>
        </w:rPr>
        <w:t>.</w:t>
      </w:r>
    </w:p>
    <w:p w:rsidRPr="003827B4" w:rsidR="003827B4" w:rsidP="003827B4" w:rsidRDefault="003827B4" w14:paraId="406AE091" w14:textId="378631D2">
      <w:pPr>
        <w:shd w:val="clear" w:color="auto" w:fill="FFFFFF"/>
        <w:spacing w:after="150"/>
        <w:rPr>
          <w:rFonts w:ascii="Helvetica" w:hAnsi="Helvetica" w:eastAsia="Times New Roman" w:cs="Times New Roman"/>
          <w:color w:val="333333"/>
          <w:sz w:val="20"/>
          <w:szCs w:val="20"/>
        </w:rPr>
      </w:pPr>
      <w:r w:rsidRPr="003827B4">
        <w:rPr>
          <w:rFonts w:ascii="Helvetica" w:hAnsi="Helvetica" w:eastAsia="Times New Roman" w:cs="Times New Roman"/>
          <w:b/>
          <w:bCs/>
          <w:color w:val="333333"/>
          <w:sz w:val="20"/>
          <w:szCs w:val="20"/>
        </w:rPr>
        <w:t>Date: </w:t>
      </w:r>
      <w:r w:rsidR="000C2EED">
        <w:rPr>
          <w:rFonts w:ascii="Helvetica" w:hAnsi="Helvetica" w:eastAsia="Times New Roman" w:cs="Times New Roman"/>
          <w:color w:val="333333"/>
          <w:sz w:val="20"/>
          <w:szCs w:val="20"/>
        </w:rPr>
        <w:t>March 15, 2022</w:t>
      </w:r>
    </w:p>
    <w:p w:rsidRPr="003827B4" w:rsidR="003827B4" w:rsidP="003827B4" w:rsidRDefault="003827B4" w14:paraId="5F35F809" w14:textId="2E9C1756">
      <w:pPr>
        <w:shd w:val="clear" w:color="auto" w:fill="FFFFFF"/>
        <w:spacing w:after="150"/>
        <w:rPr>
          <w:rFonts w:ascii="Helvetica" w:hAnsi="Helvetica" w:eastAsia="Times New Roman" w:cs="Times New Roman"/>
          <w:color w:val="333333"/>
          <w:sz w:val="20"/>
          <w:szCs w:val="20"/>
        </w:rPr>
      </w:pPr>
      <w:r w:rsidRPr="003827B4">
        <w:rPr>
          <w:rFonts w:ascii="Helvetica" w:hAnsi="Helvetica" w:eastAsia="Times New Roman" w:cs="Times New Roman"/>
          <w:b/>
          <w:bCs/>
          <w:color w:val="333333"/>
          <w:sz w:val="20"/>
          <w:szCs w:val="20"/>
        </w:rPr>
        <w:t>Time: </w:t>
      </w:r>
      <w:r w:rsidR="000C2EED">
        <w:rPr>
          <w:rFonts w:ascii="Helvetica" w:hAnsi="Helvetica" w:eastAsia="Times New Roman" w:cs="Times New Roman"/>
          <w:color w:val="333333"/>
          <w:sz w:val="20"/>
          <w:szCs w:val="20"/>
        </w:rPr>
        <w:t>1:00 to 2:30 p.m.</w:t>
      </w:r>
      <w:r w:rsidRPr="003827B4">
        <w:rPr>
          <w:rFonts w:ascii="Helvetica" w:hAnsi="Helvetica" w:eastAsia="Times New Roman" w:cs="Times New Roman"/>
          <w:color w:val="333333"/>
          <w:sz w:val="20"/>
          <w:szCs w:val="20"/>
        </w:rPr>
        <w:t xml:space="preserve"> Eastern Time (ET)</w:t>
      </w:r>
    </w:p>
    <w:p w:rsidRPr="003827B4" w:rsidR="003827B4" w:rsidP="003827B4" w:rsidRDefault="003827B4" w14:paraId="3479578C" w14:textId="7327B184">
      <w:pPr>
        <w:shd w:val="clear" w:color="auto" w:fill="FFFFFF"/>
        <w:spacing w:after="150"/>
        <w:rPr>
          <w:rFonts w:ascii="Helvetica" w:hAnsi="Helvetica" w:eastAsia="Times New Roman" w:cs="Times New Roman"/>
          <w:color w:val="333333"/>
          <w:sz w:val="20"/>
          <w:szCs w:val="20"/>
        </w:rPr>
      </w:pPr>
      <w:r w:rsidRPr="003827B4">
        <w:rPr>
          <w:rFonts w:ascii="Helvetica" w:hAnsi="Helvetica" w:eastAsia="Times New Roman" w:cs="Times New Roman"/>
          <w:b/>
          <w:bCs/>
          <w:color w:val="333333"/>
          <w:sz w:val="20"/>
          <w:szCs w:val="20"/>
        </w:rPr>
        <w:t xml:space="preserve">Registration </w:t>
      </w:r>
      <w:r w:rsidR="000C2EED">
        <w:rPr>
          <w:rFonts w:ascii="Helvetica" w:hAnsi="Helvetica" w:eastAsia="Times New Roman" w:cs="Times New Roman"/>
          <w:b/>
          <w:bCs/>
          <w:color w:val="333333"/>
          <w:sz w:val="20"/>
          <w:szCs w:val="20"/>
        </w:rPr>
        <w:t xml:space="preserve">is </w:t>
      </w:r>
      <w:r w:rsidRPr="003827B4">
        <w:rPr>
          <w:rFonts w:ascii="Helvetica" w:hAnsi="Helvetica" w:eastAsia="Times New Roman" w:cs="Times New Roman"/>
          <w:b/>
          <w:bCs/>
          <w:color w:val="333333"/>
          <w:sz w:val="20"/>
          <w:szCs w:val="20"/>
        </w:rPr>
        <w:t>required</w:t>
      </w:r>
      <w:r w:rsidR="000C2EED">
        <w:rPr>
          <w:rFonts w:ascii="Helvetica" w:hAnsi="Helvetica" w:eastAsia="Times New Roman" w:cs="Times New Roman"/>
          <w:b/>
          <w:bCs/>
          <w:color w:val="333333"/>
          <w:sz w:val="20"/>
          <w:szCs w:val="20"/>
        </w:rPr>
        <w:t xml:space="preserve"> to attend the webinar</w:t>
      </w:r>
      <w:r w:rsidRPr="003827B4">
        <w:rPr>
          <w:rFonts w:ascii="Helvetica" w:hAnsi="Helvetica" w:eastAsia="Times New Roman" w:cs="Times New Roman"/>
          <w:b/>
          <w:bCs/>
          <w:color w:val="333333"/>
          <w:sz w:val="20"/>
          <w:szCs w:val="20"/>
        </w:rPr>
        <w:t>: </w:t>
      </w:r>
      <w:r w:rsidRPr="003827B4" w:rsidR="000C2EED">
        <w:rPr>
          <w:rFonts w:ascii="Helvetica" w:hAnsi="Helvetica" w:eastAsia="Times New Roman" w:cs="Times New Roman"/>
          <w:color w:val="333333"/>
          <w:sz w:val="20"/>
          <w:szCs w:val="20"/>
        </w:rPr>
        <w:t xml:space="preserve"> </w:t>
      </w:r>
      <w:r w:rsidR="000C2EED">
        <w:rPr>
          <w:rFonts w:ascii="Helvetica" w:hAnsi="Helvetica" w:eastAsia="Times New Roman" w:cs="Times New Roman"/>
          <w:color w:val="333333"/>
          <w:sz w:val="20"/>
          <w:szCs w:val="20"/>
        </w:rPr>
        <w:t>Link to Eventbrite page</w:t>
      </w:r>
    </w:p>
    <w:p w:rsidRPr="003827B4" w:rsidR="003827B4" w:rsidP="003827B4" w:rsidRDefault="003827B4" w14:paraId="2E206D61" w14:textId="77777777">
      <w:pPr>
        <w:shd w:val="clear" w:color="auto" w:fill="FFFFFF"/>
        <w:spacing w:after="150"/>
        <w:rPr>
          <w:rFonts w:ascii="Helvetica" w:hAnsi="Helvetica" w:eastAsia="Times New Roman" w:cs="Times New Roman"/>
          <w:color w:val="333333"/>
          <w:sz w:val="20"/>
          <w:szCs w:val="20"/>
        </w:rPr>
      </w:pPr>
      <w:r w:rsidRPr="003827B4">
        <w:rPr>
          <w:rFonts w:ascii="Helvetica" w:hAnsi="Helvetica" w:eastAsia="Times New Roman" w:cs="Times New Roman"/>
          <w:color w:val="333333"/>
          <w:sz w:val="20"/>
          <w:szCs w:val="20"/>
        </w:rPr>
        <w:t>Participation in the webinar is optional and is not required for the submission of an application in response to any of the related announcements listed in the Notice.</w:t>
      </w:r>
    </w:p>
    <w:p w:rsidRPr="003827B4" w:rsidR="003827B4" w:rsidP="003827B4" w:rsidRDefault="003827B4" w14:paraId="2D10DBB6" w14:textId="7D0BFC28">
      <w:pPr>
        <w:shd w:val="clear" w:color="auto" w:fill="FFFFFF"/>
        <w:spacing w:after="150"/>
        <w:rPr>
          <w:rFonts w:ascii="Helvetica" w:hAnsi="Helvetica" w:eastAsia="Times New Roman" w:cs="Times New Roman"/>
          <w:color w:val="333333"/>
          <w:sz w:val="20"/>
          <w:szCs w:val="20"/>
        </w:rPr>
      </w:pPr>
      <w:r w:rsidRPr="003827B4">
        <w:rPr>
          <w:rFonts w:ascii="Helvetica" w:hAnsi="Helvetica" w:eastAsia="Times New Roman" w:cs="Times New Roman"/>
          <w:color w:val="333333"/>
          <w:sz w:val="20"/>
          <w:szCs w:val="20"/>
        </w:rPr>
        <w:t>Prospective applicants who are unable to participate in the webinar are encouraged to view the recorded webinar video, presentation slides, and frequently asked questions (FAQs). These items will be made available on th</w:t>
      </w:r>
      <w:r w:rsidR="000C2EED">
        <w:rPr>
          <w:rFonts w:ascii="Helvetica" w:hAnsi="Helvetica" w:eastAsia="Times New Roman" w:cs="Times New Roman"/>
          <w:color w:val="333333"/>
          <w:sz w:val="20"/>
          <w:szCs w:val="20"/>
        </w:rPr>
        <w:t>e NIMH website</w:t>
      </w:r>
      <w:r w:rsidRPr="003827B4">
        <w:rPr>
          <w:rFonts w:ascii="Helvetica" w:hAnsi="Helvetica" w:eastAsia="Times New Roman" w:cs="Times New Roman"/>
          <w:color w:val="333333"/>
          <w:sz w:val="20"/>
          <w:szCs w:val="20"/>
        </w:rPr>
        <w:t> approximately 1 week after the event.</w:t>
      </w:r>
      <w:r w:rsidRPr="003827B4">
        <w:rPr>
          <w:rFonts w:ascii="Helvetica" w:hAnsi="Helvetica" w:eastAsia="Times New Roman" w:cs="Times New Roman"/>
          <w:color w:val="333333"/>
          <w:sz w:val="20"/>
          <w:szCs w:val="20"/>
        </w:rPr>
        <w:br/>
      </w:r>
      <w:r w:rsidRPr="003827B4">
        <w:rPr>
          <w:rFonts w:ascii="Helvetica" w:hAnsi="Helvetica" w:eastAsia="Times New Roman" w:cs="Times New Roman"/>
          <w:color w:val="333333"/>
          <w:sz w:val="20"/>
          <w:szCs w:val="20"/>
        </w:rPr>
        <w:br/>
        <w:t>If you have questions about the webinar, please emai</w:t>
      </w:r>
      <w:r w:rsidR="000C2EED">
        <w:rPr>
          <w:rFonts w:ascii="Helvetica" w:hAnsi="Helvetica" w:eastAsia="Times New Roman" w:cs="Times New Roman"/>
          <w:color w:val="333333"/>
          <w:sz w:val="20"/>
          <w:szCs w:val="20"/>
        </w:rPr>
        <w:t>l SSPsyGene@mail.nih.gov.</w:t>
      </w:r>
    </w:p>
    <w:p w:rsidRPr="003827B4" w:rsidR="003827B4" w:rsidP="003827B4" w:rsidRDefault="003827B4" w14:paraId="7AC994CE" w14:textId="7E39664C">
      <w:pPr>
        <w:shd w:val="clear" w:color="auto" w:fill="FFFFFF"/>
        <w:spacing w:after="150"/>
        <w:rPr>
          <w:rFonts w:ascii="Helvetica" w:hAnsi="Helvetica" w:eastAsia="Times New Roman" w:cs="Times New Roman"/>
          <w:color w:val="333333"/>
          <w:sz w:val="20"/>
          <w:szCs w:val="20"/>
        </w:rPr>
      </w:pPr>
      <w:r w:rsidRPr="003827B4">
        <w:rPr>
          <w:rFonts w:ascii="Helvetica" w:hAnsi="Helvetica" w:eastAsia="Times New Roman" w:cs="Times New Roman"/>
          <w:color w:val="333333"/>
          <w:sz w:val="20"/>
          <w:szCs w:val="20"/>
        </w:rPr>
        <w:t>Participants requiring sign language interpretation and/or other reasonable accommodations should contact </w:t>
      </w:r>
      <w:r w:rsidR="000C2EED">
        <w:rPr>
          <w:rFonts w:ascii="Helvetica" w:hAnsi="Helvetica" w:eastAsia="Times New Roman" w:cs="Times New Roman"/>
          <w:color w:val="333333"/>
          <w:sz w:val="20"/>
          <w:szCs w:val="20"/>
        </w:rPr>
        <w:t>SSPsyGene@mail.nih.gov</w:t>
      </w:r>
      <w:r w:rsidRPr="003827B4" w:rsidR="000C2EED">
        <w:rPr>
          <w:rFonts w:ascii="Helvetica" w:hAnsi="Helvetica" w:eastAsia="Times New Roman" w:cs="Times New Roman"/>
          <w:color w:val="333333"/>
          <w:sz w:val="20"/>
          <w:szCs w:val="20"/>
        </w:rPr>
        <w:t xml:space="preserve"> </w:t>
      </w:r>
      <w:r w:rsidRPr="003827B4">
        <w:rPr>
          <w:rFonts w:ascii="Helvetica" w:hAnsi="Helvetica" w:eastAsia="Times New Roman" w:cs="Times New Roman"/>
          <w:color w:val="333333"/>
          <w:sz w:val="20"/>
          <w:szCs w:val="20"/>
        </w:rPr>
        <w:t>at least 5 days prior to the event.</w:t>
      </w:r>
    </w:p>
    <w:bookmarkEnd w:id="2"/>
    <w:p w:rsidRPr="003827B4" w:rsidR="003827B4" w:rsidP="003827B4" w:rsidRDefault="003827B4" w14:paraId="225E8BD0" w14:textId="77777777">
      <w:pPr>
        <w:shd w:val="clear" w:color="auto" w:fill="FFFFFF"/>
        <w:spacing w:before="300" w:after="150"/>
        <w:outlineLvl w:val="1"/>
        <w:rPr>
          <w:rFonts w:ascii="Helvetica Neue" w:hAnsi="Helvetica Neue" w:eastAsia="Times New Roman" w:cs="Times New Roman"/>
          <w:color w:val="993366"/>
          <w:sz w:val="36"/>
          <w:szCs w:val="36"/>
        </w:rPr>
      </w:pPr>
      <w:r w:rsidRPr="003827B4">
        <w:rPr>
          <w:rFonts w:ascii="Helvetica Neue" w:hAnsi="Helvetica Neue" w:eastAsia="Times New Roman" w:cs="Times New Roman"/>
          <w:color w:val="993366"/>
          <w:sz w:val="36"/>
          <w:szCs w:val="36"/>
        </w:rPr>
        <w:t>Inquiries</w:t>
      </w:r>
    </w:p>
    <w:p w:rsidRPr="003827B4" w:rsidR="003827B4" w:rsidP="003827B4" w:rsidRDefault="003827B4" w14:paraId="20267079" w14:textId="77777777">
      <w:pPr>
        <w:shd w:val="clear" w:color="auto" w:fill="FFFFFF"/>
        <w:spacing w:after="150"/>
        <w:rPr>
          <w:rFonts w:ascii="Helvetica Neue" w:hAnsi="Helvetica Neue" w:eastAsia="Times New Roman" w:cs="Times New Roman"/>
          <w:color w:val="333333"/>
          <w:sz w:val="20"/>
          <w:szCs w:val="20"/>
        </w:rPr>
      </w:pPr>
      <w:r w:rsidRPr="003827B4">
        <w:rPr>
          <w:rFonts w:ascii="Helvetica Neue" w:hAnsi="Helvetica Neue" w:eastAsia="Times New Roman" w:cs="Times New Roman"/>
          <w:color w:val="333333"/>
          <w:sz w:val="20"/>
          <w:szCs w:val="20"/>
        </w:rPr>
        <w:t>Please direct all inquiries to:</w:t>
      </w:r>
    </w:p>
    <w:p w:rsidR="003827B4" w:rsidP="003827B4" w:rsidRDefault="00F343C7" w14:paraId="7DB5977D" w14:textId="064CEC26">
      <w:pPr>
        <w:shd w:val="clear" w:color="auto" w:fill="FFFFFF"/>
        <w:rPr>
          <w:rFonts w:ascii="Helvetica Neue" w:hAnsi="Helvetica Neue" w:eastAsia="Times New Roman" w:cs="Times New Roman"/>
          <w:color w:val="333333"/>
          <w:sz w:val="20"/>
          <w:szCs w:val="20"/>
        </w:rPr>
      </w:pPr>
      <w:r>
        <w:rPr>
          <w:rFonts w:ascii="Helvetica Neue" w:hAnsi="Helvetica Neue" w:eastAsia="Times New Roman" w:cs="Times New Roman"/>
          <w:color w:val="333333"/>
          <w:sz w:val="20"/>
          <w:szCs w:val="20"/>
        </w:rPr>
        <w:t>Rebecca Beer, Ph.D.</w:t>
      </w:r>
    </w:p>
    <w:p w:rsidR="00F343C7" w:rsidP="003827B4" w:rsidRDefault="005C32DE" w14:paraId="500C12D2" w14:textId="3A9DE8F1">
      <w:pPr>
        <w:shd w:val="clear" w:color="auto" w:fill="FFFFFF"/>
        <w:rPr>
          <w:rFonts w:ascii="Helvetica Neue" w:hAnsi="Helvetica Neue" w:eastAsia="Times New Roman" w:cs="Times New Roman"/>
          <w:color w:val="333333"/>
          <w:sz w:val="20"/>
          <w:szCs w:val="20"/>
        </w:rPr>
      </w:pPr>
      <w:r>
        <w:rPr>
          <w:rFonts w:ascii="Helvetica Neue" w:hAnsi="Helvetica Neue" w:eastAsia="Times New Roman" w:cs="Times New Roman"/>
          <w:color w:val="333333"/>
          <w:sz w:val="20"/>
          <w:szCs w:val="20"/>
        </w:rPr>
        <w:t>Functional Neurogenomics Program Chief</w:t>
      </w:r>
    </w:p>
    <w:p w:rsidR="005C32DE" w:rsidP="003827B4" w:rsidRDefault="005C32DE" w14:paraId="115047B4" w14:textId="61982104">
      <w:pPr>
        <w:shd w:val="clear" w:color="auto" w:fill="FFFFFF"/>
        <w:rPr>
          <w:rFonts w:ascii="Helvetica Neue" w:hAnsi="Helvetica Neue" w:eastAsia="Times New Roman" w:cs="Times New Roman"/>
          <w:color w:val="333333"/>
          <w:sz w:val="20"/>
          <w:szCs w:val="20"/>
        </w:rPr>
      </w:pPr>
      <w:r>
        <w:rPr>
          <w:rFonts w:ascii="Helvetica Neue" w:hAnsi="Helvetica Neue" w:eastAsia="Times New Roman" w:cs="Times New Roman"/>
          <w:color w:val="333333"/>
          <w:sz w:val="20"/>
          <w:szCs w:val="20"/>
        </w:rPr>
        <w:t>Developmental and Genomic Neuroscience Research Branch</w:t>
      </w:r>
    </w:p>
    <w:p w:rsidR="005C32DE" w:rsidP="003827B4" w:rsidRDefault="00372D27" w14:paraId="24378E6A" w14:textId="4D830036">
      <w:pPr>
        <w:shd w:val="clear" w:color="auto" w:fill="FFFFFF"/>
        <w:rPr>
          <w:rFonts w:ascii="Helvetica Neue" w:hAnsi="Helvetica Neue" w:eastAsia="Times New Roman" w:cs="Times New Roman"/>
          <w:color w:val="333333"/>
          <w:sz w:val="20"/>
          <w:szCs w:val="20"/>
        </w:rPr>
      </w:pPr>
      <w:r>
        <w:rPr>
          <w:rFonts w:ascii="Helvetica Neue" w:hAnsi="Helvetica Neue" w:eastAsia="Times New Roman" w:cs="Times New Roman"/>
          <w:color w:val="333333"/>
          <w:sz w:val="20"/>
          <w:szCs w:val="20"/>
        </w:rPr>
        <w:t>Division of Neuroscience and Basic Behavioral Science</w:t>
      </w:r>
    </w:p>
    <w:p w:rsidRPr="003827B4" w:rsidR="00000F33" w:rsidP="003827B4" w:rsidRDefault="00000F33" w14:paraId="35ABEFB2" w14:textId="5CE3BBDC">
      <w:pPr>
        <w:shd w:val="clear" w:color="auto" w:fill="FFFFFF"/>
        <w:rPr>
          <w:rFonts w:ascii="Helvetica Neue" w:hAnsi="Helvetica Neue" w:eastAsia="Times New Roman" w:cs="Times New Roman"/>
          <w:color w:val="333333"/>
          <w:sz w:val="20"/>
          <w:szCs w:val="20"/>
        </w:rPr>
      </w:pPr>
      <w:r>
        <w:rPr>
          <w:rFonts w:ascii="Helvetica Neue" w:hAnsi="Helvetica Neue" w:eastAsia="Times New Roman" w:cs="Times New Roman"/>
          <w:color w:val="333333"/>
          <w:sz w:val="20"/>
          <w:szCs w:val="20"/>
        </w:rPr>
        <w:t>SSPsyGene@mail.nih.gov</w:t>
      </w:r>
    </w:p>
    <w:p w:rsidR="00B35EA7" w:rsidRDefault="009E250A" w14:paraId="503AA8D0" w14:textId="77777777"/>
    <w:sectPr w:rsidR="00B35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74BE"/>
    <w:multiLevelType w:val="hybridMultilevel"/>
    <w:tmpl w:val="C9F4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243A0"/>
    <w:multiLevelType w:val="multilevel"/>
    <w:tmpl w:val="01E8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B4"/>
    <w:rsid w:val="00000F33"/>
    <w:rsid w:val="000C2EED"/>
    <w:rsid w:val="00221462"/>
    <w:rsid w:val="00242DB5"/>
    <w:rsid w:val="002D513A"/>
    <w:rsid w:val="00372D27"/>
    <w:rsid w:val="003759D4"/>
    <w:rsid w:val="003827B4"/>
    <w:rsid w:val="00394463"/>
    <w:rsid w:val="005C32DE"/>
    <w:rsid w:val="00827DA9"/>
    <w:rsid w:val="009671A4"/>
    <w:rsid w:val="009E250A"/>
    <w:rsid w:val="00B8235A"/>
    <w:rsid w:val="00CF02FB"/>
    <w:rsid w:val="00D96AF7"/>
    <w:rsid w:val="00F3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A2BAED"/>
  <w15:chartTrackingRefBased/>
  <w15:docId w15:val="{6B3BBDC2-7F3C-0043-985E-11F08E7E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02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827B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F02F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27B4"/>
    <w:rPr>
      <w:rFonts w:ascii="Times New Roman" w:eastAsia="Times New Roman" w:hAnsi="Times New Roman" w:cs="Times New Roman"/>
      <w:b/>
      <w:bCs/>
      <w:sz w:val="36"/>
      <w:szCs w:val="36"/>
    </w:rPr>
  </w:style>
  <w:style w:type="character" w:customStyle="1" w:styleId="Title1">
    <w:name w:val="Title1"/>
    <w:basedOn w:val="DefaultParagraphFont"/>
    <w:rsid w:val="003827B4"/>
  </w:style>
  <w:style w:type="character" w:customStyle="1" w:styleId="noticenum">
    <w:name w:val="noticenum"/>
    <w:basedOn w:val="DefaultParagraphFont"/>
    <w:rsid w:val="003827B4"/>
  </w:style>
  <w:style w:type="paragraph" w:customStyle="1" w:styleId="Normal1">
    <w:name w:val="Normal1"/>
    <w:basedOn w:val="Normal"/>
    <w:rsid w:val="003827B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827B4"/>
    <w:rPr>
      <w:color w:val="0000FF"/>
      <w:u w:val="single"/>
    </w:rPr>
  </w:style>
  <w:style w:type="paragraph" w:styleId="NormalWeb">
    <w:name w:val="Normal (Web)"/>
    <w:basedOn w:val="Normal"/>
    <w:uiPriority w:val="99"/>
    <w:semiHidden/>
    <w:unhideWhenUsed/>
    <w:rsid w:val="003827B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96AF7"/>
    <w:pPr>
      <w:ind w:left="720"/>
      <w:contextualSpacing/>
    </w:pPr>
  </w:style>
  <w:style w:type="character" w:styleId="UnresolvedMention">
    <w:name w:val="Unresolved Mention"/>
    <w:basedOn w:val="DefaultParagraphFont"/>
    <w:uiPriority w:val="99"/>
    <w:semiHidden/>
    <w:unhideWhenUsed/>
    <w:rsid w:val="00D96AF7"/>
    <w:rPr>
      <w:color w:val="605E5C"/>
      <w:shd w:val="clear" w:color="auto" w:fill="E1DFDD"/>
    </w:rPr>
  </w:style>
  <w:style w:type="character" w:styleId="CommentReference">
    <w:name w:val="annotation reference"/>
    <w:basedOn w:val="DefaultParagraphFont"/>
    <w:uiPriority w:val="99"/>
    <w:semiHidden/>
    <w:unhideWhenUsed/>
    <w:rsid w:val="009671A4"/>
    <w:rPr>
      <w:sz w:val="16"/>
      <w:szCs w:val="16"/>
    </w:rPr>
  </w:style>
  <w:style w:type="paragraph" w:styleId="CommentText">
    <w:name w:val="annotation text"/>
    <w:basedOn w:val="Normal"/>
    <w:link w:val="CommentTextChar"/>
    <w:uiPriority w:val="99"/>
    <w:semiHidden/>
    <w:unhideWhenUsed/>
    <w:rsid w:val="009671A4"/>
    <w:rPr>
      <w:sz w:val="20"/>
      <w:szCs w:val="20"/>
    </w:rPr>
  </w:style>
  <w:style w:type="character" w:customStyle="1" w:styleId="CommentTextChar">
    <w:name w:val="Comment Text Char"/>
    <w:basedOn w:val="DefaultParagraphFont"/>
    <w:link w:val="CommentText"/>
    <w:uiPriority w:val="99"/>
    <w:semiHidden/>
    <w:rsid w:val="009671A4"/>
    <w:rPr>
      <w:sz w:val="20"/>
      <w:szCs w:val="20"/>
    </w:rPr>
  </w:style>
  <w:style w:type="paragraph" w:styleId="CommentSubject">
    <w:name w:val="annotation subject"/>
    <w:basedOn w:val="CommentText"/>
    <w:next w:val="CommentText"/>
    <w:link w:val="CommentSubjectChar"/>
    <w:uiPriority w:val="99"/>
    <w:semiHidden/>
    <w:unhideWhenUsed/>
    <w:rsid w:val="009671A4"/>
    <w:rPr>
      <w:b/>
      <w:bCs/>
    </w:rPr>
  </w:style>
  <w:style w:type="character" w:customStyle="1" w:styleId="CommentSubjectChar">
    <w:name w:val="Comment Subject Char"/>
    <w:basedOn w:val="CommentTextChar"/>
    <w:link w:val="CommentSubject"/>
    <w:uiPriority w:val="99"/>
    <w:semiHidden/>
    <w:rsid w:val="009671A4"/>
    <w:rPr>
      <w:b/>
      <w:bCs/>
      <w:sz w:val="20"/>
      <w:szCs w:val="20"/>
    </w:rPr>
  </w:style>
  <w:style w:type="character" w:customStyle="1" w:styleId="Heading1Char">
    <w:name w:val="Heading 1 Char"/>
    <w:basedOn w:val="DefaultParagraphFont"/>
    <w:link w:val="Heading1"/>
    <w:uiPriority w:val="9"/>
    <w:rsid w:val="00CF02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02F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909">
      <w:bodyDiv w:val="1"/>
      <w:marLeft w:val="0"/>
      <w:marRight w:val="0"/>
      <w:marTop w:val="0"/>
      <w:marBottom w:val="0"/>
      <w:divBdr>
        <w:top w:val="none" w:sz="0" w:space="0" w:color="auto"/>
        <w:left w:val="none" w:sz="0" w:space="0" w:color="auto"/>
        <w:bottom w:val="none" w:sz="0" w:space="0" w:color="auto"/>
        <w:right w:val="none" w:sz="0" w:space="0" w:color="auto"/>
      </w:divBdr>
    </w:div>
    <w:div w:id="526523044">
      <w:bodyDiv w:val="1"/>
      <w:marLeft w:val="0"/>
      <w:marRight w:val="0"/>
      <w:marTop w:val="0"/>
      <w:marBottom w:val="0"/>
      <w:divBdr>
        <w:top w:val="none" w:sz="0" w:space="0" w:color="auto"/>
        <w:left w:val="none" w:sz="0" w:space="0" w:color="auto"/>
        <w:bottom w:val="none" w:sz="0" w:space="0" w:color="auto"/>
        <w:right w:val="none" w:sz="0" w:space="0" w:color="auto"/>
      </w:divBdr>
    </w:div>
    <w:div w:id="725907983">
      <w:bodyDiv w:val="1"/>
      <w:marLeft w:val="0"/>
      <w:marRight w:val="0"/>
      <w:marTop w:val="0"/>
      <w:marBottom w:val="0"/>
      <w:divBdr>
        <w:top w:val="none" w:sz="0" w:space="0" w:color="auto"/>
        <w:left w:val="none" w:sz="0" w:space="0" w:color="auto"/>
        <w:bottom w:val="none" w:sz="0" w:space="0" w:color="auto"/>
        <w:right w:val="none" w:sz="0" w:space="0" w:color="auto"/>
      </w:divBdr>
    </w:div>
    <w:div w:id="816535626">
      <w:bodyDiv w:val="1"/>
      <w:marLeft w:val="0"/>
      <w:marRight w:val="0"/>
      <w:marTop w:val="0"/>
      <w:marBottom w:val="0"/>
      <w:divBdr>
        <w:top w:val="none" w:sz="0" w:space="0" w:color="auto"/>
        <w:left w:val="none" w:sz="0" w:space="0" w:color="auto"/>
        <w:bottom w:val="none" w:sz="0" w:space="0" w:color="auto"/>
        <w:right w:val="none" w:sz="0" w:space="0" w:color="auto"/>
      </w:divBdr>
    </w:div>
    <w:div w:id="1405641900">
      <w:bodyDiv w:val="1"/>
      <w:marLeft w:val="0"/>
      <w:marRight w:val="0"/>
      <w:marTop w:val="0"/>
      <w:marBottom w:val="0"/>
      <w:divBdr>
        <w:top w:val="none" w:sz="0" w:space="0" w:color="auto"/>
        <w:left w:val="none" w:sz="0" w:space="0" w:color="auto"/>
        <w:bottom w:val="none" w:sz="0" w:space="0" w:color="auto"/>
        <w:right w:val="none" w:sz="0" w:space="0" w:color="auto"/>
      </w:divBdr>
    </w:div>
    <w:div w:id="1442529976">
      <w:bodyDiv w:val="1"/>
      <w:marLeft w:val="0"/>
      <w:marRight w:val="0"/>
      <w:marTop w:val="0"/>
      <w:marBottom w:val="0"/>
      <w:divBdr>
        <w:top w:val="none" w:sz="0" w:space="0" w:color="auto"/>
        <w:left w:val="none" w:sz="0" w:space="0" w:color="auto"/>
        <w:bottom w:val="none" w:sz="0" w:space="0" w:color="auto"/>
        <w:right w:val="none" w:sz="0" w:space="0" w:color="auto"/>
      </w:divBdr>
      <w:divsChild>
        <w:div w:id="232204675">
          <w:marLeft w:val="0"/>
          <w:marRight w:val="0"/>
          <w:marTop w:val="0"/>
          <w:marBottom w:val="0"/>
          <w:divBdr>
            <w:top w:val="none" w:sz="0" w:space="0" w:color="auto"/>
            <w:left w:val="none" w:sz="0" w:space="0" w:color="auto"/>
            <w:bottom w:val="none" w:sz="0" w:space="0" w:color="auto"/>
            <w:right w:val="none" w:sz="0" w:space="0" w:color="auto"/>
          </w:divBdr>
        </w:div>
        <w:div w:id="637808641">
          <w:marLeft w:val="0"/>
          <w:marRight w:val="0"/>
          <w:marTop w:val="0"/>
          <w:marBottom w:val="0"/>
          <w:divBdr>
            <w:top w:val="none" w:sz="0" w:space="0" w:color="auto"/>
            <w:left w:val="none" w:sz="0" w:space="0" w:color="auto"/>
            <w:bottom w:val="none" w:sz="0" w:space="0" w:color="auto"/>
            <w:right w:val="none" w:sz="0" w:space="0" w:color="auto"/>
          </w:divBdr>
        </w:div>
        <w:div w:id="958342444">
          <w:marLeft w:val="0"/>
          <w:marRight w:val="0"/>
          <w:marTop w:val="0"/>
          <w:marBottom w:val="0"/>
          <w:divBdr>
            <w:top w:val="none" w:sz="0" w:space="0" w:color="auto"/>
            <w:left w:val="none" w:sz="0" w:space="0" w:color="auto"/>
            <w:bottom w:val="none" w:sz="0" w:space="0" w:color="auto"/>
            <w:right w:val="none" w:sz="0" w:space="0" w:color="auto"/>
          </w:divBdr>
        </w:div>
        <w:div w:id="328409049">
          <w:marLeft w:val="0"/>
          <w:marRight w:val="0"/>
          <w:marTop w:val="0"/>
          <w:marBottom w:val="0"/>
          <w:divBdr>
            <w:top w:val="none" w:sz="0" w:space="0" w:color="auto"/>
            <w:left w:val="none" w:sz="0" w:space="0" w:color="auto"/>
            <w:bottom w:val="none" w:sz="0" w:space="0" w:color="auto"/>
            <w:right w:val="none" w:sz="0" w:space="0" w:color="auto"/>
          </w:divBdr>
        </w:div>
        <w:div w:id="1345090480">
          <w:marLeft w:val="-225"/>
          <w:marRight w:val="-225"/>
          <w:marTop w:val="0"/>
          <w:marBottom w:val="0"/>
          <w:divBdr>
            <w:top w:val="none" w:sz="0" w:space="0" w:color="auto"/>
            <w:left w:val="none" w:sz="0" w:space="0" w:color="auto"/>
            <w:bottom w:val="none" w:sz="0" w:space="0" w:color="auto"/>
            <w:right w:val="none" w:sz="0" w:space="0" w:color="auto"/>
          </w:divBdr>
          <w:divsChild>
            <w:div w:id="1787382696">
              <w:marLeft w:val="0"/>
              <w:marRight w:val="0"/>
              <w:marTop w:val="75"/>
              <w:marBottom w:val="0"/>
              <w:divBdr>
                <w:top w:val="single" w:sz="6" w:space="0" w:color="BDB9B9"/>
                <w:left w:val="none" w:sz="0" w:space="0" w:color="auto"/>
                <w:bottom w:val="none" w:sz="0" w:space="0" w:color="auto"/>
                <w:right w:val="none" w:sz="0" w:space="0" w:color="auto"/>
              </w:divBdr>
            </w:div>
            <w:div w:id="2035106012">
              <w:marLeft w:val="0"/>
              <w:marRight w:val="0"/>
              <w:marTop w:val="75"/>
              <w:marBottom w:val="300"/>
              <w:divBdr>
                <w:top w:val="none" w:sz="0" w:space="0" w:color="auto"/>
                <w:left w:val="none" w:sz="0" w:space="0" w:color="auto"/>
                <w:bottom w:val="none" w:sz="0" w:space="0" w:color="auto"/>
                <w:right w:val="none" w:sz="0" w:space="0" w:color="auto"/>
              </w:divBdr>
            </w:div>
          </w:divsChild>
        </w:div>
        <w:div w:id="1404789147">
          <w:marLeft w:val="0"/>
          <w:marRight w:val="0"/>
          <w:marTop w:val="0"/>
          <w:marBottom w:val="0"/>
          <w:divBdr>
            <w:top w:val="none" w:sz="0" w:space="0" w:color="auto"/>
            <w:left w:val="none" w:sz="0" w:space="0" w:color="auto"/>
            <w:bottom w:val="none" w:sz="0" w:space="0" w:color="auto"/>
            <w:right w:val="none" w:sz="0" w:space="0" w:color="auto"/>
          </w:divBdr>
        </w:div>
        <w:div w:id="462239548">
          <w:marLeft w:val="0"/>
          <w:marRight w:val="0"/>
          <w:marTop w:val="0"/>
          <w:marBottom w:val="0"/>
          <w:divBdr>
            <w:top w:val="none" w:sz="0" w:space="0" w:color="auto"/>
            <w:left w:val="none" w:sz="0" w:space="0" w:color="auto"/>
            <w:bottom w:val="none" w:sz="0" w:space="0" w:color="auto"/>
            <w:right w:val="none" w:sz="0" w:space="0" w:color="auto"/>
          </w:divBdr>
        </w:div>
        <w:div w:id="167671856">
          <w:marLeft w:val="0"/>
          <w:marRight w:val="0"/>
          <w:marTop w:val="0"/>
          <w:marBottom w:val="0"/>
          <w:divBdr>
            <w:top w:val="none" w:sz="0" w:space="0" w:color="auto"/>
            <w:left w:val="none" w:sz="0" w:space="0" w:color="auto"/>
            <w:bottom w:val="none" w:sz="0" w:space="0" w:color="auto"/>
            <w:right w:val="none" w:sz="0" w:space="0" w:color="auto"/>
          </w:divBdr>
        </w:div>
        <w:div w:id="1731075362">
          <w:marLeft w:val="0"/>
          <w:marRight w:val="0"/>
          <w:marTop w:val="0"/>
          <w:marBottom w:val="0"/>
          <w:divBdr>
            <w:top w:val="none" w:sz="0" w:space="0" w:color="auto"/>
            <w:left w:val="none" w:sz="0" w:space="0" w:color="auto"/>
            <w:bottom w:val="none" w:sz="0" w:space="0" w:color="auto"/>
            <w:right w:val="none" w:sz="0" w:space="0" w:color="auto"/>
          </w:divBdr>
        </w:div>
        <w:div w:id="1020353257">
          <w:marLeft w:val="0"/>
          <w:marRight w:val="0"/>
          <w:marTop w:val="0"/>
          <w:marBottom w:val="0"/>
          <w:divBdr>
            <w:top w:val="none" w:sz="0" w:space="0" w:color="auto"/>
            <w:left w:val="none" w:sz="0" w:space="0" w:color="auto"/>
            <w:bottom w:val="none" w:sz="0" w:space="0" w:color="auto"/>
            <w:right w:val="none" w:sz="0" w:space="0" w:color="auto"/>
          </w:divBdr>
        </w:div>
        <w:div w:id="107243319">
          <w:marLeft w:val="0"/>
          <w:marRight w:val="0"/>
          <w:marTop w:val="0"/>
          <w:marBottom w:val="0"/>
          <w:divBdr>
            <w:top w:val="none" w:sz="0" w:space="0" w:color="auto"/>
            <w:left w:val="none" w:sz="0" w:space="0" w:color="auto"/>
            <w:bottom w:val="none" w:sz="0" w:space="0" w:color="auto"/>
            <w:right w:val="none" w:sz="0" w:space="0" w:color="auto"/>
          </w:divBdr>
        </w:div>
        <w:div w:id="1601717398">
          <w:marLeft w:val="0"/>
          <w:marRight w:val="0"/>
          <w:marTop w:val="0"/>
          <w:marBottom w:val="0"/>
          <w:divBdr>
            <w:top w:val="none" w:sz="0" w:space="0" w:color="auto"/>
            <w:left w:val="none" w:sz="0" w:space="0" w:color="auto"/>
            <w:bottom w:val="none" w:sz="0" w:space="0" w:color="auto"/>
            <w:right w:val="none" w:sz="0" w:space="0" w:color="auto"/>
          </w:divBdr>
        </w:div>
        <w:div w:id="1219125183">
          <w:marLeft w:val="0"/>
          <w:marRight w:val="0"/>
          <w:marTop w:val="0"/>
          <w:marBottom w:val="0"/>
          <w:divBdr>
            <w:top w:val="none" w:sz="0" w:space="0" w:color="auto"/>
            <w:left w:val="none" w:sz="0" w:space="0" w:color="auto"/>
            <w:bottom w:val="none" w:sz="0" w:space="0" w:color="auto"/>
            <w:right w:val="none" w:sz="0" w:space="0" w:color="auto"/>
          </w:divBdr>
        </w:div>
      </w:divsChild>
    </w:div>
    <w:div w:id="1551385496">
      <w:bodyDiv w:val="1"/>
      <w:marLeft w:val="0"/>
      <w:marRight w:val="0"/>
      <w:marTop w:val="0"/>
      <w:marBottom w:val="0"/>
      <w:divBdr>
        <w:top w:val="none" w:sz="0" w:space="0" w:color="auto"/>
        <w:left w:val="none" w:sz="0" w:space="0" w:color="auto"/>
        <w:bottom w:val="none" w:sz="0" w:space="0" w:color="auto"/>
        <w:right w:val="none" w:sz="0" w:space="0" w:color="auto"/>
      </w:divBdr>
    </w:div>
    <w:div w:id="158696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https://www.nimh.nih.gov/about/director/messages/index.shtml" TargetMode="External"/><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www.facebook.com/nimhgov" TargetMode="External"/><Relationship Id="rId34" Type="http://schemas.openxmlformats.org/officeDocument/2006/relationships/hyperlink" Target="https://subscriberhelp.granicus.com/" TargetMode="External"/><Relationship Id="rId7" Type="http://schemas.openxmlformats.org/officeDocument/2006/relationships/image" Target="media/image1.png"/><Relationship Id="rId12" Type="http://schemas.openxmlformats.org/officeDocument/2006/relationships/hyperlink" Target="https://www.nimh.nih.gov/news/science-news/index.shtml" TargetMode="External"/><Relationship Id="rId17" Type="http://schemas.openxmlformats.org/officeDocument/2006/relationships/hyperlink" Target="mailto:nimhinfo@nih.gov" TargetMode="External"/><Relationship Id="rId25" Type="http://schemas.openxmlformats.org/officeDocument/2006/relationships/hyperlink" Target="https://www.youtube.com/nimhgov" TargetMode="External"/><Relationship Id="rId33" Type="http://schemas.openxmlformats.org/officeDocument/2006/relationships/hyperlink" Target="https://subscriberhelp.govdelivery.com/"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nimh.nih.gov/about/director/messages/index.shtml" TargetMode="External"/><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https://www.nimh.nih.gov/" TargetMode="External"/><Relationship Id="rId11" Type="http://schemas.openxmlformats.org/officeDocument/2006/relationships/image" Target="media/image3.jpeg"/><Relationship Id="rId24" Type="http://schemas.openxmlformats.org/officeDocument/2006/relationships/image" Target="media/image8.png"/><Relationship Id="rId32" Type="http://schemas.openxmlformats.org/officeDocument/2006/relationships/hyperlink" Target="file:///C:\Users\abdelmot\Downloads\%5b%5bONECLICK_UNSUB_URL%5d%5d" TargetMode="External"/><Relationship Id="rId37" Type="http://schemas.openxmlformats.org/officeDocument/2006/relationships/theme" Target="theme/theme1.xml"/><Relationship Id="rId5" Type="http://schemas.openxmlformats.org/officeDocument/2006/relationships/hyperlink" Target="https://www.instagram.com/nimhgov/" TargetMode="External"/><Relationship Id="rId15" Type="http://schemas.openxmlformats.org/officeDocument/2006/relationships/hyperlink" Target="http://www.nimh.nih.gov/" TargetMode="External"/><Relationship Id="rId23" Type="http://schemas.openxmlformats.org/officeDocument/2006/relationships/hyperlink" Target="http://www.twitter.com/NIMHgov" TargetMode="External"/><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hyperlink" Target="https://admin.govdelivery.com/abe/templates/241354/edit" TargetMode="External"/><Relationship Id="rId19" Type="http://schemas.openxmlformats.org/officeDocument/2006/relationships/image" Target="media/image6.png"/><Relationship Id="rId31" Type="http://schemas.openxmlformats.org/officeDocument/2006/relationships/hyperlink" Target="http://public.govdelivery.com/accounts/USNIMH/subscribers/new?preferences=true" TargetMode="External"/><Relationship Id="rId4" Type="http://schemas.openxmlformats.org/officeDocument/2006/relationships/webSettings" Target="webSettings.xml"/><Relationship Id="rId9" Type="http://schemas.openxmlformats.org/officeDocument/2006/relationships/hyperlink" Target="mailto:SSPsyGene@mail.nih.gov" TargetMode="External"/><Relationship Id="rId14" Type="http://schemas.openxmlformats.org/officeDocument/2006/relationships/hyperlink" Target="https://www.nimh.nih.gov/news/science-news/index.shtml" TargetMode="External"/><Relationship Id="rId22" Type="http://schemas.openxmlformats.org/officeDocument/2006/relationships/image" Target="media/image7.png"/><Relationship Id="rId27" Type="http://schemas.openxmlformats.org/officeDocument/2006/relationships/hyperlink" Target="https://www.linkedin.com/company/national-institute-of-mental-health-nimh" TargetMode="External"/><Relationship Id="rId30" Type="http://schemas.openxmlformats.org/officeDocument/2006/relationships/image" Target="media/image12.png"/><Relationship Id="rId35"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 Rebecca (NIH/NIMH) [E]</dc:creator>
  <cp:keywords/>
  <dc:description/>
  <cp:lastModifiedBy>Abdelmouti, Tawanda (NIH/OD) [E]</cp:lastModifiedBy>
  <cp:revision>2</cp:revision>
  <dcterms:created xsi:type="dcterms:W3CDTF">2022-01-26T00:57:00Z</dcterms:created>
  <dcterms:modified xsi:type="dcterms:W3CDTF">2022-01-26T00:57:00Z</dcterms:modified>
</cp:coreProperties>
</file>