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69D" w:rsidP="0094269D" w:rsidRDefault="00F06866" w14:paraId="5EC996E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76AE8E8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CC149D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891ABB">
        <w:rPr>
          <w:sz w:val="28"/>
        </w:rPr>
        <w:t>07</w:t>
      </w:r>
      <w:r w:rsidR="00BD4927">
        <w:rPr>
          <w:sz w:val="28"/>
        </w:rPr>
        <w:t>/</w:t>
      </w:r>
      <w:r w:rsidR="00CC149D">
        <w:rPr>
          <w:sz w:val="28"/>
        </w:rPr>
        <w:t>20</w:t>
      </w:r>
      <w:r w:rsidR="00891ABB">
        <w:rPr>
          <w:sz w:val="28"/>
        </w:rPr>
        <w:t>22</w:t>
      </w:r>
      <w:r>
        <w:rPr>
          <w:sz w:val="28"/>
        </w:rPr>
        <w:t>)</w:t>
      </w:r>
    </w:p>
    <w:p w:rsidRPr="00380560" w:rsidR="00380560" w:rsidP="00434E33" w:rsidRDefault="00380560" w14:paraId="219DD75D" w14:textId="77777777">
      <w:pPr>
        <w:rPr>
          <w:b/>
        </w:rPr>
      </w:pPr>
      <w:r w:rsidRPr="00380560">
        <w:rPr>
          <w:b/>
        </w:rPr>
        <w:t>______________________________________________________________________________</w:t>
      </w:r>
    </w:p>
    <w:p w:rsidRPr="00380560" w:rsidR="005E714A" w:rsidRDefault="005E714A" w14:paraId="3F5BBEDC" w14:textId="77777777">
      <w:pPr>
        <w:rPr>
          <w:b/>
        </w:rPr>
      </w:pPr>
    </w:p>
    <w:p w:rsidRPr="009239AA" w:rsidR="00380560" w:rsidP="00380560" w:rsidRDefault="00380560" w14:paraId="3DB5E0FA" w14:textId="77777777">
      <w:pPr>
        <w:rPr>
          <w:b/>
        </w:rPr>
      </w:pPr>
      <w:r w:rsidRPr="00380560">
        <w:rPr>
          <w:b/>
          <w:bCs/>
        </w:rPr>
        <w:t>TITLE OF INFORMATION COLLECTION:</w:t>
      </w:r>
      <w:r>
        <w:rPr>
          <w:b/>
          <w:bCs/>
        </w:rPr>
        <w:t xml:space="preserve"> </w:t>
      </w:r>
      <w:r>
        <w:t>2021 NLM</w:t>
      </w:r>
      <w:r w:rsidR="00936667">
        <w:t>/NCBI</w:t>
      </w:r>
      <w:r w:rsidR="00D45292">
        <w:t xml:space="preserve"> </w:t>
      </w:r>
      <w:r>
        <w:t>Codeathon Workshop Applications</w:t>
      </w:r>
    </w:p>
    <w:p w:rsidR="00380560" w:rsidRDefault="00380560" w14:paraId="0584B59C" w14:textId="77777777"/>
    <w:p w:rsidR="00C8488C" w:rsidP="00AE53CA" w:rsidRDefault="00F15956" w14:paraId="4F37CC88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E045FE" w:rsidR="00E045FE">
        <w:t xml:space="preserve">The purpose of this </w:t>
      </w:r>
      <w:r w:rsidR="00F3587F">
        <w:t xml:space="preserve">National Library of Medicine (NLM) </w:t>
      </w:r>
      <w:r w:rsidRPr="00E045FE" w:rsidR="00E045FE">
        <w:t xml:space="preserve">information collection is to </w:t>
      </w:r>
      <w:r w:rsidR="00DA6971">
        <w:t>gather</w:t>
      </w:r>
      <w:r w:rsidRPr="00E045FE" w:rsidR="00E045FE">
        <w:t xml:space="preserve"> general </w:t>
      </w:r>
      <w:r w:rsidR="00C924DB">
        <w:t>applicant</w:t>
      </w:r>
      <w:r w:rsidRPr="00E045FE" w:rsidR="00E045FE">
        <w:t xml:space="preserve"> information (e.g., name, institution, and contact information), </w:t>
      </w:r>
      <w:r w:rsidR="00C924DB">
        <w:t>area of expertise</w:t>
      </w:r>
      <w:r w:rsidRPr="00E045FE" w:rsidR="00E045FE">
        <w:t xml:space="preserve">, and </w:t>
      </w:r>
      <w:r w:rsidR="00C924DB">
        <w:t>interest areas</w:t>
      </w:r>
      <w:r w:rsidRPr="00E045FE" w:rsidR="00E045FE">
        <w:t xml:space="preserve"> </w:t>
      </w:r>
      <w:r w:rsidR="00ED5248">
        <w:t>from 20</w:t>
      </w:r>
      <w:r w:rsidR="00891ABB">
        <w:t>2</w:t>
      </w:r>
      <w:r w:rsidR="006D4F26">
        <w:t>1</w:t>
      </w:r>
      <w:r w:rsidR="00ED5248">
        <w:t xml:space="preserve"> </w:t>
      </w:r>
      <w:r w:rsidR="00F23BFE">
        <w:t>NLM</w:t>
      </w:r>
      <w:r w:rsidRPr="00E045FE" w:rsidR="00C924DB">
        <w:t xml:space="preserve"> </w:t>
      </w:r>
      <w:r w:rsidR="00D45292">
        <w:t xml:space="preserve">National Center for Biotechnology Information (NCBI) </w:t>
      </w:r>
      <w:r w:rsidR="00891ABB">
        <w:t>Code</w:t>
      </w:r>
      <w:r w:rsidRPr="00E045FE" w:rsidR="00C924DB">
        <w:t>athon</w:t>
      </w:r>
      <w:r w:rsidR="006D4F26">
        <w:t xml:space="preserve"> Workshop </w:t>
      </w:r>
      <w:r w:rsidR="00C924DB">
        <w:t>applicants</w:t>
      </w:r>
      <w:r w:rsidRPr="00E045FE" w:rsidR="00E045FE">
        <w:t xml:space="preserve">. </w:t>
      </w:r>
      <w:r w:rsidR="00155FEC">
        <w:t>C</w:t>
      </w:r>
      <w:r w:rsidR="006D4F26">
        <w:t>odeathons</w:t>
      </w:r>
      <w:r w:rsidR="00F23BFE">
        <w:t xml:space="preserve"> </w:t>
      </w:r>
      <w:r w:rsidR="00F47AE6">
        <w:t xml:space="preserve">participants </w:t>
      </w:r>
      <w:r w:rsidR="00F23BFE">
        <w:t xml:space="preserve">will </w:t>
      </w:r>
      <w:r w:rsidR="003E1DB9">
        <w:t>have</w:t>
      </w:r>
      <w:r w:rsidRPr="00AE53CA" w:rsidR="00AE53CA">
        <w:t xml:space="preserve"> various backgrounds and expertise</w:t>
      </w:r>
      <w:r w:rsidR="00F47AE6">
        <w:t xml:space="preserve"> to</w:t>
      </w:r>
      <w:r w:rsidRPr="00AE53CA" w:rsidR="00AE53CA">
        <w:t xml:space="preserve"> build pipelines and tools to analyze large datasets</w:t>
      </w:r>
      <w:r w:rsidR="001B0D97">
        <w:t xml:space="preserve"> on various platforms including</w:t>
      </w:r>
      <w:r w:rsidR="00B85BA4">
        <w:t xml:space="preserve"> cloud </w:t>
      </w:r>
      <w:r w:rsidR="00FA43B7">
        <w:t>infrastructure</w:t>
      </w:r>
      <w:r w:rsidRPr="00AE53CA" w:rsidR="00AE53CA">
        <w:t>.</w:t>
      </w:r>
      <w:r w:rsidR="006D4F26">
        <w:t xml:space="preserve"> </w:t>
      </w:r>
      <w:r w:rsidR="00F47AE6">
        <w:t>Workshop p</w:t>
      </w:r>
      <w:r w:rsidR="006D4F26">
        <w:t>articipants</w:t>
      </w:r>
      <w:r w:rsidR="00F47AE6">
        <w:t xml:space="preserve"> </w:t>
      </w:r>
      <w:r w:rsidR="006D4F26">
        <w:t xml:space="preserve">will attend lectures and participate in instructor-led hands-on </w:t>
      </w:r>
      <w:r w:rsidR="00F47AE6">
        <w:t>practical sessions</w:t>
      </w:r>
      <w:r w:rsidR="006D4F26">
        <w:t xml:space="preserve"> using NLM</w:t>
      </w:r>
      <w:r w:rsidR="006660B5">
        <w:t>/NCBI</w:t>
      </w:r>
      <w:r w:rsidR="006D4F26">
        <w:t xml:space="preserve"> tools and databases on various platforms.</w:t>
      </w:r>
      <w:r w:rsidR="00DA6971">
        <w:t xml:space="preserve"> </w:t>
      </w:r>
    </w:p>
    <w:p w:rsidR="00C8488C" w:rsidP="00434E33" w:rsidRDefault="00C8488C" w14:paraId="2AAE535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C924DB" w:rsidRDefault="00434E33" w14:paraId="7CC06448" w14:textId="77777777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AE53CA">
        <w:t>Applicants are individuals interested in participating in</w:t>
      </w:r>
      <w:r w:rsidR="00C924DB">
        <w:t xml:space="preserve"> </w:t>
      </w:r>
      <w:r w:rsidR="00AE53CA">
        <w:t>the 20</w:t>
      </w:r>
      <w:r w:rsidR="00891ABB">
        <w:t>2</w:t>
      </w:r>
      <w:r w:rsidR="00782387">
        <w:t>1</w:t>
      </w:r>
      <w:r w:rsidR="00AE53CA">
        <w:t xml:space="preserve"> </w:t>
      </w:r>
      <w:r w:rsidR="00782387">
        <w:t>NCBI/</w:t>
      </w:r>
      <w:r w:rsidR="00ED5248">
        <w:t>NLM</w:t>
      </w:r>
      <w:r w:rsidR="00AE53CA">
        <w:t xml:space="preserve"> </w:t>
      </w:r>
      <w:r w:rsidR="00891ABB">
        <w:t>Codeathon</w:t>
      </w:r>
      <w:r w:rsidR="00ED5248">
        <w:t>s</w:t>
      </w:r>
      <w:r w:rsidR="00782387">
        <w:t xml:space="preserve"> </w:t>
      </w:r>
      <w:r w:rsidR="00FA43B7">
        <w:t>W</w:t>
      </w:r>
      <w:r w:rsidR="00782387">
        <w:t>orkshops</w:t>
      </w:r>
      <w:r w:rsidR="00DA6971">
        <w:t>,</w:t>
      </w:r>
      <w:r w:rsidR="00AE53CA">
        <w:t xml:space="preserve"> which will be</w:t>
      </w:r>
      <w:r w:rsidR="00DA6971">
        <w:t xml:space="preserve"> open</w:t>
      </w:r>
      <w:r w:rsidR="00AE53CA">
        <w:t xml:space="preserve"> </w:t>
      </w:r>
      <w:r w:rsidR="00782387">
        <w:t xml:space="preserve">to </w:t>
      </w:r>
      <w:r w:rsidR="00DA6971">
        <w:t>participants in</w:t>
      </w:r>
      <w:r w:rsidR="00782387">
        <w:t xml:space="preserve"> </w:t>
      </w:r>
      <w:r w:rsidR="00ED5248">
        <w:t>United States</w:t>
      </w:r>
      <w:r w:rsidR="00C924DB">
        <w:t xml:space="preserve">. </w:t>
      </w:r>
    </w:p>
    <w:p w:rsidR="00E26329" w:rsidRDefault="00E26329" w14:paraId="7BD40E05" w14:textId="77777777">
      <w:pPr>
        <w:rPr>
          <w:b/>
        </w:rPr>
      </w:pPr>
    </w:p>
    <w:p w:rsidRPr="00DA7B4C" w:rsidR="00F06866" w:rsidRDefault="00F06866" w14:paraId="112ADD5D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:rsidRPr="00DA7B4C" w:rsidR="00441434" w:rsidP="0096108F" w:rsidRDefault="00441434" w14:paraId="347B02E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6E2AB0F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 ]</w:t>
      </w:r>
      <w:proofErr w:type="gramEnd"/>
      <w:r w:rsidRPr="00DA7B4C">
        <w:rPr>
          <w:bCs/>
          <w:sz w:val="24"/>
        </w:rPr>
        <w:t xml:space="preserve">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>[</w:t>
      </w:r>
      <w:r w:rsidR="00F3587F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96108F" w:rsidRDefault="0096108F" w14:paraId="76D36F7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 ]</w:t>
      </w:r>
      <w:proofErr w:type="gramEnd"/>
      <w:r w:rsidRPr="00DA7B4C">
        <w:rPr>
          <w:bCs/>
          <w:sz w:val="24"/>
        </w:rPr>
        <w:t xml:space="preserve">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 w:rsidR="00F06866">
        <w:rPr>
          <w:bCs/>
          <w:sz w:val="24"/>
        </w:rPr>
        <w:t>[ ]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867CE3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15F17C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8201A8A" w14:textId="77777777">
      <w:pPr>
        <w:rPr>
          <w:sz w:val="16"/>
          <w:szCs w:val="16"/>
        </w:rPr>
      </w:pPr>
    </w:p>
    <w:p w:rsidRPr="009C13B9" w:rsidR="008101A5" w:rsidP="008101A5" w:rsidRDefault="008101A5" w14:paraId="72A6F386" w14:textId="77777777">
      <w:r>
        <w:t xml:space="preserve">I certify the following to be true: </w:t>
      </w:r>
    </w:p>
    <w:p w:rsidR="008101A5" w:rsidP="008101A5" w:rsidRDefault="008101A5" w14:paraId="09D96241" w14:textId="77777777">
      <w:pPr>
        <w:pStyle w:val="ColorfulList-Accent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39B13C7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F52B407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42D13866" w14:textId="77777777">
      <w:pPr>
        <w:pStyle w:val="ColorfulList-Accent1"/>
        <w:ind w:left="0"/>
      </w:pPr>
      <w:r>
        <w:tab/>
      </w:r>
      <w:r>
        <w:tab/>
      </w:r>
    </w:p>
    <w:p w:rsidR="009C13B9" w:rsidP="009C13B9" w:rsidRDefault="009C13B9" w14:paraId="6F6D824F" w14:textId="77777777">
      <w:r>
        <w:t>Name</w:t>
      </w:r>
      <w:r w:rsidR="00C924DB">
        <w:t xml:space="preserve">: </w:t>
      </w:r>
      <w:r w:rsidRPr="00C924DB" w:rsidR="00C924DB">
        <w:rPr>
          <w:u w:val="single"/>
        </w:rPr>
        <w:t>Barton W. Trawick, Ph.D., Director, Customer Services Division, NIH/NLM/NCBI</w:t>
      </w:r>
    </w:p>
    <w:p w:rsidR="009C13B9" w:rsidP="009C13B9" w:rsidRDefault="009C13B9" w14:paraId="572D080F" w14:textId="77777777">
      <w:pPr>
        <w:pStyle w:val="ColorfulList-Accent1"/>
        <w:ind w:left="360"/>
      </w:pPr>
    </w:p>
    <w:p w:rsidR="009C13B9" w:rsidP="009C13B9" w:rsidRDefault="009C13B9" w14:paraId="759B0EEC" w14:textId="77777777">
      <w:r>
        <w:t>To assist review, please provide answers to the following question:</w:t>
      </w:r>
    </w:p>
    <w:p w:rsidR="009C13B9" w:rsidP="009C13B9" w:rsidRDefault="009C13B9" w14:paraId="58986E04" w14:textId="77777777">
      <w:pPr>
        <w:pStyle w:val="ColorfulList-Accent1"/>
        <w:ind w:left="360"/>
      </w:pPr>
    </w:p>
    <w:p w:rsidRPr="00C86E91" w:rsidR="009C13B9" w:rsidP="00C86E91" w:rsidRDefault="00C86E91" w14:paraId="6AC17A13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B7516F4" w14:textId="77777777">
      <w:pPr>
        <w:pStyle w:val="ColorfulList-Accent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0436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ED5248">
        <w:t xml:space="preserve"> </w:t>
      </w:r>
      <w:r w:rsidR="009239AA">
        <w:t xml:space="preserve">]  No </w:t>
      </w:r>
    </w:p>
    <w:p w:rsidR="00C86E91" w:rsidP="00C86E91" w:rsidRDefault="009C13B9" w14:paraId="75FE3F44" w14:textId="77777777">
      <w:pPr>
        <w:pStyle w:val="ColorfulList-Accent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0436">
        <w:t>X</w:t>
      </w:r>
      <w:r w:rsidR="009239AA">
        <w:t xml:space="preserve">] Yes </w:t>
      </w:r>
      <w:proofErr w:type="gramStart"/>
      <w:r w:rsidR="009239AA">
        <w:t>[  ]</w:t>
      </w:r>
      <w:proofErr w:type="gramEnd"/>
      <w:r w:rsidR="009239AA">
        <w:t xml:space="preserve"> No</w:t>
      </w:r>
      <w:r w:rsidR="00C86E91">
        <w:t xml:space="preserve">   </w:t>
      </w:r>
    </w:p>
    <w:p w:rsidR="00633F74" w:rsidP="00633F74" w:rsidRDefault="00633F74" w14:paraId="35CE0F7C" w14:textId="77777777">
      <w:pPr>
        <w:pStyle w:val="ColorfulList-Accent1"/>
        <w:ind w:left="360"/>
      </w:pPr>
    </w:p>
    <w:p w:rsidRPr="00DA7B4C" w:rsidR="00C86E91" w:rsidP="00C86E91" w:rsidRDefault="00CB1078" w14:paraId="3D34E495" w14:textId="77777777">
      <w:pPr>
        <w:pStyle w:val="ColorfulList-Accent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31320E7B" w14:textId="77777777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 ]</w:t>
      </w:r>
      <w:proofErr w:type="gramEnd"/>
      <w:r w:rsidRPr="00DA7B4C">
        <w:t xml:space="preserve"> Yes [</w:t>
      </w:r>
      <w:r w:rsidR="00B25177">
        <w:t>X</w:t>
      </w:r>
      <w:r w:rsidRPr="00DA7B4C">
        <w:t>] No</w:t>
      </w:r>
      <w:r>
        <w:t xml:space="preserve">  </w:t>
      </w:r>
    </w:p>
    <w:p w:rsidR="006A0D31" w:rsidP="006A0D31" w:rsidRDefault="006A0D31" w14:paraId="6862632B" w14:textId="77777777">
      <w:r>
        <w:t>Amount: ___________</w:t>
      </w:r>
    </w:p>
    <w:p w:rsidR="006A0D31" w:rsidP="006A0D31" w:rsidRDefault="006A0D31" w14:paraId="21834456" w14:textId="77777777">
      <w:r>
        <w:t>Explanation for incentive: (include number of visits, etc.)</w:t>
      </w:r>
    </w:p>
    <w:p w:rsidR="006A0D31" w:rsidP="00C86E91" w:rsidRDefault="006A0D31" w14:paraId="43E1574E" w14:textId="77777777"/>
    <w:p w:rsidR="004D6E14" w:rsidRDefault="004D6E14" w14:paraId="36DF30CA" w14:textId="77777777">
      <w:pPr>
        <w:rPr>
          <w:b/>
        </w:rPr>
      </w:pPr>
    </w:p>
    <w:p w:rsidR="00F24CFC" w:rsidRDefault="00F24CFC" w14:paraId="2B5F8CFA" w14:textId="77777777">
      <w:pPr>
        <w:rPr>
          <w:b/>
        </w:rPr>
      </w:pPr>
    </w:p>
    <w:p w:rsidRPr="00BC676D" w:rsidR="005E714A" w:rsidP="00C86E91" w:rsidRDefault="003668D6" w14:paraId="0BB01343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7CDFACE8" w14:textId="77777777">
      <w:pPr>
        <w:keepNext/>
        <w:keepLines/>
        <w:rPr>
          <w:b/>
        </w:rPr>
      </w:pPr>
    </w:p>
    <w:tbl>
      <w:tblPr>
        <w:tblW w:w="1001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2101"/>
        <w:gridCol w:w="2354"/>
        <w:gridCol w:w="1513"/>
        <w:gridCol w:w="1445"/>
      </w:tblGrid>
      <w:tr w:rsidR="003668D6" w:rsidTr="00AD7E31" w14:paraId="62C283EA" w14:textId="77777777">
        <w:trPr>
          <w:trHeight w:val="235"/>
        </w:trPr>
        <w:tc>
          <w:tcPr>
            <w:tcW w:w="2606" w:type="dxa"/>
          </w:tcPr>
          <w:p w:rsidRPr="002D26E2" w:rsidR="003668D6" w:rsidP="00C8488C" w:rsidRDefault="003668D6" w14:paraId="2BF929A2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101" w:type="dxa"/>
          </w:tcPr>
          <w:p w:rsidRPr="002D26E2" w:rsidR="003668D6" w:rsidP="00843796" w:rsidRDefault="003668D6" w14:paraId="10BEEE51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354" w:type="dxa"/>
          </w:tcPr>
          <w:p w:rsidRPr="002D26E2" w:rsidR="003668D6" w:rsidP="00843796" w:rsidRDefault="003668D6" w14:paraId="07C9515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13" w:type="dxa"/>
          </w:tcPr>
          <w:p w:rsidR="003668D6" w:rsidP="00843796" w:rsidRDefault="003668D6" w14:paraId="5141A3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E3BE0C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A2BB013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445" w:type="dxa"/>
          </w:tcPr>
          <w:p w:rsidR="003668D6" w:rsidP="00843796" w:rsidRDefault="003668D6" w14:paraId="390EAB0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2C53658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AD7E31" w14:paraId="42C757C2" w14:textId="77777777">
        <w:trPr>
          <w:trHeight w:val="223"/>
        </w:trPr>
        <w:tc>
          <w:tcPr>
            <w:tcW w:w="2606" w:type="dxa"/>
          </w:tcPr>
          <w:p w:rsidR="003668D6" w:rsidP="00843796" w:rsidRDefault="00184CB2" w14:paraId="5B4B9FD2" w14:textId="77777777">
            <w:r>
              <w:t>Individual</w:t>
            </w:r>
          </w:p>
        </w:tc>
        <w:tc>
          <w:tcPr>
            <w:tcW w:w="2101" w:type="dxa"/>
          </w:tcPr>
          <w:p w:rsidR="003668D6" w:rsidP="00843796" w:rsidRDefault="00375554" w14:paraId="7F3F16C6" w14:textId="77777777">
            <w:r>
              <w:t xml:space="preserve">   </w:t>
            </w:r>
            <w:r w:rsidR="00C2405E">
              <w:t>10</w:t>
            </w:r>
            <w:r w:rsidR="00184CB2">
              <w:t>0</w:t>
            </w:r>
            <w:r w:rsidR="00ED5248">
              <w:t>0</w:t>
            </w:r>
          </w:p>
        </w:tc>
        <w:tc>
          <w:tcPr>
            <w:tcW w:w="2354" w:type="dxa"/>
          </w:tcPr>
          <w:p w:rsidR="003668D6" w:rsidP="00843796" w:rsidRDefault="00375554" w14:paraId="3259A1D1" w14:textId="77777777">
            <w:r>
              <w:t xml:space="preserve">           </w:t>
            </w:r>
            <w:r w:rsidR="00184CB2">
              <w:t>1</w:t>
            </w:r>
          </w:p>
        </w:tc>
        <w:tc>
          <w:tcPr>
            <w:tcW w:w="1513" w:type="dxa"/>
          </w:tcPr>
          <w:p w:rsidR="003668D6" w:rsidP="00843796" w:rsidRDefault="00C2405E" w14:paraId="33A19A61" w14:textId="77777777">
            <w:r>
              <w:t>1</w:t>
            </w:r>
            <w:r w:rsidR="00CC3C77">
              <w:t>0</w:t>
            </w:r>
            <w:r>
              <w:t>/60</w:t>
            </w:r>
          </w:p>
        </w:tc>
        <w:tc>
          <w:tcPr>
            <w:tcW w:w="1445" w:type="dxa"/>
          </w:tcPr>
          <w:p w:rsidR="003668D6" w:rsidP="00843796" w:rsidRDefault="00B148D6" w14:paraId="59AC51B4" w14:textId="77777777">
            <w:r>
              <w:t xml:space="preserve">  </w:t>
            </w:r>
            <w:r w:rsidR="00CC3C77">
              <w:t>1</w:t>
            </w:r>
            <w:r w:rsidR="004D4D54">
              <w:t>67</w:t>
            </w:r>
          </w:p>
        </w:tc>
      </w:tr>
      <w:tr w:rsidR="003668D6" w:rsidTr="00AD7E31" w14:paraId="72DF3EB5" w14:textId="77777777">
        <w:trPr>
          <w:trHeight w:val="248"/>
        </w:trPr>
        <w:tc>
          <w:tcPr>
            <w:tcW w:w="2606" w:type="dxa"/>
          </w:tcPr>
          <w:p w:rsidRPr="002D26E2" w:rsidR="003668D6" w:rsidP="00843796" w:rsidRDefault="003668D6" w14:paraId="747E807F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101" w:type="dxa"/>
          </w:tcPr>
          <w:p w:rsidRPr="002D26E2" w:rsidR="003668D6" w:rsidP="00843796" w:rsidRDefault="00375554" w14:paraId="34146BDE" w14:textId="7777777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2405E">
              <w:rPr>
                <w:b/>
              </w:rPr>
              <w:t>10</w:t>
            </w:r>
            <w:r w:rsidR="00184CB2">
              <w:rPr>
                <w:b/>
              </w:rPr>
              <w:t>0</w:t>
            </w:r>
            <w:r w:rsidR="00ED5248">
              <w:rPr>
                <w:b/>
              </w:rPr>
              <w:t>0</w:t>
            </w:r>
          </w:p>
        </w:tc>
        <w:tc>
          <w:tcPr>
            <w:tcW w:w="2354" w:type="dxa"/>
          </w:tcPr>
          <w:p w:rsidRPr="00375554" w:rsidR="003668D6" w:rsidP="00843796" w:rsidRDefault="00375554" w14:paraId="0E7AF480" w14:textId="77777777">
            <w:pPr>
              <w:rPr>
                <w:b/>
                <w:bCs/>
              </w:rPr>
            </w:pPr>
            <w:r>
              <w:t xml:space="preserve">      </w:t>
            </w:r>
            <w:r w:rsidRPr="00375554" w:rsidR="00184CB2">
              <w:rPr>
                <w:b/>
                <w:bCs/>
              </w:rPr>
              <w:t>1</w:t>
            </w:r>
            <w:r w:rsidRPr="00375554">
              <w:rPr>
                <w:b/>
                <w:bCs/>
              </w:rPr>
              <w:t>000</w:t>
            </w:r>
          </w:p>
        </w:tc>
        <w:tc>
          <w:tcPr>
            <w:tcW w:w="1513" w:type="dxa"/>
          </w:tcPr>
          <w:p w:rsidR="003668D6" w:rsidP="00843796" w:rsidRDefault="003668D6" w14:paraId="1E02859A" w14:textId="77777777"/>
        </w:tc>
        <w:tc>
          <w:tcPr>
            <w:tcW w:w="1445" w:type="dxa"/>
          </w:tcPr>
          <w:p w:rsidRPr="002D26E2" w:rsidR="003668D6" w:rsidP="00843796" w:rsidRDefault="00B148D6" w14:paraId="61CC3A23" w14:textId="7777777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C3C77">
              <w:rPr>
                <w:b/>
              </w:rPr>
              <w:t>1</w:t>
            </w:r>
            <w:r w:rsidR="004D4D54">
              <w:rPr>
                <w:b/>
              </w:rPr>
              <w:t>67</w:t>
            </w:r>
          </w:p>
        </w:tc>
      </w:tr>
    </w:tbl>
    <w:p w:rsidR="00F3170F" w:rsidP="00F3170F" w:rsidRDefault="00F3170F" w14:paraId="79759877" w14:textId="77777777"/>
    <w:p w:rsidRPr="009A036B" w:rsidR="009A036B" w:rsidP="009A036B" w:rsidRDefault="009A036B" w14:paraId="2F671108" w14:textId="77777777">
      <w:pPr>
        <w:rPr>
          <w:b/>
        </w:rPr>
      </w:pPr>
    </w:p>
    <w:tbl>
      <w:tblPr>
        <w:tblW w:w="10051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29"/>
        <w:gridCol w:w="2523"/>
        <w:gridCol w:w="2425"/>
        <w:gridCol w:w="1974"/>
      </w:tblGrid>
      <w:tr w:rsidRPr="009A036B" w:rsidR="00CA2010" w:rsidTr="00375554" w14:paraId="3648A321" w14:textId="77777777">
        <w:trPr>
          <w:trHeight w:val="351"/>
        </w:trPr>
        <w:tc>
          <w:tcPr>
            <w:tcW w:w="3129" w:type="dxa"/>
          </w:tcPr>
          <w:p w:rsidRPr="009A036B" w:rsidR="00CA2010" w:rsidP="00CA2010" w:rsidRDefault="00CA2010" w14:paraId="200526DE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0B0C6A7" w14:textId="77777777">
            <w:pPr>
              <w:rPr>
                <w:b/>
              </w:rPr>
            </w:pPr>
          </w:p>
        </w:tc>
        <w:tc>
          <w:tcPr>
            <w:tcW w:w="2523" w:type="dxa"/>
          </w:tcPr>
          <w:p w:rsidRPr="00CA2010" w:rsidR="00CA2010" w:rsidP="00CA2010" w:rsidRDefault="00CA2010" w14:paraId="18C1AA65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8B2A13C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425" w:type="dxa"/>
          </w:tcPr>
          <w:p w:rsidRPr="009A036B" w:rsidR="00CA2010" w:rsidP="009A036B" w:rsidRDefault="00CA2010" w14:paraId="57E05725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974" w:type="dxa"/>
          </w:tcPr>
          <w:p w:rsidRPr="009A036B" w:rsidR="00CA2010" w:rsidP="009A036B" w:rsidRDefault="00CA2010" w14:paraId="547C0E97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375554" w14:paraId="0612AC86" w14:textId="77777777">
        <w:trPr>
          <w:trHeight w:val="333"/>
        </w:trPr>
        <w:tc>
          <w:tcPr>
            <w:tcW w:w="3129" w:type="dxa"/>
          </w:tcPr>
          <w:p w:rsidRPr="009A036B" w:rsidR="00CA2010" w:rsidP="009A036B" w:rsidRDefault="00184CB2" w14:paraId="1BA6EE86" w14:textId="77777777">
            <w:r>
              <w:t>Individual</w:t>
            </w:r>
          </w:p>
        </w:tc>
        <w:tc>
          <w:tcPr>
            <w:tcW w:w="2523" w:type="dxa"/>
          </w:tcPr>
          <w:p w:rsidRPr="009A036B" w:rsidR="00CA2010" w:rsidP="009A036B" w:rsidRDefault="00F956B3" w14:paraId="6E1953BB" w14:textId="77777777">
            <w:r>
              <w:t xml:space="preserve">    </w:t>
            </w:r>
            <w:r w:rsidR="00CC3C77">
              <w:t>1</w:t>
            </w:r>
            <w:r>
              <w:t>67</w:t>
            </w:r>
          </w:p>
        </w:tc>
        <w:tc>
          <w:tcPr>
            <w:tcW w:w="2425" w:type="dxa"/>
          </w:tcPr>
          <w:p w:rsidRPr="009A036B" w:rsidR="00CA2010" w:rsidP="009A036B" w:rsidRDefault="00F956B3" w14:paraId="5CAE30F5" w14:textId="77777777">
            <w:r>
              <w:t xml:space="preserve">   </w:t>
            </w:r>
            <w:r w:rsidR="00184CB2">
              <w:t>$</w:t>
            </w:r>
            <w:r w:rsidR="00D86D22">
              <w:t>42</w:t>
            </w:r>
            <w:r w:rsidRPr="00060A51" w:rsidR="00060A51">
              <w:t>.</w:t>
            </w:r>
            <w:r w:rsidR="00D86D22">
              <w:t>11</w:t>
            </w:r>
          </w:p>
        </w:tc>
        <w:tc>
          <w:tcPr>
            <w:tcW w:w="1974" w:type="dxa"/>
          </w:tcPr>
          <w:p w:rsidRPr="009A036B" w:rsidR="00CA2010" w:rsidP="009A036B" w:rsidRDefault="009A4FD4" w14:paraId="219902F1" w14:textId="77777777">
            <w:r>
              <w:t>$</w:t>
            </w:r>
            <w:r w:rsidR="003F7319">
              <w:t>7032.37</w:t>
            </w:r>
          </w:p>
        </w:tc>
      </w:tr>
      <w:tr w:rsidRPr="009A036B" w:rsidR="00CA2010" w:rsidTr="00375554" w14:paraId="4AF0A1AA" w14:textId="77777777">
        <w:trPr>
          <w:trHeight w:val="371"/>
        </w:trPr>
        <w:tc>
          <w:tcPr>
            <w:tcW w:w="3129" w:type="dxa"/>
          </w:tcPr>
          <w:p w:rsidRPr="009A036B" w:rsidR="00CA2010" w:rsidP="009A036B" w:rsidRDefault="00CA2010" w14:paraId="15714369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523" w:type="dxa"/>
          </w:tcPr>
          <w:p w:rsidRPr="009A036B" w:rsidR="00CA2010" w:rsidP="009A036B" w:rsidRDefault="00F956B3" w14:paraId="3533C57F" w14:textId="7777777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C3C77">
              <w:rPr>
                <w:b/>
              </w:rPr>
              <w:t>1</w:t>
            </w:r>
            <w:r>
              <w:rPr>
                <w:b/>
              </w:rPr>
              <w:t>67</w:t>
            </w:r>
          </w:p>
        </w:tc>
        <w:tc>
          <w:tcPr>
            <w:tcW w:w="2425" w:type="dxa"/>
          </w:tcPr>
          <w:p w:rsidRPr="009A036B" w:rsidR="00CA2010" w:rsidP="009A036B" w:rsidRDefault="00CA2010" w14:paraId="1E2C7560" w14:textId="77777777"/>
        </w:tc>
        <w:tc>
          <w:tcPr>
            <w:tcW w:w="1974" w:type="dxa"/>
          </w:tcPr>
          <w:p w:rsidRPr="003F7319" w:rsidR="00CA2010" w:rsidP="009A036B" w:rsidRDefault="003F7319" w14:paraId="2A9FAE5B" w14:textId="77777777">
            <w:pPr>
              <w:rPr>
                <w:b/>
                <w:bCs/>
              </w:rPr>
            </w:pPr>
            <w:r w:rsidRPr="003F7319">
              <w:rPr>
                <w:b/>
                <w:bCs/>
              </w:rPr>
              <w:t>$7032.37</w:t>
            </w:r>
          </w:p>
        </w:tc>
      </w:tr>
    </w:tbl>
    <w:p w:rsidR="00F956B3" w:rsidP="00184CB2" w:rsidRDefault="00F956B3" w14:paraId="0C76D0FA" w14:textId="77777777">
      <w:pPr>
        <w:rPr>
          <w:sz w:val="20"/>
          <w:szCs w:val="20"/>
        </w:rPr>
      </w:pPr>
    </w:p>
    <w:p w:rsidRPr="0024065D" w:rsidR="00184CB2" w:rsidP="00184CB2" w:rsidRDefault="00184CB2" w14:paraId="453BAE9B" w14:textId="77777777">
      <w:pPr>
        <w:rPr>
          <w:sz w:val="20"/>
          <w:szCs w:val="20"/>
        </w:rPr>
      </w:pPr>
      <w:r w:rsidRPr="0024065D">
        <w:rPr>
          <w:sz w:val="20"/>
          <w:szCs w:val="20"/>
        </w:rPr>
        <w:t>*</w:t>
      </w:r>
      <w:r w:rsidR="00096802">
        <w:rPr>
          <w:sz w:val="20"/>
          <w:szCs w:val="20"/>
        </w:rPr>
        <w:t xml:space="preserve"> BLS </w:t>
      </w:r>
      <w:r w:rsidRPr="0024065D">
        <w:rPr>
          <w:sz w:val="20"/>
          <w:szCs w:val="20"/>
        </w:rPr>
        <w:t xml:space="preserve">wage rate for 19-1029 Biological Scientists </w:t>
      </w:r>
      <w:hyperlink w:history="1" r:id="rId8">
        <w:r w:rsidRPr="0024065D">
          <w:rPr>
            <w:rStyle w:val="Hyperlink"/>
            <w:sz w:val="20"/>
            <w:szCs w:val="20"/>
          </w:rPr>
          <w:t>http://www.bls.go</w:t>
        </w:r>
        <w:r w:rsidRPr="0024065D">
          <w:rPr>
            <w:rStyle w:val="Hyperlink"/>
            <w:sz w:val="20"/>
            <w:szCs w:val="20"/>
          </w:rPr>
          <w:t>v</w:t>
        </w:r>
        <w:r w:rsidRPr="0024065D">
          <w:rPr>
            <w:rStyle w:val="Hyperlink"/>
            <w:sz w:val="20"/>
            <w:szCs w:val="20"/>
          </w:rPr>
          <w:t>/</w:t>
        </w:r>
        <w:r w:rsidRPr="0024065D">
          <w:rPr>
            <w:rStyle w:val="Hyperlink"/>
            <w:sz w:val="20"/>
            <w:szCs w:val="20"/>
          </w:rPr>
          <w:t>oe</w:t>
        </w:r>
        <w:r w:rsidRPr="0024065D">
          <w:rPr>
            <w:rStyle w:val="Hyperlink"/>
            <w:sz w:val="20"/>
            <w:szCs w:val="20"/>
          </w:rPr>
          <w:t>s</w:t>
        </w:r>
        <w:r w:rsidRPr="0024065D">
          <w:rPr>
            <w:rStyle w:val="Hyperlink"/>
            <w:sz w:val="20"/>
            <w:szCs w:val="20"/>
          </w:rPr>
          <w:t>/curr</w:t>
        </w:r>
        <w:r w:rsidRPr="0024065D">
          <w:rPr>
            <w:rStyle w:val="Hyperlink"/>
            <w:sz w:val="20"/>
            <w:szCs w:val="20"/>
          </w:rPr>
          <w:t>e</w:t>
        </w:r>
        <w:r w:rsidRPr="0024065D">
          <w:rPr>
            <w:rStyle w:val="Hyperlink"/>
            <w:sz w:val="20"/>
            <w:szCs w:val="20"/>
          </w:rPr>
          <w:t>nt</w:t>
        </w:r>
        <w:r w:rsidRPr="0024065D">
          <w:rPr>
            <w:rStyle w:val="Hyperlink"/>
            <w:sz w:val="20"/>
            <w:szCs w:val="20"/>
          </w:rPr>
          <w:t>/</w:t>
        </w:r>
        <w:r w:rsidRPr="0024065D">
          <w:rPr>
            <w:rStyle w:val="Hyperlink"/>
            <w:sz w:val="20"/>
            <w:szCs w:val="20"/>
          </w:rPr>
          <w:t>oes191029.ht</w:t>
        </w:r>
        <w:r w:rsidRPr="0024065D">
          <w:rPr>
            <w:rStyle w:val="Hyperlink"/>
            <w:sz w:val="20"/>
            <w:szCs w:val="20"/>
          </w:rPr>
          <w:t>m</w:t>
        </w:r>
      </w:hyperlink>
      <w:r w:rsidRPr="0024065D">
        <w:rPr>
          <w:sz w:val="20"/>
          <w:szCs w:val="20"/>
        </w:rPr>
        <w:t xml:space="preserve">).   </w:t>
      </w:r>
    </w:p>
    <w:p w:rsidR="009A036B" w:rsidP="00F3170F" w:rsidRDefault="009A036B" w14:paraId="1DA65B75" w14:textId="77777777"/>
    <w:p w:rsidR="00441434" w:rsidP="00F3170F" w:rsidRDefault="00441434" w14:paraId="120F679B" w14:textId="77777777"/>
    <w:p w:rsidR="005E714A" w:rsidRDefault="001C39F7" w14:paraId="74065F73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9A4FD4">
        <w:t xml:space="preserve">is </w:t>
      </w:r>
      <w:r w:rsidRPr="00004C01" w:rsidR="00004C01">
        <w:rPr>
          <w:u w:val="single"/>
        </w:rPr>
        <w:t>$2,704.49</w:t>
      </w:r>
    </w:p>
    <w:p w:rsidRPr="009A036B" w:rsidR="009A036B" w:rsidP="009A036B" w:rsidRDefault="009A036B" w14:paraId="3388BD2F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FCE7809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238"/>
        <w:gridCol w:w="1296"/>
        <w:gridCol w:w="1363"/>
        <w:gridCol w:w="1192"/>
        <w:gridCol w:w="1700"/>
      </w:tblGrid>
      <w:tr w:rsidRPr="009A036B" w:rsidR="009A036B" w:rsidTr="00BC5A59" w14:paraId="0128A0E6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EDFC171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90CF386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0E755F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5D9A8F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A34DDF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933E27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8C6A5C" w:rsidRDefault="009A036B" w14:paraId="06839646" w14:textId="77777777">
            <w:pPr>
              <w:jc w:val="right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BC5A59" w14:paraId="02E4191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B1442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18FCF7A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175BB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265C4A" w14:textId="77777777"/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6AF506F" w14:textId="77777777"/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8C6A5C" w:rsidRDefault="009A036B" w14:paraId="1EAD8C17" w14:textId="77777777">
            <w:pPr>
              <w:jc w:val="right"/>
            </w:pPr>
          </w:p>
        </w:tc>
      </w:tr>
      <w:tr w:rsidRPr="009A036B" w:rsidR="009A036B" w:rsidTr="007420BB" w14:paraId="15537DD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C3C77" w14:paraId="03A231F7" w14:textId="77777777">
            <w:r>
              <w:t>Staff Scientist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04C01" w14:paraId="00637839" w14:textId="77777777">
            <w:r>
              <w:t xml:space="preserve">   </w:t>
            </w:r>
            <w:r w:rsidR="00CC3C77">
              <w:t>T42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2405E" w14:paraId="0307E29E" w14:textId="77777777">
            <w:r>
              <w:t>$</w:t>
            </w:r>
            <w:r w:rsidR="00CC3C77">
              <w:t>138,329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C5A59" w14:paraId="608D694B" w14:textId="77777777">
            <w:r>
              <w:t xml:space="preserve">   </w:t>
            </w:r>
            <w:r w:rsidR="00CC3C77">
              <w:t>1</w:t>
            </w:r>
            <w:r w:rsidR="00C2405E"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</w:tcPr>
          <w:p w:rsidRPr="009A036B" w:rsidR="009A036B" w:rsidP="009A036B" w:rsidRDefault="009A036B" w14:paraId="2C0D55C4" w14:textId="77777777"/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20C50" w:rsidRDefault="00D20C50" w14:paraId="16A00E5B" w14:textId="77777777">
            <w:r>
              <w:t xml:space="preserve">      </w:t>
            </w:r>
            <w:r w:rsidR="00C2405E">
              <w:t>$</w:t>
            </w:r>
            <w:r w:rsidR="00CC3C77">
              <w:t>1,383.29</w:t>
            </w:r>
          </w:p>
        </w:tc>
      </w:tr>
      <w:tr w:rsidRPr="009A036B" w:rsidR="009A036B" w:rsidTr="007420BB" w14:paraId="48EB64E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F0F9791" w14:textId="77777777"/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436762F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60C11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2DD5FC9" w14:textId="77777777"/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</w:tcPr>
          <w:p w:rsidRPr="009A036B" w:rsidR="009A036B" w:rsidP="009A036B" w:rsidRDefault="009A036B" w14:paraId="41B06B3A" w14:textId="77777777"/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8C6A5C" w:rsidRDefault="009A036B" w14:paraId="280E554E" w14:textId="77777777">
            <w:pPr>
              <w:jc w:val="right"/>
            </w:pPr>
          </w:p>
        </w:tc>
      </w:tr>
      <w:tr w:rsidRPr="009A036B" w:rsidR="009A036B" w:rsidTr="007420BB" w14:paraId="25AE1D8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989F9E3" w14:textId="77777777"/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D442D65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8E2A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FF3E70" w14:textId="77777777"/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</w:tcPr>
          <w:p w:rsidRPr="009A036B" w:rsidR="009A036B" w:rsidP="009A036B" w:rsidRDefault="009A036B" w14:paraId="460B4586" w14:textId="77777777"/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8C6A5C" w:rsidRDefault="009A036B" w14:paraId="397702AB" w14:textId="77777777">
            <w:pPr>
              <w:jc w:val="right"/>
            </w:pPr>
          </w:p>
        </w:tc>
      </w:tr>
      <w:tr w:rsidRPr="009A036B" w:rsidR="009A036B" w:rsidTr="007420BB" w14:paraId="68F4629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B0BCB6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</w:tcPr>
          <w:p w:rsidRPr="009A036B" w:rsidR="009A036B" w:rsidP="009A036B" w:rsidRDefault="009A036B" w14:paraId="4E4449B7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20C50" w14:paraId="2CCCC2C7" w14:textId="77777777">
            <w:r>
              <w:t xml:space="preserve"> </w:t>
            </w:r>
            <w:r w:rsidR="00BC5A59">
              <w:t>$13,212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C5A59" w14:paraId="46592934" w14:textId="77777777">
            <w:r>
              <w:t xml:space="preserve">  10%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58E92B8" w14:textId="77777777"/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20C50" w:rsidRDefault="00BC5A59" w14:paraId="299F8D17" w14:textId="77777777">
            <w:pPr>
              <w:jc w:val="center"/>
            </w:pPr>
            <w:r>
              <w:t>$1,321.20</w:t>
            </w:r>
          </w:p>
        </w:tc>
      </w:tr>
      <w:tr w:rsidRPr="009A036B" w:rsidR="009A036B" w:rsidTr="007420BB" w14:paraId="0453A44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769C97" w14:textId="77777777">
            <w:r w:rsidRPr="009A036B">
              <w:t>Travel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</w:tcPr>
          <w:p w:rsidRPr="009A036B" w:rsidR="009A036B" w:rsidP="009A036B" w:rsidRDefault="009A036B" w14:paraId="1B61F1A6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78027E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87950C" w14:textId="77777777"/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</w:tcPr>
          <w:p w:rsidRPr="009A036B" w:rsidR="009A036B" w:rsidP="009A036B" w:rsidRDefault="009A036B" w14:paraId="2E6DB5D1" w14:textId="77777777"/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8C6A5C" w:rsidRDefault="009A036B" w14:paraId="41E4DF34" w14:textId="77777777">
            <w:pPr>
              <w:jc w:val="right"/>
            </w:pPr>
          </w:p>
        </w:tc>
      </w:tr>
      <w:tr w:rsidRPr="009A036B" w:rsidR="009A036B" w:rsidTr="007420BB" w14:paraId="5FDCF26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7D2488F" w14:textId="77777777">
            <w:r w:rsidRPr="009A036B">
              <w:t>Other Cost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</w:tcPr>
          <w:p w:rsidRPr="009A036B" w:rsidR="009A036B" w:rsidP="009A036B" w:rsidRDefault="009A036B" w14:paraId="793646B9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24430E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15C88A" w14:textId="77777777"/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</w:tcPr>
          <w:p w:rsidRPr="009A036B" w:rsidR="009A036B" w:rsidP="009A036B" w:rsidRDefault="009A036B" w14:paraId="47BB4B2C" w14:textId="77777777"/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8C6A5C" w:rsidRDefault="009A036B" w14:paraId="773FA655" w14:textId="77777777">
            <w:pPr>
              <w:jc w:val="right"/>
            </w:pPr>
          </w:p>
        </w:tc>
      </w:tr>
      <w:tr w:rsidRPr="009A036B" w:rsidR="009A036B" w:rsidTr="00BC5A59" w14:paraId="5401D5B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A4D4100" w14:textId="77777777">
            <w:pPr>
              <w:rPr>
                <w:bCs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0C36B13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3EF9C1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43A5D9" w14:textId="77777777">
            <w:pPr>
              <w:rPr>
                <w:b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03E55F7" w14:textId="77777777">
            <w:pPr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8C6A5C" w:rsidRDefault="009A036B" w14:paraId="0274C04C" w14:textId="77777777">
            <w:pPr>
              <w:jc w:val="right"/>
              <w:rPr>
                <w:b/>
              </w:rPr>
            </w:pPr>
          </w:p>
        </w:tc>
      </w:tr>
      <w:tr w:rsidRPr="009A036B" w:rsidR="009A036B" w:rsidTr="00BC5A59" w14:paraId="6DB67C1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C6A5C" w:rsidR="009A036B" w:rsidP="009A036B" w:rsidRDefault="008C6A5C" w14:paraId="65717AFE" w14:textId="77777777">
            <w:pPr>
              <w:rPr>
                <w:b/>
              </w:rPr>
            </w:pPr>
            <w:r w:rsidRPr="008C6A5C">
              <w:rPr>
                <w:b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88501E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17673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8409974" w14:textId="77777777"/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14BB64F" w14:textId="77777777"/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37539" w:rsidR="009A036B" w:rsidP="00D20C50" w:rsidRDefault="008C6A5C" w14:paraId="709DB85B" w14:textId="77777777">
            <w:pPr>
              <w:jc w:val="center"/>
              <w:rPr>
                <w:b/>
                <w:bCs/>
              </w:rPr>
            </w:pPr>
            <w:r w:rsidRPr="00E37539">
              <w:rPr>
                <w:b/>
                <w:bCs/>
              </w:rPr>
              <w:t>$</w:t>
            </w:r>
            <w:r w:rsidRPr="00E37539" w:rsidR="00CC3C77">
              <w:rPr>
                <w:b/>
                <w:bCs/>
              </w:rPr>
              <w:t>2,704.49</w:t>
            </w:r>
          </w:p>
        </w:tc>
      </w:tr>
    </w:tbl>
    <w:p w:rsidR="009D78A6" w:rsidP="009A036B" w:rsidRDefault="009D78A6" w14:paraId="0CC329BE" w14:textId="77777777">
      <w:pPr>
        <w:rPr>
          <w:sz w:val="20"/>
          <w:szCs w:val="20"/>
        </w:rPr>
      </w:pPr>
    </w:p>
    <w:p w:rsidRPr="00171EF4" w:rsidR="008C2434" w:rsidP="008C2434" w:rsidRDefault="008C2434" w14:paraId="36251818" w14:textId="77777777">
      <w:pPr>
        <w:rPr>
          <w:sz w:val="20"/>
          <w:szCs w:val="20"/>
        </w:rPr>
      </w:pPr>
      <w:r w:rsidRPr="001958EC">
        <w:rPr>
          <w:rFonts w:eastAsia="Calibri"/>
          <w:bCs/>
          <w:color w:val="000000"/>
          <w:sz w:val="22"/>
          <w:szCs w:val="22"/>
        </w:rPr>
        <w:t>*</w:t>
      </w:r>
      <w:r w:rsidRPr="00234E25">
        <w:rPr>
          <w:rFonts w:eastAsia="Calibri"/>
          <w:bCs/>
          <w:color w:val="000000"/>
          <w:sz w:val="20"/>
          <w:szCs w:val="20"/>
        </w:rPr>
        <w:t xml:space="preserve">The </w:t>
      </w:r>
      <w:r>
        <w:rPr>
          <w:rFonts w:eastAsia="Calibri"/>
          <w:bCs/>
          <w:color w:val="000000"/>
          <w:sz w:val="20"/>
          <w:szCs w:val="20"/>
        </w:rPr>
        <w:t>s</w:t>
      </w:r>
      <w:r w:rsidRPr="00234E25">
        <w:rPr>
          <w:rFonts w:eastAsia="Calibri"/>
          <w:bCs/>
          <w:color w:val="000000"/>
          <w:sz w:val="20"/>
          <w:szCs w:val="20"/>
        </w:rPr>
        <w:t>alary in table above is cited from</w:t>
      </w:r>
      <w:r>
        <w:rPr>
          <w:rFonts w:eastAsia="Calibri"/>
          <w:bCs/>
          <w:color w:val="000000"/>
          <w:sz w:val="20"/>
          <w:szCs w:val="20"/>
        </w:rPr>
        <w:t>:</w:t>
      </w:r>
      <w:r w:rsidRPr="00A75B80">
        <w:rPr>
          <w:rFonts w:eastAsia="Calibri"/>
          <w:color w:val="000000"/>
          <w:sz w:val="20"/>
          <w:szCs w:val="20"/>
        </w:rPr>
        <w:t xml:space="preserve"> </w:t>
      </w:r>
      <w:hyperlink w:history="1" r:id="rId9">
        <w:r w:rsidRPr="00251AFD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Pr="00171EF4" w:rsidR="008C2434" w:rsidP="008C2434" w:rsidRDefault="008C2434" w14:paraId="481A21CA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Pr="00ED1B40" w:rsidR="008C2434" w:rsidP="008C2434" w:rsidRDefault="008C2434" w14:paraId="2D8F30C1" w14:textId="77777777">
      <w:pPr>
        <w:rPr>
          <w:b/>
          <w:bCs/>
          <w:u w:val="single"/>
        </w:rPr>
      </w:pPr>
    </w:p>
    <w:p w:rsidR="00F06866" w:rsidP="00F06866" w:rsidRDefault="00636621" w14:paraId="694E24F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75EC20AB" w14:textId="77777777">
      <w:pPr>
        <w:pStyle w:val="ColorfulList-Accent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 ]</w:t>
      </w:r>
      <w:proofErr w:type="gramEnd"/>
      <w:r w:rsidRPr="00DA7B4C">
        <w:t xml:space="preserve"> Yes</w:t>
      </w:r>
      <w:r w:rsidRPr="00DA7B4C">
        <w:tab/>
        <w:t>[</w:t>
      </w:r>
      <w:r w:rsidR="00E37539">
        <w:t>X</w:t>
      </w:r>
      <w:r w:rsidRPr="00DA7B4C">
        <w:t>] No</w:t>
      </w:r>
    </w:p>
    <w:p w:rsidR="00636621" w:rsidP="00636621" w:rsidRDefault="00636621" w14:paraId="7EAE2845" w14:textId="77777777">
      <w:pPr>
        <w:pStyle w:val="ColorfulList-Accent1"/>
      </w:pPr>
    </w:p>
    <w:p w:rsidR="00636621" w:rsidP="001B0AAA" w:rsidRDefault="00636621" w14:paraId="7A4BCB7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678E8" w:rsidP="001B0AAA" w:rsidRDefault="006678E8" w14:paraId="48CA4DF4" w14:textId="77777777"/>
    <w:p w:rsidR="006678E8" w:rsidP="001B0AAA" w:rsidRDefault="006678E8" w14:paraId="141D77DD" w14:textId="77777777">
      <w:r>
        <w:lastRenderedPageBreak/>
        <w:t xml:space="preserve">There is not a pre-existing customer list. </w:t>
      </w:r>
      <w:r w:rsidRPr="006678E8">
        <w:t>Participants will be selected based on the experience and motivation they describe in their application.</w:t>
      </w:r>
      <w:r>
        <w:t xml:space="preserve"> Extra consideration will be given to applicants with previous </w:t>
      </w:r>
      <w:r w:rsidR="00891ABB">
        <w:t>Codeathon</w:t>
      </w:r>
      <w:r>
        <w:t xml:space="preserve"> experience.</w:t>
      </w:r>
      <w:r w:rsidR="00884BBE">
        <w:t xml:space="preserve"> Both Codeathons and Technical Workshops may be offered as virtual (online only) or in-person formats.</w:t>
      </w:r>
    </w:p>
    <w:p w:rsidR="00A403BB" w:rsidP="00A403BB" w:rsidRDefault="00A403BB" w14:paraId="498C142E" w14:textId="77777777">
      <w:pPr>
        <w:pStyle w:val="ColorfulList-Accent1"/>
      </w:pPr>
    </w:p>
    <w:p w:rsidR="00A403BB" w:rsidP="00A403BB" w:rsidRDefault="00A403BB" w14:paraId="1DEEF9B6" w14:textId="77777777"/>
    <w:p w:rsidRPr="00DA7B4C" w:rsidR="00A403BB" w:rsidP="00A403BB" w:rsidRDefault="00A403BB" w14:paraId="73EE7C27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1F1DD77C" w14:textId="77777777">
      <w:pPr>
        <w:pStyle w:val="ColorfulList-Accent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56E07880" w14:textId="77777777">
      <w:pPr>
        <w:ind w:left="720"/>
      </w:pPr>
      <w:r w:rsidRPr="00DA7B4C">
        <w:t>[</w:t>
      </w:r>
      <w:r w:rsidR="009B6BA0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7C7BB923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17A7079" w14:textId="77777777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 xml:space="preserve"> 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1399611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93EE849" w14:textId="77777777">
      <w:pPr>
        <w:ind w:left="720"/>
      </w:pPr>
      <w:r w:rsidRPr="00DA7B4C">
        <w:t>[</w:t>
      </w:r>
      <w:r w:rsidR="009B6BA0">
        <w:t>X</w:t>
      </w:r>
      <w:r w:rsidRPr="00DA7B4C">
        <w:t>] Survey form</w:t>
      </w:r>
    </w:p>
    <w:p w:rsidRPr="00DA7B4C" w:rsidR="006A0D31" w:rsidP="001B0AAA" w:rsidRDefault="006A0D31" w14:paraId="5D6217C0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17361BC9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Other, Explain</w:t>
      </w:r>
    </w:p>
    <w:p w:rsidRPr="00DA7B4C" w:rsidR="006A0D31" w:rsidP="001B0AAA" w:rsidRDefault="006A0D31" w14:paraId="11D4AB3D" w14:textId="77777777">
      <w:pPr>
        <w:ind w:left="720"/>
      </w:pPr>
    </w:p>
    <w:p w:rsidRPr="00DA7B4C" w:rsidR="00F24CFC" w:rsidP="00F24CFC" w:rsidRDefault="00F24CFC" w14:paraId="26BA0600" w14:textId="77777777">
      <w:pPr>
        <w:pStyle w:val="ColorfulList-Accent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</w:t>
      </w:r>
      <w:proofErr w:type="gramStart"/>
      <w:r w:rsidRPr="00DA7B4C">
        <w:t>[  ]</w:t>
      </w:r>
      <w:proofErr w:type="gramEnd"/>
      <w:r w:rsidRPr="00DA7B4C">
        <w:t xml:space="preserve"> Yes [</w:t>
      </w:r>
      <w:r w:rsidR="008C097A">
        <w:t>X</w:t>
      </w:r>
      <w:r w:rsidRPr="00DA7B4C">
        <w:t>] No</w:t>
      </w:r>
    </w:p>
    <w:p w:rsidRPr="00DA7B4C" w:rsidR="00F24CFC" w:rsidP="00F24CFC" w:rsidRDefault="00F24CFC" w14:paraId="4984E260" w14:textId="77777777">
      <w:pPr>
        <w:pStyle w:val="ColorfulList-Accent1"/>
        <w:ind w:left="360"/>
      </w:pPr>
      <w:r w:rsidRPr="00DA7B4C">
        <w:t xml:space="preserve"> </w:t>
      </w:r>
    </w:p>
    <w:sectPr w:rsidRPr="00DA7B4C" w:rsidR="00F24CFC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D6DD4" w14:textId="77777777" w:rsidR="00F9112C" w:rsidRDefault="00F9112C">
      <w:r>
        <w:separator/>
      </w:r>
    </w:p>
  </w:endnote>
  <w:endnote w:type="continuationSeparator" w:id="0">
    <w:p w14:paraId="2F276D7E" w14:textId="77777777" w:rsidR="00F9112C" w:rsidRDefault="00F9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72F4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C149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D5572" w14:textId="77777777" w:rsidR="00F9112C" w:rsidRDefault="00F9112C">
      <w:r>
        <w:separator/>
      </w:r>
    </w:p>
  </w:footnote>
  <w:footnote w:type="continuationSeparator" w:id="0">
    <w:p w14:paraId="4D0EB56A" w14:textId="77777777" w:rsidR="00F9112C" w:rsidRDefault="00F9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C01"/>
    <w:rsid w:val="0002148F"/>
    <w:rsid w:val="00023A57"/>
    <w:rsid w:val="00047A64"/>
    <w:rsid w:val="00060A51"/>
    <w:rsid w:val="00067329"/>
    <w:rsid w:val="000722CE"/>
    <w:rsid w:val="000752F7"/>
    <w:rsid w:val="000913EC"/>
    <w:rsid w:val="00096802"/>
    <w:rsid w:val="00096BFA"/>
    <w:rsid w:val="000B0BCC"/>
    <w:rsid w:val="000B2838"/>
    <w:rsid w:val="000C4F52"/>
    <w:rsid w:val="000D44CA"/>
    <w:rsid w:val="000E200B"/>
    <w:rsid w:val="000F68BE"/>
    <w:rsid w:val="001433C3"/>
    <w:rsid w:val="00155FEC"/>
    <w:rsid w:val="00161F46"/>
    <w:rsid w:val="00162F83"/>
    <w:rsid w:val="00184CB2"/>
    <w:rsid w:val="001855D1"/>
    <w:rsid w:val="001927A4"/>
    <w:rsid w:val="00194AC6"/>
    <w:rsid w:val="001A23B0"/>
    <w:rsid w:val="001A25CC"/>
    <w:rsid w:val="001A4C8F"/>
    <w:rsid w:val="001B0AAA"/>
    <w:rsid w:val="001B0D97"/>
    <w:rsid w:val="001C39F7"/>
    <w:rsid w:val="001C516E"/>
    <w:rsid w:val="00237B48"/>
    <w:rsid w:val="0024065D"/>
    <w:rsid w:val="002409BB"/>
    <w:rsid w:val="0024521E"/>
    <w:rsid w:val="00263C3D"/>
    <w:rsid w:val="00274D0B"/>
    <w:rsid w:val="00284110"/>
    <w:rsid w:val="002B3C95"/>
    <w:rsid w:val="002D0B92"/>
    <w:rsid w:val="002D26E2"/>
    <w:rsid w:val="00347E97"/>
    <w:rsid w:val="003668D6"/>
    <w:rsid w:val="00375554"/>
    <w:rsid w:val="00380560"/>
    <w:rsid w:val="00382FD8"/>
    <w:rsid w:val="003A7074"/>
    <w:rsid w:val="003D5BBE"/>
    <w:rsid w:val="003E1DB9"/>
    <w:rsid w:val="003E3C61"/>
    <w:rsid w:val="003F1C5B"/>
    <w:rsid w:val="003F7319"/>
    <w:rsid w:val="00431EB1"/>
    <w:rsid w:val="00434E33"/>
    <w:rsid w:val="00441434"/>
    <w:rsid w:val="0045264C"/>
    <w:rsid w:val="004876EC"/>
    <w:rsid w:val="004B2C8B"/>
    <w:rsid w:val="004D4D54"/>
    <w:rsid w:val="004D6E14"/>
    <w:rsid w:val="004E48BF"/>
    <w:rsid w:val="004E56D6"/>
    <w:rsid w:val="005009B0"/>
    <w:rsid w:val="005451A5"/>
    <w:rsid w:val="005A1006"/>
    <w:rsid w:val="005A772A"/>
    <w:rsid w:val="005E714A"/>
    <w:rsid w:val="005F1DCA"/>
    <w:rsid w:val="005F26D6"/>
    <w:rsid w:val="006005F8"/>
    <w:rsid w:val="0061146C"/>
    <w:rsid w:val="006140A0"/>
    <w:rsid w:val="00633F74"/>
    <w:rsid w:val="00636621"/>
    <w:rsid w:val="00642B49"/>
    <w:rsid w:val="006660B5"/>
    <w:rsid w:val="006678E8"/>
    <w:rsid w:val="006832D9"/>
    <w:rsid w:val="00686301"/>
    <w:rsid w:val="0069403B"/>
    <w:rsid w:val="006A0D31"/>
    <w:rsid w:val="006D4F26"/>
    <w:rsid w:val="006D5F47"/>
    <w:rsid w:val="006E7380"/>
    <w:rsid w:val="006F3DDE"/>
    <w:rsid w:val="00704678"/>
    <w:rsid w:val="007420BB"/>
    <w:rsid w:val="007425E7"/>
    <w:rsid w:val="00766D95"/>
    <w:rsid w:val="00770BEF"/>
    <w:rsid w:val="0077703F"/>
    <w:rsid w:val="00782387"/>
    <w:rsid w:val="00790FAA"/>
    <w:rsid w:val="007E7382"/>
    <w:rsid w:val="00802607"/>
    <w:rsid w:val="008101A5"/>
    <w:rsid w:val="00822664"/>
    <w:rsid w:val="00843796"/>
    <w:rsid w:val="00884BBE"/>
    <w:rsid w:val="00890408"/>
    <w:rsid w:val="00891ABB"/>
    <w:rsid w:val="00895229"/>
    <w:rsid w:val="008956A8"/>
    <w:rsid w:val="008A11B8"/>
    <w:rsid w:val="008C097A"/>
    <w:rsid w:val="008C2434"/>
    <w:rsid w:val="008C6A5C"/>
    <w:rsid w:val="008E1AEB"/>
    <w:rsid w:val="008F0203"/>
    <w:rsid w:val="008F50D4"/>
    <w:rsid w:val="009239AA"/>
    <w:rsid w:val="00935ADA"/>
    <w:rsid w:val="00936667"/>
    <w:rsid w:val="0094269D"/>
    <w:rsid w:val="00946B6C"/>
    <w:rsid w:val="00955A71"/>
    <w:rsid w:val="0096108F"/>
    <w:rsid w:val="00966C8A"/>
    <w:rsid w:val="009A036B"/>
    <w:rsid w:val="009A4FD4"/>
    <w:rsid w:val="009B3083"/>
    <w:rsid w:val="009B6BA0"/>
    <w:rsid w:val="009C13B9"/>
    <w:rsid w:val="009D01A2"/>
    <w:rsid w:val="009D78A6"/>
    <w:rsid w:val="009F5923"/>
    <w:rsid w:val="00A229F1"/>
    <w:rsid w:val="00A403BB"/>
    <w:rsid w:val="00A45069"/>
    <w:rsid w:val="00A674DF"/>
    <w:rsid w:val="00A83AA6"/>
    <w:rsid w:val="00AB15E3"/>
    <w:rsid w:val="00AC60E8"/>
    <w:rsid w:val="00AD7E31"/>
    <w:rsid w:val="00AE14B1"/>
    <w:rsid w:val="00AE1809"/>
    <w:rsid w:val="00AE4D83"/>
    <w:rsid w:val="00AE53CA"/>
    <w:rsid w:val="00AF4854"/>
    <w:rsid w:val="00B00436"/>
    <w:rsid w:val="00B148D6"/>
    <w:rsid w:val="00B25177"/>
    <w:rsid w:val="00B73A8F"/>
    <w:rsid w:val="00B80D76"/>
    <w:rsid w:val="00B85BA4"/>
    <w:rsid w:val="00BA2105"/>
    <w:rsid w:val="00BA7E06"/>
    <w:rsid w:val="00BB43B5"/>
    <w:rsid w:val="00BB6219"/>
    <w:rsid w:val="00BC481A"/>
    <w:rsid w:val="00BC5A59"/>
    <w:rsid w:val="00BC676D"/>
    <w:rsid w:val="00BD290F"/>
    <w:rsid w:val="00BD4927"/>
    <w:rsid w:val="00C14CC4"/>
    <w:rsid w:val="00C21669"/>
    <w:rsid w:val="00C2405E"/>
    <w:rsid w:val="00C33C52"/>
    <w:rsid w:val="00C370F9"/>
    <w:rsid w:val="00C40D8B"/>
    <w:rsid w:val="00C611F1"/>
    <w:rsid w:val="00C662F8"/>
    <w:rsid w:val="00C8407A"/>
    <w:rsid w:val="00C8488C"/>
    <w:rsid w:val="00C86E91"/>
    <w:rsid w:val="00C924DB"/>
    <w:rsid w:val="00CA19A3"/>
    <w:rsid w:val="00CA2010"/>
    <w:rsid w:val="00CA2650"/>
    <w:rsid w:val="00CB1078"/>
    <w:rsid w:val="00CC149D"/>
    <w:rsid w:val="00CC3C77"/>
    <w:rsid w:val="00CC6FAF"/>
    <w:rsid w:val="00CF72B8"/>
    <w:rsid w:val="00D20C50"/>
    <w:rsid w:val="00D24698"/>
    <w:rsid w:val="00D45292"/>
    <w:rsid w:val="00D61262"/>
    <w:rsid w:val="00D6383F"/>
    <w:rsid w:val="00D86D22"/>
    <w:rsid w:val="00D92DAE"/>
    <w:rsid w:val="00DA6971"/>
    <w:rsid w:val="00DA7B4C"/>
    <w:rsid w:val="00DB3EC9"/>
    <w:rsid w:val="00DB4A58"/>
    <w:rsid w:val="00DB59D0"/>
    <w:rsid w:val="00DC33D3"/>
    <w:rsid w:val="00E045FE"/>
    <w:rsid w:val="00E26329"/>
    <w:rsid w:val="00E26765"/>
    <w:rsid w:val="00E37539"/>
    <w:rsid w:val="00E40B50"/>
    <w:rsid w:val="00E50293"/>
    <w:rsid w:val="00E65FFC"/>
    <w:rsid w:val="00E80951"/>
    <w:rsid w:val="00E86CC6"/>
    <w:rsid w:val="00EB56B3"/>
    <w:rsid w:val="00ED5248"/>
    <w:rsid w:val="00ED6492"/>
    <w:rsid w:val="00EF2095"/>
    <w:rsid w:val="00F06866"/>
    <w:rsid w:val="00F15956"/>
    <w:rsid w:val="00F23BFE"/>
    <w:rsid w:val="00F24CFC"/>
    <w:rsid w:val="00F3170F"/>
    <w:rsid w:val="00F3587F"/>
    <w:rsid w:val="00F47AE6"/>
    <w:rsid w:val="00F52EDC"/>
    <w:rsid w:val="00F55E23"/>
    <w:rsid w:val="00F9112C"/>
    <w:rsid w:val="00F956B3"/>
    <w:rsid w:val="00F956B7"/>
    <w:rsid w:val="00F976B0"/>
    <w:rsid w:val="00FA43B7"/>
    <w:rsid w:val="00FA6DE7"/>
    <w:rsid w:val="00FC0A8E"/>
    <w:rsid w:val="00FE1A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8EEA285"/>
  <w15:chartTrackingRefBased/>
  <w15:docId w15:val="{D6AFE485-5DAB-4499-9B61-578A7748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84CB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78E8"/>
    <w:rPr>
      <w:color w:val="605E5C"/>
      <w:shd w:val="clear" w:color="auto" w:fill="E1DFDD"/>
    </w:rPr>
  </w:style>
  <w:style w:type="character" w:styleId="FollowedHyperlink">
    <w:name w:val="FollowedHyperlink"/>
    <w:rsid w:val="00891A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19102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.od.nih.gov/intrahr/Documents/title42/NIH_TITLE_42_PAY_MODEL_RANG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8EBE-7723-9344-B56B-F947BDE8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4489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http://www.bls.gov/oes/current/oes191029.htm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2019-04-04T17:34:00Z</cp:lastPrinted>
  <dcterms:created xsi:type="dcterms:W3CDTF">2021-03-29T16:46:00Z</dcterms:created>
  <dcterms:modified xsi:type="dcterms:W3CDTF">2021-03-29T16:46:00Z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