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E1A3E" w:rsidRDefault="00E15F6C">
      <w:pPr>
        <w:pStyle w:val="Title"/>
        <w:spacing w:line="249" w:lineRule="auto"/>
      </w:pPr>
      <w:r>
        <w:t>Supporting Statement for Information Collection Requirements for Non-Exchange Entities – CMS-10666</w:t>
      </w:r>
    </w:p>
    <w:p w:rsidR="003E1A3E" w:rsidRDefault="003E1A3E">
      <w:pPr>
        <w:pStyle w:val="BodyText"/>
        <w:spacing w:before="7"/>
        <w:rPr>
          <w:b/>
          <w:sz w:val="23"/>
        </w:rPr>
      </w:pPr>
    </w:p>
    <w:p w:rsidR="003E1A3E" w:rsidRDefault="00E15F6C">
      <w:pPr>
        <w:pStyle w:val="ListParagraph"/>
        <w:numPr>
          <w:ilvl w:val="0"/>
          <w:numId w:val="1"/>
        </w:numPr>
        <w:tabs>
          <w:tab w:val="left" w:pos="713"/>
        </w:tabs>
        <w:spacing w:before="1"/>
        <w:ind w:hanging="433"/>
        <w:rPr>
          <w:b/>
          <w:sz w:val="24"/>
          <w:u w:val="none"/>
        </w:rPr>
      </w:pPr>
      <w:r>
        <w:rPr>
          <w:b/>
          <w:sz w:val="24"/>
          <w:u w:val="thick"/>
        </w:rPr>
        <w:t>Background</w:t>
      </w:r>
    </w:p>
    <w:p w:rsidR="003E1A3E" w:rsidRDefault="003E1A3E">
      <w:pPr>
        <w:pStyle w:val="BodyText"/>
        <w:spacing w:before="9"/>
        <w:rPr>
          <w:b/>
          <w:sz w:val="16"/>
        </w:rPr>
      </w:pPr>
    </w:p>
    <w:p w:rsidR="003E1A3E" w:rsidRDefault="00E15F6C">
      <w:pPr>
        <w:pStyle w:val="BodyText"/>
        <w:spacing w:before="90"/>
        <w:ind w:left="299" w:right="23"/>
      </w:pPr>
      <w:r>
        <w:t>The Patient Protection and Affordable Care Act, Public Law 111-148, enacted on March 23, 2010, and the Health Care and Education Reconciliation Act, Public Law 111-152, enacted on March 30, 2010 (collectively, “Affordable Care Act”), expanded access to hea</w:t>
      </w:r>
      <w:r>
        <w:t>lth insurance for individuals and employees of small businesses through the establishment of new Affordable Insurance Exchanges (Exchanges), also called Marketplaces, including the Small Business Health Options Program (SHOP). The Exchanges, which became o</w:t>
      </w:r>
      <w:r>
        <w:t>perational on January 1, 2014, enhance competition in the health insurance market, expand access to affordable health insurance for millions of Americans, and provide consumers with a place to easily compare and shop for health insurance coverage.</w:t>
      </w:r>
    </w:p>
    <w:p w:rsidR="003E1A3E" w:rsidRDefault="003E1A3E">
      <w:pPr>
        <w:pStyle w:val="BodyText"/>
        <w:rPr>
          <w:sz w:val="29"/>
        </w:rPr>
      </w:pPr>
    </w:p>
    <w:p w:rsidR="003E1A3E" w:rsidRDefault="00E15F6C">
      <w:pPr>
        <w:pStyle w:val="BodyText"/>
        <w:ind w:left="299" w:right="106"/>
      </w:pPr>
      <w:r>
        <w:t>Section</w:t>
      </w:r>
      <w:r>
        <w:t xml:space="preserve"> 1312(e) of the Affordable Care Act directs the Secretary of the Department of Health and Human Services (HHS) to establish procedures under which a State may permit agents and brokers to enroll qualified individuals and employers into qualified health pla</w:t>
      </w:r>
      <w:r>
        <w:t>ns (QHPs)</w:t>
      </w:r>
      <w:r>
        <w:rPr>
          <w:spacing w:val="-23"/>
        </w:rPr>
        <w:t xml:space="preserve"> </w:t>
      </w:r>
      <w:r>
        <w:t>offered through an Exchange and to enable these agents and brokers to assist individuals in applying for advance payments of the premium tax credit and cost-sharing</w:t>
      </w:r>
      <w:r>
        <w:rPr>
          <w:spacing w:val="-5"/>
        </w:rPr>
        <w:t xml:space="preserve"> </w:t>
      </w:r>
      <w:r>
        <w:t>reductions.</w:t>
      </w:r>
    </w:p>
    <w:p w:rsidR="003E1A3E" w:rsidRDefault="003E1A3E">
      <w:pPr>
        <w:pStyle w:val="BodyText"/>
        <w:spacing w:before="2"/>
        <w:rPr>
          <w:sz w:val="27"/>
        </w:rPr>
      </w:pPr>
    </w:p>
    <w:p w:rsidR="003E1A3E" w:rsidRDefault="00E15F6C">
      <w:pPr>
        <w:pStyle w:val="BodyText"/>
        <w:spacing w:line="247" w:lineRule="auto"/>
        <w:ind w:left="280" w:right="435"/>
      </w:pPr>
      <w:r>
        <w:t xml:space="preserve">The </w:t>
      </w:r>
      <w:r>
        <w:rPr>
          <w:i/>
        </w:rPr>
        <w:t>HHS Notice of Benefit and Payment Parameters for 2017; Final Rul</w:t>
      </w:r>
      <w:r>
        <w:rPr>
          <w:i/>
        </w:rPr>
        <w:t xml:space="preserve">e </w:t>
      </w:r>
      <w:r>
        <w:t>(2017 Payment Notice) finalized the definition of standardized options as well as one set of standardized options at § 155.20. It also codified the authority for HHS to differentially display standardized options on consumer-facing plan comparison and sh</w:t>
      </w:r>
      <w:r>
        <w:t>opping tools, such as those on HealthCare.gov, at § 155.205(b)(1).</w:t>
      </w:r>
    </w:p>
    <w:p w:rsidR="003E1A3E" w:rsidRDefault="003E1A3E">
      <w:pPr>
        <w:pStyle w:val="BodyText"/>
        <w:spacing w:before="2"/>
        <w:rPr>
          <w:sz w:val="29"/>
        </w:rPr>
      </w:pPr>
    </w:p>
    <w:p w:rsidR="003E1A3E" w:rsidRDefault="00E15F6C">
      <w:pPr>
        <w:pStyle w:val="BodyText"/>
        <w:spacing w:line="244" w:lineRule="auto"/>
        <w:ind w:left="280" w:right="449"/>
      </w:pPr>
      <w:r>
        <w:t xml:space="preserve">The </w:t>
      </w:r>
      <w:r>
        <w:rPr>
          <w:i/>
        </w:rPr>
        <w:t xml:space="preserve">HHS Notice of Benefit and Payment Parameters for 2018; Final Rule </w:t>
      </w:r>
      <w:r>
        <w:t>(2018 Payment Notice) finalized several updated sets of standardized options at § 155.20. In accordance with section 1</w:t>
      </w:r>
      <w:r>
        <w:t>312(e) of the Affordable Care Act, the 2018 Payment Notice also finalized requirements for web-brokers and issuers that use the Classic Direct Enrollment (Classic DE) and Enhanced Direct Enrollment (EDE) pathways to differentially display standardized opti</w:t>
      </w:r>
      <w:r>
        <w:t>ons in a manner consistent with that adopted by HHS for display on HealthCare.gov, at</w:t>
      </w:r>
    </w:p>
    <w:p w:rsidR="003E1A3E" w:rsidRDefault="00E15F6C">
      <w:pPr>
        <w:pStyle w:val="BodyText"/>
        <w:spacing w:before="8" w:line="244" w:lineRule="auto"/>
        <w:ind w:left="280" w:right="761"/>
      </w:pPr>
      <w:r>
        <w:t>§§ 155.220(c)(3)(i)(H) and 156.265(b)(3)(iv), respectively. It also finalized that a web- broker or issuer that utilizes the Classic DE and EDE pathways could submit a re</w:t>
      </w:r>
      <w:r>
        <w:t>quest to deviate from the differential display of standardized options on HealthCare.gov with approval from HHS at §§ 155.220(c)(3)(i)(H) and 156.265(b)(3)(iv), respectively.</w:t>
      </w:r>
    </w:p>
    <w:p w:rsidR="003E1A3E" w:rsidRDefault="003E1A3E">
      <w:pPr>
        <w:pStyle w:val="BodyText"/>
        <w:rPr>
          <w:sz w:val="30"/>
        </w:rPr>
      </w:pPr>
    </w:p>
    <w:p w:rsidR="003E1A3E" w:rsidRDefault="00E15F6C">
      <w:pPr>
        <w:spacing w:line="247" w:lineRule="auto"/>
        <w:ind w:left="280" w:right="701"/>
        <w:rPr>
          <w:sz w:val="24"/>
        </w:rPr>
      </w:pPr>
      <w:r>
        <w:rPr>
          <w:sz w:val="24"/>
        </w:rPr>
        <w:t>The original information collection request (ICR) that provided the authority fo</w:t>
      </w:r>
      <w:r>
        <w:rPr>
          <w:sz w:val="24"/>
        </w:rPr>
        <w:t xml:space="preserve">r HHS to collect the information necessary for these requests to deviate was titled </w:t>
      </w:r>
      <w:r>
        <w:rPr>
          <w:i/>
          <w:sz w:val="24"/>
        </w:rPr>
        <w:t xml:space="preserve">Non-Exchange Entities </w:t>
      </w:r>
      <w:r>
        <w:rPr>
          <w:sz w:val="24"/>
        </w:rPr>
        <w:t>(0938-1329) and was approved on 5/23/2017. The original ICR was discontinued on 3/4/2020 due to the concurrent discontinuation of standardized options</w:t>
      </w:r>
      <w:r>
        <w:rPr>
          <w:sz w:val="24"/>
        </w:rPr>
        <w:t xml:space="preserve"> in the </w:t>
      </w:r>
      <w:r>
        <w:rPr>
          <w:i/>
          <w:sz w:val="24"/>
        </w:rPr>
        <w:t xml:space="preserve">HHS Notice of Benefit and Payment Parameters for 2019; Final Rule </w:t>
      </w:r>
      <w:r>
        <w:rPr>
          <w:sz w:val="24"/>
        </w:rPr>
        <w:t>(2019 Payment Notice).</w:t>
      </w:r>
    </w:p>
    <w:p w:rsidR="003E1A3E" w:rsidRDefault="003E1A3E">
      <w:pPr>
        <w:spacing w:line="247" w:lineRule="auto"/>
        <w:rPr>
          <w:sz w:val="24"/>
        </w:rPr>
        <w:sectPr w:rsidR="003E1A3E">
          <w:type w:val="continuous"/>
          <w:pgSz w:w="12240" w:h="15840"/>
          <w:pgMar w:top="1400" w:right="1320" w:bottom="280" w:left="1320" w:header="720" w:footer="720" w:gutter="0"/>
          <w:cols w:space="720"/>
        </w:sectPr>
      </w:pPr>
    </w:p>
    <w:p w:rsidR="003E1A3E" w:rsidRDefault="00E15F6C">
      <w:pPr>
        <w:pStyle w:val="BodyText"/>
        <w:spacing w:before="79" w:line="244" w:lineRule="auto"/>
        <w:ind w:left="280" w:right="440"/>
      </w:pPr>
      <w:r>
        <w:lastRenderedPageBreak/>
        <w:t xml:space="preserve">This ICR serves as the formal request for a reinstated data collection clearance associated with the </w:t>
      </w:r>
      <w:r>
        <w:rPr>
          <w:i/>
        </w:rPr>
        <w:t xml:space="preserve">HHS Notice of Benefit and Payment Parameters for 2023 Proposed Rule </w:t>
      </w:r>
      <w:r>
        <w:t xml:space="preserve">(2023 Proposed Payment Notice) regarding the authority to allow </w:t>
      </w:r>
      <w:r>
        <w:rPr>
          <w:spacing w:val="-5"/>
        </w:rPr>
        <w:t xml:space="preserve">HHS </w:t>
      </w:r>
      <w:r>
        <w:rPr>
          <w:spacing w:val="-4"/>
        </w:rPr>
        <w:t xml:space="preserve">to </w:t>
      </w:r>
      <w:r>
        <w:rPr>
          <w:spacing w:val="-6"/>
        </w:rPr>
        <w:t xml:space="preserve">collect </w:t>
      </w:r>
      <w:r>
        <w:rPr>
          <w:spacing w:val="-5"/>
        </w:rPr>
        <w:t xml:space="preserve">the </w:t>
      </w:r>
      <w:r>
        <w:rPr>
          <w:spacing w:val="-6"/>
        </w:rPr>
        <w:t xml:space="preserve">necessary information </w:t>
      </w:r>
      <w:r>
        <w:rPr>
          <w:spacing w:val="-3"/>
        </w:rPr>
        <w:t xml:space="preserve">to </w:t>
      </w:r>
      <w:r>
        <w:rPr>
          <w:spacing w:val="-6"/>
        </w:rPr>
        <w:t xml:space="preserve">enable </w:t>
      </w:r>
      <w:r>
        <w:rPr>
          <w:spacing w:val="-7"/>
        </w:rPr>
        <w:t xml:space="preserve">web-brokers </w:t>
      </w:r>
      <w:r>
        <w:rPr>
          <w:spacing w:val="-5"/>
        </w:rPr>
        <w:t xml:space="preserve">and </w:t>
      </w:r>
      <w:r>
        <w:rPr>
          <w:spacing w:val="-6"/>
        </w:rPr>
        <w:t xml:space="preserve">issuers </w:t>
      </w:r>
      <w:r>
        <w:rPr>
          <w:spacing w:val="-5"/>
        </w:rPr>
        <w:t xml:space="preserve">using the </w:t>
      </w:r>
      <w:r>
        <w:rPr>
          <w:spacing w:val="-6"/>
        </w:rPr>
        <w:t xml:space="preserve">Classic </w:t>
      </w:r>
      <w:r>
        <w:rPr>
          <w:spacing w:val="-4"/>
        </w:rPr>
        <w:t xml:space="preserve">DE </w:t>
      </w:r>
      <w:r>
        <w:rPr>
          <w:spacing w:val="-5"/>
        </w:rPr>
        <w:t xml:space="preserve">and EDE </w:t>
      </w:r>
      <w:r>
        <w:rPr>
          <w:spacing w:val="-6"/>
        </w:rPr>
        <w:t xml:space="preserve">pathways </w:t>
      </w:r>
      <w:r>
        <w:rPr>
          <w:spacing w:val="-3"/>
        </w:rPr>
        <w:t xml:space="preserve">to </w:t>
      </w:r>
      <w:r>
        <w:rPr>
          <w:spacing w:val="-7"/>
        </w:rPr>
        <w:t xml:space="preserve">submit </w:t>
      </w:r>
      <w:r>
        <w:t>a</w:t>
      </w:r>
      <w:r>
        <w:t xml:space="preserve"> </w:t>
      </w:r>
      <w:r>
        <w:rPr>
          <w:spacing w:val="-6"/>
        </w:rPr>
        <w:t xml:space="preserve">request </w:t>
      </w:r>
      <w:r>
        <w:rPr>
          <w:spacing w:val="-3"/>
        </w:rPr>
        <w:t xml:space="preserve">to </w:t>
      </w:r>
      <w:r>
        <w:rPr>
          <w:spacing w:val="-6"/>
        </w:rPr>
        <w:t xml:space="preserve">deviate </w:t>
      </w:r>
      <w:r>
        <w:rPr>
          <w:spacing w:val="-5"/>
        </w:rPr>
        <w:t xml:space="preserve">from the manner </w:t>
      </w:r>
      <w:r>
        <w:rPr>
          <w:spacing w:val="-4"/>
        </w:rPr>
        <w:t xml:space="preserve">in </w:t>
      </w:r>
      <w:r>
        <w:rPr>
          <w:spacing w:val="-6"/>
        </w:rPr>
        <w:t xml:space="preserve">which standardized options </w:t>
      </w:r>
      <w:r>
        <w:rPr>
          <w:spacing w:val="-5"/>
        </w:rPr>
        <w:t xml:space="preserve">are </w:t>
      </w:r>
      <w:r>
        <w:rPr>
          <w:spacing w:val="-6"/>
        </w:rPr>
        <w:t xml:space="preserve">differentially displayed </w:t>
      </w:r>
      <w:r>
        <w:rPr>
          <w:spacing w:val="-4"/>
        </w:rPr>
        <w:t xml:space="preserve">on </w:t>
      </w:r>
      <w:r>
        <w:rPr>
          <w:spacing w:val="-7"/>
        </w:rPr>
        <w:t xml:space="preserve">HealthCare.gov, </w:t>
      </w:r>
      <w:r>
        <w:rPr>
          <w:spacing w:val="-4"/>
        </w:rPr>
        <w:t xml:space="preserve">if </w:t>
      </w:r>
      <w:r>
        <w:rPr>
          <w:spacing w:val="-5"/>
        </w:rPr>
        <w:t xml:space="preserve">they </w:t>
      </w:r>
      <w:r>
        <w:rPr>
          <w:spacing w:val="-3"/>
        </w:rPr>
        <w:t xml:space="preserve">so </w:t>
      </w:r>
      <w:r>
        <w:rPr>
          <w:spacing w:val="-6"/>
        </w:rPr>
        <w:t>choose.</w:t>
      </w:r>
    </w:p>
    <w:p w:rsidR="003E1A3E" w:rsidRDefault="003E1A3E">
      <w:pPr>
        <w:pStyle w:val="BodyText"/>
        <w:spacing w:before="6"/>
        <w:rPr>
          <w:sz w:val="30"/>
        </w:rPr>
      </w:pPr>
    </w:p>
    <w:p w:rsidR="003E1A3E" w:rsidRDefault="00E15F6C">
      <w:pPr>
        <w:pStyle w:val="ListParagraph"/>
        <w:numPr>
          <w:ilvl w:val="0"/>
          <w:numId w:val="1"/>
        </w:numPr>
        <w:tabs>
          <w:tab w:val="left" w:pos="701"/>
        </w:tabs>
        <w:ind w:left="700" w:hanging="421"/>
        <w:rPr>
          <w:b/>
          <w:sz w:val="24"/>
          <w:u w:val="none"/>
        </w:rPr>
      </w:pPr>
      <w:r>
        <w:rPr>
          <w:b/>
          <w:sz w:val="24"/>
          <w:u w:val="thick"/>
        </w:rPr>
        <w:t>Justification</w:t>
      </w:r>
    </w:p>
    <w:p w:rsidR="003E1A3E" w:rsidRDefault="003E1A3E">
      <w:pPr>
        <w:pStyle w:val="BodyText"/>
        <w:rPr>
          <w:b/>
          <w:sz w:val="17"/>
        </w:rPr>
      </w:pPr>
    </w:p>
    <w:p w:rsidR="003E1A3E" w:rsidRDefault="00E15F6C">
      <w:pPr>
        <w:pStyle w:val="ListParagraph"/>
        <w:numPr>
          <w:ilvl w:val="1"/>
          <w:numId w:val="1"/>
        </w:numPr>
        <w:tabs>
          <w:tab w:val="left" w:pos="700"/>
          <w:tab w:val="left" w:pos="701"/>
        </w:tabs>
        <w:spacing w:before="90"/>
        <w:ind w:hanging="421"/>
        <w:rPr>
          <w:sz w:val="24"/>
          <w:u w:val="none"/>
        </w:rPr>
      </w:pPr>
      <w:r>
        <w:rPr>
          <w:sz w:val="24"/>
        </w:rPr>
        <w:t>Need and Legal</w:t>
      </w:r>
      <w:r>
        <w:rPr>
          <w:spacing w:val="-1"/>
          <w:sz w:val="24"/>
        </w:rPr>
        <w:t xml:space="preserve"> </w:t>
      </w:r>
      <w:r>
        <w:rPr>
          <w:sz w:val="24"/>
        </w:rPr>
        <w:t>Basis</w:t>
      </w:r>
    </w:p>
    <w:p w:rsidR="003E1A3E" w:rsidRDefault="003E1A3E">
      <w:pPr>
        <w:pStyle w:val="BodyText"/>
        <w:spacing w:before="3"/>
        <w:rPr>
          <w:sz w:val="17"/>
        </w:rPr>
      </w:pPr>
    </w:p>
    <w:p w:rsidR="003E1A3E" w:rsidRDefault="00E15F6C">
      <w:pPr>
        <w:pStyle w:val="BodyText"/>
        <w:spacing w:before="90" w:line="244" w:lineRule="auto"/>
        <w:ind w:left="280" w:right="322"/>
      </w:pPr>
      <w:r>
        <w:t>Section 1312(e) of the Affordable Care Act directs the Secretary of HHS to establish procedures under which a State may permit agents and brokers to enroll qualified individuals and employers into QHPs offered through an Exchange and to enable these agents</w:t>
      </w:r>
      <w:r>
        <w:t xml:space="preserve"> and brokers to assist individuals in applying for advance payments of the premium tax credit and cost sharing reductions.</w:t>
      </w:r>
    </w:p>
    <w:p w:rsidR="003E1A3E" w:rsidRDefault="003E1A3E">
      <w:pPr>
        <w:pStyle w:val="BodyText"/>
        <w:spacing w:before="1"/>
        <w:rPr>
          <w:sz w:val="25"/>
        </w:rPr>
      </w:pPr>
    </w:p>
    <w:p w:rsidR="003E1A3E" w:rsidRDefault="00E15F6C">
      <w:pPr>
        <w:pStyle w:val="BodyText"/>
        <w:spacing w:line="244" w:lineRule="auto"/>
        <w:ind w:left="280" w:right="435"/>
      </w:pPr>
      <w:r>
        <w:t>In the 2018 Payment Notice, at §§ 155.220(c)(3)(i)(H) and 156.265(b)(3)(iv), HHS codified the authority to require web-brokers and i</w:t>
      </w:r>
      <w:r>
        <w:t>ssuers that use the Classic DE and EDE pathways to differentially display standardized options in a manner consistent with that adopted by HHS for display on HealthCare.gov in order to promote consistent messaging across all enrollment platforms, including</w:t>
      </w:r>
      <w:r>
        <w:t xml:space="preserve"> those of web-brokers and direct enrollment issuers.</w:t>
      </w:r>
    </w:p>
    <w:p w:rsidR="003E1A3E" w:rsidRDefault="003E1A3E">
      <w:pPr>
        <w:pStyle w:val="BodyText"/>
        <w:spacing w:before="8"/>
        <w:rPr>
          <w:sz w:val="27"/>
        </w:rPr>
      </w:pPr>
    </w:p>
    <w:p w:rsidR="003E1A3E" w:rsidRDefault="00E15F6C">
      <w:pPr>
        <w:pStyle w:val="BodyText"/>
        <w:spacing w:line="247" w:lineRule="auto"/>
        <w:ind w:left="280" w:right="420"/>
      </w:pPr>
      <w:r>
        <w:t>In the 2018 Payment Notice, HHS noted that it anticipated that the differential display of standardized options would not require significant modification of web-broker and issuer platforms but that suc</w:t>
      </w:r>
      <w:r>
        <w:t xml:space="preserve">h display would provide an important service for consumers seeking to enroll in a standardized option. However, HHS noted that system constraints may prevent web-brokers and issuers from precisely mirroring the differential display of standardized options </w:t>
      </w:r>
      <w:r>
        <w:t>on HealthCare.gov.</w:t>
      </w:r>
    </w:p>
    <w:p w:rsidR="003E1A3E" w:rsidRDefault="003E1A3E">
      <w:pPr>
        <w:pStyle w:val="BodyText"/>
        <w:spacing w:before="4"/>
        <w:rPr>
          <w:sz w:val="26"/>
        </w:rPr>
      </w:pPr>
    </w:p>
    <w:p w:rsidR="003E1A3E" w:rsidRDefault="00E15F6C">
      <w:pPr>
        <w:pStyle w:val="BodyText"/>
        <w:spacing w:line="247" w:lineRule="auto"/>
        <w:ind w:left="280" w:right="402"/>
      </w:pPr>
      <w:r>
        <w:t>For this reason, in the 2018 Payment Notice, HHS noted it would not require the manner of differentiation of standardized plans on non-Exchange web sites to be identical to that adopted on HealthCare.gov. Instead, HHS noted that the dis</w:t>
      </w:r>
      <w:r>
        <w:t xml:space="preserve">play must have the same level of differentiation and clarity as is provided on HealthCare.gov. To allow web-brokers and issuers using the DE and EDE pathways additional flexibility, HHS allowed these entities to submit a request to deviate from the manner </w:t>
      </w:r>
      <w:r>
        <w:t xml:space="preserve">in which standardized options are differentially displayed on HealthCare.gov. HHS stated that these requests would be reviewed based on whether the same level of differentiation and clarity is being provided under the requested deviation as is provided on </w:t>
      </w:r>
      <w:r>
        <w:t>HealthCare.gov.</w:t>
      </w:r>
    </w:p>
    <w:p w:rsidR="003E1A3E" w:rsidRDefault="003E1A3E">
      <w:pPr>
        <w:pStyle w:val="BodyText"/>
        <w:spacing w:before="7"/>
        <w:rPr>
          <w:sz w:val="28"/>
        </w:rPr>
      </w:pPr>
    </w:p>
    <w:p w:rsidR="003E1A3E" w:rsidRDefault="00E15F6C">
      <w:pPr>
        <w:pStyle w:val="BodyText"/>
        <w:spacing w:line="247" w:lineRule="auto"/>
        <w:ind w:left="280" w:right="423"/>
      </w:pPr>
      <w:r>
        <w:t>The current ICR provides the authority for HHS to request information from these entities to submit a request to deviate from the manner in which standardized options are differentially displayed on HealthCare.gov, if these entities so choose. This flexibi</w:t>
      </w:r>
      <w:r>
        <w:t>lity will ensure that web-brokers and issuers using the DE and EDE pathways can continue to enroll qualified consumers into QHPs offered through the Exchanges without disruption.</w:t>
      </w:r>
    </w:p>
    <w:p w:rsidR="003E1A3E" w:rsidRDefault="003E1A3E">
      <w:pPr>
        <w:spacing w:line="247" w:lineRule="auto"/>
        <w:sectPr w:rsidR="003E1A3E">
          <w:pgSz w:w="12240" w:h="15840"/>
          <w:pgMar w:top="1360" w:right="1320" w:bottom="280" w:left="1320" w:header="720" w:footer="720" w:gutter="0"/>
          <w:cols w:space="720"/>
        </w:sectPr>
      </w:pPr>
    </w:p>
    <w:p w:rsidR="003E1A3E" w:rsidRDefault="00E15F6C">
      <w:pPr>
        <w:pStyle w:val="ListParagraph"/>
        <w:numPr>
          <w:ilvl w:val="1"/>
          <w:numId w:val="1"/>
        </w:numPr>
        <w:tabs>
          <w:tab w:val="left" w:pos="700"/>
          <w:tab w:val="left" w:pos="701"/>
        </w:tabs>
        <w:spacing w:before="78"/>
        <w:ind w:hanging="421"/>
        <w:rPr>
          <w:sz w:val="24"/>
          <w:u w:val="none"/>
        </w:rPr>
      </w:pPr>
      <w:r>
        <w:rPr>
          <w:position w:val="1"/>
          <w:sz w:val="24"/>
        </w:rPr>
        <w:lastRenderedPageBreak/>
        <w:t>Information</w:t>
      </w:r>
      <w:r>
        <w:rPr>
          <w:spacing w:val="-1"/>
          <w:position w:val="1"/>
          <w:sz w:val="24"/>
        </w:rPr>
        <w:t xml:space="preserve"> </w:t>
      </w:r>
      <w:r>
        <w:rPr>
          <w:position w:val="1"/>
          <w:sz w:val="24"/>
        </w:rPr>
        <w:t>Users</w:t>
      </w:r>
    </w:p>
    <w:p w:rsidR="003E1A3E" w:rsidRDefault="003E1A3E">
      <w:pPr>
        <w:pStyle w:val="BodyText"/>
        <w:spacing w:before="5"/>
        <w:rPr>
          <w:sz w:val="17"/>
        </w:rPr>
      </w:pPr>
    </w:p>
    <w:p w:rsidR="003E1A3E" w:rsidRDefault="00E15F6C">
      <w:pPr>
        <w:pStyle w:val="BodyText"/>
        <w:spacing w:before="90" w:line="247" w:lineRule="auto"/>
        <w:ind w:left="280" w:right="389"/>
      </w:pPr>
      <w:r>
        <w:t>This ICR will provide HHS the authority necessar</w:t>
      </w:r>
      <w:r>
        <w:t>y to request information from web-brokers and QHP issuers using the Classic DE and EDE pathways to request to deviate from the manner in which standardized options are differentially displayed on HealthCare.gov, if they so choose.</w:t>
      </w:r>
    </w:p>
    <w:p w:rsidR="003E1A3E" w:rsidRDefault="003E1A3E">
      <w:pPr>
        <w:pStyle w:val="BodyText"/>
        <w:spacing w:before="3"/>
      </w:pPr>
    </w:p>
    <w:p w:rsidR="003E1A3E" w:rsidRDefault="00E15F6C">
      <w:pPr>
        <w:pStyle w:val="ListParagraph"/>
        <w:numPr>
          <w:ilvl w:val="1"/>
          <w:numId w:val="1"/>
        </w:numPr>
        <w:tabs>
          <w:tab w:val="left" w:pos="700"/>
          <w:tab w:val="left" w:pos="701"/>
        </w:tabs>
        <w:ind w:hanging="421"/>
        <w:rPr>
          <w:sz w:val="24"/>
          <w:u w:val="none"/>
        </w:rPr>
      </w:pPr>
      <w:r>
        <w:rPr>
          <w:sz w:val="24"/>
        </w:rPr>
        <w:t>Use of Information</w:t>
      </w:r>
      <w:r>
        <w:rPr>
          <w:spacing w:val="-1"/>
          <w:sz w:val="24"/>
        </w:rPr>
        <w:t xml:space="preserve"> </w:t>
      </w:r>
      <w:r>
        <w:rPr>
          <w:sz w:val="24"/>
        </w:rPr>
        <w:t>Techn</w:t>
      </w:r>
      <w:r>
        <w:rPr>
          <w:sz w:val="24"/>
        </w:rPr>
        <w:t>ology</w:t>
      </w:r>
    </w:p>
    <w:p w:rsidR="003E1A3E" w:rsidRDefault="003E1A3E">
      <w:pPr>
        <w:pStyle w:val="BodyText"/>
        <w:spacing w:before="3"/>
        <w:rPr>
          <w:sz w:val="17"/>
        </w:rPr>
      </w:pPr>
    </w:p>
    <w:p w:rsidR="003E1A3E" w:rsidRDefault="00E15F6C">
      <w:pPr>
        <w:pStyle w:val="BodyText"/>
        <w:spacing w:before="90" w:line="247" w:lineRule="auto"/>
        <w:ind w:left="280" w:right="322"/>
      </w:pPr>
      <w:r>
        <w:t xml:space="preserve">HHS anticipates that a majority of the systems, notices, and information collection required will be automated. A majority of the information that is required by the collection of information will be submitted electronically. HHS staff will analyze </w:t>
      </w:r>
      <w:r>
        <w:t>or review the data in the same manner by which it was submitted and communicate with States, health insurance issuers, and other entities using e-mail, telephone, or other electronic means.</w:t>
      </w:r>
    </w:p>
    <w:p w:rsidR="003E1A3E" w:rsidRDefault="003E1A3E">
      <w:pPr>
        <w:pStyle w:val="BodyText"/>
        <w:spacing w:before="2"/>
      </w:pPr>
    </w:p>
    <w:p w:rsidR="003E1A3E" w:rsidRDefault="00E15F6C">
      <w:pPr>
        <w:pStyle w:val="ListParagraph"/>
        <w:numPr>
          <w:ilvl w:val="1"/>
          <w:numId w:val="1"/>
        </w:numPr>
        <w:tabs>
          <w:tab w:val="left" w:pos="700"/>
          <w:tab w:val="left" w:pos="701"/>
        </w:tabs>
        <w:ind w:hanging="421"/>
        <w:rPr>
          <w:sz w:val="24"/>
          <w:u w:val="none"/>
        </w:rPr>
      </w:pPr>
      <w:r>
        <w:rPr>
          <w:sz w:val="24"/>
        </w:rPr>
        <w:t>Duplication of</w:t>
      </w:r>
      <w:r>
        <w:rPr>
          <w:spacing w:val="-2"/>
          <w:sz w:val="24"/>
        </w:rPr>
        <w:t xml:space="preserve"> </w:t>
      </w:r>
      <w:r>
        <w:rPr>
          <w:sz w:val="24"/>
        </w:rPr>
        <w:t>Efforts</w:t>
      </w:r>
    </w:p>
    <w:p w:rsidR="003E1A3E" w:rsidRDefault="003E1A3E">
      <w:pPr>
        <w:pStyle w:val="BodyText"/>
        <w:spacing w:before="2"/>
        <w:rPr>
          <w:sz w:val="16"/>
        </w:rPr>
      </w:pPr>
    </w:p>
    <w:p w:rsidR="003E1A3E" w:rsidRDefault="00E15F6C">
      <w:pPr>
        <w:pStyle w:val="BodyText"/>
        <w:spacing w:before="90"/>
        <w:ind w:left="280"/>
      </w:pPr>
      <w:r>
        <w:t>This information collection does not dupl</w:t>
      </w:r>
      <w:r>
        <w:t>icate any other Federal effort.</w:t>
      </w:r>
    </w:p>
    <w:p w:rsidR="003E1A3E" w:rsidRDefault="003E1A3E">
      <w:pPr>
        <w:pStyle w:val="BodyText"/>
        <w:spacing w:before="10"/>
        <w:rPr>
          <w:sz w:val="25"/>
        </w:rPr>
      </w:pPr>
    </w:p>
    <w:p w:rsidR="003E1A3E" w:rsidRDefault="00E15F6C">
      <w:pPr>
        <w:pStyle w:val="ListParagraph"/>
        <w:numPr>
          <w:ilvl w:val="1"/>
          <w:numId w:val="1"/>
        </w:numPr>
        <w:tabs>
          <w:tab w:val="left" w:pos="700"/>
          <w:tab w:val="left" w:pos="701"/>
        </w:tabs>
        <w:ind w:hanging="421"/>
        <w:rPr>
          <w:sz w:val="24"/>
          <w:u w:val="none"/>
        </w:rPr>
      </w:pPr>
      <w:r>
        <w:rPr>
          <w:sz w:val="24"/>
        </w:rPr>
        <w:t>Small</w:t>
      </w:r>
      <w:r>
        <w:rPr>
          <w:spacing w:val="-1"/>
          <w:sz w:val="24"/>
        </w:rPr>
        <w:t xml:space="preserve"> </w:t>
      </w:r>
      <w:r>
        <w:rPr>
          <w:sz w:val="24"/>
        </w:rPr>
        <w:t>Businesses</w:t>
      </w:r>
    </w:p>
    <w:p w:rsidR="003E1A3E" w:rsidRDefault="003E1A3E">
      <w:pPr>
        <w:pStyle w:val="BodyText"/>
        <w:spacing w:before="6"/>
        <w:rPr>
          <w:sz w:val="19"/>
        </w:rPr>
      </w:pPr>
    </w:p>
    <w:p w:rsidR="003E1A3E" w:rsidRDefault="00E15F6C">
      <w:pPr>
        <w:pStyle w:val="BodyText"/>
        <w:spacing w:before="90"/>
        <w:ind w:left="280"/>
      </w:pPr>
      <w:r>
        <w:t>This information collection will not have a significant impact on small business.</w:t>
      </w:r>
    </w:p>
    <w:p w:rsidR="003E1A3E" w:rsidRDefault="003E1A3E">
      <w:pPr>
        <w:pStyle w:val="BodyText"/>
        <w:spacing w:before="3"/>
        <w:rPr>
          <w:sz w:val="25"/>
        </w:rPr>
      </w:pPr>
    </w:p>
    <w:p w:rsidR="003E1A3E" w:rsidRDefault="00E15F6C">
      <w:pPr>
        <w:pStyle w:val="ListParagraph"/>
        <w:numPr>
          <w:ilvl w:val="1"/>
          <w:numId w:val="1"/>
        </w:numPr>
        <w:tabs>
          <w:tab w:val="left" w:pos="700"/>
          <w:tab w:val="left" w:pos="701"/>
        </w:tabs>
        <w:ind w:hanging="421"/>
        <w:rPr>
          <w:sz w:val="24"/>
          <w:u w:val="none"/>
        </w:rPr>
      </w:pPr>
      <w:r>
        <w:rPr>
          <w:sz w:val="24"/>
        </w:rPr>
        <w:t>Less Frequent</w:t>
      </w:r>
      <w:r>
        <w:rPr>
          <w:spacing w:val="-1"/>
          <w:sz w:val="24"/>
        </w:rPr>
        <w:t xml:space="preserve"> </w:t>
      </w:r>
      <w:r>
        <w:rPr>
          <w:sz w:val="24"/>
        </w:rPr>
        <w:t>Collection</w:t>
      </w:r>
    </w:p>
    <w:p w:rsidR="003E1A3E" w:rsidRDefault="003E1A3E">
      <w:pPr>
        <w:pStyle w:val="BodyText"/>
        <w:spacing w:before="2"/>
        <w:rPr>
          <w:sz w:val="16"/>
        </w:rPr>
      </w:pPr>
    </w:p>
    <w:p w:rsidR="003E1A3E" w:rsidRDefault="00E15F6C">
      <w:pPr>
        <w:pStyle w:val="BodyText"/>
        <w:spacing w:before="90"/>
        <w:ind w:left="280" w:right="107"/>
      </w:pPr>
      <w:r>
        <w:t>If information is collected on a less frequent basis, HHS will be unable to allow web-brokers and QHP issuers using a DE or an EDE pathway to request to deviate from the manner in which standardized options are differentially displayed on HealthCare.gov, w</w:t>
      </w:r>
      <w:r>
        <w:t>hich could impede the enrollment of qualified individuals into QHPs through these enrollment</w:t>
      </w:r>
      <w:r>
        <w:rPr>
          <w:spacing w:val="-9"/>
        </w:rPr>
        <w:t xml:space="preserve"> </w:t>
      </w:r>
      <w:r>
        <w:t>pathways.</w:t>
      </w:r>
    </w:p>
    <w:p w:rsidR="003E1A3E" w:rsidRDefault="00E15F6C">
      <w:pPr>
        <w:pStyle w:val="BodyText"/>
        <w:ind w:left="280" w:right="476"/>
      </w:pPr>
      <w:r>
        <w:t>Therefore, this information must be collected on an annual basis to allow these web-brokers and issuers to submit a request to deviate, if they so choose</w:t>
      </w:r>
      <w:r>
        <w:t>.</w:t>
      </w:r>
    </w:p>
    <w:p w:rsidR="003E1A3E" w:rsidRDefault="003E1A3E">
      <w:pPr>
        <w:pStyle w:val="BodyText"/>
        <w:spacing w:before="10"/>
      </w:pPr>
    </w:p>
    <w:p w:rsidR="003E1A3E" w:rsidRDefault="00E15F6C">
      <w:pPr>
        <w:pStyle w:val="ListParagraph"/>
        <w:numPr>
          <w:ilvl w:val="1"/>
          <w:numId w:val="1"/>
        </w:numPr>
        <w:tabs>
          <w:tab w:val="left" w:pos="700"/>
          <w:tab w:val="left" w:pos="701"/>
        </w:tabs>
        <w:ind w:hanging="421"/>
        <w:rPr>
          <w:sz w:val="24"/>
          <w:u w:val="none"/>
        </w:rPr>
      </w:pPr>
      <w:r>
        <w:rPr>
          <w:sz w:val="24"/>
        </w:rPr>
        <w:t>Special</w:t>
      </w:r>
      <w:r>
        <w:rPr>
          <w:spacing w:val="-1"/>
          <w:sz w:val="24"/>
        </w:rPr>
        <w:t xml:space="preserve"> </w:t>
      </w:r>
      <w:r>
        <w:rPr>
          <w:sz w:val="24"/>
        </w:rPr>
        <w:t>Circumstances</w:t>
      </w:r>
    </w:p>
    <w:p w:rsidR="003E1A3E" w:rsidRDefault="003E1A3E">
      <w:pPr>
        <w:pStyle w:val="BodyText"/>
        <w:spacing w:before="2"/>
        <w:rPr>
          <w:sz w:val="16"/>
        </w:rPr>
      </w:pPr>
    </w:p>
    <w:p w:rsidR="003E1A3E" w:rsidRDefault="00E15F6C">
      <w:pPr>
        <w:pStyle w:val="BodyText"/>
        <w:spacing w:before="90"/>
        <w:ind w:left="280"/>
      </w:pPr>
      <w:r>
        <w:t>There are no anticipated special circumstances.</w:t>
      </w:r>
    </w:p>
    <w:p w:rsidR="003E1A3E" w:rsidRDefault="003E1A3E">
      <w:pPr>
        <w:pStyle w:val="BodyText"/>
        <w:spacing w:before="9"/>
      </w:pPr>
    </w:p>
    <w:p w:rsidR="003E1A3E" w:rsidRDefault="00E15F6C">
      <w:pPr>
        <w:pStyle w:val="ListParagraph"/>
        <w:numPr>
          <w:ilvl w:val="1"/>
          <w:numId w:val="1"/>
        </w:numPr>
        <w:tabs>
          <w:tab w:val="left" w:pos="700"/>
          <w:tab w:val="left" w:pos="701"/>
        </w:tabs>
        <w:ind w:hanging="421"/>
        <w:rPr>
          <w:sz w:val="24"/>
          <w:u w:val="none"/>
        </w:rPr>
      </w:pPr>
      <w:r>
        <w:rPr>
          <w:sz w:val="24"/>
        </w:rPr>
        <w:t>Federal Register/Outside</w:t>
      </w:r>
      <w:r>
        <w:rPr>
          <w:spacing w:val="-5"/>
          <w:sz w:val="24"/>
        </w:rPr>
        <w:t xml:space="preserve"> </w:t>
      </w:r>
      <w:r>
        <w:rPr>
          <w:sz w:val="24"/>
        </w:rPr>
        <w:t>Consultation</w:t>
      </w:r>
    </w:p>
    <w:p w:rsidR="003E1A3E" w:rsidRDefault="003E1A3E">
      <w:pPr>
        <w:pStyle w:val="BodyText"/>
        <w:spacing w:before="6"/>
        <w:rPr>
          <w:sz w:val="14"/>
        </w:rPr>
      </w:pPr>
    </w:p>
    <w:p w:rsidR="003E1A3E" w:rsidRDefault="00E15F6C">
      <w:pPr>
        <w:pStyle w:val="BodyText"/>
        <w:spacing w:before="90" w:line="247" w:lineRule="auto"/>
        <w:ind w:left="280" w:right="368" w:firstLine="60"/>
      </w:pPr>
      <w:r>
        <w:t>The Notice of Proposed Rulemaking published on January 5, 2022 (87 FR 584, 0938-AU65).</w:t>
      </w:r>
      <w:bookmarkStart w:name="_GoBack" w:id="0"/>
      <w:bookmarkEnd w:id="0"/>
    </w:p>
    <w:p w:rsidR="003E1A3E" w:rsidRDefault="003E1A3E">
      <w:pPr>
        <w:pStyle w:val="BodyText"/>
        <w:spacing w:before="5"/>
      </w:pPr>
    </w:p>
    <w:p w:rsidR="003E1A3E" w:rsidRDefault="00E15F6C">
      <w:pPr>
        <w:pStyle w:val="BodyText"/>
        <w:ind w:left="280"/>
      </w:pPr>
      <w:r>
        <w:t xml:space="preserve">No </w:t>
      </w:r>
      <w:r>
        <w:t>additional outside consultation was sought.</w:t>
      </w:r>
    </w:p>
    <w:p w:rsidR="003E1A3E" w:rsidRDefault="003E1A3E">
      <w:pPr>
        <w:pStyle w:val="BodyText"/>
        <w:spacing w:before="6"/>
        <w:rPr>
          <w:sz w:val="25"/>
        </w:rPr>
      </w:pPr>
    </w:p>
    <w:p w:rsidR="003E1A3E" w:rsidRDefault="00E15F6C">
      <w:pPr>
        <w:pStyle w:val="ListParagraph"/>
        <w:numPr>
          <w:ilvl w:val="1"/>
          <w:numId w:val="1"/>
        </w:numPr>
        <w:tabs>
          <w:tab w:val="left" w:pos="700"/>
          <w:tab w:val="left" w:pos="701"/>
        </w:tabs>
        <w:ind w:hanging="421"/>
        <w:rPr>
          <w:sz w:val="24"/>
          <w:u w:val="none"/>
        </w:rPr>
      </w:pPr>
      <w:r>
        <w:rPr>
          <w:sz w:val="24"/>
        </w:rPr>
        <w:t>Payments/Gifts to</w:t>
      </w:r>
      <w:r>
        <w:rPr>
          <w:spacing w:val="-1"/>
          <w:sz w:val="24"/>
        </w:rPr>
        <w:t xml:space="preserve"> </w:t>
      </w:r>
      <w:r>
        <w:rPr>
          <w:sz w:val="24"/>
        </w:rPr>
        <w:t>Respondents</w:t>
      </w:r>
    </w:p>
    <w:p w:rsidR="003E1A3E" w:rsidRDefault="003E1A3E">
      <w:pPr>
        <w:pStyle w:val="BodyText"/>
        <w:spacing w:before="2"/>
        <w:rPr>
          <w:sz w:val="16"/>
        </w:rPr>
      </w:pPr>
    </w:p>
    <w:p w:rsidR="003E1A3E" w:rsidRDefault="00E15F6C">
      <w:pPr>
        <w:pStyle w:val="BodyText"/>
        <w:spacing w:before="90"/>
        <w:ind w:left="280"/>
      </w:pPr>
      <w:r>
        <w:t>No payments and/or gifts will be provided to respondents.</w:t>
      </w:r>
    </w:p>
    <w:p w:rsidR="003E1A3E" w:rsidRDefault="003E1A3E">
      <w:pPr>
        <w:sectPr w:rsidR="003E1A3E">
          <w:pgSz w:w="12240" w:h="15840"/>
          <w:pgMar w:top="1360" w:right="1320" w:bottom="280" w:left="1320" w:header="720" w:footer="720" w:gutter="0"/>
          <w:cols w:space="720"/>
        </w:sectPr>
      </w:pPr>
    </w:p>
    <w:p w:rsidR="003E1A3E" w:rsidRDefault="00E15F6C">
      <w:pPr>
        <w:pStyle w:val="ListParagraph"/>
        <w:numPr>
          <w:ilvl w:val="1"/>
          <w:numId w:val="1"/>
        </w:numPr>
        <w:tabs>
          <w:tab w:val="left" w:pos="713"/>
        </w:tabs>
        <w:spacing w:before="61"/>
        <w:ind w:left="712" w:hanging="433"/>
        <w:rPr>
          <w:sz w:val="24"/>
          <w:u w:val="none"/>
        </w:rPr>
      </w:pPr>
      <w:r>
        <w:rPr>
          <w:sz w:val="24"/>
        </w:rPr>
        <w:lastRenderedPageBreak/>
        <w:t>Confidentiality</w:t>
      </w:r>
    </w:p>
    <w:p w:rsidR="003E1A3E" w:rsidRDefault="003E1A3E">
      <w:pPr>
        <w:pStyle w:val="BodyText"/>
        <w:rPr>
          <w:sz w:val="25"/>
        </w:rPr>
      </w:pPr>
    </w:p>
    <w:p w:rsidR="003E1A3E" w:rsidRDefault="00E15F6C">
      <w:pPr>
        <w:pStyle w:val="BodyText"/>
        <w:spacing w:before="90" w:line="244" w:lineRule="auto"/>
        <w:ind w:left="280" w:right="435"/>
      </w:pPr>
      <w:r>
        <w:t>To the extent of the applicable law and HHS policies, we will maintain respondent privacy with respect to the information collected. Nothing in the information collection should be interpreted as preventing a State from being allowed to disclose its own da</w:t>
      </w:r>
      <w:r>
        <w:t>ta.</w:t>
      </w:r>
    </w:p>
    <w:p w:rsidR="003E1A3E" w:rsidRDefault="003E1A3E">
      <w:pPr>
        <w:pStyle w:val="BodyText"/>
        <w:rPr>
          <w:sz w:val="25"/>
        </w:rPr>
      </w:pPr>
    </w:p>
    <w:p w:rsidR="003E1A3E" w:rsidRDefault="00E15F6C">
      <w:pPr>
        <w:pStyle w:val="ListParagraph"/>
        <w:numPr>
          <w:ilvl w:val="1"/>
          <w:numId w:val="1"/>
        </w:numPr>
        <w:tabs>
          <w:tab w:val="left" w:pos="732"/>
        </w:tabs>
        <w:ind w:left="732" w:hanging="432"/>
        <w:rPr>
          <w:sz w:val="24"/>
          <w:u w:val="none"/>
        </w:rPr>
      </w:pPr>
      <w:r>
        <w:rPr>
          <w:sz w:val="24"/>
        </w:rPr>
        <w:t>Sensitive</w:t>
      </w:r>
      <w:r>
        <w:rPr>
          <w:spacing w:val="-2"/>
          <w:sz w:val="24"/>
        </w:rPr>
        <w:t xml:space="preserve"> </w:t>
      </w:r>
      <w:r>
        <w:rPr>
          <w:sz w:val="24"/>
        </w:rPr>
        <w:t>Questions</w:t>
      </w:r>
    </w:p>
    <w:p w:rsidR="003E1A3E" w:rsidRDefault="003E1A3E">
      <w:pPr>
        <w:pStyle w:val="BodyText"/>
        <w:spacing w:before="6"/>
        <w:rPr>
          <w:sz w:val="14"/>
        </w:rPr>
      </w:pPr>
    </w:p>
    <w:p w:rsidR="003E1A3E" w:rsidRDefault="00E15F6C">
      <w:pPr>
        <w:pStyle w:val="BodyText"/>
        <w:spacing w:before="90"/>
        <w:ind w:left="300"/>
      </w:pPr>
      <w:r>
        <w:t>There are no sensitive questions included in this information collection effort.</w:t>
      </w:r>
    </w:p>
    <w:p w:rsidR="003E1A3E" w:rsidRDefault="003E1A3E">
      <w:pPr>
        <w:pStyle w:val="BodyText"/>
        <w:spacing w:before="5"/>
        <w:rPr>
          <w:sz w:val="25"/>
        </w:rPr>
      </w:pPr>
    </w:p>
    <w:p w:rsidR="003E1A3E" w:rsidRDefault="00E15F6C">
      <w:pPr>
        <w:pStyle w:val="ListParagraph"/>
        <w:numPr>
          <w:ilvl w:val="1"/>
          <w:numId w:val="1"/>
        </w:numPr>
        <w:tabs>
          <w:tab w:val="left" w:pos="732"/>
        </w:tabs>
        <w:spacing w:before="1"/>
        <w:ind w:left="732" w:hanging="432"/>
        <w:rPr>
          <w:sz w:val="24"/>
          <w:u w:val="none"/>
        </w:rPr>
      </w:pPr>
      <w:r>
        <w:rPr>
          <w:sz w:val="24"/>
        </w:rPr>
        <w:t>Burden Estimates (Hours &amp;</w:t>
      </w:r>
      <w:r>
        <w:rPr>
          <w:spacing w:val="-3"/>
          <w:sz w:val="24"/>
        </w:rPr>
        <w:t xml:space="preserve"> </w:t>
      </w:r>
      <w:r>
        <w:rPr>
          <w:sz w:val="24"/>
        </w:rPr>
        <w:t>Wages)</w:t>
      </w:r>
    </w:p>
    <w:p w:rsidR="003E1A3E" w:rsidRDefault="003E1A3E">
      <w:pPr>
        <w:pStyle w:val="BodyText"/>
        <w:spacing w:before="7"/>
        <w:rPr>
          <w:sz w:val="27"/>
        </w:rPr>
      </w:pPr>
    </w:p>
    <w:p w:rsidR="003E1A3E" w:rsidRDefault="00E15F6C">
      <w:pPr>
        <w:pStyle w:val="BodyText"/>
        <w:spacing w:before="90" w:line="247" w:lineRule="auto"/>
        <w:ind w:left="280" w:right="649"/>
      </w:pPr>
      <w:r>
        <w:t>We used the web site (</w:t>
      </w:r>
      <w:hyperlink r:id="rId5">
        <w:r>
          <w:rPr>
            <w:color w:val="0562C1"/>
            <w:u w:val="single" w:color="0562C1"/>
          </w:rPr>
          <w:t>https://www.bls.gov/oes/curr</w:t>
        </w:r>
        <w:r>
          <w:rPr>
            <w:color w:val="0562C1"/>
            <w:u w:val="single" w:color="0562C1"/>
          </w:rPr>
          <w:t>ent/oes_stru.htm</w:t>
        </w:r>
      </w:hyperlink>
      <w:r>
        <w:t>) of the Bureau of Labor Statistics (BLS) to estimate the burden for this collection. The mean hourly wage for web developers and digital interface designers is $41.10, plus a 100% fringe benefit rate of $41.10, for an adjusted hourly wage of $82.20 per ho</w:t>
      </w:r>
      <w:r>
        <w:t>ur. The mean hourly wage for compliance officers is $36.35, plus a 100% fringe benefit rate of $36.35, for an adjusted hourly wage of $72.70 per hour. See Table 1.</w:t>
      </w:r>
    </w:p>
    <w:p w:rsidR="003E1A3E" w:rsidRDefault="003E1A3E">
      <w:pPr>
        <w:pStyle w:val="BodyText"/>
        <w:spacing w:before="10"/>
        <w:rPr>
          <w:sz w:val="28"/>
        </w:rPr>
      </w:pPr>
    </w:p>
    <w:p w:rsidR="003E1A3E" w:rsidRDefault="00E15F6C">
      <w:pPr>
        <w:pStyle w:val="Heading1"/>
      </w:pPr>
      <w:r>
        <w:t>Table 1. Adjusted Hourly Wages Used in Burden Estimates</w:t>
      </w:r>
    </w:p>
    <w:p w:rsidR="003E1A3E" w:rsidRDefault="003E1A3E">
      <w:pPr>
        <w:pStyle w:val="BodyText"/>
        <w:spacing w:before="10"/>
        <w:rPr>
          <w:b/>
          <w:sz w:val="27"/>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2155"/>
        <w:gridCol w:w="1797"/>
        <w:gridCol w:w="1799"/>
        <w:gridCol w:w="1797"/>
        <w:gridCol w:w="1799"/>
      </w:tblGrid>
      <w:tr w:rsidR="003E1A3E">
        <w:trPr>
          <w:trHeight w:val="1103"/>
        </w:trPr>
        <w:tc>
          <w:tcPr>
            <w:tcW w:w="2155" w:type="dxa"/>
          </w:tcPr>
          <w:p w:rsidR="003E1A3E" w:rsidRDefault="00E15F6C">
            <w:pPr>
              <w:pStyle w:val="TableParagraph"/>
              <w:spacing w:line="275" w:lineRule="exact"/>
              <w:ind w:left="98" w:right="87"/>
              <w:jc w:val="center"/>
              <w:rPr>
                <w:b/>
                <w:sz w:val="24"/>
              </w:rPr>
            </w:pPr>
            <w:r>
              <w:rPr>
                <w:b/>
                <w:sz w:val="24"/>
              </w:rPr>
              <w:t>Occupational Title</w:t>
            </w:r>
          </w:p>
        </w:tc>
        <w:tc>
          <w:tcPr>
            <w:tcW w:w="1797" w:type="dxa"/>
          </w:tcPr>
          <w:p w:rsidR="003E1A3E" w:rsidRDefault="00E15F6C">
            <w:pPr>
              <w:pStyle w:val="TableParagraph"/>
              <w:ind w:left="631" w:right="182" w:hanging="420"/>
              <w:rPr>
                <w:b/>
                <w:sz w:val="24"/>
              </w:rPr>
            </w:pPr>
            <w:r>
              <w:rPr>
                <w:b/>
                <w:sz w:val="24"/>
              </w:rPr>
              <w:t>Occupational Code</w:t>
            </w:r>
          </w:p>
        </w:tc>
        <w:tc>
          <w:tcPr>
            <w:tcW w:w="1799" w:type="dxa"/>
          </w:tcPr>
          <w:p w:rsidR="003E1A3E" w:rsidRDefault="00E15F6C">
            <w:pPr>
              <w:pStyle w:val="TableParagraph"/>
              <w:ind w:left="156" w:right="126" w:firstLine="52"/>
              <w:rPr>
                <w:b/>
                <w:sz w:val="24"/>
              </w:rPr>
            </w:pPr>
            <w:r>
              <w:rPr>
                <w:b/>
                <w:sz w:val="24"/>
              </w:rPr>
              <w:t>Mean Hourly Wage ($/hour)</w:t>
            </w:r>
          </w:p>
        </w:tc>
        <w:tc>
          <w:tcPr>
            <w:tcW w:w="1797" w:type="dxa"/>
          </w:tcPr>
          <w:p w:rsidR="003E1A3E" w:rsidRDefault="00E15F6C">
            <w:pPr>
              <w:pStyle w:val="TableParagraph"/>
              <w:ind w:left="119" w:right="101"/>
              <w:jc w:val="center"/>
              <w:rPr>
                <w:b/>
                <w:sz w:val="24"/>
              </w:rPr>
            </w:pPr>
            <w:r>
              <w:rPr>
                <w:b/>
                <w:sz w:val="24"/>
              </w:rPr>
              <w:t xml:space="preserve">Fringe </w:t>
            </w:r>
            <w:r>
              <w:rPr>
                <w:b/>
                <w:spacing w:val="-3"/>
                <w:sz w:val="24"/>
              </w:rPr>
              <w:t xml:space="preserve">Benefits </w:t>
            </w:r>
            <w:r>
              <w:rPr>
                <w:b/>
                <w:sz w:val="24"/>
              </w:rPr>
              <w:t>&amp; Overhead (100%)</w:t>
            </w:r>
          </w:p>
          <w:p w:rsidR="003E1A3E" w:rsidRDefault="00E15F6C">
            <w:pPr>
              <w:pStyle w:val="TableParagraph"/>
              <w:spacing w:line="257" w:lineRule="exact"/>
              <w:ind w:left="117" w:right="101"/>
              <w:jc w:val="center"/>
              <w:rPr>
                <w:b/>
                <w:sz w:val="24"/>
              </w:rPr>
            </w:pPr>
            <w:r>
              <w:rPr>
                <w:b/>
                <w:sz w:val="24"/>
              </w:rPr>
              <w:t>($/hour)</w:t>
            </w:r>
          </w:p>
        </w:tc>
        <w:tc>
          <w:tcPr>
            <w:tcW w:w="1799" w:type="dxa"/>
          </w:tcPr>
          <w:p w:rsidR="003E1A3E" w:rsidRDefault="00E15F6C">
            <w:pPr>
              <w:pStyle w:val="TableParagraph"/>
              <w:ind w:left="211" w:right="195" w:hanging="2"/>
              <w:jc w:val="center"/>
              <w:rPr>
                <w:b/>
                <w:sz w:val="24"/>
              </w:rPr>
            </w:pPr>
            <w:r>
              <w:rPr>
                <w:b/>
                <w:sz w:val="24"/>
              </w:rPr>
              <w:t>Adjusted Hourly Wage ($/hour)</w:t>
            </w:r>
          </w:p>
        </w:tc>
      </w:tr>
      <w:tr w:rsidR="003E1A3E">
        <w:trPr>
          <w:trHeight w:val="829"/>
        </w:trPr>
        <w:tc>
          <w:tcPr>
            <w:tcW w:w="2155" w:type="dxa"/>
          </w:tcPr>
          <w:p w:rsidR="003E1A3E" w:rsidRDefault="00E15F6C">
            <w:pPr>
              <w:pStyle w:val="TableParagraph"/>
              <w:spacing w:before="1" w:line="270" w:lineRule="atLeast"/>
              <w:ind w:left="141" w:right="132" w:firstLine="2"/>
              <w:jc w:val="center"/>
              <w:rPr>
                <w:sz w:val="24"/>
              </w:rPr>
            </w:pPr>
            <w:r>
              <w:rPr>
                <w:sz w:val="24"/>
              </w:rPr>
              <w:t xml:space="preserve">Web Developers and Digital Interface </w:t>
            </w:r>
            <w:r>
              <w:rPr>
                <w:spacing w:val="-3"/>
                <w:sz w:val="24"/>
              </w:rPr>
              <w:t>Designers</w:t>
            </w:r>
          </w:p>
        </w:tc>
        <w:tc>
          <w:tcPr>
            <w:tcW w:w="1797" w:type="dxa"/>
          </w:tcPr>
          <w:p w:rsidR="003E1A3E" w:rsidRDefault="00E15F6C">
            <w:pPr>
              <w:pStyle w:val="TableParagraph"/>
              <w:spacing w:before="1"/>
              <w:ind w:left="111" w:right="101"/>
              <w:jc w:val="center"/>
              <w:rPr>
                <w:sz w:val="24"/>
              </w:rPr>
            </w:pPr>
            <w:r>
              <w:rPr>
                <w:sz w:val="24"/>
              </w:rPr>
              <w:t>15-1257</w:t>
            </w:r>
          </w:p>
        </w:tc>
        <w:tc>
          <w:tcPr>
            <w:tcW w:w="1799" w:type="dxa"/>
          </w:tcPr>
          <w:p w:rsidR="003E1A3E" w:rsidRDefault="00E15F6C">
            <w:pPr>
              <w:pStyle w:val="TableParagraph"/>
              <w:spacing w:before="1"/>
              <w:ind w:right="557"/>
              <w:jc w:val="right"/>
              <w:rPr>
                <w:sz w:val="24"/>
              </w:rPr>
            </w:pPr>
            <w:r>
              <w:rPr>
                <w:sz w:val="24"/>
              </w:rPr>
              <w:t>$41.10</w:t>
            </w:r>
          </w:p>
        </w:tc>
        <w:tc>
          <w:tcPr>
            <w:tcW w:w="1797" w:type="dxa"/>
          </w:tcPr>
          <w:p w:rsidR="003E1A3E" w:rsidRDefault="00E15F6C">
            <w:pPr>
              <w:pStyle w:val="TableParagraph"/>
              <w:spacing w:before="1"/>
              <w:ind w:left="114" w:right="101"/>
              <w:jc w:val="center"/>
              <w:rPr>
                <w:sz w:val="24"/>
              </w:rPr>
            </w:pPr>
            <w:r>
              <w:rPr>
                <w:sz w:val="24"/>
              </w:rPr>
              <w:t>$41.10</w:t>
            </w:r>
          </w:p>
        </w:tc>
        <w:tc>
          <w:tcPr>
            <w:tcW w:w="1799" w:type="dxa"/>
          </w:tcPr>
          <w:p w:rsidR="003E1A3E" w:rsidRDefault="00E15F6C">
            <w:pPr>
              <w:pStyle w:val="TableParagraph"/>
              <w:spacing w:before="1"/>
              <w:ind w:right="556"/>
              <w:jc w:val="right"/>
              <w:rPr>
                <w:sz w:val="24"/>
              </w:rPr>
            </w:pPr>
            <w:r>
              <w:rPr>
                <w:sz w:val="24"/>
              </w:rPr>
              <w:t>$82.20</w:t>
            </w:r>
          </w:p>
        </w:tc>
      </w:tr>
      <w:tr w:rsidR="003E1A3E">
        <w:trPr>
          <w:trHeight w:val="275"/>
        </w:trPr>
        <w:tc>
          <w:tcPr>
            <w:tcW w:w="2155" w:type="dxa"/>
          </w:tcPr>
          <w:p w:rsidR="003E1A3E" w:rsidRDefault="00E15F6C">
            <w:pPr>
              <w:pStyle w:val="TableParagraph"/>
              <w:spacing w:line="256" w:lineRule="exact"/>
              <w:ind w:left="94" w:right="90"/>
              <w:jc w:val="center"/>
              <w:rPr>
                <w:sz w:val="24"/>
              </w:rPr>
            </w:pPr>
            <w:r>
              <w:rPr>
                <w:sz w:val="24"/>
              </w:rPr>
              <w:t>Compliance Officer</w:t>
            </w:r>
          </w:p>
        </w:tc>
        <w:tc>
          <w:tcPr>
            <w:tcW w:w="1797" w:type="dxa"/>
          </w:tcPr>
          <w:p w:rsidR="003E1A3E" w:rsidRDefault="00E15F6C">
            <w:pPr>
              <w:pStyle w:val="TableParagraph"/>
              <w:spacing w:line="256" w:lineRule="exact"/>
              <w:ind w:left="111" w:right="101"/>
              <w:jc w:val="center"/>
              <w:rPr>
                <w:sz w:val="24"/>
              </w:rPr>
            </w:pPr>
            <w:r>
              <w:rPr>
                <w:sz w:val="24"/>
              </w:rPr>
              <w:t>13-1041</w:t>
            </w:r>
          </w:p>
        </w:tc>
        <w:tc>
          <w:tcPr>
            <w:tcW w:w="1799" w:type="dxa"/>
          </w:tcPr>
          <w:p w:rsidR="003E1A3E" w:rsidRDefault="00E15F6C">
            <w:pPr>
              <w:pStyle w:val="TableParagraph"/>
              <w:spacing w:line="256" w:lineRule="exact"/>
              <w:ind w:right="557"/>
              <w:jc w:val="right"/>
              <w:rPr>
                <w:sz w:val="24"/>
              </w:rPr>
            </w:pPr>
            <w:r>
              <w:rPr>
                <w:sz w:val="24"/>
              </w:rPr>
              <w:t>$36.35</w:t>
            </w:r>
          </w:p>
        </w:tc>
        <w:tc>
          <w:tcPr>
            <w:tcW w:w="1797" w:type="dxa"/>
          </w:tcPr>
          <w:p w:rsidR="003E1A3E" w:rsidRDefault="00E15F6C">
            <w:pPr>
              <w:pStyle w:val="TableParagraph"/>
              <w:spacing w:line="256" w:lineRule="exact"/>
              <w:ind w:left="114" w:right="101"/>
              <w:jc w:val="center"/>
              <w:rPr>
                <w:sz w:val="24"/>
              </w:rPr>
            </w:pPr>
            <w:r>
              <w:rPr>
                <w:sz w:val="24"/>
              </w:rPr>
              <w:t>$36.35</w:t>
            </w:r>
          </w:p>
        </w:tc>
        <w:tc>
          <w:tcPr>
            <w:tcW w:w="1799" w:type="dxa"/>
          </w:tcPr>
          <w:p w:rsidR="003E1A3E" w:rsidRDefault="00E15F6C">
            <w:pPr>
              <w:pStyle w:val="TableParagraph"/>
              <w:spacing w:line="256" w:lineRule="exact"/>
              <w:ind w:right="556"/>
              <w:jc w:val="right"/>
              <w:rPr>
                <w:sz w:val="24"/>
              </w:rPr>
            </w:pPr>
            <w:r>
              <w:rPr>
                <w:sz w:val="24"/>
              </w:rPr>
              <w:t>$72.70</w:t>
            </w:r>
          </w:p>
        </w:tc>
      </w:tr>
    </w:tbl>
    <w:p w:rsidR="003E1A3E" w:rsidRDefault="003E1A3E">
      <w:pPr>
        <w:pStyle w:val="BodyText"/>
        <w:spacing w:before="6"/>
        <w:rPr>
          <w:b/>
          <w:sz w:val="29"/>
        </w:rPr>
      </w:pPr>
    </w:p>
    <w:p w:rsidR="003E1A3E" w:rsidRDefault="00E15F6C">
      <w:pPr>
        <w:pStyle w:val="BodyText"/>
        <w:spacing w:line="247" w:lineRule="auto"/>
        <w:ind w:left="280" w:right="849"/>
      </w:pPr>
      <w:r>
        <w:rPr>
          <w:spacing w:val="-5"/>
          <w:u w:val="single"/>
        </w:rPr>
        <w:t xml:space="preserve">ICR </w:t>
      </w:r>
      <w:r>
        <w:rPr>
          <w:spacing w:val="-6"/>
          <w:u w:val="single"/>
        </w:rPr>
        <w:t xml:space="preserve">Regarding Differential Display </w:t>
      </w:r>
      <w:r>
        <w:rPr>
          <w:spacing w:val="-3"/>
          <w:u w:val="single"/>
        </w:rPr>
        <w:t xml:space="preserve">of </w:t>
      </w:r>
      <w:r>
        <w:rPr>
          <w:spacing w:val="-6"/>
          <w:u w:val="single"/>
        </w:rPr>
        <w:t xml:space="preserve">Standardized Options </w:t>
      </w:r>
      <w:r>
        <w:rPr>
          <w:spacing w:val="-3"/>
          <w:u w:val="single"/>
        </w:rPr>
        <w:t xml:space="preserve">on </w:t>
      </w:r>
      <w:r>
        <w:rPr>
          <w:spacing w:val="-4"/>
          <w:u w:val="single"/>
        </w:rPr>
        <w:t xml:space="preserve">the Web </w:t>
      </w:r>
      <w:r>
        <w:rPr>
          <w:spacing w:val="-5"/>
          <w:u w:val="single"/>
        </w:rPr>
        <w:t xml:space="preserve">Sites </w:t>
      </w:r>
      <w:r>
        <w:rPr>
          <w:spacing w:val="-4"/>
          <w:u w:val="single"/>
        </w:rPr>
        <w:t xml:space="preserve">of </w:t>
      </w:r>
      <w:r>
        <w:rPr>
          <w:spacing w:val="-6"/>
          <w:u w:val="single"/>
        </w:rPr>
        <w:t xml:space="preserve">Agents </w:t>
      </w:r>
      <w:r>
        <w:rPr>
          <w:spacing w:val="-7"/>
          <w:u w:val="single"/>
        </w:rPr>
        <w:t>and</w:t>
      </w:r>
      <w:r>
        <w:rPr>
          <w:spacing w:val="-7"/>
        </w:rPr>
        <w:t xml:space="preserve"> </w:t>
      </w:r>
      <w:r>
        <w:rPr>
          <w:spacing w:val="-6"/>
          <w:u w:val="single"/>
        </w:rPr>
        <w:t xml:space="preserve">Brokers </w:t>
      </w:r>
      <w:r>
        <w:rPr>
          <w:spacing w:val="-3"/>
          <w:u w:val="single"/>
        </w:rPr>
        <w:t xml:space="preserve">(§ </w:t>
      </w:r>
      <w:r>
        <w:rPr>
          <w:spacing w:val="-6"/>
          <w:u w:val="single"/>
        </w:rPr>
        <w:t xml:space="preserve">155.220) </w:t>
      </w:r>
      <w:r>
        <w:rPr>
          <w:spacing w:val="-5"/>
          <w:u w:val="single"/>
        </w:rPr>
        <w:t xml:space="preserve">and QHP </w:t>
      </w:r>
      <w:r>
        <w:rPr>
          <w:spacing w:val="-6"/>
          <w:u w:val="single"/>
        </w:rPr>
        <w:t xml:space="preserve">Issuers </w:t>
      </w:r>
      <w:r>
        <w:rPr>
          <w:spacing w:val="-4"/>
          <w:u w:val="single"/>
        </w:rPr>
        <w:t xml:space="preserve">(§ </w:t>
      </w:r>
      <w:r>
        <w:rPr>
          <w:spacing w:val="-7"/>
          <w:u w:val="single"/>
        </w:rPr>
        <w:t>156.265)</w:t>
      </w:r>
    </w:p>
    <w:p w:rsidR="003E1A3E" w:rsidRDefault="00E15F6C">
      <w:pPr>
        <w:pStyle w:val="BodyText"/>
        <w:spacing w:before="197" w:line="276" w:lineRule="auto"/>
        <w:ind w:left="211" w:right="23"/>
      </w:pPr>
      <w:r>
        <w:t>The 2023 Payment Notice proposes to resume enforcement of the standardized options differential display requirements at §§</w:t>
      </w:r>
      <w:r>
        <w:t xml:space="preserve"> 155.220(c)(3)(i)(H) and 156.265(b)(3)(iv). As such, web- brokers and QHP issuers that utilize the Classic DE and EDE pathways would be required to differentially display standardized options consistent with the approach adopted by HHS for display on Healt</w:t>
      </w:r>
      <w:r>
        <w:t>hCare.gov, unless HHS approves a deviation.</w:t>
      </w:r>
    </w:p>
    <w:p w:rsidR="003E1A3E" w:rsidRDefault="00E15F6C">
      <w:pPr>
        <w:pStyle w:val="BodyText"/>
        <w:spacing w:before="201" w:line="276" w:lineRule="auto"/>
        <w:ind w:left="211" w:right="424"/>
        <w:jc w:val="both"/>
      </w:pPr>
      <w:r>
        <w:t>Similar to the approach that was taken in the 2018 Payment Notice, HHS does not anticipate that the differential display of standardized options would require significant modification of web-broker and issuer platforms but that such display would provide a</w:t>
      </w:r>
      <w:r>
        <w:t>n important service for consumers seeking to enroll in a standardized option.</w:t>
      </w:r>
    </w:p>
    <w:p w:rsidR="003E1A3E" w:rsidRDefault="003E1A3E">
      <w:pPr>
        <w:spacing w:line="276" w:lineRule="auto"/>
        <w:jc w:val="both"/>
        <w:sectPr w:rsidR="003E1A3E">
          <w:pgSz w:w="12240" w:h="15840"/>
          <w:pgMar w:top="1380" w:right="1320" w:bottom="280" w:left="1320" w:header="720" w:footer="720" w:gutter="0"/>
          <w:cols w:space="720"/>
        </w:sectPr>
      </w:pPr>
    </w:p>
    <w:p w:rsidR="003E1A3E" w:rsidRDefault="00E15F6C">
      <w:pPr>
        <w:pStyle w:val="BodyText"/>
        <w:spacing w:before="79" w:line="247" w:lineRule="auto"/>
        <w:ind w:left="280" w:right="428"/>
      </w:pPr>
      <w:r>
        <w:lastRenderedPageBreak/>
        <w:t>We estimate a total of 110 web-brokers and QHP issuers participating in the FFEs and SBE- FPs would be required to comply with these requirements. We estimate that it would take a web developer/digital interface designer two hours annually, at an average h</w:t>
      </w:r>
      <w:r>
        <w:t>ourly cost of</w:t>
      </w:r>
    </w:p>
    <w:p w:rsidR="003E1A3E" w:rsidRDefault="00E15F6C">
      <w:pPr>
        <w:pStyle w:val="BodyText"/>
        <w:spacing w:line="244" w:lineRule="auto"/>
        <w:ind w:left="280" w:right="696"/>
      </w:pPr>
      <w:r>
        <w:t>$82.20 per hour, to implement these changes, at a total annual cost of $164.40 per entity. We therefore estimate a total annual burden of 220 hours at a total annual cost of $18,084 for all applicable web-brokers and QHP issuers.</w:t>
      </w:r>
    </w:p>
    <w:p w:rsidR="003E1A3E" w:rsidRDefault="003E1A3E">
      <w:pPr>
        <w:pStyle w:val="BodyText"/>
        <w:spacing w:before="6"/>
      </w:pPr>
    </w:p>
    <w:p w:rsidR="003E1A3E" w:rsidRDefault="00E15F6C">
      <w:pPr>
        <w:pStyle w:val="Heading1"/>
        <w:spacing w:before="1" w:line="247" w:lineRule="auto"/>
        <w:ind w:left="280" w:right="619"/>
      </w:pPr>
      <w:r>
        <w:t>Table 2. Bu</w:t>
      </w:r>
      <w:r>
        <w:t>rden for Web-Brokers and Issuers Utilizing Classic DE/EDE Pathways to Differentially Display Standardized Options Consistent with the Display on HealthCare.gov.</w:t>
      </w:r>
    </w:p>
    <w:p w:rsidR="003E1A3E" w:rsidRDefault="003E1A3E">
      <w:pPr>
        <w:pStyle w:val="BodyText"/>
        <w:spacing w:before="4" w:after="1"/>
        <w:rPr>
          <w:b/>
        </w:rPr>
      </w:pPr>
    </w:p>
    <w:tbl>
      <w:tblPr>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28"/>
        <w:gridCol w:w="1603"/>
        <w:gridCol w:w="1605"/>
        <w:gridCol w:w="1603"/>
        <w:gridCol w:w="1603"/>
        <w:gridCol w:w="1512"/>
      </w:tblGrid>
      <w:tr w:rsidR="003E1A3E">
        <w:trPr>
          <w:trHeight w:val="827"/>
        </w:trPr>
        <w:tc>
          <w:tcPr>
            <w:tcW w:w="1428" w:type="dxa"/>
          </w:tcPr>
          <w:p w:rsidR="003E1A3E" w:rsidRDefault="003E1A3E">
            <w:pPr>
              <w:pStyle w:val="TableParagraph"/>
              <w:spacing w:before="10"/>
              <w:rPr>
                <w:b/>
                <w:sz w:val="23"/>
              </w:rPr>
            </w:pPr>
          </w:p>
          <w:p w:rsidR="003E1A3E" w:rsidRDefault="00E15F6C">
            <w:pPr>
              <w:pStyle w:val="TableParagraph"/>
              <w:ind w:left="465" w:right="405"/>
              <w:jc w:val="center"/>
              <w:rPr>
                <w:b/>
                <w:sz w:val="24"/>
              </w:rPr>
            </w:pPr>
            <w:r>
              <w:rPr>
                <w:b/>
                <w:sz w:val="24"/>
              </w:rPr>
              <w:t>Year</w:t>
            </w:r>
          </w:p>
        </w:tc>
        <w:tc>
          <w:tcPr>
            <w:tcW w:w="1603" w:type="dxa"/>
          </w:tcPr>
          <w:p w:rsidR="003E1A3E" w:rsidRDefault="00E15F6C">
            <w:pPr>
              <w:pStyle w:val="TableParagraph"/>
              <w:spacing w:before="135"/>
              <w:ind w:left="172" w:right="94" w:firstLine="98"/>
              <w:rPr>
                <w:b/>
                <w:sz w:val="24"/>
              </w:rPr>
            </w:pPr>
            <w:r>
              <w:rPr>
                <w:b/>
                <w:sz w:val="24"/>
              </w:rPr>
              <w:t>Number of Respondents</w:t>
            </w:r>
          </w:p>
        </w:tc>
        <w:tc>
          <w:tcPr>
            <w:tcW w:w="1605" w:type="dxa"/>
          </w:tcPr>
          <w:p w:rsidR="003E1A3E" w:rsidRDefault="00E15F6C">
            <w:pPr>
              <w:pStyle w:val="TableParagraph"/>
              <w:spacing w:before="135"/>
              <w:ind w:left="220" w:right="141" w:firstLine="76"/>
              <w:rPr>
                <w:b/>
                <w:sz w:val="24"/>
              </w:rPr>
            </w:pPr>
            <w:r>
              <w:rPr>
                <w:b/>
                <w:sz w:val="24"/>
              </w:rPr>
              <w:t>Hours Per Respondent</w:t>
            </w:r>
          </w:p>
        </w:tc>
        <w:tc>
          <w:tcPr>
            <w:tcW w:w="1603" w:type="dxa"/>
          </w:tcPr>
          <w:p w:rsidR="003E1A3E" w:rsidRDefault="00E15F6C">
            <w:pPr>
              <w:pStyle w:val="TableParagraph"/>
              <w:spacing w:before="135"/>
              <w:ind w:left="507" w:right="55" w:hanging="370"/>
              <w:rPr>
                <w:b/>
                <w:sz w:val="24"/>
              </w:rPr>
            </w:pPr>
            <w:r>
              <w:rPr>
                <w:b/>
                <w:sz w:val="24"/>
              </w:rPr>
              <w:t>Total Burden Hours</w:t>
            </w:r>
          </w:p>
        </w:tc>
        <w:tc>
          <w:tcPr>
            <w:tcW w:w="1603" w:type="dxa"/>
          </w:tcPr>
          <w:p w:rsidR="003E1A3E" w:rsidRDefault="00E15F6C">
            <w:pPr>
              <w:pStyle w:val="TableParagraph"/>
              <w:spacing w:before="2" w:line="276" w:lineRule="exact"/>
              <w:ind w:left="137" w:right="72"/>
              <w:jc w:val="center"/>
              <w:rPr>
                <w:b/>
                <w:sz w:val="24"/>
              </w:rPr>
            </w:pPr>
            <w:r>
              <w:rPr>
                <w:b/>
                <w:sz w:val="24"/>
              </w:rPr>
              <w:t>Total Burden Cost Per Respondent</w:t>
            </w:r>
          </w:p>
        </w:tc>
        <w:tc>
          <w:tcPr>
            <w:tcW w:w="1512" w:type="dxa"/>
          </w:tcPr>
          <w:p w:rsidR="003E1A3E" w:rsidRDefault="00E15F6C">
            <w:pPr>
              <w:pStyle w:val="TableParagraph"/>
              <w:spacing w:before="2" w:line="276" w:lineRule="exact"/>
              <w:ind w:left="89" w:right="22" w:hanging="2"/>
              <w:jc w:val="center"/>
              <w:rPr>
                <w:b/>
                <w:sz w:val="24"/>
              </w:rPr>
            </w:pPr>
            <w:r>
              <w:rPr>
                <w:b/>
                <w:sz w:val="24"/>
              </w:rPr>
              <w:t>Total Burden Costs (All Respondents)</w:t>
            </w:r>
          </w:p>
        </w:tc>
      </w:tr>
      <w:tr w:rsidR="003E1A3E">
        <w:trPr>
          <w:trHeight w:val="744"/>
        </w:trPr>
        <w:tc>
          <w:tcPr>
            <w:tcW w:w="1428" w:type="dxa"/>
          </w:tcPr>
          <w:p w:rsidR="003E1A3E" w:rsidRDefault="00E15F6C">
            <w:pPr>
              <w:pStyle w:val="TableParagraph"/>
              <w:spacing w:before="231"/>
              <w:ind w:left="464" w:right="405"/>
              <w:jc w:val="center"/>
              <w:rPr>
                <w:sz w:val="24"/>
              </w:rPr>
            </w:pPr>
            <w:r>
              <w:rPr>
                <w:sz w:val="24"/>
              </w:rPr>
              <w:t>2023</w:t>
            </w:r>
          </w:p>
        </w:tc>
        <w:tc>
          <w:tcPr>
            <w:tcW w:w="1603" w:type="dxa"/>
          </w:tcPr>
          <w:p w:rsidR="003E1A3E" w:rsidRDefault="00E15F6C">
            <w:pPr>
              <w:pStyle w:val="TableParagraph"/>
              <w:spacing w:before="231"/>
              <w:ind w:left="134" w:right="72"/>
              <w:jc w:val="center"/>
              <w:rPr>
                <w:sz w:val="24"/>
              </w:rPr>
            </w:pPr>
            <w:r>
              <w:rPr>
                <w:sz w:val="24"/>
              </w:rPr>
              <w:t>110</w:t>
            </w:r>
          </w:p>
        </w:tc>
        <w:tc>
          <w:tcPr>
            <w:tcW w:w="1605" w:type="dxa"/>
          </w:tcPr>
          <w:p w:rsidR="003E1A3E" w:rsidRDefault="00E15F6C">
            <w:pPr>
              <w:pStyle w:val="TableParagraph"/>
              <w:spacing w:before="231"/>
              <w:ind w:right="706"/>
              <w:jc w:val="right"/>
              <w:rPr>
                <w:sz w:val="24"/>
              </w:rPr>
            </w:pPr>
            <w:r>
              <w:rPr>
                <w:sz w:val="24"/>
              </w:rPr>
              <w:t>2</w:t>
            </w:r>
          </w:p>
        </w:tc>
        <w:tc>
          <w:tcPr>
            <w:tcW w:w="1603" w:type="dxa"/>
          </w:tcPr>
          <w:p w:rsidR="003E1A3E" w:rsidRDefault="00E15F6C">
            <w:pPr>
              <w:pStyle w:val="TableParagraph"/>
              <w:spacing w:before="231"/>
              <w:ind w:right="582"/>
              <w:jc w:val="right"/>
              <w:rPr>
                <w:sz w:val="24"/>
              </w:rPr>
            </w:pPr>
            <w:r>
              <w:rPr>
                <w:sz w:val="24"/>
              </w:rPr>
              <w:t>220</w:t>
            </w:r>
          </w:p>
        </w:tc>
        <w:tc>
          <w:tcPr>
            <w:tcW w:w="1603" w:type="dxa"/>
          </w:tcPr>
          <w:p w:rsidR="003E1A3E" w:rsidRDefault="00E15F6C">
            <w:pPr>
              <w:pStyle w:val="TableParagraph"/>
              <w:spacing w:before="231"/>
              <w:ind w:left="134" w:right="72"/>
              <w:jc w:val="center"/>
              <w:rPr>
                <w:sz w:val="24"/>
              </w:rPr>
            </w:pPr>
            <w:r>
              <w:rPr>
                <w:sz w:val="24"/>
              </w:rPr>
              <w:t>$164.40</w:t>
            </w:r>
          </w:p>
        </w:tc>
        <w:tc>
          <w:tcPr>
            <w:tcW w:w="1512" w:type="dxa"/>
          </w:tcPr>
          <w:p w:rsidR="003E1A3E" w:rsidRDefault="00E15F6C">
            <w:pPr>
              <w:pStyle w:val="TableParagraph"/>
              <w:spacing w:before="231"/>
              <w:ind w:right="327"/>
              <w:jc w:val="right"/>
              <w:rPr>
                <w:sz w:val="24"/>
              </w:rPr>
            </w:pPr>
            <w:r>
              <w:rPr>
                <w:sz w:val="24"/>
              </w:rPr>
              <w:t>$18,084</w:t>
            </w:r>
          </w:p>
        </w:tc>
      </w:tr>
      <w:tr w:rsidR="003E1A3E">
        <w:trPr>
          <w:trHeight w:val="748"/>
        </w:trPr>
        <w:tc>
          <w:tcPr>
            <w:tcW w:w="1428" w:type="dxa"/>
          </w:tcPr>
          <w:p w:rsidR="003E1A3E" w:rsidRDefault="003E1A3E">
            <w:pPr>
              <w:pStyle w:val="TableParagraph"/>
              <w:spacing w:before="4"/>
              <w:rPr>
                <w:b/>
                <w:sz w:val="20"/>
              </w:rPr>
            </w:pPr>
          </w:p>
          <w:p w:rsidR="003E1A3E" w:rsidRDefault="00E15F6C">
            <w:pPr>
              <w:pStyle w:val="TableParagraph"/>
              <w:ind w:left="464" w:right="405"/>
              <w:jc w:val="center"/>
              <w:rPr>
                <w:sz w:val="24"/>
              </w:rPr>
            </w:pPr>
            <w:r>
              <w:rPr>
                <w:sz w:val="24"/>
              </w:rPr>
              <w:t>2024</w:t>
            </w:r>
          </w:p>
        </w:tc>
        <w:tc>
          <w:tcPr>
            <w:tcW w:w="1603" w:type="dxa"/>
          </w:tcPr>
          <w:p w:rsidR="003E1A3E" w:rsidRDefault="003E1A3E">
            <w:pPr>
              <w:pStyle w:val="TableParagraph"/>
              <w:spacing w:before="4"/>
              <w:rPr>
                <w:b/>
                <w:sz w:val="20"/>
              </w:rPr>
            </w:pPr>
          </w:p>
          <w:p w:rsidR="003E1A3E" w:rsidRDefault="00E15F6C">
            <w:pPr>
              <w:pStyle w:val="TableParagraph"/>
              <w:ind w:left="134" w:right="72"/>
              <w:jc w:val="center"/>
              <w:rPr>
                <w:sz w:val="24"/>
              </w:rPr>
            </w:pPr>
            <w:r>
              <w:rPr>
                <w:sz w:val="24"/>
              </w:rPr>
              <w:t>110</w:t>
            </w:r>
          </w:p>
        </w:tc>
        <w:tc>
          <w:tcPr>
            <w:tcW w:w="1605" w:type="dxa"/>
          </w:tcPr>
          <w:p w:rsidR="003E1A3E" w:rsidRDefault="003E1A3E">
            <w:pPr>
              <w:pStyle w:val="TableParagraph"/>
              <w:spacing w:before="4"/>
              <w:rPr>
                <w:b/>
                <w:sz w:val="20"/>
              </w:rPr>
            </w:pPr>
          </w:p>
          <w:p w:rsidR="003E1A3E" w:rsidRDefault="00E15F6C">
            <w:pPr>
              <w:pStyle w:val="TableParagraph"/>
              <w:ind w:right="706"/>
              <w:jc w:val="right"/>
              <w:rPr>
                <w:sz w:val="24"/>
              </w:rPr>
            </w:pPr>
            <w:r>
              <w:rPr>
                <w:sz w:val="24"/>
              </w:rPr>
              <w:t>2</w:t>
            </w:r>
          </w:p>
        </w:tc>
        <w:tc>
          <w:tcPr>
            <w:tcW w:w="1603" w:type="dxa"/>
          </w:tcPr>
          <w:p w:rsidR="003E1A3E" w:rsidRDefault="003E1A3E">
            <w:pPr>
              <w:pStyle w:val="TableParagraph"/>
              <w:spacing w:before="4"/>
              <w:rPr>
                <w:b/>
                <w:sz w:val="20"/>
              </w:rPr>
            </w:pPr>
          </w:p>
          <w:p w:rsidR="003E1A3E" w:rsidRDefault="00E15F6C">
            <w:pPr>
              <w:pStyle w:val="TableParagraph"/>
              <w:ind w:right="582"/>
              <w:jc w:val="right"/>
              <w:rPr>
                <w:sz w:val="24"/>
              </w:rPr>
            </w:pPr>
            <w:r>
              <w:rPr>
                <w:sz w:val="24"/>
              </w:rPr>
              <w:t>220</w:t>
            </w:r>
          </w:p>
        </w:tc>
        <w:tc>
          <w:tcPr>
            <w:tcW w:w="1603" w:type="dxa"/>
          </w:tcPr>
          <w:p w:rsidR="003E1A3E" w:rsidRDefault="003E1A3E">
            <w:pPr>
              <w:pStyle w:val="TableParagraph"/>
              <w:spacing w:before="4"/>
              <w:rPr>
                <w:b/>
                <w:sz w:val="20"/>
              </w:rPr>
            </w:pPr>
          </w:p>
          <w:p w:rsidR="003E1A3E" w:rsidRDefault="00E15F6C">
            <w:pPr>
              <w:pStyle w:val="TableParagraph"/>
              <w:ind w:left="134" w:right="72"/>
              <w:jc w:val="center"/>
              <w:rPr>
                <w:sz w:val="24"/>
              </w:rPr>
            </w:pPr>
            <w:r>
              <w:rPr>
                <w:sz w:val="24"/>
              </w:rPr>
              <w:t>$164.40</w:t>
            </w:r>
          </w:p>
        </w:tc>
        <w:tc>
          <w:tcPr>
            <w:tcW w:w="1512" w:type="dxa"/>
          </w:tcPr>
          <w:p w:rsidR="003E1A3E" w:rsidRDefault="003E1A3E">
            <w:pPr>
              <w:pStyle w:val="TableParagraph"/>
              <w:spacing w:before="4"/>
              <w:rPr>
                <w:b/>
                <w:sz w:val="20"/>
              </w:rPr>
            </w:pPr>
          </w:p>
          <w:p w:rsidR="003E1A3E" w:rsidRDefault="00E15F6C">
            <w:pPr>
              <w:pStyle w:val="TableParagraph"/>
              <w:ind w:right="327"/>
              <w:jc w:val="right"/>
              <w:rPr>
                <w:sz w:val="24"/>
              </w:rPr>
            </w:pPr>
            <w:r>
              <w:rPr>
                <w:sz w:val="24"/>
              </w:rPr>
              <w:t>$18,084</w:t>
            </w:r>
          </w:p>
        </w:tc>
      </w:tr>
      <w:tr w:rsidR="003E1A3E">
        <w:trPr>
          <w:trHeight w:val="750"/>
        </w:trPr>
        <w:tc>
          <w:tcPr>
            <w:tcW w:w="1428" w:type="dxa"/>
          </w:tcPr>
          <w:p w:rsidR="003E1A3E" w:rsidRDefault="003E1A3E">
            <w:pPr>
              <w:pStyle w:val="TableParagraph"/>
              <w:spacing w:before="6"/>
              <w:rPr>
                <w:b/>
                <w:sz w:val="20"/>
              </w:rPr>
            </w:pPr>
          </w:p>
          <w:p w:rsidR="003E1A3E" w:rsidRDefault="00E15F6C">
            <w:pPr>
              <w:pStyle w:val="TableParagraph"/>
              <w:ind w:left="464" w:right="405"/>
              <w:jc w:val="center"/>
              <w:rPr>
                <w:sz w:val="24"/>
              </w:rPr>
            </w:pPr>
            <w:r>
              <w:rPr>
                <w:sz w:val="24"/>
              </w:rPr>
              <w:t>2025</w:t>
            </w:r>
          </w:p>
        </w:tc>
        <w:tc>
          <w:tcPr>
            <w:tcW w:w="1603" w:type="dxa"/>
          </w:tcPr>
          <w:p w:rsidR="003E1A3E" w:rsidRDefault="003E1A3E">
            <w:pPr>
              <w:pStyle w:val="TableParagraph"/>
              <w:spacing w:before="6"/>
              <w:rPr>
                <w:b/>
                <w:sz w:val="20"/>
              </w:rPr>
            </w:pPr>
          </w:p>
          <w:p w:rsidR="003E1A3E" w:rsidRDefault="00E15F6C">
            <w:pPr>
              <w:pStyle w:val="TableParagraph"/>
              <w:ind w:left="134" w:right="72"/>
              <w:jc w:val="center"/>
              <w:rPr>
                <w:sz w:val="24"/>
              </w:rPr>
            </w:pPr>
            <w:r>
              <w:rPr>
                <w:sz w:val="24"/>
              </w:rPr>
              <w:t>110</w:t>
            </w:r>
          </w:p>
        </w:tc>
        <w:tc>
          <w:tcPr>
            <w:tcW w:w="1605" w:type="dxa"/>
          </w:tcPr>
          <w:p w:rsidR="003E1A3E" w:rsidRDefault="003E1A3E">
            <w:pPr>
              <w:pStyle w:val="TableParagraph"/>
              <w:spacing w:before="6"/>
              <w:rPr>
                <w:b/>
                <w:sz w:val="20"/>
              </w:rPr>
            </w:pPr>
          </w:p>
          <w:p w:rsidR="003E1A3E" w:rsidRDefault="00E15F6C">
            <w:pPr>
              <w:pStyle w:val="TableParagraph"/>
              <w:ind w:right="706"/>
              <w:jc w:val="right"/>
              <w:rPr>
                <w:sz w:val="24"/>
              </w:rPr>
            </w:pPr>
            <w:r>
              <w:rPr>
                <w:sz w:val="24"/>
              </w:rPr>
              <w:t>2</w:t>
            </w:r>
          </w:p>
        </w:tc>
        <w:tc>
          <w:tcPr>
            <w:tcW w:w="1603" w:type="dxa"/>
          </w:tcPr>
          <w:p w:rsidR="003E1A3E" w:rsidRDefault="003E1A3E">
            <w:pPr>
              <w:pStyle w:val="TableParagraph"/>
              <w:spacing w:before="6"/>
              <w:rPr>
                <w:b/>
                <w:sz w:val="20"/>
              </w:rPr>
            </w:pPr>
          </w:p>
          <w:p w:rsidR="003E1A3E" w:rsidRDefault="00E15F6C">
            <w:pPr>
              <w:pStyle w:val="TableParagraph"/>
              <w:ind w:right="582"/>
              <w:jc w:val="right"/>
              <w:rPr>
                <w:sz w:val="24"/>
              </w:rPr>
            </w:pPr>
            <w:r>
              <w:rPr>
                <w:sz w:val="24"/>
              </w:rPr>
              <w:t>220</w:t>
            </w:r>
          </w:p>
        </w:tc>
        <w:tc>
          <w:tcPr>
            <w:tcW w:w="1603" w:type="dxa"/>
          </w:tcPr>
          <w:p w:rsidR="003E1A3E" w:rsidRDefault="003E1A3E">
            <w:pPr>
              <w:pStyle w:val="TableParagraph"/>
              <w:spacing w:before="6"/>
              <w:rPr>
                <w:b/>
                <w:sz w:val="20"/>
              </w:rPr>
            </w:pPr>
          </w:p>
          <w:p w:rsidR="003E1A3E" w:rsidRDefault="00E15F6C">
            <w:pPr>
              <w:pStyle w:val="TableParagraph"/>
              <w:ind w:left="134" w:right="72"/>
              <w:jc w:val="center"/>
              <w:rPr>
                <w:sz w:val="24"/>
              </w:rPr>
            </w:pPr>
            <w:r>
              <w:rPr>
                <w:sz w:val="24"/>
              </w:rPr>
              <w:t>$164.40</w:t>
            </w:r>
          </w:p>
        </w:tc>
        <w:tc>
          <w:tcPr>
            <w:tcW w:w="1512" w:type="dxa"/>
          </w:tcPr>
          <w:p w:rsidR="003E1A3E" w:rsidRDefault="003E1A3E">
            <w:pPr>
              <w:pStyle w:val="TableParagraph"/>
              <w:spacing w:before="6"/>
              <w:rPr>
                <w:b/>
                <w:sz w:val="20"/>
              </w:rPr>
            </w:pPr>
          </w:p>
          <w:p w:rsidR="003E1A3E" w:rsidRDefault="00E15F6C">
            <w:pPr>
              <w:pStyle w:val="TableParagraph"/>
              <w:ind w:right="327"/>
              <w:jc w:val="right"/>
              <w:rPr>
                <w:sz w:val="24"/>
              </w:rPr>
            </w:pPr>
            <w:r>
              <w:rPr>
                <w:sz w:val="24"/>
              </w:rPr>
              <w:t>$18,084</w:t>
            </w:r>
          </w:p>
        </w:tc>
      </w:tr>
    </w:tbl>
    <w:p w:rsidR="003E1A3E" w:rsidRDefault="003E1A3E">
      <w:pPr>
        <w:pStyle w:val="BodyText"/>
        <w:rPr>
          <w:b/>
          <w:sz w:val="27"/>
        </w:rPr>
      </w:pPr>
    </w:p>
    <w:p w:rsidR="003E1A3E" w:rsidRDefault="00E15F6C">
      <w:pPr>
        <w:pStyle w:val="BodyText"/>
        <w:spacing w:line="244" w:lineRule="auto"/>
        <w:ind w:left="280" w:right="562"/>
      </w:pPr>
      <w:r>
        <w:t>However, HHS is aware that system constraints may prevent web-brokers and issuers from precisely mirroring the differential display of standardized options on HealthCare.gov. For this reason, HHS would not require the differential display of standardized p</w:t>
      </w:r>
      <w:r>
        <w:t>lans on non- Exchange web sites to be identical to that of HealthCare.gov. Instead, HHS would require that the display must have the same level of differentiation and clarity as is provided on HealthCare.gov.</w:t>
      </w:r>
    </w:p>
    <w:p w:rsidR="003E1A3E" w:rsidRDefault="003E1A3E">
      <w:pPr>
        <w:pStyle w:val="BodyText"/>
        <w:spacing w:before="4"/>
        <w:rPr>
          <w:sz w:val="30"/>
        </w:rPr>
      </w:pPr>
    </w:p>
    <w:p w:rsidR="003E1A3E" w:rsidRDefault="00E15F6C">
      <w:pPr>
        <w:pStyle w:val="BodyText"/>
        <w:spacing w:line="247" w:lineRule="auto"/>
        <w:ind w:left="280" w:right="408"/>
      </w:pPr>
      <w:r>
        <w:t>To allow web-brokers and issuers using the Classic DE and EDE pathways additional flexibility, HHS would allow these entities to submit a request to deviate from the manner in which standardized options are differentially displayed on HealthCare.gov. These</w:t>
      </w:r>
      <w:r>
        <w:t xml:space="preserve"> requests would be reviewed based on whether the same level of differentiation and clarity is being provided under the requested deviation as is provided on HealthCare.gov.</w:t>
      </w:r>
    </w:p>
    <w:p w:rsidR="003E1A3E" w:rsidRDefault="003E1A3E">
      <w:pPr>
        <w:pStyle w:val="BodyText"/>
        <w:spacing w:before="2"/>
        <w:rPr>
          <w:sz w:val="29"/>
        </w:rPr>
      </w:pPr>
    </w:p>
    <w:p w:rsidR="003E1A3E" w:rsidRDefault="00E15F6C">
      <w:pPr>
        <w:pStyle w:val="BodyText"/>
        <w:spacing w:line="244" w:lineRule="auto"/>
        <w:ind w:left="280" w:right="594"/>
      </w:pPr>
      <w:r>
        <w:t xml:space="preserve">Of the 110 total entities, we estimate that 55 web-brokers and QHP issuers would submit a request to deviate from the manner in which standardized options are differentially displayed on HealthCare.gov. We estimate it would take a compliance officer (at a </w:t>
      </w:r>
      <w:r>
        <w:t>rate of</w:t>
      </w:r>
    </w:p>
    <w:p w:rsidR="003E1A3E" w:rsidRDefault="00E15F6C">
      <w:pPr>
        <w:pStyle w:val="BodyText"/>
        <w:spacing w:before="3" w:line="247" w:lineRule="auto"/>
        <w:ind w:left="280" w:right="795"/>
      </w:pPr>
      <w:r>
        <w:t>$72.70 per hour) approximately one hour annually to complete and submit the request to deviate. We therefore estimate an annual cost burden of $72.70 per applicable direct enrollment entity. This amounts to an annual burden of 55 hours at a total a</w:t>
      </w:r>
      <w:r>
        <w:t>nnual cost of</w:t>
      </w:r>
    </w:p>
    <w:p w:rsidR="003E1A3E" w:rsidRDefault="00E15F6C">
      <w:pPr>
        <w:pStyle w:val="BodyText"/>
        <w:spacing w:line="247" w:lineRule="auto"/>
        <w:ind w:left="280" w:right="895"/>
      </w:pPr>
      <w:r>
        <w:t>$3,998.50 for all web-brokers and QHP issuers submitting a request to deviate from the manner in which standardized options are differentially displayed on HealthCare.gov.</w:t>
      </w:r>
    </w:p>
    <w:p w:rsidR="003E1A3E" w:rsidRDefault="003E1A3E">
      <w:pPr>
        <w:spacing w:line="247" w:lineRule="auto"/>
        <w:sectPr w:rsidR="003E1A3E">
          <w:pgSz w:w="12240" w:h="15840"/>
          <w:pgMar w:top="1360" w:right="1320" w:bottom="280" w:left="1320" w:header="720" w:footer="720" w:gutter="0"/>
          <w:cols w:space="720"/>
        </w:sectPr>
      </w:pPr>
    </w:p>
    <w:p w:rsidR="003E1A3E" w:rsidRDefault="00E15F6C">
      <w:pPr>
        <w:pStyle w:val="Heading1"/>
        <w:spacing w:before="79" w:line="276" w:lineRule="auto"/>
        <w:ind w:left="119" w:right="460"/>
      </w:pPr>
      <w:r>
        <w:lastRenderedPageBreak/>
        <w:t>Table 3. Burden for Web-Brokers and QHP Issuers Utilizing Cl</w:t>
      </w:r>
      <w:r>
        <w:t>assic DE/EDE Pathways Submitting a Request to Deviate from the Manner in which Standardized Options are Displayed on HealthCare.gov</w:t>
      </w:r>
    </w:p>
    <w:p w:rsidR="003E1A3E" w:rsidRDefault="003E1A3E">
      <w:pPr>
        <w:pStyle w:val="BodyText"/>
        <w:spacing w:before="5"/>
        <w:rPr>
          <w:b/>
          <w:sz w:val="17"/>
        </w:rPr>
      </w:pPr>
    </w:p>
    <w:tbl>
      <w:tblPr>
        <w:tblW w:w="0" w:type="auto"/>
        <w:tblInd w:w="1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428"/>
        <w:gridCol w:w="1603"/>
        <w:gridCol w:w="1605"/>
        <w:gridCol w:w="1603"/>
        <w:gridCol w:w="1603"/>
        <w:gridCol w:w="1512"/>
      </w:tblGrid>
      <w:tr w:rsidR="003E1A3E">
        <w:trPr>
          <w:trHeight w:val="827"/>
        </w:trPr>
        <w:tc>
          <w:tcPr>
            <w:tcW w:w="1428" w:type="dxa"/>
          </w:tcPr>
          <w:p w:rsidR="003E1A3E" w:rsidRDefault="003E1A3E">
            <w:pPr>
              <w:pStyle w:val="TableParagraph"/>
              <w:spacing w:before="10"/>
              <w:rPr>
                <w:b/>
                <w:sz w:val="23"/>
              </w:rPr>
            </w:pPr>
          </w:p>
          <w:p w:rsidR="003E1A3E" w:rsidRDefault="00E15F6C">
            <w:pPr>
              <w:pStyle w:val="TableParagraph"/>
              <w:ind w:left="465" w:right="405"/>
              <w:jc w:val="center"/>
              <w:rPr>
                <w:b/>
                <w:sz w:val="24"/>
              </w:rPr>
            </w:pPr>
            <w:r>
              <w:rPr>
                <w:b/>
                <w:sz w:val="24"/>
              </w:rPr>
              <w:t>Year</w:t>
            </w:r>
          </w:p>
        </w:tc>
        <w:tc>
          <w:tcPr>
            <w:tcW w:w="1603" w:type="dxa"/>
          </w:tcPr>
          <w:p w:rsidR="003E1A3E" w:rsidRDefault="00E15F6C">
            <w:pPr>
              <w:pStyle w:val="TableParagraph"/>
              <w:spacing w:before="138"/>
              <w:ind w:left="172" w:right="94" w:firstLine="98"/>
              <w:rPr>
                <w:b/>
                <w:sz w:val="24"/>
              </w:rPr>
            </w:pPr>
            <w:r>
              <w:rPr>
                <w:b/>
                <w:sz w:val="24"/>
              </w:rPr>
              <w:t>Number of Respondents</w:t>
            </w:r>
          </w:p>
        </w:tc>
        <w:tc>
          <w:tcPr>
            <w:tcW w:w="1605" w:type="dxa"/>
          </w:tcPr>
          <w:p w:rsidR="003E1A3E" w:rsidRDefault="00E15F6C">
            <w:pPr>
              <w:pStyle w:val="TableParagraph"/>
              <w:spacing w:before="138"/>
              <w:ind w:left="220" w:right="141" w:firstLine="76"/>
              <w:rPr>
                <w:b/>
                <w:sz w:val="24"/>
              </w:rPr>
            </w:pPr>
            <w:r>
              <w:rPr>
                <w:b/>
                <w:sz w:val="24"/>
              </w:rPr>
              <w:t>Hours Per Respondent</w:t>
            </w:r>
          </w:p>
        </w:tc>
        <w:tc>
          <w:tcPr>
            <w:tcW w:w="1603" w:type="dxa"/>
          </w:tcPr>
          <w:p w:rsidR="003E1A3E" w:rsidRDefault="00E15F6C">
            <w:pPr>
              <w:pStyle w:val="TableParagraph"/>
              <w:spacing w:before="138"/>
              <w:ind w:left="507" w:right="55" w:hanging="370"/>
              <w:rPr>
                <w:b/>
                <w:sz w:val="24"/>
              </w:rPr>
            </w:pPr>
            <w:r>
              <w:rPr>
                <w:b/>
                <w:sz w:val="24"/>
              </w:rPr>
              <w:t>Total Burden Hours</w:t>
            </w:r>
          </w:p>
        </w:tc>
        <w:tc>
          <w:tcPr>
            <w:tcW w:w="1603" w:type="dxa"/>
          </w:tcPr>
          <w:p w:rsidR="003E1A3E" w:rsidRDefault="00E15F6C">
            <w:pPr>
              <w:pStyle w:val="TableParagraph"/>
              <w:spacing w:before="2" w:line="276" w:lineRule="exact"/>
              <w:ind w:left="137" w:right="72"/>
              <w:jc w:val="center"/>
              <w:rPr>
                <w:b/>
                <w:sz w:val="24"/>
              </w:rPr>
            </w:pPr>
            <w:r>
              <w:rPr>
                <w:b/>
                <w:sz w:val="24"/>
              </w:rPr>
              <w:t>Total Burden Cost Per Respondent</w:t>
            </w:r>
          </w:p>
        </w:tc>
        <w:tc>
          <w:tcPr>
            <w:tcW w:w="1512" w:type="dxa"/>
          </w:tcPr>
          <w:p w:rsidR="003E1A3E" w:rsidRDefault="00E15F6C">
            <w:pPr>
              <w:pStyle w:val="TableParagraph"/>
              <w:spacing w:before="2" w:line="276" w:lineRule="exact"/>
              <w:ind w:left="89" w:right="22" w:hanging="2"/>
              <w:jc w:val="center"/>
              <w:rPr>
                <w:b/>
                <w:sz w:val="24"/>
              </w:rPr>
            </w:pPr>
            <w:r>
              <w:rPr>
                <w:b/>
                <w:sz w:val="24"/>
              </w:rPr>
              <w:t>Total Burden Costs (All Respondents)</w:t>
            </w:r>
          </w:p>
        </w:tc>
      </w:tr>
      <w:tr w:rsidR="003E1A3E">
        <w:trPr>
          <w:trHeight w:val="743"/>
        </w:trPr>
        <w:tc>
          <w:tcPr>
            <w:tcW w:w="1428" w:type="dxa"/>
          </w:tcPr>
          <w:p w:rsidR="003E1A3E" w:rsidRDefault="00E15F6C">
            <w:pPr>
              <w:pStyle w:val="TableParagraph"/>
              <w:spacing w:before="231"/>
              <w:ind w:left="464" w:right="405"/>
              <w:jc w:val="center"/>
              <w:rPr>
                <w:sz w:val="24"/>
              </w:rPr>
            </w:pPr>
            <w:r>
              <w:rPr>
                <w:sz w:val="24"/>
              </w:rPr>
              <w:t>2023</w:t>
            </w:r>
          </w:p>
        </w:tc>
        <w:tc>
          <w:tcPr>
            <w:tcW w:w="1603" w:type="dxa"/>
          </w:tcPr>
          <w:p w:rsidR="003E1A3E" w:rsidRDefault="00E15F6C">
            <w:pPr>
              <w:pStyle w:val="TableParagraph"/>
              <w:spacing w:before="231"/>
              <w:ind w:right="643"/>
              <w:jc w:val="right"/>
              <w:rPr>
                <w:sz w:val="24"/>
              </w:rPr>
            </w:pPr>
            <w:r>
              <w:rPr>
                <w:sz w:val="24"/>
              </w:rPr>
              <w:t>55</w:t>
            </w:r>
          </w:p>
        </w:tc>
        <w:tc>
          <w:tcPr>
            <w:tcW w:w="1605" w:type="dxa"/>
          </w:tcPr>
          <w:p w:rsidR="003E1A3E" w:rsidRDefault="00E15F6C">
            <w:pPr>
              <w:pStyle w:val="TableParagraph"/>
              <w:spacing w:before="231"/>
              <w:ind w:right="706"/>
              <w:jc w:val="right"/>
              <w:rPr>
                <w:sz w:val="24"/>
              </w:rPr>
            </w:pPr>
            <w:r>
              <w:rPr>
                <w:sz w:val="24"/>
              </w:rPr>
              <w:t>1</w:t>
            </w:r>
          </w:p>
        </w:tc>
        <w:tc>
          <w:tcPr>
            <w:tcW w:w="1603" w:type="dxa"/>
          </w:tcPr>
          <w:p w:rsidR="003E1A3E" w:rsidRDefault="00E15F6C">
            <w:pPr>
              <w:pStyle w:val="TableParagraph"/>
              <w:spacing w:before="231"/>
              <w:ind w:right="642"/>
              <w:jc w:val="right"/>
              <w:rPr>
                <w:sz w:val="24"/>
              </w:rPr>
            </w:pPr>
            <w:r>
              <w:rPr>
                <w:sz w:val="24"/>
              </w:rPr>
              <w:t>55</w:t>
            </w:r>
          </w:p>
        </w:tc>
        <w:tc>
          <w:tcPr>
            <w:tcW w:w="1603" w:type="dxa"/>
          </w:tcPr>
          <w:p w:rsidR="003E1A3E" w:rsidRDefault="00E15F6C">
            <w:pPr>
              <w:pStyle w:val="TableParagraph"/>
              <w:spacing w:before="231"/>
              <w:ind w:left="134" w:right="72"/>
              <w:jc w:val="center"/>
              <w:rPr>
                <w:sz w:val="24"/>
              </w:rPr>
            </w:pPr>
            <w:r>
              <w:rPr>
                <w:sz w:val="24"/>
              </w:rPr>
              <w:t>$72.70</w:t>
            </w:r>
          </w:p>
        </w:tc>
        <w:tc>
          <w:tcPr>
            <w:tcW w:w="1512" w:type="dxa"/>
          </w:tcPr>
          <w:p w:rsidR="003E1A3E" w:rsidRDefault="00E15F6C">
            <w:pPr>
              <w:pStyle w:val="TableParagraph"/>
              <w:spacing w:before="231"/>
              <w:ind w:right="236"/>
              <w:jc w:val="right"/>
              <w:rPr>
                <w:sz w:val="24"/>
              </w:rPr>
            </w:pPr>
            <w:r>
              <w:rPr>
                <w:sz w:val="24"/>
              </w:rPr>
              <w:t>$3,998.50</w:t>
            </w:r>
          </w:p>
        </w:tc>
      </w:tr>
      <w:tr w:rsidR="003E1A3E">
        <w:trPr>
          <w:trHeight w:val="748"/>
        </w:trPr>
        <w:tc>
          <w:tcPr>
            <w:tcW w:w="1428" w:type="dxa"/>
          </w:tcPr>
          <w:p w:rsidR="003E1A3E" w:rsidRDefault="003E1A3E">
            <w:pPr>
              <w:pStyle w:val="TableParagraph"/>
              <w:spacing w:before="6"/>
              <w:rPr>
                <w:b/>
                <w:sz w:val="20"/>
              </w:rPr>
            </w:pPr>
          </w:p>
          <w:p w:rsidR="003E1A3E" w:rsidRDefault="00E15F6C">
            <w:pPr>
              <w:pStyle w:val="TableParagraph"/>
              <w:ind w:left="464" w:right="405"/>
              <w:jc w:val="center"/>
              <w:rPr>
                <w:sz w:val="24"/>
              </w:rPr>
            </w:pPr>
            <w:r>
              <w:rPr>
                <w:sz w:val="24"/>
              </w:rPr>
              <w:t>2024</w:t>
            </w:r>
          </w:p>
        </w:tc>
        <w:tc>
          <w:tcPr>
            <w:tcW w:w="1603" w:type="dxa"/>
          </w:tcPr>
          <w:p w:rsidR="003E1A3E" w:rsidRDefault="003E1A3E">
            <w:pPr>
              <w:pStyle w:val="TableParagraph"/>
              <w:spacing w:before="6"/>
              <w:rPr>
                <w:b/>
                <w:sz w:val="20"/>
              </w:rPr>
            </w:pPr>
          </w:p>
          <w:p w:rsidR="003E1A3E" w:rsidRDefault="00E15F6C">
            <w:pPr>
              <w:pStyle w:val="TableParagraph"/>
              <w:ind w:right="643"/>
              <w:jc w:val="right"/>
              <w:rPr>
                <w:sz w:val="24"/>
              </w:rPr>
            </w:pPr>
            <w:r>
              <w:rPr>
                <w:sz w:val="24"/>
              </w:rPr>
              <w:t>55</w:t>
            </w:r>
          </w:p>
        </w:tc>
        <w:tc>
          <w:tcPr>
            <w:tcW w:w="1605" w:type="dxa"/>
          </w:tcPr>
          <w:p w:rsidR="003E1A3E" w:rsidRDefault="003E1A3E">
            <w:pPr>
              <w:pStyle w:val="TableParagraph"/>
              <w:spacing w:before="6"/>
              <w:rPr>
                <w:b/>
                <w:sz w:val="20"/>
              </w:rPr>
            </w:pPr>
          </w:p>
          <w:p w:rsidR="003E1A3E" w:rsidRDefault="00E15F6C">
            <w:pPr>
              <w:pStyle w:val="TableParagraph"/>
              <w:ind w:right="706"/>
              <w:jc w:val="right"/>
              <w:rPr>
                <w:sz w:val="24"/>
              </w:rPr>
            </w:pPr>
            <w:r>
              <w:rPr>
                <w:sz w:val="24"/>
              </w:rPr>
              <w:t>1</w:t>
            </w:r>
          </w:p>
        </w:tc>
        <w:tc>
          <w:tcPr>
            <w:tcW w:w="1603" w:type="dxa"/>
          </w:tcPr>
          <w:p w:rsidR="003E1A3E" w:rsidRDefault="003E1A3E">
            <w:pPr>
              <w:pStyle w:val="TableParagraph"/>
              <w:spacing w:before="6"/>
              <w:rPr>
                <w:b/>
                <w:sz w:val="20"/>
              </w:rPr>
            </w:pPr>
          </w:p>
          <w:p w:rsidR="003E1A3E" w:rsidRDefault="00E15F6C">
            <w:pPr>
              <w:pStyle w:val="TableParagraph"/>
              <w:ind w:right="642"/>
              <w:jc w:val="right"/>
              <w:rPr>
                <w:sz w:val="24"/>
              </w:rPr>
            </w:pPr>
            <w:r>
              <w:rPr>
                <w:sz w:val="24"/>
              </w:rPr>
              <w:t>55</w:t>
            </w:r>
          </w:p>
        </w:tc>
        <w:tc>
          <w:tcPr>
            <w:tcW w:w="1603" w:type="dxa"/>
          </w:tcPr>
          <w:p w:rsidR="003E1A3E" w:rsidRDefault="003E1A3E">
            <w:pPr>
              <w:pStyle w:val="TableParagraph"/>
              <w:spacing w:before="6"/>
              <w:rPr>
                <w:b/>
                <w:sz w:val="20"/>
              </w:rPr>
            </w:pPr>
          </w:p>
          <w:p w:rsidR="003E1A3E" w:rsidRDefault="00E15F6C">
            <w:pPr>
              <w:pStyle w:val="TableParagraph"/>
              <w:ind w:left="134" w:right="72"/>
              <w:jc w:val="center"/>
              <w:rPr>
                <w:sz w:val="24"/>
              </w:rPr>
            </w:pPr>
            <w:r>
              <w:rPr>
                <w:sz w:val="24"/>
              </w:rPr>
              <w:t>$72.70</w:t>
            </w:r>
          </w:p>
        </w:tc>
        <w:tc>
          <w:tcPr>
            <w:tcW w:w="1512" w:type="dxa"/>
          </w:tcPr>
          <w:p w:rsidR="003E1A3E" w:rsidRDefault="003E1A3E">
            <w:pPr>
              <w:pStyle w:val="TableParagraph"/>
              <w:spacing w:before="6"/>
              <w:rPr>
                <w:b/>
                <w:sz w:val="20"/>
              </w:rPr>
            </w:pPr>
          </w:p>
          <w:p w:rsidR="003E1A3E" w:rsidRDefault="00E15F6C">
            <w:pPr>
              <w:pStyle w:val="TableParagraph"/>
              <w:ind w:right="236"/>
              <w:jc w:val="right"/>
              <w:rPr>
                <w:sz w:val="24"/>
              </w:rPr>
            </w:pPr>
            <w:r>
              <w:rPr>
                <w:sz w:val="24"/>
              </w:rPr>
              <w:t>$3,998.50</w:t>
            </w:r>
          </w:p>
        </w:tc>
      </w:tr>
      <w:tr w:rsidR="003E1A3E">
        <w:trPr>
          <w:trHeight w:val="753"/>
        </w:trPr>
        <w:tc>
          <w:tcPr>
            <w:tcW w:w="1428" w:type="dxa"/>
          </w:tcPr>
          <w:p w:rsidR="003E1A3E" w:rsidRDefault="003E1A3E">
            <w:pPr>
              <w:pStyle w:val="TableParagraph"/>
              <w:spacing w:before="8"/>
              <w:rPr>
                <w:b/>
                <w:sz w:val="20"/>
              </w:rPr>
            </w:pPr>
          </w:p>
          <w:p w:rsidR="003E1A3E" w:rsidRDefault="00E15F6C">
            <w:pPr>
              <w:pStyle w:val="TableParagraph"/>
              <w:spacing w:before="1"/>
              <w:ind w:left="464" w:right="405"/>
              <w:jc w:val="center"/>
              <w:rPr>
                <w:sz w:val="24"/>
              </w:rPr>
            </w:pPr>
            <w:r>
              <w:rPr>
                <w:sz w:val="24"/>
              </w:rPr>
              <w:t>2025</w:t>
            </w:r>
          </w:p>
        </w:tc>
        <w:tc>
          <w:tcPr>
            <w:tcW w:w="1603" w:type="dxa"/>
          </w:tcPr>
          <w:p w:rsidR="003E1A3E" w:rsidRDefault="003E1A3E">
            <w:pPr>
              <w:pStyle w:val="TableParagraph"/>
              <w:spacing w:before="8"/>
              <w:rPr>
                <w:b/>
                <w:sz w:val="20"/>
              </w:rPr>
            </w:pPr>
          </w:p>
          <w:p w:rsidR="003E1A3E" w:rsidRDefault="00E15F6C">
            <w:pPr>
              <w:pStyle w:val="TableParagraph"/>
              <w:spacing w:before="1"/>
              <w:ind w:right="643"/>
              <w:jc w:val="right"/>
              <w:rPr>
                <w:sz w:val="24"/>
              </w:rPr>
            </w:pPr>
            <w:r>
              <w:rPr>
                <w:sz w:val="24"/>
              </w:rPr>
              <w:t>55</w:t>
            </w:r>
          </w:p>
        </w:tc>
        <w:tc>
          <w:tcPr>
            <w:tcW w:w="1605" w:type="dxa"/>
          </w:tcPr>
          <w:p w:rsidR="003E1A3E" w:rsidRDefault="003E1A3E">
            <w:pPr>
              <w:pStyle w:val="TableParagraph"/>
              <w:spacing w:before="8"/>
              <w:rPr>
                <w:b/>
                <w:sz w:val="20"/>
              </w:rPr>
            </w:pPr>
          </w:p>
          <w:p w:rsidR="003E1A3E" w:rsidRDefault="00E15F6C">
            <w:pPr>
              <w:pStyle w:val="TableParagraph"/>
              <w:spacing w:before="1"/>
              <w:ind w:right="706"/>
              <w:jc w:val="right"/>
              <w:rPr>
                <w:sz w:val="24"/>
              </w:rPr>
            </w:pPr>
            <w:r>
              <w:rPr>
                <w:sz w:val="24"/>
              </w:rPr>
              <w:t>1</w:t>
            </w:r>
          </w:p>
        </w:tc>
        <w:tc>
          <w:tcPr>
            <w:tcW w:w="1603" w:type="dxa"/>
          </w:tcPr>
          <w:p w:rsidR="003E1A3E" w:rsidRDefault="003E1A3E">
            <w:pPr>
              <w:pStyle w:val="TableParagraph"/>
              <w:spacing w:before="8"/>
              <w:rPr>
                <w:b/>
                <w:sz w:val="20"/>
              </w:rPr>
            </w:pPr>
          </w:p>
          <w:p w:rsidR="003E1A3E" w:rsidRDefault="00E15F6C">
            <w:pPr>
              <w:pStyle w:val="TableParagraph"/>
              <w:spacing w:before="1"/>
              <w:ind w:right="642"/>
              <w:jc w:val="right"/>
              <w:rPr>
                <w:sz w:val="24"/>
              </w:rPr>
            </w:pPr>
            <w:r>
              <w:rPr>
                <w:sz w:val="24"/>
              </w:rPr>
              <w:t>55</w:t>
            </w:r>
          </w:p>
        </w:tc>
        <w:tc>
          <w:tcPr>
            <w:tcW w:w="1603" w:type="dxa"/>
          </w:tcPr>
          <w:p w:rsidR="003E1A3E" w:rsidRDefault="003E1A3E">
            <w:pPr>
              <w:pStyle w:val="TableParagraph"/>
              <w:spacing w:before="8"/>
              <w:rPr>
                <w:b/>
                <w:sz w:val="20"/>
              </w:rPr>
            </w:pPr>
          </w:p>
          <w:p w:rsidR="003E1A3E" w:rsidRDefault="00E15F6C">
            <w:pPr>
              <w:pStyle w:val="TableParagraph"/>
              <w:spacing w:before="1"/>
              <w:ind w:left="134" w:right="72"/>
              <w:jc w:val="center"/>
              <w:rPr>
                <w:sz w:val="24"/>
              </w:rPr>
            </w:pPr>
            <w:r>
              <w:rPr>
                <w:sz w:val="24"/>
              </w:rPr>
              <w:t>$72.70</w:t>
            </w:r>
          </w:p>
        </w:tc>
        <w:tc>
          <w:tcPr>
            <w:tcW w:w="1512" w:type="dxa"/>
          </w:tcPr>
          <w:p w:rsidR="003E1A3E" w:rsidRDefault="003E1A3E">
            <w:pPr>
              <w:pStyle w:val="TableParagraph"/>
              <w:spacing w:before="8"/>
              <w:rPr>
                <w:b/>
                <w:sz w:val="20"/>
              </w:rPr>
            </w:pPr>
          </w:p>
          <w:p w:rsidR="003E1A3E" w:rsidRDefault="00E15F6C">
            <w:pPr>
              <w:pStyle w:val="TableParagraph"/>
              <w:spacing w:before="1"/>
              <w:ind w:right="236"/>
              <w:jc w:val="right"/>
              <w:rPr>
                <w:sz w:val="24"/>
              </w:rPr>
            </w:pPr>
            <w:r>
              <w:rPr>
                <w:sz w:val="24"/>
              </w:rPr>
              <w:t>$3,998.50</w:t>
            </w:r>
          </w:p>
        </w:tc>
      </w:tr>
    </w:tbl>
    <w:p w:rsidR="003E1A3E" w:rsidRDefault="003E1A3E">
      <w:pPr>
        <w:pStyle w:val="BodyText"/>
        <w:rPr>
          <w:b/>
          <w:sz w:val="26"/>
        </w:rPr>
      </w:pPr>
    </w:p>
    <w:p w:rsidR="003E1A3E" w:rsidRDefault="00E15F6C">
      <w:pPr>
        <w:spacing w:before="216"/>
        <w:ind w:left="120"/>
        <w:rPr>
          <w:b/>
          <w:sz w:val="24"/>
        </w:rPr>
      </w:pPr>
      <w:r>
        <w:rPr>
          <w:b/>
          <w:sz w:val="24"/>
        </w:rPr>
        <w:t>Table 4. Summary of Annual Total Burden</w:t>
      </w:r>
    </w:p>
    <w:p w:rsidR="003E1A3E" w:rsidRDefault="003E1A3E">
      <w:pPr>
        <w:pStyle w:val="BodyText"/>
        <w:spacing w:before="1" w:after="1"/>
        <w:rPr>
          <w:b/>
          <w:sz w:val="21"/>
        </w:rPr>
      </w:pPr>
    </w:p>
    <w:tbl>
      <w:tblPr>
        <w:tblW w:w="0" w:type="auto"/>
        <w:tblInd w:w="13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3686"/>
        <w:gridCol w:w="2340"/>
        <w:gridCol w:w="1709"/>
        <w:gridCol w:w="1620"/>
      </w:tblGrid>
      <w:tr w:rsidR="003E1A3E">
        <w:trPr>
          <w:trHeight w:val="551"/>
        </w:trPr>
        <w:tc>
          <w:tcPr>
            <w:tcW w:w="3686" w:type="dxa"/>
          </w:tcPr>
          <w:p w:rsidR="003E1A3E" w:rsidRDefault="00E15F6C">
            <w:pPr>
              <w:pStyle w:val="TableParagraph"/>
              <w:spacing w:before="135"/>
              <w:ind w:left="1543" w:right="1506"/>
              <w:jc w:val="center"/>
              <w:rPr>
                <w:b/>
                <w:sz w:val="24"/>
              </w:rPr>
            </w:pPr>
            <w:r>
              <w:rPr>
                <w:b/>
                <w:sz w:val="24"/>
              </w:rPr>
              <w:t>Table</w:t>
            </w:r>
          </w:p>
        </w:tc>
        <w:tc>
          <w:tcPr>
            <w:tcW w:w="2340" w:type="dxa"/>
          </w:tcPr>
          <w:p w:rsidR="003E1A3E" w:rsidRDefault="00E15F6C">
            <w:pPr>
              <w:pStyle w:val="TableParagraph"/>
              <w:spacing w:before="135"/>
              <w:ind w:left="525"/>
              <w:rPr>
                <w:b/>
                <w:sz w:val="24"/>
              </w:rPr>
            </w:pPr>
            <w:r>
              <w:rPr>
                <w:b/>
                <w:sz w:val="24"/>
              </w:rPr>
              <w:t>CFR Section</w:t>
            </w:r>
          </w:p>
        </w:tc>
        <w:tc>
          <w:tcPr>
            <w:tcW w:w="1709" w:type="dxa"/>
          </w:tcPr>
          <w:p w:rsidR="003E1A3E" w:rsidRDefault="00E15F6C">
            <w:pPr>
              <w:pStyle w:val="TableParagraph"/>
              <w:spacing w:before="2" w:line="276" w:lineRule="exact"/>
              <w:ind w:left="127" w:right="78" w:firstLine="64"/>
              <w:rPr>
                <w:b/>
                <w:sz w:val="24"/>
              </w:rPr>
            </w:pPr>
            <w:r>
              <w:rPr>
                <w:b/>
                <w:sz w:val="24"/>
              </w:rPr>
              <w:t>Total Annual Burden Hours</w:t>
            </w:r>
          </w:p>
        </w:tc>
        <w:tc>
          <w:tcPr>
            <w:tcW w:w="1620" w:type="dxa"/>
          </w:tcPr>
          <w:p w:rsidR="003E1A3E" w:rsidRDefault="00E15F6C">
            <w:pPr>
              <w:pStyle w:val="TableParagraph"/>
              <w:spacing w:before="2" w:line="276" w:lineRule="exact"/>
              <w:ind w:left="122" w:right="74" w:firstLine="12"/>
              <w:rPr>
                <w:b/>
                <w:sz w:val="24"/>
              </w:rPr>
            </w:pPr>
            <w:r>
              <w:rPr>
                <w:b/>
                <w:sz w:val="24"/>
              </w:rPr>
              <w:t>Total Annual Burden Costs</w:t>
            </w:r>
          </w:p>
        </w:tc>
      </w:tr>
      <w:tr w:rsidR="003E1A3E">
        <w:trPr>
          <w:trHeight w:val="1377"/>
        </w:trPr>
        <w:tc>
          <w:tcPr>
            <w:tcW w:w="3686" w:type="dxa"/>
          </w:tcPr>
          <w:p w:rsidR="003E1A3E" w:rsidRDefault="00E15F6C">
            <w:pPr>
              <w:pStyle w:val="TableParagraph"/>
              <w:ind w:left="107"/>
              <w:rPr>
                <w:sz w:val="24"/>
              </w:rPr>
            </w:pPr>
            <w:r>
              <w:rPr>
                <w:spacing w:val="-5"/>
                <w:sz w:val="24"/>
              </w:rPr>
              <w:t xml:space="preserve">Table </w:t>
            </w:r>
            <w:r>
              <w:rPr>
                <w:spacing w:val="-3"/>
                <w:sz w:val="24"/>
              </w:rPr>
              <w:t xml:space="preserve">2. </w:t>
            </w:r>
            <w:r>
              <w:rPr>
                <w:spacing w:val="-5"/>
                <w:sz w:val="24"/>
              </w:rPr>
              <w:t xml:space="preserve">Burden </w:t>
            </w:r>
            <w:r>
              <w:rPr>
                <w:spacing w:val="-4"/>
                <w:sz w:val="24"/>
              </w:rPr>
              <w:t xml:space="preserve">for </w:t>
            </w:r>
            <w:r>
              <w:rPr>
                <w:spacing w:val="-5"/>
                <w:sz w:val="24"/>
              </w:rPr>
              <w:t xml:space="preserve">Web-Brokers </w:t>
            </w:r>
            <w:r>
              <w:rPr>
                <w:spacing w:val="-6"/>
                <w:sz w:val="24"/>
              </w:rPr>
              <w:t xml:space="preserve">and </w:t>
            </w:r>
            <w:r>
              <w:rPr>
                <w:spacing w:val="-5"/>
                <w:sz w:val="24"/>
              </w:rPr>
              <w:t xml:space="preserve">Issuers Utilizing Classic DE/EDE Pathways </w:t>
            </w:r>
            <w:r>
              <w:rPr>
                <w:spacing w:val="-3"/>
                <w:sz w:val="24"/>
              </w:rPr>
              <w:t xml:space="preserve">to </w:t>
            </w:r>
            <w:r>
              <w:rPr>
                <w:spacing w:val="-6"/>
                <w:sz w:val="24"/>
              </w:rPr>
              <w:t xml:space="preserve">Differentially </w:t>
            </w:r>
            <w:r>
              <w:rPr>
                <w:spacing w:val="-5"/>
                <w:sz w:val="24"/>
              </w:rPr>
              <w:t xml:space="preserve">Display Standardized Options </w:t>
            </w:r>
            <w:r>
              <w:rPr>
                <w:spacing w:val="-6"/>
                <w:sz w:val="24"/>
              </w:rPr>
              <w:t xml:space="preserve">Consistent </w:t>
            </w:r>
            <w:r>
              <w:rPr>
                <w:spacing w:val="-5"/>
                <w:sz w:val="24"/>
              </w:rPr>
              <w:t>with</w:t>
            </w:r>
          </w:p>
          <w:p w:rsidR="003E1A3E" w:rsidRDefault="00E15F6C">
            <w:pPr>
              <w:pStyle w:val="TableParagraph"/>
              <w:spacing w:line="257" w:lineRule="exact"/>
              <w:ind w:left="107"/>
              <w:rPr>
                <w:sz w:val="24"/>
              </w:rPr>
            </w:pPr>
            <w:r>
              <w:rPr>
                <w:sz w:val="24"/>
              </w:rPr>
              <w:t>the Display on HealthCare.gov.</w:t>
            </w:r>
          </w:p>
        </w:tc>
        <w:tc>
          <w:tcPr>
            <w:tcW w:w="2340" w:type="dxa"/>
          </w:tcPr>
          <w:p w:rsidR="003E1A3E" w:rsidRDefault="003E1A3E">
            <w:pPr>
              <w:pStyle w:val="TableParagraph"/>
              <w:spacing w:before="8"/>
              <w:rPr>
                <w:b/>
                <w:sz w:val="23"/>
              </w:rPr>
            </w:pPr>
          </w:p>
          <w:p w:rsidR="003E1A3E" w:rsidRDefault="00E15F6C">
            <w:pPr>
              <w:pStyle w:val="TableParagraph"/>
              <w:ind w:left="108" w:right="84"/>
              <w:jc w:val="center"/>
              <w:rPr>
                <w:sz w:val="24"/>
              </w:rPr>
            </w:pPr>
            <w:r>
              <w:rPr>
                <w:sz w:val="24"/>
              </w:rPr>
              <w:t>45 CFR §§</w:t>
            </w:r>
          </w:p>
          <w:p w:rsidR="003E1A3E" w:rsidRDefault="00E15F6C">
            <w:pPr>
              <w:pStyle w:val="TableParagraph"/>
              <w:ind w:left="108" w:right="83"/>
              <w:jc w:val="center"/>
              <w:rPr>
                <w:sz w:val="24"/>
              </w:rPr>
            </w:pPr>
            <w:r>
              <w:rPr>
                <w:sz w:val="24"/>
              </w:rPr>
              <w:t>155.220(c)(3)(i)(H)</w:t>
            </w:r>
          </w:p>
          <w:p w:rsidR="003E1A3E" w:rsidRDefault="00E15F6C">
            <w:pPr>
              <w:pStyle w:val="TableParagraph"/>
              <w:ind w:left="108" w:right="88"/>
              <w:jc w:val="center"/>
              <w:rPr>
                <w:sz w:val="24"/>
              </w:rPr>
            </w:pPr>
            <w:r>
              <w:rPr>
                <w:sz w:val="24"/>
              </w:rPr>
              <w:t>and 156.265(b)(3)(iv)</w:t>
            </w:r>
          </w:p>
        </w:tc>
        <w:tc>
          <w:tcPr>
            <w:tcW w:w="1709" w:type="dxa"/>
          </w:tcPr>
          <w:p w:rsidR="003E1A3E" w:rsidRDefault="003E1A3E">
            <w:pPr>
              <w:pStyle w:val="TableParagraph"/>
              <w:rPr>
                <w:b/>
                <w:sz w:val="26"/>
              </w:rPr>
            </w:pPr>
          </w:p>
          <w:p w:rsidR="003E1A3E" w:rsidRDefault="003E1A3E">
            <w:pPr>
              <w:pStyle w:val="TableParagraph"/>
              <w:spacing w:before="8"/>
              <w:rPr>
                <w:b/>
                <w:sz w:val="21"/>
              </w:rPr>
            </w:pPr>
          </w:p>
          <w:p w:rsidR="003E1A3E" w:rsidRDefault="00E15F6C">
            <w:pPr>
              <w:pStyle w:val="TableParagraph"/>
              <w:ind w:left="661" w:right="637"/>
              <w:jc w:val="center"/>
              <w:rPr>
                <w:sz w:val="24"/>
              </w:rPr>
            </w:pPr>
            <w:r>
              <w:rPr>
                <w:sz w:val="24"/>
              </w:rPr>
              <w:t>220</w:t>
            </w:r>
          </w:p>
        </w:tc>
        <w:tc>
          <w:tcPr>
            <w:tcW w:w="1620" w:type="dxa"/>
          </w:tcPr>
          <w:p w:rsidR="003E1A3E" w:rsidRDefault="003E1A3E">
            <w:pPr>
              <w:pStyle w:val="TableParagraph"/>
              <w:rPr>
                <w:b/>
                <w:sz w:val="26"/>
              </w:rPr>
            </w:pPr>
          </w:p>
          <w:p w:rsidR="003E1A3E" w:rsidRDefault="003E1A3E">
            <w:pPr>
              <w:pStyle w:val="TableParagraph"/>
              <w:spacing w:before="8"/>
              <w:rPr>
                <w:b/>
                <w:sz w:val="21"/>
              </w:rPr>
            </w:pPr>
          </w:p>
          <w:p w:rsidR="003E1A3E" w:rsidRDefault="00E15F6C">
            <w:pPr>
              <w:pStyle w:val="TableParagraph"/>
              <w:ind w:left="258" w:right="229"/>
              <w:jc w:val="center"/>
              <w:rPr>
                <w:sz w:val="24"/>
              </w:rPr>
            </w:pPr>
            <w:r>
              <w:rPr>
                <w:sz w:val="24"/>
              </w:rPr>
              <w:t>$18,084</w:t>
            </w:r>
          </w:p>
        </w:tc>
      </w:tr>
      <w:tr w:rsidR="003E1A3E">
        <w:trPr>
          <w:trHeight w:val="1655"/>
        </w:trPr>
        <w:tc>
          <w:tcPr>
            <w:tcW w:w="3686" w:type="dxa"/>
          </w:tcPr>
          <w:p w:rsidR="003E1A3E" w:rsidRDefault="00E15F6C">
            <w:pPr>
              <w:pStyle w:val="TableParagraph"/>
              <w:spacing w:before="2" w:line="276" w:lineRule="exact"/>
              <w:ind w:left="107" w:right="62"/>
              <w:rPr>
                <w:sz w:val="24"/>
              </w:rPr>
            </w:pPr>
            <w:r>
              <w:rPr>
                <w:spacing w:val="-5"/>
                <w:sz w:val="24"/>
              </w:rPr>
              <w:t xml:space="preserve">Table </w:t>
            </w:r>
            <w:r>
              <w:rPr>
                <w:spacing w:val="-3"/>
                <w:sz w:val="24"/>
              </w:rPr>
              <w:t xml:space="preserve">3. </w:t>
            </w:r>
            <w:r>
              <w:rPr>
                <w:spacing w:val="-5"/>
                <w:sz w:val="24"/>
              </w:rPr>
              <w:t xml:space="preserve">Burden </w:t>
            </w:r>
            <w:r>
              <w:rPr>
                <w:spacing w:val="-4"/>
                <w:sz w:val="24"/>
              </w:rPr>
              <w:t xml:space="preserve">for </w:t>
            </w:r>
            <w:r>
              <w:rPr>
                <w:spacing w:val="-5"/>
                <w:sz w:val="24"/>
              </w:rPr>
              <w:t xml:space="preserve">Web-Brokers </w:t>
            </w:r>
            <w:r>
              <w:rPr>
                <w:spacing w:val="-6"/>
                <w:sz w:val="24"/>
              </w:rPr>
              <w:t xml:space="preserve">and </w:t>
            </w:r>
            <w:r>
              <w:rPr>
                <w:spacing w:val="-4"/>
                <w:sz w:val="24"/>
              </w:rPr>
              <w:t xml:space="preserve">QHP </w:t>
            </w:r>
            <w:r>
              <w:rPr>
                <w:spacing w:val="-5"/>
                <w:sz w:val="24"/>
              </w:rPr>
              <w:t xml:space="preserve">Issuers Utilizing Classic DE/EDE Pathways Submitting </w:t>
            </w:r>
            <w:r>
              <w:rPr>
                <w:sz w:val="24"/>
              </w:rPr>
              <w:t xml:space="preserve">a </w:t>
            </w:r>
            <w:r>
              <w:rPr>
                <w:spacing w:val="-5"/>
                <w:sz w:val="24"/>
              </w:rPr>
              <w:t xml:space="preserve">Request </w:t>
            </w:r>
            <w:r>
              <w:rPr>
                <w:spacing w:val="-3"/>
                <w:sz w:val="24"/>
              </w:rPr>
              <w:t xml:space="preserve">to </w:t>
            </w:r>
            <w:r>
              <w:rPr>
                <w:spacing w:val="-5"/>
                <w:sz w:val="24"/>
              </w:rPr>
              <w:t xml:space="preserve">Deviate from </w:t>
            </w:r>
            <w:r>
              <w:rPr>
                <w:spacing w:val="-4"/>
                <w:sz w:val="24"/>
              </w:rPr>
              <w:t xml:space="preserve">the </w:t>
            </w:r>
            <w:r>
              <w:rPr>
                <w:spacing w:val="-6"/>
                <w:sz w:val="24"/>
              </w:rPr>
              <w:t xml:space="preserve">Manner </w:t>
            </w:r>
            <w:r>
              <w:rPr>
                <w:spacing w:val="-3"/>
                <w:sz w:val="24"/>
              </w:rPr>
              <w:t xml:space="preserve">in </w:t>
            </w:r>
            <w:r>
              <w:rPr>
                <w:spacing w:val="-5"/>
                <w:sz w:val="24"/>
              </w:rPr>
              <w:t xml:space="preserve">which Standardized Options </w:t>
            </w:r>
            <w:r>
              <w:rPr>
                <w:spacing w:val="-4"/>
                <w:sz w:val="24"/>
              </w:rPr>
              <w:t xml:space="preserve">are </w:t>
            </w:r>
            <w:r>
              <w:rPr>
                <w:spacing w:val="-5"/>
                <w:sz w:val="24"/>
              </w:rPr>
              <w:t xml:space="preserve">Displayed </w:t>
            </w:r>
            <w:r>
              <w:rPr>
                <w:spacing w:val="-3"/>
                <w:sz w:val="24"/>
              </w:rPr>
              <w:t xml:space="preserve">on </w:t>
            </w:r>
            <w:r>
              <w:rPr>
                <w:spacing w:val="-6"/>
                <w:sz w:val="24"/>
              </w:rPr>
              <w:t>HealthCare.gov</w:t>
            </w:r>
          </w:p>
        </w:tc>
        <w:tc>
          <w:tcPr>
            <w:tcW w:w="2340" w:type="dxa"/>
          </w:tcPr>
          <w:p w:rsidR="003E1A3E" w:rsidRDefault="003E1A3E">
            <w:pPr>
              <w:pStyle w:val="TableParagraph"/>
              <w:rPr>
                <w:b/>
                <w:sz w:val="36"/>
              </w:rPr>
            </w:pPr>
          </w:p>
          <w:p w:rsidR="003E1A3E" w:rsidRDefault="00E15F6C">
            <w:pPr>
              <w:pStyle w:val="TableParagraph"/>
              <w:ind w:left="108" w:right="84"/>
              <w:jc w:val="center"/>
              <w:rPr>
                <w:sz w:val="24"/>
              </w:rPr>
            </w:pPr>
            <w:r>
              <w:rPr>
                <w:sz w:val="24"/>
              </w:rPr>
              <w:t>45 CFR §§</w:t>
            </w:r>
          </w:p>
          <w:p w:rsidR="003E1A3E" w:rsidRDefault="00E15F6C">
            <w:pPr>
              <w:pStyle w:val="TableParagraph"/>
              <w:ind w:left="108" w:right="83"/>
              <w:jc w:val="center"/>
              <w:rPr>
                <w:sz w:val="24"/>
              </w:rPr>
            </w:pPr>
            <w:r>
              <w:rPr>
                <w:sz w:val="24"/>
              </w:rPr>
              <w:t>155.220(c)(3)(i)(H)</w:t>
            </w:r>
          </w:p>
          <w:p w:rsidR="003E1A3E" w:rsidRDefault="00E15F6C">
            <w:pPr>
              <w:pStyle w:val="TableParagraph"/>
              <w:ind w:left="108" w:right="88"/>
              <w:jc w:val="center"/>
              <w:rPr>
                <w:sz w:val="24"/>
              </w:rPr>
            </w:pPr>
            <w:r>
              <w:rPr>
                <w:sz w:val="24"/>
              </w:rPr>
              <w:t>and 156.265(b)(3)(iv)</w:t>
            </w:r>
          </w:p>
        </w:tc>
        <w:tc>
          <w:tcPr>
            <w:tcW w:w="1709" w:type="dxa"/>
          </w:tcPr>
          <w:p w:rsidR="003E1A3E" w:rsidRDefault="003E1A3E">
            <w:pPr>
              <w:pStyle w:val="TableParagraph"/>
              <w:rPr>
                <w:b/>
                <w:sz w:val="26"/>
              </w:rPr>
            </w:pPr>
          </w:p>
          <w:p w:rsidR="003E1A3E" w:rsidRDefault="003E1A3E">
            <w:pPr>
              <w:pStyle w:val="TableParagraph"/>
              <w:rPr>
                <w:b/>
                <w:sz w:val="34"/>
              </w:rPr>
            </w:pPr>
          </w:p>
          <w:p w:rsidR="003E1A3E" w:rsidRDefault="00E15F6C">
            <w:pPr>
              <w:pStyle w:val="TableParagraph"/>
              <w:ind w:left="661" w:right="637"/>
              <w:jc w:val="center"/>
              <w:rPr>
                <w:sz w:val="24"/>
              </w:rPr>
            </w:pPr>
            <w:r>
              <w:rPr>
                <w:sz w:val="24"/>
              </w:rPr>
              <w:t>55</w:t>
            </w:r>
          </w:p>
        </w:tc>
        <w:tc>
          <w:tcPr>
            <w:tcW w:w="1620" w:type="dxa"/>
          </w:tcPr>
          <w:p w:rsidR="003E1A3E" w:rsidRDefault="003E1A3E">
            <w:pPr>
              <w:pStyle w:val="TableParagraph"/>
              <w:rPr>
                <w:b/>
                <w:sz w:val="26"/>
              </w:rPr>
            </w:pPr>
          </w:p>
          <w:p w:rsidR="003E1A3E" w:rsidRDefault="003E1A3E">
            <w:pPr>
              <w:pStyle w:val="TableParagraph"/>
              <w:rPr>
                <w:b/>
                <w:sz w:val="34"/>
              </w:rPr>
            </w:pPr>
          </w:p>
          <w:p w:rsidR="003E1A3E" w:rsidRDefault="00E15F6C">
            <w:pPr>
              <w:pStyle w:val="TableParagraph"/>
              <w:ind w:left="258" w:right="232"/>
              <w:jc w:val="center"/>
              <w:rPr>
                <w:sz w:val="24"/>
              </w:rPr>
            </w:pPr>
            <w:r>
              <w:rPr>
                <w:sz w:val="24"/>
              </w:rPr>
              <w:t>$3,998.50</w:t>
            </w:r>
          </w:p>
        </w:tc>
      </w:tr>
      <w:tr w:rsidR="003E1A3E">
        <w:trPr>
          <w:trHeight w:val="275"/>
        </w:trPr>
        <w:tc>
          <w:tcPr>
            <w:tcW w:w="3686" w:type="dxa"/>
          </w:tcPr>
          <w:p w:rsidR="003E1A3E" w:rsidRDefault="00E15F6C">
            <w:pPr>
              <w:pStyle w:val="TableParagraph"/>
              <w:spacing w:line="256" w:lineRule="exact"/>
              <w:ind w:left="107"/>
              <w:rPr>
                <w:sz w:val="24"/>
              </w:rPr>
            </w:pPr>
            <w:r>
              <w:rPr>
                <w:sz w:val="24"/>
              </w:rPr>
              <w:t>Total</w:t>
            </w:r>
          </w:p>
        </w:tc>
        <w:tc>
          <w:tcPr>
            <w:tcW w:w="2340" w:type="dxa"/>
          </w:tcPr>
          <w:p w:rsidR="003E1A3E" w:rsidRDefault="003E1A3E">
            <w:pPr>
              <w:pStyle w:val="TableParagraph"/>
              <w:rPr>
                <w:sz w:val="20"/>
              </w:rPr>
            </w:pPr>
          </w:p>
        </w:tc>
        <w:tc>
          <w:tcPr>
            <w:tcW w:w="1709" w:type="dxa"/>
          </w:tcPr>
          <w:p w:rsidR="003E1A3E" w:rsidRDefault="00E15F6C">
            <w:pPr>
              <w:pStyle w:val="TableParagraph"/>
              <w:spacing w:line="256" w:lineRule="exact"/>
              <w:ind w:left="661" w:right="637"/>
              <w:jc w:val="center"/>
              <w:rPr>
                <w:sz w:val="24"/>
              </w:rPr>
            </w:pPr>
            <w:r>
              <w:rPr>
                <w:sz w:val="24"/>
              </w:rPr>
              <w:t>275</w:t>
            </w:r>
          </w:p>
        </w:tc>
        <w:tc>
          <w:tcPr>
            <w:tcW w:w="1620" w:type="dxa"/>
          </w:tcPr>
          <w:p w:rsidR="003E1A3E" w:rsidRDefault="00E15F6C">
            <w:pPr>
              <w:pStyle w:val="TableParagraph"/>
              <w:spacing w:line="256" w:lineRule="exact"/>
              <w:ind w:left="258" w:right="232"/>
              <w:jc w:val="center"/>
              <w:rPr>
                <w:sz w:val="24"/>
              </w:rPr>
            </w:pPr>
            <w:r>
              <w:rPr>
                <w:sz w:val="24"/>
              </w:rPr>
              <w:t>$22,082.50</w:t>
            </w:r>
          </w:p>
        </w:tc>
      </w:tr>
    </w:tbl>
    <w:p w:rsidR="003E1A3E" w:rsidRDefault="003E1A3E">
      <w:pPr>
        <w:pStyle w:val="BodyText"/>
        <w:spacing w:before="8"/>
        <w:rPr>
          <w:b/>
        </w:rPr>
      </w:pPr>
    </w:p>
    <w:p w:rsidR="003E1A3E" w:rsidRDefault="00E15F6C">
      <w:pPr>
        <w:pStyle w:val="ListParagraph"/>
        <w:numPr>
          <w:ilvl w:val="1"/>
          <w:numId w:val="1"/>
        </w:numPr>
        <w:tabs>
          <w:tab w:val="left" w:pos="773"/>
        </w:tabs>
        <w:ind w:left="772" w:hanging="433"/>
        <w:rPr>
          <w:sz w:val="24"/>
          <w:u w:val="none"/>
        </w:rPr>
      </w:pPr>
      <w:r>
        <w:rPr>
          <w:sz w:val="24"/>
        </w:rPr>
        <w:t>Capital</w:t>
      </w:r>
      <w:r>
        <w:rPr>
          <w:spacing w:val="-1"/>
          <w:sz w:val="24"/>
        </w:rPr>
        <w:t xml:space="preserve"> </w:t>
      </w:r>
      <w:r>
        <w:rPr>
          <w:sz w:val="24"/>
        </w:rPr>
        <w:t>Costs</w:t>
      </w:r>
    </w:p>
    <w:p w:rsidR="003E1A3E" w:rsidRDefault="003E1A3E">
      <w:pPr>
        <w:pStyle w:val="BodyText"/>
        <w:spacing w:before="6"/>
        <w:rPr>
          <w:sz w:val="19"/>
        </w:rPr>
      </w:pPr>
    </w:p>
    <w:p w:rsidR="003E1A3E" w:rsidRDefault="00E15F6C">
      <w:pPr>
        <w:pStyle w:val="BodyText"/>
        <w:spacing w:before="90"/>
        <w:ind w:left="340"/>
      </w:pPr>
      <w:r>
        <w:t>There are no anticipated capital costs associated with these information collections.</w:t>
      </w:r>
    </w:p>
    <w:p w:rsidR="003E1A3E" w:rsidRDefault="003E1A3E">
      <w:pPr>
        <w:pStyle w:val="BodyText"/>
        <w:spacing w:before="6"/>
        <w:rPr>
          <w:sz w:val="25"/>
        </w:rPr>
      </w:pPr>
    </w:p>
    <w:p w:rsidR="003E1A3E" w:rsidRDefault="00E15F6C">
      <w:pPr>
        <w:pStyle w:val="ListParagraph"/>
        <w:numPr>
          <w:ilvl w:val="1"/>
          <w:numId w:val="1"/>
        </w:numPr>
        <w:tabs>
          <w:tab w:val="left" w:pos="773"/>
        </w:tabs>
        <w:ind w:left="772" w:hanging="433"/>
        <w:rPr>
          <w:sz w:val="24"/>
          <w:u w:val="none"/>
        </w:rPr>
      </w:pPr>
      <w:r>
        <w:rPr>
          <w:sz w:val="24"/>
        </w:rPr>
        <w:t>Cost to Federal</w:t>
      </w:r>
      <w:r>
        <w:rPr>
          <w:spacing w:val="-1"/>
          <w:sz w:val="24"/>
        </w:rPr>
        <w:t xml:space="preserve"> </w:t>
      </w:r>
      <w:r>
        <w:rPr>
          <w:sz w:val="24"/>
        </w:rPr>
        <w:t>Government</w:t>
      </w:r>
    </w:p>
    <w:p w:rsidR="003E1A3E" w:rsidRDefault="003E1A3E">
      <w:pPr>
        <w:pStyle w:val="BodyText"/>
        <w:spacing w:before="2"/>
        <w:rPr>
          <w:sz w:val="16"/>
        </w:rPr>
      </w:pPr>
    </w:p>
    <w:p w:rsidR="003E1A3E" w:rsidRDefault="00E15F6C">
      <w:pPr>
        <w:pStyle w:val="BodyText"/>
        <w:spacing w:before="90"/>
        <w:ind w:left="340" w:right="201"/>
      </w:pPr>
      <w:r>
        <w:t>We estimate that the operations and maintenance costs for the data collection tool and the data collection support to have a total cost to the federal government of $2,462.70 per year. The calculations for CCIIO employees’ hourly salary was obtained from t</w:t>
      </w:r>
      <w:r>
        <w:t xml:space="preserve">he OPM website: </w:t>
      </w:r>
      <w:hyperlink r:id="rId6">
        <w:r>
          <w:rPr>
            <w:color w:val="0562C1"/>
            <w:u w:val="single" w:color="0562C1"/>
          </w:rPr>
          <w:t>https://www.opm.gov/policy-data-oversight/pay-leave/salaries-wages/salary-</w:t>
        </w:r>
      </w:hyperlink>
      <w:r>
        <w:rPr>
          <w:color w:val="0562C1"/>
        </w:rPr>
        <w:t xml:space="preserve"> </w:t>
      </w:r>
      <w:hyperlink r:id="rId7">
        <w:r>
          <w:rPr>
            <w:color w:val="0562C1"/>
            <w:u w:val="single" w:color="0562C1"/>
          </w:rPr>
          <w:t>tables/pdf/2021/GS_h.pdf</w:t>
        </w:r>
      </w:hyperlink>
    </w:p>
    <w:p w:rsidR="003E1A3E" w:rsidRDefault="003E1A3E">
      <w:pPr>
        <w:sectPr w:rsidR="003E1A3E">
          <w:pgSz w:w="12240" w:h="15840"/>
          <w:pgMar w:top="1360" w:right="1320" w:bottom="280" w:left="1320" w:header="720" w:footer="720" w:gutter="0"/>
          <w:cols w:space="720"/>
        </w:sectPr>
      </w:pPr>
    </w:p>
    <w:p w:rsidR="003E1A3E" w:rsidRDefault="00E15F6C">
      <w:pPr>
        <w:pStyle w:val="Heading1"/>
        <w:spacing w:before="79" w:line="247" w:lineRule="auto"/>
        <w:ind w:right="580"/>
      </w:pPr>
      <w:r>
        <w:lastRenderedPageBreak/>
        <w:t>Table 5. Administrative Burden Costs for the Federal Government Associated with the Collection</w:t>
      </w:r>
    </w:p>
    <w:p w:rsidR="003E1A3E" w:rsidRDefault="003E1A3E">
      <w:pPr>
        <w:pStyle w:val="BodyText"/>
        <w:spacing w:before="6"/>
        <w:rPr>
          <w:b/>
        </w:rPr>
      </w:pPr>
    </w:p>
    <w:tbl>
      <w:tblPr>
        <w:tblW w:w="0" w:type="auto"/>
        <w:tblInd w:w="13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4788"/>
        <w:gridCol w:w="4562"/>
      </w:tblGrid>
      <w:tr w:rsidR="003E1A3E">
        <w:trPr>
          <w:trHeight w:val="282"/>
        </w:trPr>
        <w:tc>
          <w:tcPr>
            <w:tcW w:w="4788" w:type="dxa"/>
          </w:tcPr>
          <w:p w:rsidR="003E1A3E" w:rsidRDefault="00E15F6C">
            <w:pPr>
              <w:pStyle w:val="TableParagraph"/>
              <w:spacing w:line="263" w:lineRule="exact"/>
              <w:ind w:left="4"/>
              <w:rPr>
                <w:b/>
                <w:sz w:val="24"/>
              </w:rPr>
            </w:pPr>
            <w:r>
              <w:rPr>
                <w:b/>
                <w:sz w:val="24"/>
              </w:rPr>
              <w:t>Task</w:t>
            </w:r>
          </w:p>
        </w:tc>
        <w:tc>
          <w:tcPr>
            <w:tcW w:w="4562" w:type="dxa"/>
          </w:tcPr>
          <w:p w:rsidR="003E1A3E" w:rsidRDefault="00E15F6C">
            <w:pPr>
              <w:pStyle w:val="TableParagraph"/>
              <w:spacing w:line="263" w:lineRule="exact"/>
              <w:ind w:left="4"/>
              <w:rPr>
                <w:b/>
                <w:sz w:val="24"/>
              </w:rPr>
            </w:pPr>
            <w:r>
              <w:rPr>
                <w:b/>
                <w:sz w:val="24"/>
              </w:rPr>
              <w:t>Estimated Cost</w:t>
            </w:r>
          </w:p>
        </w:tc>
      </w:tr>
      <w:tr w:rsidR="003E1A3E">
        <w:trPr>
          <w:trHeight w:val="287"/>
        </w:trPr>
        <w:tc>
          <w:tcPr>
            <w:tcW w:w="9350" w:type="dxa"/>
            <w:gridSpan w:val="2"/>
          </w:tcPr>
          <w:p w:rsidR="003E1A3E" w:rsidRDefault="00E15F6C">
            <w:pPr>
              <w:pStyle w:val="TableParagraph"/>
              <w:spacing w:line="268" w:lineRule="exact"/>
              <w:ind w:left="4"/>
              <w:rPr>
                <w:sz w:val="24"/>
              </w:rPr>
            </w:pPr>
            <w:r>
              <w:rPr>
                <w:sz w:val="24"/>
              </w:rPr>
              <w:t>Operations, maintenance, and data collection support</w:t>
            </w:r>
          </w:p>
        </w:tc>
      </w:tr>
      <w:tr w:rsidR="003E1A3E">
        <w:trPr>
          <w:trHeight w:val="287"/>
        </w:trPr>
        <w:tc>
          <w:tcPr>
            <w:tcW w:w="4788" w:type="dxa"/>
          </w:tcPr>
          <w:p w:rsidR="003E1A3E" w:rsidRDefault="00E15F6C">
            <w:pPr>
              <w:pStyle w:val="TableParagraph"/>
              <w:spacing w:line="268" w:lineRule="exact"/>
              <w:ind w:left="4"/>
              <w:rPr>
                <w:sz w:val="24"/>
              </w:rPr>
            </w:pPr>
            <w:r>
              <w:rPr>
                <w:sz w:val="24"/>
              </w:rPr>
              <w:t>2 GS-13 (step 7): 2 x $91.38</w:t>
            </w:r>
            <w:hyperlink w:history="1" w:anchor="_bookmark0">
              <w:r>
                <w:rPr>
                  <w:sz w:val="24"/>
                  <w:vertAlign w:val="superscript"/>
                </w:rPr>
                <w:t>1</w:t>
              </w:r>
              <w:r>
                <w:rPr>
                  <w:sz w:val="24"/>
                </w:rPr>
                <w:t xml:space="preserve"> </w:t>
              </w:r>
            </w:hyperlink>
            <w:r>
              <w:rPr>
                <w:sz w:val="24"/>
              </w:rPr>
              <w:t>x 10 hours</w:t>
            </w:r>
          </w:p>
        </w:tc>
        <w:tc>
          <w:tcPr>
            <w:tcW w:w="4562" w:type="dxa"/>
          </w:tcPr>
          <w:p w:rsidR="003E1A3E" w:rsidRDefault="00E15F6C">
            <w:pPr>
              <w:pStyle w:val="TableParagraph"/>
              <w:spacing w:line="268" w:lineRule="exact"/>
              <w:ind w:left="4"/>
              <w:rPr>
                <w:sz w:val="24"/>
              </w:rPr>
            </w:pPr>
            <w:r>
              <w:rPr>
                <w:sz w:val="24"/>
              </w:rPr>
              <w:t>$1,827.60</w:t>
            </w:r>
          </w:p>
        </w:tc>
      </w:tr>
      <w:tr w:rsidR="003E1A3E">
        <w:trPr>
          <w:trHeight w:val="287"/>
        </w:trPr>
        <w:tc>
          <w:tcPr>
            <w:tcW w:w="9350" w:type="dxa"/>
            <w:gridSpan w:val="2"/>
          </w:tcPr>
          <w:p w:rsidR="003E1A3E" w:rsidRDefault="00E15F6C">
            <w:pPr>
              <w:pStyle w:val="TableParagraph"/>
              <w:spacing w:line="268" w:lineRule="exact"/>
              <w:ind w:left="4"/>
              <w:rPr>
                <w:sz w:val="24"/>
              </w:rPr>
            </w:pPr>
            <w:r>
              <w:rPr>
                <w:sz w:val="24"/>
              </w:rPr>
              <w:t>Managerial review and oversight</w:t>
            </w:r>
          </w:p>
        </w:tc>
      </w:tr>
      <w:tr w:rsidR="003E1A3E">
        <w:trPr>
          <w:trHeight w:val="287"/>
        </w:trPr>
        <w:tc>
          <w:tcPr>
            <w:tcW w:w="4788" w:type="dxa"/>
          </w:tcPr>
          <w:p w:rsidR="003E1A3E" w:rsidRDefault="00E15F6C">
            <w:pPr>
              <w:pStyle w:val="TableParagraph"/>
              <w:spacing w:line="268" w:lineRule="exact"/>
              <w:ind w:left="4"/>
              <w:rPr>
                <w:sz w:val="24"/>
              </w:rPr>
            </w:pPr>
            <w:r>
              <w:rPr>
                <w:sz w:val="24"/>
              </w:rPr>
              <w:t>1 GS-15 (step 7): $127.02</w:t>
            </w:r>
            <w:hyperlink w:history="1" w:anchor="_bookmark1">
              <w:r>
                <w:rPr>
                  <w:sz w:val="24"/>
                  <w:vertAlign w:val="superscript"/>
                </w:rPr>
                <w:t>2</w:t>
              </w:r>
              <w:r>
                <w:rPr>
                  <w:sz w:val="24"/>
                </w:rPr>
                <w:t xml:space="preserve"> </w:t>
              </w:r>
            </w:hyperlink>
            <w:r>
              <w:rPr>
                <w:sz w:val="24"/>
              </w:rPr>
              <w:t>x 5 hours</w:t>
            </w:r>
          </w:p>
        </w:tc>
        <w:tc>
          <w:tcPr>
            <w:tcW w:w="4562" w:type="dxa"/>
          </w:tcPr>
          <w:p w:rsidR="003E1A3E" w:rsidRDefault="00E15F6C">
            <w:pPr>
              <w:pStyle w:val="TableParagraph"/>
              <w:spacing w:line="268" w:lineRule="exact"/>
              <w:ind w:left="4"/>
              <w:rPr>
                <w:sz w:val="24"/>
              </w:rPr>
            </w:pPr>
            <w:r>
              <w:rPr>
                <w:sz w:val="24"/>
              </w:rPr>
              <w:t>$635.10</w:t>
            </w:r>
          </w:p>
        </w:tc>
      </w:tr>
      <w:tr w:rsidR="003E1A3E">
        <w:trPr>
          <w:trHeight w:val="287"/>
        </w:trPr>
        <w:tc>
          <w:tcPr>
            <w:tcW w:w="4788" w:type="dxa"/>
          </w:tcPr>
          <w:p w:rsidR="003E1A3E" w:rsidRDefault="00E15F6C">
            <w:pPr>
              <w:pStyle w:val="TableParagraph"/>
              <w:spacing w:line="268" w:lineRule="exact"/>
              <w:ind w:left="4"/>
              <w:rPr>
                <w:sz w:val="24"/>
              </w:rPr>
            </w:pPr>
            <w:r>
              <w:rPr>
                <w:sz w:val="24"/>
              </w:rPr>
              <w:t>Total Costs to Government</w:t>
            </w:r>
          </w:p>
        </w:tc>
        <w:tc>
          <w:tcPr>
            <w:tcW w:w="4562" w:type="dxa"/>
          </w:tcPr>
          <w:p w:rsidR="003E1A3E" w:rsidRDefault="00E15F6C">
            <w:pPr>
              <w:pStyle w:val="TableParagraph"/>
              <w:spacing w:line="268" w:lineRule="exact"/>
              <w:ind w:left="4"/>
              <w:rPr>
                <w:sz w:val="24"/>
              </w:rPr>
            </w:pPr>
            <w:r>
              <w:rPr>
                <w:sz w:val="24"/>
              </w:rPr>
              <w:t>$2,462.70</w:t>
            </w:r>
          </w:p>
        </w:tc>
      </w:tr>
    </w:tbl>
    <w:p w:rsidR="003E1A3E" w:rsidRDefault="003E1A3E">
      <w:pPr>
        <w:pStyle w:val="BodyText"/>
        <w:spacing w:before="8"/>
        <w:rPr>
          <w:b/>
        </w:rPr>
      </w:pPr>
    </w:p>
    <w:p w:rsidR="003E1A3E" w:rsidRDefault="00E15F6C">
      <w:pPr>
        <w:pStyle w:val="ListParagraph"/>
        <w:numPr>
          <w:ilvl w:val="1"/>
          <w:numId w:val="1"/>
        </w:numPr>
        <w:tabs>
          <w:tab w:val="left" w:pos="713"/>
        </w:tabs>
        <w:ind w:left="712" w:hanging="433"/>
        <w:rPr>
          <w:sz w:val="24"/>
          <w:u w:val="none"/>
        </w:rPr>
      </w:pPr>
      <w:r>
        <w:rPr>
          <w:sz w:val="24"/>
        </w:rPr>
        <w:t>Changes to</w:t>
      </w:r>
      <w:r>
        <w:rPr>
          <w:spacing w:val="-1"/>
          <w:sz w:val="24"/>
        </w:rPr>
        <w:t xml:space="preserve"> </w:t>
      </w:r>
      <w:r>
        <w:rPr>
          <w:sz w:val="24"/>
        </w:rPr>
        <w:t>Burden</w:t>
      </w:r>
    </w:p>
    <w:p w:rsidR="003E1A3E" w:rsidRDefault="003E1A3E">
      <w:pPr>
        <w:pStyle w:val="BodyText"/>
        <w:spacing w:before="6"/>
        <w:rPr>
          <w:sz w:val="22"/>
        </w:rPr>
      </w:pPr>
    </w:p>
    <w:p w:rsidR="003E1A3E" w:rsidRDefault="00E15F6C">
      <w:pPr>
        <w:pStyle w:val="BodyText"/>
        <w:spacing w:line="235" w:lineRule="auto"/>
        <w:ind w:left="280" w:right="208"/>
      </w:pPr>
      <w:r>
        <w:t>The estimate for web-brokers and QHP issuers utilizing the Classic DE and EDE pathways to differentially display standardized options consistent with HealthCare.gov in the current collection is lower than the estimate in the previously discontinued collect</w:t>
      </w:r>
      <w:r>
        <w:t>ion, primarily due to the lower number of entities subject to this requirement in the current collection. Additionally, he previous collection calculated the burden for Web Developers and Digital Interface Designers using the labor category for Software De</w:t>
      </w:r>
      <w:r>
        <w:t>velopers, which had a higher wage rate.</w:t>
      </w:r>
    </w:p>
    <w:p w:rsidR="003E1A3E" w:rsidRDefault="00E15F6C">
      <w:pPr>
        <w:pStyle w:val="BodyText"/>
        <w:spacing w:before="5" w:line="235" w:lineRule="auto"/>
        <w:ind w:left="280" w:right="630"/>
      </w:pPr>
      <w:r>
        <w:t>Thus, there is a reduction in the burden estimate for Web Developers and Digital Interface Designers from the previous collection to the current collection.</w:t>
      </w:r>
    </w:p>
    <w:p w:rsidR="003E1A3E" w:rsidRDefault="003E1A3E">
      <w:pPr>
        <w:pStyle w:val="BodyText"/>
        <w:spacing w:before="8"/>
        <w:rPr>
          <w:sz w:val="23"/>
        </w:rPr>
      </w:pPr>
    </w:p>
    <w:p w:rsidR="003E1A3E" w:rsidRDefault="00E15F6C">
      <w:pPr>
        <w:pStyle w:val="BodyText"/>
        <w:spacing w:line="235" w:lineRule="auto"/>
        <w:ind w:left="280" w:right="168"/>
      </w:pPr>
      <w:r>
        <w:t>The burden estimate in the previously discontinued collect</w:t>
      </w:r>
      <w:r>
        <w:t>ion did not include an estimate for allowing web-brokers and QHP issuers utilizing the Classic DE and EDE pathways to submit a request to deviate from the manner in which standardized options are differentially displayed on HealthCare.gov, so this aspect o</w:t>
      </w:r>
      <w:r>
        <w:t>f the burden estimate is slightly higher in the current collection.</w:t>
      </w:r>
    </w:p>
    <w:p w:rsidR="003E1A3E" w:rsidRDefault="003E1A3E">
      <w:pPr>
        <w:pStyle w:val="BodyText"/>
        <w:spacing w:before="3"/>
        <w:rPr>
          <w:sz w:val="23"/>
        </w:rPr>
      </w:pPr>
    </w:p>
    <w:p w:rsidR="003E1A3E" w:rsidRDefault="00E15F6C">
      <w:pPr>
        <w:pStyle w:val="BodyText"/>
        <w:spacing w:before="1" w:line="274" w:lineRule="exact"/>
        <w:ind w:left="280"/>
      </w:pPr>
      <w:r>
        <w:t>Altogether, the total annual burden estimate reduced from $30,982 in the previous package to</w:t>
      </w:r>
    </w:p>
    <w:p w:rsidR="003E1A3E" w:rsidRDefault="00E15F6C">
      <w:pPr>
        <w:pStyle w:val="BodyText"/>
        <w:spacing w:before="2" w:line="235" w:lineRule="auto"/>
        <w:ind w:left="280" w:right="629"/>
      </w:pPr>
      <w:r>
        <w:t>$22,082.50 in the current package, a change of $8,899.50. The total burden hours estimate redu</w:t>
      </w:r>
      <w:r>
        <w:t>ced from 320 to 275 annually, a change of 45 hours.</w:t>
      </w:r>
    </w:p>
    <w:p w:rsidR="003E1A3E" w:rsidRDefault="003E1A3E">
      <w:pPr>
        <w:pStyle w:val="BodyText"/>
        <w:spacing w:before="7"/>
        <w:rPr>
          <w:sz w:val="25"/>
        </w:rPr>
      </w:pPr>
    </w:p>
    <w:p w:rsidR="003E1A3E" w:rsidRDefault="00E15F6C">
      <w:pPr>
        <w:pStyle w:val="ListParagraph"/>
        <w:numPr>
          <w:ilvl w:val="1"/>
          <w:numId w:val="1"/>
        </w:numPr>
        <w:tabs>
          <w:tab w:val="left" w:pos="713"/>
        </w:tabs>
        <w:ind w:left="712" w:hanging="433"/>
        <w:rPr>
          <w:sz w:val="24"/>
          <w:u w:val="none"/>
        </w:rPr>
      </w:pPr>
      <w:r>
        <w:rPr>
          <w:sz w:val="24"/>
        </w:rPr>
        <w:t>Publication/Tabulation</w:t>
      </w:r>
      <w:r>
        <w:rPr>
          <w:spacing w:val="-1"/>
          <w:sz w:val="24"/>
        </w:rPr>
        <w:t xml:space="preserve"> </w:t>
      </w:r>
      <w:r>
        <w:rPr>
          <w:sz w:val="24"/>
        </w:rPr>
        <w:t>Dates</w:t>
      </w:r>
    </w:p>
    <w:p w:rsidR="003E1A3E" w:rsidRDefault="003E1A3E">
      <w:pPr>
        <w:pStyle w:val="BodyText"/>
        <w:spacing w:before="2"/>
        <w:rPr>
          <w:sz w:val="16"/>
        </w:rPr>
      </w:pPr>
    </w:p>
    <w:p w:rsidR="003E1A3E" w:rsidRDefault="00E15F6C">
      <w:pPr>
        <w:pStyle w:val="BodyText"/>
        <w:spacing w:before="90"/>
        <w:ind w:left="280"/>
      </w:pPr>
      <w:r>
        <w:t>There are no plans to publish the outcome of the data collection.</w:t>
      </w:r>
    </w:p>
    <w:p w:rsidR="003E1A3E" w:rsidRDefault="003E1A3E">
      <w:pPr>
        <w:pStyle w:val="BodyText"/>
        <w:spacing w:before="10"/>
        <w:rPr>
          <w:sz w:val="25"/>
        </w:rPr>
      </w:pPr>
    </w:p>
    <w:p w:rsidR="003E1A3E" w:rsidRDefault="00E15F6C">
      <w:pPr>
        <w:pStyle w:val="ListParagraph"/>
        <w:numPr>
          <w:ilvl w:val="1"/>
          <w:numId w:val="1"/>
        </w:numPr>
        <w:tabs>
          <w:tab w:val="left" w:pos="713"/>
        </w:tabs>
        <w:ind w:left="712" w:hanging="433"/>
        <w:rPr>
          <w:sz w:val="24"/>
          <w:u w:val="none"/>
        </w:rPr>
      </w:pPr>
      <w:r>
        <w:rPr>
          <w:sz w:val="24"/>
        </w:rPr>
        <w:t>Expiration</w:t>
      </w:r>
      <w:r>
        <w:rPr>
          <w:spacing w:val="-1"/>
          <w:sz w:val="24"/>
        </w:rPr>
        <w:t xml:space="preserve"> </w:t>
      </w:r>
      <w:r>
        <w:rPr>
          <w:sz w:val="24"/>
        </w:rPr>
        <w:t>Date</w:t>
      </w:r>
    </w:p>
    <w:p w:rsidR="003E1A3E" w:rsidRDefault="003E1A3E">
      <w:pPr>
        <w:pStyle w:val="BodyText"/>
        <w:spacing w:before="6"/>
        <w:rPr>
          <w:sz w:val="19"/>
        </w:rPr>
      </w:pPr>
    </w:p>
    <w:p w:rsidR="003E1A3E" w:rsidRDefault="00E15F6C">
      <w:pPr>
        <w:pStyle w:val="BodyText"/>
        <w:spacing w:before="94" w:line="235" w:lineRule="auto"/>
        <w:ind w:left="280" w:right="195"/>
      </w:pPr>
      <w:r>
        <w:t>The expiration date and OMB control number will appear on the first page of the instrument in the top, right corner.</w:t>
      </w:r>
    </w:p>
    <w:p w:rsidR="003E1A3E" w:rsidRDefault="003E1A3E">
      <w:pPr>
        <w:pStyle w:val="BodyText"/>
        <w:rPr>
          <w:sz w:val="20"/>
        </w:rPr>
      </w:pPr>
    </w:p>
    <w:p w:rsidR="003E1A3E" w:rsidRDefault="003E1A3E">
      <w:pPr>
        <w:pStyle w:val="BodyText"/>
        <w:rPr>
          <w:sz w:val="20"/>
        </w:rPr>
      </w:pPr>
    </w:p>
    <w:p w:rsidR="003E1A3E" w:rsidRDefault="003E1A3E">
      <w:pPr>
        <w:pStyle w:val="BodyText"/>
        <w:rPr>
          <w:sz w:val="20"/>
        </w:rPr>
      </w:pPr>
    </w:p>
    <w:p w:rsidR="003E1A3E" w:rsidRDefault="00E15F6C">
      <w:pPr>
        <w:pStyle w:val="BodyText"/>
        <w:spacing w:before="1"/>
        <w:rPr>
          <w:sz w:val="18"/>
        </w:rPr>
      </w:pPr>
      <w:r>
        <w:rPr>
          <w:noProof/>
        </w:rPr>
        <mc:AlternateContent>
          <mc:Choice Requires="wps">
            <w:drawing>
              <wp:anchor distT="0" distB="0" distL="0" distR="0" simplePos="0" relativeHeight="251657728" behindDoc="1" locked="0" layoutInCell="1" allowOverlap="1">
                <wp:simplePos x="0" y="0"/>
                <wp:positionH relativeFrom="page">
                  <wp:posOffset>914400</wp:posOffset>
                </wp:positionH>
                <wp:positionV relativeFrom="paragraph">
                  <wp:posOffset>156845</wp:posOffset>
                </wp:positionV>
                <wp:extent cx="1828800" cy="8890"/>
                <wp:effectExtent l="0" t="0" r="0" b="0"/>
                <wp:wrapTopAndBottom/>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28800"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1in;margin-top:12.35pt;width:2in;height:.7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spid="_x0000_s1026" fillcolor="black" stroked="f" w14:anchorId="4C497C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">
                <w10:wrap type="topAndBottom" anchorx="page"/>
              </v:rect>
            </w:pict>
          </mc:Fallback>
        </mc:AlternateContent>
      </w:r>
    </w:p>
    <w:p w:rsidR="003E1A3E" w:rsidRDefault="00E15F6C">
      <w:pPr>
        <w:spacing w:before="70"/>
        <w:ind w:left="120" w:right="5346" w:hanging="1"/>
      </w:pPr>
      <w:bookmarkStart w:name="_bookmark0" w:id="1"/>
      <w:bookmarkEnd w:id="1"/>
      <w:r>
        <w:t>1 Hourly basic rate + 100% fringe benefit rate.</w:t>
      </w:r>
      <w:bookmarkStart w:name="_bookmark1" w:id="2"/>
      <w:bookmarkEnd w:id="2"/>
      <w:r>
        <w:t xml:space="preserve"> 2 Hourly basic rate + 100% fringe benefit rate.</w:t>
      </w:r>
    </w:p>
    <w:sectPr w:rsidR="003E1A3E">
      <w:pgSz w:w="12240" w:h="15840"/>
      <w:pgMar w:top="1360" w:right="1320" w:bottom="280" w:left="13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9387989"/>
    <w:multiLevelType w:val="hybridMultilevel"/>
    <w:tmpl w:val="B4C47860"/>
    <w:lvl w:ilvl="0" w:tplc="81180B76">
      <w:start w:val="1"/>
      <w:numFmt w:val="upperLetter"/>
      <w:lvlText w:val="%1."/>
      <w:lvlJc w:val="left"/>
      <w:pPr>
        <w:ind w:left="712" w:hanging="432"/>
        <w:jc w:val="left"/>
      </w:pPr>
      <w:rPr>
        <w:rFonts w:ascii="Times New Roman" w:eastAsia="Times New Roman" w:hAnsi="Times New Roman" w:cs="Times New Roman" w:hint="default"/>
        <w:b/>
        <w:bCs/>
        <w:spacing w:val="-1"/>
        <w:w w:val="100"/>
        <w:sz w:val="24"/>
        <w:szCs w:val="24"/>
        <w:u w:val="thick" w:color="000000"/>
        <w:lang w:val="en-US" w:eastAsia="en-US" w:bidi="ar-SA"/>
      </w:rPr>
    </w:lvl>
    <w:lvl w:ilvl="1" w:tplc="1DD82B18">
      <w:start w:val="1"/>
      <w:numFmt w:val="decimal"/>
      <w:lvlText w:val="%2."/>
      <w:lvlJc w:val="left"/>
      <w:pPr>
        <w:ind w:left="700" w:hanging="420"/>
        <w:jc w:val="left"/>
      </w:pPr>
      <w:rPr>
        <w:rFonts w:ascii="Times New Roman" w:eastAsia="Times New Roman" w:hAnsi="Times New Roman" w:cs="Times New Roman" w:hint="default"/>
        <w:spacing w:val="-5"/>
        <w:w w:val="100"/>
        <w:sz w:val="24"/>
        <w:szCs w:val="24"/>
        <w:lang w:val="en-US" w:eastAsia="en-US" w:bidi="ar-SA"/>
      </w:rPr>
    </w:lvl>
    <w:lvl w:ilvl="2" w:tplc="81CA8F64">
      <w:numFmt w:val="bullet"/>
      <w:lvlText w:val="•"/>
      <w:lvlJc w:val="left"/>
      <w:pPr>
        <w:ind w:left="1706" w:hanging="420"/>
      </w:pPr>
      <w:rPr>
        <w:rFonts w:hint="default"/>
        <w:lang w:val="en-US" w:eastAsia="en-US" w:bidi="ar-SA"/>
      </w:rPr>
    </w:lvl>
    <w:lvl w:ilvl="3" w:tplc="541E9A3A">
      <w:numFmt w:val="bullet"/>
      <w:lvlText w:val="•"/>
      <w:lvlJc w:val="left"/>
      <w:pPr>
        <w:ind w:left="2693" w:hanging="420"/>
      </w:pPr>
      <w:rPr>
        <w:rFonts w:hint="default"/>
        <w:lang w:val="en-US" w:eastAsia="en-US" w:bidi="ar-SA"/>
      </w:rPr>
    </w:lvl>
    <w:lvl w:ilvl="4" w:tplc="4C7221AA">
      <w:numFmt w:val="bullet"/>
      <w:lvlText w:val="•"/>
      <w:lvlJc w:val="left"/>
      <w:pPr>
        <w:ind w:left="3680" w:hanging="420"/>
      </w:pPr>
      <w:rPr>
        <w:rFonts w:hint="default"/>
        <w:lang w:val="en-US" w:eastAsia="en-US" w:bidi="ar-SA"/>
      </w:rPr>
    </w:lvl>
    <w:lvl w:ilvl="5" w:tplc="DC5428C2">
      <w:numFmt w:val="bullet"/>
      <w:lvlText w:val="•"/>
      <w:lvlJc w:val="left"/>
      <w:pPr>
        <w:ind w:left="4666" w:hanging="420"/>
      </w:pPr>
      <w:rPr>
        <w:rFonts w:hint="default"/>
        <w:lang w:val="en-US" w:eastAsia="en-US" w:bidi="ar-SA"/>
      </w:rPr>
    </w:lvl>
    <w:lvl w:ilvl="6" w:tplc="227A2B94">
      <w:numFmt w:val="bullet"/>
      <w:lvlText w:val="•"/>
      <w:lvlJc w:val="left"/>
      <w:pPr>
        <w:ind w:left="5653" w:hanging="420"/>
      </w:pPr>
      <w:rPr>
        <w:rFonts w:hint="default"/>
        <w:lang w:val="en-US" w:eastAsia="en-US" w:bidi="ar-SA"/>
      </w:rPr>
    </w:lvl>
    <w:lvl w:ilvl="7" w:tplc="46A0E896">
      <w:numFmt w:val="bullet"/>
      <w:lvlText w:val="•"/>
      <w:lvlJc w:val="left"/>
      <w:pPr>
        <w:ind w:left="6640" w:hanging="420"/>
      </w:pPr>
      <w:rPr>
        <w:rFonts w:hint="default"/>
        <w:lang w:val="en-US" w:eastAsia="en-US" w:bidi="ar-SA"/>
      </w:rPr>
    </w:lvl>
    <w:lvl w:ilvl="8" w:tplc="890404FC">
      <w:numFmt w:val="bullet"/>
      <w:lvlText w:val="•"/>
      <w:lvlJc w:val="left"/>
      <w:pPr>
        <w:ind w:left="7626" w:hanging="420"/>
      </w:pPr>
      <w:rPr>
        <w:rFonts w:hint="default"/>
        <w:lang w:val="en-US"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1A3E"/>
    <w:rsid w:val="003E1A3E"/>
    <w:rsid w:val="00E15F6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F31760"/>
  <w15:docId w15:val="{285D1AEB-9D94-4E72-8A11-2A71C33CF6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69"/>
      <w:ind w:left="2469" w:right="761" w:hanging="1380"/>
    </w:pPr>
    <w:rPr>
      <w:b/>
      <w:bCs/>
      <w:sz w:val="28"/>
      <w:szCs w:val="28"/>
    </w:rPr>
  </w:style>
  <w:style w:type="paragraph" w:styleId="ListParagraph">
    <w:name w:val="List Paragraph"/>
    <w:basedOn w:val="Normal"/>
    <w:uiPriority w:val="1"/>
    <w:qFormat/>
    <w:pPr>
      <w:ind w:left="700" w:hanging="421"/>
    </w:pPr>
    <w:rPr>
      <w:u w:val="single" w:color="000000"/>
    </w:r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opm.gov/policy-data-oversight/pay-leave/salaries-wages/salary-tables/pdf/2021/GS_h.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opm.gov/policy-data-oversight/pay-leave/salaries-wages/salary-tables/pdf/2021/GS_h.pdf" TargetMode="External"/><Relationship Id="rId5" Type="http://schemas.openxmlformats.org/officeDocument/2006/relationships/hyperlink" Target="https://www.bls.gov/oes/current/oes_stru.ht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2463</Words>
  <Characters>14040</Characters>
  <Application>Microsoft Office Word</Application>
  <DocSecurity>0</DocSecurity>
  <Lines>117</Lines>
  <Paragraphs>32</Paragraphs>
  <ScaleCrop>false</ScaleCrop>
  <Company/>
  <LinksUpToDate>false</LinksUpToDate>
  <CharactersWithSpaces>16471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Information Collection Requirements for Non-Exchange Entities - CMS 10633</dc:title>
  <dc:subject>Supporting Statement for Information Collection Requirements for Non-Exchange Entities - CMS 10633</dc:subject>
  <dc:creator>CMS</dc:creator>
  <cp:keywords>Small Business Options Program; SHOP; Centers for Medicare &amp; Medicaid Services; CMS; Department of Health and Human Services; HHS; qualified health plans; QHP;</cp:keywords>
  <cp:lastModifiedBy>JAMAA HILL</cp:lastModifiedBy>
  <cp:revision>2</cp:revision>
  <dcterms:created xsi:type="dcterms:W3CDTF">2022-01-10T13:40:00Z</dcterms:created>
  <dcterms:modified xsi:type="dcterms:W3CDTF">2022-01-10T13:40:00Z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2021-12-20T00:00:00Z</vt:filetime>
  </property>
  <property fmtid="{D5CDD505-2E9C-101B-9397-08002B2CF9AE}" pid="3" name="Creator">
    <vt:lpwstr>Acrobat PDFMaker 21 for Word</vt:lpwstr>
  </property>
  <property fmtid="{D5CDD505-2E9C-101B-9397-08002B2CF9AE}" pid="4" name="LastSaved">
    <vt:filetime>2021-12-23T00:00:00Z</vt:filetime>
  </property>
</Properties>
</file>