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2E" w:rsidRDefault="0064090C">
      <w:pPr>
        <w:pStyle w:val="Title"/>
        <w:spacing w:before="60" w:line="259" w:lineRule="auto"/>
        <w:ind w:left="321"/>
      </w:pPr>
      <w:r>
        <w:t>Supporting Statement for Essential Community Provider-Network Adequacy</w:t>
      </w:r>
      <w:r>
        <w:rPr>
          <w:spacing w:val="-67"/>
        </w:rPr>
        <w:t xml:space="preserve"> </w:t>
      </w:r>
      <w:r>
        <w:t>(ECP/NA)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 to Support</w:t>
      </w:r>
      <w:r>
        <w:rPr>
          <w:spacing w:val="-1"/>
        </w:rPr>
        <w:t xml:space="preserve"> </w:t>
      </w:r>
      <w:r>
        <w:t>QHP</w:t>
      </w:r>
      <w:r>
        <w:rPr>
          <w:spacing w:val="-3"/>
        </w:rPr>
        <w:t xml:space="preserve"> </w:t>
      </w:r>
      <w:r>
        <w:t>Certification</w:t>
      </w:r>
    </w:p>
    <w:p w:rsidR="003C462E" w:rsidRDefault="0064090C">
      <w:pPr>
        <w:pStyle w:val="Title"/>
      </w:pPr>
      <w:r>
        <w:t>(CMS-NEW/OMB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number:</w:t>
      </w:r>
      <w:r>
        <w:rPr>
          <w:spacing w:val="-2"/>
        </w:rPr>
        <w:t xml:space="preserve"> </w:t>
      </w:r>
      <w:r w:rsidRPr="0064090C">
        <w:rPr>
          <w:shd w:val="clear" w:color="auto" w:fill="FFFF00"/>
        </w:rPr>
        <w:t>0938-NEW</w:t>
      </w:r>
      <w:r>
        <w:t>)</w:t>
      </w:r>
    </w:p>
    <w:p w:rsidR="003C462E" w:rsidRDefault="003C462E">
      <w:pPr>
        <w:pStyle w:val="BodyText"/>
        <w:spacing w:before="10"/>
        <w:rPr>
          <w:b/>
          <w:sz w:val="27"/>
        </w:rPr>
      </w:pPr>
    </w:p>
    <w:p w:rsidR="003C462E" w:rsidRDefault="0064090C">
      <w:pPr>
        <w:pStyle w:val="Heading1"/>
        <w:numPr>
          <w:ilvl w:val="0"/>
          <w:numId w:val="2"/>
        </w:numPr>
        <w:tabs>
          <w:tab w:val="left" w:pos="519"/>
        </w:tabs>
        <w:ind w:hanging="414"/>
      </w:pPr>
      <w:r>
        <w:rPr>
          <w:u w:val="thick"/>
        </w:rPr>
        <w:t>Background</w:t>
      </w:r>
    </w:p>
    <w:p w:rsidR="003C462E" w:rsidRDefault="003C462E">
      <w:pPr>
        <w:pStyle w:val="BodyText"/>
        <w:spacing w:before="2"/>
        <w:rPr>
          <w:b/>
          <w:sz w:val="20"/>
        </w:rPr>
      </w:pPr>
    </w:p>
    <w:p w:rsidR="003C462E" w:rsidRDefault="0064090C">
      <w:pPr>
        <w:pStyle w:val="BodyText"/>
        <w:spacing w:before="90" w:line="247" w:lineRule="auto"/>
        <w:ind w:left="120" w:right="143"/>
      </w:pPr>
      <w:r>
        <w:t>In accordance with section 1311(c)(1)(C) of the Affordable Care Act (ACA), Qualif</w:t>
      </w:r>
      <w:bookmarkStart w:name="_GoBack" w:id="0"/>
      <w:bookmarkEnd w:id="0"/>
      <w:r>
        <w:t>ied Health Plan</w:t>
      </w:r>
      <w:r>
        <w:rPr>
          <w:spacing w:val="-57"/>
        </w:rPr>
        <w:t xml:space="preserve"> </w:t>
      </w:r>
      <w:r>
        <w:t>(QHP)</w:t>
      </w:r>
      <w:r>
        <w:rPr>
          <w:spacing w:val="-3"/>
        </w:rPr>
        <w:t xml:space="preserve"> </w:t>
      </w:r>
      <w:r>
        <w:t>issuers,</w:t>
      </w:r>
      <w:r>
        <w:rPr>
          <w:spacing w:val="-2"/>
        </w:rPr>
        <w:t xml:space="preserve"> </w:t>
      </w:r>
      <w:r>
        <w:t>including Stand-alone</w:t>
      </w:r>
      <w:r>
        <w:rPr>
          <w:spacing w:val="-2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Plan (SADP)</w:t>
      </w:r>
      <w:r>
        <w:rPr>
          <w:spacing w:val="-2"/>
        </w:rPr>
        <w:t xml:space="preserve"> </w:t>
      </w:r>
      <w:r>
        <w:t>issuers,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 xml:space="preserve">sufficient number and geographic distribution of essential </w:t>
      </w:r>
      <w:r>
        <w:t>community providers (ECPs), where</w:t>
      </w:r>
      <w:r>
        <w:rPr>
          <w:spacing w:val="1"/>
        </w:rPr>
        <w:t xml:space="preserve"> </w:t>
      </w:r>
      <w:r>
        <w:t>available, that serve predominantly low-income, medically-underserved individuals. Under this</w:t>
      </w:r>
      <w:r>
        <w:rPr>
          <w:spacing w:val="1"/>
        </w:rPr>
        <w:t xml:space="preserve"> </w:t>
      </w:r>
      <w:r>
        <w:t>same section of the ACA, the Secretary of the Department of Health and Human Services (HHS) is</w:t>
      </w:r>
      <w:r>
        <w:rPr>
          <w:spacing w:val="1"/>
        </w:rPr>
        <w:t xml:space="preserve"> </w:t>
      </w:r>
      <w:r>
        <w:t>charged with establishing criteri</w:t>
      </w:r>
      <w:r>
        <w:t>a for certification of health plans as QHPs, including criteria for</w:t>
      </w:r>
      <w:r>
        <w:rPr>
          <w:spacing w:val="1"/>
        </w:rPr>
        <w:t xml:space="preserve"> </w:t>
      </w:r>
      <w:r>
        <w:t>issuer satisfaction of the ECP inclusion requirement. Under 45 Code of Federal Regulations (CFR)</w:t>
      </w:r>
      <w:r>
        <w:rPr>
          <w:spacing w:val="1"/>
        </w:rPr>
        <w:t xml:space="preserve"> </w:t>
      </w:r>
      <w:r>
        <w:t>156.235, the Secretary of HHS has established criteria for inclusion of a sufficient number</w:t>
      </w:r>
      <w:r>
        <w:t xml:space="preserve"> and</w:t>
      </w:r>
      <w:r>
        <w:rPr>
          <w:spacing w:val="1"/>
        </w:rPr>
        <w:t xml:space="preserve"> </w:t>
      </w:r>
      <w:r>
        <w:t>geographic distribution of ECPs, where available, in an issuer’s network to ensure reasonable and</w:t>
      </w:r>
      <w:r>
        <w:rPr>
          <w:spacing w:val="1"/>
        </w:rPr>
        <w:t xml:space="preserve"> </w:t>
      </w:r>
      <w:r>
        <w:t>timely access to a broad range of such providers for low-income, medically underserved individuals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areas.</w:t>
      </w:r>
    </w:p>
    <w:p w:rsidR="003C462E" w:rsidRDefault="003C462E">
      <w:pPr>
        <w:pStyle w:val="BodyText"/>
        <w:spacing w:before="10"/>
        <w:rPr>
          <w:sz w:val="25"/>
        </w:rPr>
      </w:pPr>
    </w:p>
    <w:p w:rsidR="003C462E" w:rsidRDefault="0064090C">
      <w:pPr>
        <w:pStyle w:val="BodyText"/>
        <w:spacing w:line="247" w:lineRule="auto"/>
        <w:ind w:left="120" w:right="261"/>
      </w:pPr>
      <w:r>
        <w:t>To satisfy this ECP requireme</w:t>
      </w:r>
      <w:r>
        <w:t>nt, medical QHP and SADP issuers must submit an Essential</w:t>
      </w:r>
      <w:r>
        <w:rPr>
          <w:spacing w:val="1"/>
        </w:rPr>
        <w:t xml:space="preserve"> </w:t>
      </w:r>
      <w:r>
        <w:t>Community Provider/Network Adequacy (ECP/NA) template as part of their QHP application, in</w:t>
      </w:r>
      <w:r>
        <w:rPr>
          <w:spacing w:val="1"/>
        </w:rPr>
        <w:t xml:space="preserve"> </w:t>
      </w:r>
      <w:r>
        <w:t>which they must list the ECPs with whom they have contracted to provide health care services to</w:t>
      </w:r>
      <w:r>
        <w:rPr>
          <w:spacing w:val="1"/>
        </w:rPr>
        <w:t xml:space="preserve"> </w:t>
      </w:r>
      <w:r>
        <w:t>low-income,</w:t>
      </w:r>
      <w:r>
        <w:rPr>
          <w:spacing w:val="-2"/>
        </w:rPr>
        <w:t xml:space="preserve"> </w:t>
      </w:r>
      <w:r>
        <w:t>medically</w:t>
      </w:r>
      <w:r>
        <w:rPr>
          <w:spacing w:val="-2"/>
        </w:rPr>
        <w:t xml:space="preserve"> </w:t>
      </w:r>
      <w:r>
        <w:t>underserved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service areas.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Issuer</w:t>
      </w:r>
      <w:r>
        <w:rPr>
          <w:spacing w:val="-3"/>
        </w:rPr>
        <w:t xml:space="preserve"> </w:t>
      </w:r>
      <w:r>
        <w:t>Module,</w:t>
      </w:r>
      <w:r>
        <w:rPr>
          <w:spacing w:val="-2"/>
        </w:rPr>
        <w:t xml:space="preserve"> </w:t>
      </w:r>
      <w:r>
        <w:t>issuers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attest to meeting each</w:t>
      </w:r>
      <w:r>
        <w:rPr>
          <w:spacing w:val="1"/>
        </w:rPr>
        <w:t xml:space="preserve"> </w:t>
      </w:r>
      <w:r>
        <w:t>element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ECP standard.</w:t>
      </w:r>
    </w:p>
    <w:p w:rsidR="003C462E" w:rsidRDefault="003C462E">
      <w:pPr>
        <w:pStyle w:val="BodyText"/>
        <w:spacing w:before="7"/>
        <w:rPr>
          <w:sz w:val="25"/>
        </w:rPr>
      </w:pPr>
    </w:p>
    <w:p w:rsidR="003C462E" w:rsidRDefault="0064090C">
      <w:pPr>
        <w:pStyle w:val="BodyText"/>
        <w:spacing w:before="1" w:line="247" w:lineRule="auto"/>
        <w:ind w:left="120" w:right="170"/>
      </w:pPr>
      <w:r>
        <w:t>In accordance with section 1311(c)(1)(B) of the ACA, QHP issuers, including SADP issuers, are</w:t>
      </w:r>
      <w:r>
        <w:rPr>
          <w:spacing w:val="1"/>
        </w:rPr>
        <w:t xml:space="preserve"> </w:t>
      </w:r>
      <w:r>
        <w:t>re</w:t>
      </w:r>
      <w:r>
        <w:t>quired to ensure a sufficient choice of providers (in a manner consistent with the applicable</w:t>
      </w:r>
      <w:r>
        <w:rPr>
          <w:spacing w:val="1"/>
        </w:rPr>
        <w:t xml:space="preserve"> </w:t>
      </w:r>
      <w:r>
        <w:t>provisions under section 2702(c) of the Public Health Service Act). Issuers must also provide</w:t>
      </w:r>
      <w:r>
        <w:rPr>
          <w:spacing w:val="1"/>
        </w:rPr>
        <w:t xml:space="preserve"> </w:t>
      </w:r>
      <w:r>
        <w:t>information to current and prospective enrollees on the availability</w:t>
      </w:r>
      <w:r>
        <w:t xml:space="preserve"> of in-network and out-of-</w:t>
      </w:r>
      <w:r>
        <w:rPr>
          <w:spacing w:val="1"/>
        </w:rPr>
        <w:t xml:space="preserve"> </w:t>
      </w:r>
      <w:r>
        <w:t>network providers. Under CFR 156.230, QHPs that use a provider network must ensure that the</w:t>
      </w:r>
      <w:r>
        <w:rPr>
          <w:spacing w:val="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providers,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providers that</w:t>
      </w:r>
      <w:r>
        <w:rPr>
          <w:spacing w:val="-1"/>
        </w:rPr>
        <w:t xml:space="preserve"> </w:t>
      </w:r>
      <w:r>
        <w:t>specialize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mental</w:t>
      </w:r>
      <w:r>
        <w:rPr>
          <w:spacing w:val="-57"/>
        </w:rPr>
        <w:t xml:space="preserve"> </w:t>
      </w:r>
      <w:r>
        <w:t>health and substance use disorder s</w:t>
      </w:r>
      <w:r>
        <w:t>ervices, to assure that all services will be accessible without</w:t>
      </w:r>
      <w:r>
        <w:rPr>
          <w:spacing w:val="1"/>
        </w:rPr>
        <w:t xml:space="preserve"> </w:t>
      </w:r>
      <w:r>
        <w:t>unreasonable</w:t>
      </w:r>
      <w:r>
        <w:rPr>
          <w:spacing w:val="-2"/>
        </w:rPr>
        <w:t xml:space="preserve"> </w:t>
      </w:r>
      <w:r>
        <w:t>delay.</w:t>
      </w:r>
    </w:p>
    <w:p w:rsidR="003C462E" w:rsidRDefault="003C462E">
      <w:pPr>
        <w:pStyle w:val="BodyText"/>
        <w:spacing w:before="8"/>
        <w:rPr>
          <w:sz w:val="25"/>
        </w:rPr>
      </w:pPr>
    </w:p>
    <w:p w:rsidR="003C462E" w:rsidRDefault="0064090C">
      <w:pPr>
        <w:pStyle w:val="BodyText"/>
        <w:spacing w:line="247" w:lineRule="auto"/>
        <w:ind w:left="120" w:right="143"/>
      </w:pPr>
      <w:r>
        <w:t>To satisfy these requirements for network adequacy and reasonable access to providers, medical</w:t>
      </w:r>
      <w:r>
        <w:rPr>
          <w:spacing w:val="1"/>
        </w:rPr>
        <w:t xml:space="preserve"> </w:t>
      </w:r>
      <w:r>
        <w:t>QHP and SADP issuers must complete the network adequacy portions of the ECP/</w:t>
      </w:r>
      <w:r>
        <w:t>NA template.</w:t>
      </w:r>
      <w:r>
        <w:rPr>
          <w:spacing w:val="1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contracted,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provider’s</w:t>
      </w:r>
      <w:r>
        <w:rPr>
          <w:spacing w:val="-1"/>
        </w:rPr>
        <w:t xml:space="preserve"> </w:t>
      </w:r>
      <w:r>
        <w:t>specialty</w:t>
      </w:r>
      <w:r>
        <w:rPr>
          <w:spacing w:val="-57"/>
        </w:rPr>
        <w:t xml:space="preserve"> </w:t>
      </w:r>
      <w:r>
        <w:t>type and whether they offer telehealth services. This information in the ECP/NA template will be</w:t>
      </w:r>
      <w:r>
        <w:rPr>
          <w:spacing w:val="1"/>
        </w:rPr>
        <w:t xml:space="preserve"> </w:t>
      </w:r>
      <w:r>
        <w:t>used to determine if an issuer satisfies the network adequacy time and distance standards. In the</w:t>
      </w:r>
      <w:r>
        <w:rPr>
          <w:spacing w:val="1"/>
        </w:rPr>
        <w:t xml:space="preserve"> </w:t>
      </w:r>
      <w:r>
        <w:t>Issuer Module, issuers will also have to attest to meeting each element of the network adequacy</w:t>
      </w:r>
      <w:r>
        <w:rPr>
          <w:spacing w:val="1"/>
        </w:rPr>
        <w:t xml:space="preserve"> </w:t>
      </w:r>
      <w:r>
        <w:t>standard,</w:t>
      </w:r>
      <w:r>
        <w:rPr>
          <w:spacing w:val="-1"/>
        </w:rPr>
        <w:t xml:space="preserve"> </w:t>
      </w:r>
      <w:r>
        <w:t>including appointment wait times.</w:t>
      </w:r>
    </w:p>
    <w:p w:rsidR="003C462E" w:rsidRDefault="003C462E">
      <w:pPr>
        <w:pStyle w:val="BodyText"/>
        <w:spacing w:before="8"/>
        <w:rPr>
          <w:sz w:val="25"/>
        </w:rPr>
      </w:pPr>
    </w:p>
    <w:p w:rsidR="003C462E" w:rsidRDefault="0064090C">
      <w:pPr>
        <w:pStyle w:val="BodyText"/>
        <w:spacing w:line="247" w:lineRule="auto"/>
        <w:ind w:left="115" w:right="241" w:hanging="10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(ICR)</w:t>
      </w:r>
      <w:r>
        <w:rPr>
          <w:spacing w:val="-2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 (HHS) 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</w:t>
      </w:r>
    </w:p>
    <w:p w:rsidR="003C462E" w:rsidRDefault="003C462E">
      <w:pPr>
        <w:spacing w:line="247" w:lineRule="auto"/>
        <w:sectPr w:rsidR="003C462E">
          <w:footerReference w:type="default" r:id="rId7"/>
          <w:type w:val="continuous"/>
          <w:pgSz w:w="12240" w:h="15840"/>
          <w:pgMar w:top="1380" w:right="1040" w:bottom="960" w:left="1320" w:header="720" w:footer="767" w:gutter="0"/>
          <w:pgNumType w:start="1"/>
          <w:cols w:space="720"/>
        </w:sectPr>
      </w:pPr>
    </w:p>
    <w:p w:rsidR="003C462E" w:rsidRDefault="0064090C">
      <w:pPr>
        <w:pStyle w:val="BodyText"/>
        <w:spacing w:before="79" w:line="247" w:lineRule="auto"/>
        <w:ind w:left="115" w:right="143"/>
      </w:pPr>
      <w:r>
        <w:lastRenderedPageBreak/>
        <w:t>Parameters for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(2023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Notice).</w:t>
      </w:r>
      <w:r>
        <w:rPr>
          <w:spacing w:val="-2"/>
        </w:rPr>
        <w:t xml:space="preserve"> </w:t>
      </w:r>
      <w:r>
        <w:t>This ICR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associated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collecting</w:t>
      </w:r>
      <w:r>
        <w:rPr>
          <w:spacing w:val="-1"/>
        </w:rPr>
        <w:t xml:space="preserve"> </w:t>
      </w:r>
      <w:r>
        <w:t>and reviewing</w:t>
      </w:r>
      <w:r>
        <w:rPr>
          <w:spacing w:val="-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community provider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network adequacy</w:t>
      </w:r>
      <w:r>
        <w:rPr>
          <w:spacing w:val="-1"/>
        </w:rPr>
        <w:t xml:space="preserve"> </w:t>
      </w:r>
      <w:r>
        <w:t>data.</w:t>
      </w:r>
    </w:p>
    <w:p w:rsidR="003C462E" w:rsidRDefault="003C462E">
      <w:pPr>
        <w:pStyle w:val="BodyText"/>
        <w:spacing w:before="3"/>
        <w:rPr>
          <w:sz w:val="26"/>
        </w:rPr>
      </w:pPr>
    </w:p>
    <w:p w:rsidR="003C462E" w:rsidRDefault="0064090C">
      <w:pPr>
        <w:pStyle w:val="Heading1"/>
        <w:numPr>
          <w:ilvl w:val="0"/>
          <w:numId w:val="2"/>
        </w:numPr>
        <w:tabs>
          <w:tab w:val="left" w:pos="507"/>
        </w:tabs>
        <w:spacing w:before="1"/>
        <w:ind w:left="506" w:hanging="402"/>
      </w:pPr>
      <w:r>
        <w:rPr>
          <w:u w:val="thick"/>
        </w:rPr>
        <w:t>Justification</w:t>
      </w:r>
    </w:p>
    <w:p w:rsidR="003C462E" w:rsidRDefault="003C462E">
      <w:pPr>
        <w:pStyle w:val="BodyText"/>
        <w:spacing w:before="10"/>
        <w:rPr>
          <w:b/>
          <w:sz w:val="19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spacing w:before="90"/>
        <w:rPr>
          <w:sz w:val="24"/>
        </w:rPr>
      </w:pPr>
      <w:r>
        <w:rPr>
          <w:sz w:val="24"/>
          <w:u w:val="single"/>
        </w:rPr>
        <w:t>Need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Basis</w:t>
      </w:r>
    </w:p>
    <w:p w:rsidR="003C462E" w:rsidRDefault="003C462E">
      <w:pPr>
        <w:pStyle w:val="BodyText"/>
        <w:rPr>
          <w:sz w:val="20"/>
        </w:rPr>
      </w:pPr>
    </w:p>
    <w:p w:rsidR="003C462E" w:rsidRDefault="0064090C">
      <w:pPr>
        <w:pStyle w:val="BodyText"/>
        <w:spacing w:before="90" w:line="259" w:lineRule="auto"/>
        <w:ind w:left="120" w:right="422"/>
      </w:pPr>
      <w:r>
        <w:t>Standards for ECP requirements are codified at 45 CFR 156.235 and the network adequacy</w:t>
      </w:r>
      <w:r>
        <w:rPr>
          <w:spacing w:val="1"/>
        </w:rPr>
        <w:t xml:space="preserve"> </w:t>
      </w:r>
      <w:r>
        <w:t>requirements are codified at 45 CFR 156.230. HHS will collect the following data elements from</w:t>
      </w:r>
      <w:r>
        <w:rPr>
          <w:spacing w:val="-57"/>
        </w:rPr>
        <w:t xml:space="preserve"> </w:t>
      </w:r>
      <w:r>
        <w:t>issuers. The ECP/NA template is provided in Appendix A and the Issuer Modu</w:t>
      </w:r>
      <w:r>
        <w:t>le Mockup is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 Appendix B.</w:t>
      </w:r>
    </w:p>
    <w:p w:rsidR="003C462E" w:rsidRDefault="003C462E">
      <w:pPr>
        <w:pStyle w:val="BodyText"/>
        <w:spacing w:before="9"/>
        <w:rPr>
          <w:sz w:val="25"/>
        </w:rPr>
      </w:pPr>
    </w:p>
    <w:p w:rsidR="003C462E" w:rsidRDefault="0064090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line="247" w:lineRule="auto"/>
        <w:ind w:left="839" w:right="164"/>
        <w:rPr>
          <w:sz w:val="24"/>
        </w:rPr>
      </w:pPr>
      <w:r>
        <w:rPr>
          <w:b/>
          <w:sz w:val="24"/>
        </w:rPr>
        <w:t xml:space="preserve">Essential Community Provider and Network Adequacy Data Elements: </w:t>
      </w:r>
      <w:r>
        <w:rPr>
          <w:sz w:val="24"/>
        </w:rPr>
        <w:t>Issuers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 provider information and geographic location of ECPs participating in an issuer's</w:t>
      </w:r>
      <w:r>
        <w:rPr>
          <w:spacing w:val="1"/>
          <w:sz w:val="24"/>
        </w:rPr>
        <w:t xml:space="preserve"> </w:t>
      </w:r>
      <w:r>
        <w:rPr>
          <w:sz w:val="24"/>
        </w:rPr>
        <w:t>provider network to demonstrate that an issuer has a sufficient number and geographic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 of ECPs that serve predominantly low-income, medically underserved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in accordance with ECP inclusion requirements found at 45 CFR 156.235.</w:t>
      </w:r>
      <w:r>
        <w:rPr>
          <w:spacing w:val="1"/>
          <w:sz w:val="24"/>
        </w:rPr>
        <w:t xml:space="preserve"> </w:t>
      </w:r>
      <w:r>
        <w:rPr>
          <w:sz w:val="24"/>
        </w:rPr>
        <w:t>Additio</w:t>
      </w:r>
      <w:r>
        <w:rPr>
          <w:sz w:val="24"/>
        </w:rPr>
        <w:t>nally, issuers must collect and submit provider information necessary to demonstrate</w:t>
      </w:r>
      <w:r>
        <w:rPr>
          <w:spacing w:val="-57"/>
          <w:sz w:val="24"/>
        </w:rPr>
        <w:t xml:space="preserve"> </w:t>
      </w:r>
      <w:r>
        <w:rPr>
          <w:sz w:val="24"/>
        </w:rPr>
        <w:t>an issuer’s satisfaction of time and distance standards. Issuers must collect provider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necessary to attest to meeting appointment wait time standards. These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llections and submissions are to ensure that an issuer’s network has fulfilled the network</w:t>
      </w:r>
      <w:r>
        <w:rPr>
          <w:spacing w:val="1"/>
          <w:sz w:val="24"/>
        </w:rPr>
        <w:t xml:space="preserve"> </w:t>
      </w:r>
      <w:r>
        <w:rPr>
          <w:sz w:val="24"/>
        </w:rPr>
        <w:t>adequacy reasonable access standard found at 45 CFR 156.230. This information includes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provider’s geographic location and specialty and should only be collected </w:t>
      </w:r>
      <w:r>
        <w:rPr>
          <w:sz w:val="24"/>
        </w:rPr>
        <w:t>and submitted</w:t>
      </w:r>
      <w:r>
        <w:rPr>
          <w:spacing w:val="-57"/>
          <w:sz w:val="24"/>
        </w:rPr>
        <w:t xml:space="preserve"> </w:t>
      </w:r>
      <w:r>
        <w:rPr>
          <w:sz w:val="24"/>
        </w:rPr>
        <w:t>for in-network providers. An issuer must report the offering of telehealth services for each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provider participating in its network to help inform future 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network adequacy standards. This requirement does not apply to </w:t>
      </w:r>
      <w:r>
        <w:rPr>
          <w:sz w:val="24"/>
        </w:rPr>
        <w:t>facilities. If an issuer does</w:t>
      </w:r>
      <w:r>
        <w:rPr>
          <w:spacing w:val="1"/>
          <w:sz w:val="24"/>
        </w:rPr>
        <w:t xml:space="preserve"> </w:t>
      </w:r>
      <w:r>
        <w:rPr>
          <w:sz w:val="24"/>
        </w:rPr>
        <w:t>not meet ECP standards, they must submit a completed ECP Justification Form to explain</w:t>
      </w:r>
      <w:r>
        <w:rPr>
          <w:spacing w:val="1"/>
          <w:sz w:val="24"/>
        </w:rPr>
        <w:t xml:space="preserve"> </w:t>
      </w:r>
      <w:r>
        <w:rPr>
          <w:sz w:val="24"/>
        </w:rPr>
        <w:t>how the plan will ensure a sufficient number of ECPs and geographic distribution of ECP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types. If an issuer does not meet network adequacy </w:t>
      </w:r>
      <w:r>
        <w:rPr>
          <w:sz w:val="24"/>
        </w:rPr>
        <w:t>standards, they must submit a completed</w:t>
      </w:r>
      <w:r>
        <w:rPr>
          <w:spacing w:val="-57"/>
          <w:sz w:val="24"/>
        </w:rPr>
        <w:t xml:space="preserve"> </w:t>
      </w:r>
      <w:r>
        <w:rPr>
          <w:sz w:val="24"/>
        </w:rPr>
        <w:t>Network Adequacy Justification Form to explain how the plan will ensure reasonable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access to the provider specialty types included in the time and distance standards and</w:t>
      </w:r>
      <w:r>
        <w:rPr>
          <w:spacing w:val="-57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wait time</w:t>
      </w:r>
      <w:r>
        <w:rPr>
          <w:spacing w:val="-1"/>
          <w:sz w:val="24"/>
        </w:rPr>
        <w:t xml:space="preserve"> </w:t>
      </w:r>
      <w:r>
        <w:rPr>
          <w:sz w:val="24"/>
        </w:rPr>
        <w:t>standards.</w:t>
      </w:r>
    </w:p>
    <w:p w:rsidR="003C462E" w:rsidRDefault="003C462E">
      <w:pPr>
        <w:pStyle w:val="BodyText"/>
        <w:spacing w:before="7"/>
        <w:rPr>
          <w:sz w:val="27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2._Information_Users" w:id="1"/>
      <w:bookmarkEnd w:id="1"/>
      <w:r>
        <w:rPr>
          <w:sz w:val="24"/>
          <w:u w:val="single"/>
        </w:rPr>
        <w:t>I</w:t>
      </w:r>
      <w:r>
        <w:rPr>
          <w:sz w:val="24"/>
          <w:u w:val="single"/>
        </w:rPr>
        <w:t>nformation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Users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 w:line="247" w:lineRule="auto"/>
        <w:ind w:left="115" w:right="272" w:hanging="10"/>
      </w:pPr>
      <w:r>
        <w:t>The Exchange collects plan- and issuer-level data from issuers to facilitate the certification and</w:t>
      </w:r>
      <w:r>
        <w:rPr>
          <w:spacing w:val="1"/>
        </w:rPr>
        <w:t xml:space="preserve"> </w:t>
      </w:r>
      <w:r>
        <w:t>recertification of QHPs, Exchange operations, other Federal operations, QHP oversight, and</w:t>
      </w:r>
      <w:r>
        <w:rPr>
          <w:spacing w:val="1"/>
        </w:rPr>
        <w:t xml:space="preserve"> </w:t>
      </w:r>
      <w:r>
        <w:t>ongoing market analysis. All of these data are l</w:t>
      </w:r>
      <w:r>
        <w:t>everaged across multiple business areas in the</w:t>
      </w:r>
      <w:r>
        <w:rPr>
          <w:spacing w:val="1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comparisons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various payment activities, such as determination of the second lowest cost silver plan, APTCs, or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adjustment.</w:t>
      </w:r>
    </w:p>
    <w:p w:rsidR="003C462E" w:rsidRDefault="003C462E">
      <w:pPr>
        <w:pStyle w:val="BodyText"/>
        <w:spacing w:before="6"/>
        <w:rPr>
          <w:sz w:val="26"/>
        </w:rPr>
      </w:pPr>
    </w:p>
    <w:p w:rsidR="003C462E" w:rsidRDefault="0064090C">
      <w:pPr>
        <w:pStyle w:val="BodyText"/>
        <w:spacing w:line="259" w:lineRule="auto"/>
        <w:ind w:left="119" w:right="143"/>
      </w:pPr>
      <w:r>
        <w:t>HHS</w:t>
      </w:r>
      <w:r>
        <w:rPr>
          <w:spacing w:val="-2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ECP/NA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ECP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adequacy</w:t>
      </w:r>
      <w:r>
        <w:rPr>
          <w:spacing w:val="-1"/>
        </w:rPr>
        <w:t xml:space="preserve"> </w:t>
      </w:r>
      <w:r>
        <w:t>standards. If</w:t>
      </w:r>
      <w:r>
        <w:rPr>
          <w:spacing w:val="-2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standards,</w:t>
      </w:r>
      <w:r>
        <w:rPr>
          <w:spacing w:val="-1"/>
        </w:rPr>
        <w:t xml:space="preserve"> </w:t>
      </w:r>
      <w:r>
        <w:t>HHS</w:t>
      </w:r>
      <w:r>
        <w:rPr>
          <w:spacing w:val="-2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</w:p>
    <w:p w:rsidR="003C462E" w:rsidRDefault="003C462E">
      <w:pPr>
        <w:spacing w:line="259" w:lineRule="auto"/>
        <w:sectPr w:rsidR="003C462E">
          <w:pgSz w:w="12240" w:h="15840"/>
          <w:pgMar w:top="1360" w:right="1040" w:bottom="960" w:left="1320" w:header="0" w:footer="767" w:gutter="0"/>
          <w:cols w:space="720"/>
        </w:sectPr>
      </w:pPr>
    </w:p>
    <w:p w:rsidR="003C462E" w:rsidRDefault="0064090C">
      <w:pPr>
        <w:pStyle w:val="BodyText"/>
        <w:spacing w:before="79" w:line="259" w:lineRule="auto"/>
        <w:ind w:left="119" w:right="343"/>
      </w:pPr>
      <w:r>
        <w:lastRenderedPageBreak/>
        <w:t>the ECP/NA template to provide technical assistance to the issuer, which can include identifying</w:t>
      </w:r>
      <w:r>
        <w:rPr>
          <w:spacing w:val="1"/>
        </w:rPr>
        <w:t xml:space="preserve"> </w:t>
      </w:r>
      <w:r>
        <w:t>potential areas for improvement. Issuers also can use the information collected in the ECP/NA</w:t>
      </w:r>
      <w:r>
        <w:rPr>
          <w:spacing w:val="1"/>
        </w:rPr>
        <w:t xml:space="preserve"> </w:t>
      </w:r>
      <w:r>
        <w:t xml:space="preserve">template to assess their alignment with ECP and network adequacy </w:t>
      </w:r>
      <w:r>
        <w:t>standards. Issuers can use the</w:t>
      </w:r>
      <w:r>
        <w:rPr>
          <w:spacing w:val="1"/>
        </w:rPr>
        <w:t xml:space="preserve"> </w:t>
      </w:r>
      <w:r>
        <w:t>ECP Tool to calculate if they meet the ECP standards by running it on the completed ECP/NA</w:t>
      </w:r>
      <w:r>
        <w:rPr>
          <w:spacing w:val="1"/>
        </w:rPr>
        <w:t xml:space="preserve"> </w:t>
      </w:r>
      <w:r>
        <w:t>template. It is critical to collect the provider data on the ECP/NA template so that HHS can assess</w:t>
      </w:r>
      <w:r>
        <w:rPr>
          <w:spacing w:val="-58"/>
        </w:rPr>
        <w:t xml:space="preserve"> </w:t>
      </w:r>
      <w:r>
        <w:t>compliance with network adequacy a</w:t>
      </w:r>
      <w:r>
        <w:t>nd ECP standards to ensure that QHP enrollees have</w:t>
      </w:r>
      <w:r>
        <w:rPr>
          <w:spacing w:val="1"/>
        </w:rPr>
        <w:t xml:space="preserve"> </w:t>
      </w:r>
      <w:r>
        <w:t>reasonable, timely access to a sufficient number and types of providers, including ECPs, to meet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needs.</w:t>
      </w:r>
    </w:p>
    <w:p w:rsidR="003C462E" w:rsidRDefault="003C462E">
      <w:pPr>
        <w:pStyle w:val="BodyText"/>
        <w:spacing w:before="8"/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3._Use_of_Information_Technology" w:id="2"/>
      <w:bookmarkEnd w:id="2"/>
      <w:r>
        <w:rPr>
          <w:sz w:val="24"/>
          <w:u w:val="single"/>
        </w:rPr>
        <w:t>Use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Technology</w:t>
      </w:r>
    </w:p>
    <w:p w:rsidR="003C462E" w:rsidRDefault="003C462E">
      <w:pPr>
        <w:pStyle w:val="BodyText"/>
        <w:spacing w:before="2"/>
        <w:rPr>
          <w:sz w:val="20"/>
        </w:rPr>
      </w:pPr>
    </w:p>
    <w:p w:rsidR="003C462E" w:rsidRDefault="0064090C">
      <w:pPr>
        <w:pStyle w:val="BodyText"/>
        <w:spacing w:before="90" w:line="247" w:lineRule="auto"/>
        <w:ind w:left="115" w:right="143" w:hanging="10"/>
      </w:pPr>
      <w:r>
        <w:t>HHS has engaged and continues to engage with states</w:t>
      </w:r>
      <w:r>
        <w:t>, issuers, and the National Association of</w:t>
      </w:r>
      <w:r>
        <w:rPr>
          <w:spacing w:val="1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Commissioners</w:t>
      </w:r>
      <w:r>
        <w:rPr>
          <w:spacing w:val="-2"/>
        </w:rPr>
        <w:t xml:space="preserve"> </w:t>
      </w:r>
      <w:r>
        <w:t>(NAIC)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to develop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QHP</w:t>
      </w:r>
      <w:r>
        <w:rPr>
          <w:spacing w:val="-2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risk</w:t>
      </w:r>
      <w:r>
        <w:rPr>
          <w:spacing w:val="-57"/>
        </w:rPr>
        <w:t xml:space="preserve"> </w:t>
      </w:r>
      <w:r>
        <w:t>adjustment, and other plan management activities, including ECP and network adequacy standards,</w:t>
      </w:r>
      <w:r>
        <w:rPr>
          <w:spacing w:val="-57"/>
        </w:rPr>
        <w:t xml:space="preserve"> </w:t>
      </w:r>
      <w:r>
        <w:t>that would make re</w:t>
      </w:r>
      <w:r>
        <w:t>porting to the Exchanges more streamlined for issuers across the country, and</w:t>
      </w:r>
      <w:r>
        <w:rPr>
          <w:spacing w:val="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standardized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spacing w:val="-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possible.</w:t>
      </w:r>
    </w:p>
    <w:p w:rsidR="003C462E" w:rsidRDefault="003C462E">
      <w:pPr>
        <w:pStyle w:val="BodyText"/>
        <w:spacing w:before="5"/>
        <w:rPr>
          <w:sz w:val="25"/>
        </w:rPr>
      </w:pPr>
    </w:p>
    <w:p w:rsidR="003C462E" w:rsidRDefault="0064090C">
      <w:pPr>
        <w:pStyle w:val="BodyText"/>
        <w:spacing w:line="247" w:lineRule="auto"/>
        <w:ind w:left="115" w:right="161" w:hanging="10"/>
      </w:pPr>
      <w:r>
        <w:t>HHS has updated the ECP/NA template and justification forms to reduce issuer burden where</w:t>
      </w:r>
      <w:r>
        <w:rPr>
          <w:spacing w:val="1"/>
        </w:rPr>
        <w:t xml:space="preserve"> </w:t>
      </w:r>
      <w:r>
        <w:t>possible. The template includes additional validations, which generate error messages that provide</w:t>
      </w:r>
      <w:r>
        <w:rPr>
          <w:spacing w:val="1"/>
        </w:rPr>
        <w:t xml:space="preserve"> </w:t>
      </w:r>
      <w:r>
        <w:t>guidance to the issuer on how to resolve any identified errors or i</w:t>
      </w:r>
      <w:r>
        <w:t>ncomplete data fields to assist the</w:t>
      </w:r>
      <w:r>
        <w:rPr>
          <w:spacing w:val="1"/>
        </w:rPr>
        <w:t xml:space="preserve"> </w:t>
      </w:r>
      <w:r>
        <w:t>issuer with validating and submitting the template to HHS. The ECP List is also embedded within</w:t>
      </w:r>
      <w:r>
        <w:rPr>
          <w:spacing w:val="1"/>
        </w:rPr>
        <w:t xml:space="preserve"> </w:t>
      </w:r>
      <w:r>
        <w:t>the ECP/NA template, which reduces issuer burden since they can select ECPs from the list, rather</w:t>
      </w:r>
      <w:r>
        <w:rPr>
          <w:spacing w:val="1"/>
        </w:rPr>
        <w:t xml:space="preserve"> </w:t>
      </w:r>
      <w:r>
        <w:t xml:space="preserve">than the issuer having to </w:t>
      </w:r>
      <w:r>
        <w:t>collect the provider data themselves. The ECP/NA template is also</w:t>
      </w:r>
      <w:r>
        <w:rPr>
          <w:spacing w:val="1"/>
        </w:rPr>
        <w:t xml:space="preserve"> </w:t>
      </w:r>
      <w:r>
        <w:t>programmed to auto-populate the majority of the ECP data for the issuer once the issuer has</w:t>
      </w:r>
      <w:r>
        <w:rPr>
          <w:spacing w:val="1"/>
        </w:rPr>
        <w:t xml:space="preserve"> </w:t>
      </w:r>
      <w:r>
        <w:t>selected the providers with whom they contract from the ECP List that is embedded within the</w:t>
      </w:r>
      <w:r>
        <w:rPr>
          <w:spacing w:val="1"/>
        </w:rPr>
        <w:t xml:space="preserve"> </w:t>
      </w:r>
      <w:r>
        <w:t>templ</w:t>
      </w:r>
      <w:r>
        <w:t>ate. HHS has updated the ECP Justification Form so there are four versions depending on</w:t>
      </w:r>
      <w:r>
        <w:rPr>
          <w:spacing w:val="1"/>
        </w:rPr>
        <w:t xml:space="preserve"> </w:t>
      </w:r>
      <w:r>
        <w:t>whether the issuer is a general standard or alternate standard issuer and whether it is a medical QHP</w:t>
      </w:r>
      <w:r>
        <w:rPr>
          <w:spacing w:val="-58"/>
        </w:rPr>
        <w:t xml:space="preserve"> </w:t>
      </w:r>
      <w:r>
        <w:t xml:space="preserve">or SADP. Since there is now a specific ECP Justification Form for </w:t>
      </w:r>
      <w:r>
        <w:t>each issuer type, the questions</w:t>
      </w:r>
      <w:r>
        <w:rPr>
          <w:spacing w:val="1"/>
        </w:rPr>
        <w:t xml:space="preserve"> </w:t>
      </w:r>
      <w:r>
        <w:t>are tailored to that issuer type, thereby increasing clarity for which questions apply to which issuer</w:t>
      </w:r>
      <w:r>
        <w:rPr>
          <w:spacing w:val="1"/>
        </w:rPr>
        <w:t xml:space="preserve"> </w:t>
      </w:r>
      <w:r>
        <w:t>types, and reducing issuer burden. Issuers will receive a pre-populated Network Adequacy</w:t>
      </w:r>
      <w:r>
        <w:rPr>
          <w:spacing w:val="1"/>
        </w:rPr>
        <w:t xml:space="preserve"> </w:t>
      </w:r>
      <w:r>
        <w:t>Justification Form for any defic</w:t>
      </w:r>
      <w:r>
        <w:t>iencies via the PM Community, and can pre-populate an ECP</w:t>
      </w:r>
      <w:r>
        <w:rPr>
          <w:spacing w:val="1"/>
        </w:rPr>
        <w:t xml:space="preserve"> </w:t>
      </w:r>
      <w:r>
        <w:t>Justification</w:t>
      </w:r>
      <w:r>
        <w:rPr>
          <w:spacing w:val="-1"/>
        </w:rPr>
        <w:t xml:space="preserve"> </w:t>
      </w:r>
      <w:r>
        <w:t>Form 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ECP Tool.</w:t>
      </w:r>
      <w:r>
        <w:rPr>
          <w:spacing w:val="-1"/>
        </w:rPr>
        <w:t xml:space="preserve"> </w:t>
      </w:r>
      <w:r>
        <w:t>This will further</w:t>
      </w:r>
      <w:r>
        <w:rPr>
          <w:spacing w:val="-2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issuer</w:t>
      </w:r>
      <w:r>
        <w:rPr>
          <w:spacing w:val="-1"/>
        </w:rPr>
        <w:t xml:space="preserve"> </w:t>
      </w:r>
      <w:r>
        <w:t>burden.</w:t>
      </w:r>
    </w:p>
    <w:p w:rsidR="003C462E" w:rsidRDefault="003C462E">
      <w:pPr>
        <w:pStyle w:val="BodyText"/>
        <w:spacing w:before="2"/>
        <w:rPr>
          <w:sz w:val="27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4._Duplication_of_Efforts" w:id="3"/>
      <w:bookmarkEnd w:id="3"/>
      <w:r>
        <w:rPr>
          <w:sz w:val="24"/>
          <w:u w:val="single"/>
        </w:rPr>
        <w:t>Duplication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Efforts</w:t>
      </w:r>
    </w:p>
    <w:p w:rsidR="003C462E" w:rsidRDefault="003C462E">
      <w:pPr>
        <w:pStyle w:val="BodyText"/>
        <w:spacing w:before="2"/>
        <w:rPr>
          <w:sz w:val="20"/>
        </w:rPr>
      </w:pPr>
    </w:p>
    <w:p w:rsidR="003C462E" w:rsidRDefault="0064090C">
      <w:pPr>
        <w:pStyle w:val="BodyText"/>
        <w:spacing w:before="90"/>
        <w:ind w:left="120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effort.</w:t>
      </w:r>
    </w:p>
    <w:p w:rsidR="003C462E" w:rsidRDefault="003C462E">
      <w:pPr>
        <w:pStyle w:val="BodyText"/>
        <w:spacing w:before="8"/>
        <w:rPr>
          <w:sz w:val="27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spacing w:before="1"/>
        <w:rPr>
          <w:sz w:val="24"/>
        </w:rPr>
      </w:pPr>
      <w:r>
        <w:rPr>
          <w:sz w:val="24"/>
          <w:u w:val="single"/>
        </w:rPr>
        <w:t>Small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3C462E" w:rsidRDefault="003C462E">
      <w:pPr>
        <w:pStyle w:val="BodyText"/>
        <w:spacing w:before="10"/>
        <w:rPr>
          <w:sz w:val="19"/>
        </w:rPr>
      </w:pPr>
    </w:p>
    <w:p w:rsidR="003C462E" w:rsidRDefault="0064090C">
      <w:pPr>
        <w:pStyle w:val="BodyText"/>
        <w:spacing w:before="90"/>
        <w:ind w:left="105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businesses.</w:t>
      </w:r>
    </w:p>
    <w:p w:rsidR="003C462E" w:rsidRDefault="003C462E">
      <w:pPr>
        <w:pStyle w:val="BodyText"/>
        <w:spacing w:before="11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6._Less_Frequent_Collection" w:id="4"/>
      <w:bookmarkEnd w:id="4"/>
      <w:r>
        <w:rPr>
          <w:sz w:val="24"/>
          <w:u w:val="single"/>
        </w:rPr>
        <w:t>Less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</w:p>
    <w:p w:rsidR="003C462E" w:rsidRDefault="003C462E">
      <w:pPr>
        <w:rPr>
          <w:sz w:val="24"/>
        </w:rPr>
        <w:sectPr w:rsidR="003C462E">
          <w:pgSz w:w="12240" w:h="15840"/>
          <w:pgMar w:top="1360" w:right="1040" w:bottom="960" w:left="1320" w:header="0" w:footer="767" w:gutter="0"/>
          <w:cols w:space="720"/>
        </w:sectPr>
      </w:pPr>
    </w:p>
    <w:p w:rsidR="003C462E" w:rsidRDefault="0064090C">
      <w:pPr>
        <w:pStyle w:val="BodyText"/>
        <w:spacing w:before="79" w:line="247" w:lineRule="auto"/>
        <w:ind w:left="115" w:right="143" w:hanging="10"/>
      </w:pPr>
      <w:r>
        <w:lastRenderedPageBreak/>
        <w:t>QHPs will be certified utilizing an annual certification process. We will continue to reassess the</w:t>
      </w:r>
      <w:r>
        <w:rPr>
          <w:spacing w:val="1"/>
        </w:rPr>
        <w:t xml:space="preserve"> </w:t>
      </w:r>
      <w:r>
        <w:t>certification and recertification</w:t>
      </w:r>
      <w:r>
        <w:t xml:space="preserve"> burden and make every effort to minimize burden as much as</w:t>
      </w:r>
      <w:r>
        <w:rPr>
          <w:spacing w:val="1"/>
        </w:rPr>
        <w:t xml:space="preserve"> </w:t>
      </w:r>
      <w:r>
        <w:t>possible in the future. Since provider information and provider contracts with issuers change on an</w:t>
      </w:r>
      <w:r>
        <w:rPr>
          <w:spacing w:val="1"/>
        </w:rPr>
        <w:t xml:space="preserve"> </w:t>
      </w:r>
      <w:r>
        <w:t>ongoing basis, HHS requires QHP issuers to submit annually the provider information that impacts</w:t>
      </w:r>
      <w:r>
        <w:rPr>
          <w:spacing w:val="-57"/>
        </w:rPr>
        <w:t xml:space="preserve"> </w:t>
      </w:r>
      <w:r>
        <w:t>compliance with the ECP and network adequacy standards. It is important to collect ECP/NA</w:t>
      </w:r>
      <w:r>
        <w:rPr>
          <w:spacing w:val="1"/>
        </w:rPr>
        <w:t xml:space="preserve"> </w:t>
      </w:r>
      <w:r>
        <w:t>template data on an annual basis in order to ensure that QHPs being sold on the FFE meet the ACA</w:t>
      </w:r>
      <w:r>
        <w:rPr>
          <w:spacing w:val="-57"/>
        </w:rPr>
        <w:t xml:space="preserve"> </w:t>
      </w:r>
      <w:r>
        <w:t xml:space="preserve">requirements for ECP and network adequacy. If HHS were to institute </w:t>
      </w:r>
      <w:r>
        <w:t>less frequent collection of</w:t>
      </w:r>
      <w:r>
        <w:rPr>
          <w:spacing w:val="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QHP</w:t>
      </w:r>
      <w:r>
        <w:rPr>
          <w:spacing w:val="-1"/>
        </w:rPr>
        <w:t xml:space="preserve"> </w:t>
      </w:r>
      <w:r>
        <w:t>enrollees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ECPs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provider</w:t>
      </w:r>
      <w:r>
        <w:rPr>
          <w:spacing w:val="-57"/>
        </w:rPr>
        <w:t xml:space="preserve"> </w:t>
      </w:r>
      <w:r>
        <w:t>specialties</w:t>
      </w:r>
      <w:r>
        <w:rPr>
          <w:spacing w:val="-1"/>
        </w:rPr>
        <w:t xml:space="preserve"> </w:t>
      </w:r>
      <w:r>
        <w:t>to meet their</w:t>
      </w:r>
      <w:r>
        <w:rPr>
          <w:spacing w:val="-1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needs.</w:t>
      </w:r>
    </w:p>
    <w:p w:rsidR="003C462E" w:rsidRDefault="003C462E">
      <w:pPr>
        <w:pStyle w:val="BodyText"/>
        <w:spacing w:before="8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7._Special_Circumstances" w:id="5"/>
      <w:bookmarkEnd w:id="5"/>
      <w:r>
        <w:rPr>
          <w:sz w:val="24"/>
          <w:u w:val="single"/>
        </w:rPr>
        <w:t>Special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3C462E" w:rsidRDefault="003C462E">
      <w:pPr>
        <w:pStyle w:val="BodyText"/>
        <w:spacing w:before="1"/>
        <w:rPr>
          <w:sz w:val="20"/>
        </w:rPr>
      </w:pPr>
    </w:p>
    <w:p w:rsidR="003C462E" w:rsidRDefault="0064090C">
      <w:pPr>
        <w:spacing w:before="91"/>
        <w:ind w:left="120"/>
        <w:rPr>
          <w:sz w:val="23"/>
        </w:rPr>
      </w:pPr>
      <w:r>
        <w:rPr>
          <w:sz w:val="23"/>
        </w:rPr>
        <w:t>There</w:t>
      </w:r>
      <w:r>
        <w:rPr>
          <w:spacing w:val="-2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anticipated</w:t>
      </w:r>
      <w:r>
        <w:rPr>
          <w:spacing w:val="-2"/>
          <w:sz w:val="23"/>
        </w:rPr>
        <w:t xml:space="preserve"> </w:t>
      </w:r>
      <w:r>
        <w:rPr>
          <w:sz w:val="23"/>
        </w:rPr>
        <w:t>special</w:t>
      </w:r>
      <w:r>
        <w:rPr>
          <w:spacing w:val="-4"/>
          <w:sz w:val="23"/>
        </w:rPr>
        <w:t xml:space="preserve"> </w:t>
      </w:r>
      <w:r>
        <w:rPr>
          <w:sz w:val="23"/>
        </w:rPr>
        <w:t>circumstances.</w:t>
      </w:r>
    </w:p>
    <w:p w:rsidR="003C462E" w:rsidRDefault="003C462E">
      <w:pPr>
        <w:pStyle w:val="BodyText"/>
        <w:spacing w:before="8"/>
        <w:rPr>
          <w:sz w:val="27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bookmarkStart w:name="8._Federal_Register/Outside_Consultation" w:id="6"/>
      <w:bookmarkEnd w:id="6"/>
      <w:r>
        <w:rPr>
          <w:sz w:val="24"/>
          <w:u w:val="single"/>
        </w:rPr>
        <w:t>Federal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Register/Outside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Consultation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 w:line="259" w:lineRule="auto"/>
        <w:ind w:left="119" w:right="143"/>
      </w:pPr>
      <w:r>
        <w:t>A</w:t>
      </w:r>
      <w:r>
        <w:rPr>
          <w:spacing w:val="-3"/>
        </w:rPr>
        <w:t xml:space="preserve"> </w:t>
      </w:r>
      <w:r>
        <w:t>60-day</w:t>
      </w:r>
      <w:r>
        <w:rPr>
          <w:spacing w:val="-1"/>
        </w:rPr>
        <w:t xml:space="preserve"> </w:t>
      </w:r>
      <w:r>
        <w:t>notice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hd w:val="clear" w:color="auto" w:fill="FFFF00"/>
        </w:rPr>
        <w:t>XX/XX/20XX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57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comment on 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 requirements.</w:t>
      </w:r>
    </w:p>
    <w:p w:rsidR="003C462E" w:rsidRDefault="003C462E">
      <w:pPr>
        <w:pStyle w:val="BodyText"/>
        <w:spacing w:before="9"/>
        <w:rPr>
          <w:sz w:val="25"/>
        </w:rPr>
      </w:pPr>
    </w:p>
    <w:p w:rsidR="003C462E" w:rsidRDefault="0064090C">
      <w:pPr>
        <w:pStyle w:val="BodyText"/>
        <w:spacing w:line="247" w:lineRule="auto"/>
        <w:ind w:left="115" w:right="241" w:hanging="10"/>
      </w:pPr>
      <w:r>
        <w:t>The goal of this data collection is to inform the QHP certification and recertification process. HHS</w:t>
      </w:r>
      <w:r>
        <w:rPr>
          <w:spacing w:val="-57"/>
        </w:rPr>
        <w:t xml:space="preserve"> </w:t>
      </w:r>
      <w:r>
        <w:t>has also continued to receive extensive feedback from key stakeholders. This included discussions,</w:t>
      </w:r>
      <w:r>
        <w:rPr>
          <w:spacing w:val="-58"/>
        </w:rPr>
        <w:t xml:space="preserve"> </w:t>
      </w:r>
      <w:r>
        <w:t>such as question and answer sessions during webinars, st</w:t>
      </w:r>
      <w:r>
        <w:t>akeholder workgroups, and calls with the</w:t>
      </w:r>
      <w:r>
        <w:rPr>
          <w:spacing w:val="1"/>
        </w:rPr>
        <w:t xml:space="preserve"> </w:t>
      </w:r>
      <w:r>
        <w:t>NAIC, states, issuer associations, issuers, provider associations, and industry vendors on the data</w:t>
      </w:r>
      <w:r>
        <w:rPr>
          <w:spacing w:val="1"/>
        </w:rPr>
        <w:t xml:space="preserve"> </w:t>
      </w:r>
      <w:r>
        <w:t>elements and collection. It is the goal of HHS and stakeholders to identify shared data points and</w:t>
      </w:r>
      <w:r>
        <w:rPr>
          <w:spacing w:val="1"/>
        </w:rPr>
        <w:t xml:space="preserve"> </w:t>
      </w:r>
      <w:r>
        <w:t>improve the vali</w:t>
      </w:r>
      <w:r>
        <w:t>dity of such data. HHS will continue to work with states to minimize any required</w:t>
      </w:r>
      <w:r>
        <w:rPr>
          <w:spacing w:val="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submission to</w:t>
      </w:r>
      <w:r>
        <w:rPr>
          <w:spacing w:val="-3"/>
        </w:rPr>
        <w:t xml:space="preserve"> </w:t>
      </w:r>
      <w:r>
        <w:t>streamline</w:t>
      </w:r>
      <w:r>
        <w:rPr>
          <w:spacing w:val="-1"/>
        </w:rPr>
        <w:t xml:space="preserve"> </w:t>
      </w:r>
      <w:r>
        <w:t>and reduce</w:t>
      </w:r>
      <w:r>
        <w:rPr>
          <w:spacing w:val="-1"/>
        </w:rPr>
        <w:t xml:space="preserve"> </w:t>
      </w:r>
      <w:r>
        <w:t>duplication.</w:t>
      </w:r>
    </w:p>
    <w:p w:rsidR="003C462E" w:rsidRDefault="003C462E">
      <w:pPr>
        <w:pStyle w:val="BodyText"/>
        <w:spacing w:before="8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353"/>
        </w:tabs>
        <w:rPr>
          <w:sz w:val="24"/>
        </w:rPr>
      </w:pPr>
      <w:r>
        <w:rPr>
          <w:sz w:val="24"/>
          <w:u w:val="single"/>
        </w:rPr>
        <w:t>Payment/Gifts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Respondents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/>
        <w:ind w:left="105"/>
      </w:pPr>
      <w:r>
        <w:t>No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gifts</w:t>
      </w:r>
      <w:r>
        <w:rPr>
          <w:spacing w:val="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respondents.</w:t>
      </w:r>
    </w:p>
    <w:p w:rsidR="003C462E" w:rsidRDefault="003C462E">
      <w:pPr>
        <w:pStyle w:val="BodyText"/>
        <w:spacing w:before="10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ind w:left="472" w:hanging="368"/>
        <w:rPr>
          <w:sz w:val="24"/>
        </w:rPr>
      </w:pPr>
      <w:bookmarkStart w:name="10._Confidentiality" w:id="7"/>
      <w:bookmarkEnd w:id="7"/>
      <w:r>
        <w:rPr>
          <w:sz w:val="24"/>
          <w:u w:val="single"/>
        </w:rPr>
        <w:t>Confidentiality</w:t>
      </w:r>
    </w:p>
    <w:p w:rsidR="003C462E" w:rsidRDefault="003C462E">
      <w:pPr>
        <w:pStyle w:val="BodyText"/>
        <w:rPr>
          <w:sz w:val="20"/>
        </w:rPr>
      </w:pPr>
    </w:p>
    <w:p w:rsidR="003C462E" w:rsidRDefault="0064090C">
      <w:pPr>
        <w:spacing w:before="90" w:line="247" w:lineRule="auto"/>
        <w:ind w:left="115" w:right="490" w:hanging="10"/>
        <w:rPr>
          <w:sz w:val="23"/>
        </w:rPr>
      </w:pPr>
      <w:r>
        <w:rPr>
          <w:sz w:val="24"/>
        </w:rPr>
        <w:t>Some information included in this collection must necessarily be made public during Open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Enrollment so that consumers can make informed choices. </w:t>
      </w:r>
      <w:r>
        <w:rPr>
          <w:sz w:val="23"/>
        </w:rPr>
        <w:t>To the extent of the applicable law and</w:t>
      </w:r>
      <w:r>
        <w:rPr>
          <w:spacing w:val="-55"/>
          <w:sz w:val="23"/>
        </w:rPr>
        <w:t xml:space="preserve"> </w:t>
      </w:r>
      <w:r>
        <w:rPr>
          <w:sz w:val="23"/>
        </w:rPr>
        <w:t>HHS</w:t>
      </w:r>
      <w:r>
        <w:rPr>
          <w:spacing w:val="-2"/>
          <w:sz w:val="23"/>
        </w:rPr>
        <w:t xml:space="preserve"> </w:t>
      </w:r>
      <w:r>
        <w:rPr>
          <w:sz w:val="23"/>
        </w:rPr>
        <w:t>policies,</w:t>
      </w:r>
      <w:r>
        <w:rPr>
          <w:spacing w:val="-1"/>
          <w:sz w:val="23"/>
        </w:rPr>
        <w:t xml:space="preserve"> </w:t>
      </w:r>
      <w:r>
        <w:rPr>
          <w:sz w:val="23"/>
        </w:rPr>
        <w:t>we will</w:t>
      </w:r>
      <w:r>
        <w:rPr>
          <w:spacing w:val="-3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consumer</w:t>
      </w:r>
      <w:r>
        <w:rPr>
          <w:spacing w:val="-1"/>
          <w:sz w:val="23"/>
        </w:rPr>
        <w:t xml:space="preserve"> </w:t>
      </w:r>
      <w:r>
        <w:rPr>
          <w:sz w:val="23"/>
        </w:rPr>
        <w:t>privacy</w:t>
      </w:r>
      <w:r>
        <w:rPr>
          <w:spacing w:val="-4"/>
          <w:sz w:val="23"/>
        </w:rPr>
        <w:t xml:space="preserve"> </w:t>
      </w:r>
      <w:r>
        <w:rPr>
          <w:sz w:val="23"/>
        </w:rPr>
        <w:t>with respect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the inf</w:t>
      </w:r>
      <w:r>
        <w:rPr>
          <w:sz w:val="23"/>
        </w:rPr>
        <w:t>ormation</w:t>
      </w:r>
      <w:r>
        <w:rPr>
          <w:spacing w:val="-1"/>
          <w:sz w:val="23"/>
        </w:rPr>
        <w:t xml:space="preserve"> </w:t>
      </w:r>
      <w:r>
        <w:rPr>
          <w:sz w:val="23"/>
        </w:rPr>
        <w:t>disclosed.</w:t>
      </w:r>
    </w:p>
    <w:p w:rsidR="003C462E" w:rsidRDefault="003C462E">
      <w:pPr>
        <w:pStyle w:val="BodyText"/>
        <w:spacing w:before="2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ind w:left="472" w:hanging="368"/>
        <w:rPr>
          <w:sz w:val="24"/>
        </w:rPr>
      </w:pPr>
      <w:r>
        <w:rPr>
          <w:sz w:val="24"/>
          <w:u w:val="single"/>
        </w:rPr>
        <w:t>Sensitive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Questions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/>
        <w:ind w:left="105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effort.</w:t>
      </w:r>
    </w:p>
    <w:p w:rsidR="003C462E" w:rsidRDefault="003C462E">
      <w:pPr>
        <w:pStyle w:val="BodyText"/>
        <w:spacing w:before="10"/>
        <w:rPr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left="472" w:hanging="368"/>
        <w:rPr>
          <w:sz w:val="24"/>
        </w:rPr>
      </w:pPr>
      <w:bookmarkStart w:name="12._Burden_Estimates_(Hours_&amp;_Wages)" w:id="8"/>
      <w:bookmarkEnd w:id="8"/>
      <w:r>
        <w:rPr>
          <w:sz w:val="24"/>
          <w:u w:val="single"/>
        </w:rPr>
        <w:t>Burden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Estimates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Wages)</w:t>
      </w:r>
    </w:p>
    <w:p w:rsidR="003C462E" w:rsidRDefault="003C462E">
      <w:pPr>
        <w:rPr>
          <w:sz w:val="24"/>
        </w:rPr>
        <w:sectPr w:rsidR="003C462E">
          <w:pgSz w:w="12240" w:h="15840"/>
          <w:pgMar w:top="1360" w:right="1040" w:bottom="960" w:left="1320" w:header="0" w:footer="767" w:gutter="0"/>
          <w:cols w:space="720"/>
        </w:sectPr>
      </w:pPr>
    </w:p>
    <w:p w:rsidR="003C462E" w:rsidRDefault="0064090C">
      <w:pPr>
        <w:pStyle w:val="BodyText"/>
        <w:spacing w:before="79" w:line="247" w:lineRule="auto"/>
        <w:ind w:left="115" w:right="224" w:hanging="10"/>
      </w:pPr>
      <w:r>
        <w:lastRenderedPageBreak/>
        <w:t>The mean hourly wage for the position of compliance officer is from the Bureau of Labor Statistics</w:t>
      </w:r>
      <w:r>
        <w:rPr>
          <w:spacing w:val="-58"/>
        </w:rPr>
        <w:t xml:space="preserve"> </w:t>
      </w:r>
      <w:r>
        <w:t>(BLS)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site:</w:t>
      </w:r>
      <w:r>
        <w:rPr>
          <w:spacing w:val="-1"/>
        </w:rPr>
        <w:t xml:space="preserve"> </w:t>
      </w:r>
      <w:hyperlink r:id="rId8">
        <w:r>
          <w:rPr>
            <w:color w:val="0561C1"/>
            <w:u w:val="single" w:color="0561C1"/>
          </w:rPr>
          <w:t>https://www.bls.gov/oes/current/oes131041.htm</w:t>
        </w:r>
      </w:hyperlink>
      <w:hyperlink r:id="rId9">
        <w:r>
          <w:t>.</w:t>
        </w:r>
      </w:hyperlink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</w:p>
    <w:p w:rsidR="003C462E" w:rsidRDefault="0064090C">
      <w:pPr>
        <w:pStyle w:val="BodyText"/>
        <w:spacing w:before="3" w:line="247" w:lineRule="auto"/>
        <w:ind w:left="115" w:right="350"/>
      </w:pPr>
      <w:r>
        <w:t>$72.70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total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 hourly</w:t>
      </w:r>
      <w:r>
        <w:rPr>
          <w:spacing w:val="-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$36.35</w:t>
      </w:r>
      <w:r>
        <w:rPr>
          <w:spacing w:val="-1"/>
        </w:rPr>
        <w:t xml:space="preserve"> </w:t>
      </w:r>
      <w:r>
        <w:t>plus 100%</w:t>
      </w:r>
      <w:r>
        <w:rPr>
          <w:spacing w:val="-1"/>
        </w:rPr>
        <w:t xml:space="preserve"> </w:t>
      </w:r>
      <w:r>
        <w:t>fringe</w:t>
      </w:r>
      <w:r>
        <w:rPr>
          <w:spacing w:val="-2"/>
        </w:rPr>
        <w:t xml:space="preserve"> </w:t>
      </w:r>
      <w:r>
        <w:t>benefit rate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$36.35, see</w:t>
      </w:r>
      <w:r>
        <w:rPr>
          <w:spacing w:val="-57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1.</w:t>
      </w:r>
    </w:p>
    <w:p w:rsidR="003C462E" w:rsidRDefault="003C462E">
      <w:pPr>
        <w:pStyle w:val="BodyText"/>
        <w:spacing w:before="1"/>
        <w:rPr>
          <w:sz w:val="26"/>
        </w:rPr>
      </w:pPr>
    </w:p>
    <w:p w:rsidR="003C462E" w:rsidRDefault="0064090C">
      <w:pPr>
        <w:pStyle w:val="Heading1"/>
      </w:pPr>
      <w:bookmarkStart w:name="Table_1._Adjusted_Hourly_Wages_Used_in_B" w:id="9"/>
      <w:bookmarkEnd w:id="9"/>
      <w:r>
        <w:t>Table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Hourly</w:t>
      </w:r>
      <w:r>
        <w:rPr>
          <w:spacing w:val="-2"/>
        </w:rPr>
        <w:t xml:space="preserve"> </w:t>
      </w:r>
      <w:r>
        <w:t>Wages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Estimates</w:t>
      </w:r>
    </w:p>
    <w:p w:rsidR="003C462E" w:rsidRDefault="003C462E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1528"/>
        <w:gridCol w:w="1619"/>
        <w:gridCol w:w="1890"/>
        <w:gridCol w:w="1703"/>
      </w:tblGrid>
      <w:tr w:rsidR="003C462E">
        <w:trPr>
          <w:trHeight w:val="892"/>
        </w:trPr>
        <w:tc>
          <w:tcPr>
            <w:tcW w:w="2606" w:type="dxa"/>
          </w:tcPr>
          <w:p w:rsidR="003C462E" w:rsidRDefault="003C462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C462E" w:rsidRDefault="0064090C">
            <w:pPr>
              <w:pStyle w:val="TableParagraph"/>
              <w:spacing w:before="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Occupation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528" w:type="dxa"/>
          </w:tcPr>
          <w:p w:rsidR="003C462E" w:rsidRDefault="0064090C">
            <w:pPr>
              <w:pStyle w:val="TableParagraph"/>
              <w:spacing w:before="147" w:line="259" w:lineRule="auto"/>
              <w:ind w:left="496" w:right="48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9" w:type="dxa"/>
          </w:tcPr>
          <w:p w:rsidR="003C462E" w:rsidRDefault="0064090C">
            <w:pPr>
              <w:pStyle w:val="TableParagraph"/>
              <w:spacing w:before="147" w:line="259" w:lineRule="auto"/>
              <w:ind w:left="68" w:right="4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Mean Hourly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($/hour)</w:t>
            </w:r>
          </w:p>
        </w:tc>
        <w:tc>
          <w:tcPr>
            <w:tcW w:w="1890" w:type="dxa"/>
          </w:tcPr>
          <w:p w:rsidR="003C462E" w:rsidRDefault="0064090C">
            <w:pPr>
              <w:pStyle w:val="TableParagraph"/>
              <w:spacing w:before="0" w:line="275" w:lineRule="exact"/>
              <w:ind w:left="152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  <w:p w:rsidR="003C462E" w:rsidRDefault="0064090C">
            <w:pPr>
              <w:pStyle w:val="TableParagraph"/>
              <w:spacing w:before="7" w:line="290" w:lineRule="atLeast"/>
              <w:ind w:left="15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 Overhead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(100%)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($/hour)</w:t>
            </w:r>
          </w:p>
        </w:tc>
        <w:tc>
          <w:tcPr>
            <w:tcW w:w="1703" w:type="dxa"/>
          </w:tcPr>
          <w:p w:rsidR="003C462E" w:rsidRDefault="0064090C">
            <w:pPr>
              <w:pStyle w:val="TableParagraph"/>
              <w:spacing w:before="0" w:line="275" w:lineRule="exact"/>
              <w:ind w:left="16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Adjusted</w:t>
            </w:r>
          </w:p>
          <w:p w:rsidR="003C462E" w:rsidRDefault="0064090C">
            <w:pPr>
              <w:pStyle w:val="TableParagraph"/>
              <w:spacing w:before="7" w:line="290" w:lineRule="atLeast"/>
              <w:ind w:left="16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 Wage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($/hour)</w:t>
            </w:r>
          </w:p>
        </w:tc>
      </w:tr>
      <w:tr w:rsidR="003C462E">
        <w:trPr>
          <w:trHeight w:val="299"/>
        </w:trPr>
        <w:tc>
          <w:tcPr>
            <w:tcW w:w="2606" w:type="dxa"/>
          </w:tcPr>
          <w:p w:rsidR="003C462E" w:rsidRDefault="0064090C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  <w:tc>
          <w:tcPr>
            <w:tcW w:w="1528" w:type="dxa"/>
          </w:tcPr>
          <w:p w:rsidR="003C462E" w:rsidRDefault="0064090C">
            <w:pPr>
              <w:pStyle w:val="TableParagraph"/>
              <w:spacing w:before="0" w:line="275" w:lineRule="exact"/>
              <w:ind w:left="357"/>
              <w:rPr>
                <w:sz w:val="24"/>
              </w:rPr>
            </w:pPr>
            <w:r>
              <w:rPr>
                <w:sz w:val="24"/>
              </w:rPr>
              <w:t>13-1041</w:t>
            </w:r>
          </w:p>
        </w:tc>
        <w:tc>
          <w:tcPr>
            <w:tcW w:w="1619" w:type="dxa"/>
          </w:tcPr>
          <w:p w:rsidR="003C462E" w:rsidRDefault="0064090C">
            <w:pPr>
              <w:pStyle w:val="TableParagraph"/>
              <w:spacing w:before="0" w:line="275" w:lineRule="exact"/>
              <w:ind w:left="473"/>
              <w:rPr>
                <w:sz w:val="24"/>
              </w:rPr>
            </w:pPr>
            <w:r>
              <w:rPr>
                <w:sz w:val="24"/>
              </w:rPr>
              <w:t>$36.35</w:t>
            </w:r>
          </w:p>
        </w:tc>
        <w:tc>
          <w:tcPr>
            <w:tcW w:w="1890" w:type="dxa"/>
          </w:tcPr>
          <w:p w:rsidR="003C462E" w:rsidRDefault="0064090C">
            <w:pPr>
              <w:pStyle w:val="TableParagraph"/>
              <w:spacing w:before="0" w:line="275" w:lineRule="exact"/>
              <w:ind w:left="609"/>
              <w:rPr>
                <w:sz w:val="24"/>
              </w:rPr>
            </w:pPr>
            <w:r>
              <w:rPr>
                <w:sz w:val="24"/>
              </w:rPr>
              <w:t>$36.35</w:t>
            </w:r>
          </w:p>
        </w:tc>
        <w:tc>
          <w:tcPr>
            <w:tcW w:w="1703" w:type="dxa"/>
          </w:tcPr>
          <w:p w:rsidR="003C462E" w:rsidRDefault="0064090C">
            <w:pPr>
              <w:pStyle w:val="TableParagraph"/>
              <w:spacing w:before="0" w:line="275" w:lineRule="exact"/>
              <w:ind w:left="516"/>
              <w:rPr>
                <w:sz w:val="24"/>
              </w:rPr>
            </w:pPr>
            <w:r>
              <w:rPr>
                <w:sz w:val="24"/>
              </w:rPr>
              <w:t>$72.70</w:t>
            </w:r>
          </w:p>
        </w:tc>
      </w:tr>
    </w:tbl>
    <w:p w:rsidR="003C462E" w:rsidRDefault="003C462E">
      <w:pPr>
        <w:pStyle w:val="BodyText"/>
        <w:spacing w:before="9"/>
        <w:rPr>
          <w:b/>
          <w:sz w:val="25"/>
        </w:rPr>
      </w:pPr>
    </w:p>
    <w:p w:rsidR="003C462E" w:rsidRDefault="0064090C">
      <w:pPr>
        <w:ind w:left="105"/>
        <w:rPr>
          <w:b/>
          <w:sz w:val="24"/>
        </w:rPr>
      </w:pPr>
      <w:bookmarkStart w:name="Burden_for_QHP_Issuers" w:id="10"/>
      <w:bookmarkEnd w:id="10"/>
      <w:r>
        <w:rPr>
          <w:b/>
          <w:sz w:val="24"/>
        </w:rPr>
        <w:t>Burden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QHP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Issuers</w:t>
      </w:r>
    </w:p>
    <w:p w:rsidR="003C462E" w:rsidRDefault="0064090C">
      <w:pPr>
        <w:pStyle w:val="BodyText"/>
        <w:spacing w:before="19" w:line="247" w:lineRule="auto"/>
        <w:ind w:left="115" w:right="247" w:hanging="10"/>
      </w:pPr>
      <w:r>
        <w:t>The burden on QHP issuers for this data collection per year is estimated to be 4,300 burden hours,</w:t>
      </w:r>
      <w:r>
        <w:rPr>
          <w:spacing w:val="1"/>
        </w:rPr>
        <w:t xml:space="preserve"> </w:t>
      </w:r>
      <w:r>
        <w:t>or 20 hours per issuer. This estimate is based on an assumed 215 issuers each offering 16 plans. At</w:t>
      </w:r>
      <w:r>
        <w:rPr>
          <w:spacing w:val="-57"/>
        </w:rPr>
        <w:t xml:space="preserve"> </w:t>
      </w:r>
      <w:r>
        <w:t>an adjusted hourly wage rate of $72.70 (includes 100% fri</w:t>
      </w:r>
      <w:r>
        <w:t>nge benefit), the total cost was estimated</w:t>
      </w:r>
      <w:r>
        <w:rPr>
          <w:spacing w:val="-58"/>
        </w:rPr>
        <w:t xml:space="preserve"> </w:t>
      </w:r>
      <w:r>
        <w:t>to be $1,454 per issuer. The burden estimate includes collecting and reviewing network adequacy</w:t>
      </w:r>
      <w:r>
        <w:rPr>
          <w:spacing w:val="1"/>
        </w:rPr>
        <w:t xml:space="preserve"> </w:t>
      </w:r>
      <w:r>
        <w:t>data starting in PY2023 (after pausing the network adequacy reviews for the past four years). The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issuers is based on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 for</w:t>
      </w:r>
      <w:r>
        <w:rPr>
          <w:spacing w:val="-2"/>
        </w:rPr>
        <w:t xml:space="preserve"> </w:t>
      </w:r>
      <w:r>
        <w:t>2022.</w:t>
      </w:r>
    </w:p>
    <w:p w:rsidR="003C462E" w:rsidRDefault="003C462E">
      <w:pPr>
        <w:pStyle w:val="BodyText"/>
        <w:spacing w:before="9"/>
        <w:rPr>
          <w:sz w:val="25"/>
        </w:rPr>
      </w:pPr>
    </w:p>
    <w:p w:rsidR="003C462E" w:rsidRDefault="0064090C">
      <w:pPr>
        <w:pStyle w:val="BodyText"/>
        <w:spacing w:line="259" w:lineRule="auto"/>
        <w:ind w:left="119" w:right="133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156.235,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sufficient number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distribution</w:t>
      </w:r>
      <w:r>
        <w:rPr>
          <w:spacing w:val="-57"/>
        </w:rPr>
        <w:t xml:space="preserve"> </w:t>
      </w:r>
      <w:r>
        <w:t>of ECPs to ensure access for low-income, medically underserved individuals. Pursuant to 45 CFR</w:t>
      </w:r>
      <w:r>
        <w:rPr>
          <w:spacing w:val="1"/>
        </w:rPr>
        <w:t xml:space="preserve"> </w:t>
      </w:r>
      <w:r>
        <w:t>156.</w:t>
      </w:r>
      <w:r>
        <w:t>230, an issuer must collect provider information necessary to demonstrate an issuer’s</w:t>
      </w:r>
      <w:r>
        <w:rPr>
          <w:spacing w:val="1"/>
        </w:rPr>
        <w:t xml:space="preserve"> </w:t>
      </w:r>
      <w:r>
        <w:t>satisfaction of time and distance standards, and report the offering of telehealth services for each</w:t>
      </w:r>
      <w:r>
        <w:rPr>
          <w:spacing w:val="1"/>
        </w:rPr>
        <w:t xml:space="preserve"> </w:t>
      </w:r>
      <w:r>
        <w:t>provider.</w:t>
      </w:r>
    </w:p>
    <w:p w:rsidR="003C462E" w:rsidRDefault="003C462E">
      <w:pPr>
        <w:pStyle w:val="BodyText"/>
        <w:spacing w:before="7"/>
        <w:rPr>
          <w:sz w:val="25"/>
        </w:rPr>
      </w:pPr>
    </w:p>
    <w:p w:rsidR="003C462E" w:rsidRDefault="0064090C">
      <w:pPr>
        <w:pStyle w:val="Heading1"/>
        <w:spacing w:before="1"/>
      </w:pPr>
      <w:bookmarkStart w:name="Table_2._Burden_for_QHP_Issuers" w:id="11"/>
      <w:bookmarkEnd w:id="11"/>
      <w:r>
        <w:t>Table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QHP</w:t>
      </w:r>
      <w:r>
        <w:rPr>
          <w:spacing w:val="-2"/>
        </w:rPr>
        <w:t xml:space="preserve"> </w:t>
      </w:r>
      <w:r>
        <w:t>Issuers</w:t>
      </w:r>
    </w:p>
    <w:p w:rsidR="003C462E" w:rsidRDefault="003C462E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414"/>
        <w:gridCol w:w="1332"/>
        <w:gridCol w:w="1500"/>
        <w:gridCol w:w="2076"/>
        <w:gridCol w:w="2160"/>
      </w:tblGrid>
      <w:tr w:rsidR="003C462E">
        <w:trPr>
          <w:trHeight w:val="765"/>
        </w:trPr>
        <w:tc>
          <w:tcPr>
            <w:tcW w:w="1150" w:type="dxa"/>
          </w:tcPr>
          <w:p w:rsidR="003C462E" w:rsidRDefault="0064090C">
            <w:pPr>
              <w:pStyle w:val="TableParagraph"/>
              <w:spacing w:before="231"/>
              <w:ind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414" w:type="dxa"/>
          </w:tcPr>
          <w:p w:rsidR="003C462E" w:rsidRDefault="0064090C">
            <w:pPr>
              <w:pStyle w:val="TableParagraph"/>
              <w:spacing w:before="83" w:line="261" w:lineRule="auto"/>
              <w:ind w:left="335" w:right="132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Issuers</w:t>
            </w:r>
          </w:p>
        </w:tc>
        <w:tc>
          <w:tcPr>
            <w:tcW w:w="1332" w:type="dxa"/>
          </w:tcPr>
          <w:p w:rsidR="003C462E" w:rsidRDefault="0064090C">
            <w:pPr>
              <w:pStyle w:val="TableParagraph"/>
              <w:spacing w:before="83" w:line="261" w:lineRule="auto"/>
              <w:ind w:left="342" w:right="107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Hours Per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Issuer</w:t>
            </w:r>
          </w:p>
        </w:tc>
        <w:tc>
          <w:tcPr>
            <w:tcW w:w="1500" w:type="dxa"/>
          </w:tcPr>
          <w:p w:rsidR="003C462E" w:rsidRDefault="0064090C">
            <w:pPr>
              <w:pStyle w:val="TableParagraph"/>
              <w:spacing w:before="83" w:line="261" w:lineRule="auto"/>
              <w:ind w:left="418" w:right="41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076" w:type="dxa"/>
          </w:tcPr>
          <w:p w:rsidR="003C462E" w:rsidRDefault="0064090C">
            <w:pPr>
              <w:pStyle w:val="TableParagraph"/>
              <w:spacing w:before="83" w:line="261" w:lineRule="auto"/>
              <w:ind w:left="503" w:right="66" w:hanging="43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Issuer</w:t>
            </w:r>
          </w:p>
        </w:tc>
        <w:tc>
          <w:tcPr>
            <w:tcW w:w="2160" w:type="dxa"/>
          </w:tcPr>
          <w:p w:rsidR="003C462E" w:rsidRDefault="0064090C">
            <w:pPr>
              <w:pStyle w:val="TableParagraph"/>
              <w:spacing w:before="83" w:line="261" w:lineRule="auto"/>
              <w:ind w:left="445" w:right="64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Issuers)</w:t>
            </w:r>
          </w:p>
        </w:tc>
      </w:tr>
      <w:tr w:rsidR="003C462E">
        <w:trPr>
          <w:trHeight w:val="746"/>
        </w:trPr>
        <w:tc>
          <w:tcPr>
            <w:tcW w:w="1150" w:type="dxa"/>
          </w:tcPr>
          <w:p w:rsidR="003C462E" w:rsidRDefault="0064090C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14" w:type="dxa"/>
          </w:tcPr>
          <w:p w:rsidR="003C462E" w:rsidRDefault="0064090C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332" w:type="dxa"/>
          </w:tcPr>
          <w:p w:rsidR="003C462E" w:rsidRDefault="0064090C">
            <w:pPr>
              <w:pStyle w:val="TableParagraph"/>
              <w:ind w:left="523" w:right="5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00" w:type="dxa"/>
          </w:tcPr>
          <w:p w:rsidR="003C462E" w:rsidRDefault="0064090C">
            <w:pPr>
              <w:pStyle w:val="TableParagraph"/>
              <w:ind w:left="456" w:right="453"/>
              <w:jc w:val="center"/>
              <w:rPr>
                <w:sz w:val="24"/>
              </w:rPr>
            </w:pPr>
            <w:r>
              <w:rPr>
                <w:sz w:val="24"/>
              </w:rPr>
              <w:t>4,300</w:t>
            </w:r>
          </w:p>
        </w:tc>
        <w:tc>
          <w:tcPr>
            <w:tcW w:w="2076" w:type="dxa"/>
          </w:tcPr>
          <w:p w:rsidR="003C462E" w:rsidRDefault="0064090C">
            <w:pPr>
              <w:pStyle w:val="TableParagraph"/>
              <w:ind w:left="704"/>
              <w:rPr>
                <w:sz w:val="24"/>
              </w:rPr>
            </w:pPr>
            <w:r>
              <w:rPr>
                <w:sz w:val="24"/>
              </w:rPr>
              <w:t>$1,454</w:t>
            </w:r>
          </w:p>
        </w:tc>
        <w:tc>
          <w:tcPr>
            <w:tcW w:w="2160" w:type="dxa"/>
          </w:tcPr>
          <w:p w:rsidR="003C462E" w:rsidRDefault="0064090C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$312,610</w:t>
            </w:r>
          </w:p>
        </w:tc>
      </w:tr>
      <w:tr w:rsidR="003C462E">
        <w:trPr>
          <w:trHeight w:val="748"/>
        </w:trPr>
        <w:tc>
          <w:tcPr>
            <w:tcW w:w="1150" w:type="dxa"/>
          </w:tcPr>
          <w:p w:rsidR="003C462E" w:rsidRDefault="0064090C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4" w:type="dxa"/>
          </w:tcPr>
          <w:p w:rsidR="003C462E" w:rsidRDefault="0064090C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332" w:type="dxa"/>
          </w:tcPr>
          <w:p w:rsidR="003C462E" w:rsidRDefault="0064090C">
            <w:pPr>
              <w:pStyle w:val="TableParagraph"/>
              <w:ind w:left="523" w:right="5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00" w:type="dxa"/>
          </w:tcPr>
          <w:p w:rsidR="003C462E" w:rsidRDefault="0064090C">
            <w:pPr>
              <w:pStyle w:val="TableParagraph"/>
              <w:ind w:left="456" w:right="453"/>
              <w:jc w:val="center"/>
              <w:rPr>
                <w:sz w:val="24"/>
              </w:rPr>
            </w:pPr>
            <w:r>
              <w:rPr>
                <w:sz w:val="24"/>
              </w:rPr>
              <w:t>4,300</w:t>
            </w:r>
          </w:p>
        </w:tc>
        <w:tc>
          <w:tcPr>
            <w:tcW w:w="2076" w:type="dxa"/>
          </w:tcPr>
          <w:p w:rsidR="003C462E" w:rsidRDefault="0064090C">
            <w:pPr>
              <w:pStyle w:val="TableParagraph"/>
              <w:ind w:left="704"/>
              <w:rPr>
                <w:sz w:val="24"/>
              </w:rPr>
            </w:pPr>
            <w:r>
              <w:rPr>
                <w:sz w:val="24"/>
              </w:rPr>
              <w:t>$1,454</w:t>
            </w:r>
          </w:p>
        </w:tc>
        <w:tc>
          <w:tcPr>
            <w:tcW w:w="2160" w:type="dxa"/>
          </w:tcPr>
          <w:p w:rsidR="003C462E" w:rsidRDefault="0064090C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$312,610</w:t>
            </w:r>
          </w:p>
        </w:tc>
      </w:tr>
      <w:tr w:rsidR="003C462E">
        <w:trPr>
          <w:trHeight w:val="753"/>
        </w:trPr>
        <w:tc>
          <w:tcPr>
            <w:tcW w:w="1150" w:type="dxa"/>
          </w:tcPr>
          <w:p w:rsidR="003C462E" w:rsidRDefault="0064090C">
            <w:pPr>
              <w:pStyle w:val="TableParagraph"/>
              <w:spacing w:before="227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4" w:type="dxa"/>
          </w:tcPr>
          <w:p w:rsidR="003C462E" w:rsidRDefault="0064090C">
            <w:pPr>
              <w:pStyle w:val="TableParagraph"/>
              <w:spacing w:before="227"/>
              <w:ind w:left="4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332" w:type="dxa"/>
          </w:tcPr>
          <w:p w:rsidR="003C462E" w:rsidRDefault="0064090C">
            <w:pPr>
              <w:pStyle w:val="TableParagraph"/>
              <w:spacing w:before="227"/>
              <w:ind w:left="523" w:right="5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00" w:type="dxa"/>
          </w:tcPr>
          <w:p w:rsidR="003C462E" w:rsidRDefault="0064090C">
            <w:pPr>
              <w:pStyle w:val="TableParagraph"/>
              <w:spacing w:before="227"/>
              <w:ind w:left="456" w:right="453"/>
              <w:jc w:val="center"/>
              <w:rPr>
                <w:sz w:val="24"/>
              </w:rPr>
            </w:pPr>
            <w:r>
              <w:rPr>
                <w:sz w:val="24"/>
              </w:rPr>
              <w:t>4,300</w:t>
            </w:r>
          </w:p>
        </w:tc>
        <w:tc>
          <w:tcPr>
            <w:tcW w:w="2076" w:type="dxa"/>
          </w:tcPr>
          <w:p w:rsidR="003C462E" w:rsidRDefault="0064090C">
            <w:pPr>
              <w:pStyle w:val="TableParagraph"/>
              <w:spacing w:before="227"/>
              <w:ind w:left="704"/>
              <w:rPr>
                <w:sz w:val="24"/>
              </w:rPr>
            </w:pPr>
            <w:r>
              <w:rPr>
                <w:sz w:val="24"/>
              </w:rPr>
              <w:t>$1,454</w:t>
            </w:r>
          </w:p>
        </w:tc>
        <w:tc>
          <w:tcPr>
            <w:tcW w:w="2160" w:type="dxa"/>
          </w:tcPr>
          <w:p w:rsidR="003C462E" w:rsidRDefault="0064090C">
            <w:pPr>
              <w:pStyle w:val="TableParagraph"/>
              <w:spacing w:before="227"/>
              <w:ind w:left="625"/>
              <w:rPr>
                <w:sz w:val="24"/>
              </w:rPr>
            </w:pPr>
            <w:r>
              <w:rPr>
                <w:sz w:val="24"/>
              </w:rPr>
              <w:t>$312,610</w:t>
            </w:r>
          </w:p>
        </w:tc>
      </w:tr>
    </w:tbl>
    <w:p w:rsidR="003C462E" w:rsidRDefault="003C462E">
      <w:pPr>
        <w:pStyle w:val="BodyText"/>
        <w:spacing w:before="9"/>
        <w:rPr>
          <w:b/>
          <w:sz w:val="25"/>
        </w:rPr>
      </w:pPr>
    </w:p>
    <w:p w:rsidR="003C462E" w:rsidRDefault="0064090C">
      <w:pPr>
        <w:ind w:left="105"/>
        <w:rPr>
          <w:b/>
          <w:sz w:val="24"/>
        </w:rPr>
      </w:pPr>
      <w:bookmarkStart w:name="Burden_for_Stand-Alone_Dental_Issuers" w:id="12"/>
      <w:bookmarkEnd w:id="12"/>
      <w:r>
        <w:rPr>
          <w:b/>
          <w:sz w:val="24"/>
        </w:rPr>
        <w:t>Burden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Issuers</w:t>
      </w:r>
    </w:p>
    <w:p w:rsidR="003C462E" w:rsidRDefault="0064090C">
      <w:pPr>
        <w:pStyle w:val="BodyText"/>
        <w:spacing w:before="19" w:line="247" w:lineRule="auto"/>
        <w:ind w:left="115" w:right="311" w:hanging="10"/>
      </w:pPr>
      <w:r>
        <w:t>The burden on stand-alone dental issuers for this data collection each year is estimated to be 1,080</w:t>
      </w:r>
      <w:r>
        <w:rPr>
          <w:spacing w:val="-57"/>
        </w:rPr>
        <w:t xml:space="preserve"> </w:t>
      </w:r>
      <w:r>
        <w:t>total burden hours, or 4 hours per issuer due to needing to report only one provider specialty type</w:t>
      </w:r>
      <w:r>
        <w:rPr>
          <w:spacing w:val="1"/>
        </w:rPr>
        <w:t xml:space="preserve"> </w:t>
      </w:r>
      <w:r>
        <w:t>(dental</w:t>
      </w:r>
      <w:r>
        <w:rPr>
          <w:spacing w:val="-1"/>
        </w:rPr>
        <w:t xml:space="preserve"> </w:t>
      </w:r>
      <w:r>
        <w:t>providers)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distance and</w:t>
      </w:r>
      <w:r>
        <w:rPr>
          <w:spacing w:val="-1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t>times.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</w:p>
    <w:p w:rsidR="003C462E" w:rsidRDefault="003C462E">
      <w:pPr>
        <w:spacing w:line="247" w:lineRule="auto"/>
        <w:sectPr w:rsidR="003C462E">
          <w:pgSz w:w="12240" w:h="15840"/>
          <w:pgMar w:top="1360" w:right="1040" w:bottom="960" w:left="1320" w:header="0" w:footer="767" w:gutter="0"/>
          <w:cols w:space="720"/>
        </w:sectPr>
      </w:pPr>
    </w:p>
    <w:p w:rsidR="003C462E" w:rsidRDefault="0064090C">
      <w:pPr>
        <w:pStyle w:val="BodyText"/>
        <w:spacing w:before="79" w:line="247" w:lineRule="auto"/>
        <w:ind w:left="115" w:right="101"/>
      </w:pPr>
      <w:r>
        <w:lastRenderedPageBreak/>
        <w:t>assumed 270 issuers each offering 3 plans. At an adjusted hourly wage rate of $72.70 (includes</w:t>
      </w:r>
      <w:r>
        <w:rPr>
          <w:spacing w:val="1"/>
        </w:rPr>
        <w:t xml:space="preserve"> </w:t>
      </w:r>
      <w:r>
        <w:t>100% fringe benefit), the total cost was estimated to be $290.80 per issuer. The burden estimate</w:t>
      </w:r>
      <w:r>
        <w:rPr>
          <w:spacing w:val="1"/>
        </w:rPr>
        <w:t xml:space="preserve"> </w:t>
      </w:r>
      <w:r>
        <w:t>includes collecting and reviewing Network Adequacy data starting in PY2023 (after pausing the NA</w:t>
      </w:r>
      <w:r>
        <w:rPr>
          <w:spacing w:val="-58"/>
        </w:rPr>
        <w:t xml:space="preserve"> </w:t>
      </w:r>
      <w:r>
        <w:t>reviews for the past four years). The number of issuers is bas</w:t>
      </w:r>
      <w:r>
        <w:t>ed on the number of applications for</w:t>
      </w:r>
      <w:r>
        <w:rPr>
          <w:spacing w:val="1"/>
        </w:rPr>
        <w:t xml:space="preserve"> </w:t>
      </w:r>
      <w:r>
        <w:t>2022.</w:t>
      </w:r>
    </w:p>
    <w:p w:rsidR="003C462E" w:rsidRDefault="003C462E">
      <w:pPr>
        <w:pStyle w:val="BodyText"/>
        <w:spacing w:before="5"/>
        <w:rPr>
          <w:sz w:val="26"/>
        </w:rPr>
      </w:pPr>
    </w:p>
    <w:p w:rsidR="003C462E" w:rsidRDefault="0064090C">
      <w:pPr>
        <w:pStyle w:val="BodyText"/>
        <w:spacing w:line="259" w:lineRule="auto"/>
        <w:ind w:left="119" w:right="133"/>
      </w:pP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156.235,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sufficient number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distribution</w:t>
      </w:r>
      <w:r>
        <w:rPr>
          <w:spacing w:val="-57"/>
        </w:rPr>
        <w:t xml:space="preserve"> </w:t>
      </w:r>
      <w:r>
        <w:t>of ECPs to ensure access for low-income, medically underserved individuals. Pursuant to 45 CFR</w:t>
      </w:r>
      <w:r>
        <w:rPr>
          <w:spacing w:val="1"/>
        </w:rPr>
        <w:t xml:space="preserve"> </w:t>
      </w:r>
      <w:r>
        <w:t>156.230, an issuer</w:t>
      </w:r>
      <w:r>
        <w:t xml:space="preserve"> must collect provider information necessary to demonstrate an issuer’s</w:t>
      </w:r>
      <w:r>
        <w:rPr>
          <w:spacing w:val="1"/>
        </w:rPr>
        <w:t xml:space="preserve"> </w:t>
      </w:r>
      <w:r>
        <w:t>satisfaction of time and distance standards, and report the offering of telehealth services for each</w:t>
      </w:r>
      <w:r>
        <w:rPr>
          <w:spacing w:val="1"/>
        </w:rPr>
        <w:t xml:space="preserve"> </w:t>
      </w:r>
      <w:r>
        <w:t>provider.</w:t>
      </w:r>
    </w:p>
    <w:p w:rsidR="003C462E" w:rsidRDefault="003C462E">
      <w:pPr>
        <w:pStyle w:val="BodyText"/>
        <w:spacing w:before="10"/>
        <w:rPr>
          <w:sz w:val="25"/>
        </w:rPr>
      </w:pPr>
    </w:p>
    <w:p w:rsidR="003C462E" w:rsidRDefault="0064090C">
      <w:pPr>
        <w:pStyle w:val="Heading1"/>
      </w:pPr>
      <w:bookmarkStart w:name="Table_3._Burden_for_Stand-Alone_Dental_I" w:id="13"/>
      <w:bookmarkEnd w:id="13"/>
      <w:r>
        <w:t>Table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Stand-Alone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Issuers</w:t>
      </w:r>
    </w:p>
    <w:p w:rsidR="003C462E" w:rsidRDefault="003C462E">
      <w:pPr>
        <w:pStyle w:val="BodyText"/>
        <w:spacing w:before="7" w:after="1"/>
        <w:rPr>
          <w:b/>
          <w:sz w:val="27"/>
        </w:rPr>
      </w:pP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260"/>
        <w:gridCol w:w="1351"/>
        <w:gridCol w:w="1440"/>
        <w:gridCol w:w="2069"/>
        <w:gridCol w:w="2251"/>
      </w:tblGrid>
      <w:tr w:rsidR="003C462E">
        <w:trPr>
          <w:trHeight w:val="748"/>
        </w:trPr>
        <w:tc>
          <w:tcPr>
            <w:tcW w:w="1255" w:type="dxa"/>
          </w:tcPr>
          <w:p w:rsidR="003C462E" w:rsidRDefault="0064090C">
            <w:pPr>
              <w:pStyle w:val="TableParagraph"/>
              <w:ind w:left="381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260" w:type="dxa"/>
          </w:tcPr>
          <w:p w:rsidR="003C462E" w:rsidRDefault="0064090C">
            <w:pPr>
              <w:pStyle w:val="TableParagraph"/>
              <w:spacing w:before="75" w:line="259" w:lineRule="auto"/>
              <w:ind w:left="251" w:right="62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Issuers</w:t>
            </w:r>
          </w:p>
        </w:tc>
        <w:tc>
          <w:tcPr>
            <w:tcW w:w="1351" w:type="dxa"/>
          </w:tcPr>
          <w:p w:rsidR="003C462E" w:rsidRDefault="0064090C">
            <w:pPr>
              <w:pStyle w:val="TableParagraph"/>
              <w:spacing w:before="75" w:line="259" w:lineRule="auto"/>
              <w:ind w:left="345" w:right="132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Hours Per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Issuer</w:t>
            </w:r>
          </w:p>
        </w:tc>
        <w:tc>
          <w:tcPr>
            <w:tcW w:w="1440" w:type="dxa"/>
          </w:tcPr>
          <w:p w:rsidR="003C462E" w:rsidRDefault="0064090C">
            <w:pPr>
              <w:pStyle w:val="TableParagraph"/>
              <w:spacing w:before="75" w:line="259" w:lineRule="auto"/>
              <w:ind w:left="379" w:right="20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069" w:type="dxa"/>
          </w:tcPr>
          <w:p w:rsidR="003C462E" w:rsidRDefault="0064090C">
            <w:pPr>
              <w:pStyle w:val="TableParagraph"/>
              <w:spacing w:before="75" w:line="259" w:lineRule="auto"/>
              <w:ind w:left="492" w:right="70" w:hanging="430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Issuer</w:t>
            </w:r>
          </w:p>
        </w:tc>
        <w:tc>
          <w:tcPr>
            <w:tcW w:w="2251" w:type="dxa"/>
          </w:tcPr>
          <w:p w:rsidR="003C462E" w:rsidRDefault="0064090C">
            <w:pPr>
              <w:pStyle w:val="TableParagraph"/>
              <w:spacing w:before="75" w:line="259" w:lineRule="auto"/>
              <w:ind w:left="484" w:right="118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Issuers)</w:t>
            </w:r>
          </w:p>
        </w:tc>
      </w:tr>
      <w:tr w:rsidR="003C462E">
        <w:trPr>
          <w:trHeight w:val="745"/>
        </w:trPr>
        <w:tc>
          <w:tcPr>
            <w:tcW w:w="1255" w:type="dxa"/>
          </w:tcPr>
          <w:p w:rsidR="003C462E" w:rsidRDefault="0064090C">
            <w:pPr>
              <w:pStyle w:val="TableParagraph"/>
              <w:ind w:left="380" w:right="31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60" w:type="dxa"/>
          </w:tcPr>
          <w:p w:rsidR="003C462E" w:rsidRDefault="0064090C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351" w:type="dxa"/>
          </w:tcPr>
          <w:p w:rsidR="003C462E" w:rsidRDefault="0064090C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3C462E" w:rsidRDefault="0064090C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2069" w:type="dxa"/>
          </w:tcPr>
          <w:p w:rsidR="003C462E" w:rsidRDefault="0064090C">
            <w:pPr>
              <w:pStyle w:val="TableParagraph"/>
              <w:ind w:left="577" w:right="575"/>
              <w:jc w:val="center"/>
              <w:rPr>
                <w:sz w:val="24"/>
              </w:rPr>
            </w:pPr>
            <w:r>
              <w:rPr>
                <w:sz w:val="24"/>
              </w:rPr>
              <w:t>$290.80</w:t>
            </w:r>
          </w:p>
        </w:tc>
        <w:tc>
          <w:tcPr>
            <w:tcW w:w="2251" w:type="dxa"/>
          </w:tcPr>
          <w:p w:rsidR="003C462E" w:rsidRDefault="0064090C">
            <w:pPr>
              <w:pStyle w:val="TableParagraph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$78,516</w:t>
            </w:r>
          </w:p>
        </w:tc>
      </w:tr>
      <w:tr w:rsidR="003C462E">
        <w:trPr>
          <w:trHeight w:val="750"/>
        </w:trPr>
        <w:tc>
          <w:tcPr>
            <w:tcW w:w="1255" w:type="dxa"/>
          </w:tcPr>
          <w:p w:rsidR="003C462E" w:rsidRDefault="0064090C">
            <w:pPr>
              <w:pStyle w:val="TableParagraph"/>
              <w:spacing w:before="227"/>
              <w:ind w:left="380" w:right="31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60" w:type="dxa"/>
          </w:tcPr>
          <w:p w:rsidR="003C462E" w:rsidRDefault="0064090C">
            <w:pPr>
              <w:pStyle w:val="TableParagraph"/>
              <w:spacing w:before="227"/>
              <w:ind w:left="48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351" w:type="dxa"/>
          </w:tcPr>
          <w:p w:rsidR="003C462E" w:rsidRDefault="0064090C">
            <w:pPr>
              <w:pStyle w:val="TableParagraph"/>
              <w:spacing w:before="227"/>
              <w:ind w:left="6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3C462E" w:rsidRDefault="0064090C">
            <w:pPr>
              <w:pStyle w:val="TableParagraph"/>
              <w:spacing w:before="227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2069" w:type="dxa"/>
          </w:tcPr>
          <w:p w:rsidR="003C462E" w:rsidRDefault="0064090C">
            <w:pPr>
              <w:pStyle w:val="TableParagraph"/>
              <w:spacing w:before="227"/>
              <w:ind w:left="620" w:right="531"/>
              <w:jc w:val="center"/>
              <w:rPr>
                <w:sz w:val="24"/>
              </w:rPr>
            </w:pPr>
            <w:r>
              <w:rPr>
                <w:sz w:val="24"/>
              </w:rPr>
              <w:t>$290.80</w:t>
            </w:r>
          </w:p>
        </w:tc>
        <w:tc>
          <w:tcPr>
            <w:tcW w:w="2251" w:type="dxa"/>
          </w:tcPr>
          <w:p w:rsidR="003C462E" w:rsidRDefault="0064090C">
            <w:pPr>
              <w:pStyle w:val="TableParagraph"/>
              <w:spacing w:before="227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$78,516</w:t>
            </w:r>
          </w:p>
        </w:tc>
      </w:tr>
      <w:tr w:rsidR="003C462E">
        <w:trPr>
          <w:trHeight w:val="748"/>
        </w:trPr>
        <w:tc>
          <w:tcPr>
            <w:tcW w:w="1255" w:type="dxa"/>
          </w:tcPr>
          <w:p w:rsidR="003C462E" w:rsidRDefault="0064090C">
            <w:pPr>
              <w:pStyle w:val="TableParagraph"/>
              <w:ind w:left="380" w:right="31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0" w:type="dxa"/>
          </w:tcPr>
          <w:p w:rsidR="003C462E" w:rsidRDefault="0064090C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351" w:type="dxa"/>
          </w:tcPr>
          <w:p w:rsidR="003C462E" w:rsidRDefault="0064090C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3C462E" w:rsidRDefault="0064090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2069" w:type="dxa"/>
          </w:tcPr>
          <w:p w:rsidR="003C462E" w:rsidRDefault="0064090C">
            <w:pPr>
              <w:pStyle w:val="TableParagraph"/>
              <w:ind w:left="620" w:right="531"/>
              <w:jc w:val="center"/>
              <w:rPr>
                <w:sz w:val="24"/>
              </w:rPr>
            </w:pPr>
            <w:r>
              <w:rPr>
                <w:sz w:val="24"/>
              </w:rPr>
              <w:t>$290.80</w:t>
            </w:r>
          </w:p>
        </w:tc>
        <w:tc>
          <w:tcPr>
            <w:tcW w:w="2251" w:type="dxa"/>
          </w:tcPr>
          <w:p w:rsidR="003C462E" w:rsidRDefault="0064090C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$78,516</w:t>
            </w:r>
          </w:p>
        </w:tc>
      </w:tr>
    </w:tbl>
    <w:p w:rsidR="003C462E" w:rsidRDefault="003C462E">
      <w:pPr>
        <w:pStyle w:val="BodyText"/>
        <w:rPr>
          <w:b/>
          <w:sz w:val="26"/>
        </w:rPr>
      </w:pPr>
    </w:p>
    <w:p w:rsidR="003C462E" w:rsidRDefault="003C462E">
      <w:pPr>
        <w:pStyle w:val="BodyText"/>
        <w:spacing w:before="7"/>
        <w:rPr>
          <w:b/>
          <w:sz w:val="25"/>
        </w:rPr>
      </w:pPr>
    </w:p>
    <w:p w:rsidR="003C462E" w:rsidRDefault="0064090C">
      <w:pPr>
        <w:spacing w:before="1"/>
        <w:ind w:left="120"/>
        <w:rPr>
          <w:b/>
          <w:sz w:val="24"/>
        </w:rPr>
      </w:pPr>
      <w:r>
        <w:rPr>
          <w:b/>
          <w:sz w:val="24"/>
          <w:u w:val="thick"/>
        </w:rPr>
        <w:t>Table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Summary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Annual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Total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Burden</w:t>
      </w:r>
    </w:p>
    <w:p w:rsidR="003C462E" w:rsidRDefault="003C462E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880"/>
        <w:gridCol w:w="1620"/>
        <w:gridCol w:w="1531"/>
      </w:tblGrid>
      <w:tr w:rsidR="003C462E">
        <w:trPr>
          <w:trHeight w:val="856"/>
        </w:trPr>
        <w:tc>
          <w:tcPr>
            <w:tcW w:w="3595" w:type="dxa"/>
          </w:tcPr>
          <w:p w:rsidR="003C462E" w:rsidRDefault="003C46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C462E" w:rsidRDefault="0064090C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Table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Number: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880" w:type="dxa"/>
          </w:tcPr>
          <w:p w:rsidR="003C462E" w:rsidRDefault="003C46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C462E" w:rsidRDefault="0064090C">
            <w:pPr>
              <w:pStyle w:val="TableParagraph"/>
              <w:spacing w:before="0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</w:p>
        </w:tc>
        <w:tc>
          <w:tcPr>
            <w:tcW w:w="1620" w:type="dxa"/>
          </w:tcPr>
          <w:p w:rsidR="003C462E" w:rsidRDefault="0064090C">
            <w:pPr>
              <w:pStyle w:val="TableParagraph"/>
              <w:spacing w:before="140" w:line="249" w:lineRule="auto"/>
              <w:ind w:left="499" w:right="68" w:hanging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531" w:type="dxa"/>
          </w:tcPr>
          <w:p w:rsidR="003C462E" w:rsidRDefault="0064090C">
            <w:pPr>
              <w:pStyle w:val="TableParagraph"/>
              <w:spacing w:before="0" w:line="247" w:lineRule="auto"/>
              <w:ind w:left="391" w:right="336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</w:p>
          <w:p w:rsidR="003C462E" w:rsidRDefault="0064090C">
            <w:pPr>
              <w:pStyle w:val="TableParagraph"/>
              <w:spacing w:before="1" w:line="266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Costs</w:t>
            </w:r>
          </w:p>
        </w:tc>
      </w:tr>
      <w:tr w:rsidR="003C462E">
        <w:trPr>
          <w:trHeight w:val="573"/>
        </w:trPr>
        <w:tc>
          <w:tcPr>
            <w:tcW w:w="3595" w:type="dxa"/>
          </w:tcPr>
          <w:p w:rsidR="003C462E" w:rsidRDefault="0064090C"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Issuers</w:t>
            </w:r>
          </w:p>
        </w:tc>
        <w:tc>
          <w:tcPr>
            <w:tcW w:w="2880" w:type="dxa"/>
          </w:tcPr>
          <w:p w:rsidR="003C462E" w:rsidRDefault="0064090C">
            <w:pPr>
              <w:pStyle w:val="TableParagraph"/>
              <w:spacing w:before="0" w:line="275" w:lineRule="exact"/>
              <w:ind w:left="421" w:right="39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C.F.R. § 156.235,</w:t>
            </w:r>
          </w:p>
          <w:p w:rsidR="003C462E" w:rsidRDefault="0064090C">
            <w:pPr>
              <w:pStyle w:val="TableParagraph"/>
              <w:spacing w:before="9" w:line="269" w:lineRule="exact"/>
              <w:ind w:left="421" w:right="385"/>
              <w:jc w:val="center"/>
              <w:rPr>
                <w:sz w:val="24"/>
              </w:rPr>
            </w:pPr>
            <w:r>
              <w:rPr>
                <w:sz w:val="24"/>
              </w:rPr>
              <w:t>156.230</w:t>
            </w:r>
          </w:p>
        </w:tc>
        <w:tc>
          <w:tcPr>
            <w:tcW w:w="1620" w:type="dxa"/>
          </w:tcPr>
          <w:p w:rsidR="003C462E" w:rsidRDefault="0064090C">
            <w:pPr>
              <w:pStyle w:val="TableParagraph"/>
              <w:spacing w:before="143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4,300</w:t>
            </w:r>
          </w:p>
        </w:tc>
        <w:tc>
          <w:tcPr>
            <w:tcW w:w="1531" w:type="dxa"/>
          </w:tcPr>
          <w:p w:rsidR="003C462E" w:rsidRDefault="0064090C">
            <w:pPr>
              <w:pStyle w:val="TableParagraph"/>
              <w:spacing w:before="143"/>
              <w:ind w:left="303" w:right="277"/>
              <w:jc w:val="center"/>
              <w:rPr>
                <w:sz w:val="24"/>
              </w:rPr>
            </w:pPr>
            <w:r>
              <w:rPr>
                <w:sz w:val="24"/>
              </w:rPr>
              <w:t>$312,610</w:t>
            </w:r>
          </w:p>
        </w:tc>
      </w:tr>
      <w:tr w:rsidR="003C462E">
        <w:trPr>
          <w:trHeight w:val="573"/>
        </w:trPr>
        <w:tc>
          <w:tcPr>
            <w:tcW w:w="3595" w:type="dxa"/>
          </w:tcPr>
          <w:p w:rsidR="003C462E" w:rsidRDefault="0064090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Stand-Alone</w:t>
            </w:r>
          </w:p>
          <w:p w:rsidR="003C462E" w:rsidRDefault="0064090C">
            <w:pPr>
              <w:pStyle w:val="TableParagraph"/>
              <w:spacing w:before="9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Dental Issuers</w:t>
            </w:r>
          </w:p>
        </w:tc>
        <w:tc>
          <w:tcPr>
            <w:tcW w:w="2880" w:type="dxa"/>
          </w:tcPr>
          <w:p w:rsidR="003C462E" w:rsidRDefault="0064090C">
            <w:pPr>
              <w:pStyle w:val="TableParagraph"/>
              <w:spacing w:before="0" w:line="275" w:lineRule="exact"/>
              <w:ind w:left="421" w:right="39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C.F.R. § 156.235,</w:t>
            </w:r>
          </w:p>
          <w:p w:rsidR="003C462E" w:rsidRDefault="0064090C">
            <w:pPr>
              <w:pStyle w:val="TableParagraph"/>
              <w:spacing w:before="9" w:line="269" w:lineRule="exact"/>
              <w:ind w:left="421" w:right="385"/>
              <w:jc w:val="center"/>
              <w:rPr>
                <w:sz w:val="24"/>
              </w:rPr>
            </w:pPr>
            <w:r>
              <w:rPr>
                <w:sz w:val="24"/>
              </w:rPr>
              <w:t>156.230</w:t>
            </w:r>
          </w:p>
        </w:tc>
        <w:tc>
          <w:tcPr>
            <w:tcW w:w="1620" w:type="dxa"/>
          </w:tcPr>
          <w:p w:rsidR="003C462E" w:rsidRDefault="0064090C">
            <w:pPr>
              <w:pStyle w:val="TableParagraph"/>
              <w:spacing w:before="143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1531" w:type="dxa"/>
          </w:tcPr>
          <w:p w:rsidR="003C462E" w:rsidRDefault="0064090C">
            <w:pPr>
              <w:pStyle w:val="TableParagraph"/>
              <w:spacing w:before="143"/>
              <w:ind w:left="303" w:right="277"/>
              <w:jc w:val="center"/>
              <w:rPr>
                <w:sz w:val="24"/>
              </w:rPr>
            </w:pPr>
            <w:r>
              <w:rPr>
                <w:sz w:val="24"/>
              </w:rPr>
              <w:t>$78,516</w:t>
            </w:r>
          </w:p>
        </w:tc>
      </w:tr>
      <w:tr w:rsidR="003C462E">
        <w:trPr>
          <w:trHeight w:val="513"/>
        </w:trPr>
        <w:tc>
          <w:tcPr>
            <w:tcW w:w="3595" w:type="dxa"/>
          </w:tcPr>
          <w:p w:rsidR="003C462E" w:rsidRDefault="0064090C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880" w:type="dxa"/>
          </w:tcPr>
          <w:p w:rsidR="003C462E" w:rsidRDefault="003C462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20" w:type="dxa"/>
          </w:tcPr>
          <w:p w:rsidR="003C462E" w:rsidRDefault="0064090C">
            <w:pPr>
              <w:pStyle w:val="TableParagraph"/>
              <w:spacing w:before="11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5,380</w:t>
            </w:r>
          </w:p>
        </w:tc>
        <w:tc>
          <w:tcPr>
            <w:tcW w:w="1531" w:type="dxa"/>
          </w:tcPr>
          <w:p w:rsidR="003C462E" w:rsidRDefault="0064090C">
            <w:pPr>
              <w:pStyle w:val="TableParagraph"/>
              <w:spacing w:before="111"/>
              <w:ind w:left="303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$391,126</w:t>
            </w:r>
          </w:p>
        </w:tc>
      </w:tr>
    </w:tbl>
    <w:p w:rsidR="003C462E" w:rsidRDefault="003C462E">
      <w:pPr>
        <w:pStyle w:val="BodyText"/>
        <w:rPr>
          <w:b/>
          <w:sz w:val="26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spacing w:before="197"/>
        <w:ind w:left="472" w:hanging="368"/>
        <w:rPr>
          <w:sz w:val="24"/>
        </w:rPr>
      </w:pPr>
      <w:r>
        <w:rPr>
          <w:sz w:val="24"/>
          <w:u w:val="single"/>
        </w:rPr>
        <w:t>Capital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</w:p>
    <w:p w:rsidR="003C462E" w:rsidRDefault="003C462E">
      <w:pPr>
        <w:pStyle w:val="BodyText"/>
        <w:spacing w:before="10"/>
        <w:rPr>
          <w:sz w:val="19"/>
        </w:rPr>
      </w:pPr>
    </w:p>
    <w:p w:rsidR="003C462E" w:rsidRDefault="0064090C">
      <w:pPr>
        <w:pStyle w:val="BodyText"/>
        <w:spacing w:before="90"/>
        <w:ind w:left="105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anticipated capital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collections.</w:t>
      </w:r>
    </w:p>
    <w:p w:rsidR="003C462E" w:rsidRDefault="003C462E">
      <w:pPr>
        <w:sectPr w:rsidR="003C462E">
          <w:pgSz w:w="12240" w:h="15840"/>
          <w:pgMar w:top="1360" w:right="1040" w:bottom="960" w:left="1320" w:header="0" w:footer="767" w:gutter="0"/>
          <w:cols w:space="720"/>
        </w:sect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spacing w:before="79"/>
        <w:ind w:left="472" w:hanging="368"/>
        <w:rPr>
          <w:sz w:val="24"/>
        </w:rPr>
      </w:pPr>
      <w:bookmarkStart w:name="14._Cost_to_Federal_Government" w:id="14"/>
      <w:bookmarkEnd w:id="14"/>
      <w:r>
        <w:rPr>
          <w:sz w:val="24"/>
          <w:u w:val="single"/>
        </w:rPr>
        <w:lastRenderedPageBreak/>
        <w:t>Cost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 w:line="247" w:lineRule="auto"/>
        <w:ind w:left="115" w:right="800" w:hanging="10"/>
      </w:pPr>
      <w:r>
        <w:t>We estimate the operations and maintenance costs for the data collection tool and the data</w:t>
      </w:r>
      <w:r>
        <w:rPr>
          <w:spacing w:val="1"/>
        </w:rPr>
        <w:t xml:space="preserve"> </w:t>
      </w:r>
      <w:r>
        <w:t>collection support to have a total cost of $274,176 per year. The calculations for CCIIO</w:t>
      </w:r>
      <w:r>
        <w:rPr>
          <w:spacing w:val="1"/>
        </w:rPr>
        <w:t xml:space="preserve"> </w:t>
      </w:r>
      <w:r>
        <w:t>employees’</w:t>
      </w:r>
      <w:r>
        <w:rPr>
          <w:spacing w:val="-3"/>
        </w:rPr>
        <w:t xml:space="preserve"> </w:t>
      </w:r>
      <w:r>
        <w:t>hourly</w:t>
      </w:r>
      <w:r>
        <w:rPr>
          <w:spacing w:val="-2"/>
        </w:rPr>
        <w:t xml:space="preserve"> </w:t>
      </w:r>
      <w:r>
        <w:t>salary was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OPM</w:t>
      </w:r>
      <w:r>
        <w:rPr>
          <w:spacing w:val="-2"/>
        </w:rPr>
        <w:t xml:space="preserve"> </w:t>
      </w:r>
      <w:r>
        <w:t>website:</w:t>
      </w:r>
      <w:r>
        <w:rPr>
          <w:spacing w:val="-7"/>
        </w:rPr>
        <w:t xml:space="preserve"> </w:t>
      </w:r>
      <w:hyperlink r:id="rId10">
        <w:r>
          <w:rPr>
            <w:color w:val="0562C1"/>
            <w:u w:val="single" w:color="0562C1"/>
          </w:rPr>
          <w:t>https://www.opm.gov/policy-</w:t>
        </w:r>
      </w:hyperlink>
      <w:r>
        <w:rPr>
          <w:color w:val="0562C1"/>
          <w:spacing w:val="-57"/>
        </w:rPr>
        <w:t xml:space="preserve"> </w:t>
      </w:r>
      <w:hyperlink r:id="rId11">
        <w:r>
          <w:rPr>
            <w:color w:val="0562C1"/>
            <w:u w:val="single" w:color="0562C1"/>
          </w:rPr>
          <w:t>data-oversight/pay-leave/salaries-wages/salary-tables/pdf/2021/GS_h.pdf</w:t>
        </w:r>
      </w:hyperlink>
    </w:p>
    <w:p w:rsidR="003C462E" w:rsidRDefault="003C462E">
      <w:pPr>
        <w:pStyle w:val="BodyText"/>
        <w:spacing w:before="6"/>
        <w:rPr>
          <w:sz w:val="18"/>
        </w:rPr>
      </w:pPr>
    </w:p>
    <w:p w:rsidR="003C462E" w:rsidRDefault="0064090C">
      <w:pPr>
        <w:pStyle w:val="Heading1"/>
        <w:spacing w:before="90" w:line="247" w:lineRule="auto"/>
        <w:ind w:left="115" w:right="875" w:hanging="10"/>
      </w:pPr>
      <w:r>
        <w:t>Table 5. Administrative Bu</w:t>
      </w:r>
      <w:r>
        <w:t>rden Costs for the Federal Government Associated with the</w:t>
      </w:r>
      <w:r>
        <w:rPr>
          <w:spacing w:val="-58"/>
        </w:rPr>
        <w:t xml:space="preserve"> </w:t>
      </w:r>
      <w:r>
        <w:t>ECP/NA</w:t>
      </w:r>
      <w:r>
        <w:rPr>
          <w:spacing w:val="-2"/>
        </w:rPr>
        <w:t xml:space="preserve"> </w:t>
      </w:r>
      <w:r>
        <w:t>Collection</w:t>
      </w:r>
    </w:p>
    <w:p w:rsidR="003C462E" w:rsidRDefault="003C462E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3C462E">
        <w:trPr>
          <w:trHeight w:val="297"/>
        </w:trPr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</w:tr>
      <w:tr w:rsidR="003C462E">
        <w:trPr>
          <w:trHeight w:val="630"/>
        </w:trPr>
        <w:tc>
          <w:tcPr>
            <w:tcW w:w="4788" w:type="dxa"/>
          </w:tcPr>
          <w:p w:rsidR="003C462E" w:rsidRDefault="0064090C">
            <w:pPr>
              <w:pStyle w:val="TableParagraph"/>
              <w:spacing w:before="0" w:line="261" w:lineRule="auto"/>
              <w:ind w:left="4" w:right="435"/>
              <w:rPr>
                <w:sz w:val="24"/>
              </w:rPr>
            </w:pPr>
            <w:r>
              <w:rPr>
                <w:sz w:val="24"/>
              </w:rPr>
              <w:t>Operations, maintenance, and data collection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</w:tc>
        <w:tc>
          <w:tcPr>
            <w:tcW w:w="4788" w:type="dxa"/>
          </w:tcPr>
          <w:p w:rsidR="003C462E" w:rsidRDefault="003C462E">
            <w:pPr>
              <w:pStyle w:val="TableParagraph"/>
              <w:spacing w:before="0"/>
            </w:pPr>
          </w:p>
        </w:tc>
      </w:tr>
      <w:tr w:rsidR="003C462E">
        <w:trPr>
          <w:trHeight w:val="297"/>
        </w:trPr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 GS-13 (step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1):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 $76.16</w:t>
            </w:r>
            <w:hyperlink w:history="1" w:anchor="_bookmark0">
              <w:r>
                <w:rPr>
                  <w:sz w:val="24"/>
                  <w:vertAlign w:val="superscript"/>
                </w:rPr>
                <w:t>1</w:t>
              </w:r>
              <w:r>
                <w:rPr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x 1,800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$274,176</w:t>
            </w:r>
          </w:p>
        </w:tc>
      </w:tr>
      <w:tr w:rsidR="003C462E">
        <w:trPr>
          <w:trHeight w:val="299"/>
        </w:trPr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</w:tc>
        <w:tc>
          <w:tcPr>
            <w:tcW w:w="4788" w:type="dxa"/>
          </w:tcPr>
          <w:p w:rsidR="003C462E" w:rsidRDefault="0064090C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$274,176</w:t>
            </w:r>
          </w:p>
        </w:tc>
      </w:tr>
    </w:tbl>
    <w:p w:rsidR="003C462E" w:rsidRDefault="003C462E">
      <w:pPr>
        <w:pStyle w:val="BodyText"/>
        <w:spacing w:before="9"/>
        <w:rPr>
          <w:b/>
          <w:sz w:val="25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ind w:left="472" w:hanging="368"/>
        <w:rPr>
          <w:sz w:val="24"/>
        </w:rPr>
      </w:pPr>
      <w:bookmarkStart w:name="15._Changes_to_Burden" w:id="15"/>
      <w:bookmarkEnd w:id="15"/>
      <w:r>
        <w:rPr>
          <w:sz w:val="24"/>
          <w:u w:val="single"/>
        </w:rPr>
        <w:t>Changes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Burden</w:t>
      </w:r>
    </w:p>
    <w:p w:rsidR="003C462E" w:rsidRDefault="003C462E">
      <w:pPr>
        <w:pStyle w:val="BodyText"/>
        <w:spacing w:before="11"/>
        <w:rPr>
          <w:sz w:val="19"/>
        </w:rPr>
      </w:pPr>
    </w:p>
    <w:p w:rsidR="003C462E" w:rsidRDefault="0064090C">
      <w:pPr>
        <w:pStyle w:val="BodyText"/>
        <w:spacing w:before="90"/>
        <w:ind w:left="120"/>
      </w:pPr>
      <w:r>
        <w:t>There are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 this</w:t>
      </w:r>
      <w:r>
        <w:rPr>
          <w:spacing w:val="-1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collection.</w:t>
      </w:r>
    </w:p>
    <w:p w:rsidR="003C462E" w:rsidRDefault="003C462E">
      <w:pPr>
        <w:pStyle w:val="BodyText"/>
        <w:spacing w:before="10"/>
        <w:rPr>
          <w:sz w:val="25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ind w:left="472" w:hanging="368"/>
        <w:rPr>
          <w:sz w:val="24"/>
        </w:rPr>
      </w:pPr>
      <w:bookmarkStart w:name="16._Publication/Tabulation_Dates" w:id="16"/>
      <w:bookmarkEnd w:id="16"/>
      <w:r>
        <w:rPr>
          <w:sz w:val="24"/>
          <w:u w:val="single"/>
        </w:rPr>
        <w:t>Publication/Tabulation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Dates</w:t>
      </w:r>
    </w:p>
    <w:p w:rsidR="003C462E" w:rsidRDefault="003C462E">
      <w:pPr>
        <w:pStyle w:val="BodyText"/>
        <w:spacing w:before="10"/>
        <w:rPr>
          <w:sz w:val="19"/>
        </w:rPr>
      </w:pPr>
    </w:p>
    <w:p w:rsidR="003C462E" w:rsidRDefault="0064090C">
      <w:pPr>
        <w:spacing w:before="90" w:line="259" w:lineRule="auto"/>
        <w:ind w:left="120" w:right="153"/>
        <w:rPr>
          <w:sz w:val="23"/>
        </w:rPr>
      </w:pPr>
      <w:r>
        <w:rPr>
          <w:sz w:val="23"/>
        </w:rPr>
        <w:t xml:space="preserve">The information collected on the ECP/NA template and in the </w:t>
      </w:r>
      <w:proofErr w:type="gramStart"/>
      <w:r>
        <w:rPr>
          <w:sz w:val="23"/>
        </w:rPr>
        <w:t>Issuer</w:t>
      </w:r>
      <w:proofErr w:type="gramEnd"/>
      <w:r>
        <w:rPr>
          <w:sz w:val="23"/>
        </w:rPr>
        <w:t xml:space="preserve"> Module is used to assess</w:t>
      </w:r>
      <w:r>
        <w:rPr>
          <w:spacing w:val="1"/>
          <w:sz w:val="23"/>
        </w:rPr>
        <w:t xml:space="preserve"> </w:t>
      </w:r>
      <w:r>
        <w:rPr>
          <w:sz w:val="23"/>
        </w:rPr>
        <w:t>compliance with ECP and network adequacy standards for the purpose of the QHP certification process.</w:t>
      </w:r>
      <w:r>
        <w:rPr>
          <w:spacing w:val="-55"/>
          <w:sz w:val="23"/>
        </w:rPr>
        <w:t xml:space="preserve"> </w:t>
      </w:r>
      <w:r>
        <w:rPr>
          <w:sz w:val="23"/>
        </w:rPr>
        <w:t>The data</w:t>
      </w:r>
      <w:r>
        <w:rPr>
          <w:spacing w:val="-2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made</w:t>
      </w:r>
      <w:r>
        <w:rPr>
          <w:spacing w:val="1"/>
          <w:sz w:val="23"/>
        </w:rPr>
        <w:t xml:space="preserve"> </w:t>
      </w:r>
      <w:r>
        <w:rPr>
          <w:sz w:val="23"/>
        </w:rPr>
        <w:t>public.</w:t>
      </w:r>
    </w:p>
    <w:p w:rsidR="003C462E" w:rsidRDefault="003C462E">
      <w:pPr>
        <w:pStyle w:val="BodyText"/>
        <w:spacing w:before="10"/>
        <w:rPr>
          <w:sz w:val="25"/>
        </w:rPr>
      </w:pPr>
    </w:p>
    <w:p w:rsidR="003C462E" w:rsidRDefault="0064090C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left="472" w:hanging="368"/>
        <w:rPr>
          <w:sz w:val="24"/>
        </w:rPr>
      </w:pPr>
      <w:bookmarkStart w:name="17._Expiration_Date" w:id="17"/>
      <w:bookmarkEnd w:id="17"/>
      <w:r>
        <w:rPr>
          <w:sz w:val="24"/>
          <w:u w:val="single"/>
        </w:rPr>
        <w:t>Expiration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</w:p>
    <w:p w:rsidR="003C462E" w:rsidRDefault="003C462E">
      <w:pPr>
        <w:pStyle w:val="BodyText"/>
        <w:spacing w:before="10"/>
        <w:rPr>
          <w:sz w:val="19"/>
        </w:rPr>
      </w:pPr>
    </w:p>
    <w:p w:rsidR="003C462E" w:rsidRDefault="0064090C">
      <w:pPr>
        <w:pStyle w:val="BodyText"/>
        <w:spacing w:before="90" w:line="247" w:lineRule="auto"/>
        <w:ind w:left="115" w:right="297" w:hanging="10"/>
      </w:pPr>
      <w:r>
        <w:t>The expiration date and OMB control number will appear on the first page of the instrument in the</w:t>
      </w:r>
      <w:r>
        <w:rPr>
          <w:spacing w:val="-58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right</w:t>
      </w:r>
      <w:r>
        <w:t xml:space="preserve"> corner.</w:t>
      </w: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3C462E">
      <w:pPr>
        <w:pStyle w:val="BodyText"/>
        <w:rPr>
          <w:sz w:val="20"/>
        </w:rPr>
      </w:pPr>
    </w:p>
    <w:p w:rsidR="003C462E" w:rsidRDefault="0064090C">
      <w:pPr>
        <w:pStyle w:val="BodyText"/>
        <w:spacing w:before="10"/>
        <w:rPr>
          <w:sz w:val="16"/>
        </w:rPr>
      </w:pPr>
      <w:r>
        <w:pict>
          <v:rect id="_x0000_s2050" style="position:absolute;margin-left:1in;margin-top:11.6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3C462E" w:rsidRDefault="0064090C">
      <w:pPr>
        <w:spacing w:before="97"/>
        <w:ind w:left="120"/>
        <w:rPr>
          <w:sz w:val="20"/>
        </w:rPr>
      </w:pPr>
      <w:bookmarkStart w:name="_bookmark0" w:id="18"/>
      <w:bookmarkEnd w:id="18"/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1"/>
          <w:sz w:val="20"/>
        </w:rPr>
        <w:t xml:space="preserve"> </w:t>
      </w:r>
      <w:r>
        <w:rPr>
          <w:sz w:val="20"/>
        </w:rPr>
        <w:t>Hourly</w:t>
      </w:r>
      <w:r>
        <w:rPr>
          <w:spacing w:val="-3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100%</w:t>
      </w:r>
      <w:r>
        <w:rPr>
          <w:spacing w:val="-2"/>
          <w:sz w:val="20"/>
        </w:rPr>
        <w:t xml:space="preserve"> </w:t>
      </w:r>
      <w:r>
        <w:rPr>
          <w:sz w:val="20"/>
        </w:rPr>
        <w:t>fringe</w:t>
      </w:r>
      <w:r>
        <w:rPr>
          <w:spacing w:val="-2"/>
          <w:sz w:val="20"/>
        </w:rPr>
        <w:t xml:space="preserve"> </w:t>
      </w:r>
      <w:r>
        <w:rPr>
          <w:sz w:val="20"/>
        </w:rPr>
        <w:t>benefit</w:t>
      </w:r>
      <w:r>
        <w:rPr>
          <w:spacing w:val="-5"/>
          <w:sz w:val="20"/>
        </w:rPr>
        <w:t xml:space="preserve"> </w:t>
      </w:r>
      <w:r>
        <w:rPr>
          <w:sz w:val="20"/>
        </w:rPr>
        <w:t>rate.</w:t>
      </w:r>
    </w:p>
    <w:sectPr w:rsidR="003C462E">
      <w:pgSz w:w="12240" w:h="15840"/>
      <w:pgMar w:top="1360" w:right="1040" w:bottom="960" w:left="13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4090C">
      <w:r>
        <w:separator/>
      </w:r>
    </w:p>
  </w:endnote>
  <w:endnote w:type="continuationSeparator" w:id="0">
    <w:p w:rsidR="00000000" w:rsidRDefault="0064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62E" w:rsidRDefault="0064090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05pt;margin-top:742.65pt;width:11.6pt;height:13.05pt;z-index:-251658752;mso-position-horizontal-relative:page;mso-position-vertical-relative:page" filled="f" stroked="f">
          <v:textbox inset="0,0,0,0">
            <w:txbxContent>
              <w:p w:rsidR="003C462E" w:rsidRDefault="006409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4090C">
      <w:r>
        <w:separator/>
      </w:r>
    </w:p>
  </w:footnote>
  <w:footnote w:type="continuationSeparator" w:id="0">
    <w:p w:rsidR="00000000" w:rsidRDefault="0064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5F95"/>
    <w:multiLevelType w:val="hybridMultilevel"/>
    <w:tmpl w:val="1EC86436"/>
    <w:lvl w:ilvl="0" w:tplc="D7FEAF96">
      <w:start w:val="1"/>
      <w:numFmt w:val="upperLetter"/>
      <w:lvlText w:val="%1."/>
      <w:lvlJc w:val="left"/>
      <w:pPr>
        <w:ind w:left="518" w:hanging="4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u w:val="thick" w:color="000000"/>
        <w:lang w:val="en-US" w:eastAsia="en-US" w:bidi="ar-SA"/>
      </w:rPr>
    </w:lvl>
    <w:lvl w:ilvl="1" w:tplc="8F760F00">
      <w:numFmt w:val="bullet"/>
      <w:lvlText w:val="•"/>
      <w:lvlJc w:val="left"/>
      <w:pPr>
        <w:ind w:left="1456" w:hanging="413"/>
      </w:pPr>
      <w:rPr>
        <w:rFonts w:hint="default"/>
        <w:lang w:val="en-US" w:eastAsia="en-US" w:bidi="ar-SA"/>
      </w:rPr>
    </w:lvl>
    <w:lvl w:ilvl="2" w:tplc="CE4028EC">
      <w:numFmt w:val="bullet"/>
      <w:lvlText w:val="•"/>
      <w:lvlJc w:val="left"/>
      <w:pPr>
        <w:ind w:left="2392" w:hanging="413"/>
      </w:pPr>
      <w:rPr>
        <w:rFonts w:hint="default"/>
        <w:lang w:val="en-US" w:eastAsia="en-US" w:bidi="ar-SA"/>
      </w:rPr>
    </w:lvl>
    <w:lvl w:ilvl="3" w:tplc="4238E3A4">
      <w:numFmt w:val="bullet"/>
      <w:lvlText w:val="•"/>
      <w:lvlJc w:val="left"/>
      <w:pPr>
        <w:ind w:left="3328" w:hanging="413"/>
      </w:pPr>
      <w:rPr>
        <w:rFonts w:hint="default"/>
        <w:lang w:val="en-US" w:eastAsia="en-US" w:bidi="ar-SA"/>
      </w:rPr>
    </w:lvl>
    <w:lvl w:ilvl="4" w:tplc="C82CEB18">
      <w:numFmt w:val="bullet"/>
      <w:lvlText w:val="•"/>
      <w:lvlJc w:val="left"/>
      <w:pPr>
        <w:ind w:left="4264" w:hanging="413"/>
      </w:pPr>
      <w:rPr>
        <w:rFonts w:hint="default"/>
        <w:lang w:val="en-US" w:eastAsia="en-US" w:bidi="ar-SA"/>
      </w:rPr>
    </w:lvl>
    <w:lvl w:ilvl="5" w:tplc="A448CB30">
      <w:numFmt w:val="bullet"/>
      <w:lvlText w:val="•"/>
      <w:lvlJc w:val="left"/>
      <w:pPr>
        <w:ind w:left="5200" w:hanging="413"/>
      </w:pPr>
      <w:rPr>
        <w:rFonts w:hint="default"/>
        <w:lang w:val="en-US" w:eastAsia="en-US" w:bidi="ar-SA"/>
      </w:rPr>
    </w:lvl>
    <w:lvl w:ilvl="6" w:tplc="ABB03332">
      <w:numFmt w:val="bullet"/>
      <w:lvlText w:val="•"/>
      <w:lvlJc w:val="left"/>
      <w:pPr>
        <w:ind w:left="6136" w:hanging="413"/>
      </w:pPr>
      <w:rPr>
        <w:rFonts w:hint="default"/>
        <w:lang w:val="en-US" w:eastAsia="en-US" w:bidi="ar-SA"/>
      </w:rPr>
    </w:lvl>
    <w:lvl w:ilvl="7" w:tplc="75B2BDFA">
      <w:numFmt w:val="bullet"/>
      <w:lvlText w:val="•"/>
      <w:lvlJc w:val="left"/>
      <w:pPr>
        <w:ind w:left="7072" w:hanging="413"/>
      </w:pPr>
      <w:rPr>
        <w:rFonts w:hint="default"/>
        <w:lang w:val="en-US" w:eastAsia="en-US" w:bidi="ar-SA"/>
      </w:rPr>
    </w:lvl>
    <w:lvl w:ilvl="8" w:tplc="DB5C04E8">
      <w:numFmt w:val="bullet"/>
      <w:lvlText w:val="•"/>
      <w:lvlJc w:val="left"/>
      <w:pPr>
        <w:ind w:left="8008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72CF39EE"/>
    <w:multiLevelType w:val="hybridMultilevel"/>
    <w:tmpl w:val="250209AE"/>
    <w:lvl w:ilvl="0" w:tplc="CC4C013E">
      <w:start w:val="1"/>
      <w:numFmt w:val="decimal"/>
      <w:lvlText w:val="%1."/>
      <w:lvlJc w:val="left"/>
      <w:pPr>
        <w:ind w:left="35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9C464F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8A16CDF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95C4100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DEB41EB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F55C92EE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 w:tplc="5136F652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712632CE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99D63D48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2E"/>
    <w:rsid w:val="003C462E"/>
    <w:rsid w:val="006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8FA3FEF6-B0D7-4223-B52D-938EAE4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8" w:right="3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2" w:hanging="248"/>
    </w:pPr>
  </w:style>
  <w:style w:type="paragraph" w:customStyle="1" w:styleId="TableParagraph">
    <w:name w:val="Table Paragraph"/>
    <w:basedOn w:val="Normal"/>
    <w:uiPriority w:val="1"/>
    <w:qFormat/>
    <w:pPr>
      <w:spacing w:before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3104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m.gov/policy-data-oversight/pay-leave/salaries-wages/salary-tables/pdf/2021/GS_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pm.gov/policy-data-oversight/pay-leave/salaries-wages/salary-tables/pdf/2021/GS_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es/current/oes13104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2435</Words>
  <Characters>13885</Characters>
  <Application>Microsoft Office Word</Application>
  <DocSecurity>0</DocSecurity>
  <Lines>115</Lines>
  <Paragraphs>32</Paragraphs>
  <ScaleCrop>false</ScaleCrop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Continuation of Data Collection to Support QHP Certification and other Financial Management and Exchange Operations</dc:title>
  <dc:subject>Supporting Statement for Continuation of Data Collection to Support QHP Certification and other Financial Management and Exchange Operations</dc:subject>
  <dc:creator>Centers for Medicare &amp; Medicaid Services</dc:creator>
  <cp:keywords>Essential Community Provider-Network Adequacy; ECP/NA; Centers for Medicare &amp; Medicaid Services; CMS; Qualified Health Plan; QHP; essential community provider; ECP; </cp:keywords>
  <cp:lastModifiedBy>JAMAA HILL</cp:lastModifiedBy>
  <cp:revision>2</cp:revision>
  <dcterms:created xsi:type="dcterms:W3CDTF">2022-01-11T21:33:00Z</dcterms:created>
  <dcterms:modified xsi:type="dcterms:W3CDTF">2022-01-11T21:34:00Z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2022-01-11T00:00:00Z</vt:filetime>
  </property>
</Properties>
</file>