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48BE" w:rsidR="001F47B7" w:rsidP="006C63E2" w:rsidRDefault="001F47B7" w14:paraId="2F9C0145" w14:textId="5F35487F">
      <w:pPr>
        <w:pStyle w:val="PlainText"/>
        <w:rPr>
          <w:rFonts w:ascii="Times New Roman" w:hAnsi="Times New Roman" w:cs="Times New Roman"/>
          <w:sz w:val="24"/>
          <w:szCs w:val="24"/>
        </w:rPr>
      </w:pPr>
      <w:bookmarkStart w:name="_GoBack" w:id="0"/>
      <w:bookmarkEnd w:id="0"/>
      <w:r w:rsidRPr="001E48BE">
        <w:rPr>
          <w:rFonts w:ascii="Times New Roman" w:hAnsi="Times New Roman" w:cs="Times New Roman"/>
          <w:sz w:val="24"/>
          <w:szCs w:val="24"/>
        </w:rPr>
        <w:t>Supporting Statement B</w:t>
      </w:r>
    </w:p>
    <w:p w:rsidRPr="001E48BE" w:rsidR="001F47B7" w:rsidP="006C63E2" w:rsidRDefault="001F47B7" w14:paraId="2E18CFEF" w14:textId="77777777">
      <w:pPr>
        <w:pStyle w:val="PlainText"/>
        <w:rPr>
          <w:rFonts w:ascii="Times New Roman" w:hAnsi="Times New Roman" w:cs="Times New Roman"/>
          <w:sz w:val="24"/>
          <w:szCs w:val="24"/>
        </w:rPr>
      </w:pPr>
    </w:p>
    <w:p w:rsidRPr="001E48BE" w:rsidR="00700270" w:rsidP="006C63E2" w:rsidRDefault="00EA3FFB" w14:paraId="482DDDA0" w14:textId="05CD49FC">
      <w:pPr>
        <w:pStyle w:val="PlainText"/>
        <w:rPr>
          <w:rFonts w:ascii="Times New Roman" w:hAnsi="Times New Roman" w:cs="Times New Roman"/>
          <w:sz w:val="24"/>
          <w:szCs w:val="24"/>
        </w:rPr>
      </w:pPr>
      <w:r w:rsidRPr="001E48BE">
        <w:rPr>
          <w:rFonts w:ascii="Times New Roman" w:hAnsi="Times New Roman" w:cs="Times New Roman"/>
          <w:sz w:val="24"/>
          <w:szCs w:val="24"/>
        </w:rPr>
        <w:t>B. Collections of Information Employing Statistical Methods.</w:t>
      </w:r>
    </w:p>
    <w:p w:rsidRPr="001E48BE" w:rsidR="0019637F" w:rsidP="006C63E2" w:rsidRDefault="0019637F" w14:paraId="106409F7" w14:textId="77777777">
      <w:pPr>
        <w:pStyle w:val="PlainText"/>
        <w:rPr>
          <w:rFonts w:ascii="Times New Roman" w:hAnsi="Times New Roman" w:cs="Times New Roman"/>
          <w:sz w:val="24"/>
          <w:szCs w:val="24"/>
        </w:rPr>
      </w:pPr>
    </w:p>
    <w:p w:rsidRPr="001E48BE" w:rsidR="00700270" w:rsidP="006C63E2" w:rsidRDefault="00EA3FFB" w14:paraId="13432F9B" w14:textId="70FA33C9">
      <w:pPr>
        <w:pStyle w:val="PlainText"/>
        <w:rPr>
          <w:rFonts w:ascii="Times New Roman" w:hAnsi="Times New Roman" w:cs="Times New Roman"/>
          <w:sz w:val="24"/>
          <w:szCs w:val="24"/>
        </w:rPr>
      </w:pPr>
      <w:r w:rsidRPr="001E48BE">
        <w:rPr>
          <w:rFonts w:ascii="Times New Roman" w:hAnsi="Times New Roman" w:cs="Times New Roman"/>
          <w:sz w:val="24"/>
          <w:szCs w:val="24"/>
        </w:rPr>
        <w:t>The agency should be prepared to justify its decision not to use</w:t>
      </w:r>
      <w:r w:rsidRPr="001E48BE" w:rsidR="0019637F">
        <w:rPr>
          <w:rFonts w:ascii="Times New Roman" w:hAnsi="Times New Roman" w:cs="Times New Roman"/>
          <w:sz w:val="24"/>
          <w:szCs w:val="24"/>
        </w:rPr>
        <w:t xml:space="preserve"> </w:t>
      </w:r>
      <w:r w:rsidRPr="001E48BE">
        <w:rPr>
          <w:rFonts w:ascii="Times New Roman" w:hAnsi="Times New Roman" w:cs="Times New Roman"/>
          <w:sz w:val="24"/>
          <w:szCs w:val="24"/>
        </w:rPr>
        <w:t>statistical methods in any case where such methods might reduce burden</w:t>
      </w:r>
      <w:r w:rsidRPr="001E48BE" w:rsidR="0019637F">
        <w:rPr>
          <w:rFonts w:ascii="Times New Roman" w:hAnsi="Times New Roman" w:cs="Times New Roman"/>
          <w:sz w:val="24"/>
          <w:szCs w:val="24"/>
        </w:rPr>
        <w:t xml:space="preserve"> </w:t>
      </w:r>
      <w:r w:rsidRPr="001E48BE">
        <w:rPr>
          <w:rFonts w:ascii="Times New Roman" w:hAnsi="Times New Roman" w:cs="Times New Roman"/>
          <w:sz w:val="24"/>
          <w:szCs w:val="24"/>
        </w:rPr>
        <w:t>or improve accuracy of results. When Item 17 on the OMB Form 83-I is</w:t>
      </w:r>
      <w:r w:rsidRPr="001E48BE" w:rsidR="0019637F">
        <w:rPr>
          <w:rFonts w:ascii="Times New Roman" w:hAnsi="Times New Roman" w:cs="Times New Roman"/>
          <w:sz w:val="24"/>
          <w:szCs w:val="24"/>
        </w:rPr>
        <w:t xml:space="preserve"> </w:t>
      </w:r>
      <w:r w:rsidRPr="001E48BE">
        <w:rPr>
          <w:rFonts w:ascii="Times New Roman" w:hAnsi="Times New Roman" w:cs="Times New Roman"/>
          <w:sz w:val="24"/>
          <w:szCs w:val="24"/>
        </w:rPr>
        <w:t>marked "Yes," the following documentation should be included in the</w:t>
      </w:r>
      <w:r w:rsidRPr="001E48BE" w:rsidR="0019637F">
        <w:rPr>
          <w:rFonts w:ascii="Times New Roman" w:hAnsi="Times New Roman" w:cs="Times New Roman"/>
          <w:sz w:val="24"/>
          <w:szCs w:val="24"/>
        </w:rPr>
        <w:t xml:space="preserve"> </w:t>
      </w:r>
      <w:r w:rsidRPr="001E48BE">
        <w:rPr>
          <w:rFonts w:ascii="Times New Roman" w:hAnsi="Times New Roman" w:cs="Times New Roman"/>
          <w:sz w:val="24"/>
          <w:szCs w:val="24"/>
        </w:rPr>
        <w:t>Supporting Statement to the extent that it applies to the methods</w:t>
      </w:r>
      <w:r w:rsidRPr="001E48BE" w:rsidR="0019637F">
        <w:rPr>
          <w:rFonts w:ascii="Times New Roman" w:hAnsi="Times New Roman" w:cs="Times New Roman"/>
          <w:sz w:val="24"/>
          <w:szCs w:val="24"/>
        </w:rPr>
        <w:t xml:space="preserve"> </w:t>
      </w:r>
      <w:r w:rsidRPr="001E48BE">
        <w:rPr>
          <w:rFonts w:ascii="Times New Roman" w:hAnsi="Times New Roman" w:cs="Times New Roman"/>
          <w:sz w:val="24"/>
          <w:szCs w:val="24"/>
        </w:rPr>
        <w:t>proposed:</w:t>
      </w:r>
    </w:p>
    <w:p w:rsidRPr="001E48BE" w:rsidR="00700270" w:rsidP="006C63E2" w:rsidRDefault="00700270" w14:paraId="088EB2D4" w14:textId="77777777">
      <w:pPr>
        <w:pStyle w:val="PlainText"/>
        <w:rPr>
          <w:rFonts w:ascii="Times New Roman" w:hAnsi="Times New Roman" w:cs="Times New Roman"/>
          <w:sz w:val="24"/>
          <w:szCs w:val="24"/>
        </w:rPr>
      </w:pPr>
    </w:p>
    <w:p w:rsidRPr="001E48BE" w:rsidR="00700270" w:rsidP="006C63E2" w:rsidRDefault="2C1D3D4D" w14:paraId="5B88E516" w14:textId="6B68FD63">
      <w:pPr>
        <w:pStyle w:val="PlainText"/>
        <w:rPr>
          <w:rFonts w:ascii="Times New Roman" w:hAnsi="Times New Roman" w:cs="Times New Roman"/>
          <w:sz w:val="24"/>
          <w:szCs w:val="24"/>
        </w:rPr>
      </w:pPr>
      <w:r w:rsidRPr="001E48BE">
        <w:rPr>
          <w:rFonts w:ascii="Times New Roman" w:hAnsi="Times New Roman" w:cs="Times New Roman"/>
          <w:sz w:val="24"/>
          <w:szCs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1E48BE" w:rsidR="0019637F" w:rsidP="006C63E2" w:rsidRDefault="0019637F" w14:paraId="71F5BFAD" w14:textId="15502931">
      <w:pPr>
        <w:pStyle w:val="PlainText"/>
        <w:rPr>
          <w:rFonts w:ascii="Times New Roman" w:hAnsi="Times New Roman" w:cs="Times New Roman"/>
          <w:sz w:val="24"/>
          <w:szCs w:val="24"/>
        </w:rPr>
      </w:pPr>
    </w:p>
    <w:p w:rsidRPr="001E48BE" w:rsidR="00FA2FB9" w:rsidP="1DFA0A07" w:rsidRDefault="2C281F30" w14:paraId="32E9313A" w14:textId="7BE38995">
      <w:pPr>
        <w:pStyle w:val="PlainText"/>
        <w:ind w:left="720"/>
        <w:rPr>
          <w:rFonts w:ascii="Times New Roman" w:hAnsi="Times New Roman" w:cs="Times New Roman"/>
          <w:sz w:val="24"/>
          <w:szCs w:val="24"/>
        </w:rPr>
      </w:pPr>
      <w:r w:rsidRPr="001E48BE">
        <w:rPr>
          <w:rFonts w:ascii="Times New Roman" w:hAnsi="Times New Roman" w:cs="Times New Roman"/>
          <w:sz w:val="24"/>
          <w:szCs w:val="24"/>
        </w:rPr>
        <w:t xml:space="preserve">The respondent universe consists of all policies in </w:t>
      </w:r>
      <w:r w:rsidRPr="001E48BE" w:rsidR="00296711">
        <w:rPr>
          <w:rFonts w:ascii="Times New Roman" w:hAnsi="Times New Roman" w:cs="Times New Roman"/>
          <w:sz w:val="24"/>
          <w:szCs w:val="24"/>
        </w:rPr>
        <w:t>S</w:t>
      </w:r>
      <w:r w:rsidRPr="001E48BE">
        <w:rPr>
          <w:rFonts w:ascii="Times New Roman" w:hAnsi="Times New Roman" w:cs="Times New Roman"/>
          <w:sz w:val="24"/>
          <w:szCs w:val="24"/>
        </w:rPr>
        <w:t xml:space="preserve">tate Exchanges that have received an APTC greater than $0 during the benefit year under consideration. There are 18 </w:t>
      </w:r>
      <w:r w:rsidRPr="001E48BE" w:rsidR="00296711">
        <w:rPr>
          <w:rFonts w:ascii="Times New Roman" w:hAnsi="Times New Roman" w:cs="Times New Roman"/>
          <w:sz w:val="24"/>
          <w:szCs w:val="24"/>
        </w:rPr>
        <w:t>S</w:t>
      </w:r>
      <w:r w:rsidRPr="001E48BE">
        <w:rPr>
          <w:rFonts w:ascii="Times New Roman" w:hAnsi="Times New Roman" w:cs="Times New Roman"/>
          <w:sz w:val="24"/>
          <w:szCs w:val="24"/>
        </w:rPr>
        <w:t xml:space="preserve">tate Exchanges at this point in time. </w:t>
      </w:r>
    </w:p>
    <w:p w:rsidRPr="001E48BE" w:rsidR="00FA2FB9" w:rsidP="1DFA0A07" w:rsidRDefault="00FA2FB9" w14:paraId="41DA7AB5" w14:textId="77777777">
      <w:pPr>
        <w:pStyle w:val="PlainText"/>
        <w:ind w:left="720"/>
        <w:rPr>
          <w:rFonts w:ascii="Times New Roman" w:hAnsi="Times New Roman" w:cs="Times New Roman"/>
          <w:sz w:val="24"/>
          <w:szCs w:val="24"/>
        </w:rPr>
      </w:pPr>
    </w:p>
    <w:tbl>
      <w:tblPr>
        <w:tblStyle w:val="TableGrid"/>
        <w:tblW w:w="8783" w:type="dxa"/>
        <w:tblInd w:w="535" w:type="dxa"/>
        <w:tblLook w:val="04A0" w:firstRow="1" w:lastRow="0" w:firstColumn="1" w:lastColumn="0" w:noHBand="0" w:noVBand="1"/>
        <w:tblCaption w:val="State Exchanges Policies Table"/>
        <w:tblDescription w:val="This table provides the number of policies for each state exchange."/>
      </w:tblPr>
      <w:tblGrid>
        <w:gridCol w:w="2514"/>
        <w:gridCol w:w="6269"/>
      </w:tblGrid>
      <w:tr w:rsidRPr="00205548" w:rsidR="00FA2FB9" w:rsidTr="00296711" w14:paraId="1D3B70A2" w14:textId="77777777">
        <w:trPr>
          <w:trHeight w:val="300"/>
          <w:tblHeader/>
        </w:trPr>
        <w:tc>
          <w:tcPr>
            <w:tcW w:w="2514" w:type="dxa"/>
            <w:noWrap/>
            <w:hideMark/>
          </w:tcPr>
          <w:p w:rsidRPr="0046667B" w:rsidR="00FA2FB9" w:rsidP="000B7BB9" w:rsidRDefault="00FA2FB9" w14:paraId="75A25854" w14:textId="77777777">
            <w:pPr>
              <w:pStyle w:val="PlainText"/>
              <w:ind w:left="720"/>
              <w:rPr>
                <w:rFonts w:ascii="Times New Roman" w:hAnsi="Times New Roman" w:cs="Times New Roman"/>
                <w:b/>
                <w:bCs/>
                <w:sz w:val="24"/>
                <w:szCs w:val="24"/>
              </w:rPr>
            </w:pPr>
            <w:r w:rsidRPr="0046667B">
              <w:rPr>
                <w:rFonts w:ascii="Times New Roman" w:hAnsi="Times New Roman" w:cs="Times New Roman"/>
                <w:b/>
                <w:bCs/>
                <w:sz w:val="24"/>
                <w:szCs w:val="24"/>
              </w:rPr>
              <w:t>State Exchange</w:t>
            </w:r>
          </w:p>
        </w:tc>
        <w:tc>
          <w:tcPr>
            <w:tcW w:w="6269" w:type="dxa"/>
            <w:noWrap/>
            <w:hideMark/>
          </w:tcPr>
          <w:p w:rsidRPr="0046667B" w:rsidR="00FA2FB9" w:rsidP="000B7BB9" w:rsidRDefault="00FA2FB9" w14:paraId="702381E7" w14:textId="77777777">
            <w:pPr>
              <w:pStyle w:val="PlainText"/>
              <w:ind w:left="720"/>
              <w:rPr>
                <w:rFonts w:ascii="Times New Roman" w:hAnsi="Times New Roman" w:cs="Times New Roman"/>
                <w:b/>
                <w:bCs/>
                <w:sz w:val="24"/>
                <w:szCs w:val="24"/>
              </w:rPr>
            </w:pPr>
            <w:r w:rsidRPr="0046667B">
              <w:rPr>
                <w:rFonts w:ascii="Times New Roman" w:hAnsi="Times New Roman" w:cs="Times New Roman"/>
                <w:b/>
                <w:bCs/>
                <w:sz w:val="24"/>
                <w:szCs w:val="24"/>
              </w:rPr>
              <w:t>Number of Policies Receiving APTC (BY 2019)</w:t>
            </w:r>
          </w:p>
        </w:tc>
      </w:tr>
      <w:tr w:rsidRPr="00205548" w:rsidR="00FA2FB9" w:rsidTr="00296711" w14:paraId="6F9E68B5" w14:textId="77777777">
        <w:trPr>
          <w:trHeight w:val="300"/>
          <w:tblHeader/>
        </w:trPr>
        <w:tc>
          <w:tcPr>
            <w:tcW w:w="2514" w:type="dxa"/>
            <w:noWrap/>
            <w:hideMark/>
          </w:tcPr>
          <w:p w:rsidRPr="0046667B" w:rsidR="00FA2FB9" w:rsidP="000B7BB9" w:rsidRDefault="00FA2FB9" w14:paraId="0C5CB81E"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CA</w:t>
            </w:r>
          </w:p>
        </w:tc>
        <w:tc>
          <w:tcPr>
            <w:tcW w:w="6269" w:type="dxa"/>
            <w:noWrap/>
            <w:hideMark/>
          </w:tcPr>
          <w:p w:rsidRPr="0046667B" w:rsidR="00FA2FB9" w:rsidP="000B7BB9" w:rsidRDefault="00FA2FB9" w14:paraId="5C101264"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1,065,504</w:t>
            </w:r>
          </w:p>
        </w:tc>
      </w:tr>
      <w:tr w:rsidRPr="00205548" w:rsidR="00FA2FB9" w:rsidTr="00296711" w14:paraId="7ED36B8D" w14:textId="77777777">
        <w:trPr>
          <w:trHeight w:val="300"/>
          <w:tblHeader/>
        </w:trPr>
        <w:tc>
          <w:tcPr>
            <w:tcW w:w="2514" w:type="dxa"/>
            <w:noWrap/>
            <w:hideMark/>
          </w:tcPr>
          <w:p w:rsidRPr="0046667B" w:rsidR="00FA2FB9" w:rsidP="000B7BB9" w:rsidRDefault="00FA2FB9" w14:paraId="2B23D48D"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CO</w:t>
            </w:r>
          </w:p>
        </w:tc>
        <w:tc>
          <w:tcPr>
            <w:tcW w:w="6269" w:type="dxa"/>
            <w:noWrap/>
            <w:hideMark/>
          </w:tcPr>
          <w:p w:rsidRPr="0046667B" w:rsidR="00FA2FB9" w:rsidP="000B7BB9" w:rsidRDefault="00FA2FB9" w14:paraId="189DF52D"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98,768</w:t>
            </w:r>
          </w:p>
        </w:tc>
      </w:tr>
      <w:tr w:rsidRPr="00205548" w:rsidR="00FA2FB9" w:rsidTr="00296711" w14:paraId="4A04CDEC" w14:textId="77777777">
        <w:trPr>
          <w:trHeight w:val="300"/>
          <w:tblHeader/>
        </w:trPr>
        <w:tc>
          <w:tcPr>
            <w:tcW w:w="2514" w:type="dxa"/>
            <w:noWrap/>
            <w:hideMark/>
          </w:tcPr>
          <w:p w:rsidRPr="0046667B" w:rsidR="00FA2FB9" w:rsidP="000B7BB9" w:rsidRDefault="00FA2FB9" w14:paraId="0FD206DF"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CT</w:t>
            </w:r>
          </w:p>
        </w:tc>
        <w:tc>
          <w:tcPr>
            <w:tcW w:w="6269" w:type="dxa"/>
            <w:noWrap/>
            <w:hideMark/>
          </w:tcPr>
          <w:p w:rsidRPr="0046667B" w:rsidR="00FA2FB9" w:rsidP="000B7BB9" w:rsidRDefault="00FA2FB9" w14:paraId="075E5C3A"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69,382</w:t>
            </w:r>
          </w:p>
        </w:tc>
      </w:tr>
      <w:tr w:rsidRPr="00205548" w:rsidR="00FA2FB9" w:rsidTr="00296711" w14:paraId="0B27B73E" w14:textId="77777777">
        <w:trPr>
          <w:trHeight w:val="300"/>
          <w:tblHeader/>
        </w:trPr>
        <w:tc>
          <w:tcPr>
            <w:tcW w:w="2514" w:type="dxa"/>
            <w:noWrap/>
            <w:hideMark/>
          </w:tcPr>
          <w:p w:rsidRPr="0046667B" w:rsidR="00FA2FB9" w:rsidP="000B7BB9" w:rsidRDefault="00FA2FB9" w14:paraId="355CC10F"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DC</w:t>
            </w:r>
          </w:p>
        </w:tc>
        <w:tc>
          <w:tcPr>
            <w:tcW w:w="6269" w:type="dxa"/>
            <w:noWrap/>
            <w:hideMark/>
          </w:tcPr>
          <w:p w:rsidRPr="0046667B" w:rsidR="00FA2FB9" w:rsidP="000B7BB9" w:rsidRDefault="00FA2FB9" w14:paraId="42672C9F"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1,241</w:t>
            </w:r>
          </w:p>
        </w:tc>
      </w:tr>
      <w:tr w:rsidRPr="00205548" w:rsidR="00FA2FB9" w:rsidTr="00296711" w14:paraId="64A2E082" w14:textId="77777777">
        <w:trPr>
          <w:trHeight w:val="300"/>
          <w:tblHeader/>
        </w:trPr>
        <w:tc>
          <w:tcPr>
            <w:tcW w:w="2514" w:type="dxa"/>
            <w:noWrap/>
            <w:hideMark/>
          </w:tcPr>
          <w:p w:rsidRPr="0046667B" w:rsidR="00FA2FB9" w:rsidP="000B7BB9" w:rsidRDefault="00FA2FB9" w14:paraId="0DAD7315"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ID</w:t>
            </w:r>
          </w:p>
        </w:tc>
        <w:tc>
          <w:tcPr>
            <w:tcW w:w="6269" w:type="dxa"/>
            <w:noWrap/>
            <w:hideMark/>
          </w:tcPr>
          <w:p w:rsidRPr="0046667B" w:rsidR="00FA2FB9" w:rsidP="000B7BB9" w:rsidRDefault="00FA2FB9" w14:paraId="5224B0E3"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56,741</w:t>
            </w:r>
          </w:p>
        </w:tc>
      </w:tr>
      <w:tr w:rsidRPr="00205548" w:rsidR="00FA2FB9" w:rsidTr="00296711" w14:paraId="52425465" w14:textId="77777777">
        <w:trPr>
          <w:trHeight w:val="300"/>
          <w:tblHeader/>
        </w:trPr>
        <w:tc>
          <w:tcPr>
            <w:tcW w:w="2514" w:type="dxa"/>
            <w:noWrap/>
            <w:hideMark/>
          </w:tcPr>
          <w:p w:rsidRPr="0046667B" w:rsidR="00FA2FB9" w:rsidP="000B7BB9" w:rsidRDefault="00FA2FB9" w14:paraId="578BD895"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MA</w:t>
            </w:r>
          </w:p>
        </w:tc>
        <w:tc>
          <w:tcPr>
            <w:tcW w:w="6269" w:type="dxa"/>
            <w:noWrap/>
            <w:hideMark/>
          </w:tcPr>
          <w:p w:rsidRPr="0046667B" w:rsidR="00FA2FB9" w:rsidP="000B7BB9" w:rsidRDefault="00FA2FB9" w14:paraId="2B00A18C"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356,707</w:t>
            </w:r>
          </w:p>
        </w:tc>
      </w:tr>
      <w:tr w:rsidRPr="00205548" w:rsidR="00FA2FB9" w:rsidTr="00296711" w14:paraId="7290F365" w14:textId="77777777">
        <w:trPr>
          <w:trHeight w:val="300"/>
          <w:tblHeader/>
        </w:trPr>
        <w:tc>
          <w:tcPr>
            <w:tcW w:w="2514" w:type="dxa"/>
            <w:noWrap/>
            <w:hideMark/>
          </w:tcPr>
          <w:p w:rsidRPr="0046667B" w:rsidR="00FA2FB9" w:rsidP="000B7BB9" w:rsidRDefault="00FA2FB9" w14:paraId="55AC8D0B"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MD</w:t>
            </w:r>
          </w:p>
        </w:tc>
        <w:tc>
          <w:tcPr>
            <w:tcW w:w="6269" w:type="dxa"/>
            <w:noWrap/>
            <w:hideMark/>
          </w:tcPr>
          <w:p w:rsidRPr="0046667B" w:rsidR="00FA2FB9" w:rsidP="000B7BB9" w:rsidRDefault="00FA2FB9" w14:paraId="57ABBD7B"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108,291</w:t>
            </w:r>
          </w:p>
        </w:tc>
      </w:tr>
      <w:tr w:rsidRPr="00205548" w:rsidR="00FA2FB9" w:rsidTr="00296711" w14:paraId="7B9B5827" w14:textId="77777777">
        <w:trPr>
          <w:trHeight w:val="300"/>
          <w:tblHeader/>
        </w:trPr>
        <w:tc>
          <w:tcPr>
            <w:tcW w:w="2514" w:type="dxa"/>
            <w:noWrap/>
            <w:hideMark/>
          </w:tcPr>
          <w:p w:rsidRPr="0046667B" w:rsidR="00FA2FB9" w:rsidP="000B7BB9" w:rsidRDefault="00FA2FB9" w14:paraId="3DD6501E"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ME</w:t>
            </w:r>
          </w:p>
        </w:tc>
        <w:tc>
          <w:tcPr>
            <w:tcW w:w="6269" w:type="dxa"/>
            <w:noWrap/>
            <w:hideMark/>
          </w:tcPr>
          <w:p w:rsidRPr="0046667B" w:rsidR="00FA2FB9" w:rsidP="000B7BB9" w:rsidRDefault="00FA2FB9" w14:paraId="61CC746D"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46,298</w:t>
            </w:r>
          </w:p>
        </w:tc>
      </w:tr>
      <w:tr w:rsidRPr="00205548" w:rsidR="00FA2FB9" w:rsidTr="00296711" w14:paraId="6E7FF96E" w14:textId="77777777">
        <w:trPr>
          <w:trHeight w:val="300"/>
          <w:tblHeader/>
        </w:trPr>
        <w:tc>
          <w:tcPr>
            <w:tcW w:w="2514" w:type="dxa"/>
            <w:noWrap/>
            <w:hideMark/>
          </w:tcPr>
          <w:p w:rsidRPr="0046667B" w:rsidR="00FA2FB9" w:rsidP="000B7BB9" w:rsidRDefault="00FA2FB9" w14:paraId="1191D937"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MN</w:t>
            </w:r>
          </w:p>
        </w:tc>
        <w:tc>
          <w:tcPr>
            <w:tcW w:w="6269" w:type="dxa"/>
            <w:noWrap/>
            <w:hideMark/>
          </w:tcPr>
          <w:p w:rsidRPr="0046667B" w:rsidR="00FA2FB9" w:rsidP="000B7BB9" w:rsidRDefault="00FA2FB9" w14:paraId="2346CF00"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unavailable*</w:t>
            </w:r>
          </w:p>
        </w:tc>
      </w:tr>
      <w:tr w:rsidRPr="00205548" w:rsidR="00FA2FB9" w:rsidTr="00296711" w14:paraId="5BB82F27" w14:textId="77777777">
        <w:trPr>
          <w:trHeight w:val="300"/>
          <w:tblHeader/>
        </w:trPr>
        <w:tc>
          <w:tcPr>
            <w:tcW w:w="2514" w:type="dxa"/>
            <w:noWrap/>
            <w:hideMark/>
          </w:tcPr>
          <w:p w:rsidRPr="0046667B" w:rsidR="00FA2FB9" w:rsidP="000B7BB9" w:rsidRDefault="00FA2FB9" w14:paraId="3E90E746"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NJ</w:t>
            </w:r>
          </w:p>
        </w:tc>
        <w:tc>
          <w:tcPr>
            <w:tcW w:w="6269" w:type="dxa"/>
            <w:noWrap/>
            <w:hideMark/>
          </w:tcPr>
          <w:p w:rsidRPr="0046667B" w:rsidR="00FA2FB9" w:rsidP="000B7BB9" w:rsidRDefault="00FA2FB9" w14:paraId="58053B13"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144,119</w:t>
            </w:r>
          </w:p>
        </w:tc>
      </w:tr>
      <w:tr w:rsidRPr="00205548" w:rsidR="00FA2FB9" w:rsidTr="00296711" w14:paraId="0118689C" w14:textId="77777777">
        <w:trPr>
          <w:trHeight w:val="300"/>
          <w:tblHeader/>
        </w:trPr>
        <w:tc>
          <w:tcPr>
            <w:tcW w:w="2514" w:type="dxa"/>
            <w:noWrap/>
            <w:hideMark/>
          </w:tcPr>
          <w:p w:rsidRPr="0046667B" w:rsidR="00FA2FB9" w:rsidP="000B7BB9" w:rsidRDefault="00FA2FB9" w14:paraId="43F5D08C"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NM</w:t>
            </w:r>
          </w:p>
        </w:tc>
        <w:tc>
          <w:tcPr>
            <w:tcW w:w="6269" w:type="dxa"/>
            <w:noWrap/>
            <w:hideMark/>
          </w:tcPr>
          <w:p w:rsidRPr="0046667B" w:rsidR="00FA2FB9" w:rsidP="000B7BB9" w:rsidRDefault="00FA2FB9" w14:paraId="484E5B7B"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29,336</w:t>
            </w:r>
          </w:p>
        </w:tc>
      </w:tr>
      <w:tr w:rsidRPr="00205548" w:rsidR="00FA2FB9" w:rsidTr="00296711" w14:paraId="3B711AF3" w14:textId="77777777">
        <w:trPr>
          <w:trHeight w:val="300"/>
          <w:tblHeader/>
        </w:trPr>
        <w:tc>
          <w:tcPr>
            <w:tcW w:w="2514" w:type="dxa"/>
            <w:noWrap/>
            <w:hideMark/>
          </w:tcPr>
          <w:p w:rsidRPr="0046667B" w:rsidR="00FA2FB9" w:rsidP="000B7BB9" w:rsidRDefault="00FA2FB9" w14:paraId="2071E3DE"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NV</w:t>
            </w:r>
          </w:p>
        </w:tc>
        <w:tc>
          <w:tcPr>
            <w:tcW w:w="6269" w:type="dxa"/>
            <w:noWrap/>
            <w:hideMark/>
          </w:tcPr>
          <w:p w:rsidRPr="0046667B" w:rsidR="00FA2FB9" w:rsidP="000B7BB9" w:rsidRDefault="00FA2FB9" w14:paraId="4C3F8228"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52,859</w:t>
            </w:r>
          </w:p>
        </w:tc>
      </w:tr>
      <w:tr w:rsidRPr="00205548" w:rsidR="00FA2FB9" w:rsidTr="00296711" w14:paraId="708879CD" w14:textId="77777777">
        <w:trPr>
          <w:trHeight w:val="300"/>
          <w:tblHeader/>
        </w:trPr>
        <w:tc>
          <w:tcPr>
            <w:tcW w:w="2514" w:type="dxa"/>
            <w:noWrap/>
            <w:hideMark/>
          </w:tcPr>
          <w:p w:rsidRPr="0046667B" w:rsidR="00FA2FB9" w:rsidP="000B7BB9" w:rsidRDefault="00FA2FB9" w14:paraId="7D23B956"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NY</w:t>
            </w:r>
          </w:p>
        </w:tc>
        <w:tc>
          <w:tcPr>
            <w:tcW w:w="6269" w:type="dxa"/>
            <w:noWrap/>
            <w:hideMark/>
          </w:tcPr>
          <w:p w:rsidRPr="0046667B" w:rsidR="00FA2FB9" w:rsidP="000B7BB9" w:rsidRDefault="00FA2FB9" w14:paraId="5E8A0902"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154,115</w:t>
            </w:r>
          </w:p>
        </w:tc>
      </w:tr>
      <w:tr w:rsidRPr="00205548" w:rsidR="00FA2FB9" w:rsidTr="00296711" w14:paraId="040723F6" w14:textId="77777777">
        <w:trPr>
          <w:trHeight w:val="300"/>
          <w:tblHeader/>
        </w:trPr>
        <w:tc>
          <w:tcPr>
            <w:tcW w:w="2514" w:type="dxa"/>
            <w:noWrap/>
            <w:hideMark/>
          </w:tcPr>
          <w:p w:rsidRPr="0046667B" w:rsidR="00FA2FB9" w:rsidP="000B7BB9" w:rsidRDefault="00FA2FB9" w14:paraId="3EB592C7"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OR</w:t>
            </w:r>
          </w:p>
        </w:tc>
        <w:tc>
          <w:tcPr>
            <w:tcW w:w="6269" w:type="dxa"/>
            <w:noWrap/>
            <w:hideMark/>
          </w:tcPr>
          <w:p w:rsidRPr="0046667B" w:rsidR="00FA2FB9" w:rsidP="000B7BB9" w:rsidRDefault="00FA2FB9" w14:paraId="56CCA5F2"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93,092</w:t>
            </w:r>
          </w:p>
        </w:tc>
      </w:tr>
      <w:tr w:rsidRPr="00205548" w:rsidR="00FA2FB9" w:rsidTr="00296711" w14:paraId="4846F6C1" w14:textId="77777777">
        <w:trPr>
          <w:trHeight w:val="300"/>
          <w:tblHeader/>
        </w:trPr>
        <w:tc>
          <w:tcPr>
            <w:tcW w:w="2514" w:type="dxa"/>
            <w:noWrap/>
            <w:hideMark/>
          </w:tcPr>
          <w:p w:rsidRPr="0046667B" w:rsidR="00FA2FB9" w:rsidP="000B7BB9" w:rsidRDefault="00FA2FB9" w14:paraId="20FB4F30"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PA</w:t>
            </w:r>
          </w:p>
        </w:tc>
        <w:tc>
          <w:tcPr>
            <w:tcW w:w="6269" w:type="dxa"/>
            <w:noWrap/>
            <w:hideMark/>
          </w:tcPr>
          <w:p w:rsidRPr="0046667B" w:rsidR="00FA2FB9" w:rsidP="000B7BB9" w:rsidRDefault="00FA2FB9" w14:paraId="6419AE77"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250,638</w:t>
            </w:r>
          </w:p>
        </w:tc>
      </w:tr>
      <w:tr w:rsidRPr="00205548" w:rsidR="00FA2FB9" w:rsidTr="00296711" w14:paraId="52B5B4CE" w14:textId="77777777">
        <w:trPr>
          <w:trHeight w:val="300"/>
          <w:tblHeader/>
        </w:trPr>
        <w:tc>
          <w:tcPr>
            <w:tcW w:w="2514" w:type="dxa"/>
            <w:noWrap/>
            <w:hideMark/>
          </w:tcPr>
          <w:p w:rsidRPr="0046667B" w:rsidR="00FA2FB9" w:rsidP="000B7BB9" w:rsidRDefault="00FA2FB9" w14:paraId="657516B0"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RI</w:t>
            </w:r>
          </w:p>
        </w:tc>
        <w:tc>
          <w:tcPr>
            <w:tcW w:w="6269" w:type="dxa"/>
            <w:noWrap/>
            <w:hideMark/>
          </w:tcPr>
          <w:p w:rsidRPr="0046667B" w:rsidR="00FA2FB9" w:rsidP="000B7BB9" w:rsidRDefault="00FA2FB9" w14:paraId="57F45034"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32,023</w:t>
            </w:r>
          </w:p>
        </w:tc>
      </w:tr>
      <w:tr w:rsidRPr="00205548" w:rsidR="00FA2FB9" w:rsidTr="00296711" w14:paraId="26592B75" w14:textId="77777777">
        <w:trPr>
          <w:trHeight w:val="300"/>
          <w:tblHeader/>
        </w:trPr>
        <w:tc>
          <w:tcPr>
            <w:tcW w:w="2514" w:type="dxa"/>
            <w:noWrap/>
            <w:hideMark/>
          </w:tcPr>
          <w:p w:rsidRPr="0046667B" w:rsidR="00FA2FB9" w:rsidP="000B7BB9" w:rsidRDefault="00FA2FB9" w14:paraId="1FE61B7A"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VT</w:t>
            </w:r>
          </w:p>
        </w:tc>
        <w:tc>
          <w:tcPr>
            <w:tcW w:w="6269" w:type="dxa"/>
            <w:noWrap/>
            <w:hideMark/>
          </w:tcPr>
          <w:p w:rsidRPr="0046667B" w:rsidR="00FA2FB9" w:rsidP="000B7BB9" w:rsidRDefault="00FA2FB9" w14:paraId="59B8EC96"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24,575</w:t>
            </w:r>
          </w:p>
        </w:tc>
      </w:tr>
      <w:tr w:rsidRPr="00205548" w:rsidR="00FA2FB9" w:rsidTr="00296711" w14:paraId="46A55EA9" w14:textId="77777777">
        <w:trPr>
          <w:trHeight w:val="300"/>
          <w:tblHeader/>
        </w:trPr>
        <w:tc>
          <w:tcPr>
            <w:tcW w:w="2514" w:type="dxa"/>
            <w:noWrap/>
            <w:hideMark/>
          </w:tcPr>
          <w:p w:rsidRPr="0046667B" w:rsidR="00FA2FB9" w:rsidP="000B7BB9" w:rsidRDefault="00FA2FB9" w14:paraId="45E4EFBC"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WA</w:t>
            </w:r>
          </w:p>
        </w:tc>
        <w:tc>
          <w:tcPr>
            <w:tcW w:w="6269" w:type="dxa"/>
            <w:noWrap/>
            <w:hideMark/>
          </w:tcPr>
          <w:p w:rsidRPr="0046667B" w:rsidR="00FA2FB9" w:rsidP="000B7BB9" w:rsidRDefault="00FA2FB9" w14:paraId="7ACDDD07" w14:textId="77777777">
            <w:pPr>
              <w:pStyle w:val="PlainText"/>
              <w:ind w:left="720"/>
              <w:rPr>
                <w:rFonts w:ascii="Times New Roman" w:hAnsi="Times New Roman" w:cs="Times New Roman"/>
                <w:sz w:val="24"/>
                <w:szCs w:val="24"/>
              </w:rPr>
            </w:pPr>
            <w:r w:rsidRPr="0046667B">
              <w:rPr>
                <w:rFonts w:ascii="Times New Roman" w:hAnsi="Times New Roman" w:cs="Times New Roman"/>
                <w:sz w:val="24"/>
                <w:szCs w:val="24"/>
              </w:rPr>
              <w:t>121,918</w:t>
            </w:r>
          </w:p>
        </w:tc>
      </w:tr>
      <w:tr w:rsidRPr="00205548" w:rsidR="00FA2FB9" w:rsidTr="00296711" w14:paraId="5534DB91" w14:textId="77777777">
        <w:trPr>
          <w:trHeight w:val="300"/>
          <w:tblHeader/>
        </w:trPr>
        <w:tc>
          <w:tcPr>
            <w:tcW w:w="8783" w:type="dxa"/>
            <w:gridSpan w:val="2"/>
            <w:noWrap/>
            <w:hideMark/>
          </w:tcPr>
          <w:p w:rsidRPr="0046667B" w:rsidR="00FA2FB9" w:rsidRDefault="00FA2FB9" w14:paraId="512D62D1" w14:textId="50F9C8AA">
            <w:pPr>
              <w:pStyle w:val="PlainText"/>
              <w:rPr>
                <w:rFonts w:ascii="Times New Roman" w:hAnsi="Times New Roman" w:cs="Times New Roman"/>
                <w:sz w:val="24"/>
                <w:szCs w:val="24"/>
              </w:rPr>
            </w:pPr>
            <w:r w:rsidRPr="0046667B">
              <w:rPr>
                <w:rFonts w:ascii="Times New Roman" w:hAnsi="Times New Roman" w:cs="Times New Roman"/>
                <w:sz w:val="24"/>
                <w:szCs w:val="24"/>
              </w:rPr>
              <w:t xml:space="preserve">*At the time we retrieved the data, no records for Minnesota were available </w:t>
            </w:r>
            <w:r w:rsidRPr="0046667B" w:rsidR="001723A9">
              <w:rPr>
                <w:rFonts w:ascii="Times New Roman" w:hAnsi="Times New Roman" w:cs="Times New Roman"/>
                <w:sz w:val="24"/>
                <w:szCs w:val="24"/>
              </w:rPr>
              <w:t xml:space="preserve">for </w:t>
            </w:r>
            <w:r w:rsidRPr="0046667B">
              <w:rPr>
                <w:rFonts w:ascii="Times New Roman" w:hAnsi="Times New Roman" w:cs="Times New Roman"/>
                <w:sz w:val="24"/>
                <w:szCs w:val="24"/>
              </w:rPr>
              <w:t>BY 2019.</w:t>
            </w:r>
          </w:p>
        </w:tc>
      </w:tr>
    </w:tbl>
    <w:p w:rsidRPr="00205548" w:rsidR="00966B31" w:rsidP="1DFA0A07" w:rsidRDefault="00966B31" w14:paraId="54F1E4C8" w14:textId="567E2EE9">
      <w:pPr>
        <w:pStyle w:val="PlainText"/>
        <w:ind w:left="720"/>
        <w:rPr>
          <w:rFonts w:ascii="Times New Roman" w:hAnsi="Times New Roman" w:cs="Times New Roman"/>
          <w:sz w:val="24"/>
          <w:szCs w:val="24"/>
        </w:rPr>
      </w:pPr>
    </w:p>
    <w:p w:rsidRPr="00205548" w:rsidR="00966B31" w:rsidP="006C63E2" w:rsidRDefault="00966B31" w14:paraId="5D941891" w14:textId="77777777">
      <w:pPr>
        <w:pStyle w:val="PlainText"/>
        <w:rPr>
          <w:rFonts w:ascii="Times New Roman" w:hAnsi="Times New Roman" w:cs="Times New Roman"/>
          <w:sz w:val="24"/>
          <w:szCs w:val="24"/>
        </w:rPr>
      </w:pPr>
    </w:p>
    <w:p w:rsidRPr="00205548" w:rsidR="00700270" w:rsidP="006C63E2" w:rsidRDefault="00EA3FFB" w14:paraId="2DC95F26" w14:textId="656F17ED">
      <w:pPr>
        <w:pStyle w:val="PlainText"/>
        <w:rPr>
          <w:rFonts w:ascii="Times New Roman" w:hAnsi="Times New Roman" w:cs="Times New Roman"/>
          <w:sz w:val="24"/>
          <w:szCs w:val="24"/>
        </w:rPr>
      </w:pPr>
      <w:r w:rsidRPr="00205548">
        <w:rPr>
          <w:rFonts w:ascii="Times New Roman" w:hAnsi="Times New Roman" w:cs="Times New Roman"/>
          <w:sz w:val="24"/>
          <w:szCs w:val="24"/>
        </w:rPr>
        <w:t>2. Describe the procedures for the collection of information including:</w:t>
      </w:r>
    </w:p>
    <w:p w:rsidRPr="00205548" w:rsidR="00700270" w:rsidP="006C63E2" w:rsidRDefault="00EA3FFB" w14:paraId="21540CB3" w14:textId="77777777">
      <w:pPr>
        <w:pStyle w:val="PlainText"/>
        <w:rPr>
          <w:rFonts w:ascii="Times New Roman" w:hAnsi="Times New Roman" w:cs="Times New Roman"/>
          <w:sz w:val="24"/>
          <w:szCs w:val="24"/>
        </w:rPr>
      </w:pPr>
      <w:r w:rsidRPr="00205548">
        <w:rPr>
          <w:rFonts w:ascii="Times New Roman" w:hAnsi="Times New Roman" w:cs="Times New Roman"/>
          <w:sz w:val="24"/>
          <w:szCs w:val="24"/>
        </w:rPr>
        <w:t>- Statistical methodology for stratification and sample selection.</w:t>
      </w:r>
    </w:p>
    <w:p w:rsidRPr="00205548" w:rsidR="00700270" w:rsidP="006C63E2" w:rsidRDefault="00EA3FFB" w14:paraId="3077E4FA" w14:textId="77777777">
      <w:pPr>
        <w:pStyle w:val="PlainText"/>
        <w:rPr>
          <w:rFonts w:ascii="Times New Roman" w:hAnsi="Times New Roman" w:cs="Times New Roman"/>
          <w:sz w:val="24"/>
          <w:szCs w:val="24"/>
        </w:rPr>
      </w:pPr>
      <w:r w:rsidRPr="00205548">
        <w:rPr>
          <w:rFonts w:ascii="Times New Roman" w:hAnsi="Times New Roman" w:cs="Times New Roman"/>
          <w:sz w:val="24"/>
          <w:szCs w:val="24"/>
        </w:rPr>
        <w:t>- Estimation procedure.</w:t>
      </w:r>
    </w:p>
    <w:p w:rsidRPr="00205548" w:rsidR="00700270" w:rsidP="006C63E2" w:rsidRDefault="00EA3FFB" w14:paraId="02981C45" w14:textId="77777777">
      <w:pPr>
        <w:pStyle w:val="PlainText"/>
        <w:rPr>
          <w:rFonts w:ascii="Times New Roman" w:hAnsi="Times New Roman" w:cs="Times New Roman"/>
          <w:sz w:val="24"/>
          <w:szCs w:val="24"/>
        </w:rPr>
      </w:pPr>
      <w:r w:rsidRPr="00205548">
        <w:rPr>
          <w:rFonts w:ascii="Times New Roman" w:hAnsi="Times New Roman" w:cs="Times New Roman"/>
          <w:sz w:val="24"/>
          <w:szCs w:val="24"/>
        </w:rPr>
        <w:t>- Degree of accuracy needed for the purpose described in the</w:t>
      </w:r>
    </w:p>
    <w:p w:rsidRPr="00205548" w:rsidR="00700270" w:rsidP="006C63E2" w:rsidRDefault="00EA3FFB" w14:paraId="2081478E" w14:textId="77777777">
      <w:pPr>
        <w:pStyle w:val="PlainText"/>
        <w:rPr>
          <w:rFonts w:ascii="Times New Roman" w:hAnsi="Times New Roman" w:cs="Times New Roman"/>
          <w:sz w:val="24"/>
          <w:szCs w:val="24"/>
        </w:rPr>
      </w:pPr>
      <w:r w:rsidRPr="00205548">
        <w:rPr>
          <w:rFonts w:ascii="Times New Roman" w:hAnsi="Times New Roman" w:cs="Times New Roman"/>
          <w:sz w:val="24"/>
          <w:szCs w:val="24"/>
        </w:rPr>
        <w:t>justification.</w:t>
      </w:r>
    </w:p>
    <w:p w:rsidRPr="00205548" w:rsidR="00700270" w:rsidP="006C63E2" w:rsidRDefault="00EA3FFB" w14:paraId="1AA2C6D1" w14:textId="77777777">
      <w:pPr>
        <w:pStyle w:val="PlainText"/>
        <w:rPr>
          <w:rFonts w:ascii="Times New Roman" w:hAnsi="Times New Roman" w:cs="Times New Roman"/>
          <w:sz w:val="24"/>
          <w:szCs w:val="24"/>
        </w:rPr>
      </w:pPr>
      <w:r w:rsidRPr="00205548">
        <w:rPr>
          <w:rFonts w:ascii="Times New Roman" w:hAnsi="Times New Roman" w:cs="Times New Roman"/>
          <w:sz w:val="24"/>
          <w:szCs w:val="24"/>
        </w:rPr>
        <w:t>- Unusual problems requiring specialized sampling procedures, and</w:t>
      </w:r>
    </w:p>
    <w:p w:rsidRPr="00205548" w:rsidR="00700270" w:rsidP="006C63E2" w:rsidRDefault="00EA3FFB" w14:paraId="71B1FB31" w14:textId="77777777">
      <w:pPr>
        <w:pStyle w:val="PlainText"/>
        <w:rPr>
          <w:rFonts w:ascii="Times New Roman" w:hAnsi="Times New Roman" w:cs="Times New Roman"/>
          <w:sz w:val="24"/>
          <w:szCs w:val="24"/>
        </w:rPr>
      </w:pPr>
      <w:r w:rsidRPr="00205548">
        <w:rPr>
          <w:rFonts w:ascii="Times New Roman" w:hAnsi="Times New Roman" w:cs="Times New Roman"/>
          <w:sz w:val="24"/>
          <w:szCs w:val="24"/>
        </w:rPr>
        <w:t>- Any use of periodic (less frequent than annual) data collection cycles</w:t>
      </w:r>
    </w:p>
    <w:p w:rsidRPr="00205548" w:rsidR="00700270" w:rsidP="006C63E2" w:rsidRDefault="00EA3FFB" w14:paraId="53FE7AA4" w14:textId="77777777">
      <w:pPr>
        <w:pStyle w:val="PlainText"/>
        <w:rPr>
          <w:rFonts w:ascii="Times New Roman" w:hAnsi="Times New Roman" w:cs="Times New Roman"/>
          <w:sz w:val="24"/>
          <w:szCs w:val="24"/>
        </w:rPr>
      </w:pPr>
      <w:r w:rsidRPr="00205548">
        <w:rPr>
          <w:rFonts w:ascii="Times New Roman" w:hAnsi="Times New Roman" w:cs="Times New Roman"/>
          <w:sz w:val="24"/>
          <w:szCs w:val="24"/>
        </w:rPr>
        <w:t>to reduce burden.</w:t>
      </w:r>
    </w:p>
    <w:p w:rsidRPr="00205548" w:rsidR="0019637F" w:rsidP="006C63E2" w:rsidRDefault="0019637F" w14:paraId="291D2B79" w14:textId="7082349E">
      <w:pPr>
        <w:pStyle w:val="PlainText"/>
        <w:rPr>
          <w:rFonts w:ascii="Times New Roman" w:hAnsi="Times New Roman" w:cs="Times New Roman"/>
          <w:sz w:val="24"/>
          <w:szCs w:val="24"/>
        </w:rPr>
      </w:pPr>
    </w:p>
    <w:p w:rsidRPr="00205548" w:rsidR="0095267D" w:rsidP="006248FE" w:rsidRDefault="0095267D" w14:paraId="0899E1C9" w14:textId="734DC516">
      <w:pPr>
        <w:ind w:left="720"/>
        <w:rPr>
          <w:rFonts w:cs="Times New Roman"/>
          <w:szCs w:val="24"/>
        </w:rPr>
      </w:pPr>
      <w:bookmarkStart w:name="_Hlk89183920" w:id="1"/>
      <w:r w:rsidRPr="00205548">
        <w:rPr>
          <w:rFonts w:cs="Times New Roman"/>
          <w:szCs w:val="24"/>
        </w:rPr>
        <w:t xml:space="preserve">The </w:t>
      </w:r>
      <w:r w:rsidRPr="00205548" w:rsidR="00A13AD2">
        <w:rPr>
          <w:rFonts w:cs="Times New Roman"/>
          <w:szCs w:val="24"/>
        </w:rPr>
        <w:t>SEIPM prog</w:t>
      </w:r>
      <w:r w:rsidRPr="00205548">
        <w:rPr>
          <w:rFonts w:cs="Times New Roman"/>
          <w:szCs w:val="24"/>
        </w:rPr>
        <w:t xml:space="preserve">ram is the process for determining estimated improper payments and other information statutorily required under the Payment Integrity Information Act of 2019 (PIIA), and implementing guidance, for </w:t>
      </w:r>
      <w:r w:rsidRPr="00205548" w:rsidR="00A13AD2">
        <w:rPr>
          <w:rFonts w:cs="Times New Roman"/>
          <w:szCs w:val="24"/>
        </w:rPr>
        <w:t>APTC.</w:t>
      </w:r>
    </w:p>
    <w:p w:rsidRPr="00205548" w:rsidR="0095267D" w:rsidP="006248FE" w:rsidRDefault="0095267D" w14:paraId="12779531" w14:textId="77777777">
      <w:pPr>
        <w:ind w:left="720"/>
        <w:rPr>
          <w:rFonts w:cs="Times New Roman"/>
          <w:szCs w:val="24"/>
        </w:rPr>
      </w:pPr>
    </w:p>
    <w:p w:rsidRPr="00205548" w:rsidR="0095267D" w:rsidP="006248FE" w:rsidRDefault="0095267D" w14:paraId="10A342FC" w14:textId="77777777">
      <w:pPr>
        <w:ind w:left="720"/>
        <w:rPr>
          <w:rFonts w:cs="Times New Roman"/>
          <w:szCs w:val="24"/>
          <w:u w:val="single"/>
        </w:rPr>
      </w:pPr>
      <w:bookmarkStart w:name="_Hlk89170460" w:id="2"/>
      <w:r w:rsidRPr="00205548">
        <w:rPr>
          <w:rFonts w:cs="Times New Roman"/>
          <w:szCs w:val="24"/>
          <w:u w:val="single"/>
        </w:rPr>
        <w:t>Planned Sample Confidence Level and Margin of Error</w:t>
      </w:r>
    </w:p>
    <w:p w:rsidRPr="00205548" w:rsidR="0095267D" w:rsidP="006248FE" w:rsidRDefault="0095267D" w14:paraId="624D6A47" w14:textId="35827033">
      <w:pPr>
        <w:ind w:left="720"/>
        <w:rPr>
          <w:rFonts w:cs="Times New Roman"/>
          <w:szCs w:val="24"/>
        </w:rPr>
      </w:pPr>
      <w:r w:rsidRPr="00205548">
        <w:rPr>
          <w:rFonts w:cs="Times New Roman"/>
          <w:szCs w:val="24"/>
        </w:rPr>
        <w:t>The SEIPM will be designed to produce a point estimate of the improper payment rate in accordance with the guidance provided in Appendix C to OMB Circular A-123, and an associated confidence level and mar</w:t>
      </w:r>
      <w:r w:rsidRPr="00205548">
        <w:rPr>
          <w:rFonts w:cs="Times New Roman" w:eastAsiaTheme="minorEastAsia"/>
          <w:szCs w:val="24"/>
        </w:rPr>
        <w:t xml:space="preserve">gin of error.  </w:t>
      </w:r>
      <w:r w:rsidRPr="00205548">
        <w:rPr>
          <w:rFonts w:cs="Times New Roman" w:eastAsiaTheme="minorEastAsia"/>
          <w:color w:val="333333"/>
          <w:szCs w:val="24"/>
        </w:rPr>
        <w:t>CMS is targeting a confidence level of 95% and a margin of error of 3 percentage points for each State Exchange (SE) based on consultation with statisticians and in consideration of the current and historical OMB guidance, the parameters of other improper payment measurement programs administered by CMS, program characteristics and available resources.</w:t>
      </w:r>
      <w:r w:rsidRPr="00205548">
        <w:rPr>
          <w:rFonts w:cs="Times New Roman" w:eastAsiaTheme="minorEastAsia"/>
          <w:szCs w:val="24"/>
        </w:rPr>
        <w:t xml:space="preserve">  The error rate as reported in aggre</w:t>
      </w:r>
      <w:r w:rsidRPr="00205548">
        <w:rPr>
          <w:rFonts w:cs="Times New Roman"/>
          <w:szCs w:val="24"/>
        </w:rPr>
        <w:t xml:space="preserve">gate across all the SEs would have a margin of error less than 3 percentage points with high probability.  </w:t>
      </w:r>
    </w:p>
    <w:p w:rsidRPr="00205548" w:rsidR="001E48BE" w:rsidP="006248FE" w:rsidRDefault="001E48BE" w14:paraId="681725D3" w14:textId="5B12EC90">
      <w:pPr>
        <w:ind w:left="720"/>
        <w:rPr>
          <w:rFonts w:cs="Times New Roman"/>
          <w:szCs w:val="24"/>
        </w:rPr>
      </w:pPr>
    </w:p>
    <w:p w:rsidRPr="0046667B" w:rsidR="001E48BE" w:rsidP="006248FE" w:rsidRDefault="001E48BE" w14:paraId="000A3326" w14:textId="65694F1F">
      <w:pPr>
        <w:ind w:left="720"/>
        <w:rPr>
          <w:rFonts w:cs="Times New Roman"/>
          <w:szCs w:val="24"/>
          <w:u w:val="single"/>
        </w:rPr>
      </w:pPr>
      <w:r w:rsidRPr="0046667B">
        <w:rPr>
          <w:rFonts w:cs="Times New Roman"/>
          <w:szCs w:val="24"/>
          <w:u w:val="single"/>
        </w:rPr>
        <w:t>Stratification</w:t>
      </w:r>
    </w:p>
    <w:p w:rsidRPr="0046667B" w:rsidR="001E48BE" w:rsidP="0046667B" w:rsidRDefault="001E48BE" w14:paraId="26D0C109" w14:textId="77777777">
      <w:pPr>
        <w:ind w:left="720"/>
        <w:rPr>
          <w:rFonts w:cs="Times New Roman"/>
          <w:kern w:val="0"/>
          <w:szCs w:val="24"/>
        </w:rPr>
      </w:pPr>
      <w:r w:rsidRPr="0046667B">
        <w:rPr>
          <w:rFonts w:cs="Times New Roman"/>
          <w:szCs w:val="24"/>
        </w:rPr>
        <w:t>Within the context of SEIPM, the goals for stratification include:</w:t>
      </w:r>
    </w:p>
    <w:p w:rsidRPr="0046667B" w:rsidR="001E48BE" w:rsidP="0046667B" w:rsidRDefault="001E48BE" w14:paraId="318A45C5" w14:textId="77777777">
      <w:pPr>
        <w:pStyle w:val="ListParagraph"/>
        <w:numPr>
          <w:ilvl w:val="0"/>
          <w:numId w:val="12"/>
        </w:numPr>
        <w:rPr>
          <w:rFonts w:ascii="Times New Roman" w:hAnsi="Times New Roman" w:cs="Times New Roman" w:eastAsiaTheme="minorEastAsia"/>
          <w:sz w:val="24"/>
          <w:szCs w:val="24"/>
        </w:rPr>
      </w:pPr>
      <w:r w:rsidRPr="0046667B">
        <w:rPr>
          <w:rFonts w:ascii="Times New Roman" w:hAnsi="Times New Roman" w:cs="Times New Roman" w:eastAsiaTheme="minorEastAsia"/>
          <w:sz w:val="24"/>
          <w:szCs w:val="24"/>
        </w:rPr>
        <w:t xml:space="preserve">Controlling the sample size for individual Exchanges </w:t>
      </w:r>
    </w:p>
    <w:p w:rsidRPr="0046667B" w:rsidR="001E48BE" w:rsidP="0046667B" w:rsidRDefault="001E48BE" w14:paraId="20A365B1" w14:textId="77777777">
      <w:pPr>
        <w:pStyle w:val="ListParagraph"/>
        <w:numPr>
          <w:ilvl w:val="0"/>
          <w:numId w:val="12"/>
        </w:numPr>
        <w:rPr>
          <w:rFonts w:ascii="Times New Roman" w:hAnsi="Times New Roman" w:cs="Times New Roman" w:eastAsiaTheme="minorEastAsia"/>
          <w:sz w:val="24"/>
          <w:szCs w:val="24"/>
        </w:rPr>
      </w:pPr>
      <w:r w:rsidRPr="0046667B">
        <w:rPr>
          <w:rFonts w:ascii="Times New Roman" w:hAnsi="Times New Roman" w:cs="Times New Roman" w:eastAsiaTheme="minorEastAsia"/>
          <w:sz w:val="24"/>
          <w:szCs w:val="24"/>
        </w:rPr>
        <w:t>Ensuring precise estimates for individual Exchanges</w:t>
      </w:r>
    </w:p>
    <w:p w:rsidRPr="0046667B" w:rsidR="001E48BE" w:rsidP="0046667B" w:rsidRDefault="001E48BE" w14:paraId="378109F3" w14:textId="77777777">
      <w:pPr>
        <w:pStyle w:val="ListParagraph"/>
        <w:numPr>
          <w:ilvl w:val="0"/>
          <w:numId w:val="12"/>
        </w:numPr>
        <w:rPr>
          <w:rFonts w:ascii="Times New Roman" w:hAnsi="Times New Roman" w:cs="Times New Roman" w:eastAsiaTheme="minorEastAsia"/>
          <w:sz w:val="24"/>
          <w:szCs w:val="24"/>
        </w:rPr>
      </w:pPr>
      <w:r w:rsidRPr="0046667B">
        <w:rPr>
          <w:rFonts w:ascii="Times New Roman" w:hAnsi="Times New Roman" w:cs="Times New Roman" w:eastAsiaTheme="minorEastAsia"/>
          <w:sz w:val="24"/>
          <w:szCs w:val="24"/>
        </w:rPr>
        <w:t>Ensuring the cost of review is predictable and reasonable, and</w:t>
      </w:r>
    </w:p>
    <w:p w:rsidRPr="0046667B" w:rsidR="001E48BE" w:rsidP="0046667B" w:rsidRDefault="001E48BE" w14:paraId="6C67702A" w14:textId="77777777">
      <w:pPr>
        <w:pStyle w:val="ListParagraph"/>
        <w:numPr>
          <w:ilvl w:val="0"/>
          <w:numId w:val="12"/>
        </w:numPr>
        <w:rPr>
          <w:rFonts w:ascii="Times New Roman" w:hAnsi="Times New Roman" w:cs="Times New Roman" w:eastAsiaTheme="minorEastAsia"/>
          <w:sz w:val="24"/>
          <w:szCs w:val="24"/>
        </w:rPr>
      </w:pPr>
      <w:r w:rsidRPr="0046667B">
        <w:rPr>
          <w:rFonts w:ascii="Times New Roman" w:hAnsi="Times New Roman" w:cs="Times New Roman" w:eastAsiaTheme="minorEastAsia"/>
          <w:sz w:val="24"/>
          <w:szCs w:val="24"/>
        </w:rPr>
        <w:t>Imp</w:t>
      </w:r>
      <w:r w:rsidRPr="0046667B">
        <w:rPr>
          <w:rFonts w:ascii="Times New Roman" w:hAnsi="Times New Roman" w:cs="Times New Roman"/>
          <w:sz w:val="24"/>
          <w:szCs w:val="24"/>
        </w:rPr>
        <w:t>roving the precision of the overall estimate after aggregating across strata</w:t>
      </w:r>
    </w:p>
    <w:p w:rsidR="001E48BE" w:rsidP="00205548" w:rsidRDefault="001E48BE" w14:paraId="7DFD12E4" w14:textId="77777777">
      <w:pPr>
        <w:ind w:left="720"/>
        <w:rPr>
          <w:rFonts w:cs="Times New Roman" w:eastAsiaTheme="minorEastAsia"/>
          <w:szCs w:val="24"/>
        </w:rPr>
      </w:pPr>
      <w:r w:rsidRPr="001E48BE">
        <w:rPr>
          <w:rFonts w:cs="Times New Roman" w:eastAsiaTheme="minorEastAsia"/>
          <w:szCs w:val="24"/>
        </w:rPr>
        <w:t>18 strata would be produced – one for each of the 18 expected SEs. Once the 18 stratum-level improper payment rates and their MOEs have been estimated, esti</w:t>
      </w:r>
      <w:r w:rsidRPr="0046667B">
        <w:rPr>
          <w:rFonts w:cs="Times New Roman" w:eastAsiaTheme="minorEastAsia"/>
          <w:szCs w:val="24"/>
        </w:rPr>
        <w:t>mating the improper payment rate of any aggregation of strata and its MOE can be done using the statistical properties of the variances of random variables. Estimates for individual SE improper payment rates will be combined to produce an estimate of an aggregated SE improper payment rate. The estimate of the FFE improper payment rate will be reported separately.</w:t>
      </w:r>
    </w:p>
    <w:p w:rsidRPr="001E48BE" w:rsidR="001E48BE" w:rsidP="0046667B" w:rsidRDefault="001E48BE" w14:paraId="5746E0A2" w14:textId="72FD6448">
      <w:pPr>
        <w:ind w:left="720"/>
        <w:rPr>
          <w:rFonts w:cs="Times New Roman" w:eastAsiaTheme="minorEastAsia"/>
          <w:szCs w:val="24"/>
        </w:rPr>
      </w:pPr>
      <w:r w:rsidRPr="001E48BE">
        <w:rPr>
          <w:rFonts w:cs="Times New Roman" w:eastAsiaTheme="minorEastAsia"/>
          <w:szCs w:val="24"/>
        </w:rPr>
        <w:t xml:space="preserve"> </w:t>
      </w:r>
    </w:p>
    <w:p w:rsidRPr="0046667B" w:rsidR="001E48BE" w:rsidP="0046667B" w:rsidRDefault="001E48BE" w14:paraId="55249DE9" w14:textId="77777777">
      <w:pPr>
        <w:ind w:left="720"/>
        <w:rPr>
          <w:rFonts w:cs="Times New Roman" w:eastAsiaTheme="minorEastAsia"/>
          <w:szCs w:val="24"/>
        </w:rPr>
      </w:pPr>
      <w:r w:rsidRPr="001E48BE">
        <w:rPr>
          <w:rFonts w:cs="Times New Roman" w:eastAsiaTheme="minorEastAsia"/>
          <w:szCs w:val="24"/>
        </w:rPr>
        <w:t>Individual SE improper payment rate estimates and MOEs will be provided to the SEs and not be published in public medium. The aggregate SE improp</w:t>
      </w:r>
      <w:r w:rsidRPr="0046667B">
        <w:rPr>
          <w:rFonts w:cs="Times New Roman" w:eastAsiaTheme="minorEastAsia"/>
          <w:szCs w:val="24"/>
        </w:rPr>
        <w:t xml:space="preserve">er payment rate estimate will be reported in the AFR. </w:t>
      </w:r>
    </w:p>
    <w:p w:rsidRPr="0046667B" w:rsidR="001E48BE" w:rsidP="006248FE" w:rsidRDefault="001E48BE" w14:paraId="140D4F7A" w14:textId="77777777">
      <w:pPr>
        <w:ind w:left="720"/>
        <w:rPr>
          <w:rFonts w:cs="Times New Roman"/>
          <w:b/>
          <w:szCs w:val="24"/>
          <w:u w:val="single"/>
        </w:rPr>
      </w:pPr>
    </w:p>
    <w:p w:rsidRPr="001E48BE" w:rsidR="0095267D" w:rsidP="006248FE" w:rsidRDefault="0095267D" w14:paraId="4EF3107E" w14:textId="77777777">
      <w:pPr>
        <w:ind w:left="720"/>
        <w:rPr>
          <w:rFonts w:cs="Times New Roman"/>
          <w:szCs w:val="24"/>
        </w:rPr>
      </w:pPr>
    </w:p>
    <w:p w:rsidRPr="00205548" w:rsidR="0095267D" w:rsidP="006248FE" w:rsidRDefault="0095267D" w14:paraId="5DCC7E6C" w14:textId="77777777">
      <w:pPr>
        <w:ind w:left="720"/>
        <w:rPr>
          <w:rFonts w:cs="Times New Roman"/>
          <w:szCs w:val="24"/>
          <w:u w:val="single"/>
        </w:rPr>
      </w:pPr>
      <w:r w:rsidRPr="00205548">
        <w:rPr>
          <w:rFonts w:cs="Times New Roman"/>
          <w:szCs w:val="24"/>
          <w:u w:val="single"/>
        </w:rPr>
        <w:t>Sampling Unit and Sampling Frame</w:t>
      </w:r>
    </w:p>
    <w:p w:rsidRPr="00205548" w:rsidR="0095267D" w:rsidP="006248FE" w:rsidRDefault="0095267D" w14:paraId="091AEE79" w14:textId="77777777">
      <w:pPr>
        <w:ind w:left="720"/>
        <w:rPr>
          <w:rFonts w:cs="Times New Roman"/>
          <w:szCs w:val="24"/>
        </w:rPr>
      </w:pPr>
      <w:r w:rsidRPr="00205548">
        <w:rPr>
          <w:rFonts w:cs="Times New Roman"/>
          <w:szCs w:val="24"/>
        </w:rPr>
        <w:lastRenderedPageBreak/>
        <w:t>CMS intends to use tax households as the sampling unit, and all tax households for which net positive APTC payments were made for the subject benefit year as the sampling frame.  Note that “negative cases” (that is, instances where no net positive APTC payments were made, for example, where eligibility for the APTC program was denied) are not included within the sampling frame and are outside of the scope of measurement due to the nature of the APTC program.  Specifically, recognizing any such improper payments would require significant speculation about the monthly payment amount the consumer would have elected and the duration of monthly payments during a benefit year.</w:t>
      </w:r>
    </w:p>
    <w:p w:rsidRPr="00205548" w:rsidR="0095267D" w:rsidP="006248FE" w:rsidRDefault="0095267D" w14:paraId="693B4762" w14:textId="77777777">
      <w:pPr>
        <w:ind w:left="720"/>
        <w:rPr>
          <w:rFonts w:cs="Times New Roman"/>
          <w:szCs w:val="24"/>
        </w:rPr>
      </w:pPr>
    </w:p>
    <w:p w:rsidRPr="00205548" w:rsidR="0095267D" w:rsidP="006248FE" w:rsidRDefault="0095267D" w14:paraId="222E79FB" w14:textId="77777777">
      <w:pPr>
        <w:ind w:left="720"/>
        <w:rPr>
          <w:rFonts w:cs="Times New Roman"/>
          <w:szCs w:val="24"/>
          <w:u w:val="single"/>
        </w:rPr>
      </w:pPr>
      <w:r w:rsidRPr="00205548">
        <w:rPr>
          <w:rFonts w:cs="Times New Roman"/>
          <w:szCs w:val="24"/>
          <w:u w:val="single"/>
        </w:rPr>
        <w:t>Expected Sample Size and Methodology to Estimate</w:t>
      </w:r>
    </w:p>
    <w:p w:rsidRPr="00205548" w:rsidR="0095267D" w:rsidP="006248FE" w:rsidRDefault="0095267D" w14:paraId="6C0A63EE" w14:textId="6FCD0CFC">
      <w:pPr>
        <w:pStyle w:val="PlainText"/>
        <w:ind w:left="720"/>
        <w:rPr>
          <w:rFonts w:ascii="Times New Roman" w:hAnsi="Times New Roman" w:cs="Times New Roman"/>
          <w:sz w:val="24"/>
          <w:szCs w:val="24"/>
        </w:rPr>
      </w:pPr>
      <w:r w:rsidRPr="00205548">
        <w:rPr>
          <w:rFonts w:ascii="Times New Roman" w:hAnsi="Times New Roman" w:cs="Times New Roman"/>
          <w:sz w:val="24"/>
          <w:szCs w:val="24"/>
        </w:rPr>
        <w:t>CMS currently estimates a sample size of approximately 100 tax households for each SE.  This sample size was determined in part by calculating the variance of the expected improper payment rate</w:t>
      </w:r>
      <w:r w:rsidRPr="001E48BE">
        <w:rPr>
          <w:rFonts w:ascii="Times New Roman" w:hAnsi="Times New Roman" w:cs="Times New Roman"/>
          <w:sz w:val="24"/>
          <w:szCs w:val="24"/>
        </w:rPr>
        <w:t xml:space="preserve"> </w:t>
      </w:r>
      <w:r w:rsidRPr="001E48BE" w:rsidR="00F659FD">
        <w:rPr>
          <w:rFonts w:ascii="Times New Roman" w:hAnsi="Times New Roman" w:cs="Times New Roman"/>
          <w:sz w:val="24"/>
          <w:szCs w:val="24"/>
        </w:rPr>
        <w:t xml:space="preserve">at 2%, based on FFE pilot outcomes, </w:t>
      </w:r>
      <w:r w:rsidRPr="001E48BE">
        <w:rPr>
          <w:rFonts w:ascii="Times New Roman" w:hAnsi="Times New Roman" w:cs="Times New Roman"/>
          <w:sz w:val="24"/>
          <w:szCs w:val="24"/>
        </w:rPr>
        <w:t>as a function of sample size and determining the smallest sample size for which the margin of error is less than three percentage points at a 95% confidence level</w:t>
      </w:r>
      <w:r w:rsidRPr="00205548" w:rsidR="00F659FD">
        <w:rPr>
          <w:rFonts w:ascii="Times New Roman" w:hAnsi="Times New Roman" w:cs="Times New Roman"/>
          <w:sz w:val="24"/>
          <w:szCs w:val="24"/>
        </w:rPr>
        <w:t xml:space="preserve"> in the aggregate</w:t>
      </w:r>
      <w:r w:rsidRPr="00205548">
        <w:rPr>
          <w:rFonts w:ascii="Times New Roman" w:hAnsi="Times New Roman" w:cs="Times New Roman"/>
          <w:sz w:val="24"/>
          <w:szCs w:val="24"/>
        </w:rPr>
        <w:t xml:space="preserve">. Ratio estimation will be used to estimate the improper payment rate.  The complete methodology was created by CMS. </w:t>
      </w:r>
    </w:p>
    <w:p w:rsidRPr="00205548" w:rsidR="0095267D" w:rsidP="006248FE" w:rsidRDefault="0095267D" w14:paraId="65A881D1" w14:textId="77777777">
      <w:pPr>
        <w:ind w:left="720"/>
        <w:rPr>
          <w:rFonts w:cs="Times New Roman"/>
          <w:strike/>
          <w:szCs w:val="24"/>
          <w:u w:val="single"/>
        </w:rPr>
      </w:pPr>
    </w:p>
    <w:p w:rsidRPr="00205548" w:rsidR="0095267D" w:rsidP="006248FE" w:rsidRDefault="0095267D" w14:paraId="0C891F8C" w14:textId="77777777">
      <w:pPr>
        <w:ind w:left="720"/>
        <w:rPr>
          <w:rFonts w:cs="Times New Roman"/>
          <w:szCs w:val="24"/>
          <w:u w:val="single"/>
        </w:rPr>
      </w:pPr>
      <w:r w:rsidRPr="00205548">
        <w:rPr>
          <w:rFonts w:cs="Times New Roman"/>
          <w:szCs w:val="24"/>
          <w:u w:val="single"/>
        </w:rPr>
        <w:t>Implications of Population Size on Expected Sample Size</w:t>
      </w:r>
    </w:p>
    <w:p w:rsidRPr="00205548" w:rsidR="0095267D" w:rsidP="006248FE" w:rsidRDefault="0095267D" w14:paraId="038BF190" w14:textId="77777777">
      <w:pPr>
        <w:ind w:left="720"/>
        <w:rPr>
          <w:rFonts w:cs="Times New Roman"/>
          <w:szCs w:val="24"/>
        </w:rPr>
      </w:pPr>
      <w:r w:rsidRPr="00205548">
        <w:rPr>
          <w:rFonts w:cs="Times New Roman"/>
          <w:szCs w:val="24"/>
        </w:rPr>
        <w:t>For the sampling rate being considered, population size is not a major influence on the expected margin of error.  This can be explained based on the finite population correction factor, which is multiplied by the usual variance formula when the sampling rate is high.  The SE with the smallest population size in plan year 2019 was Washington, DC.  Its population size (1,241) is still much larger than the proposed sample size for this exchange (100). Under simple random sampling, the finite population correction factor would be equal to,</w:t>
      </w:r>
    </w:p>
    <w:p w:rsidRPr="001E48BE" w:rsidR="0095267D" w:rsidP="006248FE" w:rsidRDefault="0095267D" w14:paraId="2ABEE187" w14:textId="77777777">
      <w:pPr>
        <w:ind w:left="720"/>
        <w:jc w:val="center"/>
        <w:rPr>
          <w:rFonts w:cs="Times New Roman" w:eastAsiaTheme="minorEastAsia"/>
          <w:szCs w:val="24"/>
        </w:rPr>
      </w:pPr>
      <m:oMath>
        <m:r>
          <w:rPr>
            <w:rFonts w:ascii="Cambria Math" w:hAnsi="Cambria Math" w:cs="Times New Roman"/>
            <w:szCs w:val="24"/>
          </w:rPr>
          <m:t>1-</m:t>
        </m:r>
        <m:f>
          <m:fPr>
            <m:ctrlPr>
              <w:rPr>
                <w:rFonts w:ascii="Cambria Math" w:hAnsi="Cambria Math" w:cs="Times New Roman"/>
                <w:i/>
                <w:szCs w:val="24"/>
              </w:rPr>
            </m:ctrlPr>
          </m:fPr>
          <m:num>
            <m:r>
              <w:rPr>
                <w:rFonts w:ascii="Cambria Math" w:hAnsi="Cambria Math" w:cs="Times New Roman"/>
                <w:szCs w:val="24"/>
              </w:rPr>
              <m:t>n</m:t>
            </m:r>
          </m:num>
          <m:den>
            <m:r>
              <w:rPr>
                <w:rFonts w:ascii="Cambria Math" w:hAnsi="Cambria Math" w:cs="Times New Roman"/>
                <w:szCs w:val="24"/>
              </w:rPr>
              <m:t>N</m:t>
            </m:r>
          </m:den>
        </m:f>
        <m:r>
          <w:rPr>
            <w:rFonts w:ascii="Cambria Math" w:hAnsi="Cambria Math" w:cs="Times New Roman"/>
            <w:szCs w:val="24"/>
          </w:rPr>
          <m:t>=1-</m:t>
        </m:r>
        <m:f>
          <m:fPr>
            <m:ctrlPr>
              <w:rPr>
                <w:rFonts w:ascii="Cambria Math" w:hAnsi="Cambria Math" w:cs="Times New Roman"/>
                <w:i/>
                <w:szCs w:val="24"/>
              </w:rPr>
            </m:ctrlPr>
          </m:fPr>
          <m:num>
            <m:r>
              <w:rPr>
                <w:rFonts w:ascii="Cambria Math" w:hAnsi="Cambria Math" w:cs="Times New Roman"/>
                <w:szCs w:val="24"/>
              </w:rPr>
              <m:t>100</m:t>
            </m:r>
          </m:num>
          <m:den>
            <m:r>
              <w:rPr>
                <w:rFonts w:ascii="Cambria Math" w:hAnsi="Cambria Math" w:cs="Times New Roman"/>
                <w:szCs w:val="24"/>
              </w:rPr>
              <m:t>1,241</m:t>
            </m:r>
          </m:den>
        </m:f>
        <m:r>
          <w:rPr>
            <w:rFonts w:ascii="Cambria Math" w:hAnsi="Cambria Math" w:cs="Times New Roman"/>
            <w:szCs w:val="24"/>
          </w:rPr>
          <m:t>=0.92</m:t>
        </m:r>
      </m:oMath>
      <w:r w:rsidRPr="001E48BE">
        <w:rPr>
          <w:rFonts w:cs="Times New Roman" w:eastAsiaTheme="minorEastAsia"/>
          <w:szCs w:val="24"/>
        </w:rPr>
        <w:t>,</w:t>
      </w:r>
    </w:p>
    <w:p w:rsidRPr="00205548" w:rsidR="0095267D" w:rsidP="006248FE" w:rsidRDefault="0095267D" w14:paraId="77DEC511" w14:textId="1C27B292">
      <w:pPr>
        <w:ind w:left="720"/>
        <w:rPr>
          <w:rFonts w:cs="Times New Roman" w:eastAsiaTheme="minorEastAsia"/>
          <w:szCs w:val="24"/>
        </w:rPr>
      </w:pPr>
      <w:r w:rsidRPr="001E48BE">
        <w:rPr>
          <w:rFonts w:cs="Times New Roman"/>
          <w:szCs w:val="24"/>
        </w:rPr>
        <w:t xml:space="preserve">multiplying the uncorrected margin of error by </w:t>
      </w:r>
      <m:oMath>
        <m:rad>
          <m:radPr>
            <m:degHide m:val="1"/>
            <m:ctrlPr>
              <w:rPr>
                <w:rFonts w:ascii="Cambria Math" w:hAnsi="Cambria Math" w:cs="Times New Roman"/>
                <w:i/>
                <w:szCs w:val="24"/>
              </w:rPr>
            </m:ctrlPr>
          </m:radPr>
          <m:deg/>
          <m:e>
            <m:r>
              <w:rPr>
                <w:rFonts w:ascii="Cambria Math" w:hAnsi="Cambria Math" w:cs="Times New Roman"/>
                <w:szCs w:val="24"/>
              </w:rPr>
              <m:t>0.92</m:t>
            </m:r>
          </m:e>
        </m:rad>
        <m:r>
          <w:rPr>
            <w:rFonts w:ascii="Cambria Math" w:hAnsi="Cambria Math" w:cs="Times New Roman" w:eastAsiaTheme="minorEastAsia"/>
            <w:szCs w:val="24"/>
          </w:rPr>
          <m:t>≈0.96</m:t>
        </m:r>
      </m:oMath>
      <w:r w:rsidRPr="001E48BE">
        <w:rPr>
          <w:rFonts w:cs="Times New Roman" w:eastAsiaTheme="minorEastAsia"/>
          <w:szCs w:val="24"/>
        </w:rPr>
        <w:t xml:space="preserve">. So, the finite population correction would reduce the margin of error by only 4% if it were applied for DC.  For the other SEs, the impact on the margin of error would be even smaller.  </w:t>
      </w:r>
      <w:r w:rsidRPr="001E48BE" w:rsidR="001E1E00">
        <w:rPr>
          <w:rFonts w:cs="Times New Roman" w:eastAsiaTheme="minorEastAsia"/>
          <w:szCs w:val="24"/>
        </w:rPr>
        <w:t xml:space="preserve">See table below. </w:t>
      </w:r>
      <w:r w:rsidRPr="00205548">
        <w:rPr>
          <w:rFonts w:cs="Times New Roman" w:eastAsiaTheme="minorEastAsia"/>
          <w:szCs w:val="24"/>
        </w:rPr>
        <w:t>The small impact led CMS to decide upon a constant sample size across exchanges for the sake of simplicity.</w:t>
      </w:r>
    </w:p>
    <w:p w:rsidRPr="00205548" w:rsidR="001E1E00" w:rsidP="006248FE" w:rsidRDefault="001E1E00" w14:paraId="0ABC308B" w14:textId="49F55C21">
      <w:pPr>
        <w:ind w:left="720"/>
        <w:rPr>
          <w:rFonts w:cs="Times New Roman" w:eastAsiaTheme="minorEastAsia"/>
          <w:szCs w:val="24"/>
        </w:rPr>
      </w:pPr>
    </w:p>
    <w:tbl>
      <w:tblPr>
        <w:tblStyle w:val="TableGrid"/>
        <w:tblW w:w="0" w:type="auto"/>
        <w:tblInd w:w="894" w:type="dxa"/>
        <w:tblLook w:val="04A0" w:firstRow="1" w:lastRow="0" w:firstColumn="1" w:lastColumn="0" w:noHBand="0" w:noVBand="1"/>
      </w:tblPr>
      <w:tblGrid>
        <w:gridCol w:w="2337"/>
        <w:gridCol w:w="2337"/>
        <w:gridCol w:w="2338"/>
      </w:tblGrid>
      <w:tr w:rsidRPr="00205548" w:rsidR="001E1E00" w:rsidTr="001E1E00" w14:paraId="211EB5EB" w14:textId="77777777">
        <w:tc>
          <w:tcPr>
            <w:tcW w:w="2337" w:type="dxa"/>
            <w:vAlign w:val="center"/>
          </w:tcPr>
          <w:p w:rsidRPr="0046667B" w:rsidR="001E1E00" w:rsidP="007B14FB" w:rsidRDefault="001E1E00" w14:paraId="61B8C126" w14:textId="77777777">
            <w:pPr>
              <w:jc w:val="center"/>
              <w:rPr>
                <w:rFonts w:cs="Times New Roman"/>
                <w:szCs w:val="24"/>
              </w:rPr>
            </w:pPr>
            <w:r w:rsidRPr="0046667B">
              <w:rPr>
                <w:rFonts w:cs="Times New Roman"/>
                <w:b/>
                <w:bCs/>
                <w:color w:val="000000"/>
                <w:szCs w:val="24"/>
              </w:rPr>
              <w:t>State Exchange</w:t>
            </w:r>
          </w:p>
        </w:tc>
        <w:tc>
          <w:tcPr>
            <w:tcW w:w="2337" w:type="dxa"/>
            <w:vAlign w:val="center"/>
          </w:tcPr>
          <w:p w:rsidRPr="0046667B" w:rsidR="001E1E00" w:rsidP="007B14FB" w:rsidRDefault="001E1E00" w14:paraId="07D6B8C2" w14:textId="77777777">
            <w:pPr>
              <w:jc w:val="center"/>
              <w:rPr>
                <w:rFonts w:cs="Times New Roman"/>
                <w:szCs w:val="24"/>
              </w:rPr>
            </w:pPr>
            <w:r w:rsidRPr="0046667B">
              <w:rPr>
                <w:rFonts w:cs="Times New Roman"/>
                <w:b/>
                <w:bCs/>
                <w:color w:val="000000"/>
                <w:szCs w:val="24"/>
              </w:rPr>
              <w:t>Number of Policies</w:t>
            </w:r>
            <w:r w:rsidRPr="001E48BE">
              <w:rPr>
                <w:rFonts w:cs="Times New Roman"/>
                <w:b/>
                <w:bCs/>
                <w:color w:val="000000"/>
                <w:szCs w:val="24"/>
              </w:rPr>
              <w:t xml:space="preserve"> Receiving APTC (Benefit Year 2019)</w:t>
            </w:r>
          </w:p>
        </w:tc>
        <w:tc>
          <w:tcPr>
            <w:tcW w:w="2338" w:type="dxa"/>
            <w:vAlign w:val="center"/>
          </w:tcPr>
          <w:p w:rsidRPr="001E48BE" w:rsidR="001E1E00" w:rsidP="007B14FB" w:rsidRDefault="001E1E00" w14:paraId="537A97CF" w14:textId="77777777">
            <w:pPr>
              <w:jc w:val="center"/>
              <w:rPr>
                <w:rFonts w:cs="Times New Roman"/>
                <w:szCs w:val="24"/>
              </w:rPr>
            </w:pPr>
            <w:r w:rsidRPr="0046667B">
              <w:rPr>
                <w:rFonts w:cs="Times New Roman"/>
                <w:b/>
                <w:bCs/>
                <w:color w:val="000000"/>
                <w:szCs w:val="24"/>
              </w:rPr>
              <w:t>Sampling Rate</w:t>
            </w:r>
          </w:p>
        </w:tc>
      </w:tr>
      <w:tr w:rsidRPr="00205548" w:rsidR="001E1E00" w:rsidTr="001E1E00" w14:paraId="50F5F191" w14:textId="77777777">
        <w:tc>
          <w:tcPr>
            <w:tcW w:w="2337" w:type="dxa"/>
            <w:vAlign w:val="bottom"/>
          </w:tcPr>
          <w:p w:rsidRPr="001E48BE" w:rsidR="001E1E00" w:rsidP="007B14FB" w:rsidRDefault="001E1E00" w14:paraId="3235CA6B" w14:textId="77777777">
            <w:pPr>
              <w:rPr>
                <w:rFonts w:cs="Times New Roman"/>
                <w:szCs w:val="24"/>
              </w:rPr>
            </w:pPr>
            <w:r w:rsidRPr="0046667B">
              <w:rPr>
                <w:rFonts w:cs="Times New Roman"/>
                <w:color w:val="000000"/>
                <w:szCs w:val="24"/>
              </w:rPr>
              <w:t>CA</w:t>
            </w:r>
          </w:p>
        </w:tc>
        <w:tc>
          <w:tcPr>
            <w:tcW w:w="2337" w:type="dxa"/>
            <w:vAlign w:val="bottom"/>
          </w:tcPr>
          <w:p w:rsidRPr="001E48BE" w:rsidR="001E1E00" w:rsidP="007B14FB" w:rsidRDefault="001E1E00" w14:paraId="54A340BD" w14:textId="77777777">
            <w:pPr>
              <w:rPr>
                <w:rFonts w:cs="Times New Roman"/>
                <w:szCs w:val="24"/>
              </w:rPr>
            </w:pPr>
            <w:r w:rsidRPr="0046667B">
              <w:rPr>
                <w:rFonts w:cs="Times New Roman"/>
                <w:color w:val="000000"/>
                <w:szCs w:val="24"/>
              </w:rPr>
              <w:t>1,065,504</w:t>
            </w:r>
          </w:p>
        </w:tc>
        <w:tc>
          <w:tcPr>
            <w:tcW w:w="2338" w:type="dxa"/>
            <w:vAlign w:val="bottom"/>
          </w:tcPr>
          <w:p w:rsidRPr="001E48BE" w:rsidR="001E1E00" w:rsidP="001E1E00" w:rsidRDefault="001E1E00" w14:paraId="15F772A5" w14:textId="77777777">
            <w:pPr>
              <w:jc w:val="center"/>
              <w:rPr>
                <w:rFonts w:cs="Times New Roman"/>
                <w:szCs w:val="24"/>
              </w:rPr>
            </w:pPr>
            <w:r w:rsidRPr="0046667B">
              <w:rPr>
                <w:rFonts w:cs="Times New Roman"/>
                <w:color w:val="000000"/>
                <w:szCs w:val="24"/>
              </w:rPr>
              <w:t>0.01%</w:t>
            </w:r>
          </w:p>
        </w:tc>
      </w:tr>
      <w:tr w:rsidRPr="00205548" w:rsidR="001E1E00" w:rsidTr="001E1E00" w14:paraId="56DAD5D5" w14:textId="77777777">
        <w:tc>
          <w:tcPr>
            <w:tcW w:w="2337" w:type="dxa"/>
            <w:vAlign w:val="bottom"/>
          </w:tcPr>
          <w:p w:rsidRPr="001E48BE" w:rsidR="001E1E00" w:rsidP="007B14FB" w:rsidRDefault="001E1E00" w14:paraId="06412869" w14:textId="77777777">
            <w:pPr>
              <w:rPr>
                <w:rFonts w:cs="Times New Roman"/>
                <w:szCs w:val="24"/>
              </w:rPr>
            </w:pPr>
            <w:r w:rsidRPr="0046667B">
              <w:rPr>
                <w:rFonts w:cs="Times New Roman"/>
                <w:color w:val="000000"/>
                <w:szCs w:val="24"/>
              </w:rPr>
              <w:t>CO</w:t>
            </w:r>
          </w:p>
        </w:tc>
        <w:tc>
          <w:tcPr>
            <w:tcW w:w="2337" w:type="dxa"/>
            <w:vAlign w:val="bottom"/>
          </w:tcPr>
          <w:p w:rsidRPr="001E48BE" w:rsidR="001E1E00" w:rsidP="007B14FB" w:rsidRDefault="001E1E00" w14:paraId="0CB80ABB" w14:textId="77777777">
            <w:pPr>
              <w:rPr>
                <w:rFonts w:cs="Times New Roman"/>
                <w:szCs w:val="24"/>
              </w:rPr>
            </w:pPr>
            <w:r w:rsidRPr="0046667B">
              <w:rPr>
                <w:rFonts w:cs="Times New Roman"/>
                <w:color w:val="000000"/>
                <w:szCs w:val="24"/>
              </w:rPr>
              <w:t>98,768</w:t>
            </w:r>
          </w:p>
        </w:tc>
        <w:tc>
          <w:tcPr>
            <w:tcW w:w="2338" w:type="dxa"/>
            <w:vAlign w:val="bottom"/>
          </w:tcPr>
          <w:p w:rsidRPr="001E48BE" w:rsidR="001E1E00" w:rsidP="001E1E00" w:rsidRDefault="001E1E00" w14:paraId="0B805F76" w14:textId="77777777">
            <w:pPr>
              <w:jc w:val="center"/>
              <w:rPr>
                <w:rFonts w:cs="Times New Roman"/>
                <w:szCs w:val="24"/>
              </w:rPr>
            </w:pPr>
            <w:r w:rsidRPr="0046667B">
              <w:rPr>
                <w:rFonts w:cs="Times New Roman"/>
                <w:color w:val="000000"/>
                <w:szCs w:val="24"/>
              </w:rPr>
              <w:t>0.10%</w:t>
            </w:r>
          </w:p>
        </w:tc>
      </w:tr>
      <w:tr w:rsidRPr="00205548" w:rsidR="001E1E00" w:rsidTr="001E1E00" w14:paraId="5641CE29" w14:textId="77777777">
        <w:tc>
          <w:tcPr>
            <w:tcW w:w="2337" w:type="dxa"/>
            <w:vAlign w:val="bottom"/>
          </w:tcPr>
          <w:p w:rsidRPr="001E48BE" w:rsidR="001E1E00" w:rsidP="007B14FB" w:rsidRDefault="001E1E00" w14:paraId="244A2D6A" w14:textId="77777777">
            <w:pPr>
              <w:rPr>
                <w:rFonts w:cs="Times New Roman"/>
                <w:szCs w:val="24"/>
              </w:rPr>
            </w:pPr>
            <w:r w:rsidRPr="0046667B">
              <w:rPr>
                <w:rFonts w:cs="Times New Roman"/>
                <w:color w:val="000000"/>
                <w:szCs w:val="24"/>
              </w:rPr>
              <w:t>CT</w:t>
            </w:r>
          </w:p>
        </w:tc>
        <w:tc>
          <w:tcPr>
            <w:tcW w:w="2337" w:type="dxa"/>
            <w:vAlign w:val="bottom"/>
          </w:tcPr>
          <w:p w:rsidRPr="001E48BE" w:rsidR="001E1E00" w:rsidP="007B14FB" w:rsidRDefault="001E1E00" w14:paraId="4CBCF79A" w14:textId="77777777">
            <w:pPr>
              <w:rPr>
                <w:rFonts w:cs="Times New Roman"/>
                <w:szCs w:val="24"/>
              </w:rPr>
            </w:pPr>
            <w:r w:rsidRPr="0046667B">
              <w:rPr>
                <w:rFonts w:cs="Times New Roman"/>
                <w:color w:val="000000"/>
                <w:szCs w:val="24"/>
              </w:rPr>
              <w:t>69,382</w:t>
            </w:r>
          </w:p>
        </w:tc>
        <w:tc>
          <w:tcPr>
            <w:tcW w:w="2338" w:type="dxa"/>
            <w:vAlign w:val="bottom"/>
          </w:tcPr>
          <w:p w:rsidRPr="001E48BE" w:rsidR="001E1E00" w:rsidP="001E1E00" w:rsidRDefault="001E1E00" w14:paraId="08739C5A" w14:textId="77777777">
            <w:pPr>
              <w:jc w:val="center"/>
              <w:rPr>
                <w:rFonts w:cs="Times New Roman"/>
                <w:szCs w:val="24"/>
              </w:rPr>
            </w:pPr>
            <w:r w:rsidRPr="0046667B">
              <w:rPr>
                <w:rFonts w:cs="Times New Roman"/>
                <w:color w:val="000000"/>
                <w:szCs w:val="24"/>
              </w:rPr>
              <w:t>0.14%</w:t>
            </w:r>
          </w:p>
        </w:tc>
      </w:tr>
      <w:tr w:rsidRPr="00205548" w:rsidR="001E1E00" w:rsidTr="001E1E00" w14:paraId="6FB1709D" w14:textId="77777777">
        <w:tc>
          <w:tcPr>
            <w:tcW w:w="2337" w:type="dxa"/>
            <w:vAlign w:val="bottom"/>
          </w:tcPr>
          <w:p w:rsidRPr="001E48BE" w:rsidR="001E1E00" w:rsidP="007B14FB" w:rsidRDefault="001E1E00" w14:paraId="358ECDD7" w14:textId="77777777">
            <w:pPr>
              <w:rPr>
                <w:rFonts w:cs="Times New Roman"/>
                <w:szCs w:val="24"/>
              </w:rPr>
            </w:pPr>
            <w:r w:rsidRPr="0046667B">
              <w:rPr>
                <w:rFonts w:cs="Times New Roman"/>
                <w:color w:val="000000"/>
                <w:szCs w:val="24"/>
              </w:rPr>
              <w:t>DC</w:t>
            </w:r>
          </w:p>
        </w:tc>
        <w:tc>
          <w:tcPr>
            <w:tcW w:w="2337" w:type="dxa"/>
            <w:vAlign w:val="bottom"/>
          </w:tcPr>
          <w:p w:rsidRPr="001E48BE" w:rsidR="001E1E00" w:rsidP="007B14FB" w:rsidRDefault="001E1E00" w14:paraId="427B8DDE" w14:textId="77777777">
            <w:pPr>
              <w:rPr>
                <w:rFonts w:cs="Times New Roman"/>
                <w:szCs w:val="24"/>
              </w:rPr>
            </w:pPr>
            <w:r w:rsidRPr="0046667B">
              <w:rPr>
                <w:rFonts w:cs="Times New Roman"/>
                <w:color w:val="000000"/>
                <w:szCs w:val="24"/>
              </w:rPr>
              <w:t>1,241</w:t>
            </w:r>
          </w:p>
        </w:tc>
        <w:tc>
          <w:tcPr>
            <w:tcW w:w="2338" w:type="dxa"/>
            <w:vAlign w:val="bottom"/>
          </w:tcPr>
          <w:p w:rsidRPr="001E48BE" w:rsidR="001E1E00" w:rsidP="001E1E00" w:rsidRDefault="001E1E00" w14:paraId="18FE528B" w14:textId="77777777">
            <w:pPr>
              <w:jc w:val="center"/>
              <w:rPr>
                <w:rFonts w:cs="Times New Roman"/>
                <w:szCs w:val="24"/>
              </w:rPr>
            </w:pPr>
            <w:r w:rsidRPr="0046667B">
              <w:rPr>
                <w:rFonts w:cs="Times New Roman"/>
                <w:color w:val="000000"/>
                <w:szCs w:val="24"/>
              </w:rPr>
              <w:t>8.06%</w:t>
            </w:r>
          </w:p>
        </w:tc>
      </w:tr>
      <w:tr w:rsidRPr="00205548" w:rsidR="001E1E00" w:rsidTr="001E1E00" w14:paraId="40F1E9CB" w14:textId="77777777">
        <w:tc>
          <w:tcPr>
            <w:tcW w:w="2337" w:type="dxa"/>
            <w:vAlign w:val="bottom"/>
          </w:tcPr>
          <w:p w:rsidRPr="001E48BE" w:rsidR="001E1E00" w:rsidP="007B14FB" w:rsidRDefault="001E1E00" w14:paraId="053A3A3D" w14:textId="77777777">
            <w:pPr>
              <w:rPr>
                <w:rFonts w:cs="Times New Roman"/>
                <w:szCs w:val="24"/>
              </w:rPr>
            </w:pPr>
            <w:r w:rsidRPr="0046667B">
              <w:rPr>
                <w:rFonts w:cs="Times New Roman"/>
                <w:color w:val="000000"/>
                <w:szCs w:val="24"/>
              </w:rPr>
              <w:t>ID</w:t>
            </w:r>
          </w:p>
        </w:tc>
        <w:tc>
          <w:tcPr>
            <w:tcW w:w="2337" w:type="dxa"/>
            <w:vAlign w:val="bottom"/>
          </w:tcPr>
          <w:p w:rsidRPr="001E48BE" w:rsidR="001E1E00" w:rsidP="007B14FB" w:rsidRDefault="001E1E00" w14:paraId="25D8EBBC" w14:textId="77777777">
            <w:pPr>
              <w:rPr>
                <w:rFonts w:cs="Times New Roman"/>
                <w:szCs w:val="24"/>
              </w:rPr>
            </w:pPr>
            <w:r w:rsidRPr="0046667B">
              <w:rPr>
                <w:rFonts w:cs="Times New Roman"/>
                <w:color w:val="000000"/>
                <w:szCs w:val="24"/>
              </w:rPr>
              <w:t>56,741</w:t>
            </w:r>
          </w:p>
        </w:tc>
        <w:tc>
          <w:tcPr>
            <w:tcW w:w="2338" w:type="dxa"/>
            <w:vAlign w:val="bottom"/>
          </w:tcPr>
          <w:p w:rsidRPr="001E48BE" w:rsidR="001E1E00" w:rsidP="001E1E00" w:rsidRDefault="001E1E00" w14:paraId="0DD86045" w14:textId="77777777">
            <w:pPr>
              <w:jc w:val="center"/>
              <w:rPr>
                <w:rFonts w:cs="Times New Roman"/>
                <w:szCs w:val="24"/>
              </w:rPr>
            </w:pPr>
            <w:r w:rsidRPr="0046667B">
              <w:rPr>
                <w:rFonts w:cs="Times New Roman"/>
                <w:color w:val="000000"/>
                <w:szCs w:val="24"/>
              </w:rPr>
              <w:t>0.18%</w:t>
            </w:r>
          </w:p>
        </w:tc>
      </w:tr>
      <w:tr w:rsidRPr="00205548" w:rsidR="001E1E00" w:rsidTr="001E1E00" w14:paraId="57CA4D7D" w14:textId="77777777">
        <w:tc>
          <w:tcPr>
            <w:tcW w:w="2337" w:type="dxa"/>
            <w:vAlign w:val="bottom"/>
          </w:tcPr>
          <w:p w:rsidRPr="001E48BE" w:rsidR="001E1E00" w:rsidP="007B14FB" w:rsidRDefault="001E1E00" w14:paraId="1BA2E977" w14:textId="77777777">
            <w:pPr>
              <w:rPr>
                <w:rFonts w:cs="Times New Roman"/>
                <w:szCs w:val="24"/>
              </w:rPr>
            </w:pPr>
            <w:r w:rsidRPr="0046667B">
              <w:rPr>
                <w:rFonts w:cs="Times New Roman"/>
                <w:color w:val="000000"/>
                <w:szCs w:val="24"/>
              </w:rPr>
              <w:t>MA</w:t>
            </w:r>
          </w:p>
        </w:tc>
        <w:tc>
          <w:tcPr>
            <w:tcW w:w="2337" w:type="dxa"/>
            <w:vAlign w:val="bottom"/>
          </w:tcPr>
          <w:p w:rsidRPr="001E48BE" w:rsidR="001E1E00" w:rsidP="007B14FB" w:rsidRDefault="001E1E00" w14:paraId="53E3301A" w14:textId="77777777">
            <w:pPr>
              <w:rPr>
                <w:rFonts w:cs="Times New Roman"/>
                <w:szCs w:val="24"/>
              </w:rPr>
            </w:pPr>
            <w:r w:rsidRPr="0046667B">
              <w:rPr>
                <w:rFonts w:cs="Times New Roman"/>
                <w:color w:val="000000"/>
                <w:szCs w:val="24"/>
              </w:rPr>
              <w:t>356,707</w:t>
            </w:r>
          </w:p>
        </w:tc>
        <w:tc>
          <w:tcPr>
            <w:tcW w:w="2338" w:type="dxa"/>
            <w:vAlign w:val="bottom"/>
          </w:tcPr>
          <w:p w:rsidRPr="001E48BE" w:rsidR="001E1E00" w:rsidP="001E1E00" w:rsidRDefault="001E1E00" w14:paraId="4DB94649" w14:textId="77777777">
            <w:pPr>
              <w:jc w:val="center"/>
              <w:rPr>
                <w:rFonts w:cs="Times New Roman"/>
                <w:szCs w:val="24"/>
              </w:rPr>
            </w:pPr>
            <w:r w:rsidRPr="0046667B">
              <w:rPr>
                <w:rFonts w:cs="Times New Roman"/>
                <w:color w:val="000000"/>
                <w:szCs w:val="24"/>
              </w:rPr>
              <w:t>0.03%</w:t>
            </w:r>
          </w:p>
        </w:tc>
      </w:tr>
      <w:tr w:rsidRPr="00205548" w:rsidR="001E1E00" w:rsidTr="001E1E00" w14:paraId="4FC693DD" w14:textId="77777777">
        <w:tc>
          <w:tcPr>
            <w:tcW w:w="2337" w:type="dxa"/>
            <w:vAlign w:val="bottom"/>
          </w:tcPr>
          <w:p w:rsidRPr="001E48BE" w:rsidR="001E1E00" w:rsidP="007B14FB" w:rsidRDefault="001E1E00" w14:paraId="070B8EA1" w14:textId="77777777">
            <w:pPr>
              <w:rPr>
                <w:rFonts w:cs="Times New Roman"/>
                <w:szCs w:val="24"/>
              </w:rPr>
            </w:pPr>
            <w:r w:rsidRPr="0046667B">
              <w:rPr>
                <w:rFonts w:cs="Times New Roman"/>
                <w:color w:val="000000"/>
                <w:szCs w:val="24"/>
              </w:rPr>
              <w:t>MD</w:t>
            </w:r>
          </w:p>
        </w:tc>
        <w:tc>
          <w:tcPr>
            <w:tcW w:w="2337" w:type="dxa"/>
            <w:vAlign w:val="bottom"/>
          </w:tcPr>
          <w:p w:rsidRPr="001E48BE" w:rsidR="001E1E00" w:rsidP="007B14FB" w:rsidRDefault="001E1E00" w14:paraId="616B5E46" w14:textId="77777777">
            <w:pPr>
              <w:rPr>
                <w:rFonts w:cs="Times New Roman"/>
                <w:szCs w:val="24"/>
              </w:rPr>
            </w:pPr>
            <w:r w:rsidRPr="0046667B">
              <w:rPr>
                <w:rFonts w:cs="Times New Roman"/>
                <w:color w:val="000000"/>
                <w:szCs w:val="24"/>
              </w:rPr>
              <w:t>108,291</w:t>
            </w:r>
          </w:p>
        </w:tc>
        <w:tc>
          <w:tcPr>
            <w:tcW w:w="2338" w:type="dxa"/>
            <w:vAlign w:val="bottom"/>
          </w:tcPr>
          <w:p w:rsidRPr="001E48BE" w:rsidR="001E1E00" w:rsidP="001E1E00" w:rsidRDefault="001E1E00" w14:paraId="6F0C8E93" w14:textId="77777777">
            <w:pPr>
              <w:jc w:val="center"/>
              <w:rPr>
                <w:rFonts w:cs="Times New Roman"/>
                <w:szCs w:val="24"/>
              </w:rPr>
            </w:pPr>
            <w:r w:rsidRPr="0046667B">
              <w:rPr>
                <w:rFonts w:cs="Times New Roman"/>
                <w:color w:val="000000"/>
                <w:szCs w:val="24"/>
              </w:rPr>
              <w:t>0.09%</w:t>
            </w:r>
          </w:p>
        </w:tc>
      </w:tr>
      <w:tr w:rsidRPr="00205548" w:rsidR="001E1E00" w:rsidTr="001E1E00" w14:paraId="59634979" w14:textId="77777777">
        <w:tc>
          <w:tcPr>
            <w:tcW w:w="2337" w:type="dxa"/>
            <w:vAlign w:val="bottom"/>
          </w:tcPr>
          <w:p w:rsidRPr="001E48BE" w:rsidR="001E1E00" w:rsidP="007B14FB" w:rsidRDefault="001E1E00" w14:paraId="102365DF" w14:textId="77777777">
            <w:pPr>
              <w:rPr>
                <w:rFonts w:cs="Times New Roman"/>
                <w:szCs w:val="24"/>
              </w:rPr>
            </w:pPr>
            <w:r w:rsidRPr="0046667B">
              <w:rPr>
                <w:rFonts w:cs="Times New Roman"/>
                <w:color w:val="000000"/>
                <w:szCs w:val="24"/>
              </w:rPr>
              <w:t>ME</w:t>
            </w:r>
          </w:p>
        </w:tc>
        <w:tc>
          <w:tcPr>
            <w:tcW w:w="2337" w:type="dxa"/>
            <w:vAlign w:val="bottom"/>
          </w:tcPr>
          <w:p w:rsidRPr="001E48BE" w:rsidR="001E1E00" w:rsidP="007B14FB" w:rsidRDefault="001E1E00" w14:paraId="3907D4A9" w14:textId="77777777">
            <w:pPr>
              <w:rPr>
                <w:rFonts w:cs="Times New Roman"/>
                <w:szCs w:val="24"/>
              </w:rPr>
            </w:pPr>
            <w:r w:rsidRPr="0046667B">
              <w:rPr>
                <w:rFonts w:cs="Times New Roman"/>
                <w:color w:val="000000"/>
                <w:szCs w:val="24"/>
              </w:rPr>
              <w:t>46,298</w:t>
            </w:r>
          </w:p>
        </w:tc>
        <w:tc>
          <w:tcPr>
            <w:tcW w:w="2338" w:type="dxa"/>
            <w:vAlign w:val="bottom"/>
          </w:tcPr>
          <w:p w:rsidRPr="001E48BE" w:rsidR="001E1E00" w:rsidP="001E1E00" w:rsidRDefault="001E1E00" w14:paraId="7C761728" w14:textId="77777777">
            <w:pPr>
              <w:jc w:val="center"/>
              <w:rPr>
                <w:rFonts w:cs="Times New Roman"/>
                <w:szCs w:val="24"/>
              </w:rPr>
            </w:pPr>
            <w:r w:rsidRPr="0046667B">
              <w:rPr>
                <w:rFonts w:cs="Times New Roman"/>
                <w:color w:val="000000"/>
                <w:szCs w:val="24"/>
              </w:rPr>
              <w:t>0.22%</w:t>
            </w:r>
          </w:p>
        </w:tc>
      </w:tr>
      <w:tr w:rsidRPr="00205548" w:rsidR="001E1E00" w:rsidTr="001E1E00" w14:paraId="314D4684" w14:textId="77777777">
        <w:tc>
          <w:tcPr>
            <w:tcW w:w="2337" w:type="dxa"/>
            <w:vAlign w:val="bottom"/>
          </w:tcPr>
          <w:p w:rsidRPr="001E48BE" w:rsidR="001E1E00" w:rsidP="007B14FB" w:rsidRDefault="001E1E00" w14:paraId="51068F2E" w14:textId="77777777">
            <w:pPr>
              <w:rPr>
                <w:rFonts w:cs="Times New Roman"/>
                <w:szCs w:val="24"/>
                <w:vertAlign w:val="superscript"/>
              </w:rPr>
            </w:pPr>
            <w:r w:rsidRPr="0046667B">
              <w:rPr>
                <w:rFonts w:cs="Times New Roman"/>
                <w:color w:val="000000"/>
                <w:szCs w:val="24"/>
              </w:rPr>
              <w:lastRenderedPageBreak/>
              <w:t>MN</w:t>
            </w:r>
            <w:r w:rsidRPr="001E48BE">
              <w:rPr>
                <w:rFonts w:cs="Times New Roman"/>
                <w:color w:val="000000"/>
                <w:szCs w:val="24"/>
                <w:vertAlign w:val="superscript"/>
              </w:rPr>
              <w:t>*</w:t>
            </w:r>
          </w:p>
        </w:tc>
        <w:tc>
          <w:tcPr>
            <w:tcW w:w="2337" w:type="dxa"/>
            <w:vAlign w:val="bottom"/>
          </w:tcPr>
          <w:p w:rsidRPr="0046667B" w:rsidR="001E1E00" w:rsidP="007B14FB" w:rsidRDefault="001E1E00" w14:paraId="03AFCAF4" w14:textId="77777777">
            <w:pPr>
              <w:rPr>
                <w:rFonts w:cs="Times New Roman"/>
                <w:szCs w:val="24"/>
              </w:rPr>
            </w:pPr>
            <w:r w:rsidRPr="0046667B">
              <w:rPr>
                <w:rFonts w:cs="Times New Roman"/>
                <w:szCs w:val="24"/>
              </w:rPr>
              <w:t>Not available</w:t>
            </w:r>
          </w:p>
        </w:tc>
        <w:tc>
          <w:tcPr>
            <w:tcW w:w="2338" w:type="dxa"/>
            <w:vAlign w:val="bottom"/>
          </w:tcPr>
          <w:p w:rsidRPr="0046667B" w:rsidR="001E1E00" w:rsidP="001E1E00" w:rsidRDefault="001E1E00" w14:paraId="0A09B40F" w14:textId="77777777">
            <w:pPr>
              <w:jc w:val="center"/>
              <w:rPr>
                <w:rFonts w:cs="Times New Roman"/>
                <w:szCs w:val="24"/>
              </w:rPr>
            </w:pPr>
          </w:p>
        </w:tc>
      </w:tr>
      <w:tr w:rsidRPr="00205548" w:rsidR="001E1E00" w:rsidTr="001E1E00" w14:paraId="5EFF231E" w14:textId="77777777">
        <w:tc>
          <w:tcPr>
            <w:tcW w:w="2337" w:type="dxa"/>
            <w:vAlign w:val="bottom"/>
          </w:tcPr>
          <w:p w:rsidRPr="001E48BE" w:rsidR="001E1E00" w:rsidP="007B14FB" w:rsidRDefault="001E1E00" w14:paraId="7C971017" w14:textId="77777777">
            <w:pPr>
              <w:rPr>
                <w:rFonts w:cs="Times New Roman"/>
                <w:szCs w:val="24"/>
              </w:rPr>
            </w:pPr>
            <w:r w:rsidRPr="0046667B">
              <w:rPr>
                <w:rFonts w:cs="Times New Roman"/>
                <w:color w:val="000000"/>
                <w:szCs w:val="24"/>
              </w:rPr>
              <w:t>NJ</w:t>
            </w:r>
          </w:p>
        </w:tc>
        <w:tc>
          <w:tcPr>
            <w:tcW w:w="2337" w:type="dxa"/>
            <w:vAlign w:val="bottom"/>
          </w:tcPr>
          <w:p w:rsidRPr="001E48BE" w:rsidR="001E1E00" w:rsidP="007B14FB" w:rsidRDefault="001E1E00" w14:paraId="4A512FE6" w14:textId="77777777">
            <w:pPr>
              <w:rPr>
                <w:rFonts w:cs="Times New Roman"/>
                <w:szCs w:val="24"/>
              </w:rPr>
            </w:pPr>
            <w:r w:rsidRPr="0046667B">
              <w:rPr>
                <w:rFonts w:cs="Times New Roman"/>
                <w:color w:val="000000"/>
                <w:szCs w:val="24"/>
              </w:rPr>
              <w:t>144,119</w:t>
            </w:r>
          </w:p>
        </w:tc>
        <w:tc>
          <w:tcPr>
            <w:tcW w:w="2338" w:type="dxa"/>
            <w:vAlign w:val="bottom"/>
          </w:tcPr>
          <w:p w:rsidRPr="001E48BE" w:rsidR="001E1E00" w:rsidP="001E1E00" w:rsidRDefault="001E1E00" w14:paraId="27A779FA" w14:textId="77777777">
            <w:pPr>
              <w:jc w:val="center"/>
              <w:rPr>
                <w:rFonts w:cs="Times New Roman"/>
                <w:szCs w:val="24"/>
              </w:rPr>
            </w:pPr>
            <w:r w:rsidRPr="0046667B">
              <w:rPr>
                <w:rFonts w:cs="Times New Roman"/>
                <w:color w:val="000000"/>
                <w:szCs w:val="24"/>
              </w:rPr>
              <w:t>0.07%</w:t>
            </w:r>
          </w:p>
        </w:tc>
      </w:tr>
      <w:tr w:rsidRPr="00205548" w:rsidR="001E1E00" w:rsidTr="001E1E00" w14:paraId="55BF5790" w14:textId="77777777">
        <w:tc>
          <w:tcPr>
            <w:tcW w:w="2337" w:type="dxa"/>
            <w:vAlign w:val="bottom"/>
          </w:tcPr>
          <w:p w:rsidRPr="001E48BE" w:rsidR="001E1E00" w:rsidP="007B14FB" w:rsidRDefault="001E1E00" w14:paraId="7CF311AF" w14:textId="77777777">
            <w:pPr>
              <w:rPr>
                <w:rFonts w:cs="Times New Roman"/>
                <w:szCs w:val="24"/>
              </w:rPr>
            </w:pPr>
            <w:r w:rsidRPr="0046667B">
              <w:rPr>
                <w:rFonts w:cs="Times New Roman"/>
                <w:color w:val="000000"/>
                <w:szCs w:val="24"/>
              </w:rPr>
              <w:t>NM</w:t>
            </w:r>
          </w:p>
        </w:tc>
        <w:tc>
          <w:tcPr>
            <w:tcW w:w="2337" w:type="dxa"/>
            <w:vAlign w:val="bottom"/>
          </w:tcPr>
          <w:p w:rsidRPr="001E48BE" w:rsidR="001E1E00" w:rsidP="007B14FB" w:rsidRDefault="001E1E00" w14:paraId="13FA53F9" w14:textId="77777777">
            <w:pPr>
              <w:rPr>
                <w:rFonts w:cs="Times New Roman"/>
                <w:szCs w:val="24"/>
              </w:rPr>
            </w:pPr>
            <w:r w:rsidRPr="0046667B">
              <w:rPr>
                <w:rFonts w:cs="Times New Roman"/>
                <w:color w:val="000000"/>
                <w:szCs w:val="24"/>
              </w:rPr>
              <w:t>29,336</w:t>
            </w:r>
          </w:p>
        </w:tc>
        <w:tc>
          <w:tcPr>
            <w:tcW w:w="2338" w:type="dxa"/>
            <w:vAlign w:val="bottom"/>
          </w:tcPr>
          <w:p w:rsidRPr="001E48BE" w:rsidR="001E1E00" w:rsidP="001E1E00" w:rsidRDefault="001E1E00" w14:paraId="0574326E" w14:textId="77777777">
            <w:pPr>
              <w:jc w:val="center"/>
              <w:rPr>
                <w:rFonts w:cs="Times New Roman"/>
                <w:szCs w:val="24"/>
              </w:rPr>
            </w:pPr>
            <w:r w:rsidRPr="0046667B">
              <w:rPr>
                <w:rFonts w:cs="Times New Roman"/>
                <w:color w:val="000000"/>
                <w:szCs w:val="24"/>
              </w:rPr>
              <w:t>0.34%</w:t>
            </w:r>
          </w:p>
        </w:tc>
      </w:tr>
      <w:tr w:rsidRPr="00205548" w:rsidR="001E1E00" w:rsidTr="001E1E00" w14:paraId="5ED35AE9" w14:textId="77777777">
        <w:tc>
          <w:tcPr>
            <w:tcW w:w="2337" w:type="dxa"/>
            <w:vAlign w:val="bottom"/>
          </w:tcPr>
          <w:p w:rsidRPr="001E48BE" w:rsidR="001E1E00" w:rsidP="007B14FB" w:rsidRDefault="001E1E00" w14:paraId="288F1298" w14:textId="77777777">
            <w:pPr>
              <w:rPr>
                <w:rFonts w:cs="Times New Roman"/>
                <w:szCs w:val="24"/>
              </w:rPr>
            </w:pPr>
            <w:r w:rsidRPr="0046667B">
              <w:rPr>
                <w:rFonts w:cs="Times New Roman"/>
                <w:color w:val="000000"/>
                <w:szCs w:val="24"/>
              </w:rPr>
              <w:t>NV</w:t>
            </w:r>
          </w:p>
        </w:tc>
        <w:tc>
          <w:tcPr>
            <w:tcW w:w="2337" w:type="dxa"/>
            <w:vAlign w:val="bottom"/>
          </w:tcPr>
          <w:p w:rsidRPr="001E48BE" w:rsidR="001E1E00" w:rsidP="007B14FB" w:rsidRDefault="001E1E00" w14:paraId="13C91E8C" w14:textId="77777777">
            <w:pPr>
              <w:rPr>
                <w:rFonts w:cs="Times New Roman"/>
                <w:szCs w:val="24"/>
              </w:rPr>
            </w:pPr>
            <w:r w:rsidRPr="0046667B">
              <w:rPr>
                <w:rFonts w:cs="Times New Roman"/>
                <w:color w:val="000000"/>
                <w:szCs w:val="24"/>
              </w:rPr>
              <w:t>52,859</w:t>
            </w:r>
          </w:p>
        </w:tc>
        <w:tc>
          <w:tcPr>
            <w:tcW w:w="2338" w:type="dxa"/>
            <w:vAlign w:val="bottom"/>
          </w:tcPr>
          <w:p w:rsidRPr="001E48BE" w:rsidR="001E1E00" w:rsidP="001E1E00" w:rsidRDefault="001E1E00" w14:paraId="25A5A5B8" w14:textId="77777777">
            <w:pPr>
              <w:jc w:val="center"/>
              <w:rPr>
                <w:rFonts w:cs="Times New Roman"/>
                <w:szCs w:val="24"/>
              </w:rPr>
            </w:pPr>
            <w:r w:rsidRPr="0046667B">
              <w:rPr>
                <w:rFonts w:cs="Times New Roman"/>
                <w:color w:val="000000"/>
                <w:szCs w:val="24"/>
              </w:rPr>
              <w:t>0.19%</w:t>
            </w:r>
          </w:p>
        </w:tc>
      </w:tr>
      <w:tr w:rsidRPr="00205548" w:rsidR="001E1E00" w:rsidTr="001E1E00" w14:paraId="15B612EB" w14:textId="77777777">
        <w:tc>
          <w:tcPr>
            <w:tcW w:w="2337" w:type="dxa"/>
            <w:vAlign w:val="bottom"/>
          </w:tcPr>
          <w:p w:rsidRPr="001E48BE" w:rsidR="001E1E00" w:rsidP="007B14FB" w:rsidRDefault="001E1E00" w14:paraId="6D537907" w14:textId="77777777">
            <w:pPr>
              <w:rPr>
                <w:rFonts w:cs="Times New Roman"/>
                <w:szCs w:val="24"/>
              </w:rPr>
            </w:pPr>
            <w:r w:rsidRPr="0046667B">
              <w:rPr>
                <w:rFonts w:cs="Times New Roman"/>
                <w:color w:val="000000"/>
                <w:szCs w:val="24"/>
              </w:rPr>
              <w:t>NY</w:t>
            </w:r>
          </w:p>
        </w:tc>
        <w:tc>
          <w:tcPr>
            <w:tcW w:w="2337" w:type="dxa"/>
            <w:vAlign w:val="bottom"/>
          </w:tcPr>
          <w:p w:rsidRPr="001E48BE" w:rsidR="001E1E00" w:rsidP="007B14FB" w:rsidRDefault="001E1E00" w14:paraId="36570053" w14:textId="77777777">
            <w:pPr>
              <w:rPr>
                <w:rFonts w:cs="Times New Roman"/>
                <w:szCs w:val="24"/>
              </w:rPr>
            </w:pPr>
            <w:r w:rsidRPr="0046667B">
              <w:rPr>
                <w:rFonts w:cs="Times New Roman"/>
                <w:color w:val="000000"/>
                <w:szCs w:val="24"/>
              </w:rPr>
              <w:t>154,115</w:t>
            </w:r>
          </w:p>
        </w:tc>
        <w:tc>
          <w:tcPr>
            <w:tcW w:w="2338" w:type="dxa"/>
            <w:vAlign w:val="bottom"/>
          </w:tcPr>
          <w:p w:rsidRPr="001E48BE" w:rsidR="001E1E00" w:rsidP="001E1E00" w:rsidRDefault="001E1E00" w14:paraId="42B43084" w14:textId="77777777">
            <w:pPr>
              <w:jc w:val="center"/>
              <w:rPr>
                <w:rFonts w:cs="Times New Roman"/>
                <w:szCs w:val="24"/>
              </w:rPr>
            </w:pPr>
            <w:r w:rsidRPr="0046667B">
              <w:rPr>
                <w:rFonts w:cs="Times New Roman"/>
                <w:color w:val="000000"/>
                <w:szCs w:val="24"/>
              </w:rPr>
              <w:t>0.06%</w:t>
            </w:r>
          </w:p>
        </w:tc>
      </w:tr>
      <w:tr w:rsidRPr="00205548" w:rsidR="001E1E00" w:rsidTr="001E1E00" w14:paraId="256E20F7" w14:textId="77777777">
        <w:tc>
          <w:tcPr>
            <w:tcW w:w="2337" w:type="dxa"/>
            <w:vAlign w:val="bottom"/>
          </w:tcPr>
          <w:p w:rsidRPr="001E48BE" w:rsidR="001E1E00" w:rsidP="007B14FB" w:rsidRDefault="001E1E00" w14:paraId="0500887B" w14:textId="77777777">
            <w:pPr>
              <w:rPr>
                <w:rFonts w:cs="Times New Roman"/>
                <w:szCs w:val="24"/>
              </w:rPr>
            </w:pPr>
            <w:r w:rsidRPr="0046667B">
              <w:rPr>
                <w:rFonts w:cs="Times New Roman"/>
                <w:color w:val="000000"/>
                <w:szCs w:val="24"/>
              </w:rPr>
              <w:t>OR</w:t>
            </w:r>
          </w:p>
        </w:tc>
        <w:tc>
          <w:tcPr>
            <w:tcW w:w="2337" w:type="dxa"/>
            <w:vAlign w:val="bottom"/>
          </w:tcPr>
          <w:p w:rsidRPr="001E48BE" w:rsidR="001E1E00" w:rsidP="007B14FB" w:rsidRDefault="001E1E00" w14:paraId="008098A0" w14:textId="77777777">
            <w:pPr>
              <w:rPr>
                <w:rFonts w:cs="Times New Roman"/>
                <w:szCs w:val="24"/>
              </w:rPr>
            </w:pPr>
            <w:r w:rsidRPr="0046667B">
              <w:rPr>
                <w:rFonts w:cs="Times New Roman"/>
                <w:color w:val="000000"/>
                <w:szCs w:val="24"/>
              </w:rPr>
              <w:t>93,092</w:t>
            </w:r>
          </w:p>
        </w:tc>
        <w:tc>
          <w:tcPr>
            <w:tcW w:w="2338" w:type="dxa"/>
            <w:vAlign w:val="bottom"/>
          </w:tcPr>
          <w:p w:rsidRPr="001E48BE" w:rsidR="001E1E00" w:rsidP="001E1E00" w:rsidRDefault="001E1E00" w14:paraId="606BDF9B" w14:textId="77777777">
            <w:pPr>
              <w:jc w:val="center"/>
              <w:rPr>
                <w:rFonts w:cs="Times New Roman"/>
                <w:szCs w:val="24"/>
              </w:rPr>
            </w:pPr>
            <w:r w:rsidRPr="0046667B">
              <w:rPr>
                <w:rFonts w:cs="Times New Roman"/>
                <w:color w:val="000000"/>
                <w:szCs w:val="24"/>
              </w:rPr>
              <w:t>0.11%</w:t>
            </w:r>
          </w:p>
        </w:tc>
      </w:tr>
      <w:tr w:rsidRPr="00205548" w:rsidR="001E1E00" w:rsidTr="001E1E00" w14:paraId="5F2FA315" w14:textId="77777777">
        <w:tc>
          <w:tcPr>
            <w:tcW w:w="2337" w:type="dxa"/>
            <w:vAlign w:val="bottom"/>
          </w:tcPr>
          <w:p w:rsidRPr="001E48BE" w:rsidR="001E1E00" w:rsidP="007B14FB" w:rsidRDefault="001E1E00" w14:paraId="0CF37901" w14:textId="77777777">
            <w:pPr>
              <w:rPr>
                <w:rFonts w:cs="Times New Roman"/>
                <w:szCs w:val="24"/>
              </w:rPr>
            </w:pPr>
            <w:r w:rsidRPr="0046667B">
              <w:rPr>
                <w:rFonts w:cs="Times New Roman"/>
                <w:color w:val="000000"/>
                <w:szCs w:val="24"/>
              </w:rPr>
              <w:t>PA</w:t>
            </w:r>
          </w:p>
        </w:tc>
        <w:tc>
          <w:tcPr>
            <w:tcW w:w="2337" w:type="dxa"/>
            <w:vAlign w:val="bottom"/>
          </w:tcPr>
          <w:p w:rsidRPr="001E48BE" w:rsidR="001E1E00" w:rsidP="007B14FB" w:rsidRDefault="001E1E00" w14:paraId="7375C399" w14:textId="77777777">
            <w:pPr>
              <w:rPr>
                <w:rFonts w:cs="Times New Roman"/>
                <w:szCs w:val="24"/>
              </w:rPr>
            </w:pPr>
            <w:r w:rsidRPr="0046667B">
              <w:rPr>
                <w:rFonts w:cs="Times New Roman"/>
                <w:color w:val="000000"/>
                <w:szCs w:val="24"/>
              </w:rPr>
              <w:t>250,638</w:t>
            </w:r>
          </w:p>
        </w:tc>
        <w:tc>
          <w:tcPr>
            <w:tcW w:w="2338" w:type="dxa"/>
            <w:vAlign w:val="bottom"/>
          </w:tcPr>
          <w:p w:rsidRPr="001E48BE" w:rsidR="001E1E00" w:rsidP="001E1E00" w:rsidRDefault="001E1E00" w14:paraId="07DDB32E" w14:textId="77777777">
            <w:pPr>
              <w:jc w:val="center"/>
              <w:rPr>
                <w:rFonts w:cs="Times New Roman"/>
                <w:szCs w:val="24"/>
              </w:rPr>
            </w:pPr>
            <w:r w:rsidRPr="0046667B">
              <w:rPr>
                <w:rFonts w:cs="Times New Roman"/>
                <w:color w:val="000000"/>
                <w:szCs w:val="24"/>
              </w:rPr>
              <w:t>0.04%</w:t>
            </w:r>
          </w:p>
        </w:tc>
      </w:tr>
      <w:tr w:rsidRPr="00205548" w:rsidR="001E1E00" w:rsidTr="001E1E00" w14:paraId="55ED5412" w14:textId="77777777">
        <w:tc>
          <w:tcPr>
            <w:tcW w:w="2337" w:type="dxa"/>
            <w:vAlign w:val="bottom"/>
          </w:tcPr>
          <w:p w:rsidRPr="001E48BE" w:rsidR="001E1E00" w:rsidP="007B14FB" w:rsidRDefault="001E1E00" w14:paraId="41903F62" w14:textId="77777777">
            <w:pPr>
              <w:rPr>
                <w:rFonts w:cs="Times New Roman"/>
                <w:szCs w:val="24"/>
              </w:rPr>
            </w:pPr>
            <w:r w:rsidRPr="0046667B">
              <w:rPr>
                <w:rFonts w:cs="Times New Roman"/>
                <w:color w:val="000000"/>
                <w:szCs w:val="24"/>
              </w:rPr>
              <w:t>RI</w:t>
            </w:r>
          </w:p>
        </w:tc>
        <w:tc>
          <w:tcPr>
            <w:tcW w:w="2337" w:type="dxa"/>
            <w:vAlign w:val="bottom"/>
          </w:tcPr>
          <w:p w:rsidRPr="001E48BE" w:rsidR="001E1E00" w:rsidP="007B14FB" w:rsidRDefault="001E1E00" w14:paraId="55DC7BE0" w14:textId="77777777">
            <w:pPr>
              <w:rPr>
                <w:rFonts w:cs="Times New Roman"/>
                <w:szCs w:val="24"/>
              </w:rPr>
            </w:pPr>
            <w:r w:rsidRPr="0046667B">
              <w:rPr>
                <w:rFonts w:cs="Times New Roman"/>
                <w:color w:val="000000"/>
                <w:szCs w:val="24"/>
              </w:rPr>
              <w:t>32,023</w:t>
            </w:r>
          </w:p>
        </w:tc>
        <w:tc>
          <w:tcPr>
            <w:tcW w:w="2338" w:type="dxa"/>
            <w:vAlign w:val="bottom"/>
          </w:tcPr>
          <w:p w:rsidRPr="001E48BE" w:rsidR="001E1E00" w:rsidP="001E1E00" w:rsidRDefault="001E1E00" w14:paraId="06892216" w14:textId="77777777">
            <w:pPr>
              <w:jc w:val="center"/>
              <w:rPr>
                <w:rFonts w:cs="Times New Roman"/>
                <w:szCs w:val="24"/>
              </w:rPr>
            </w:pPr>
            <w:r w:rsidRPr="0046667B">
              <w:rPr>
                <w:rFonts w:cs="Times New Roman"/>
                <w:color w:val="000000"/>
                <w:szCs w:val="24"/>
              </w:rPr>
              <w:t>0.31%</w:t>
            </w:r>
          </w:p>
        </w:tc>
      </w:tr>
      <w:tr w:rsidRPr="00205548" w:rsidR="001E1E00" w:rsidTr="001E1E00" w14:paraId="13DD0F1A" w14:textId="77777777">
        <w:tc>
          <w:tcPr>
            <w:tcW w:w="2337" w:type="dxa"/>
            <w:vAlign w:val="bottom"/>
          </w:tcPr>
          <w:p w:rsidRPr="001E48BE" w:rsidR="001E1E00" w:rsidP="007B14FB" w:rsidRDefault="001E1E00" w14:paraId="0CBF2B95" w14:textId="77777777">
            <w:pPr>
              <w:rPr>
                <w:rFonts w:cs="Times New Roman"/>
                <w:szCs w:val="24"/>
              </w:rPr>
            </w:pPr>
            <w:r w:rsidRPr="0046667B">
              <w:rPr>
                <w:rFonts w:cs="Times New Roman"/>
                <w:color w:val="000000"/>
                <w:szCs w:val="24"/>
              </w:rPr>
              <w:t>VT</w:t>
            </w:r>
          </w:p>
        </w:tc>
        <w:tc>
          <w:tcPr>
            <w:tcW w:w="2337" w:type="dxa"/>
            <w:vAlign w:val="bottom"/>
          </w:tcPr>
          <w:p w:rsidRPr="001E48BE" w:rsidR="001E1E00" w:rsidP="007B14FB" w:rsidRDefault="001E1E00" w14:paraId="1CF79BF8" w14:textId="77777777">
            <w:pPr>
              <w:rPr>
                <w:rFonts w:cs="Times New Roman"/>
                <w:szCs w:val="24"/>
              </w:rPr>
            </w:pPr>
            <w:r w:rsidRPr="0046667B">
              <w:rPr>
                <w:rFonts w:cs="Times New Roman"/>
                <w:color w:val="000000"/>
                <w:szCs w:val="24"/>
              </w:rPr>
              <w:t>24,575</w:t>
            </w:r>
          </w:p>
        </w:tc>
        <w:tc>
          <w:tcPr>
            <w:tcW w:w="2338" w:type="dxa"/>
            <w:vAlign w:val="bottom"/>
          </w:tcPr>
          <w:p w:rsidRPr="001E48BE" w:rsidR="001E1E00" w:rsidP="001E1E00" w:rsidRDefault="001E1E00" w14:paraId="62272C58" w14:textId="77777777">
            <w:pPr>
              <w:jc w:val="center"/>
              <w:rPr>
                <w:rFonts w:cs="Times New Roman"/>
                <w:szCs w:val="24"/>
              </w:rPr>
            </w:pPr>
            <w:r w:rsidRPr="0046667B">
              <w:rPr>
                <w:rFonts w:cs="Times New Roman"/>
                <w:color w:val="000000"/>
                <w:szCs w:val="24"/>
              </w:rPr>
              <w:t>0.41%</w:t>
            </w:r>
          </w:p>
        </w:tc>
      </w:tr>
      <w:tr w:rsidRPr="00205548" w:rsidR="001E1E00" w:rsidTr="001E1E00" w14:paraId="0464A774" w14:textId="77777777">
        <w:tc>
          <w:tcPr>
            <w:tcW w:w="2337" w:type="dxa"/>
            <w:vAlign w:val="bottom"/>
          </w:tcPr>
          <w:p w:rsidRPr="001E48BE" w:rsidR="001E1E00" w:rsidP="007B14FB" w:rsidRDefault="001E1E00" w14:paraId="229917D6" w14:textId="77777777">
            <w:pPr>
              <w:rPr>
                <w:rFonts w:cs="Times New Roman"/>
                <w:szCs w:val="24"/>
              </w:rPr>
            </w:pPr>
            <w:r w:rsidRPr="0046667B">
              <w:rPr>
                <w:rFonts w:cs="Times New Roman"/>
                <w:color w:val="000000"/>
                <w:szCs w:val="24"/>
              </w:rPr>
              <w:t>WA</w:t>
            </w:r>
          </w:p>
        </w:tc>
        <w:tc>
          <w:tcPr>
            <w:tcW w:w="2337" w:type="dxa"/>
            <w:vAlign w:val="bottom"/>
          </w:tcPr>
          <w:p w:rsidRPr="001E48BE" w:rsidR="001E1E00" w:rsidP="007B14FB" w:rsidRDefault="001E1E00" w14:paraId="663439D7" w14:textId="77777777">
            <w:pPr>
              <w:rPr>
                <w:rFonts w:cs="Times New Roman"/>
                <w:szCs w:val="24"/>
              </w:rPr>
            </w:pPr>
            <w:r w:rsidRPr="0046667B">
              <w:rPr>
                <w:rFonts w:cs="Times New Roman"/>
                <w:color w:val="000000"/>
                <w:szCs w:val="24"/>
              </w:rPr>
              <w:t>121,918</w:t>
            </w:r>
          </w:p>
        </w:tc>
        <w:tc>
          <w:tcPr>
            <w:tcW w:w="2338" w:type="dxa"/>
            <w:vAlign w:val="bottom"/>
          </w:tcPr>
          <w:p w:rsidRPr="001E48BE" w:rsidR="001E1E00" w:rsidP="001E1E00" w:rsidRDefault="001E1E00" w14:paraId="7C9BE9C8" w14:textId="77777777">
            <w:pPr>
              <w:jc w:val="center"/>
              <w:rPr>
                <w:rFonts w:cs="Times New Roman"/>
                <w:szCs w:val="24"/>
              </w:rPr>
            </w:pPr>
            <w:r w:rsidRPr="0046667B">
              <w:rPr>
                <w:rFonts w:cs="Times New Roman"/>
                <w:color w:val="000000"/>
                <w:szCs w:val="24"/>
              </w:rPr>
              <w:t>0.08%</w:t>
            </w:r>
          </w:p>
        </w:tc>
      </w:tr>
      <w:tr w:rsidRPr="00205548" w:rsidR="001E1E00" w:rsidTr="001E1E00" w14:paraId="47BBBC7C" w14:textId="77777777">
        <w:tc>
          <w:tcPr>
            <w:tcW w:w="7012" w:type="dxa"/>
            <w:gridSpan w:val="3"/>
            <w:vAlign w:val="bottom"/>
          </w:tcPr>
          <w:p w:rsidRPr="0046667B" w:rsidR="001E1E00" w:rsidP="007B14FB" w:rsidRDefault="001E1E00" w14:paraId="2478C21E" w14:textId="77777777">
            <w:pPr>
              <w:rPr>
                <w:rFonts w:cs="Times New Roman"/>
                <w:szCs w:val="24"/>
              </w:rPr>
            </w:pPr>
            <w:r w:rsidRPr="0046667B">
              <w:rPr>
                <w:rFonts w:cs="Times New Roman"/>
                <w:szCs w:val="24"/>
                <w:vertAlign w:val="superscript"/>
              </w:rPr>
              <w:t xml:space="preserve">* </w:t>
            </w:r>
            <w:r w:rsidRPr="00205548">
              <w:rPr>
                <w:rFonts w:cs="Times New Roman"/>
                <w:szCs w:val="24"/>
              </w:rPr>
              <w:t>At the time we retrieved the data, no records for Minnesota were available for BY 2019.</w:t>
            </w:r>
          </w:p>
        </w:tc>
      </w:tr>
    </w:tbl>
    <w:p w:rsidRPr="00205548" w:rsidR="001E1E00" w:rsidP="006248FE" w:rsidRDefault="001E1E00" w14:paraId="64DC313C" w14:textId="77777777">
      <w:pPr>
        <w:ind w:left="720"/>
        <w:rPr>
          <w:rFonts w:cs="Times New Roman" w:eastAsiaTheme="minorEastAsia"/>
          <w:szCs w:val="24"/>
        </w:rPr>
      </w:pPr>
    </w:p>
    <w:p w:rsidRPr="00205548" w:rsidR="0095267D" w:rsidP="006248FE" w:rsidRDefault="0095267D" w14:paraId="383B12E4" w14:textId="77777777">
      <w:pPr>
        <w:ind w:left="720"/>
        <w:rPr>
          <w:rFonts w:cs="Times New Roman" w:eastAsiaTheme="minorEastAsia"/>
          <w:szCs w:val="24"/>
        </w:rPr>
      </w:pPr>
    </w:p>
    <w:bookmarkEnd w:id="2"/>
    <w:p w:rsidRPr="00205548" w:rsidR="0095267D" w:rsidP="006248FE" w:rsidRDefault="0095267D" w14:paraId="4D507617" w14:textId="77777777">
      <w:pPr>
        <w:ind w:left="720"/>
        <w:rPr>
          <w:rFonts w:cs="Times New Roman"/>
          <w:color w:val="000000" w:themeColor="text1"/>
          <w:szCs w:val="24"/>
          <w:u w:val="single"/>
        </w:rPr>
      </w:pPr>
      <w:r w:rsidRPr="00205548">
        <w:rPr>
          <w:rFonts w:cs="Times New Roman"/>
          <w:color w:val="000000" w:themeColor="text1"/>
          <w:szCs w:val="24"/>
          <w:u w:val="single"/>
        </w:rPr>
        <w:t>Overpayments</w:t>
      </w:r>
    </w:p>
    <w:p w:rsidRPr="00205548" w:rsidR="0095267D" w:rsidP="006248FE" w:rsidRDefault="0095267D" w14:paraId="22CF3237" w14:textId="77777777">
      <w:pPr>
        <w:ind w:left="720"/>
        <w:rPr>
          <w:rFonts w:cs="Times New Roman"/>
          <w:szCs w:val="24"/>
        </w:rPr>
      </w:pPr>
      <w:r w:rsidRPr="00205548">
        <w:rPr>
          <w:rFonts w:cs="Times New Roman"/>
          <w:szCs w:val="24"/>
        </w:rPr>
        <w:t>Due to unique characteristics of the Advance payment of Premium Tax Credit program, there is not currently a mechanism to recover overpayments identified by the SEIPM program.</w:t>
      </w:r>
      <w:r w:rsidRPr="00205548">
        <w:rPr>
          <w:rFonts w:eastAsia="Times New Roman" w:cs="Times New Roman"/>
          <w:color w:val="000000" w:themeColor="text1"/>
          <w:szCs w:val="24"/>
        </w:rPr>
        <w:t xml:space="preserve"> </w:t>
      </w:r>
    </w:p>
    <w:bookmarkEnd w:id="1"/>
    <w:p w:rsidRPr="00205548" w:rsidR="00831284" w:rsidP="006C63E2" w:rsidRDefault="00831284" w14:paraId="151FB4EC" w14:textId="77777777">
      <w:pPr>
        <w:pStyle w:val="PlainText"/>
        <w:rPr>
          <w:rFonts w:ascii="Times New Roman" w:hAnsi="Times New Roman" w:cs="Times New Roman"/>
          <w:sz w:val="24"/>
          <w:szCs w:val="24"/>
        </w:rPr>
      </w:pPr>
    </w:p>
    <w:p w:rsidRPr="00205548" w:rsidR="00700270" w:rsidP="006C63E2" w:rsidRDefault="00EA3FFB" w14:paraId="5950B3AB" w14:textId="4A10CDF9">
      <w:pPr>
        <w:pStyle w:val="PlainText"/>
        <w:rPr>
          <w:rFonts w:ascii="Times New Roman" w:hAnsi="Times New Roman" w:cs="Times New Roman"/>
          <w:sz w:val="24"/>
          <w:szCs w:val="24"/>
        </w:rPr>
      </w:pPr>
      <w:r w:rsidRPr="00205548">
        <w:rPr>
          <w:rFonts w:ascii="Times New Roman" w:hAnsi="Times New Roman" w:cs="Times New Roman"/>
          <w:sz w:val="24"/>
          <w:szCs w:val="24"/>
        </w:rPr>
        <w:t>3. Describe methods to maximize response rates and to deal with issues</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of non-response. The accuracy and reliability of information collected</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must be shown to be adequate for intended uses. For collections based</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on sampling, a special justification must be provided for any collection</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that will not yield "reliable" data that can be generalized to the universe</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studied.</w:t>
      </w:r>
    </w:p>
    <w:p w:rsidRPr="00205548" w:rsidR="0019637F" w:rsidP="006C63E2" w:rsidRDefault="0019637F" w14:paraId="71E771B6" w14:textId="1CE74ECC">
      <w:pPr>
        <w:pStyle w:val="PlainText"/>
        <w:rPr>
          <w:rFonts w:ascii="Times New Roman" w:hAnsi="Times New Roman" w:cs="Times New Roman"/>
          <w:sz w:val="24"/>
          <w:szCs w:val="24"/>
        </w:rPr>
      </w:pPr>
    </w:p>
    <w:p w:rsidRPr="00205548" w:rsidR="00FD5B85" w:rsidP="1DFA0A07" w:rsidRDefault="68082699" w14:paraId="2ED4646F" w14:textId="5BC94A3F">
      <w:pPr>
        <w:pStyle w:val="PlainText"/>
        <w:ind w:left="720"/>
        <w:rPr>
          <w:rFonts w:ascii="Times New Roman" w:hAnsi="Times New Roman" w:cs="Times New Roman"/>
          <w:sz w:val="24"/>
          <w:szCs w:val="24"/>
        </w:rPr>
      </w:pPr>
      <w:r w:rsidRPr="00205548">
        <w:rPr>
          <w:rFonts w:ascii="Times New Roman" w:hAnsi="Times New Roman" w:cs="Times New Roman"/>
          <w:sz w:val="24"/>
          <w:szCs w:val="24"/>
        </w:rPr>
        <w:t>Responses from State Exchanges will be required by the proposed regulation. CMS expects a 100% response rate.</w:t>
      </w:r>
    </w:p>
    <w:p w:rsidRPr="00205548" w:rsidR="0085732A" w:rsidP="006C63E2" w:rsidRDefault="0085732A" w14:paraId="49B21C59" w14:textId="77777777">
      <w:pPr>
        <w:pStyle w:val="PlainText"/>
        <w:rPr>
          <w:rFonts w:ascii="Times New Roman" w:hAnsi="Times New Roman" w:cs="Times New Roman"/>
          <w:sz w:val="24"/>
          <w:szCs w:val="24"/>
        </w:rPr>
      </w:pPr>
    </w:p>
    <w:p w:rsidRPr="00205548" w:rsidR="00700270" w:rsidP="006C63E2" w:rsidRDefault="00EA3FFB" w14:paraId="617E0775" w14:textId="3CF957D3">
      <w:pPr>
        <w:pStyle w:val="PlainText"/>
        <w:rPr>
          <w:rFonts w:ascii="Times New Roman" w:hAnsi="Times New Roman" w:cs="Times New Roman"/>
          <w:sz w:val="24"/>
          <w:szCs w:val="24"/>
        </w:rPr>
      </w:pPr>
      <w:r w:rsidRPr="00205548">
        <w:rPr>
          <w:rFonts w:ascii="Times New Roman" w:hAnsi="Times New Roman" w:cs="Times New Roman"/>
          <w:sz w:val="24"/>
          <w:szCs w:val="24"/>
        </w:rPr>
        <w:t>4. Describe any tests of procedures or methods to be undertaken.</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Testing is encouraged as an effective means of refining collections of</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information to minimize burden and improve utility. Tests must be</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approved if they call for answers to identical questions from 10 or more</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respondents. A proposed test or set of tests may be submitted for</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approval separately or in combination with the main collection of</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information.</w:t>
      </w:r>
    </w:p>
    <w:p w:rsidRPr="00205548" w:rsidR="0019637F" w:rsidP="006C63E2" w:rsidRDefault="0019637F" w14:paraId="105CF5DD" w14:textId="5BEEBA5B">
      <w:pPr>
        <w:pStyle w:val="PlainText"/>
        <w:rPr>
          <w:rFonts w:ascii="Times New Roman" w:hAnsi="Times New Roman" w:cs="Times New Roman"/>
          <w:sz w:val="24"/>
          <w:szCs w:val="24"/>
        </w:rPr>
      </w:pPr>
    </w:p>
    <w:p w:rsidRPr="00205548" w:rsidR="00FD5B85" w:rsidP="1DFA0A07" w:rsidRDefault="2C281F30" w14:paraId="501A6F13" w14:textId="5A74A4AE">
      <w:pPr>
        <w:pStyle w:val="PlainText"/>
        <w:ind w:left="720"/>
        <w:rPr>
          <w:rFonts w:ascii="Times New Roman" w:hAnsi="Times New Roman" w:cs="Times New Roman"/>
          <w:sz w:val="24"/>
          <w:szCs w:val="24"/>
        </w:rPr>
      </w:pPr>
      <w:r w:rsidRPr="00205548">
        <w:rPr>
          <w:rFonts w:ascii="Times New Roman" w:hAnsi="Times New Roman" w:cs="Times New Roman"/>
          <w:sz w:val="24"/>
          <w:szCs w:val="24"/>
        </w:rPr>
        <w:t xml:space="preserve">CMS has completed pilot testing with the Federally-Facilitated Exchanges (FFE) and has recently begun the first cycle of improper payment measurements. The knowledge that has been gained through the FFE will be used as a foundation for the State Exchange Improper Payment Measurement. Additionally, </w:t>
      </w:r>
      <w:r w:rsidRPr="00205548" w:rsidR="68082699">
        <w:rPr>
          <w:rFonts w:ascii="Times New Roman" w:hAnsi="Times New Roman" w:cs="Times New Roman"/>
          <w:sz w:val="24"/>
          <w:szCs w:val="24"/>
        </w:rPr>
        <w:t>CMS is currently engaged in different levels of pilot testing with several states to test improper payment measurement procedures and data sharing methods. All testing will be complete prior to beginning collection of data as described in this form.</w:t>
      </w:r>
    </w:p>
    <w:p w:rsidRPr="00205548" w:rsidR="00FD5B85" w:rsidP="006C63E2" w:rsidRDefault="00FD5B85" w14:paraId="1F59ACE7" w14:textId="77777777">
      <w:pPr>
        <w:pStyle w:val="PlainText"/>
        <w:rPr>
          <w:rFonts w:ascii="Times New Roman" w:hAnsi="Times New Roman" w:cs="Times New Roman"/>
          <w:sz w:val="24"/>
          <w:szCs w:val="24"/>
        </w:rPr>
      </w:pPr>
    </w:p>
    <w:p w:rsidRPr="00205548" w:rsidR="006C63E2" w:rsidP="006C63E2" w:rsidRDefault="00EA3FFB" w14:paraId="26EB2148" w14:textId="7EFBEEC3">
      <w:pPr>
        <w:pStyle w:val="PlainText"/>
        <w:rPr>
          <w:rFonts w:ascii="Times New Roman" w:hAnsi="Times New Roman" w:cs="Times New Roman"/>
          <w:sz w:val="24"/>
          <w:szCs w:val="24"/>
        </w:rPr>
      </w:pPr>
      <w:r w:rsidRPr="00205548">
        <w:rPr>
          <w:rFonts w:ascii="Times New Roman" w:hAnsi="Times New Roman" w:cs="Times New Roman"/>
          <w:sz w:val="24"/>
          <w:szCs w:val="24"/>
        </w:rPr>
        <w:t>5. Provide the name and telephone number of individuals consulted on</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statistical aspects of the design and the name of the agency unit,</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contractor(s), grantee(s), or other person(s) who will actually collect</w:t>
      </w:r>
      <w:r w:rsidRPr="00205548" w:rsidR="0019637F">
        <w:rPr>
          <w:rFonts w:ascii="Times New Roman" w:hAnsi="Times New Roman" w:cs="Times New Roman"/>
          <w:sz w:val="24"/>
          <w:szCs w:val="24"/>
        </w:rPr>
        <w:t xml:space="preserve"> </w:t>
      </w:r>
      <w:r w:rsidRPr="00205548">
        <w:rPr>
          <w:rFonts w:ascii="Times New Roman" w:hAnsi="Times New Roman" w:cs="Times New Roman"/>
          <w:sz w:val="24"/>
          <w:szCs w:val="24"/>
        </w:rPr>
        <w:t>and/or analyze the information for the agency.</w:t>
      </w:r>
    </w:p>
    <w:p w:rsidRPr="00205548" w:rsidR="0019637F" w:rsidP="006C63E2" w:rsidRDefault="0019637F" w14:paraId="23FFCEE8" w14:textId="2203B94F">
      <w:pPr>
        <w:pStyle w:val="PlainText"/>
        <w:rPr>
          <w:rFonts w:ascii="Times New Roman" w:hAnsi="Times New Roman" w:cs="Times New Roman"/>
          <w:sz w:val="24"/>
          <w:szCs w:val="24"/>
        </w:rPr>
      </w:pPr>
    </w:p>
    <w:p w:rsidRPr="00205548" w:rsidR="0019637F" w:rsidRDefault="2C281F30" w14:paraId="03E8D8F4" w14:textId="47DE8D7D">
      <w:pPr>
        <w:pStyle w:val="PlainText"/>
        <w:ind w:left="720"/>
        <w:rPr>
          <w:rFonts w:ascii="Times New Roman" w:hAnsi="Times New Roman" w:cs="Times New Roman"/>
          <w:sz w:val="24"/>
          <w:szCs w:val="24"/>
        </w:rPr>
      </w:pPr>
      <w:r w:rsidRPr="00205548">
        <w:rPr>
          <w:rFonts w:ascii="Times New Roman" w:hAnsi="Times New Roman" w:cs="Times New Roman"/>
          <w:sz w:val="24"/>
          <w:szCs w:val="24"/>
        </w:rPr>
        <w:lastRenderedPageBreak/>
        <w:t>The contract for the statistical contractor who will perform the statistical work associated with this contract has not yet been awarded.</w:t>
      </w:r>
    </w:p>
    <w:p w:rsidRPr="00205548" w:rsidR="00FD5B85" w:rsidP="006C63E2" w:rsidRDefault="00FD5B85" w14:paraId="49446EA6" w14:textId="77777777">
      <w:pPr>
        <w:pStyle w:val="PlainText"/>
        <w:rPr>
          <w:rFonts w:ascii="Times New Roman" w:hAnsi="Times New Roman" w:cs="Times New Roman"/>
          <w:sz w:val="24"/>
          <w:szCs w:val="24"/>
        </w:rPr>
      </w:pPr>
    </w:p>
    <w:sectPr w:rsidRPr="00205548" w:rsidR="00FD5B85" w:rsidSect="006C63E2">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12E44" w14:textId="77777777" w:rsidR="00FF1369" w:rsidRDefault="00FF1369" w:rsidP="00F10215">
      <w:r>
        <w:separator/>
      </w:r>
    </w:p>
  </w:endnote>
  <w:endnote w:type="continuationSeparator" w:id="0">
    <w:p w14:paraId="1C6F4510" w14:textId="77777777" w:rsidR="00FF1369" w:rsidRDefault="00FF1369" w:rsidP="00F1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6072F" w14:textId="77777777" w:rsidR="00FF1369" w:rsidRDefault="00FF1369" w:rsidP="00F10215">
      <w:r>
        <w:separator/>
      </w:r>
    </w:p>
  </w:footnote>
  <w:footnote w:type="continuationSeparator" w:id="0">
    <w:p w14:paraId="668C9516" w14:textId="77777777" w:rsidR="00FF1369" w:rsidRDefault="00FF1369" w:rsidP="00F10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05EF"/>
    <w:multiLevelType w:val="multilevel"/>
    <w:tmpl w:val="A642B9F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F07F82"/>
    <w:multiLevelType w:val="multilevel"/>
    <w:tmpl w:val="633093D4"/>
    <w:styleLink w:val="Outlinestandard"/>
    <w:lvl w:ilvl="0">
      <w:start w:val="1"/>
      <w:numFmt w:val="upperRoman"/>
      <w:suff w:val="space"/>
      <w:lvlText w:val="%1."/>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1800" w:hanging="360"/>
      </w:pPr>
      <w:rPr>
        <w:rFonts w:hint="default"/>
      </w:rPr>
    </w:lvl>
    <w:lvl w:ilvl="5">
      <w:start w:val="1"/>
      <w:numFmt w:val="upperLetter"/>
      <w:suff w:val="space"/>
      <w:lvlText w:val="%6."/>
      <w:lvlJc w:val="left"/>
      <w:pPr>
        <w:ind w:left="2160" w:hanging="360"/>
      </w:pPr>
      <w:rPr>
        <w:rFonts w:hint="default"/>
      </w:rPr>
    </w:lvl>
    <w:lvl w:ilvl="6">
      <w:start w:val="1"/>
      <w:numFmt w:val="decimal"/>
      <w:suff w:val="space"/>
      <w:lvlText w:val="%7."/>
      <w:lvlJc w:val="left"/>
      <w:pPr>
        <w:ind w:left="2520" w:hanging="360"/>
      </w:pPr>
      <w:rPr>
        <w:rFonts w:hint="default"/>
      </w:rPr>
    </w:lvl>
    <w:lvl w:ilvl="7">
      <w:start w:val="1"/>
      <w:numFmt w:val="lowerLetter"/>
      <w:suff w:val="space"/>
      <w:lvlText w:val="%8."/>
      <w:lvlJc w:val="left"/>
      <w:pPr>
        <w:ind w:left="2880" w:hanging="360"/>
      </w:pPr>
      <w:rPr>
        <w:rFonts w:hint="default"/>
      </w:rPr>
    </w:lvl>
    <w:lvl w:ilvl="8">
      <w:start w:val="1"/>
      <w:numFmt w:val="upperRoman"/>
      <w:suff w:val="space"/>
      <w:lvlText w:val="%9."/>
      <w:lvlJc w:val="left"/>
      <w:pPr>
        <w:ind w:left="3240" w:hanging="360"/>
      </w:pPr>
      <w:rPr>
        <w:rFonts w:hint="default"/>
      </w:rPr>
    </w:lvl>
  </w:abstractNum>
  <w:abstractNum w:abstractNumId="2" w15:restartNumberingAfterBreak="0">
    <w:nsid w:val="2B5D4C19"/>
    <w:multiLevelType w:val="multilevel"/>
    <w:tmpl w:val="09623CD4"/>
    <w:styleLink w:val="FR"/>
    <w:lvl w:ilvl="0">
      <w:start w:val="1"/>
      <w:numFmt w:val="upperRoman"/>
      <w:suff w:val="space"/>
      <w:lvlText w:val="%1."/>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1800" w:hanging="360"/>
      </w:pPr>
      <w:rPr>
        <w:rFonts w:hint="default"/>
      </w:rPr>
    </w:lvl>
    <w:lvl w:ilvl="5">
      <w:start w:val="1"/>
      <w:numFmt w:val="upperLetter"/>
      <w:suff w:val="space"/>
      <w:lvlText w:val="(%6)."/>
      <w:lvlJc w:val="left"/>
      <w:pPr>
        <w:ind w:left="2160" w:hanging="360"/>
      </w:pPr>
      <w:rPr>
        <w:rFonts w:hint="default"/>
      </w:rPr>
    </w:lvl>
    <w:lvl w:ilvl="6">
      <w:start w:val="1"/>
      <w:numFmt w:val="decimal"/>
      <w:suff w:val="space"/>
      <w:lvlText w:val="(%7)."/>
      <w:lvlJc w:val="left"/>
      <w:pPr>
        <w:ind w:left="2520" w:hanging="360"/>
      </w:pPr>
      <w:rPr>
        <w:rFonts w:hint="default"/>
      </w:rPr>
    </w:lvl>
    <w:lvl w:ilvl="7">
      <w:start w:val="1"/>
      <w:numFmt w:val="lowerLetter"/>
      <w:suff w:val="space"/>
      <w:lvlText w:val="(%8)."/>
      <w:lvlJc w:val="left"/>
      <w:pPr>
        <w:ind w:left="2880" w:hanging="360"/>
      </w:pPr>
      <w:rPr>
        <w:rFonts w:hint="default"/>
      </w:rPr>
    </w:lvl>
    <w:lvl w:ilvl="8">
      <w:start w:val="1"/>
      <w:numFmt w:val="upperRoman"/>
      <w:suff w:val="space"/>
      <w:lvlText w:val="(%9)."/>
      <w:lvlJc w:val="left"/>
      <w:pPr>
        <w:ind w:left="3240" w:hanging="360"/>
      </w:pPr>
      <w:rPr>
        <w:rFonts w:hint="default"/>
      </w:rPr>
    </w:lvl>
  </w:abstractNum>
  <w:abstractNum w:abstractNumId="3" w15:restartNumberingAfterBreak="0">
    <w:nsid w:val="2D8C0247"/>
    <w:multiLevelType w:val="multilevel"/>
    <w:tmpl w:val="8F4AAFE2"/>
    <w:styleLink w:val="Style31"/>
    <w:lvl w:ilvl="0">
      <w:start w:val="1"/>
      <w:numFmt w:val="upperRoman"/>
      <w:suff w:val="space"/>
      <w:lvlText w:val="%1."/>
      <w:lvlJc w:val="left"/>
      <w:pPr>
        <w:ind w:left="360" w:hanging="360"/>
      </w:pPr>
      <w:rPr>
        <w:rFonts w:ascii="Times New Roman" w:eastAsia="Times New Roman" w:hAnsi="Times New Roman" w:cs="Times New Roman" w:hint="default"/>
      </w:rPr>
    </w:lvl>
    <w:lvl w:ilvl="1">
      <w:start w:val="1"/>
      <w:numFmt w:val="upperLetter"/>
      <w:suff w:val="space"/>
      <w:lvlText w:val="%2."/>
      <w:lvlJc w:val="left"/>
      <w:pPr>
        <w:ind w:left="720" w:hanging="360"/>
      </w:pPr>
      <w:rPr>
        <w:rFonts w:cs="Times New Roman" w:hint="default"/>
      </w:rPr>
    </w:lvl>
    <w:lvl w:ilvl="2">
      <w:start w:val="1"/>
      <w:numFmt w:val="decimal"/>
      <w:suff w:val="space"/>
      <w:lvlText w:val="%3."/>
      <w:lvlJc w:val="left"/>
      <w:pPr>
        <w:ind w:left="1080" w:hanging="360"/>
      </w:pPr>
      <w:rPr>
        <w:rFonts w:cs="Times New Roman" w:hint="default"/>
      </w:rPr>
    </w:lvl>
    <w:lvl w:ilvl="3">
      <w:start w:val="1"/>
      <w:numFmt w:val="lowerLetter"/>
      <w:suff w:val="space"/>
      <w:lvlText w:val="%4."/>
      <w:lvlJc w:val="left"/>
      <w:pPr>
        <w:ind w:left="1440" w:hanging="360"/>
      </w:pPr>
      <w:rPr>
        <w:rFonts w:cs="Times New Roman" w:hint="default"/>
      </w:rPr>
    </w:lvl>
    <w:lvl w:ilvl="4">
      <w:start w:val="1"/>
      <w:numFmt w:val="lowerRoman"/>
      <w:suff w:val="space"/>
      <w:lvlText w:val="%5."/>
      <w:lvlJc w:val="left"/>
      <w:pPr>
        <w:ind w:left="1800" w:hanging="360"/>
      </w:pPr>
      <w:rPr>
        <w:rFonts w:cs="Times New Roman" w:hint="default"/>
      </w:rPr>
    </w:lvl>
    <w:lvl w:ilvl="5">
      <w:start w:val="1"/>
      <w:numFmt w:val="upperLetter"/>
      <w:suff w:val="space"/>
      <w:lvlText w:val="%6."/>
      <w:lvlJc w:val="left"/>
      <w:pPr>
        <w:ind w:left="2160" w:hanging="360"/>
      </w:pPr>
      <w:rPr>
        <w:rFonts w:cs="Times New Roman" w:hint="default"/>
      </w:rPr>
    </w:lvl>
    <w:lvl w:ilvl="6">
      <w:start w:val="1"/>
      <w:numFmt w:val="decimal"/>
      <w:suff w:val="space"/>
      <w:lvlText w:val="%7."/>
      <w:lvlJc w:val="left"/>
      <w:pPr>
        <w:ind w:left="2520" w:hanging="360"/>
      </w:pPr>
      <w:rPr>
        <w:rFonts w:cs="Times New Roman" w:hint="default"/>
      </w:rPr>
    </w:lvl>
    <w:lvl w:ilvl="7">
      <w:start w:val="1"/>
      <w:numFmt w:val="lowerLetter"/>
      <w:suff w:val="space"/>
      <w:lvlText w:val="%8."/>
      <w:lvlJc w:val="left"/>
      <w:pPr>
        <w:ind w:left="2880" w:hanging="360"/>
      </w:pPr>
      <w:rPr>
        <w:rFonts w:cs="Times New Roman" w:hint="default"/>
      </w:rPr>
    </w:lvl>
    <w:lvl w:ilvl="8">
      <w:start w:val="1"/>
      <w:numFmt w:val="lowerRoman"/>
      <w:suff w:val="space"/>
      <w:lvlText w:val="%9."/>
      <w:lvlJc w:val="left"/>
      <w:pPr>
        <w:ind w:left="3240" w:hanging="360"/>
      </w:pPr>
      <w:rPr>
        <w:rFonts w:cs="Times New Roman" w:hint="default"/>
      </w:rPr>
    </w:lvl>
  </w:abstractNum>
  <w:abstractNum w:abstractNumId="4" w15:restartNumberingAfterBreak="0">
    <w:nsid w:val="4A6846A0"/>
    <w:multiLevelType w:val="hybridMultilevel"/>
    <w:tmpl w:val="41443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8927292"/>
    <w:multiLevelType w:val="hybridMultilevel"/>
    <w:tmpl w:val="440E2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2D564E"/>
    <w:multiLevelType w:val="multilevel"/>
    <w:tmpl w:val="F3FA4B9C"/>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i w:val="0"/>
        <w:color w:val="auto"/>
        <w:sz w:val="32"/>
        <w:szCs w:val="32"/>
      </w:rPr>
    </w:lvl>
    <w:lvl w:ilvl="2">
      <w:start w:val="1"/>
      <w:numFmt w:val="decimal"/>
      <w:lvlText w:val="%1.%2.%3"/>
      <w:lvlJc w:val="left"/>
      <w:pPr>
        <w:ind w:left="720" w:hanging="720"/>
      </w:pPr>
      <w:rPr>
        <w:rFonts w:hint="default"/>
        <w:b/>
        <w:i w:val="0"/>
        <w:color w:val="auto"/>
        <w:sz w:val="28"/>
        <w:szCs w:val="28"/>
      </w:rPr>
    </w:lvl>
    <w:lvl w:ilvl="3">
      <w:start w:val="1"/>
      <w:numFmt w:val="decimal"/>
      <w:lvlText w:val="%1.%2.%3.%4"/>
      <w:lvlJc w:val="left"/>
      <w:pPr>
        <w:ind w:left="864" w:hanging="864"/>
      </w:pPr>
      <w:rPr>
        <w:rFonts w:hint="default"/>
        <w:b/>
        <w:i w:val="0"/>
        <w:color w:val="auto"/>
        <w:sz w:val="24"/>
        <w:szCs w:val="24"/>
      </w:rPr>
    </w:lvl>
    <w:lvl w:ilvl="4">
      <w:start w:val="1"/>
      <w:numFmt w:val="decimal"/>
      <w:lvlText w:val="%1.%2.%3.%4.%5"/>
      <w:lvlJc w:val="left"/>
      <w:pPr>
        <w:ind w:left="1008" w:hanging="1008"/>
      </w:pPr>
      <w:rPr>
        <w:rFonts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Appendix %6"/>
      <w:lvlJc w:val="left"/>
      <w:pPr>
        <w:ind w:left="1152" w:hanging="1152"/>
      </w:pPr>
      <w:rPr>
        <w:rFonts w:hint="default"/>
        <w:b/>
        <w:i w:val="0"/>
        <w:color w:val="auto"/>
        <w:sz w:val="36"/>
        <w:szCs w:val="36"/>
      </w:rPr>
    </w:lvl>
    <w:lvl w:ilvl="6">
      <w:start w:val="1"/>
      <w:numFmt w:val="decimal"/>
      <w:lvlText w:val="%6.%7"/>
      <w:lvlJc w:val="left"/>
      <w:pPr>
        <w:ind w:left="648" w:hanging="648"/>
      </w:pPr>
      <w:rPr>
        <w:rFonts w:hint="default"/>
        <w:b/>
        <w:i w:val="0"/>
        <w:color w:val="auto"/>
        <w:sz w:val="32"/>
        <w:szCs w:val="32"/>
      </w:rPr>
    </w:lvl>
    <w:lvl w:ilvl="7">
      <w:start w:val="1"/>
      <w:numFmt w:val="decimal"/>
      <w:lvlText w:val="%6.%7.%8"/>
      <w:lvlJc w:val="left"/>
      <w:pPr>
        <w:ind w:left="864" w:hanging="864"/>
      </w:pPr>
      <w:rPr>
        <w:rFonts w:hint="default"/>
        <w:b/>
        <w:i w:val="0"/>
        <w:color w:val="auto"/>
        <w:sz w:val="28"/>
        <w:szCs w:val="28"/>
      </w:rPr>
    </w:lvl>
    <w:lvl w:ilvl="8">
      <w:start w:val="1"/>
      <w:numFmt w:val="decimal"/>
      <w:lvlText w:val="%6.%7.%8.%9"/>
      <w:lvlJc w:val="left"/>
      <w:pPr>
        <w:ind w:left="1152" w:hanging="1152"/>
      </w:pPr>
      <w:rPr>
        <w:rFonts w:hint="default"/>
        <w:b/>
        <w:i w:val="0"/>
        <w:color w:val="auto"/>
        <w:sz w:val="24"/>
        <w:szCs w:val="24"/>
      </w:rPr>
    </w:lvl>
  </w:abstractNum>
  <w:num w:numId="1">
    <w:abstractNumId w:val="6"/>
  </w:num>
  <w:num w:numId="2">
    <w:abstractNumId w:val="0"/>
  </w:num>
  <w:num w:numId="3">
    <w:abstractNumId w:val="1"/>
  </w:num>
  <w:num w:numId="4">
    <w:abstractNumId w:val="3"/>
  </w:num>
  <w:num w:numId="5">
    <w:abstractNumId w:val="3"/>
  </w:num>
  <w:num w:numId="6">
    <w:abstractNumId w:val="3"/>
  </w:num>
  <w:num w:numId="7">
    <w:abstractNumId w:val="3"/>
  </w:num>
  <w:num w:numId="8">
    <w:abstractNumId w:val="2"/>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17"/>
    <w:rsid w:val="00021A14"/>
    <w:rsid w:val="0006120A"/>
    <w:rsid w:val="00065A5F"/>
    <w:rsid w:val="00074078"/>
    <w:rsid w:val="00083312"/>
    <w:rsid w:val="00097536"/>
    <w:rsid w:val="000F2308"/>
    <w:rsid w:val="001328CD"/>
    <w:rsid w:val="00136A11"/>
    <w:rsid w:val="00140243"/>
    <w:rsid w:val="0015091F"/>
    <w:rsid w:val="00161F3D"/>
    <w:rsid w:val="001723A9"/>
    <w:rsid w:val="00185F8B"/>
    <w:rsid w:val="001952A5"/>
    <w:rsid w:val="0019637F"/>
    <w:rsid w:val="00197463"/>
    <w:rsid w:val="001A0CAA"/>
    <w:rsid w:val="001B1892"/>
    <w:rsid w:val="001E0A84"/>
    <w:rsid w:val="001E1E00"/>
    <w:rsid w:val="001E48BE"/>
    <w:rsid w:val="001E7F17"/>
    <w:rsid w:val="001F47B7"/>
    <w:rsid w:val="001F6963"/>
    <w:rsid w:val="00200850"/>
    <w:rsid w:val="00205548"/>
    <w:rsid w:val="00294DB1"/>
    <w:rsid w:val="00296711"/>
    <w:rsid w:val="002A0B86"/>
    <w:rsid w:val="002E0796"/>
    <w:rsid w:val="00337E66"/>
    <w:rsid w:val="003F3187"/>
    <w:rsid w:val="00413C88"/>
    <w:rsid w:val="00436314"/>
    <w:rsid w:val="00440B38"/>
    <w:rsid w:val="0046667B"/>
    <w:rsid w:val="004C4174"/>
    <w:rsid w:val="004E5661"/>
    <w:rsid w:val="004E7F5A"/>
    <w:rsid w:val="00593F91"/>
    <w:rsid w:val="00594570"/>
    <w:rsid w:val="005A0D44"/>
    <w:rsid w:val="005C658E"/>
    <w:rsid w:val="005D3B7A"/>
    <w:rsid w:val="006248FE"/>
    <w:rsid w:val="00633973"/>
    <w:rsid w:val="00645B76"/>
    <w:rsid w:val="006812C7"/>
    <w:rsid w:val="006B3553"/>
    <w:rsid w:val="006B5451"/>
    <w:rsid w:val="006C63E2"/>
    <w:rsid w:val="006D6AD8"/>
    <w:rsid w:val="00700270"/>
    <w:rsid w:val="00773079"/>
    <w:rsid w:val="00774B3D"/>
    <w:rsid w:val="007762E9"/>
    <w:rsid w:val="007A5DA4"/>
    <w:rsid w:val="007C13CE"/>
    <w:rsid w:val="00831284"/>
    <w:rsid w:val="00854656"/>
    <w:rsid w:val="0085732A"/>
    <w:rsid w:val="00874F8A"/>
    <w:rsid w:val="009312BB"/>
    <w:rsid w:val="00945CBE"/>
    <w:rsid w:val="0095267D"/>
    <w:rsid w:val="00966B31"/>
    <w:rsid w:val="00977596"/>
    <w:rsid w:val="0098374F"/>
    <w:rsid w:val="009943B9"/>
    <w:rsid w:val="009D0D90"/>
    <w:rsid w:val="009D3633"/>
    <w:rsid w:val="00A01F7A"/>
    <w:rsid w:val="00A04C09"/>
    <w:rsid w:val="00A13AD2"/>
    <w:rsid w:val="00A211F8"/>
    <w:rsid w:val="00A466BC"/>
    <w:rsid w:val="00A6629D"/>
    <w:rsid w:val="00A7058A"/>
    <w:rsid w:val="00A8216B"/>
    <w:rsid w:val="00A87A62"/>
    <w:rsid w:val="00A940B1"/>
    <w:rsid w:val="00AA1D07"/>
    <w:rsid w:val="00AA45D0"/>
    <w:rsid w:val="00AA7E46"/>
    <w:rsid w:val="00AB738C"/>
    <w:rsid w:val="00AD34DC"/>
    <w:rsid w:val="00AE7F29"/>
    <w:rsid w:val="00B32C56"/>
    <w:rsid w:val="00B61284"/>
    <w:rsid w:val="00B81963"/>
    <w:rsid w:val="00BA0EA1"/>
    <w:rsid w:val="00BA11E9"/>
    <w:rsid w:val="00C52ED8"/>
    <w:rsid w:val="00CD7110"/>
    <w:rsid w:val="00D9318E"/>
    <w:rsid w:val="00DC66F0"/>
    <w:rsid w:val="00E5480C"/>
    <w:rsid w:val="00EA3FFB"/>
    <w:rsid w:val="00EC5C18"/>
    <w:rsid w:val="00EC6530"/>
    <w:rsid w:val="00EC758F"/>
    <w:rsid w:val="00F01B48"/>
    <w:rsid w:val="00F10215"/>
    <w:rsid w:val="00F659FD"/>
    <w:rsid w:val="00FA2FB9"/>
    <w:rsid w:val="00FB53B2"/>
    <w:rsid w:val="00FB5FA6"/>
    <w:rsid w:val="00FD5B85"/>
    <w:rsid w:val="00FD6662"/>
    <w:rsid w:val="00FF1369"/>
    <w:rsid w:val="04B35263"/>
    <w:rsid w:val="1DFA0A07"/>
    <w:rsid w:val="2C1D3D4D"/>
    <w:rsid w:val="2C281F30"/>
    <w:rsid w:val="57BB8F3D"/>
    <w:rsid w:val="6808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3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451"/>
    <w:pPr>
      <w:tabs>
        <w:tab w:val="left" w:pos="720"/>
      </w:tabs>
      <w:spacing w:after="0" w:line="240" w:lineRule="auto"/>
      <w:contextualSpacing/>
    </w:pPr>
    <w:rPr>
      <w:rFonts w:ascii="Times New Roman" w:hAnsi="Times New Roman"/>
      <w:kern w:val="24"/>
      <w:sz w:val="24"/>
    </w:rPr>
  </w:style>
  <w:style w:type="paragraph" w:styleId="Heading1">
    <w:name w:val="heading 1"/>
    <w:basedOn w:val="Normal"/>
    <w:next w:val="Normal"/>
    <w:link w:val="Heading1Char"/>
    <w:uiPriority w:val="9"/>
    <w:qFormat/>
    <w:rsid w:val="00A6629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autoRedefine/>
    <w:qFormat/>
    <w:rsid w:val="00A6629D"/>
    <w:pPr>
      <w:keepNext w:val="0"/>
      <w:keepLines w:val="0"/>
      <w:numPr>
        <w:ilvl w:val="1"/>
        <w:numId w:val="2"/>
      </w:numPr>
      <w:spacing w:before="0"/>
      <w:ind w:left="1296"/>
      <w:outlineLvl w:val="1"/>
    </w:pPr>
    <w:rPr>
      <w:rFonts w:ascii="Arial Narrow" w:hAnsi="Arial Narrow"/>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629D"/>
    <w:rPr>
      <w:rFonts w:ascii="Arial Narrow" w:eastAsiaTheme="majorEastAsia" w:hAnsi="Arial Narrow" w:cstheme="majorBidi"/>
      <w:b/>
      <w:color w:val="000000" w:themeColor="text1"/>
      <w:sz w:val="32"/>
      <w:szCs w:val="32"/>
    </w:rPr>
  </w:style>
  <w:style w:type="character" w:customStyle="1" w:styleId="Heading1Char">
    <w:name w:val="Heading 1 Char"/>
    <w:basedOn w:val="DefaultParagraphFont"/>
    <w:link w:val="Heading1"/>
    <w:uiPriority w:val="9"/>
    <w:rsid w:val="00A6629D"/>
    <w:rPr>
      <w:rFonts w:asciiTheme="majorHAnsi" w:eastAsiaTheme="majorEastAsia" w:hAnsiTheme="majorHAnsi" w:cstheme="majorBidi"/>
      <w:color w:val="2F5496" w:themeColor="accent1" w:themeShade="BF"/>
      <w:sz w:val="32"/>
      <w:szCs w:val="32"/>
    </w:rPr>
  </w:style>
  <w:style w:type="paragraph" w:customStyle="1" w:styleId="EndNoteBibliography">
    <w:name w:val="EndNote Bibliography"/>
    <w:basedOn w:val="Normal"/>
    <w:link w:val="EndNoteBibliographyChar"/>
    <w:autoRedefine/>
    <w:qFormat/>
    <w:rsid w:val="00AE7F29"/>
    <w:pPr>
      <w:ind w:left="720" w:hanging="720"/>
    </w:pPr>
    <w:rPr>
      <w:rFonts w:cs="Times New Roman"/>
      <w:noProof/>
      <w:szCs w:val="24"/>
    </w:rPr>
  </w:style>
  <w:style w:type="character" w:customStyle="1" w:styleId="EndNoteBibliographyChar">
    <w:name w:val="EndNote Bibliography Char"/>
    <w:basedOn w:val="DefaultParagraphFont"/>
    <w:link w:val="EndNoteBibliography"/>
    <w:rsid w:val="00AE7F29"/>
    <w:rPr>
      <w:rFonts w:ascii="Times New Roman" w:hAnsi="Times New Roman" w:cs="Times New Roman"/>
      <w:noProof/>
      <w:kern w:val="24"/>
      <w:sz w:val="24"/>
      <w:szCs w:val="24"/>
    </w:rPr>
  </w:style>
  <w:style w:type="numbering" w:customStyle="1" w:styleId="Outlinestandard">
    <w:name w:val="Outline standard"/>
    <w:uiPriority w:val="99"/>
    <w:rsid w:val="00A466BC"/>
    <w:pPr>
      <w:numPr>
        <w:numId w:val="3"/>
      </w:numPr>
    </w:pPr>
  </w:style>
  <w:style w:type="numbering" w:customStyle="1" w:styleId="Style31">
    <w:name w:val="Style31"/>
    <w:rsid w:val="00977596"/>
    <w:pPr>
      <w:numPr>
        <w:numId w:val="4"/>
      </w:numPr>
    </w:pPr>
  </w:style>
  <w:style w:type="numbering" w:customStyle="1" w:styleId="FR">
    <w:name w:val="FR"/>
    <w:uiPriority w:val="99"/>
    <w:rsid w:val="00977596"/>
    <w:pPr>
      <w:numPr>
        <w:numId w:val="8"/>
      </w:numPr>
    </w:pPr>
  </w:style>
  <w:style w:type="paragraph" w:styleId="PlainText">
    <w:name w:val="Plain Text"/>
    <w:basedOn w:val="Normal"/>
    <w:link w:val="PlainTextChar"/>
    <w:uiPriority w:val="99"/>
    <w:unhideWhenUsed/>
    <w:rsid w:val="006C63E2"/>
    <w:rPr>
      <w:rFonts w:ascii="Consolas" w:hAnsi="Consolas"/>
      <w:sz w:val="21"/>
      <w:szCs w:val="21"/>
    </w:rPr>
  </w:style>
  <w:style w:type="character" w:customStyle="1" w:styleId="PlainTextChar">
    <w:name w:val="Plain Text Char"/>
    <w:basedOn w:val="DefaultParagraphFont"/>
    <w:link w:val="PlainText"/>
    <w:uiPriority w:val="99"/>
    <w:rsid w:val="006C63E2"/>
    <w:rPr>
      <w:rFonts w:ascii="Consolas" w:hAnsi="Consolas"/>
      <w:kern w:val="24"/>
      <w:sz w:val="21"/>
      <w:szCs w:val="21"/>
    </w:rPr>
  </w:style>
  <w:style w:type="character" w:styleId="CommentReference">
    <w:name w:val="annotation reference"/>
    <w:basedOn w:val="DefaultParagraphFont"/>
    <w:uiPriority w:val="99"/>
    <w:semiHidden/>
    <w:unhideWhenUsed/>
    <w:rsid w:val="00A211F8"/>
    <w:rPr>
      <w:sz w:val="16"/>
      <w:szCs w:val="16"/>
    </w:rPr>
  </w:style>
  <w:style w:type="paragraph" w:styleId="CommentText">
    <w:name w:val="annotation text"/>
    <w:basedOn w:val="Normal"/>
    <w:link w:val="CommentTextChar"/>
    <w:uiPriority w:val="99"/>
    <w:semiHidden/>
    <w:unhideWhenUsed/>
    <w:rsid w:val="00A211F8"/>
    <w:rPr>
      <w:sz w:val="20"/>
      <w:szCs w:val="20"/>
    </w:rPr>
  </w:style>
  <w:style w:type="character" w:customStyle="1" w:styleId="CommentTextChar">
    <w:name w:val="Comment Text Char"/>
    <w:basedOn w:val="DefaultParagraphFont"/>
    <w:link w:val="CommentText"/>
    <w:uiPriority w:val="99"/>
    <w:semiHidden/>
    <w:rsid w:val="00A211F8"/>
    <w:rPr>
      <w:rFonts w:ascii="Times New Roman" w:hAnsi="Times New Roman"/>
      <w:kern w:val="24"/>
      <w:sz w:val="20"/>
      <w:szCs w:val="20"/>
    </w:rPr>
  </w:style>
  <w:style w:type="paragraph" w:styleId="CommentSubject">
    <w:name w:val="annotation subject"/>
    <w:basedOn w:val="CommentText"/>
    <w:next w:val="CommentText"/>
    <w:link w:val="CommentSubjectChar"/>
    <w:uiPriority w:val="99"/>
    <w:semiHidden/>
    <w:unhideWhenUsed/>
    <w:rsid w:val="00A211F8"/>
    <w:rPr>
      <w:b/>
      <w:bCs/>
    </w:rPr>
  </w:style>
  <w:style w:type="character" w:customStyle="1" w:styleId="CommentSubjectChar">
    <w:name w:val="Comment Subject Char"/>
    <w:basedOn w:val="CommentTextChar"/>
    <w:link w:val="CommentSubject"/>
    <w:uiPriority w:val="99"/>
    <w:semiHidden/>
    <w:rsid w:val="00A211F8"/>
    <w:rPr>
      <w:rFonts w:ascii="Times New Roman" w:hAnsi="Times New Roman"/>
      <w:b/>
      <w:bCs/>
      <w:kern w:val="24"/>
      <w:sz w:val="20"/>
      <w:szCs w:val="20"/>
    </w:rPr>
  </w:style>
  <w:style w:type="paragraph" w:styleId="Header">
    <w:name w:val="header"/>
    <w:basedOn w:val="Normal"/>
    <w:link w:val="HeaderChar"/>
    <w:uiPriority w:val="99"/>
    <w:unhideWhenUsed/>
    <w:rsid w:val="00F10215"/>
    <w:pPr>
      <w:tabs>
        <w:tab w:val="clear" w:pos="720"/>
        <w:tab w:val="center" w:pos="4680"/>
        <w:tab w:val="right" w:pos="9360"/>
      </w:tabs>
    </w:pPr>
  </w:style>
  <w:style w:type="character" w:customStyle="1" w:styleId="HeaderChar">
    <w:name w:val="Header Char"/>
    <w:basedOn w:val="DefaultParagraphFont"/>
    <w:link w:val="Header"/>
    <w:uiPriority w:val="99"/>
    <w:rsid w:val="00F10215"/>
    <w:rPr>
      <w:rFonts w:ascii="Times New Roman" w:hAnsi="Times New Roman"/>
      <w:kern w:val="24"/>
      <w:sz w:val="24"/>
    </w:rPr>
  </w:style>
  <w:style w:type="paragraph" w:styleId="Footer">
    <w:name w:val="footer"/>
    <w:basedOn w:val="Normal"/>
    <w:link w:val="FooterChar"/>
    <w:uiPriority w:val="99"/>
    <w:unhideWhenUsed/>
    <w:rsid w:val="00F10215"/>
    <w:pPr>
      <w:tabs>
        <w:tab w:val="clear" w:pos="720"/>
        <w:tab w:val="center" w:pos="4680"/>
        <w:tab w:val="right" w:pos="9360"/>
      </w:tabs>
    </w:pPr>
  </w:style>
  <w:style w:type="character" w:customStyle="1" w:styleId="FooterChar">
    <w:name w:val="Footer Char"/>
    <w:basedOn w:val="DefaultParagraphFont"/>
    <w:link w:val="Footer"/>
    <w:uiPriority w:val="99"/>
    <w:rsid w:val="00F10215"/>
    <w:rPr>
      <w:rFonts w:ascii="Times New Roman" w:hAnsi="Times New Roman"/>
      <w:kern w:val="24"/>
      <w:sz w:val="24"/>
    </w:rPr>
  </w:style>
  <w:style w:type="paragraph" w:styleId="BalloonText">
    <w:name w:val="Balloon Text"/>
    <w:basedOn w:val="Normal"/>
    <w:link w:val="BalloonTextChar"/>
    <w:uiPriority w:val="99"/>
    <w:semiHidden/>
    <w:unhideWhenUsed/>
    <w:rsid w:val="00074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78"/>
    <w:rPr>
      <w:rFonts w:ascii="Segoe UI" w:hAnsi="Segoe UI" w:cs="Segoe UI"/>
      <w:kern w:val="24"/>
      <w:sz w:val="18"/>
      <w:szCs w:val="18"/>
    </w:rPr>
  </w:style>
  <w:style w:type="table" w:styleId="TableGrid">
    <w:name w:val="Table Grid"/>
    <w:basedOn w:val="TableNormal"/>
    <w:uiPriority w:val="39"/>
    <w:rsid w:val="00FA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9FD"/>
    <w:pPr>
      <w:spacing w:after="0" w:line="240" w:lineRule="auto"/>
    </w:pPr>
    <w:rPr>
      <w:rFonts w:ascii="Times New Roman" w:hAnsi="Times New Roman"/>
      <w:kern w:val="24"/>
      <w:sz w:val="24"/>
    </w:rPr>
  </w:style>
  <w:style w:type="character" w:customStyle="1" w:styleId="ListParagraphChar">
    <w:name w:val="List Paragraph Char"/>
    <w:link w:val="ListParagraph"/>
    <w:uiPriority w:val="34"/>
    <w:locked/>
    <w:rsid w:val="001E48BE"/>
  </w:style>
  <w:style w:type="paragraph" w:styleId="ListParagraph">
    <w:name w:val="List Paragraph"/>
    <w:basedOn w:val="Normal"/>
    <w:link w:val="ListParagraphChar"/>
    <w:uiPriority w:val="34"/>
    <w:qFormat/>
    <w:rsid w:val="001E48BE"/>
    <w:pPr>
      <w:tabs>
        <w:tab w:val="clear" w:pos="720"/>
      </w:tabs>
      <w:spacing w:after="160" w:line="256" w:lineRule="auto"/>
      <w:ind w:left="720"/>
    </w:pPr>
    <w:rPr>
      <w:rFonts w:asciiTheme="minorHAnsi"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1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CAF4-6BFB-4A90-8B0F-F5E503B7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7553</Characters>
  <Application>Microsoft Office Word</Application>
  <DocSecurity>0</DocSecurity>
  <Lines>215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2022-01-03T14:27:00Z</dcterms:created>
  <dcterms:modified xsi:type="dcterms:W3CDTF">2022-01-03T14:27:00Z</dcterms:modified>
</cp:coreProperties>
</file>