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1A2B" w:rsidP="007C213F" w:rsidRDefault="008E1A2B" w14:paraId="459F88D9" w14:textId="77777777">
      <w:pPr>
        <w:tabs>
          <w:tab w:val="center" w:pos="4680"/>
        </w:tabs>
        <w:suppressAutoHyphens/>
        <w:ind w:hanging="600"/>
        <w:jc w:val="center"/>
        <w:rPr>
          <w:rFonts w:ascii="Times New Roman" w:hAnsi="Times New Roman"/>
          <w:b/>
        </w:rPr>
      </w:pPr>
      <w:r w:rsidRPr="008E1A2B">
        <w:rPr>
          <w:rFonts w:ascii="Times New Roman" w:hAnsi="Times New Roman"/>
          <w:b/>
        </w:rPr>
        <w:t>Supporting Statement for F</w:t>
      </w:r>
      <w:r w:rsidR="00481CA1">
        <w:rPr>
          <w:rFonts w:ascii="Times New Roman" w:hAnsi="Times New Roman"/>
          <w:b/>
        </w:rPr>
        <w:t>orm</w:t>
      </w:r>
      <w:r>
        <w:rPr>
          <w:rFonts w:ascii="Times New Roman" w:hAnsi="Times New Roman"/>
          <w:b/>
        </w:rPr>
        <w:t xml:space="preserve"> SSA-2512</w:t>
      </w:r>
    </w:p>
    <w:p w:rsidR="008E1A2B" w:rsidP="007C213F" w:rsidRDefault="00481CA1" w14:paraId="1451CE77" w14:textId="77777777">
      <w:pPr>
        <w:tabs>
          <w:tab w:val="center" w:pos="4680"/>
        </w:tabs>
        <w:suppressAutoHyphens/>
        <w:ind w:hanging="600"/>
        <w:jc w:val="center"/>
        <w:rPr>
          <w:rFonts w:ascii="Times New Roman" w:hAnsi="Times New Roman"/>
          <w:b/>
        </w:rPr>
      </w:pPr>
      <w:r>
        <w:rPr>
          <w:rFonts w:ascii="Times New Roman" w:hAnsi="Times New Roman"/>
          <w:b/>
        </w:rPr>
        <w:t>Pre</w:t>
      </w:r>
      <w:r w:rsidR="008E1A2B">
        <w:rPr>
          <w:rFonts w:ascii="Times New Roman" w:hAnsi="Times New Roman"/>
          <w:b/>
        </w:rPr>
        <w:t>-1957 M</w:t>
      </w:r>
      <w:r>
        <w:rPr>
          <w:rFonts w:ascii="Times New Roman" w:hAnsi="Times New Roman"/>
          <w:b/>
        </w:rPr>
        <w:t>ilitary Service Federal Benefit Questionnaire</w:t>
      </w:r>
    </w:p>
    <w:p w:rsidRPr="00481CA1" w:rsidR="008E1A2B" w:rsidP="007C213F" w:rsidRDefault="008E1A2B" w14:paraId="216A78B5" w14:textId="77777777">
      <w:pPr>
        <w:tabs>
          <w:tab w:val="center" w:pos="4680"/>
        </w:tabs>
        <w:suppressAutoHyphens/>
        <w:ind w:hanging="600"/>
        <w:jc w:val="center"/>
        <w:rPr>
          <w:rFonts w:ascii="Times New Roman" w:hAnsi="Times New Roman"/>
          <w:b/>
        </w:rPr>
      </w:pPr>
      <w:r>
        <w:rPr>
          <w:rFonts w:ascii="Times New Roman" w:hAnsi="Times New Roman"/>
          <w:b/>
        </w:rPr>
        <w:t>20 CFR 404.1301-404.1371</w:t>
      </w:r>
    </w:p>
    <w:p w:rsidRPr="00481CA1" w:rsidR="008E1A2B" w:rsidP="007C213F" w:rsidRDefault="00D923F1" w14:paraId="0CA58A8E" w14:textId="1E34C71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hanging="600"/>
        <w:jc w:val="center"/>
        <w:rPr>
          <w:rFonts w:ascii="Times New Roman" w:hAnsi="Times New Roman" w:cs="Times New Roman"/>
        </w:rPr>
      </w:pPr>
      <w:r>
        <w:rPr>
          <w:rFonts w:ascii="Times New Roman" w:hAnsi="Times New Roman" w:cs="Times New Roman"/>
        </w:rPr>
        <w:t>OMB No. 0960-0120</w:t>
      </w:r>
    </w:p>
    <w:p w:rsidRPr="00BC7F42" w:rsidR="008E1A2B" w:rsidP="007A7231" w:rsidRDefault="008E1A2B" w14:paraId="45C1120C" w14:textId="77777777">
      <w:pPr>
        <w:pStyle w:val="Header"/>
        <w:tabs>
          <w:tab w:val="clear" w:pos="4320"/>
          <w:tab w:val="clear" w:pos="8640"/>
        </w:tabs>
        <w:ind w:hanging="600"/>
        <w:rPr>
          <w:rFonts w:ascii="Times New Roman" w:hAnsi="Times New Roman"/>
        </w:rPr>
      </w:pPr>
    </w:p>
    <w:p w:rsidRPr="002321B0" w:rsidR="008E1A2B" w:rsidP="00E37AFF" w:rsidRDefault="008E1A2B" w14:paraId="1ADE337F"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8E1A2B" w:rsidP="007A7231" w:rsidRDefault="008E1A2B" w14:paraId="596A6082" w14:textId="77777777">
      <w:pPr>
        <w:pStyle w:val="Header"/>
        <w:tabs>
          <w:tab w:val="clear" w:pos="4320"/>
          <w:tab w:val="clear" w:pos="8640"/>
        </w:tabs>
        <w:ind w:hanging="600"/>
        <w:rPr>
          <w:rFonts w:ascii="Times New Roman" w:hAnsi="Times New Roman"/>
        </w:rPr>
      </w:pPr>
    </w:p>
    <w:p w:rsidR="008E1A2B" w:rsidP="00E37AFF" w:rsidRDefault="008E1A2B" w14:paraId="61053F1B" w14:textId="77777777">
      <w:pPr>
        <w:numPr>
          <w:ilvl w:val="0"/>
          <w:numId w:val="19"/>
        </w:numPr>
        <w:tabs>
          <w:tab w:val="clear" w:pos="720"/>
          <w:tab w:val="num" w:pos="1440"/>
        </w:tabs>
        <w:ind w:left="14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B515F6" w:rsidP="00E37AFF" w:rsidRDefault="002962FF" w14:paraId="2152CD85" w14:textId="556B90F7">
      <w:pPr>
        <w:tabs>
          <w:tab w:val="num" w:pos="1440"/>
        </w:tabs>
        <w:ind w:left="1440"/>
        <w:rPr>
          <w:rFonts w:ascii="Times New Roman" w:hAnsi="Times New Roman"/>
        </w:rPr>
      </w:pPr>
      <w:r>
        <w:rPr>
          <w:rFonts w:ascii="Times New Roman" w:hAnsi="Times New Roman"/>
        </w:rPr>
        <w:t xml:space="preserve">The </w:t>
      </w:r>
      <w:r w:rsidR="00481CA1">
        <w:rPr>
          <w:rFonts w:ascii="Times New Roman" w:hAnsi="Times New Roman"/>
        </w:rPr>
        <w:t>Social Security Administration (</w:t>
      </w:r>
      <w:r w:rsidR="00922354">
        <w:rPr>
          <w:rFonts w:ascii="Times New Roman" w:hAnsi="Times New Roman"/>
        </w:rPr>
        <w:t>SSA</w:t>
      </w:r>
      <w:r w:rsidR="00481CA1">
        <w:rPr>
          <w:rFonts w:ascii="Times New Roman" w:hAnsi="Times New Roman"/>
        </w:rPr>
        <w:t>) uses F</w:t>
      </w:r>
      <w:r w:rsidR="00922354">
        <w:rPr>
          <w:rFonts w:ascii="Times New Roman" w:hAnsi="Times New Roman"/>
        </w:rPr>
        <w:t>orm SSA-2512</w:t>
      </w:r>
      <w:r w:rsidR="006C0E06">
        <w:rPr>
          <w:rFonts w:ascii="Times New Roman" w:hAnsi="Times New Roman"/>
        </w:rPr>
        <w:t>,</w:t>
      </w:r>
      <w:r w:rsidR="00922354">
        <w:rPr>
          <w:rFonts w:ascii="Times New Roman" w:hAnsi="Times New Roman"/>
        </w:rPr>
        <w:t xml:space="preserve"> Pre-1957 Military Service Federal Benefit Questionnaire</w:t>
      </w:r>
      <w:r w:rsidR="006C0E06">
        <w:rPr>
          <w:rFonts w:ascii="Times New Roman" w:hAnsi="Times New Roman"/>
        </w:rPr>
        <w:t>,</w:t>
      </w:r>
      <w:r w:rsidR="00922354">
        <w:rPr>
          <w:rFonts w:ascii="Times New Roman" w:hAnsi="Times New Roman"/>
        </w:rPr>
        <w:t xml:space="preserve"> to grant gratuitous military wage credits.  </w:t>
      </w:r>
      <w:r w:rsidRPr="00481CA1" w:rsidR="006C0E06">
        <w:rPr>
          <w:rFonts w:ascii="Times New Roman" w:hAnsi="Times New Roman"/>
        </w:rPr>
        <w:t>Sections</w:t>
      </w:r>
      <w:r w:rsidR="006C0E06">
        <w:rPr>
          <w:rFonts w:ascii="Times New Roman" w:hAnsi="Times New Roman"/>
          <w:i/>
        </w:rPr>
        <w:t xml:space="preserve"> 217(a) </w:t>
      </w:r>
      <w:r w:rsidRPr="00481CA1" w:rsidR="006C0E06">
        <w:rPr>
          <w:rFonts w:ascii="Times New Roman" w:hAnsi="Times New Roman"/>
        </w:rPr>
        <w:t>through</w:t>
      </w:r>
      <w:r w:rsidR="006C0E06">
        <w:rPr>
          <w:rFonts w:ascii="Times New Roman" w:hAnsi="Times New Roman"/>
          <w:i/>
        </w:rPr>
        <w:t xml:space="preserve"> (e) </w:t>
      </w:r>
      <w:r w:rsidRPr="006F07A6" w:rsidR="006C0E06">
        <w:rPr>
          <w:rFonts w:ascii="Times New Roman" w:hAnsi="Times New Roman"/>
        </w:rPr>
        <w:t>of the</w:t>
      </w:r>
      <w:r w:rsidR="006C0E06">
        <w:rPr>
          <w:rFonts w:ascii="Times New Roman" w:hAnsi="Times New Roman"/>
          <w:i/>
        </w:rPr>
        <w:t xml:space="preserve"> Social Security Act </w:t>
      </w:r>
      <w:r w:rsidR="006C0E06">
        <w:rPr>
          <w:rFonts w:ascii="Times New Roman" w:hAnsi="Times New Roman"/>
        </w:rPr>
        <w:t xml:space="preserve">and </w:t>
      </w:r>
      <w:r w:rsidR="003E0252">
        <w:rPr>
          <w:rFonts w:ascii="Times New Roman" w:hAnsi="Times New Roman"/>
        </w:rPr>
        <w:t>S</w:t>
      </w:r>
      <w:r w:rsidR="00844816">
        <w:rPr>
          <w:rFonts w:ascii="Times New Roman" w:hAnsi="Times New Roman"/>
        </w:rPr>
        <w:t>ections</w:t>
      </w:r>
      <w:r w:rsidR="006C0E06">
        <w:rPr>
          <w:rFonts w:ascii="Times New Roman" w:hAnsi="Times New Roman"/>
        </w:rPr>
        <w:t xml:space="preserve"> </w:t>
      </w:r>
      <w:r w:rsidR="006C0E06">
        <w:rPr>
          <w:rFonts w:ascii="Times New Roman" w:hAnsi="Times New Roman"/>
          <w:i/>
        </w:rPr>
        <w:t>20</w:t>
      </w:r>
      <w:r w:rsidR="003E0252">
        <w:rPr>
          <w:rFonts w:ascii="Times New Roman" w:hAnsi="Times New Roman"/>
          <w:i/>
        </w:rPr>
        <w:t> </w:t>
      </w:r>
      <w:r w:rsidR="006C0E06">
        <w:rPr>
          <w:rFonts w:ascii="Times New Roman" w:hAnsi="Times New Roman"/>
          <w:i/>
        </w:rPr>
        <w:t xml:space="preserve">CFR 404.1301-404.1371 </w:t>
      </w:r>
      <w:r w:rsidRPr="006F07A6" w:rsidR="006C0E06">
        <w:rPr>
          <w:rFonts w:ascii="Times New Roman" w:hAnsi="Times New Roman"/>
        </w:rPr>
        <w:t>of the</w:t>
      </w:r>
      <w:r w:rsidR="006C0E06">
        <w:rPr>
          <w:rFonts w:ascii="Times New Roman" w:hAnsi="Times New Roman"/>
          <w:i/>
        </w:rPr>
        <w:t xml:space="preserve"> Code of Federal Regulations</w:t>
      </w:r>
      <w:r w:rsidR="006C0E06">
        <w:rPr>
          <w:rFonts w:ascii="Times New Roman" w:hAnsi="Times New Roman"/>
        </w:rPr>
        <w:t xml:space="preserve"> contain t</w:t>
      </w:r>
      <w:r w:rsidR="008E1A2B">
        <w:rPr>
          <w:rFonts w:ascii="Times New Roman" w:hAnsi="Times New Roman"/>
        </w:rPr>
        <w:t>he authorit</w:t>
      </w:r>
      <w:r w:rsidR="004A2778">
        <w:rPr>
          <w:rFonts w:ascii="Times New Roman" w:hAnsi="Times New Roman"/>
        </w:rPr>
        <w:t xml:space="preserve">y </w:t>
      </w:r>
      <w:r w:rsidR="008E1A2B">
        <w:rPr>
          <w:rFonts w:ascii="Times New Roman" w:hAnsi="Times New Roman"/>
        </w:rPr>
        <w:t>to collect th</w:t>
      </w:r>
      <w:r>
        <w:rPr>
          <w:rFonts w:ascii="Times New Roman" w:hAnsi="Times New Roman"/>
        </w:rPr>
        <w:t>is</w:t>
      </w:r>
      <w:r w:rsidR="008E1A2B">
        <w:rPr>
          <w:rFonts w:ascii="Times New Roman" w:hAnsi="Times New Roman"/>
        </w:rPr>
        <w:t xml:space="preserve"> </w:t>
      </w:r>
      <w:r w:rsidR="004E3A23">
        <w:rPr>
          <w:rFonts w:ascii="Times New Roman" w:hAnsi="Times New Roman"/>
        </w:rPr>
        <w:t>information and</w:t>
      </w:r>
      <w:r>
        <w:rPr>
          <w:rFonts w:ascii="Times New Roman" w:hAnsi="Times New Roman"/>
        </w:rPr>
        <w:t xml:space="preserve"> </w:t>
      </w:r>
      <w:r w:rsidR="00481CA1">
        <w:rPr>
          <w:rFonts w:ascii="Times New Roman" w:hAnsi="Times New Roman"/>
        </w:rPr>
        <w:t>describe the circumstances allowing us to grant military wage credits</w:t>
      </w:r>
      <w:r w:rsidR="008E1A2B">
        <w:rPr>
          <w:rFonts w:ascii="Times New Roman" w:hAnsi="Times New Roman"/>
        </w:rPr>
        <w:t>.</w:t>
      </w:r>
    </w:p>
    <w:p w:rsidRPr="00F57AD9" w:rsidR="008E1A2B" w:rsidP="00E37AFF" w:rsidRDefault="008E1A2B" w14:paraId="00A33193" w14:textId="77777777">
      <w:pPr>
        <w:tabs>
          <w:tab w:val="num" w:pos="1440"/>
        </w:tabs>
        <w:ind w:left="1440"/>
        <w:rPr>
          <w:rFonts w:ascii="Times New Roman" w:hAnsi="Times New Roman"/>
        </w:rPr>
      </w:pPr>
    </w:p>
    <w:p w:rsidRPr="002E18CF" w:rsidR="008E1A2B" w:rsidP="00E37AFF" w:rsidRDefault="008E1A2B" w14:paraId="0FB1881B" w14:textId="77777777">
      <w:pPr>
        <w:numPr>
          <w:ilvl w:val="0"/>
          <w:numId w:val="16"/>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481CA1" w:rsidR="00481CA1" w:rsidP="00E37AFF" w:rsidRDefault="00481CA1" w14:paraId="28BF3406" w14:textId="77777777">
      <w:pPr>
        <w:tabs>
          <w:tab w:val="left" w:pos="0"/>
          <w:tab w:val="num" w:pos="1440"/>
        </w:tabs>
        <w:suppressAutoHyphens/>
        <w:ind w:left="1440"/>
        <w:rPr>
          <w:rFonts w:ascii="Times New Roman" w:hAnsi="Times New Roman"/>
        </w:rPr>
      </w:pPr>
      <w:r w:rsidRPr="00481CA1">
        <w:rPr>
          <w:rFonts w:ascii="Times New Roman" w:hAnsi="Times New Roman"/>
        </w:rPr>
        <w:t>SSA may grant gratuitous military wage credits for active military or naval service (under certain conditions) during the period September 16, 1940 through December 31, 1956, if no other Federal agency (other than the Veterans Administration) credited the service for benefit eligibility or computa</w:t>
      </w:r>
      <w:r w:rsidR="00844816">
        <w:rPr>
          <w:rFonts w:ascii="Times New Roman" w:hAnsi="Times New Roman"/>
        </w:rPr>
        <w:t>tion purposes.  We use Form SSA-</w:t>
      </w:r>
      <w:r w:rsidRPr="00481CA1">
        <w:rPr>
          <w:rFonts w:ascii="Times New Roman" w:hAnsi="Times New Roman"/>
        </w:rPr>
        <w:t>2512 to collect specific information about other Federal, military, or civilian benefits the wage earner may receive when the applicant indicates both pre-1957 military service</w:t>
      </w:r>
      <w:r w:rsidR="002576A5">
        <w:rPr>
          <w:rFonts w:ascii="Times New Roman" w:hAnsi="Times New Roman"/>
        </w:rPr>
        <w:t>,</w:t>
      </w:r>
      <w:r w:rsidRPr="00481CA1">
        <w:rPr>
          <w:rFonts w:ascii="Times New Roman" w:hAnsi="Times New Roman"/>
        </w:rPr>
        <w:t xml:space="preserve"> and receipt of a Federal benefit.  SSA uses the data in the claims adjudication process to grant gratuitous military wage credits when applicable, and to solicit sufficient information to determine eligibility.  Respondents are applicants for Social Security benefits on a record where the wage earner claims pre-1957 military service.</w:t>
      </w:r>
    </w:p>
    <w:p w:rsidRPr="00BC7F42" w:rsidR="008E1A2B" w:rsidP="00E37AFF" w:rsidRDefault="008E1A2B" w14:paraId="4A3BA2B5" w14:textId="77777777">
      <w:pPr>
        <w:tabs>
          <w:tab w:val="num" w:pos="1440"/>
        </w:tabs>
        <w:ind w:left="1440"/>
        <w:rPr>
          <w:rFonts w:ascii="Times New Roman" w:hAnsi="Times New Roman"/>
        </w:rPr>
      </w:pPr>
    </w:p>
    <w:p w:rsidRPr="009773EC" w:rsidR="008E1A2B" w:rsidP="00E37AFF" w:rsidRDefault="008E1A2B" w14:paraId="6CDDD7C0" w14:textId="77777777">
      <w:pPr>
        <w:numPr>
          <w:ilvl w:val="0"/>
          <w:numId w:val="16"/>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3D5FB6" w:rsidR="003D5FB6" w:rsidP="003D5FB6" w:rsidRDefault="003D5FB6" w14:paraId="0CFCDEDF" w14:textId="364ADE90">
      <w:pPr>
        <w:tabs>
          <w:tab w:val="left" w:pos="0"/>
          <w:tab w:val="num" w:pos="1440"/>
        </w:tabs>
        <w:suppressAutoHyphens/>
        <w:ind w:left="1440"/>
        <w:rPr>
          <w:rFonts w:ascii="Times New Roman" w:hAnsi="Times New Roman"/>
        </w:rPr>
      </w:pPr>
      <w:r w:rsidRPr="003D5FB6">
        <w:rPr>
          <w:rFonts w:ascii="Times New Roman" w:hAnsi="Times New Roman"/>
        </w:rPr>
        <w:t>Form SSA-</w:t>
      </w:r>
      <w:r>
        <w:rPr>
          <w:rFonts w:ascii="Times New Roman" w:hAnsi="Times New Roman"/>
        </w:rPr>
        <w:t>2512</w:t>
      </w:r>
      <w:r w:rsidRPr="003D5FB6">
        <w:rPr>
          <w:rFonts w:ascii="Times New Roman" w:hAnsi="Times New Roman"/>
        </w:rPr>
        <w:t xml:space="preserve"> is available as a fillable</w:t>
      </w:r>
      <w:r w:rsidR="00702796">
        <w:rPr>
          <w:rFonts w:ascii="Times New Roman" w:hAnsi="Times New Roman"/>
        </w:rPr>
        <w:t xml:space="preserve"> printable</w:t>
      </w:r>
      <w:r w:rsidRPr="003D5FB6">
        <w:rPr>
          <w:rFonts w:ascii="Times New Roman" w:hAnsi="Times New Roman"/>
        </w:rPr>
        <w:t xml:space="preserve"> PDF on SSA’s website</w:t>
      </w:r>
      <w:r>
        <w:rPr>
          <w:rFonts w:ascii="Times New Roman" w:hAnsi="Times New Roman"/>
        </w:rPr>
        <w:t xml:space="preserve">.  </w:t>
      </w:r>
      <w:r w:rsidRPr="003D5FB6">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3D5FB6" w:rsidP="003D5FB6" w:rsidRDefault="003D5FB6" w14:paraId="5320D2A3" w14:textId="77777777">
      <w:pPr>
        <w:tabs>
          <w:tab w:val="left" w:pos="0"/>
          <w:tab w:val="num" w:pos="1440"/>
        </w:tabs>
        <w:suppressAutoHyphens/>
        <w:ind w:left="1440"/>
        <w:rPr>
          <w:rFonts w:ascii="Times New Roman" w:hAnsi="Times New Roman"/>
        </w:rPr>
      </w:pPr>
    </w:p>
    <w:p w:rsidRPr="008B5096" w:rsidR="0007130B" w:rsidP="003D5FB6" w:rsidRDefault="003D5FB6" w14:paraId="15AAC8C1" w14:textId="7F2A6D5E">
      <w:pPr>
        <w:tabs>
          <w:tab w:val="left" w:pos="0"/>
          <w:tab w:val="num" w:pos="1440"/>
        </w:tabs>
        <w:suppressAutoHyphens/>
        <w:ind w:left="1440"/>
        <w:rPr>
          <w:rFonts w:ascii="Times New Roman" w:hAnsi="Times New Roman"/>
          <w:color w:val="000000"/>
        </w:rPr>
      </w:pPr>
      <w:r w:rsidRPr="003D5FB6">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492AD6">
        <w:rPr>
          <w:rFonts w:ascii="Times New Roman" w:hAnsi="Times New Roman"/>
        </w:rPr>
        <w:t>.</w:t>
      </w:r>
    </w:p>
    <w:p w:rsidR="008E1A2B" w:rsidP="00E37AFF" w:rsidRDefault="008E1A2B" w14:paraId="53E44C15" w14:textId="7C227D68">
      <w:pPr>
        <w:tabs>
          <w:tab w:val="num" w:pos="1440"/>
        </w:tabs>
        <w:ind w:left="1440"/>
        <w:rPr>
          <w:rFonts w:ascii="Times New Roman" w:hAnsi="Times New Roman"/>
        </w:rPr>
      </w:pPr>
    </w:p>
    <w:p w:rsidRPr="00BC7F42" w:rsidR="003D5FB6" w:rsidP="00E37AFF" w:rsidRDefault="003D5FB6" w14:paraId="5231EA4D" w14:textId="77777777">
      <w:pPr>
        <w:tabs>
          <w:tab w:val="num" w:pos="1440"/>
        </w:tabs>
        <w:ind w:left="1440"/>
        <w:rPr>
          <w:rFonts w:ascii="Times New Roman" w:hAnsi="Times New Roman"/>
        </w:rPr>
      </w:pPr>
    </w:p>
    <w:p w:rsidR="008E1A2B" w:rsidP="00E37AFF" w:rsidRDefault="008E1A2B" w14:paraId="7847B5C4" w14:textId="77777777">
      <w:pPr>
        <w:numPr>
          <w:ilvl w:val="0"/>
          <w:numId w:val="16"/>
        </w:numPr>
        <w:tabs>
          <w:tab w:val="clear" w:pos="720"/>
          <w:tab w:val="num" w:pos="1440"/>
        </w:tabs>
        <w:ind w:left="1440"/>
        <w:rPr>
          <w:rFonts w:ascii="Times New Roman" w:hAnsi="Times New Roman"/>
          <w:b/>
        </w:rPr>
      </w:pPr>
      <w:r w:rsidRPr="00BC7F42">
        <w:rPr>
          <w:rFonts w:ascii="Times New Roman" w:hAnsi="Times New Roman"/>
          <w:b/>
        </w:rPr>
        <w:lastRenderedPageBreak/>
        <w:t xml:space="preserve">Why </w:t>
      </w:r>
      <w:r>
        <w:rPr>
          <w:rFonts w:ascii="Times New Roman" w:hAnsi="Times New Roman"/>
          <w:b/>
        </w:rPr>
        <w:t>We Cannot Use Duplicate Information</w:t>
      </w:r>
    </w:p>
    <w:p w:rsidRPr="007A7231" w:rsidR="008E1A2B" w:rsidP="00E37AFF" w:rsidRDefault="00D94533" w14:paraId="72150EDF" w14:textId="77777777">
      <w:pPr>
        <w:tabs>
          <w:tab w:val="num" w:pos="1440"/>
        </w:tabs>
        <w:ind w:left="1440"/>
        <w:rPr>
          <w:rFonts w:ascii="Times New Roman" w:hAnsi="Times New Roman"/>
        </w:rPr>
      </w:pPr>
      <w:r w:rsidRPr="00126027">
        <w:rPr>
          <w:rFonts w:ascii="Times New Roman" w:hAnsi="Times New Roman"/>
        </w:rPr>
        <w:t>The nature of the information we collect and th</w:t>
      </w:r>
      <w:r w:rsidR="00246C16">
        <w:rPr>
          <w:rFonts w:ascii="Times New Roman" w:hAnsi="Times New Roman"/>
        </w:rPr>
        <w:t xml:space="preserve">e manner in which we collect it </w:t>
      </w:r>
      <w:r w:rsidRPr="00126027">
        <w:rPr>
          <w:rFonts w:ascii="Times New Roman" w:hAnsi="Times New Roman"/>
        </w:rPr>
        <w:t>precludes duplication.  SSA does not use another collection instrument to obtain similar data</w:t>
      </w:r>
      <w:r>
        <w:rPr>
          <w:rFonts w:ascii="Times New Roman" w:hAnsi="Times New Roman"/>
        </w:rPr>
        <w:t>.</w:t>
      </w:r>
    </w:p>
    <w:p w:rsidRPr="00BC7F42" w:rsidR="00667175" w:rsidP="00E37AFF" w:rsidRDefault="00667175" w14:paraId="2CE865CB" w14:textId="77777777">
      <w:pPr>
        <w:pStyle w:val="Header"/>
        <w:tabs>
          <w:tab w:val="clear" w:pos="4320"/>
          <w:tab w:val="clear" w:pos="8640"/>
          <w:tab w:val="num" w:pos="1440"/>
        </w:tabs>
        <w:ind w:left="1440"/>
        <w:rPr>
          <w:rFonts w:ascii="Times New Roman" w:hAnsi="Times New Roman"/>
        </w:rPr>
      </w:pPr>
    </w:p>
    <w:p w:rsidRPr="00077E0E" w:rsidR="008E1A2B" w:rsidP="00E37AFF" w:rsidRDefault="008E1A2B" w14:paraId="6A95DC0F" w14:textId="77777777">
      <w:pPr>
        <w:numPr>
          <w:ilvl w:val="0"/>
          <w:numId w:val="1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8E1A2B" w:rsidP="00E37AFF" w:rsidRDefault="008E1A2B" w14:paraId="122817F3" w14:textId="77777777">
      <w:pPr>
        <w:tabs>
          <w:tab w:val="left" w:pos="0"/>
          <w:tab w:val="num" w:pos="1440"/>
        </w:tabs>
        <w:suppressAutoHyphens/>
        <w:ind w:left="1440"/>
        <w:rPr>
          <w:rFonts w:ascii="Times New Roman" w:hAnsi="Times New Roman"/>
        </w:rPr>
      </w:pPr>
      <w:r>
        <w:rPr>
          <w:rFonts w:ascii="Times New Roman" w:hAnsi="Times New Roman"/>
        </w:rPr>
        <w:t>The collection does not significant</w:t>
      </w:r>
      <w:r w:rsidR="00844816">
        <w:rPr>
          <w:rFonts w:ascii="Times New Roman" w:hAnsi="Times New Roman"/>
        </w:rPr>
        <w:t>ly</w:t>
      </w:r>
      <w:r>
        <w:rPr>
          <w:rFonts w:ascii="Times New Roman" w:hAnsi="Times New Roman"/>
        </w:rPr>
        <w:t xml:space="preserve"> </w:t>
      </w:r>
      <w:r w:rsidR="00844816">
        <w:rPr>
          <w:rFonts w:ascii="Times New Roman" w:hAnsi="Times New Roman"/>
        </w:rPr>
        <w:t>affect</w:t>
      </w:r>
      <w:r>
        <w:rPr>
          <w:rFonts w:ascii="Times New Roman" w:hAnsi="Times New Roman"/>
        </w:rPr>
        <w:t xml:space="preserve"> small businesses or other small entities.</w:t>
      </w:r>
    </w:p>
    <w:p w:rsidRPr="00077E0E" w:rsidR="008E1A2B" w:rsidP="00E37AFF" w:rsidRDefault="008E1A2B" w14:paraId="272B795B" w14:textId="77777777">
      <w:pPr>
        <w:tabs>
          <w:tab w:val="num" w:pos="1440"/>
        </w:tabs>
        <w:ind w:left="1440"/>
        <w:rPr>
          <w:rFonts w:ascii="Times New Roman" w:hAnsi="Times New Roman"/>
          <w:b/>
          <w:u w:val="single"/>
        </w:rPr>
      </w:pPr>
    </w:p>
    <w:p w:rsidR="008E1A2B" w:rsidP="00E37AFF" w:rsidRDefault="008E1A2B" w14:paraId="49DB54C0" w14:textId="77777777">
      <w:pPr>
        <w:tabs>
          <w:tab w:val="left" w:pos="0"/>
          <w:tab w:val="num" w:pos="1440"/>
        </w:tabs>
        <w:suppressAutoHyphen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Consequence of Not Collecting Information or Collecting it Less Frequently</w:t>
      </w:r>
    </w:p>
    <w:p w:rsidR="008E1A2B" w:rsidP="00E37AFF" w:rsidRDefault="00922354" w14:paraId="7E4F2888" w14:textId="77777777">
      <w:pPr>
        <w:tabs>
          <w:tab w:val="left" w:pos="0"/>
          <w:tab w:val="num" w:pos="1440"/>
        </w:tabs>
        <w:suppressAutoHyphens/>
        <w:ind w:left="1440"/>
        <w:rPr>
          <w:rFonts w:ascii="Times New Roman" w:hAnsi="Times New Roman"/>
        </w:rPr>
      </w:pPr>
      <w:r>
        <w:rPr>
          <w:rFonts w:ascii="Times New Roman" w:hAnsi="Times New Roman"/>
        </w:rPr>
        <w:t xml:space="preserve">If </w:t>
      </w:r>
      <w:r w:rsidR="00A30A8A">
        <w:rPr>
          <w:rFonts w:ascii="Times New Roman" w:hAnsi="Times New Roman"/>
        </w:rPr>
        <w:t>we</w:t>
      </w:r>
      <w:r w:rsidR="00045030">
        <w:rPr>
          <w:rFonts w:ascii="Times New Roman" w:hAnsi="Times New Roman"/>
        </w:rPr>
        <w:t xml:space="preserve"> did not collect this information</w:t>
      </w:r>
      <w:r w:rsidR="006C0E06">
        <w:rPr>
          <w:rFonts w:ascii="Times New Roman" w:hAnsi="Times New Roman"/>
        </w:rPr>
        <w:t xml:space="preserve">, </w:t>
      </w:r>
      <w:r w:rsidR="00045030">
        <w:rPr>
          <w:rFonts w:ascii="Times New Roman" w:hAnsi="Times New Roman"/>
        </w:rPr>
        <w:t>we</w:t>
      </w:r>
      <w:r w:rsidR="008E1A2B">
        <w:rPr>
          <w:rFonts w:ascii="Times New Roman" w:hAnsi="Times New Roman"/>
        </w:rPr>
        <w:t xml:space="preserve"> would not be able to</w:t>
      </w:r>
      <w:r w:rsidRPr="00E304E6" w:rsidR="008E1A2B">
        <w:rPr>
          <w:rFonts w:ascii="Times New Roman" w:hAnsi="Times New Roman"/>
        </w:rPr>
        <w:t xml:space="preserve"> </w:t>
      </w:r>
      <w:r w:rsidR="008E1A2B">
        <w:rPr>
          <w:rFonts w:ascii="Times New Roman" w:hAnsi="Times New Roman"/>
        </w:rPr>
        <w:t>determine if the receipt of other Federal benefits permits or bars the granting of gratuitous wage credits</w:t>
      </w:r>
      <w:r w:rsidR="004A17BF">
        <w:rPr>
          <w:rFonts w:ascii="Times New Roman" w:hAnsi="Times New Roman"/>
        </w:rPr>
        <w:t>,</w:t>
      </w:r>
      <w:r w:rsidR="008E1A2B">
        <w:rPr>
          <w:rFonts w:ascii="Times New Roman" w:hAnsi="Times New Roman"/>
        </w:rPr>
        <w:t xml:space="preserve"> in accordance with applicable laws and regulations.  </w:t>
      </w:r>
      <w:r w:rsidR="004A17BF">
        <w:rPr>
          <w:rFonts w:ascii="Times New Roman" w:hAnsi="Times New Roman"/>
        </w:rPr>
        <w:t>Because we</w:t>
      </w:r>
      <w:r w:rsidR="002F6DD2">
        <w:rPr>
          <w:rFonts w:ascii="Times New Roman" w:hAnsi="Times New Roman"/>
        </w:rPr>
        <w:t xml:space="preserve"> collect</w:t>
      </w:r>
      <w:r w:rsidR="004A17BF">
        <w:rPr>
          <w:rFonts w:ascii="Times New Roman" w:hAnsi="Times New Roman"/>
        </w:rPr>
        <w:t xml:space="preserve"> </w:t>
      </w:r>
      <w:r w:rsidR="002F6DD2">
        <w:rPr>
          <w:rFonts w:ascii="Times New Roman" w:hAnsi="Times New Roman"/>
        </w:rPr>
        <w:t xml:space="preserve">this information </w:t>
      </w:r>
      <w:r w:rsidR="004A17BF">
        <w:rPr>
          <w:rFonts w:ascii="Times New Roman" w:hAnsi="Times New Roman"/>
        </w:rPr>
        <w:t>on an as needed basis</w:t>
      </w:r>
      <w:r w:rsidR="002F6DD2">
        <w:rPr>
          <w:rFonts w:ascii="Times New Roman" w:hAnsi="Times New Roman"/>
        </w:rPr>
        <w:t xml:space="preserve">, we cannot collect it less frequently.  </w:t>
      </w:r>
      <w:r w:rsidR="008E1A2B">
        <w:rPr>
          <w:rFonts w:ascii="Times New Roman" w:hAnsi="Times New Roman"/>
        </w:rPr>
        <w:t xml:space="preserve">There are no technical or legal obstacles that prevent burden reduction.  </w:t>
      </w:r>
    </w:p>
    <w:p w:rsidRPr="00BC7F42" w:rsidR="008E1A2B" w:rsidP="00E37AFF" w:rsidRDefault="008E1A2B" w14:paraId="3DD2E0FE" w14:textId="77777777">
      <w:pPr>
        <w:tabs>
          <w:tab w:val="num" w:pos="1440"/>
        </w:tabs>
        <w:ind w:left="1440"/>
        <w:rPr>
          <w:rFonts w:ascii="Times New Roman" w:hAnsi="Times New Roman"/>
        </w:rPr>
      </w:pPr>
    </w:p>
    <w:p w:rsidR="008E1A2B" w:rsidP="00E37AFF" w:rsidRDefault="008E1A2B" w14:paraId="5E0E4637"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5C7883" w:rsidR="008E1A2B" w:rsidP="00E37AFF" w:rsidRDefault="008E1A2B" w14:paraId="64A892EE"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5C7883">
        <w:rPr>
          <w:rFonts w:ascii="Times New Roman" w:hAnsi="Times New Roman"/>
          <w:b w:val="0"/>
          <w:i w:val="0"/>
        </w:rPr>
        <w:t xml:space="preserve">There are no special circumstances that would cause SSA to conduct this information collection in a manner inconsistent with </w:t>
      </w:r>
      <w:r w:rsidRPr="002A0CE4">
        <w:rPr>
          <w:rFonts w:ascii="Times New Roman" w:hAnsi="Times New Roman"/>
          <w:b w:val="0"/>
        </w:rPr>
        <w:t>5 CFR 1320.5</w:t>
      </w:r>
      <w:r w:rsidRPr="005C7883">
        <w:rPr>
          <w:rFonts w:ascii="Times New Roman" w:hAnsi="Times New Roman"/>
          <w:b w:val="0"/>
          <w:i w:val="0"/>
        </w:rPr>
        <w:t>.</w:t>
      </w:r>
    </w:p>
    <w:p w:rsidRPr="00BC7F42" w:rsidR="008E1A2B" w:rsidP="00E37AFF" w:rsidRDefault="008E1A2B" w14:paraId="3219A454" w14:textId="77777777">
      <w:pPr>
        <w:tabs>
          <w:tab w:val="num" w:pos="1440"/>
        </w:tabs>
        <w:ind w:left="1440"/>
        <w:rPr>
          <w:rFonts w:ascii="Times New Roman" w:hAnsi="Times New Roman"/>
          <w:b/>
          <w:i/>
        </w:rPr>
      </w:pPr>
    </w:p>
    <w:p w:rsidR="008E1A2B" w:rsidP="00E37AFF" w:rsidRDefault="008E1A2B" w14:paraId="1CC20BA0" w14:textId="77777777">
      <w:pPr>
        <w:numPr>
          <w:ilvl w:val="0"/>
          <w:numId w:val="13"/>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Pr="008B5096" w:rsidR="005C3B23" w:rsidP="00C65309" w:rsidRDefault="00B94317" w14:paraId="5B44BC2F" w14:textId="4888DD2D">
      <w:pPr>
        <w:tabs>
          <w:tab w:val="left" w:pos="-720"/>
          <w:tab w:val="num" w:pos="1440"/>
        </w:tabs>
        <w:suppressAutoHyphens/>
        <w:ind w:left="1440"/>
        <w:rPr>
          <w:rFonts w:ascii="Times New Roman" w:hAnsi="Times New Roman"/>
          <w:color w:val="000000"/>
          <w:u w:val="single"/>
        </w:rPr>
      </w:pPr>
      <w:r w:rsidRPr="00B94317">
        <w:rPr>
          <w:rFonts w:ascii="Times New Roman" w:hAnsi="Times New Roman"/>
          <w:bCs/>
          <w:color w:val="000000"/>
          <w:lang w:bidi="en-US"/>
        </w:rPr>
        <w:t>The 60-day advance Federal Register Notice published on March 10, 2022, at 87 FR 13783, and we received no public comments.  The 30-day FRN published on May 24, 2022, at 87 FR 31598.  If we receive any comments in response to this Notice, we will forward them to OMB</w:t>
      </w:r>
      <w:r w:rsidRPr="007C213F" w:rsidR="007C213F">
        <w:rPr>
          <w:rFonts w:ascii="Times New Roman" w:hAnsi="Times New Roman"/>
          <w:color w:val="000000"/>
        </w:rPr>
        <w:t>.</w:t>
      </w:r>
    </w:p>
    <w:p w:rsidRPr="002A0CE4" w:rsidR="008E1A2B" w:rsidP="00E37AFF" w:rsidRDefault="008F20FD" w14:paraId="76F446B7" w14:textId="77777777">
      <w:pPr>
        <w:tabs>
          <w:tab w:val="left" w:pos="-720"/>
          <w:tab w:val="num" w:pos="1440"/>
        </w:tabs>
        <w:suppressAutoHyphens/>
        <w:ind w:left="1440"/>
        <w:rPr>
          <w:rFonts w:ascii="Times New Roman" w:hAnsi="Times New Roman"/>
          <w:u w:val="single"/>
        </w:rPr>
      </w:pPr>
      <w:r>
        <w:rPr>
          <w:rFonts w:ascii="Times New Roman" w:hAnsi="Times New Roman"/>
          <w:u w:val="single"/>
        </w:rPr>
        <w:t xml:space="preserve"> </w:t>
      </w:r>
    </w:p>
    <w:p w:rsidR="008E1A2B" w:rsidP="00E37AFF" w:rsidRDefault="008E1A2B" w14:paraId="1449CD0C"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5C7883" w:rsidR="008E1A2B" w:rsidP="00E37AFF" w:rsidRDefault="008E1A2B" w14:paraId="6E4C14DB" w14:textId="77777777">
      <w:pPr>
        <w:tabs>
          <w:tab w:val="num" w:pos="1440"/>
        </w:tabs>
        <w:ind w:left="1440"/>
        <w:rPr>
          <w:rFonts w:ascii="Times New Roman" w:hAnsi="Times New Roman"/>
        </w:rPr>
      </w:pPr>
      <w:r w:rsidRPr="005C7883">
        <w:rPr>
          <w:rFonts w:ascii="Times New Roman" w:hAnsi="Times New Roman"/>
        </w:rPr>
        <w:t xml:space="preserve">SSA does not provide payments or gifts to the respondents. </w:t>
      </w:r>
    </w:p>
    <w:p w:rsidRPr="00BC7F42" w:rsidR="008E1A2B" w:rsidP="00E37AFF" w:rsidRDefault="008E1A2B" w14:paraId="77C90B0B" w14:textId="77777777">
      <w:pPr>
        <w:tabs>
          <w:tab w:val="num" w:pos="1440"/>
        </w:tabs>
        <w:ind w:left="1440"/>
        <w:rPr>
          <w:rFonts w:ascii="Times New Roman" w:hAnsi="Times New Roman"/>
        </w:rPr>
      </w:pPr>
    </w:p>
    <w:p w:rsidR="008E1A2B" w:rsidP="00E37AFF" w:rsidRDefault="008E1A2B" w14:paraId="76B99E01"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122FA4" w:rsidR="008E1A2B" w:rsidP="00E37AFF" w:rsidRDefault="008E1A2B" w14:paraId="49EF73B0" w14:textId="77777777">
      <w:pPr>
        <w:tabs>
          <w:tab w:val="num" w:pos="1440"/>
        </w:tabs>
        <w:ind w:left="1440"/>
        <w:rPr>
          <w:rFonts w:ascii="Times New Roman" w:hAnsi="Times New Roman"/>
        </w:rPr>
      </w:pPr>
      <w:r w:rsidRPr="00122FA4">
        <w:rPr>
          <w:rFonts w:ascii="Times New Roman" w:hAnsi="Times New Roman"/>
        </w:rPr>
        <w:t xml:space="preserve">SSA protects and holds confidential the information it collects in accordance with </w:t>
      </w:r>
      <w:r w:rsidRPr="002A0CE4">
        <w:rPr>
          <w:rFonts w:ascii="Times New Roman" w:hAnsi="Times New Roman"/>
          <w:i/>
        </w:rPr>
        <w:t>42 U.S.C. 1306, 20 CFR 401</w:t>
      </w:r>
      <w:r w:rsidRPr="00122FA4">
        <w:rPr>
          <w:rFonts w:ascii="Times New Roman" w:hAnsi="Times New Roman"/>
        </w:rPr>
        <w:t xml:space="preserve"> and </w:t>
      </w:r>
      <w:r w:rsidRPr="002A0CE4">
        <w:rPr>
          <w:rFonts w:ascii="Times New Roman" w:hAnsi="Times New Roman"/>
          <w:i/>
        </w:rPr>
        <w:t>402, 5 U.S.C. 552</w:t>
      </w:r>
      <w:r w:rsidRPr="00122FA4">
        <w:rPr>
          <w:rFonts w:ascii="Times New Roman" w:hAnsi="Times New Roman"/>
        </w:rPr>
        <w:t xml:space="preserve"> (Freedom of Information Act), </w:t>
      </w:r>
      <w:r w:rsidRPr="002A0CE4">
        <w:rPr>
          <w:rFonts w:ascii="Times New Roman" w:hAnsi="Times New Roman"/>
          <w:i/>
        </w:rPr>
        <w:t>5 U.S.C. 552a</w:t>
      </w:r>
      <w:r w:rsidRPr="00122FA4">
        <w:rPr>
          <w:rFonts w:ascii="Times New Roman" w:hAnsi="Times New Roman"/>
        </w:rPr>
        <w:t xml:space="preserve"> (Privacy Act of 1974), and OMB Circular No. A-130</w:t>
      </w:r>
      <w:r w:rsidRPr="00122FA4">
        <w:rPr>
          <w:rFonts w:ascii="Times New Roman" w:hAnsi="Times New Roman"/>
          <w:color w:val="0000FF"/>
        </w:rPr>
        <w:t>.</w:t>
      </w:r>
    </w:p>
    <w:p w:rsidRPr="00BC7F42" w:rsidR="008E1A2B" w:rsidP="00E37AFF" w:rsidRDefault="008E1A2B" w14:paraId="0236135D" w14:textId="77777777">
      <w:pPr>
        <w:pStyle w:val="Header"/>
        <w:tabs>
          <w:tab w:val="clear" w:pos="4320"/>
          <w:tab w:val="clear" w:pos="8640"/>
          <w:tab w:val="num" w:pos="1440"/>
        </w:tabs>
        <w:ind w:left="1440"/>
        <w:rPr>
          <w:rFonts w:ascii="Times New Roman" w:hAnsi="Times New Roman"/>
        </w:rPr>
      </w:pPr>
    </w:p>
    <w:p w:rsidR="008E1A2B" w:rsidP="00E37AFF" w:rsidRDefault="008E1A2B" w14:paraId="6F9183E4"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4937D6" w:rsidR="008E1A2B" w:rsidP="00E37AFF" w:rsidRDefault="008E1A2B" w14:paraId="3C7DA90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4937D6">
        <w:rPr>
          <w:rFonts w:ascii="Times New Roman" w:hAnsi="Times New Roman"/>
          <w:b w:val="0"/>
          <w:i w:val="0"/>
        </w:rPr>
        <w:t>The information collection does not contain any questions of a sensitive nature.</w:t>
      </w:r>
    </w:p>
    <w:p w:rsidRPr="00BC7F42" w:rsidR="008E1A2B" w:rsidP="00E37AFF" w:rsidRDefault="008E1A2B" w14:paraId="3BC980C7" w14:textId="77777777">
      <w:pPr>
        <w:tabs>
          <w:tab w:val="num" w:pos="1440"/>
        </w:tabs>
        <w:ind w:left="1440"/>
        <w:rPr>
          <w:rFonts w:ascii="Times New Roman" w:hAnsi="Times New Roman"/>
        </w:rPr>
      </w:pPr>
    </w:p>
    <w:p w:rsidR="008E1A2B" w:rsidP="00E37AFF" w:rsidRDefault="008E1A2B" w14:paraId="3C5E1DF9" w14:textId="2FC07DC2">
      <w:pPr>
        <w:numPr>
          <w:ilvl w:val="0"/>
          <w:numId w:val="13"/>
        </w:numPr>
        <w:tabs>
          <w:tab w:val="clear" w:pos="720"/>
          <w:tab w:val="num" w:pos="1440"/>
        </w:tabs>
        <w:ind w:left="1440"/>
        <w:rPr>
          <w:rFonts w:ascii="Times New Roman" w:hAnsi="Times New Roman"/>
          <w:b/>
        </w:rPr>
      </w:pPr>
      <w:r w:rsidRPr="00E57100">
        <w:rPr>
          <w:rFonts w:ascii="Times New Roman" w:hAnsi="Times New Roman"/>
          <w:b/>
        </w:rPr>
        <w:t>Estimates of Public Reporting Burden</w:t>
      </w:r>
    </w:p>
    <w:p w:rsidRPr="00047298" w:rsidR="00047298" w:rsidP="00047298" w:rsidRDefault="00047298" w14:paraId="06A54CED" w14:textId="33BDE83C">
      <w:pPr>
        <w:ind w:left="1440"/>
        <w:rPr>
          <w:rFonts w:ascii="Times New Roman" w:hAnsi="Times New Roman"/>
          <w:bCs/>
        </w:rPr>
      </w:pPr>
      <w:r w:rsidRPr="00047298">
        <w:rPr>
          <w:rFonts w:ascii="Times New Roman" w:hAnsi="Times New Roman"/>
          <w:bCs/>
        </w:rPr>
        <w:t>Please see the burden chart below:</w:t>
      </w:r>
    </w:p>
    <w:p w:rsidR="00047298" w:rsidP="00047298" w:rsidRDefault="00047298" w14:paraId="1B4202B8" w14:textId="4E6F1779">
      <w:pPr>
        <w:ind w:left="1440"/>
        <w:rPr>
          <w:rFonts w:ascii="Times New Roman" w:hAnsi="Times New Roman"/>
          <w:b/>
        </w:rPr>
      </w:pPr>
    </w:p>
    <w:tbl>
      <w:tblPr>
        <w:tblW w:w="11264"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1"/>
        <w:gridCol w:w="1523"/>
        <w:gridCol w:w="1310"/>
        <w:gridCol w:w="1190"/>
        <w:gridCol w:w="1256"/>
        <w:gridCol w:w="1389"/>
        <w:gridCol w:w="1455"/>
        <w:gridCol w:w="1510"/>
      </w:tblGrid>
      <w:tr w:rsidRPr="00047298" w:rsidR="00047298" w:rsidTr="00047298" w14:paraId="08C9BEC3" w14:textId="77777777">
        <w:trPr>
          <w:trHeight w:val="1584"/>
        </w:trPr>
        <w:tc>
          <w:tcPr>
            <w:tcW w:w="1631" w:type="dxa"/>
          </w:tcPr>
          <w:p w:rsidRPr="00047298" w:rsidR="00047298" w:rsidP="00047298" w:rsidRDefault="00047298" w14:paraId="50642779" w14:textId="77777777">
            <w:pPr>
              <w:widowControl/>
              <w:suppressAutoHyphens/>
              <w:rPr>
                <w:rFonts w:ascii="Times New Roman" w:hAnsi="Times New Roman" w:eastAsia="SimSun"/>
                <w:b/>
                <w:snapToGrid/>
                <w:lang w:eastAsia="ar-SA"/>
              </w:rPr>
            </w:pPr>
            <w:bookmarkStart w:name="_Hlk86390072" w:id="0"/>
            <w:r w:rsidRPr="00047298">
              <w:rPr>
                <w:rFonts w:ascii="Times New Roman" w:hAnsi="Times New Roman" w:eastAsia="SimSun"/>
                <w:b/>
                <w:snapToGrid/>
                <w:lang w:eastAsia="ar-SA"/>
              </w:rPr>
              <w:t>Modality of Completion</w:t>
            </w:r>
          </w:p>
        </w:tc>
        <w:tc>
          <w:tcPr>
            <w:tcW w:w="1523" w:type="dxa"/>
            <w:shd w:val="clear" w:color="auto" w:fill="auto"/>
          </w:tcPr>
          <w:p w:rsidRPr="00047298" w:rsidR="00047298" w:rsidP="00047298" w:rsidRDefault="00047298" w14:paraId="2D4B1BDC" w14:textId="77777777">
            <w:pPr>
              <w:widowControl/>
              <w:suppressAutoHyphens/>
              <w:snapToGrid w:val="0"/>
              <w:rPr>
                <w:rFonts w:ascii="Times New Roman" w:hAnsi="Times New Roman" w:eastAsia="SimSun"/>
                <w:b/>
                <w:snapToGrid/>
                <w:lang w:eastAsia="ar-SA"/>
              </w:rPr>
            </w:pPr>
            <w:r w:rsidRPr="00047298">
              <w:rPr>
                <w:rFonts w:ascii="Times New Roman" w:hAnsi="Times New Roman" w:eastAsia="SimSun"/>
                <w:b/>
                <w:snapToGrid/>
                <w:lang w:eastAsia="ar-SA"/>
              </w:rPr>
              <w:t xml:space="preserve">Number of </w:t>
            </w:r>
          </w:p>
          <w:p w:rsidRPr="00047298" w:rsidR="00047298" w:rsidP="00047298" w:rsidRDefault="00047298" w14:paraId="357884AA" w14:textId="77777777">
            <w:pPr>
              <w:widowControl/>
              <w:suppressAutoHyphens/>
              <w:rPr>
                <w:rFonts w:ascii="Times New Roman" w:hAnsi="Times New Roman" w:eastAsia="SimSun"/>
                <w:b/>
                <w:snapToGrid/>
                <w:lang w:eastAsia="ar-SA"/>
              </w:rPr>
            </w:pPr>
            <w:r w:rsidRPr="00047298">
              <w:rPr>
                <w:rFonts w:ascii="Times New Roman" w:hAnsi="Times New Roman" w:eastAsia="SimSun"/>
                <w:b/>
                <w:snapToGrid/>
                <w:lang w:eastAsia="ar-SA"/>
              </w:rPr>
              <w:t>Respondents</w:t>
            </w:r>
          </w:p>
        </w:tc>
        <w:tc>
          <w:tcPr>
            <w:tcW w:w="1310" w:type="dxa"/>
            <w:shd w:val="clear" w:color="auto" w:fill="auto"/>
          </w:tcPr>
          <w:p w:rsidRPr="00047298" w:rsidR="00047298" w:rsidP="00047298" w:rsidRDefault="00047298" w14:paraId="6B863B02" w14:textId="77777777">
            <w:pPr>
              <w:widowControl/>
              <w:suppressAutoHyphens/>
              <w:rPr>
                <w:rFonts w:ascii="Times New Roman" w:hAnsi="Times New Roman" w:eastAsia="SimSun"/>
                <w:b/>
                <w:snapToGrid/>
                <w:lang w:eastAsia="ar-SA"/>
              </w:rPr>
            </w:pPr>
            <w:r w:rsidRPr="00047298">
              <w:rPr>
                <w:rFonts w:ascii="Times New Roman" w:hAnsi="Times New Roman" w:eastAsia="SimSun"/>
                <w:b/>
                <w:snapToGrid/>
                <w:lang w:eastAsia="ar-SA"/>
              </w:rPr>
              <w:t>Frequency of Response</w:t>
            </w:r>
          </w:p>
        </w:tc>
        <w:tc>
          <w:tcPr>
            <w:tcW w:w="1190" w:type="dxa"/>
            <w:shd w:val="clear" w:color="auto" w:fill="auto"/>
          </w:tcPr>
          <w:p w:rsidRPr="00047298" w:rsidR="00047298" w:rsidP="00047298" w:rsidRDefault="00047298" w14:paraId="17929FFC" w14:textId="77777777">
            <w:pPr>
              <w:widowControl/>
              <w:suppressAutoHyphens/>
              <w:rPr>
                <w:rFonts w:ascii="Times New Roman" w:hAnsi="Times New Roman" w:eastAsia="SimSun"/>
                <w:b/>
                <w:snapToGrid/>
                <w:lang w:eastAsia="ar-SA"/>
              </w:rPr>
            </w:pPr>
            <w:r w:rsidRPr="00047298">
              <w:rPr>
                <w:rFonts w:ascii="Times New Roman" w:hAnsi="Times New Roman" w:eastAsia="SimSun"/>
                <w:b/>
                <w:snapToGrid/>
                <w:lang w:eastAsia="ar-SA"/>
              </w:rPr>
              <w:t>Average Burden Per Response  (minutes)</w:t>
            </w:r>
          </w:p>
        </w:tc>
        <w:tc>
          <w:tcPr>
            <w:tcW w:w="1256" w:type="dxa"/>
            <w:shd w:val="clear" w:color="auto" w:fill="auto"/>
          </w:tcPr>
          <w:p w:rsidRPr="00047298" w:rsidR="00047298" w:rsidP="00047298" w:rsidRDefault="00047298" w14:paraId="6F103B85" w14:textId="77777777">
            <w:pPr>
              <w:widowControl/>
              <w:suppressAutoHyphens/>
              <w:rPr>
                <w:rFonts w:ascii="Times New Roman" w:hAnsi="Times New Roman" w:eastAsia="SimSun"/>
                <w:b/>
                <w:snapToGrid/>
                <w:lang w:eastAsia="ar-SA"/>
              </w:rPr>
            </w:pPr>
            <w:r w:rsidRPr="00047298">
              <w:rPr>
                <w:rFonts w:ascii="Times New Roman" w:hAnsi="Times New Roman" w:eastAsia="SimSun"/>
                <w:b/>
                <w:snapToGrid/>
                <w:lang w:eastAsia="ar-SA"/>
              </w:rPr>
              <w:t>Estimated Total Annual Burden  (hours)</w:t>
            </w:r>
          </w:p>
        </w:tc>
        <w:tc>
          <w:tcPr>
            <w:tcW w:w="1389" w:type="dxa"/>
          </w:tcPr>
          <w:p w:rsidRPr="00047298" w:rsidR="00047298" w:rsidP="00047298" w:rsidRDefault="00047298" w14:paraId="5CC84743" w14:textId="77777777">
            <w:pPr>
              <w:widowControl/>
              <w:suppressAutoHyphens/>
              <w:rPr>
                <w:rFonts w:ascii="Times New Roman" w:hAnsi="Times New Roman" w:eastAsia="SimSun"/>
                <w:b/>
                <w:snapToGrid/>
                <w:lang w:eastAsia="ar-SA"/>
              </w:rPr>
            </w:pPr>
            <w:r w:rsidRPr="00047298">
              <w:rPr>
                <w:rFonts w:ascii="Times New Roman" w:hAnsi="Times New Roman" w:eastAsia="SimSun"/>
                <w:b/>
                <w:snapToGrid/>
                <w:lang w:eastAsia="ar-SA"/>
              </w:rPr>
              <w:t>Average Theoretical Hourly Cost Amount (dollars)*</w:t>
            </w:r>
          </w:p>
        </w:tc>
        <w:tc>
          <w:tcPr>
            <w:tcW w:w="1455" w:type="dxa"/>
          </w:tcPr>
          <w:p w:rsidRPr="00047298" w:rsidR="00047298" w:rsidP="00047298" w:rsidRDefault="00047298" w14:paraId="0A62CF8D" w14:textId="77777777">
            <w:pPr>
              <w:widowControl/>
              <w:suppressAutoHyphens/>
              <w:rPr>
                <w:rFonts w:ascii="Times New Roman" w:hAnsi="Times New Roman" w:eastAsia="SimSun"/>
                <w:b/>
                <w:snapToGrid/>
                <w:lang w:eastAsia="ar-SA"/>
              </w:rPr>
            </w:pPr>
            <w:r w:rsidRPr="00047298">
              <w:rPr>
                <w:rFonts w:ascii="Times New Roman" w:hAnsi="Times New Roman" w:eastAsia="SimSun"/>
                <w:b/>
                <w:snapToGrid/>
                <w:lang w:eastAsia="ar-SA"/>
              </w:rPr>
              <w:t>Average Wait Time in Field Office (minutes)**</w:t>
            </w:r>
          </w:p>
        </w:tc>
        <w:tc>
          <w:tcPr>
            <w:tcW w:w="1510" w:type="dxa"/>
          </w:tcPr>
          <w:p w:rsidRPr="00047298" w:rsidR="00047298" w:rsidP="00047298" w:rsidRDefault="00047298" w14:paraId="0BC11184" w14:textId="77777777">
            <w:pPr>
              <w:widowControl/>
              <w:suppressAutoHyphens/>
              <w:rPr>
                <w:rFonts w:ascii="Times New Roman" w:hAnsi="Times New Roman" w:eastAsia="SimSun"/>
                <w:b/>
                <w:snapToGrid/>
                <w:lang w:eastAsia="ar-SA"/>
              </w:rPr>
            </w:pPr>
            <w:r w:rsidRPr="00047298">
              <w:rPr>
                <w:rFonts w:ascii="Times New Roman" w:hAnsi="Times New Roman" w:eastAsia="SimSun"/>
                <w:b/>
                <w:snapToGrid/>
                <w:lang w:eastAsia="ar-SA"/>
              </w:rPr>
              <w:t>Total Annual Opportunity Cost (dollars)***</w:t>
            </w:r>
          </w:p>
        </w:tc>
      </w:tr>
      <w:tr w:rsidRPr="00047298" w:rsidR="00047298" w:rsidTr="00047298" w14:paraId="7FACE80F" w14:textId="77777777">
        <w:trPr>
          <w:trHeight w:val="252"/>
        </w:trPr>
        <w:tc>
          <w:tcPr>
            <w:tcW w:w="1631" w:type="dxa"/>
            <w:shd w:val="clear" w:color="auto" w:fill="auto"/>
          </w:tcPr>
          <w:p w:rsidRPr="00047298" w:rsidR="00047298" w:rsidP="00047298" w:rsidRDefault="00047298" w14:paraId="3EA7EF18" w14:textId="77777777">
            <w:pPr>
              <w:widowControl/>
              <w:suppressAutoHyphens/>
              <w:rPr>
                <w:rFonts w:ascii="Times New Roman" w:hAnsi="Times New Roman" w:eastAsia="SimSun"/>
                <w:snapToGrid/>
                <w:lang w:eastAsia="ar-SA"/>
              </w:rPr>
            </w:pPr>
            <w:r w:rsidRPr="00047298">
              <w:rPr>
                <w:rFonts w:ascii="Times New Roman" w:hAnsi="Times New Roman" w:eastAsia="SimSun"/>
                <w:snapToGrid/>
                <w:lang w:eastAsia="zh-CN"/>
              </w:rPr>
              <w:lastRenderedPageBreak/>
              <w:t>SSA-2512</w:t>
            </w:r>
          </w:p>
        </w:tc>
        <w:tc>
          <w:tcPr>
            <w:tcW w:w="1523" w:type="dxa"/>
            <w:shd w:val="clear" w:color="auto" w:fill="auto"/>
          </w:tcPr>
          <w:p w:rsidRPr="00047298" w:rsidR="00047298" w:rsidP="00047298" w:rsidRDefault="00047298" w14:paraId="4B8C44A9" w14:textId="77777777">
            <w:pPr>
              <w:widowControl/>
              <w:suppressAutoHyphens/>
              <w:jc w:val="right"/>
              <w:rPr>
                <w:rFonts w:ascii="Times New Roman" w:hAnsi="Times New Roman" w:eastAsia="SimSun"/>
                <w:snapToGrid/>
                <w:lang w:eastAsia="ar-SA"/>
              </w:rPr>
            </w:pPr>
            <w:r w:rsidRPr="00047298">
              <w:rPr>
                <w:rFonts w:ascii="Times New Roman" w:hAnsi="Times New Roman" w:eastAsia="SimSun"/>
                <w:snapToGrid/>
                <w:lang w:eastAsia="zh-CN"/>
              </w:rPr>
              <w:t>5,000</w:t>
            </w:r>
          </w:p>
        </w:tc>
        <w:tc>
          <w:tcPr>
            <w:tcW w:w="1310" w:type="dxa"/>
            <w:shd w:val="clear" w:color="auto" w:fill="auto"/>
          </w:tcPr>
          <w:p w:rsidRPr="00047298" w:rsidR="00047298" w:rsidP="00047298" w:rsidRDefault="00047298" w14:paraId="5F32D22C" w14:textId="77777777">
            <w:pPr>
              <w:widowControl/>
              <w:suppressAutoHyphens/>
              <w:jc w:val="right"/>
              <w:rPr>
                <w:rFonts w:ascii="Times New Roman" w:hAnsi="Times New Roman" w:eastAsia="SimSun"/>
                <w:snapToGrid/>
                <w:lang w:eastAsia="ar-SA"/>
              </w:rPr>
            </w:pPr>
            <w:r w:rsidRPr="00047298">
              <w:rPr>
                <w:rFonts w:ascii="Times New Roman" w:hAnsi="Times New Roman" w:eastAsia="SimSun"/>
                <w:snapToGrid/>
                <w:lang w:eastAsia="zh-CN"/>
              </w:rPr>
              <w:t>1</w:t>
            </w:r>
          </w:p>
        </w:tc>
        <w:tc>
          <w:tcPr>
            <w:tcW w:w="1190" w:type="dxa"/>
            <w:shd w:val="clear" w:color="auto" w:fill="auto"/>
          </w:tcPr>
          <w:p w:rsidRPr="00047298" w:rsidR="00047298" w:rsidP="00047298" w:rsidRDefault="00047298" w14:paraId="3BB5C677" w14:textId="77777777">
            <w:pPr>
              <w:widowControl/>
              <w:suppressAutoHyphens/>
              <w:jc w:val="right"/>
              <w:rPr>
                <w:rFonts w:ascii="Times New Roman" w:hAnsi="Times New Roman" w:eastAsia="SimSun"/>
                <w:snapToGrid/>
                <w:lang w:eastAsia="ar-SA"/>
              </w:rPr>
            </w:pPr>
            <w:r w:rsidRPr="00047298">
              <w:rPr>
                <w:rFonts w:ascii="Times New Roman" w:hAnsi="Times New Roman" w:eastAsia="SimSun"/>
                <w:snapToGrid/>
                <w:lang w:eastAsia="zh-CN"/>
              </w:rPr>
              <w:t>10</w:t>
            </w:r>
          </w:p>
        </w:tc>
        <w:tc>
          <w:tcPr>
            <w:tcW w:w="1256" w:type="dxa"/>
            <w:shd w:val="clear" w:color="auto" w:fill="auto"/>
          </w:tcPr>
          <w:p w:rsidRPr="00047298" w:rsidR="00047298" w:rsidP="00047298" w:rsidRDefault="00047298" w14:paraId="478B8CF6" w14:textId="77777777">
            <w:pPr>
              <w:widowControl/>
              <w:suppressAutoHyphens/>
              <w:jc w:val="right"/>
              <w:rPr>
                <w:rFonts w:ascii="Times New Roman" w:hAnsi="Times New Roman" w:eastAsia="SimSun"/>
                <w:snapToGrid/>
                <w:lang w:eastAsia="ar-SA"/>
              </w:rPr>
            </w:pPr>
            <w:r w:rsidRPr="00047298">
              <w:rPr>
                <w:rFonts w:ascii="Times New Roman" w:hAnsi="Times New Roman" w:eastAsia="SimSun"/>
                <w:snapToGrid/>
                <w:lang w:eastAsia="zh-CN"/>
              </w:rPr>
              <w:t>833</w:t>
            </w:r>
          </w:p>
        </w:tc>
        <w:tc>
          <w:tcPr>
            <w:tcW w:w="1389" w:type="dxa"/>
          </w:tcPr>
          <w:p w:rsidRPr="00047298" w:rsidR="00047298" w:rsidP="00047298" w:rsidRDefault="00047298" w14:paraId="4FAB8904" w14:textId="77777777">
            <w:pPr>
              <w:widowControl/>
              <w:suppressAutoHyphens/>
              <w:jc w:val="right"/>
              <w:rPr>
                <w:rFonts w:ascii="Times New Roman" w:hAnsi="Times New Roman" w:eastAsia="SimSun"/>
                <w:snapToGrid/>
                <w:lang w:eastAsia="ar-SA"/>
              </w:rPr>
            </w:pPr>
            <w:r w:rsidRPr="00047298">
              <w:rPr>
                <w:rFonts w:ascii="Times New Roman" w:hAnsi="Times New Roman" w:eastAsia="SimSun"/>
                <w:snapToGrid/>
                <w:lang w:eastAsia="ar-SA"/>
              </w:rPr>
              <w:t>$28.01*</w:t>
            </w:r>
          </w:p>
        </w:tc>
        <w:tc>
          <w:tcPr>
            <w:tcW w:w="1455" w:type="dxa"/>
          </w:tcPr>
          <w:p w:rsidRPr="00047298" w:rsidR="00047298" w:rsidP="00047298" w:rsidRDefault="00047298" w14:paraId="02B43B85" w14:textId="77777777">
            <w:pPr>
              <w:widowControl/>
              <w:suppressAutoHyphens/>
              <w:jc w:val="right"/>
              <w:rPr>
                <w:rFonts w:ascii="Times New Roman" w:hAnsi="Times New Roman" w:eastAsia="SimSun"/>
                <w:snapToGrid/>
                <w:lang w:eastAsia="ar-SA"/>
              </w:rPr>
            </w:pPr>
            <w:r w:rsidRPr="00047298">
              <w:rPr>
                <w:rFonts w:ascii="Times New Roman" w:hAnsi="Times New Roman" w:eastAsia="SimSun"/>
                <w:snapToGrid/>
                <w:lang w:eastAsia="ar-SA"/>
              </w:rPr>
              <w:t>24**</w:t>
            </w:r>
          </w:p>
        </w:tc>
        <w:tc>
          <w:tcPr>
            <w:tcW w:w="1510" w:type="dxa"/>
          </w:tcPr>
          <w:p w:rsidRPr="00047298" w:rsidR="00047298" w:rsidP="00047298" w:rsidRDefault="00047298" w14:paraId="575C015B" w14:textId="77777777">
            <w:pPr>
              <w:widowControl/>
              <w:suppressAutoHyphens/>
              <w:jc w:val="right"/>
              <w:rPr>
                <w:rFonts w:ascii="Times New Roman" w:hAnsi="Times New Roman" w:eastAsia="SimSun"/>
                <w:snapToGrid/>
                <w:lang w:eastAsia="ar-SA"/>
              </w:rPr>
            </w:pPr>
            <w:r w:rsidRPr="00047298">
              <w:rPr>
                <w:rFonts w:ascii="Times New Roman" w:hAnsi="Times New Roman" w:eastAsia="SimSun"/>
                <w:snapToGrid/>
                <w:lang w:eastAsia="ar-SA"/>
              </w:rPr>
              <w:t>$79,352***</w:t>
            </w:r>
          </w:p>
        </w:tc>
      </w:tr>
    </w:tbl>
    <w:p w:rsidR="00047298" w:rsidP="00047298" w:rsidRDefault="00047298" w14:paraId="2C8C8D53" w14:textId="15D604B1">
      <w:pPr>
        <w:widowControl/>
        <w:tabs>
          <w:tab w:val="left" w:pos="1440"/>
        </w:tabs>
        <w:suppressAutoHyphens/>
        <w:ind w:left="1440"/>
        <w:rPr>
          <w:rFonts w:ascii="Times New Roman" w:hAnsi="Times New Roman" w:eastAsia="SimSun"/>
          <w:snapToGrid/>
          <w:lang w:eastAsia="ar-SA"/>
        </w:rPr>
      </w:pPr>
      <w:bookmarkStart w:name="_Hlk86391564" w:id="1"/>
      <w:bookmarkEnd w:id="0"/>
      <w:r w:rsidRPr="00047298">
        <w:rPr>
          <w:rFonts w:ascii="Times New Roman" w:hAnsi="Times New Roman"/>
          <w:bCs/>
          <w:snapToGrid/>
          <w:lang w:eastAsia="zh-CN"/>
        </w:rPr>
        <w:t>*</w:t>
      </w:r>
      <w:r w:rsidRPr="00047298">
        <w:rPr>
          <w:rFonts w:ascii="Times New Roman" w:hAnsi="Times New Roman"/>
          <w:b/>
          <w:snapToGrid/>
          <w:lang w:eastAsia="zh-CN"/>
        </w:rPr>
        <w:t xml:space="preserve"> </w:t>
      </w:r>
      <w:r w:rsidRPr="00047298">
        <w:rPr>
          <w:rFonts w:ascii="Times New Roman" w:hAnsi="Times New Roman"/>
          <w:snapToGrid/>
          <w:lang w:eastAsia="zh-CN"/>
        </w:rPr>
        <w:t>We based this figure on the average U.S. worker’s hourly wages, as reported by Bureau of Labor Statistics data (</w:t>
      </w:r>
      <w:hyperlink w:history="1" r:id="rId7">
        <w:r w:rsidRPr="00047298">
          <w:rPr>
            <w:rFonts w:ascii="Times New Roman" w:hAnsi="Times New Roman" w:eastAsia="SimSun"/>
            <w:color w:val="0000FF"/>
            <w:u w:val="single"/>
            <w:lang w:eastAsia="zh-CN"/>
          </w:rPr>
          <w:t>https://www.bls.gov/oes/current/oes_nat.htm</w:t>
        </w:r>
      </w:hyperlink>
      <w:r w:rsidRPr="00047298">
        <w:rPr>
          <w:rFonts w:ascii="Times New Roman" w:hAnsi="Times New Roman"/>
          <w:snapToGrid/>
          <w:lang w:eastAsia="zh-CN"/>
        </w:rPr>
        <w:t>)</w:t>
      </w:r>
      <w:r w:rsidRPr="00047298">
        <w:rPr>
          <w:rFonts w:ascii="Times New Roman" w:hAnsi="Times New Roman" w:eastAsia="SimSun"/>
          <w:snapToGrid/>
          <w:lang w:eastAsia="ar-SA"/>
        </w:rPr>
        <w:t>.</w:t>
      </w:r>
    </w:p>
    <w:p w:rsidRPr="00047298" w:rsidR="00047298" w:rsidP="00047298" w:rsidRDefault="00047298" w14:paraId="4E7EA5E9" w14:textId="77777777">
      <w:pPr>
        <w:widowControl/>
        <w:tabs>
          <w:tab w:val="left" w:pos="1440"/>
        </w:tabs>
        <w:suppressAutoHyphens/>
        <w:ind w:left="1440"/>
        <w:rPr>
          <w:rFonts w:ascii="Times New Roman" w:hAnsi="Times New Roman" w:eastAsia="SimSun"/>
          <w:snapToGrid/>
          <w:lang w:eastAsia="ar-SA"/>
        </w:rPr>
      </w:pPr>
    </w:p>
    <w:p w:rsidR="00047298" w:rsidP="00047298" w:rsidRDefault="00047298" w14:paraId="27167282" w14:textId="6BAFAA8B">
      <w:pPr>
        <w:widowControl/>
        <w:tabs>
          <w:tab w:val="left" w:pos="1440"/>
        </w:tabs>
        <w:autoSpaceDE w:val="0"/>
        <w:autoSpaceDN w:val="0"/>
        <w:adjustRightInd w:val="0"/>
        <w:ind w:left="1440"/>
        <w:rPr>
          <w:rFonts w:ascii="Times New Roman" w:hAnsi="Times New Roman" w:eastAsia="SimSun"/>
          <w:snapToGrid/>
          <w:lang w:eastAsia="zh-CN"/>
        </w:rPr>
      </w:pPr>
      <w:r w:rsidRPr="00047298">
        <w:rPr>
          <w:rFonts w:ascii="Times New Roman" w:hAnsi="Times New Roman" w:eastAsia="SimSun"/>
          <w:snapToGrid/>
          <w:lang w:eastAsia="zh-CN"/>
        </w:rPr>
        <w:t>** We based this figure on the average FY 2022 wait times for field offices, based on SSA’s current management information data.</w:t>
      </w:r>
    </w:p>
    <w:p w:rsidRPr="00047298" w:rsidR="00047298" w:rsidP="00047298" w:rsidRDefault="00047298" w14:paraId="4D2E7A9A" w14:textId="77777777">
      <w:pPr>
        <w:widowControl/>
        <w:tabs>
          <w:tab w:val="left" w:pos="1440"/>
        </w:tabs>
        <w:autoSpaceDE w:val="0"/>
        <w:autoSpaceDN w:val="0"/>
        <w:adjustRightInd w:val="0"/>
        <w:ind w:left="1440"/>
        <w:rPr>
          <w:rFonts w:ascii="Times New Roman" w:hAnsi="Times New Roman" w:eastAsia="SimSun"/>
          <w:snapToGrid/>
          <w:lang w:eastAsia="zh-CN"/>
        </w:rPr>
      </w:pPr>
    </w:p>
    <w:p w:rsidRPr="00E57100" w:rsidR="00047298" w:rsidP="00047298" w:rsidRDefault="00047298" w14:paraId="16E45381" w14:textId="2333B866">
      <w:pPr>
        <w:tabs>
          <w:tab w:val="left" w:pos="1440"/>
        </w:tabs>
        <w:ind w:left="1440"/>
        <w:rPr>
          <w:rFonts w:ascii="Times New Roman" w:hAnsi="Times New Roman"/>
          <w:b/>
        </w:rPr>
      </w:pPr>
      <w:r w:rsidRPr="00047298">
        <w:rPr>
          <w:rFonts w:ascii="Times New Roman" w:hAnsi="Times New Roman" w:eastAsia="SimSun"/>
          <w:snapToGrid/>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47298">
        <w:rPr>
          <w:rFonts w:ascii="Times New Roman" w:hAnsi="Times New Roman" w:eastAsia="SimSun"/>
          <w:b/>
          <w:bCs/>
          <w:snapToGrid/>
          <w:u w:val="single"/>
          <w:lang w:eastAsia="zh-CN"/>
        </w:rPr>
        <w:t>There is no actual charge to respondents to complete the application</w:t>
      </w:r>
      <w:bookmarkEnd w:id="1"/>
      <w:r w:rsidRPr="00047298">
        <w:rPr>
          <w:rFonts w:ascii="Times New Roman" w:hAnsi="Times New Roman" w:eastAsia="SimSun"/>
          <w:b/>
          <w:snapToGrid/>
          <w:lang w:eastAsia="ar-SA"/>
        </w:rPr>
        <w:t>.</w:t>
      </w:r>
    </w:p>
    <w:p w:rsidR="005C21B4" w:rsidP="005C21B4" w:rsidRDefault="005C21B4" w14:paraId="390BCEE1" w14:textId="77777777">
      <w:pPr>
        <w:ind w:left="1440"/>
        <w:rPr>
          <w:rFonts w:ascii="Times New Roman" w:hAnsi="Times New Roman"/>
          <w:b/>
          <w:highlight w:val="yellow"/>
        </w:rPr>
      </w:pPr>
    </w:p>
    <w:p w:rsidRPr="00702796" w:rsidR="00702796" w:rsidP="00702796" w:rsidRDefault="00702796" w14:paraId="320ADF6E" w14:textId="77777777">
      <w:pPr>
        <w:ind w:left="1440"/>
        <w:rPr>
          <w:rFonts w:ascii="Times New Roman" w:hAnsi="Times New Roman"/>
        </w:rPr>
      </w:pPr>
      <w:r w:rsidRPr="00702796">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702796" w:rsidR="00702796" w:rsidP="00702796" w:rsidRDefault="00702796" w14:paraId="662A3CA0" w14:textId="77777777">
      <w:pPr>
        <w:ind w:left="1440"/>
        <w:rPr>
          <w:rFonts w:ascii="Times New Roman" w:hAnsi="Times New Roman"/>
          <w:snapToGrid/>
        </w:rPr>
      </w:pPr>
    </w:p>
    <w:tbl>
      <w:tblPr>
        <w:tblStyle w:val="TableGrid"/>
        <w:tblW w:w="0" w:type="auto"/>
        <w:tblInd w:w="1327" w:type="dxa"/>
        <w:tblLook w:val="04A0" w:firstRow="1" w:lastRow="0" w:firstColumn="1" w:lastColumn="0" w:noHBand="0" w:noVBand="1"/>
      </w:tblPr>
      <w:tblGrid>
        <w:gridCol w:w="1671"/>
        <w:gridCol w:w="1572"/>
        <w:gridCol w:w="1529"/>
        <w:gridCol w:w="1548"/>
        <w:gridCol w:w="1703"/>
      </w:tblGrid>
      <w:tr w:rsidRPr="00702796" w:rsidR="00702796" w:rsidTr="00B41D23" w14:paraId="496F5A64" w14:textId="77777777">
        <w:tc>
          <w:tcPr>
            <w:tcW w:w="1671"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7D64B2C5" w14:textId="77777777">
            <w:pPr>
              <w:rPr>
                <w:rFonts w:ascii="Times New Roman" w:hAnsi="Times New Roman"/>
              </w:rPr>
            </w:pPr>
            <w:r w:rsidRPr="00702796">
              <w:rPr>
                <w:rFonts w:ascii="Times New Roman" w:hAnsi="Times New Roman"/>
              </w:rPr>
              <w:t>Total Number of Respondents Who Visit a Field Office</w:t>
            </w:r>
          </w:p>
        </w:tc>
        <w:tc>
          <w:tcPr>
            <w:tcW w:w="1572"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1B2B17F2" w14:textId="77777777">
            <w:pPr>
              <w:rPr>
                <w:rFonts w:ascii="Times New Roman" w:hAnsi="Times New Roman"/>
              </w:rPr>
            </w:pPr>
            <w:r w:rsidRPr="00702796">
              <w:rPr>
                <w:rFonts w:ascii="Times New Roman" w:hAnsi="Times New Roman"/>
              </w:rPr>
              <w:t>Frequency of Response</w:t>
            </w:r>
          </w:p>
        </w:tc>
        <w:tc>
          <w:tcPr>
            <w:tcW w:w="1529"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5F425370" w14:textId="77777777">
            <w:pPr>
              <w:rPr>
                <w:rFonts w:ascii="Times New Roman" w:hAnsi="Times New Roman"/>
              </w:rPr>
            </w:pPr>
            <w:r w:rsidRPr="00702796">
              <w:rPr>
                <w:rFonts w:ascii="Times New Roman" w:hAnsi="Times New Roman"/>
              </w:rPr>
              <w:t>Average One-Way Travel Time to a Field Office (minutes)</w:t>
            </w:r>
          </w:p>
        </w:tc>
        <w:tc>
          <w:tcPr>
            <w:tcW w:w="1548"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0E87D631" w14:textId="77777777">
            <w:pPr>
              <w:rPr>
                <w:rFonts w:ascii="Times New Roman" w:hAnsi="Times New Roman"/>
              </w:rPr>
            </w:pPr>
            <w:r w:rsidRPr="00702796">
              <w:rPr>
                <w:rFonts w:ascii="Times New Roman" w:hAnsi="Times New Roman"/>
              </w:rPr>
              <w:t>Estimated Total Travel Time to a Field Office (hours)</w:t>
            </w:r>
          </w:p>
        </w:tc>
        <w:tc>
          <w:tcPr>
            <w:tcW w:w="1703"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0C30DBDD" w14:textId="77777777">
            <w:pPr>
              <w:rPr>
                <w:rFonts w:ascii="Times New Roman" w:hAnsi="Times New Roman"/>
              </w:rPr>
            </w:pPr>
            <w:r w:rsidRPr="00702796">
              <w:rPr>
                <w:rFonts w:ascii="Times New Roman" w:hAnsi="Times New Roman"/>
              </w:rPr>
              <w:t>Total Annual Opportunity Cost for Travel Time (dollars)****</w:t>
            </w:r>
          </w:p>
        </w:tc>
      </w:tr>
      <w:tr w:rsidRPr="00702796" w:rsidR="00702796" w:rsidTr="00B41D23" w14:paraId="21BD1E3D" w14:textId="77777777">
        <w:tc>
          <w:tcPr>
            <w:tcW w:w="1671"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4FEB9581" w14:textId="2C7B9C23">
            <w:pPr>
              <w:jc w:val="right"/>
              <w:rPr>
                <w:rFonts w:ascii="Times New Roman" w:hAnsi="Times New Roman"/>
              </w:rPr>
            </w:pPr>
            <w:r>
              <w:rPr>
                <w:rFonts w:ascii="Times New Roman" w:hAnsi="Times New Roman"/>
                <w:color w:val="000000"/>
              </w:rPr>
              <w:t>5,000</w:t>
            </w:r>
          </w:p>
        </w:tc>
        <w:tc>
          <w:tcPr>
            <w:tcW w:w="1572"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1BD35447" w14:textId="77777777">
            <w:pPr>
              <w:jc w:val="right"/>
              <w:rPr>
                <w:rFonts w:ascii="Times New Roman" w:hAnsi="Times New Roman"/>
              </w:rPr>
            </w:pPr>
            <w:r w:rsidRPr="00702796">
              <w:rPr>
                <w:rFonts w:ascii="Times New Roman" w:hAnsi="Times New Roman"/>
              </w:rPr>
              <w:t>1</w:t>
            </w:r>
          </w:p>
        </w:tc>
        <w:tc>
          <w:tcPr>
            <w:tcW w:w="1529"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1554D62D" w14:textId="77777777">
            <w:pPr>
              <w:jc w:val="right"/>
              <w:rPr>
                <w:rFonts w:ascii="Times New Roman" w:hAnsi="Times New Roman"/>
              </w:rPr>
            </w:pPr>
            <w:r w:rsidRPr="00702796">
              <w:rPr>
                <w:rFonts w:ascii="Times New Roman" w:hAnsi="Times New Roman"/>
              </w:rPr>
              <w:t>30</w:t>
            </w:r>
          </w:p>
        </w:tc>
        <w:tc>
          <w:tcPr>
            <w:tcW w:w="1548"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72A94088" w14:textId="7C84E903">
            <w:pPr>
              <w:jc w:val="right"/>
              <w:rPr>
                <w:rFonts w:ascii="Times New Roman" w:hAnsi="Times New Roman"/>
              </w:rPr>
            </w:pPr>
            <w:r>
              <w:rPr>
                <w:rFonts w:ascii="Times New Roman" w:hAnsi="Times New Roman"/>
              </w:rPr>
              <w:t>2,500</w:t>
            </w:r>
          </w:p>
        </w:tc>
        <w:tc>
          <w:tcPr>
            <w:tcW w:w="1703" w:type="dxa"/>
            <w:tcBorders>
              <w:top w:val="single" w:color="auto" w:sz="4" w:space="0"/>
              <w:left w:val="single" w:color="auto" w:sz="4" w:space="0"/>
              <w:bottom w:val="single" w:color="auto" w:sz="4" w:space="0"/>
              <w:right w:val="single" w:color="auto" w:sz="4" w:space="0"/>
            </w:tcBorders>
            <w:hideMark/>
          </w:tcPr>
          <w:p w:rsidRPr="00702796" w:rsidR="00702796" w:rsidP="00702796" w:rsidRDefault="00702796" w14:paraId="621D867C" w14:textId="394187F1">
            <w:pPr>
              <w:jc w:val="right"/>
              <w:rPr>
                <w:rFonts w:ascii="Times New Roman" w:hAnsi="Times New Roman"/>
              </w:rPr>
            </w:pPr>
            <w:r w:rsidRPr="00702796">
              <w:rPr>
                <w:rFonts w:ascii="Times New Roman" w:hAnsi="Times New Roman"/>
              </w:rPr>
              <w:t>$</w:t>
            </w:r>
            <w:r>
              <w:rPr>
                <w:rFonts w:ascii="Times New Roman" w:hAnsi="Times New Roman"/>
              </w:rPr>
              <w:t>70,025</w:t>
            </w:r>
          </w:p>
        </w:tc>
      </w:tr>
    </w:tbl>
    <w:p w:rsidRPr="00702796" w:rsidR="00702796" w:rsidP="00702796" w:rsidRDefault="00702796" w14:paraId="6F3DBFCE" w14:textId="77777777">
      <w:pPr>
        <w:ind w:left="1440"/>
        <w:rPr>
          <w:rFonts w:ascii="Times New Roman" w:hAnsi="Times New Roman"/>
        </w:rPr>
      </w:pPr>
      <w:r w:rsidRPr="00702796">
        <w:rPr>
          <w:rFonts w:ascii="Times New Roman" w:hAnsi="Times New Roman"/>
        </w:rPr>
        <w:t xml:space="preserve">**** We based this dollar amount on the Average Theoretical Hourly Cost Amount in dollars shown on the burden chart above.  </w:t>
      </w:r>
    </w:p>
    <w:p w:rsidRPr="00702796" w:rsidR="00702796" w:rsidP="00702796" w:rsidRDefault="00702796" w14:paraId="2EF44423" w14:textId="77777777">
      <w:pPr>
        <w:ind w:left="1440"/>
        <w:rPr>
          <w:rFonts w:ascii="Times New Roman" w:hAnsi="Times New Roman"/>
        </w:rPr>
      </w:pPr>
    </w:p>
    <w:p w:rsidRPr="00702796" w:rsidR="00702796" w:rsidP="00702796" w:rsidRDefault="00702796" w14:paraId="6BE6C7C2" w14:textId="77777777">
      <w:pPr>
        <w:ind w:left="1440"/>
        <w:rPr>
          <w:rFonts w:ascii="Times New Roman" w:hAnsi="Times New Roman"/>
        </w:rPr>
      </w:pPr>
      <w:r w:rsidRPr="00702796">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702796" w:rsidR="00702796" w:rsidP="00702796" w:rsidRDefault="00702796" w14:paraId="0F8A3D8A" w14:textId="77777777">
      <w:pPr>
        <w:ind w:left="1440"/>
        <w:contextualSpacing/>
        <w:rPr>
          <w:rFonts w:ascii="Times New Roman" w:hAnsi="Times New Roman"/>
        </w:rPr>
      </w:pPr>
    </w:p>
    <w:p w:rsidRPr="00702796" w:rsidR="00702796" w:rsidP="00702796" w:rsidRDefault="00702796" w14:paraId="45678583" w14:textId="77777777">
      <w:pPr>
        <w:ind w:left="1440"/>
        <w:contextualSpacing/>
        <w:rPr>
          <w:rFonts w:ascii="Times New Roman" w:hAnsi="Times New Roman"/>
        </w:rPr>
      </w:pPr>
      <w:r w:rsidRPr="00702796">
        <w:rPr>
          <w:rFonts w:ascii="Times New Roman" w:hAnsi="Times New Roman"/>
        </w:rPr>
        <w:t>NOTE:  We included the total opportunity cost estimate from this chart in our calculations when showing the total time and opportunity cost estimates in the paragraph below.</w:t>
      </w:r>
    </w:p>
    <w:p w:rsidR="00702796" w:rsidP="00702796" w:rsidRDefault="00702796" w14:paraId="4EA20884" w14:textId="77777777">
      <w:pPr>
        <w:ind w:left="1440"/>
        <w:rPr>
          <w:rFonts w:ascii="Times New Roman" w:hAnsi="Times New Roman"/>
        </w:rPr>
      </w:pPr>
    </w:p>
    <w:p w:rsidR="005C21B4" w:rsidP="00702796" w:rsidRDefault="00F4409B" w14:paraId="150C7032" w14:textId="3D52F0A1">
      <w:pPr>
        <w:ind w:left="1440"/>
        <w:rPr>
          <w:rFonts w:ascii="Times New Roman" w:hAnsi="Times New Roman"/>
          <w:b/>
          <w:highlight w:val="yellow"/>
        </w:rPr>
      </w:pPr>
      <w:r w:rsidRPr="00F4409B">
        <w:rPr>
          <w:rFonts w:ascii="Times New Roman" w:hAnsi="Times New Roman"/>
        </w:rPr>
        <w:lastRenderedPageBreak/>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rPr>
        <w:t>10</w:t>
      </w:r>
      <w:r w:rsidRPr="00F4409B">
        <w:rPr>
          <w:rFonts w:ascii="Times New Roman" w:hAnsi="Times New Roman"/>
        </w:rPr>
        <w:t xml:space="preserve"> minutes accurately shows the average burden per response for reading the instructions, gathering the facts, and answering the questions.  Based on our current management information data, the current burden information we provided is accurate.  The total burden for this ICR is </w:t>
      </w:r>
      <w:r>
        <w:rPr>
          <w:rFonts w:ascii="Times New Roman" w:hAnsi="Times New Roman"/>
          <w:b/>
        </w:rPr>
        <w:t>833</w:t>
      </w:r>
      <w:r w:rsidRPr="00F4409B">
        <w:rPr>
          <w:rFonts w:ascii="Times New Roman" w:hAnsi="Times New Roman"/>
        </w:rPr>
        <w:t xml:space="preserve"> burden hours (reflecting SSA management information data), which results in an associated theoretical (not actual) opportunity cost financial burden of </w:t>
      </w:r>
      <w:r w:rsidRPr="00F4409B">
        <w:rPr>
          <w:rFonts w:ascii="Times New Roman" w:hAnsi="Times New Roman"/>
          <w:b/>
        </w:rPr>
        <w:t>$</w:t>
      </w:r>
      <w:r>
        <w:rPr>
          <w:rFonts w:ascii="Times New Roman" w:hAnsi="Times New Roman"/>
          <w:b/>
        </w:rPr>
        <w:t>149,377</w:t>
      </w:r>
      <w:r w:rsidRPr="00F4409B">
        <w:rPr>
          <w:rFonts w:ascii="Times New Roman" w:hAnsi="Times New Roman"/>
        </w:rPr>
        <w:t>.  SSA does not charge respondents to complete our applications.</w:t>
      </w:r>
      <w:r w:rsidR="005C21B4">
        <w:rPr>
          <w:rFonts w:ascii="Times New Roman" w:hAnsi="Times New Roman"/>
        </w:rPr>
        <w:br/>
      </w:r>
    </w:p>
    <w:p w:rsidRPr="00BC7F42" w:rsidR="008E1A2B" w:rsidP="00E37AFF" w:rsidRDefault="008E1A2B" w14:paraId="06E581C1" w14:textId="77777777">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486532" w:rsidR="008E1A2B" w:rsidP="00E37AFF" w:rsidRDefault="008E1A2B" w14:paraId="2DAF8163" w14:textId="77777777">
      <w:pPr>
        <w:tabs>
          <w:tab w:val="num" w:pos="1440"/>
        </w:tabs>
        <w:ind w:left="1440"/>
        <w:rPr>
          <w:rFonts w:ascii="Times New Roman" w:hAnsi="Times New Roman"/>
        </w:rPr>
      </w:pPr>
      <w:r w:rsidRPr="00486532">
        <w:rPr>
          <w:rFonts w:ascii="Times New Roman" w:hAnsi="Times New Roman"/>
        </w:rPr>
        <w:t xml:space="preserve">This collection does not impose a known cost burden </w:t>
      </w:r>
      <w:r w:rsidR="00C51C4E">
        <w:rPr>
          <w:rFonts w:ascii="Times New Roman" w:hAnsi="Times New Roman"/>
        </w:rPr>
        <w:t>on</w:t>
      </w:r>
      <w:r w:rsidRPr="00486532">
        <w:rPr>
          <w:rFonts w:ascii="Times New Roman" w:hAnsi="Times New Roman"/>
        </w:rPr>
        <w:t xml:space="preserve"> the respondents.   </w:t>
      </w:r>
    </w:p>
    <w:p w:rsidRPr="00BC7F42" w:rsidR="008E1A2B" w:rsidP="00E37AFF" w:rsidRDefault="008E1A2B" w14:paraId="41037640" w14:textId="77777777">
      <w:pPr>
        <w:tabs>
          <w:tab w:val="num" w:pos="1440"/>
        </w:tabs>
        <w:ind w:left="1440"/>
        <w:rPr>
          <w:rFonts w:ascii="Times New Roman" w:hAnsi="Times New Roman"/>
        </w:rPr>
      </w:pPr>
    </w:p>
    <w:p w:rsidRPr="00603143" w:rsidR="008E1A2B" w:rsidP="00E37AFF" w:rsidRDefault="008E1A2B" w14:paraId="3CDC536F" w14:textId="77777777">
      <w:pPr>
        <w:numPr>
          <w:ilvl w:val="0"/>
          <w:numId w:val="17"/>
        </w:numPr>
        <w:tabs>
          <w:tab w:val="clear" w:pos="360"/>
          <w:tab w:val="num" w:pos="1440"/>
        </w:tabs>
        <w:ind w:left="1440" w:hanging="720"/>
        <w:rPr>
          <w:rFonts w:ascii="Times New Roman" w:hAnsi="Times New Roman"/>
        </w:rPr>
      </w:pPr>
      <w:r w:rsidRPr="00603143">
        <w:rPr>
          <w:rFonts w:ascii="Times New Roman" w:hAnsi="Times New Roman"/>
          <w:b/>
        </w:rPr>
        <w:t>Annual Cost To Federal Government</w:t>
      </w:r>
    </w:p>
    <w:p w:rsidR="00743EEE" w:rsidP="00C51C4E" w:rsidRDefault="00486532" w14:paraId="6B79AF86" w14:textId="77777777">
      <w:pPr>
        <w:pStyle w:val="BodyTextIndent"/>
        <w:tabs>
          <w:tab w:val="num" w:pos="1440"/>
        </w:tabs>
        <w:spacing w:after="0"/>
        <w:ind w:left="1440"/>
        <w:rPr>
          <w:rFonts w:ascii="Times New Roman" w:hAnsi="Times New Roman" w:eastAsia="SimSun"/>
          <w:snapToGrid/>
          <w:lang w:eastAsia="zh-CN"/>
        </w:rPr>
      </w:pPr>
      <w:r w:rsidRPr="00486532">
        <w:rPr>
          <w:rFonts w:ascii="Times New Roman" w:hAnsi="Times New Roman"/>
        </w:rPr>
        <w:t xml:space="preserve">The annual cost to the Federal Government is approximately </w:t>
      </w:r>
      <w:r w:rsidRPr="006C534C">
        <w:rPr>
          <w:rFonts w:ascii="Times New Roman" w:hAnsi="Times New Roman"/>
          <w:b/>
          <w:bCs/>
        </w:rPr>
        <w:t>$</w:t>
      </w:r>
      <w:r w:rsidRPr="006C534C" w:rsidR="00603143">
        <w:rPr>
          <w:rFonts w:ascii="Times New Roman" w:hAnsi="Times New Roman"/>
          <w:b/>
          <w:bCs/>
        </w:rPr>
        <w:t>21</w:t>
      </w:r>
      <w:r w:rsidRPr="006C534C">
        <w:rPr>
          <w:rFonts w:ascii="Times New Roman" w:hAnsi="Times New Roman"/>
          <w:b/>
          <w:bCs/>
        </w:rPr>
        <w:t>,</w:t>
      </w:r>
      <w:r w:rsidRPr="006C534C" w:rsidR="00603143">
        <w:rPr>
          <w:rFonts w:ascii="Times New Roman" w:hAnsi="Times New Roman"/>
          <w:b/>
          <w:bCs/>
        </w:rPr>
        <w:t>820</w:t>
      </w:r>
      <w:r w:rsidRPr="00486532">
        <w:rPr>
          <w:rFonts w:ascii="Times New Roman" w:hAnsi="Times New Roman"/>
        </w:rPr>
        <w:t xml:space="preserve">.  </w:t>
      </w:r>
      <w:r w:rsidRPr="002C4429" w:rsidR="00C51C4E">
        <w:rPr>
          <w:rFonts w:ascii="Times New Roman" w:hAnsi="Times New Roman" w:eastAsia="SimSun"/>
          <w:snapToGrid/>
          <w:lang w:eastAsia="zh-CN"/>
        </w:rPr>
        <w:t>This estimate accounts for costs from the following areas:</w:t>
      </w:r>
      <w:r w:rsidR="00A85976">
        <w:rPr>
          <w:rFonts w:ascii="Times New Roman" w:hAnsi="Times New Roman" w:eastAsia="SimSun"/>
          <w:snapToGrid/>
          <w:lang w:eastAsia="zh-CN"/>
        </w:rPr>
        <w:t xml:space="preserve">  </w:t>
      </w:r>
    </w:p>
    <w:p w:rsidR="00603143" w:rsidP="00C51C4E" w:rsidRDefault="00603143" w14:paraId="364F9E98" w14:textId="77777777">
      <w:pPr>
        <w:pStyle w:val="BodyTextIndent"/>
        <w:tabs>
          <w:tab w:val="num" w:pos="1440"/>
        </w:tabs>
        <w:spacing w:after="0"/>
        <w:ind w:left="1440"/>
        <w:rPr>
          <w:rFonts w:ascii="Times New Roman" w:hAnsi="Times New Roman"/>
        </w:rPr>
      </w:pPr>
    </w:p>
    <w:tbl>
      <w:tblPr>
        <w:tblW w:w="8718" w:type="dxa"/>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2485"/>
      </w:tblGrid>
      <w:tr w:rsidR="00743EEE" w:rsidTr="006C534C" w14:paraId="6E8C4AA7" w14:textId="77777777">
        <w:tc>
          <w:tcPr>
            <w:tcW w:w="3116" w:type="dxa"/>
            <w:shd w:val="clear" w:color="auto" w:fill="auto"/>
          </w:tcPr>
          <w:p w:rsidRPr="008169F7" w:rsidR="00743EEE" w:rsidP="008169F7" w:rsidRDefault="00743EEE" w14:paraId="2783EAE3" w14:textId="77777777">
            <w:pPr>
              <w:pStyle w:val="ListParagraph"/>
              <w:ind w:left="0"/>
              <w:rPr>
                <w:rFonts w:ascii="Times New Roman" w:hAnsi="Times New Roman" w:eastAsia="SimSun"/>
                <w:b/>
                <w:bCs/>
                <w:color w:val="000000"/>
              </w:rPr>
            </w:pPr>
            <w:r w:rsidRPr="008169F7">
              <w:rPr>
                <w:rFonts w:ascii="Times New Roman" w:hAnsi="Times New Roman" w:eastAsia="SimSun"/>
                <w:b/>
                <w:bCs/>
                <w:color w:val="000000"/>
              </w:rPr>
              <w:t>Description of Cost Factor</w:t>
            </w:r>
          </w:p>
        </w:tc>
        <w:tc>
          <w:tcPr>
            <w:tcW w:w="3117" w:type="dxa"/>
            <w:shd w:val="clear" w:color="auto" w:fill="auto"/>
          </w:tcPr>
          <w:p w:rsidRPr="008169F7" w:rsidR="00743EEE" w:rsidP="008169F7" w:rsidRDefault="00743EEE" w14:paraId="0AD6CCC0" w14:textId="77777777">
            <w:pPr>
              <w:pStyle w:val="ListParagraph"/>
              <w:ind w:left="0"/>
              <w:rPr>
                <w:rFonts w:ascii="Times New Roman" w:hAnsi="Times New Roman" w:eastAsia="SimSun"/>
                <w:b/>
                <w:bCs/>
                <w:color w:val="000000"/>
              </w:rPr>
            </w:pPr>
            <w:r w:rsidRPr="008169F7">
              <w:rPr>
                <w:rFonts w:ascii="Times New Roman" w:hAnsi="Times New Roman" w:eastAsia="SimSun"/>
                <w:b/>
                <w:bCs/>
                <w:color w:val="000000"/>
              </w:rPr>
              <w:t>Methodology for Estimating Cost</w:t>
            </w:r>
          </w:p>
        </w:tc>
        <w:tc>
          <w:tcPr>
            <w:tcW w:w="2485" w:type="dxa"/>
            <w:shd w:val="clear" w:color="auto" w:fill="auto"/>
          </w:tcPr>
          <w:p w:rsidRPr="008169F7" w:rsidR="00743EEE" w:rsidP="008169F7" w:rsidRDefault="00743EEE" w14:paraId="6D79A3C2" w14:textId="77777777">
            <w:pPr>
              <w:pStyle w:val="ListParagraph"/>
              <w:ind w:left="0"/>
              <w:rPr>
                <w:rFonts w:ascii="Times New Roman" w:hAnsi="Times New Roman" w:eastAsia="SimSun"/>
                <w:b/>
                <w:bCs/>
                <w:color w:val="000000"/>
              </w:rPr>
            </w:pPr>
            <w:r w:rsidRPr="008169F7">
              <w:rPr>
                <w:rFonts w:ascii="Times New Roman" w:hAnsi="Times New Roman" w:eastAsia="SimSun"/>
                <w:b/>
                <w:bCs/>
                <w:color w:val="000000"/>
              </w:rPr>
              <w:t>Cost in Dollars*</w:t>
            </w:r>
          </w:p>
        </w:tc>
      </w:tr>
      <w:tr w:rsidR="00743EEE" w:rsidTr="0097263D" w14:paraId="63B4F342" w14:textId="77777777">
        <w:trPr>
          <w:trHeight w:val="683"/>
        </w:trPr>
        <w:tc>
          <w:tcPr>
            <w:tcW w:w="3116" w:type="dxa"/>
            <w:shd w:val="clear" w:color="auto" w:fill="auto"/>
          </w:tcPr>
          <w:p w:rsidRPr="008169F7" w:rsidR="00743EEE" w:rsidP="008169F7" w:rsidRDefault="00743EEE" w14:paraId="1718C834"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Designing and Printing the Form</w:t>
            </w:r>
          </w:p>
        </w:tc>
        <w:tc>
          <w:tcPr>
            <w:tcW w:w="3117" w:type="dxa"/>
            <w:shd w:val="clear" w:color="auto" w:fill="auto"/>
          </w:tcPr>
          <w:p w:rsidRPr="008169F7" w:rsidR="00743EEE" w:rsidP="008169F7" w:rsidRDefault="00743EEE" w14:paraId="2CC53D25" w14:textId="1AB31975">
            <w:pPr>
              <w:pStyle w:val="ListParagraph"/>
              <w:ind w:left="0"/>
              <w:rPr>
                <w:rFonts w:ascii="Times New Roman" w:hAnsi="Times New Roman" w:eastAsia="SimSun"/>
                <w:color w:val="000000"/>
              </w:rPr>
            </w:pPr>
            <w:r w:rsidRPr="008169F7">
              <w:rPr>
                <w:rFonts w:ascii="Times New Roman" w:hAnsi="Times New Roman" w:eastAsia="SimSun"/>
                <w:color w:val="000000"/>
              </w:rPr>
              <w:t xml:space="preserve">Design </w:t>
            </w:r>
            <w:r w:rsidRPr="008169F7" w:rsidR="0025525C">
              <w:rPr>
                <w:rFonts w:ascii="Times New Roman" w:hAnsi="Times New Roman" w:eastAsia="SimSun"/>
                <w:color w:val="000000"/>
              </w:rPr>
              <w:t>C</w:t>
            </w:r>
            <w:r w:rsidRPr="008169F7">
              <w:rPr>
                <w:rFonts w:ascii="Times New Roman" w:hAnsi="Times New Roman" w:eastAsia="SimSun"/>
                <w:color w:val="000000"/>
              </w:rPr>
              <w:t xml:space="preserve">ost </w:t>
            </w:r>
            <w:r w:rsidRPr="008169F7" w:rsidR="0025525C">
              <w:rPr>
                <w:rFonts w:ascii="Times New Roman" w:hAnsi="Times New Roman" w:eastAsia="SimSun"/>
                <w:color w:val="000000"/>
              </w:rPr>
              <w:t xml:space="preserve">+ Printing Cost </w:t>
            </w:r>
          </w:p>
        </w:tc>
        <w:tc>
          <w:tcPr>
            <w:tcW w:w="2485" w:type="dxa"/>
            <w:shd w:val="clear" w:color="auto" w:fill="auto"/>
          </w:tcPr>
          <w:p w:rsidRPr="008169F7" w:rsidR="00603143" w:rsidP="0097263D" w:rsidRDefault="00603143" w14:paraId="08B6B11A" w14:textId="7B4E0E7A">
            <w:pPr>
              <w:pStyle w:val="ListParagraph"/>
              <w:ind w:left="0"/>
              <w:jc w:val="right"/>
              <w:rPr>
                <w:rFonts w:ascii="Times New Roman" w:hAnsi="Times New Roman" w:eastAsia="SimSun"/>
                <w:color w:val="000000"/>
              </w:rPr>
            </w:pPr>
            <w:r w:rsidRPr="008169F7">
              <w:rPr>
                <w:rFonts w:ascii="Times New Roman" w:hAnsi="Times New Roman" w:eastAsia="SimSun"/>
                <w:color w:val="000000"/>
              </w:rPr>
              <w:t>$0</w:t>
            </w:r>
            <w:r w:rsidR="006C534C">
              <w:rPr>
                <w:rFonts w:ascii="Times New Roman" w:hAnsi="Times New Roman" w:eastAsia="SimSun"/>
                <w:color w:val="000000"/>
              </w:rPr>
              <w:t>*</w:t>
            </w:r>
          </w:p>
        </w:tc>
      </w:tr>
      <w:tr w:rsidR="00743EEE" w:rsidTr="006C534C" w14:paraId="0E30B174" w14:textId="77777777">
        <w:tc>
          <w:tcPr>
            <w:tcW w:w="3116" w:type="dxa"/>
            <w:shd w:val="clear" w:color="auto" w:fill="auto"/>
          </w:tcPr>
          <w:p w:rsidRPr="008169F7" w:rsidR="00743EEE" w:rsidP="008169F7" w:rsidRDefault="00743EEE" w14:paraId="2FE50963"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Distributing, Shipping, and Material Costs for the Form</w:t>
            </w:r>
          </w:p>
        </w:tc>
        <w:tc>
          <w:tcPr>
            <w:tcW w:w="3117" w:type="dxa"/>
            <w:shd w:val="clear" w:color="auto" w:fill="auto"/>
          </w:tcPr>
          <w:p w:rsidRPr="008169F7" w:rsidR="00743EEE" w:rsidP="008169F7" w:rsidRDefault="00743EEE" w14:paraId="00A5EFB7" w14:textId="796333BD">
            <w:pPr>
              <w:pStyle w:val="ListParagraph"/>
              <w:ind w:left="0"/>
              <w:rPr>
                <w:rFonts w:ascii="Times New Roman" w:hAnsi="Times New Roman" w:eastAsia="SimSun"/>
                <w:color w:val="000000"/>
              </w:rPr>
            </w:pPr>
            <w:r w:rsidRPr="008169F7">
              <w:rPr>
                <w:rFonts w:ascii="Times New Roman" w:hAnsi="Times New Roman" w:eastAsia="SimSun"/>
                <w:color w:val="000000"/>
              </w:rPr>
              <w:t>Distribution + Shipping + Material Cost</w:t>
            </w:r>
          </w:p>
        </w:tc>
        <w:tc>
          <w:tcPr>
            <w:tcW w:w="2485" w:type="dxa"/>
            <w:shd w:val="clear" w:color="auto" w:fill="auto"/>
          </w:tcPr>
          <w:p w:rsidRPr="008169F7" w:rsidR="00743EEE" w:rsidP="008169F7" w:rsidRDefault="000B4444" w14:paraId="3EDBB80D" w14:textId="6265841C">
            <w:pPr>
              <w:pStyle w:val="ListParagraph"/>
              <w:ind w:left="0"/>
              <w:jc w:val="right"/>
              <w:rPr>
                <w:rFonts w:ascii="Times New Roman" w:hAnsi="Times New Roman" w:eastAsia="SimSun"/>
                <w:color w:val="000000"/>
              </w:rPr>
            </w:pPr>
            <w:r w:rsidRPr="008169F7">
              <w:rPr>
                <w:rFonts w:ascii="Times New Roman" w:hAnsi="Times New Roman" w:eastAsia="SimSun"/>
                <w:color w:val="000000"/>
              </w:rPr>
              <w:t>$0</w:t>
            </w:r>
            <w:r w:rsidR="006C534C">
              <w:rPr>
                <w:rFonts w:ascii="Times New Roman" w:hAnsi="Times New Roman" w:eastAsia="SimSun"/>
                <w:color w:val="000000"/>
              </w:rPr>
              <w:t>*</w:t>
            </w:r>
          </w:p>
        </w:tc>
      </w:tr>
      <w:tr w:rsidR="00743EEE" w:rsidTr="006C534C" w14:paraId="163A2B9F" w14:textId="77777777">
        <w:tc>
          <w:tcPr>
            <w:tcW w:w="3116" w:type="dxa"/>
            <w:shd w:val="clear" w:color="auto" w:fill="auto"/>
          </w:tcPr>
          <w:p w:rsidRPr="008169F7" w:rsidR="00743EEE" w:rsidP="008169F7" w:rsidRDefault="00743EEE" w14:paraId="7D1463BD"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SSA Employee (e.g., field office, 800 number, DDS staff) Information Collection and Processing Time</w:t>
            </w:r>
          </w:p>
        </w:tc>
        <w:tc>
          <w:tcPr>
            <w:tcW w:w="3117" w:type="dxa"/>
            <w:shd w:val="clear" w:color="auto" w:fill="auto"/>
          </w:tcPr>
          <w:p w:rsidRPr="008169F7" w:rsidR="00743EEE" w:rsidP="008169F7" w:rsidRDefault="00743EEE" w14:paraId="12433722"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GS-9 employee x # of responses x processing time</w:t>
            </w:r>
          </w:p>
          <w:p w:rsidRPr="008169F7" w:rsidR="00B244B3" w:rsidP="008169F7" w:rsidRDefault="00B244B3" w14:paraId="36196C1E" w14:textId="77777777">
            <w:pPr>
              <w:pStyle w:val="ListParagraph"/>
              <w:ind w:left="0"/>
              <w:rPr>
                <w:rFonts w:ascii="Times New Roman" w:hAnsi="Times New Roman" w:eastAsia="SimSun"/>
                <w:color w:val="000000"/>
              </w:rPr>
            </w:pPr>
          </w:p>
          <w:p w:rsidRPr="008169F7" w:rsidR="00B244B3" w:rsidP="008169F7" w:rsidRDefault="00B244B3" w14:paraId="08558515" w14:textId="77777777">
            <w:pPr>
              <w:pStyle w:val="ListParagraph"/>
              <w:ind w:left="0"/>
              <w:rPr>
                <w:rFonts w:ascii="Times New Roman" w:hAnsi="Times New Roman" w:eastAsia="SimSun"/>
                <w:color w:val="000000"/>
              </w:rPr>
            </w:pPr>
          </w:p>
        </w:tc>
        <w:tc>
          <w:tcPr>
            <w:tcW w:w="2485" w:type="dxa"/>
            <w:shd w:val="clear" w:color="auto" w:fill="auto"/>
          </w:tcPr>
          <w:p w:rsidRPr="008169F7" w:rsidR="00596D8C" w:rsidP="008169F7" w:rsidRDefault="00596D8C" w14:paraId="21DAF3E1" w14:textId="70ADA21E">
            <w:pPr>
              <w:pStyle w:val="ListParagraph"/>
              <w:ind w:left="0"/>
              <w:jc w:val="right"/>
              <w:rPr>
                <w:rFonts w:ascii="Times New Roman" w:hAnsi="Times New Roman" w:eastAsia="SimSun"/>
                <w:color w:val="000000"/>
              </w:rPr>
            </w:pPr>
            <w:r w:rsidRPr="008169F7">
              <w:rPr>
                <w:rFonts w:ascii="Times New Roman" w:hAnsi="Times New Roman" w:eastAsia="SimSun"/>
                <w:color w:val="000000"/>
              </w:rPr>
              <w:t>$18,400</w:t>
            </w:r>
          </w:p>
          <w:p w:rsidRPr="008169F7" w:rsidR="00596D8C" w:rsidP="008169F7" w:rsidRDefault="00596D8C" w14:paraId="67CAD487" w14:textId="77777777">
            <w:pPr>
              <w:pStyle w:val="ListParagraph"/>
              <w:ind w:left="0"/>
              <w:rPr>
                <w:rFonts w:ascii="Times New Roman" w:hAnsi="Times New Roman" w:eastAsia="SimSun"/>
                <w:color w:val="000000"/>
              </w:rPr>
            </w:pPr>
          </w:p>
          <w:p w:rsidRPr="008169F7" w:rsidR="00596D8C" w:rsidP="008169F7" w:rsidRDefault="00596D8C" w14:paraId="6B483E6B" w14:textId="77777777">
            <w:pPr>
              <w:pStyle w:val="ListParagraph"/>
              <w:ind w:left="0"/>
              <w:rPr>
                <w:rFonts w:ascii="Times New Roman" w:hAnsi="Times New Roman" w:eastAsia="SimSun"/>
                <w:color w:val="000000"/>
              </w:rPr>
            </w:pPr>
          </w:p>
          <w:p w:rsidRPr="008169F7" w:rsidR="00596D8C" w:rsidP="008169F7" w:rsidRDefault="00596D8C" w14:paraId="4D8F86FB" w14:textId="77777777">
            <w:pPr>
              <w:pStyle w:val="ListParagraph"/>
              <w:ind w:left="0"/>
              <w:rPr>
                <w:rFonts w:ascii="Times New Roman" w:hAnsi="Times New Roman" w:eastAsia="SimSun"/>
                <w:color w:val="000000"/>
              </w:rPr>
            </w:pPr>
          </w:p>
        </w:tc>
      </w:tr>
      <w:tr w:rsidR="00743EEE" w:rsidTr="006C534C" w14:paraId="379BA354" w14:textId="77777777">
        <w:tc>
          <w:tcPr>
            <w:tcW w:w="3116" w:type="dxa"/>
            <w:shd w:val="clear" w:color="auto" w:fill="auto"/>
          </w:tcPr>
          <w:p w:rsidRPr="008169F7" w:rsidR="00743EEE" w:rsidP="008169F7" w:rsidRDefault="00743EEE" w14:paraId="50A81D78"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Full-Time Equivalent Costs</w:t>
            </w:r>
          </w:p>
        </w:tc>
        <w:tc>
          <w:tcPr>
            <w:tcW w:w="3117" w:type="dxa"/>
            <w:shd w:val="clear" w:color="auto" w:fill="auto"/>
          </w:tcPr>
          <w:p w:rsidRPr="008169F7" w:rsidR="00743EEE" w:rsidP="008169F7" w:rsidRDefault="00743EEE" w14:paraId="5C7F72F6"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Out of pocket costs + Other expenses for providing this service</w:t>
            </w:r>
          </w:p>
        </w:tc>
        <w:tc>
          <w:tcPr>
            <w:tcW w:w="2485" w:type="dxa"/>
            <w:shd w:val="clear" w:color="auto" w:fill="auto"/>
          </w:tcPr>
          <w:p w:rsidRPr="008169F7" w:rsidR="00743EEE" w:rsidP="008169F7" w:rsidRDefault="00743EEE" w14:paraId="25BBFB12" w14:textId="6B8A2267">
            <w:pPr>
              <w:pStyle w:val="ListParagraph"/>
              <w:ind w:left="0"/>
              <w:jc w:val="right"/>
              <w:rPr>
                <w:rFonts w:ascii="Times New Roman" w:hAnsi="Times New Roman" w:eastAsia="SimSun"/>
                <w:color w:val="000000"/>
              </w:rPr>
            </w:pPr>
            <w:r w:rsidRPr="008169F7">
              <w:rPr>
                <w:rFonts w:ascii="Times New Roman" w:hAnsi="Times New Roman" w:eastAsia="SimSun"/>
                <w:color w:val="000000"/>
              </w:rPr>
              <w:t>$0</w:t>
            </w:r>
            <w:r w:rsidR="006C534C">
              <w:rPr>
                <w:rFonts w:ascii="Times New Roman" w:hAnsi="Times New Roman" w:eastAsia="SimSun"/>
                <w:color w:val="000000"/>
              </w:rPr>
              <w:t>*</w:t>
            </w:r>
          </w:p>
        </w:tc>
      </w:tr>
      <w:tr w:rsidR="00743EEE" w:rsidTr="006C534C" w14:paraId="6AD7C4FC" w14:textId="77777777">
        <w:tc>
          <w:tcPr>
            <w:tcW w:w="3116" w:type="dxa"/>
            <w:shd w:val="clear" w:color="auto" w:fill="auto"/>
          </w:tcPr>
          <w:p w:rsidRPr="008169F7" w:rsidR="00743EEE" w:rsidP="008169F7" w:rsidRDefault="00743EEE" w14:paraId="68D5936C"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Systems Development, Updating, and Maintenance</w:t>
            </w:r>
          </w:p>
        </w:tc>
        <w:tc>
          <w:tcPr>
            <w:tcW w:w="3117" w:type="dxa"/>
            <w:shd w:val="clear" w:color="auto" w:fill="auto"/>
          </w:tcPr>
          <w:p w:rsidRPr="008169F7" w:rsidR="00743EEE" w:rsidP="008169F7" w:rsidRDefault="00743EEE" w14:paraId="64858221"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GS-9 employee x man hours for development, updating, maintenance</w:t>
            </w:r>
          </w:p>
        </w:tc>
        <w:tc>
          <w:tcPr>
            <w:tcW w:w="2485" w:type="dxa"/>
            <w:shd w:val="clear" w:color="auto" w:fill="auto"/>
          </w:tcPr>
          <w:p w:rsidRPr="008169F7" w:rsidR="00743EEE" w:rsidP="008169F7" w:rsidRDefault="00743EEE" w14:paraId="13CE4272" w14:textId="50314099">
            <w:pPr>
              <w:pStyle w:val="ListParagraph"/>
              <w:ind w:left="0"/>
              <w:jc w:val="right"/>
              <w:rPr>
                <w:rFonts w:ascii="Times New Roman" w:hAnsi="Times New Roman" w:eastAsia="SimSun"/>
                <w:color w:val="000000"/>
              </w:rPr>
            </w:pPr>
            <w:r w:rsidRPr="008169F7">
              <w:rPr>
                <w:rFonts w:ascii="Times New Roman" w:hAnsi="Times New Roman" w:eastAsia="SimSun"/>
                <w:color w:val="000000"/>
              </w:rPr>
              <w:t>$3</w:t>
            </w:r>
            <w:r w:rsidR="006C534C">
              <w:rPr>
                <w:rFonts w:ascii="Times New Roman" w:hAnsi="Times New Roman" w:eastAsia="SimSun"/>
                <w:color w:val="000000"/>
              </w:rPr>
              <w:t>,</w:t>
            </w:r>
            <w:r w:rsidRPr="008169F7">
              <w:rPr>
                <w:rFonts w:ascii="Times New Roman" w:hAnsi="Times New Roman" w:eastAsia="SimSun"/>
                <w:color w:val="000000"/>
              </w:rPr>
              <w:t>420</w:t>
            </w:r>
          </w:p>
        </w:tc>
      </w:tr>
      <w:tr w:rsidR="00743EEE" w:rsidTr="006C534C" w14:paraId="6E8B68E5" w14:textId="77777777">
        <w:tc>
          <w:tcPr>
            <w:tcW w:w="3116" w:type="dxa"/>
            <w:shd w:val="clear" w:color="auto" w:fill="auto"/>
          </w:tcPr>
          <w:p w:rsidRPr="008169F7" w:rsidR="00743EEE" w:rsidP="008169F7" w:rsidRDefault="00743EEE" w14:paraId="72ACF2E0"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Quantifiable IT Costs</w:t>
            </w:r>
          </w:p>
        </w:tc>
        <w:tc>
          <w:tcPr>
            <w:tcW w:w="3117" w:type="dxa"/>
            <w:shd w:val="clear" w:color="auto" w:fill="auto"/>
          </w:tcPr>
          <w:p w:rsidRPr="008169F7" w:rsidR="00743EEE" w:rsidP="008169F7" w:rsidRDefault="00743EEE" w14:paraId="6FEE7AFA" w14:textId="77777777">
            <w:pPr>
              <w:pStyle w:val="ListParagraph"/>
              <w:ind w:left="0"/>
              <w:rPr>
                <w:rFonts w:ascii="Times New Roman" w:hAnsi="Times New Roman" w:eastAsia="SimSun"/>
                <w:color w:val="000000"/>
              </w:rPr>
            </w:pPr>
            <w:r w:rsidRPr="008169F7">
              <w:rPr>
                <w:rFonts w:ascii="Times New Roman" w:hAnsi="Times New Roman" w:eastAsia="SimSun"/>
                <w:color w:val="000000"/>
              </w:rPr>
              <w:t>Any additional IT costs</w:t>
            </w:r>
          </w:p>
        </w:tc>
        <w:tc>
          <w:tcPr>
            <w:tcW w:w="2485" w:type="dxa"/>
            <w:shd w:val="clear" w:color="auto" w:fill="auto"/>
          </w:tcPr>
          <w:p w:rsidRPr="008169F7" w:rsidR="00743EEE" w:rsidP="008169F7" w:rsidRDefault="00743EEE" w14:paraId="2AF0AF8C" w14:textId="2D56A967">
            <w:pPr>
              <w:pStyle w:val="ListParagraph"/>
              <w:ind w:left="0"/>
              <w:jc w:val="right"/>
              <w:rPr>
                <w:rFonts w:ascii="Times New Roman" w:hAnsi="Times New Roman" w:eastAsia="SimSun"/>
                <w:color w:val="000000"/>
              </w:rPr>
            </w:pPr>
            <w:r w:rsidRPr="008169F7">
              <w:rPr>
                <w:rFonts w:ascii="Times New Roman" w:hAnsi="Times New Roman" w:eastAsia="SimSun"/>
                <w:color w:val="000000"/>
              </w:rPr>
              <w:t>$0</w:t>
            </w:r>
            <w:r w:rsidR="006C534C">
              <w:rPr>
                <w:rFonts w:ascii="Times New Roman" w:hAnsi="Times New Roman" w:eastAsia="SimSun"/>
                <w:color w:val="000000"/>
              </w:rPr>
              <w:t>*</w:t>
            </w:r>
          </w:p>
        </w:tc>
      </w:tr>
      <w:tr w:rsidR="00743EEE" w:rsidTr="006C534C" w14:paraId="3C72AEB5" w14:textId="77777777">
        <w:tc>
          <w:tcPr>
            <w:tcW w:w="3116" w:type="dxa"/>
            <w:shd w:val="clear" w:color="auto" w:fill="auto"/>
          </w:tcPr>
          <w:p w:rsidRPr="008169F7" w:rsidR="00743EEE" w:rsidP="008169F7" w:rsidRDefault="00743EEE" w14:paraId="019059E2" w14:textId="77777777">
            <w:pPr>
              <w:pStyle w:val="ListParagraph"/>
              <w:ind w:left="0"/>
              <w:rPr>
                <w:rFonts w:ascii="Times New Roman" w:hAnsi="Times New Roman" w:eastAsia="SimSun"/>
                <w:b/>
                <w:bCs/>
                <w:color w:val="000000"/>
              </w:rPr>
            </w:pPr>
            <w:r w:rsidRPr="008169F7">
              <w:rPr>
                <w:rFonts w:ascii="Times New Roman" w:hAnsi="Times New Roman" w:eastAsia="SimSun"/>
                <w:b/>
                <w:bCs/>
                <w:color w:val="000000"/>
              </w:rPr>
              <w:t>Total</w:t>
            </w:r>
          </w:p>
        </w:tc>
        <w:tc>
          <w:tcPr>
            <w:tcW w:w="3117" w:type="dxa"/>
            <w:shd w:val="clear" w:color="auto" w:fill="auto"/>
          </w:tcPr>
          <w:p w:rsidRPr="008169F7" w:rsidR="00743EEE" w:rsidP="008169F7" w:rsidRDefault="00743EEE" w14:paraId="19D4EBFA" w14:textId="77777777">
            <w:pPr>
              <w:pStyle w:val="ListParagraph"/>
              <w:ind w:left="0"/>
              <w:rPr>
                <w:rFonts w:ascii="Times New Roman" w:hAnsi="Times New Roman" w:eastAsia="SimSun"/>
                <w:b/>
                <w:bCs/>
                <w:color w:val="000000"/>
              </w:rPr>
            </w:pPr>
          </w:p>
        </w:tc>
        <w:tc>
          <w:tcPr>
            <w:tcW w:w="2485" w:type="dxa"/>
            <w:shd w:val="clear" w:color="auto" w:fill="auto"/>
          </w:tcPr>
          <w:p w:rsidRPr="008169F7" w:rsidR="00743EEE" w:rsidP="008169F7" w:rsidRDefault="00603143" w14:paraId="186D8421" w14:textId="77777777">
            <w:pPr>
              <w:pStyle w:val="ListParagraph"/>
              <w:ind w:left="0"/>
              <w:jc w:val="right"/>
              <w:rPr>
                <w:rFonts w:ascii="Times New Roman" w:hAnsi="Times New Roman" w:eastAsia="SimSun"/>
                <w:b/>
                <w:bCs/>
                <w:color w:val="000000"/>
              </w:rPr>
            </w:pPr>
            <w:r w:rsidRPr="008169F7">
              <w:rPr>
                <w:rFonts w:ascii="Times New Roman" w:hAnsi="Times New Roman" w:eastAsia="SimSun"/>
                <w:b/>
                <w:bCs/>
                <w:color w:val="000000"/>
              </w:rPr>
              <w:t>$21,820</w:t>
            </w:r>
          </w:p>
        </w:tc>
      </w:tr>
    </w:tbl>
    <w:p w:rsidR="00603143" w:rsidP="00603143" w:rsidRDefault="00603143" w14:paraId="16A5273E"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603143" w:rsidP="00603143" w:rsidRDefault="00603143" w14:paraId="58DF2A46" w14:textId="77777777">
      <w:pPr>
        <w:ind w:left="1440"/>
        <w:rPr>
          <w:rFonts w:ascii="Times New Roman" w:hAnsi="Times New Roman"/>
          <w:color w:val="000000"/>
        </w:rPr>
      </w:pPr>
    </w:p>
    <w:p w:rsidR="00603143" w:rsidP="00603143" w:rsidRDefault="0097263D" w14:paraId="0465947A" w14:textId="7E6EDCD5">
      <w:pPr>
        <w:ind w:left="1440"/>
        <w:rPr>
          <w:rFonts w:ascii="Times New Roman" w:hAnsi="Times New Roman"/>
          <w:color w:val="000000"/>
        </w:rPr>
      </w:pPr>
      <w:r w:rsidRPr="0097263D">
        <w:rPr>
          <w:rFonts w:ascii="Times New Roman" w:hAnsi="Times New Roman"/>
          <w:color w:val="000000"/>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w:t>
      </w:r>
      <w:r w:rsidRPr="0097263D">
        <w:rPr>
          <w:rFonts w:ascii="Times New Roman" w:hAnsi="Times New Roman"/>
          <w:color w:val="000000"/>
        </w:rPr>
        <w:lastRenderedPageBreak/>
        <w:t>accurately as possible based on the information we collect for creating, updating, and maintaining these information collections</w:t>
      </w:r>
      <w:r w:rsidR="00603143">
        <w:rPr>
          <w:rFonts w:ascii="Times New Roman" w:hAnsi="Times New Roman"/>
          <w:color w:val="000000"/>
        </w:rPr>
        <w:t>.</w:t>
      </w:r>
    </w:p>
    <w:p w:rsidRPr="00486532" w:rsidR="00603143" w:rsidP="00C51C4E" w:rsidRDefault="00603143" w14:paraId="47FDC604" w14:textId="77777777">
      <w:pPr>
        <w:pStyle w:val="BodyTextIndent"/>
        <w:tabs>
          <w:tab w:val="num" w:pos="1440"/>
        </w:tabs>
        <w:spacing w:after="0"/>
        <w:ind w:left="1440"/>
        <w:rPr>
          <w:rFonts w:ascii="Times New Roman" w:hAnsi="Times New Roman"/>
        </w:rPr>
      </w:pPr>
    </w:p>
    <w:p w:rsidR="008E1A2B" w:rsidP="00E37AFF" w:rsidRDefault="008E1A2B" w14:paraId="6DA25C0B"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8E1A2B" w:rsidP="00E37AFF" w:rsidRDefault="00DB38A5" w14:paraId="08B214F9" w14:textId="638DEF2B">
      <w:pPr>
        <w:pStyle w:val="NoSpacing"/>
        <w:tabs>
          <w:tab w:val="num" w:pos="1440"/>
        </w:tabs>
        <w:ind w:left="1440"/>
      </w:pPr>
      <w:r>
        <w:t>There are no changes to the public reporting burden.</w:t>
      </w:r>
    </w:p>
    <w:p w:rsidR="00AF58BC" w:rsidP="00E37AFF" w:rsidRDefault="00AF58BC" w14:paraId="571D1D8F" w14:textId="1303E818">
      <w:pPr>
        <w:pStyle w:val="NoSpacing"/>
        <w:tabs>
          <w:tab w:val="num" w:pos="1440"/>
        </w:tabs>
        <w:ind w:left="1440"/>
      </w:pPr>
    </w:p>
    <w:p w:rsidR="00AF58BC" w:rsidP="00E37AFF" w:rsidRDefault="00AF58BC" w14:paraId="17EB9ED6" w14:textId="45B4CC99">
      <w:pPr>
        <w:pStyle w:val="NoSpacing"/>
        <w:tabs>
          <w:tab w:val="num" w:pos="1440"/>
        </w:tabs>
        <w:ind w:left="1440"/>
      </w:pPr>
      <w:r w:rsidRPr="00AF58BC">
        <w:t>Note: The total burden reflected in ROCIS is 3,333, while the burden cited in #12 of the Supporting Statement is 833.  This discrepancy is because the ROCIS burden reflects the following components:  field office waiting time + a rough estimate of a 30-minute, one-way, drive burden.  In contrast, the chart in #12 of the Supporting Statement reflects actual burden.</w:t>
      </w:r>
    </w:p>
    <w:p w:rsidRPr="00844816" w:rsidR="00844816" w:rsidP="00E37AFF" w:rsidRDefault="00844816" w14:paraId="32DB5B6A" w14:textId="77777777">
      <w:pPr>
        <w:pStyle w:val="NoSpacing"/>
        <w:tabs>
          <w:tab w:val="num" w:pos="1440"/>
        </w:tabs>
        <w:ind w:left="1440"/>
        <w:rPr>
          <w:i/>
        </w:rPr>
      </w:pPr>
    </w:p>
    <w:p w:rsidR="008E1A2B" w:rsidP="00E37AFF" w:rsidRDefault="008E1A2B" w14:paraId="244ECBE0"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Pr>
          <w:rFonts w:ascii="Times New Roman" w:hAnsi="Times New Roman"/>
          <w:b/>
        </w:rPr>
        <w:t xml:space="preserve"> Results</w:t>
      </w:r>
    </w:p>
    <w:p w:rsidRPr="002A0CE4" w:rsidR="008E1A2B" w:rsidP="00E37AFF" w:rsidRDefault="008E1A2B" w14:paraId="7DF00618" w14:textId="77777777">
      <w:pPr>
        <w:pStyle w:val="NoSpacing"/>
        <w:tabs>
          <w:tab w:val="num" w:pos="1440"/>
        </w:tabs>
        <w:ind w:left="1440"/>
        <w:rPr>
          <w:bCs/>
          <w:iCs/>
        </w:rPr>
      </w:pPr>
      <w:r w:rsidRPr="00030BC5">
        <w:rPr>
          <w:bCs/>
          <w:iCs/>
        </w:rPr>
        <w:t>SSA will not publish the results of the information collection.</w:t>
      </w:r>
    </w:p>
    <w:p w:rsidR="0092202F" w:rsidP="00E37AFF" w:rsidRDefault="0092202F" w14:paraId="7C26CFFC" w14:textId="77777777">
      <w:pPr>
        <w:tabs>
          <w:tab w:val="num" w:pos="1440"/>
        </w:tabs>
        <w:ind w:left="1440"/>
        <w:rPr>
          <w:rFonts w:ascii="Times New Roman" w:hAnsi="Times New Roman"/>
          <w:b/>
        </w:rPr>
      </w:pPr>
    </w:p>
    <w:p w:rsidR="008E1A2B" w:rsidP="00E37AFF" w:rsidRDefault="008E1A2B" w14:paraId="7805EDC1" w14:textId="77777777">
      <w:pPr>
        <w:tabs>
          <w:tab w:val="num" w:pos="1440"/>
        </w:tabs>
        <w:ind w:left="1440" w:hanging="720"/>
        <w:rPr>
          <w:rFonts w:ascii="Times New Roman" w:hAnsi="Times New Roman"/>
          <w:b/>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573860" w:rsidP="00E37AFF" w:rsidRDefault="00573860" w14:paraId="167F0505" w14:textId="77777777">
      <w:pPr>
        <w:tabs>
          <w:tab w:val="num" w:pos="1440"/>
        </w:tabs>
        <w:ind w:left="1440"/>
        <w:rPr>
          <w:rFonts w:ascii="Times New Roman" w:hAnsi="Times New Roman"/>
          <w:bCs/>
          <w:iCs/>
        </w:rPr>
      </w:pPr>
      <w:r w:rsidRPr="00573860">
        <w:rPr>
          <w:rFonts w:ascii="Times New Roman" w:hAnsi="Times New Roman"/>
          <w:bCs/>
          <w:iCs/>
        </w:rPr>
        <w:t>OMB granted SSA an exemption from the requirement to print the OMB expirati</w:t>
      </w:r>
      <w:r w:rsidR="002A0CE4">
        <w:rPr>
          <w:rFonts w:ascii="Times New Roman" w:hAnsi="Times New Roman"/>
          <w:bCs/>
          <w:iCs/>
        </w:rPr>
        <w:t xml:space="preserve">on date on its program forms.  </w:t>
      </w:r>
      <w:r w:rsidRPr="00573860">
        <w:rPr>
          <w:rFonts w:ascii="Times New Roman" w:hAnsi="Times New Roman"/>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E4AA3" w:rsidP="00E37AFF" w:rsidRDefault="007E4AA3" w14:paraId="21F046B1" w14:textId="77777777">
      <w:pPr>
        <w:pStyle w:val="NoSpacing"/>
        <w:tabs>
          <w:tab w:val="num" w:pos="1440"/>
        </w:tabs>
        <w:ind w:left="1440"/>
        <w:rPr>
          <w:bCs/>
          <w:iCs/>
        </w:rPr>
      </w:pPr>
    </w:p>
    <w:p w:rsidR="008E1A2B" w:rsidP="00E37AFF" w:rsidRDefault="008E1A2B" w14:paraId="19D4BEC8" w14:textId="77777777">
      <w:pPr>
        <w:numPr>
          <w:ilvl w:val="0"/>
          <w:numId w:val="26"/>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7E4AA3" w:rsidP="00E37AFF" w:rsidRDefault="007E4AA3" w14:paraId="11A7C744" w14:textId="77777777">
      <w:pPr>
        <w:tabs>
          <w:tab w:val="left" w:pos="0"/>
          <w:tab w:val="num" w:pos="1440"/>
        </w:tabs>
        <w:suppressAutoHyphens/>
        <w:ind w:left="1440"/>
        <w:rPr>
          <w:rFonts w:ascii="Times New Roman" w:hAnsi="Times New Roman"/>
        </w:rPr>
      </w:pPr>
      <w:r>
        <w:rPr>
          <w:rFonts w:ascii="Times New Roman" w:hAnsi="Times New Roman"/>
        </w:rPr>
        <w:t xml:space="preserve">SSA is not requesting an exception to the certification requirements at </w:t>
      </w:r>
      <w:r w:rsidRPr="002A0CE4">
        <w:rPr>
          <w:rFonts w:ascii="Times New Roman" w:hAnsi="Times New Roman"/>
          <w:i/>
        </w:rPr>
        <w:t>5 CFR 1320.9</w:t>
      </w:r>
      <w:r>
        <w:rPr>
          <w:rFonts w:ascii="Times New Roman" w:hAnsi="Times New Roman"/>
        </w:rPr>
        <w:t xml:space="preserve"> and related provisions at </w:t>
      </w:r>
      <w:r w:rsidRPr="002A0CE4">
        <w:rPr>
          <w:rFonts w:ascii="Times New Roman" w:hAnsi="Times New Roman"/>
          <w:i/>
        </w:rPr>
        <w:t>5 CFR 1320.8(b)(3)</w:t>
      </w:r>
      <w:r>
        <w:rPr>
          <w:rFonts w:ascii="Times New Roman" w:hAnsi="Times New Roman"/>
        </w:rPr>
        <w:t>.</w:t>
      </w:r>
    </w:p>
    <w:p w:rsidRPr="00BC7F42" w:rsidR="008E1A2B" w:rsidP="007A7231" w:rsidRDefault="008E1A2B" w14:paraId="6C942F8D" w14:textId="77777777">
      <w:pPr>
        <w:ind w:hanging="600"/>
        <w:rPr>
          <w:rFonts w:ascii="Times New Roman" w:hAnsi="Times New Roman"/>
        </w:rPr>
      </w:pPr>
    </w:p>
    <w:p w:rsidR="008E1A2B" w:rsidP="00E37AFF" w:rsidRDefault="008E1A2B" w14:paraId="0BF128BD" w14:textId="77777777">
      <w:pPr>
        <w:ind w:left="720" w:hanging="540"/>
        <w:rPr>
          <w:rFonts w:ascii="Times New Roman" w:hAnsi="Times New Roman"/>
          <w:b/>
          <w:u w:val="single"/>
        </w:rPr>
      </w:pPr>
      <w:r w:rsidRPr="0041131C">
        <w:rPr>
          <w:rFonts w:ascii="Times New Roman" w:hAnsi="Times New Roman"/>
          <w:b/>
        </w:rPr>
        <w:t xml:space="preserve">B. </w:t>
      </w:r>
      <w:r w:rsidR="002A0CE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E37AFF" w:rsidP="007506F9" w:rsidRDefault="008E1A2B" w14:paraId="3DB49F85" w14:textId="77777777">
      <w:pPr>
        <w:ind w:left="720" w:hanging="600"/>
        <w:rPr>
          <w:rFonts w:ascii="Times New Roman" w:hAnsi="Times New Roman"/>
        </w:rPr>
      </w:pPr>
      <w:r w:rsidRPr="007E4AA3">
        <w:rPr>
          <w:rFonts w:ascii="Times New Roman" w:hAnsi="Times New Roman"/>
        </w:rPr>
        <w:tab/>
      </w:r>
    </w:p>
    <w:p w:rsidRPr="007E4AA3" w:rsidR="008E1A2B" w:rsidP="00E37AFF" w:rsidRDefault="008E1A2B" w14:paraId="55588862" w14:textId="77777777">
      <w:pPr>
        <w:ind w:left="1440"/>
        <w:rPr>
          <w:rFonts w:ascii="Times New Roman" w:hAnsi="Times New Roman"/>
        </w:rPr>
      </w:pPr>
      <w:r w:rsidRPr="007E4AA3">
        <w:rPr>
          <w:rFonts w:ascii="Times New Roman" w:hAnsi="Times New Roman"/>
        </w:rPr>
        <w:t xml:space="preserve">SSA does not use statistical methods for this information collection. </w:t>
      </w:r>
    </w:p>
    <w:p w:rsidRPr="00BC7F42" w:rsidR="008E1A2B" w:rsidP="007A7231" w:rsidRDefault="008E1A2B" w14:paraId="4074F3FD" w14:textId="77777777">
      <w:pPr>
        <w:ind w:hanging="600"/>
        <w:rPr>
          <w:rFonts w:ascii="Times New Roman" w:hAnsi="Times New Roman"/>
        </w:rPr>
      </w:pPr>
    </w:p>
    <w:p w:rsidR="00331104" w:rsidP="007A7231" w:rsidRDefault="00331104" w14:paraId="61C10953" w14:textId="77777777">
      <w:pPr>
        <w:pStyle w:val="Heading6"/>
        <w:ind w:hanging="600"/>
        <w:jc w:val="left"/>
      </w:pPr>
    </w:p>
    <w:sectPr w:rsidR="00331104" w:rsidSect="00E37A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F188" w14:textId="77777777" w:rsidR="008169F7" w:rsidRDefault="008169F7">
      <w:r>
        <w:separator/>
      </w:r>
    </w:p>
  </w:endnote>
  <w:endnote w:type="continuationSeparator" w:id="0">
    <w:p w14:paraId="7EED799D" w14:textId="77777777" w:rsidR="008169F7" w:rsidRDefault="0081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9BE1" w14:textId="77777777" w:rsidR="008169F7" w:rsidRDefault="008169F7">
      <w:r>
        <w:separator/>
      </w:r>
    </w:p>
  </w:footnote>
  <w:footnote w:type="continuationSeparator" w:id="0">
    <w:p w14:paraId="2CEE7D80" w14:textId="77777777" w:rsidR="008169F7" w:rsidRDefault="00816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5F058A1"/>
    <w:multiLevelType w:val="hybridMultilevel"/>
    <w:tmpl w:val="D20E0AAA"/>
    <w:lvl w:ilvl="0" w:tplc="8AE86CA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0"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15:restartNumberingAfterBreak="0">
    <w:nsid w:val="76E50D95"/>
    <w:multiLevelType w:val="hybridMultilevel"/>
    <w:tmpl w:val="EAB6DC32"/>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0"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6"/>
  </w:num>
  <w:num w:numId="3">
    <w:abstractNumId w:val="2"/>
  </w:num>
  <w:num w:numId="4">
    <w:abstractNumId w:val="13"/>
  </w:num>
  <w:num w:numId="5">
    <w:abstractNumId w:val="7"/>
  </w:num>
  <w:num w:numId="6">
    <w:abstractNumId w:val="17"/>
  </w:num>
  <w:num w:numId="7">
    <w:abstractNumId w:val="22"/>
  </w:num>
  <w:num w:numId="8">
    <w:abstractNumId w:val="24"/>
  </w:num>
  <w:num w:numId="9">
    <w:abstractNumId w:val="3"/>
  </w:num>
  <w:num w:numId="10">
    <w:abstractNumId w:val="1"/>
  </w:num>
  <w:num w:numId="11">
    <w:abstractNumId w:val="11"/>
  </w:num>
  <w:num w:numId="12">
    <w:abstractNumId w:val="14"/>
  </w:num>
  <w:num w:numId="13">
    <w:abstractNumId w:val="29"/>
  </w:num>
  <w:num w:numId="14">
    <w:abstractNumId w:val="6"/>
  </w:num>
  <w:num w:numId="15">
    <w:abstractNumId w:val="4"/>
  </w:num>
  <w:num w:numId="16">
    <w:abstractNumId w:val="28"/>
  </w:num>
  <w:num w:numId="17">
    <w:abstractNumId w:val="25"/>
  </w:num>
  <w:num w:numId="18">
    <w:abstractNumId w:val="19"/>
  </w:num>
  <w:num w:numId="19">
    <w:abstractNumId w:val="21"/>
  </w:num>
  <w:num w:numId="20">
    <w:abstractNumId w:val="30"/>
  </w:num>
  <w:num w:numId="21">
    <w:abstractNumId w:val="26"/>
  </w:num>
  <w:num w:numId="22">
    <w:abstractNumId w:val="12"/>
  </w:num>
  <w:num w:numId="23">
    <w:abstractNumId w:val="23"/>
  </w:num>
  <w:num w:numId="24">
    <w:abstractNumId w:val="18"/>
  </w:num>
  <w:num w:numId="25">
    <w:abstractNumId w:val="8"/>
  </w:num>
  <w:num w:numId="26">
    <w:abstractNumId w:val="0"/>
  </w:num>
  <w:num w:numId="27">
    <w:abstractNumId w:val="9"/>
  </w:num>
  <w:num w:numId="28">
    <w:abstractNumId w:val="27"/>
  </w:num>
  <w:num w:numId="29">
    <w:abstractNumId w:val="15"/>
  </w:num>
  <w:num w:numId="30">
    <w:abstractNumId w:val="2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2B"/>
    <w:rsid w:val="00007C49"/>
    <w:rsid w:val="00030BC5"/>
    <w:rsid w:val="00031891"/>
    <w:rsid w:val="00034325"/>
    <w:rsid w:val="00045030"/>
    <w:rsid w:val="000455CA"/>
    <w:rsid w:val="00047298"/>
    <w:rsid w:val="000629A5"/>
    <w:rsid w:val="0007130B"/>
    <w:rsid w:val="000B4444"/>
    <w:rsid w:val="000D5462"/>
    <w:rsid w:val="000E0DFD"/>
    <w:rsid w:val="000F1CE6"/>
    <w:rsid w:val="00122FA4"/>
    <w:rsid w:val="00175663"/>
    <w:rsid w:val="001803CF"/>
    <w:rsid w:val="001D08D4"/>
    <w:rsid w:val="001F60C0"/>
    <w:rsid w:val="0024613E"/>
    <w:rsid w:val="00246C16"/>
    <w:rsid w:val="0025525C"/>
    <w:rsid w:val="002576A5"/>
    <w:rsid w:val="00266BFB"/>
    <w:rsid w:val="002962FF"/>
    <w:rsid w:val="002A0CE4"/>
    <w:rsid w:val="002B75C6"/>
    <w:rsid w:val="002C11FB"/>
    <w:rsid w:val="002F6DD2"/>
    <w:rsid w:val="0030265D"/>
    <w:rsid w:val="00312D63"/>
    <w:rsid w:val="003309AF"/>
    <w:rsid w:val="00331104"/>
    <w:rsid w:val="0034753E"/>
    <w:rsid w:val="00362026"/>
    <w:rsid w:val="003B2331"/>
    <w:rsid w:val="003C181D"/>
    <w:rsid w:val="003D5FB6"/>
    <w:rsid w:val="003E0252"/>
    <w:rsid w:val="00451452"/>
    <w:rsid w:val="004523DC"/>
    <w:rsid w:val="00460D3E"/>
    <w:rsid w:val="0048116F"/>
    <w:rsid w:val="00481CA1"/>
    <w:rsid w:val="00486532"/>
    <w:rsid w:val="00492AD6"/>
    <w:rsid w:val="004937D6"/>
    <w:rsid w:val="004A17BF"/>
    <w:rsid w:val="004A2778"/>
    <w:rsid w:val="004C67F2"/>
    <w:rsid w:val="004D6BC7"/>
    <w:rsid w:val="004E3A23"/>
    <w:rsid w:val="004E75A3"/>
    <w:rsid w:val="004F0DA5"/>
    <w:rsid w:val="004F3968"/>
    <w:rsid w:val="004F6468"/>
    <w:rsid w:val="00551DC7"/>
    <w:rsid w:val="005555FC"/>
    <w:rsid w:val="00561E26"/>
    <w:rsid w:val="005647A8"/>
    <w:rsid w:val="005722BE"/>
    <w:rsid w:val="00573860"/>
    <w:rsid w:val="00573A99"/>
    <w:rsid w:val="0058051E"/>
    <w:rsid w:val="00596D8C"/>
    <w:rsid w:val="005A3FED"/>
    <w:rsid w:val="005B0ADA"/>
    <w:rsid w:val="005C21B4"/>
    <w:rsid w:val="005C270A"/>
    <w:rsid w:val="005C3B23"/>
    <w:rsid w:val="005C4503"/>
    <w:rsid w:val="005C7883"/>
    <w:rsid w:val="005E2BD7"/>
    <w:rsid w:val="005F134D"/>
    <w:rsid w:val="00603143"/>
    <w:rsid w:val="00606415"/>
    <w:rsid w:val="0064719C"/>
    <w:rsid w:val="00667175"/>
    <w:rsid w:val="00670A0A"/>
    <w:rsid w:val="006B6F02"/>
    <w:rsid w:val="006C0E06"/>
    <w:rsid w:val="006C534C"/>
    <w:rsid w:val="006F35DC"/>
    <w:rsid w:val="00702796"/>
    <w:rsid w:val="00705ED9"/>
    <w:rsid w:val="007175AF"/>
    <w:rsid w:val="00743EEE"/>
    <w:rsid w:val="007506F9"/>
    <w:rsid w:val="00762898"/>
    <w:rsid w:val="007A7231"/>
    <w:rsid w:val="007B2319"/>
    <w:rsid w:val="007C213F"/>
    <w:rsid w:val="007E4AA3"/>
    <w:rsid w:val="007E57AD"/>
    <w:rsid w:val="008008DE"/>
    <w:rsid w:val="00810525"/>
    <w:rsid w:val="008169F7"/>
    <w:rsid w:val="00820DB0"/>
    <w:rsid w:val="00844816"/>
    <w:rsid w:val="0084488A"/>
    <w:rsid w:val="00854B83"/>
    <w:rsid w:val="008B5096"/>
    <w:rsid w:val="008E1A2B"/>
    <w:rsid w:val="008F20FD"/>
    <w:rsid w:val="008F5B46"/>
    <w:rsid w:val="0092202F"/>
    <w:rsid w:val="00922354"/>
    <w:rsid w:val="00941262"/>
    <w:rsid w:val="0094722F"/>
    <w:rsid w:val="00947424"/>
    <w:rsid w:val="0097263D"/>
    <w:rsid w:val="009773EC"/>
    <w:rsid w:val="009E365C"/>
    <w:rsid w:val="00A1128F"/>
    <w:rsid w:val="00A27B53"/>
    <w:rsid w:val="00A30A8A"/>
    <w:rsid w:val="00A85976"/>
    <w:rsid w:val="00A92001"/>
    <w:rsid w:val="00AD24C1"/>
    <w:rsid w:val="00AF58BC"/>
    <w:rsid w:val="00B00E14"/>
    <w:rsid w:val="00B1093C"/>
    <w:rsid w:val="00B244B3"/>
    <w:rsid w:val="00B362EC"/>
    <w:rsid w:val="00B515F6"/>
    <w:rsid w:val="00B56E58"/>
    <w:rsid w:val="00B848A0"/>
    <w:rsid w:val="00B94317"/>
    <w:rsid w:val="00BA5CE1"/>
    <w:rsid w:val="00BB3183"/>
    <w:rsid w:val="00BC5818"/>
    <w:rsid w:val="00BD20A2"/>
    <w:rsid w:val="00BF023B"/>
    <w:rsid w:val="00C51C4E"/>
    <w:rsid w:val="00C65309"/>
    <w:rsid w:val="00C7753E"/>
    <w:rsid w:val="00C842D7"/>
    <w:rsid w:val="00C97A32"/>
    <w:rsid w:val="00D153E1"/>
    <w:rsid w:val="00D272DF"/>
    <w:rsid w:val="00D923F1"/>
    <w:rsid w:val="00D94533"/>
    <w:rsid w:val="00DA7BA8"/>
    <w:rsid w:val="00DB19CA"/>
    <w:rsid w:val="00DB35C0"/>
    <w:rsid w:val="00DB38A5"/>
    <w:rsid w:val="00DD1C4D"/>
    <w:rsid w:val="00E3009C"/>
    <w:rsid w:val="00E37AFF"/>
    <w:rsid w:val="00E57100"/>
    <w:rsid w:val="00E90B55"/>
    <w:rsid w:val="00F1501A"/>
    <w:rsid w:val="00F27F51"/>
    <w:rsid w:val="00F37AC7"/>
    <w:rsid w:val="00F4409B"/>
    <w:rsid w:val="00F51B6B"/>
    <w:rsid w:val="00FB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2B7F1"/>
  <w15:chartTrackingRefBased/>
  <w15:docId w15:val="{CCBDEAC9-8DE1-40BF-B464-BE810EE2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A2B"/>
    <w:pPr>
      <w:widowControl w:val="0"/>
    </w:pPr>
    <w:rPr>
      <w:rFonts w:ascii="Courier" w:hAnsi="Courier"/>
      <w:snapToGrid w:val="0"/>
      <w:sz w:val="24"/>
      <w:szCs w:val="24"/>
    </w:rPr>
  </w:style>
  <w:style w:type="paragraph" w:styleId="Heading1">
    <w:name w:val="heading 1"/>
    <w:basedOn w:val="Normal"/>
    <w:next w:val="Normal"/>
    <w:qFormat/>
    <w:rsid w:val="008E1A2B"/>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8E1A2B"/>
    <w:pPr>
      <w:keepNext/>
      <w:jc w:val="right"/>
      <w:outlineLvl w:val="5"/>
    </w:pPr>
    <w:rPr>
      <w:b/>
      <w:bCs/>
    </w:rPr>
  </w:style>
  <w:style w:type="paragraph" w:styleId="Heading7">
    <w:name w:val="heading 7"/>
    <w:basedOn w:val="Normal"/>
    <w:next w:val="Normal"/>
    <w:qFormat/>
    <w:rsid w:val="008E1A2B"/>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1A2B"/>
    <w:pPr>
      <w:tabs>
        <w:tab w:val="center" w:pos="4320"/>
        <w:tab w:val="right" w:pos="8640"/>
      </w:tabs>
    </w:pPr>
  </w:style>
  <w:style w:type="paragraph" w:styleId="BodyText2">
    <w:name w:val="Body Text 2"/>
    <w:basedOn w:val="Normal"/>
    <w:link w:val="BodyText2Char"/>
    <w:rsid w:val="008E1A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8E1A2B"/>
    <w:rPr>
      <w:i/>
      <w:iCs/>
    </w:rPr>
  </w:style>
  <w:style w:type="table" w:styleId="TableGrid">
    <w:name w:val="Table Grid"/>
    <w:basedOn w:val="TableNormal"/>
    <w:rsid w:val="008E1A2B"/>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A2B"/>
    <w:pPr>
      <w:ind w:left="720"/>
      <w:contextualSpacing/>
    </w:pPr>
  </w:style>
  <w:style w:type="paragraph" w:styleId="NoSpacing">
    <w:name w:val="No Spacing"/>
    <w:qFormat/>
    <w:rsid w:val="008E1A2B"/>
    <w:rPr>
      <w:sz w:val="24"/>
      <w:szCs w:val="24"/>
      <w:lang w:bidi="en-US"/>
    </w:rPr>
  </w:style>
  <w:style w:type="character" w:customStyle="1" w:styleId="BodyText2Char">
    <w:name w:val="Body Text 2 Char"/>
    <w:link w:val="BodyText2"/>
    <w:rsid w:val="008E1A2B"/>
    <w:rPr>
      <w:rFonts w:ascii="Courier" w:hAnsi="Courier"/>
      <w:b/>
      <w:bCs/>
      <w:i/>
      <w:iCs/>
      <w:snapToGrid w:val="0"/>
      <w:sz w:val="24"/>
      <w:szCs w:val="24"/>
      <w:lang w:val="en-US" w:eastAsia="en-US" w:bidi="ar-SA"/>
    </w:rPr>
  </w:style>
  <w:style w:type="character" w:customStyle="1" w:styleId="HeaderChar">
    <w:name w:val="Header Char"/>
    <w:link w:val="Header"/>
    <w:rsid w:val="008E1A2B"/>
    <w:rPr>
      <w:rFonts w:ascii="Courier" w:hAnsi="Courier"/>
      <w:snapToGrid w:val="0"/>
      <w:sz w:val="24"/>
      <w:szCs w:val="24"/>
      <w:lang w:val="en-US" w:eastAsia="en-US" w:bidi="ar-SA"/>
    </w:rPr>
  </w:style>
  <w:style w:type="paragraph" w:styleId="BodyTextIndent">
    <w:name w:val="Body Text Indent"/>
    <w:basedOn w:val="Normal"/>
    <w:rsid w:val="00486532"/>
    <w:pPr>
      <w:spacing w:after="120"/>
      <w:ind w:left="360"/>
    </w:pPr>
  </w:style>
  <w:style w:type="paragraph" w:styleId="DocumentMap">
    <w:name w:val="Document Map"/>
    <w:basedOn w:val="Normal"/>
    <w:semiHidden/>
    <w:rsid w:val="00667175"/>
    <w:pPr>
      <w:shd w:val="clear" w:color="auto" w:fill="000080"/>
    </w:pPr>
    <w:rPr>
      <w:rFonts w:ascii="Tahoma" w:hAnsi="Tahoma" w:cs="Tahoma"/>
      <w:sz w:val="20"/>
      <w:szCs w:val="20"/>
    </w:rPr>
  </w:style>
  <w:style w:type="paragraph" w:styleId="BalloonText">
    <w:name w:val="Balloon Text"/>
    <w:basedOn w:val="Normal"/>
    <w:link w:val="BalloonTextChar"/>
    <w:rsid w:val="004F3968"/>
    <w:rPr>
      <w:rFonts w:ascii="Segoe UI" w:hAnsi="Segoe UI" w:cs="Segoe UI"/>
      <w:sz w:val="18"/>
      <w:szCs w:val="18"/>
    </w:rPr>
  </w:style>
  <w:style w:type="character" w:customStyle="1" w:styleId="BalloonTextChar">
    <w:name w:val="Balloon Text Char"/>
    <w:link w:val="BalloonText"/>
    <w:rsid w:val="004F3968"/>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1723</Words>
  <Characters>9552</Characters>
  <Application>Microsoft Office Word</Application>
  <DocSecurity>0</DocSecurity>
  <Lines>232</Lines>
  <Paragraphs>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FORM SSA-2512</vt:lpstr>
      <vt:lpstr>OMB No. 0960-0120</vt:lpstr>
    </vt:vector>
  </TitlesOfParts>
  <Company>Social Security Administration</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SSA-2512</dc:title>
  <dc:subject/>
  <dc:creator>101040</dc:creator>
  <cp:keywords/>
  <cp:lastModifiedBy>SSA Response</cp:lastModifiedBy>
  <cp:revision>19</cp:revision>
  <cp:lastPrinted>2019-02-11T13:58:00Z</cp:lastPrinted>
  <dcterms:created xsi:type="dcterms:W3CDTF">2022-05-17T17:31:00Z</dcterms:created>
  <dcterms:modified xsi:type="dcterms:W3CDTF">2022-05-31T18:25:00Z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-186202252</vt:i4>
  </property>
  <property fmtid="{D5CDD505-2E9C-101B-9397-08002B2CF9AE}" pid="4" name="_EmailSubject">
    <vt:lpwstr>OISP OAESP RESPONSE - RE: OMB Expiration Notice: 0960-0120 (SSA-2512)</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-1994876117</vt:i4>
  </property>
  <property fmtid="{D5CDD505-2E9C-101B-9397-08002B2CF9AE}" pid="8" name="_ReviewingToolsShownOnce">
    <vt:lpwstr/>
  </property>
</Properties>
</file>