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2C4F75" w:rsidRDefault="002C4F75" w14:paraId="12EE9856" w14:textId="77777777">
      <w:pPr>
        <w:jc w:val="center"/>
        <w:rPr>
          <w:rFonts w:ascii="Arial" w:hAnsi="Arial" w:cs="Arial"/>
          <w:b/>
        </w:rPr>
      </w:pPr>
    </w:p>
    <w:p w:rsidRPr="002C4F75" w:rsidR="002C4F75" w:rsidP="002C4F75" w:rsidRDefault="002C4F75" w14:paraId="6656DB4E" w14:textId="77777777">
      <w:pPr>
        <w:pStyle w:val="ReportCover-Title"/>
        <w:rPr>
          <w:rFonts w:ascii="Arial" w:hAnsi="Arial" w:cs="Arial"/>
          <w:color w:val="auto"/>
        </w:rPr>
      </w:pPr>
    </w:p>
    <w:p w:rsidRPr="002C4F75" w:rsidR="002C4F75" w:rsidP="00917BA7" w:rsidRDefault="00917BA7" w14:paraId="781830F9" w14:textId="1CA3A9A5">
      <w:pPr>
        <w:pStyle w:val="ReportCover-Title"/>
        <w:jc w:val="center"/>
        <w:rPr>
          <w:rFonts w:ascii="Arial" w:hAnsi="Arial" w:cs="Arial"/>
          <w:color w:val="auto"/>
        </w:rPr>
      </w:pPr>
      <w:r w:rsidRPr="00917BA7">
        <w:rPr>
          <w:rFonts w:ascii="Arial" w:hAnsi="Arial" w:eastAsia="Arial Unicode MS" w:cs="Arial"/>
          <w:noProof/>
          <w:color w:val="auto"/>
        </w:rPr>
        <w:t>Voices of Freedom</w:t>
      </w:r>
    </w:p>
    <w:p w:rsidRPr="002C4F75" w:rsidR="002C4F75" w:rsidP="002C4F75" w:rsidRDefault="002C4F75" w14:paraId="531BA742" w14:textId="77777777">
      <w:pPr>
        <w:pStyle w:val="ReportCover-Title"/>
        <w:rPr>
          <w:rFonts w:ascii="Arial" w:hAnsi="Arial" w:cs="Arial"/>
          <w:color w:val="auto"/>
        </w:rPr>
      </w:pPr>
    </w:p>
    <w:p w:rsidRPr="00917BA7" w:rsidR="00984BBF" w:rsidP="002C4F75" w:rsidRDefault="00984BBF" w14:paraId="66EC70E8" w14:textId="77777777">
      <w:pPr>
        <w:pStyle w:val="ReportCover-Title"/>
        <w:jc w:val="center"/>
        <w:rPr>
          <w:rFonts w:ascii="Arial" w:hAnsi="Arial" w:cs="Arial"/>
          <w:color w:val="auto"/>
          <w:sz w:val="32"/>
          <w:szCs w:val="32"/>
        </w:rPr>
      </w:pPr>
      <w:r w:rsidRPr="00917BA7">
        <w:rPr>
          <w:rFonts w:ascii="Arial" w:hAnsi="Arial" w:cs="Arial"/>
          <w:color w:val="auto"/>
          <w:sz w:val="32"/>
          <w:szCs w:val="32"/>
        </w:rPr>
        <w:t>Formative Data Collections for Program Support</w:t>
      </w:r>
    </w:p>
    <w:p w:rsidRPr="002C4F75" w:rsidR="006D2637" w:rsidP="002C4F75" w:rsidRDefault="006D2637" w14:paraId="1F236595" w14:textId="77777777">
      <w:pPr>
        <w:pStyle w:val="ReportCover-Title"/>
        <w:jc w:val="center"/>
        <w:rPr>
          <w:rFonts w:ascii="Arial" w:hAnsi="Arial" w:cs="Arial"/>
          <w:color w:val="auto"/>
          <w:sz w:val="32"/>
          <w:szCs w:val="32"/>
        </w:rPr>
      </w:pPr>
    </w:p>
    <w:p w:rsidRPr="002C4F75" w:rsidR="002C4F75" w:rsidP="002C4F75" w:rsidRDefault="002C4F75" w14:paraId="2BFCD42E" w14:textId="26EE7642">
      <w:pPr>
        <w:pStyle w:val="ReportCover-Title"/>
        <w:jc w:val="center"/>
        <w:rPr>
          <w:rFonts w:ascii="Arial" w:hAnsi="Arial" w:cs="Arial"/>
          <w:color w:val="auto"/>
          <w:sz w:val="32"/>
          <w:szCs w:val="32"/>
        </w:rPr>
      </w:pPr>
      <w:r w:rsidRPr="00831D7B">
        <w:rPr>
          <w:rFonts w:ascii="Arial" w:hAnsi="Arial" w:cs="Arial"/>
          <w:color w:val="auto"/>
          <w:sz w:val="32"/>
          <w:szCs w:val="32"/>
        </w:rPr>
        <w:t xml:space="preserve">0970 - </w:t>
      </w:r>
      <w:r w:rsidRPr="00831D7B" w:rsidR="006D2637">
        <w:rPr>
          <w:rFonts w:ascii="Arial" w:hAnsi="Arial" w:cs="Arial"/>
          <w:color w:val="auto"/>
          <w:sz w:val="32"/>
          <w:szCs w:val="32"/>
        </w:rPr>
        <w:t>05</w:t>
      </w:r>
      <w:r w:rsidR="00074C7F">
        <w:rPr>
          <w:rFonts w:ascii="Arial" w:hAnsi="Arial" w:cs="Arial"/>
          <w:color w:val="auto"/>
          <w:sz w:val="32"/>
          <w:szCs w:val="32"/>
        </w:rPr>
        <w:t>3</w:t>
      </w:r>
      <w:r w:rsidRPr="00831D7B" w:rsidR="00917BA7">
        <w:rPr>
          <w:rFonts w:ascii="Arial" w:hAnsi="Arial" w:cs="Arial"/>
          <w:color w:val="auto"/>
          <w:sz w:val="32"/>
          <w:szCs w:val="32"/>
        </w:rPr>
        <w:t>1</w:t>
      </w:r>
    </w:p>
    <w:p w:rsidRPr="002C4F75" w:rsidR="002C4F75" w:rsidP="002C4F75" w:rsidRDefault="002C4F75" w14:paraId="1D64B464" w14:textId="77777777">
      <w:pPr>
        <w:rPr>
          <w:rFonts w:ascii="Arial" w:hAnsi="Arial" w:cs="Arial"/>
          <w:szCs w:val="22"/>
        </w:rPr>
      </w:pPr>
    </w:p>
    <w:p w:rsidRPr="002C4F75" w:rsidR="002C4F75" w:rsidP="002C4F75" w:rsidRDefault="002C4F75" w14:paraId="3B692556" w14:textId="77777777">
      <w:pPr>
        <w:pStyle w:val="ReportCover-Date"/>
        <w:jc w:val="center"/>
        <w:rPr>
          <w:rFonts w:ascii="Arial" w:hAnsi="Arial" w:cs="Arial"/>
          <w:color w:val="auto"/>
        </w:rPr>
      </w:pPr>
    </w:p>
    <w:p w:rsidRPr="002C4F75" w:rsidR="002C4F75" w:rsidP="002C4F75"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2C4F75"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2C4F75" w:rsidRDefault="00831D7B" w14:paraId="153EDE13" w14:textId="1CB1FC14">
      <w:pPr>
        <w:pStyle w:val="ReportCover-Date"/>
        <w:jc w:val="center"/>
        <w:rPr>
          <w:rFonts w:ascii="Arial" w:hAnsi="Arial" w:cs="Arial"/>
          <w:color w:val="auto"/>
        </w:rPr>
      </w:pPr>
      <w:r>
        <w:rPr>
          <w:rFonts w:ascii="Arial" w:hAnsi="Arial" w:cs="Arial"/>
          <w:color w:val="auto"/>
        </w:rPr>
        <w:t>February 2021</w:t>
      </w:r>
    </w:p>
    <w:p w:rsidRPr="002C4F75" w:rsidR="002C4F75" w:rsidP="002C4F75" w:rsidRDefault="002C4F75" w14:paraId="27DA3839" w14:textId="77777777">
      <w:pPr>
        <w:jc w:val="center"/>
        <w:rPr>
          <w:rFonts w:ascii="Arial" w:hAnsi="Arial" w:cs="Arial"/>
        </w:rPr>
      </w:pPr>
    </w:p>
    <w:p w:rsidRPr="002C4F75" w:rsidR="002C4F75" w:rsidP="002C4F75" w:rsidRDefault="002C4F75" w14:paraId="79ABBAD2" w14:textId="77777777">
      <w:pPr>
        <w:jc w:val="center"/>
        <w:rPr>
          <w:rFonts w:ascii="Arial" w:hAnsi="Arial" w:cs="Arial"/>
        </w:rPr>
      </w:pPr>
      <w:r w:rsidRPr="002C4F75">
        <w:rPr>
          <w:rFonts w:ascii="Arial" w:hAnsi="Arial" w:cs="Arial"/>
        </w:rPr>
        <w:t>Submitted By:</w:t>
      </w:r>
    </w:p>
    <w:p w:rsidRPr="002C4F75" w:rsidR="002C4F75" w:rsidP="002C4F75" w:rsidRDefault="002C4F75" w14:paraId="4C2AFB81" w14:textId="1B220BD1">
      <w:pPr>
        <w:jc w:val="center"/>
        <w:rPr>
          <w:rFonts w:ascii="Arial" w:hAnsi="Arial" w:cs="Arial"/>
        </w:rPr>
      </w:pPr>
      <w:r w:rsidRPr="002C4F75">
        <w:rPr>
          <w:rFonts w:ascii="Arial" w:hAnsi="Arial" w:cs="Arial"/>
        </w:rPr>
        <w:t xml:space="preserve">Office </w:t>
      </w:r>
      <w:r w:rsidR="00831D7B">
        <w:rPr>
          <w:rFonts w:ascii="Arial" w:hAnsi="Arial" w:cs="Arial"/>
        </w:rPr>
        <w:t>on Trafficking in Persons</w:t>
      </w:r>
    </w:p>
    <w:p w:rsidRPr="002C4F75" w:rsidR="002C4F75" w:rsidP="002C4F75"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2C4F75"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2C4F75" w:rsidRDefault="002C4F75" w14:paraId="5BB8A166" w14:textId="77777777">
      <w:pPr>
        <w:jc w:val="center"/>
        <w:rPr>
          <w:rFonts w:ascii="Arial" w:hAnsi="Arial" w:cs="Arial"/>
        </w:rPr>
      </w:pPr>
    </w:p>
    <w:p w:rsidRPr="002C4F75" w:rsidR="002C4F75" w:rsidP="002C4F75"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2C4F75"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2C4F75"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2C4F75" w:rsidRDefault="002C4F75" w14:paraId="258A9347" w14:textId="77777777">
      <w:pPr>
        <w:jc w:val="center"/>
        <w:rPr>
          <w:rFonts w:ascii="Arial" w:hAnsi="Arial" w:cs="Arial"/>
        </w:rPr>
      </w:pPr>
    </w:p>
    <w:p w:rsidRPr="002C4F75" w:rsidR="002C4F75" w:rsidP="00831D7B" w:rsidRDefault="002C4F75" w14:paraId="5040D306" w14:textId="77777777">
      <w:pPr>
        <w:jc w:val="center"/>
        <w:rPr>
          <w:rFonts w:ascii="Arial" w:hAnsi="Arial" w:cs="Arial"/>
        </w:rPr>
      </w:pPr>
      <w:r w:rsidRPr="00BE7952">
        <w:rPr>
          <w:rFonts w:ascii="Arial" w:hAnsi="Arial" w:cs="Arial"/>
        </w:rPr>
        <w:t>Project Officers:</w:t>
      </w:r>
    </w:p>
    <w:p w:rsidR="002C4F75" w:rsidP="00831D7B" w:rsidRDefault="002C4F75" w14:paraId="61EC6AEA" w14:textId="77777777">
      <w:pPr>
        <w:jc w:val="center"/>
        <w:rPr>
          <w:b/>
        </w:rPr>
      </w:pPr>
    </w:p>
    <w:p w:rsidR="00BE7952" w:rsidP="00831D7B" w:rsidRDefault="00BE7952" w14:paraId="45CE75C3" w14:textId="77777777">
      <w:pPr>
        <w:jc w:val="center"/>
        <w:rPr>
          <w:b/>
        </w:rPr>
      </w:pPr>
    </w:p>
    <w:p w:rsidRPr="00831D7B" w:rsidR="00BE7952" w:rsidP="00831D7B" w:rsidRDefault="00831D7B" w14:paraId="1C88A31E" w14:textId="02912AA2">
      <w:pPr>
        <w:jc w:val="center"/>
        <w:rPr>
          <w:rFonts w:ascii="Arial" w:hAnsi="Arial" w:cs="Arial"/>
        </w:rPr>
      </w:pPr>
      <w:r>
        <w:rPr>
          <w:rFonts w:ascii="Arial" w:hAnsi="Arial" w:cs="Arial"/>
        </w:rPr>
        <w:t>Vera Kiefer, Research and Data Collection Analyst</w:t>
      </w:r>
    </w:p>
    <w:p w:rsidRPr="00831D7B" w:rsidR="00831D7B" w:rsidP="00831D7B" w:rsidRDefault="00831D7B" w14:paraId="6D845BC6" w14:textId="2EB5B727">
      <w:pPr>
        <w:jc w:val="center"/>
        <w:rPr>
          <w:rFonts w:ascii="Arial" w:hAnsi="Arial" w:cs="Arial"/>
        </w:rPr>
      </w:pPr>
      <w:r w:rsidRPr="00831D7B">
        <w:rPr>
          <w:rFonts w:ascii="Arial" w:hAnsi="Arial" w:cs="Arial"/>
        </w:rPr>
        <w:t>Kimberly Casey</w:t>
      </w:r>
      <w:r>
        <w:rPr>
          <w:rFonts w:ascii="Arial" w:hAnsi="Arial" w:cs="Arial"/>
        </w:rPr>
        <w:t xml:space="preserve">, </w:t>
      </w:r>
      <w:r w:rsidR="00582677">
        <w:rPr>
          <w:rFonts w:ascii="Arial" w:hAnsi="Arial" w:cs="Arial"/>
        </w:rPr>
        <w:t>Communications and Prevention</w:t>
      </w:r>
      <w:r>
        <w:rPr>
          <w:rFonts w:ascii="Arial" w:hAnsi="Arial" w:cs="Arial"/>
        </w:rPr>
        <w:t xml:space="preserve"> Specialist</w:t>
      </w:r>
    </w:p>
    <w:p w:rsidR="00BE7952" w:rsidP="00831D7B" w:rsidRDefault="00BE7952" w14:paraId="40E6713E" w14:textId="77777777">
      <w:pPr>
        <w:jc w:val="center"/>
        <w:rPr>
          <w:b/>
        </w:rPr>
      </w:pPr>
    </w:p>
    <w:p w:rsidR="00831D7B" w:rsidP="00831D7B" w:rsidRDefault="00831D7B" w14:paraId="57F7C6E2" w14:textId="209F8C50">
      <w:pPr>
        <w:spacing w:after="120"/>
        <w:rPr>
          <w:b/>
        </w:rPr>
      </w:pPr>
    </w:p>
    <w:p w:rsidR="00CB2559" w:rsidP="00831D7B" w:rsidRDefault="00CB2559" w14:paraId="23D6954F" w14:textId="77777777">
      <w:pPr>
        <w:spacing w:after="120"/>
        <w:rPr>
          <w:b/>
        </w:rPr>
      </w:pPr>
    </w:p>
    <w:p w:rsidRPr="000D53DF" w:rsidR="00945CD6" w:rsidP="00436F5E" w:rsidRDefault="00292B70" w14:paraId="63932BF7" w14:textId="78D329CE">
      <w:pPr>
        <w:spacing w:after="120"/>
        <w:rPr>
          <w:b/>
        </w:rPr>
      </w:pPr>
      <w:r w:rsidRPr="000D53DF">
        <w:rPr>
          <w:b/>
        </w:rPr>
        <w:lastRenderedPageBreak/>
        <w:t xml:space="preserve">A1. </w:t>
      </w:r>
      <w:r w:rsidRPr="000D53DF" w:rsidR="00945CD6">
        <w:rPr>
          <w:b/>
        </w:rPr>
        <w:t>Necessity for the Data Collection</w:t>
      </w:r>
    </w:p>
    <w:p w:rsidRPr="00161791" w:rsidR="00984CA2" w:rsidP="00A43A8A" w:rsidRDefault="00984CA2" w14:paraId="516D2FC4" w14:textId="2A15E783">
      <w:pPr>
        <w:rPr>
          <w:szCs w:val="22"/>
        </w:rPr>
      </w:pPr>
      <w:r w:rsidRPr="00161791">
        <w:rPr>
          <w:szCs w:val="22"/>
        </w:rPr>
        <w:t>The Administration for Children and Families (ACF) at the U.S. Department of Health and Human Servi</w:t>
      </w:r>
      <w:r w:rsidRPr="00161791" w:rsidR="00A43A8A">
        <w:rPr>
          <w:szCs w:val="22"/>
        </w:rPr>
        <w:t xml:space="preserve">ces (HHS) seeks approval for </w:t>
      </w:r>
      <w:r w:rsidRPr="00161791" w:rsidR="00193AFD">
        <w:rPr>
          <w:szCs w:val="22"/>
        </w:rPr>
        <w:t>Voices of Freedom</w:t>
      </w:r>
      <w:r w:rsidR="0053416E">
        <w:rPr>
          <w:szCs w:val="22"/>
        </w:rPr>
        <w:t xml:space="preserve"> </w:t>
      </w:r>
      <w:r w:rsidRPr="00161791" w:rsidR="00A43A8A">
        <w:rPr>
          <w:szCs w:val="22"/>
        </w:rPr>
        <w:t xml:space="preserve">under the </w:t>
      </w:r>
      <w:r w:rsidRPr="00161791" w:rsidR="00193AFD">
        <w:rPr>
          <w:szCs w:val="22"/>
        </w:rPr>
        <w:t>Formative Data Collections for Program Support</w:t>
      </w:r>
      <w:r w:rsidRPr="00161791" w:rsidR="00A43A8A">
        <w:rPr>
          <w:szCs w:val="22"/>
        </w:rPr>
        <w:t xml:space="preserve"> (0970-0531).</w:t>
      </w:r>
    </w:p>
    <w:p w:rsidRPr="00161791" w:rsidR="00984CA2" w:rsidP="00A43A8A" w:rsidRDefault="00984CA2" w14:paraId="64CE4BD1" w14:textId="77777777">
      <w:pPr>
        <w:rPr>
          <w:szCs w:val="22"/>
        </w:rPr>
      </w:pPr>
    </w:p>
    <w:p w:rsidRPr="0053416E" w:rsidR="00984CA2" w:rsidP="00436F5E" w:rsidRDefault="001E2F08" w14:paraId="34493FD2" w14:textId="07B7441F">
      <w:pPr>
        <w:pStyle w:val="Heading4"/>
        <w:numPr>
          <w:ilvl w:val="3"/>
          <w:numId w:val="0"/>
        </w:numPr>
        <w:tabs>
          <w:tab w:val="num" w:pos="180"/>
        </w:tabs>
        <w:spacing w:before="60" w:line="264" w:lineRule="auto"/>
        <w:rPr>
          <w:rFonts w:ascii="Times New Roman" w:hAnsi="Times New Roman"/>
          <w:b w:val="0"/>
          <w:i/>
          <w:sz w:val="24"/>
          <w:szCs w:val="24"/>
        </w:rPr>
      </w:pPr>
      <w:r w:rsidRPr="0053416E">
        <w:rPr>
          <w:rFonts w:ascii="Times New Roman" w:hAnsi="Times New Roman"/>
          <w:b w:val="0"/>
          <w:i/>
          <w:sz w:val="24"/>
          <w:szCs w:val="24"/>
        </w:rPr>
        <w:t xml:space="preserve">Initiative </w:t>
      </w:r>
      <w:r w:rsidRPr="0053416E" w:rsidR="00984CA2">
        <w:rPr>
          <w:rFonts w:ascii="Times New Roman" w:hAnsi="Times New Roman"/>
          <w:b w:val="0"/>
          <w:i/>
          <w:sz w:val="24"/>
          <w:szCs w:val="24"/>
        </w:rPr>
        <w:t xml:space="preserve">Background </w:t>
      </w:r>
    </w:p>
    <w:p w:rsidRPr="00161791" w:rsidR="00C35FE6" w:rsidP="00C35FE6" w:rsidRDefault="00C35FE6" w14:paraId="3A6C87E0" w14:textId="50BDB893">
      <w:pPr>
        <w:rPr>
          <w:szCs w:val="22"/>
        </w:rPr>
      </w:pPr>
      <w:r w:rsidRPr="00161791">
        <w:rPr>
          <w:szCs w:val="22"/>
        </w:rPr>
        <w:t>Individuals in marginalized communities have experienced forced labor and commercial sexual</w:t>
      </w:r>
      <w:r w:rsidR="00074C7F">
        <w:rPr>
          <w:szCs w:val="22"/>
        </w:rPr>
        <w:t xml:space="preserve"> </w:t>
      </w:r>
      <w:r w:rsidRPr="00161791">
        <w:rPr>
          <w:szCs w:val="22"/>
        </w:rPr>
        <w:t>exploitation in the United States since its founding, yet prior to the passage of the Trafficking</w:t>
      </w:r>
      <w:r w:rsidR="00074C7F">
        <w:rPr>
          <w:szCs w:val="22"/>
        </w:rPr>
        <w:t xml:space="preserve"> </w:t>
      </w:r>
      <w:r w:rsidRPr="00161791">
        <w:rPr>
          <w:szCs w:val="22"/>
        </w:rPr>
        <w:t>Victims Protection Act of 2000 (TVPA), these abuses were not defined or clearly designated as a</w:t>
      </w:r>
      <w:r w:rsidR="00074C7F">
        <w:rPr>
          <w:szCs w:val="22"/>
        </w:rPr>
        <w:t xml:space="preserve"> </w:t>
      </w:r>
      <w:r w:rsidRPr="00161791">
        <w:rPr>
          <w:szCs w:val="22"/>
        </w:rPr>
        <w:t>crime in Federal law. Survivors of human trafficking were refused access to justice and services</w:t>
      </w:r>
      <w:r w:rsidR="00074C7F">
        <w:rPr>
          <w:szCs w:val="22"/>
        </w:rPr>
        <w:t xml:space="preserve"> </w:t>
      </w:r>
      <w:r w:rsidRPr="00161791">
        <w:rPr>
          <w:szCs w:val="22"/>
        </w:rPr>
        <w:t xml:space="preserve">and were often blamed, stigmatized, and criminalized for the </w:t>
      </w:r>
      <w:r w:rsidR="0068086F">
        <w:rPr>
          <w:szCs w:val="22"/>
        </w:rPr>
        <w:t>exploitation</w:t>
      </w:r>
      <w:r w:rsidRPr="00161791" w:rsidR="0068086F">
        <w:rPr>
          <w:szCs w:val="22"/>
        </w:rPr>
        <w:t xml:space="preserve"> </w:t>
      </w:r>
      <w:r w:rsidRPr="00161791">
        <w:rPr>
          <w:szCs w:val="22"/>
        </w:rPr>
        <w:t>they experienced.</w:t>
      </w:r>
    </w:p>
    <w:p w:rsidRPr="00161791" w:rsidR="00C35FE6" w:rsidP="00C35FE6" w:rsidRDefault="00C35FE6" w14:paraId="4096FB92" w14:textId="77777777">
      <w:pPr>
        <w:rPr>
          <w:szCs w:val="22"/>
        </w:rPr>
      </w:pPr>
    </w:p>
    <w:p w:rsidRPr="00161791" w:rsidR="00C35FE6" w:rsidP="00C35FE6" w:rsidRDefault="00C35FE6" w14:paraId="25EEA2EC" w14:textId="4FF1BAE2">
      <w:pPr>
        <w:rPr>
          <w:szCs w:val="22"/>
        </w:rPr>
      </w:pPr>
      <w:r w:rsidRPr="00161791">
        <w:rPr>
          <w:szCs w:val="22"/>
        </w:rPr>
        <w:t>The passage of the TVPA marked a turning point for survivors. For the first time, the Federal</w:t>
      </w:r>
      <w:r w:rsidR="00074C7F">
        <w:rPr>
          <w:szCs w:val="22"/>
        </w:rPr>
        <w:t xml:space="preserve"> </w:t>
      </w:r>
      <w:r w:rsidRPr="00161791">
        <w:rPr>
          <w:szCs w:val="22"/>
        </w:rPr>
        <w:t>government recognized their victimization and committed resources to help identify, protect, and</w:t>
      </w:r>
      <w:r w:rsidR="00074C7F">
        <w:rPr>
          <w:szCs w:val="22"/>
        </w:rPr>
        <w:t xml:space="preserve"> </w:t>
      </w:r>
      <w:r w:rsidRPr="00161791">
        <w:rPr>
          <w:szCs w:val="22"/>
        </w:rPr>
        <w:t>provide access to justice. Public awareness and education about the realities of human trafficking</w:t>
      </w:r>
      <w:r w:rsidR="00074C7F">
        <w:rPr>
          <w:szCs w:val="22"/>
        </w:rPr>
        <w:t xml:space="preserve"> </w:t>
      </w:r>
      <w:r w:rsidRPr="00161791">
        <w:rPr>
          <w:szCs w:val="22"/>
        </w:rPr>
        <w:t>have led to a remarkable change in perspectives about the long-term impact of human trafficking</w:t>
      </w:r>
      <w:r w:rsidR="00074C7F">
        <w:rPr>
          <w:szCs w:val="22"/>
        </w:rPr>
        <w:t xml:space="preserve"> </w:t>
      </w:r>
      <w:r w:rsidRPr="00161791">
        <w:rPr>
          <w:szCs w:val="22"/>
        </w:rPr>
        <w:t>on individuals, families, and communities. Still, there is more work to be done, and the voices of</w:t>
      </w:r>
      <w:r w:rsidR="00074C7F">
        <w:rPr>
          <w:szCs w:val="22"/>
        </w:rPr>
        <w:t xml:space="preserve"> </w:t>
      </w:r>
      <w:r w:rsidRPr="00161791">
        <w:rPr>
          <w:szCs w:val="22"/>
        </w:rPr>
        <w:t>survivors, advocates, and service providers are critical to continued progress towards positive</w:t>
      </w:r>
      <w:r w:rsidR="00074C7F">
        <w:rPr>
          <w:szCs w:val="22"/>
        </w:rPr>
        <w:t xml:space="preserve"> </w:t>
      </w:r>
      <w:r w:rsidRPr="00161791">
        <w:rPr>
          <w:szCs w:val="22"/>
        </w:rPr>
        <w:t>change.</w:t>
      </w:r>
    </w:p>
    <w:p w:rsidRPr="00161791" w:rsidR="00C35FE6" w:rsidP="00C35FE6" w:rsidRDefault="00C35FE6" w14:paraId="158E1B73" w14:textId="77777777">
      <w:pPr>
        <w:rPr>
          <w:szCs w:val="22"/>
        </w:rPr>
      </w:pPr>
    </w:p>
    <w:p w:rsidR="00C35FE6" w:rsidP="00C35FE6" w:rsidRDefault="007344EE" w14:paraId="692A835F" w14:textId="72A17265">
      <w:pPr>
        <w:rPr>
          <w:szCs w:val="22"/>
        </w:rPr>
      </w:pPr>
      <w:r>
        <w:rPr>
          <w:szCs w:val="22"/>
        </w:rPr>
        <w:t>T</w:t>
      </w:r>
      <w:r w:rsidRPr="00161791" w:rsidR="00C35FE6">
        <w:rPr>
          <w:szCs w:val="22"/>
        </w:rPr>
        <w:t>he Office on Trafficking</w:t>
      </w:r>
      <w:r w:rsidR="00074C7F">
        <w:rPr>
          <w:szCs w:val="22"/>
        </w:rPr>
        <w:t xml:space="preserve"> </w:t>
      </w:r>
      <w:r w:rsidRPr="00161791" w:rsidR="00C35FE6">
        <w:rPr>
          <w:szCs w:val="22"/>
        </w:rPr>
        <w:t xml:space="preserve">in Persons (OTIP) is </w:t>
      </w:r>
      <w:r>
        <w:rPr>
          <w:szCs w:val="22"/>
        </w:rPr>
        <w:t>planning</w:t>
      </w:r>
      <w:r w:rsidRPr="00161791" w:rsidR="00C35FE6">
        <w:rPr>
          <w:szCs w:val="22"/>
        </w:rPr>
        <w:t xml:space="preserve"> a</w:t>
      </w:r>
      <w:r w:rsidR="00074C7F">
        <w:rPr>
          <w:szCs w:val="22"/>
        </w:rPr>
        <w:t xml:space="preserve"> </w:t>
      </w:r>
      <w:r w:rsidRPr="00161791" w:rsidR="00C35FE6">
        <w:rPr>
          <w:szCs w:val="22"/>
        </w:rPr>
        <w:t>series of</w:t>
      </w:r>
      <w:r w:rsidR="00611A7D">
        <w:rPr>
          <w:szCs w:val="22"/>
        </w:rPr>
        <w:t xml:space="preserve"> conversations</w:t>
      </w:r>
      <w:r>
        <w:rPr>
          <w:szCs w:val="22"/>
        </w:rPr>
        <w:t>/interviews</w:t>
      </w:r>
      <w:r w:rsidRPr="00161791" w:rsidR="00C35FE6">
        <w:rPr>
          <w:szCs w:val="22"/>
        </w:rPr>
        <w:t xml:space="preserve"> with survivors and advocates. </w:t>
      </w:r>
    </w:p>
    <w:p w:rsidRPr="00161791" w:rsidR="006E784C" w:rsidP="00C35FE6" w:rsidRDefault="006E784C" w14:paraId="58BAC685" w14:textId="77777777">
      <w:pPr>
        <w:rPr>
          <w:szCs w:val="22"/>
        </w:rPr>
      </w:pPr>
    </w:p>
    <w:p w:rsidRPr="00161791" w:rsidR="00074C7F" w:rsidP="00074C7F" w:rsidRDefault="00074C7F" w14:paraId="09A78577" w14:textId="2FE0BC4E">
      <w:pPr>
        <w:pStyle w:val="Heading4"/>
        <w:numPr>
          <w:ilvl w:val="3"/>
          <w:numId w:val="0"/>
        </w:numPr>
        <w:tabs>
          <w:tab w:val="num" w:pos="180"/>
        </w:tabs>
        <w:spacing w:before="60" w:line="264" w:lineRule="auto"/>
        <w:rPr>
          <w:rFonts w:ascii="Times New Roman" w:hAnsi="Times New Roman"/>
          <w:b w:val="0"/>
          <w:sz w:val="24"/>
          <w:szCs w:val="24"/>
        </w:rPr>
      </w:pPr>
      <w:r w:rsidRPr="00161791">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Pr="00161791" w:rsidR="00074C7F" w:rsidP="00074C7F" w:rsidRDefault="00074C7F" w14:paraId="1518A84E" w14:textId="77777777">
      <w:pPr>
        <w:pStyle w:val="ListParagraph"/>
        <w:numPr>
          <w:ilvl w:val="0"/>
          <w:numId w:val="18"/>
        </w:numPr>
        <w:ind w:left="720"/>
        <w:rPr>
          <w:sz w:val="24"/>
          <w:szCs w:val="22"/>
        </w:rPr>
      </w:pPr>
      <w:r w:rsidRPr="00161791">
        <w:rPr>
          <w:sz w:val="24"/>
          <w:szCs w:val="22"/>
        </w:rPr>
        <w:t>Development of learning agendas and research priorities.</w:t>
      </w:r>
    </w:p>
    <w:p w:rsidRPr="0053416E" w:rsidR="00984CA2" w:rsidP="00C35FE6" w:rsidRDefault="00984CA2" w14:paraId="2D496819" w14:textId="0D96B1AA"/>
    <w:p w:rsidRPr="0053416E" w:rsidR="00984CA2" w:rsidP="00436F5E" w:rsidRDefault="00984CA2" w14:paraId="742B4ABD" w14:textId="77777777">
      <w:pPr>
        <w:pStyle w:val="Heading4"/>
        <w:numPr>
          <w:ilvl w:val="3"/>
          <w:numId w:val="0"/>
        </w:numPr>
        <w:tabs>
          <w:tab w:val="num" w:pos="180"/>
        </w:tabs>
        <w:spacing w:before="60" w:line="264" w:lineRule="auto"/>
        <w:rPr>
          <w:rFonts w:ascii="Times New Roman" w:hAnsi="Times New Roman"/>
          <w:b w:val="0"/>
          <w:i/>
          <w:sz w:val="24"/>
          <w:szCs w:val="24"/>
        </w:rPr>
      </w:pPr>
      <w:r w:rsidRPr="0053416E">
        <w:rPr>
          <w:rFonts w:ascii="Times New Roman" w:hAnsi="Times New Roman"/>
          <w:b w:val="0"/>
          <w:i/>
          <w:sz w:val="24"/>
          <w:szCs w:val="24"/>
        </w:rPr>
        <w:t xml:space="preserve">Legal or Administrative Requirements that Necessitate the Collection </w:t>
      </w:r>
    </w:p>
    <w:p w:rsidRPr="00161791" w:rsidR="00EA12DE" w:rsidP="00C35FE6" w:rsidRDefault="00EA12DE" w14:paraId="3BDF35B0" w14:textId="1F0080E4">
      <w:pPr>
        <w:rPr>
          <w:sz w:val="28"/>
        </w:rPr>
      </w:pPr>
      <w:r w:rsidRPr="00161791">
        <w:rPr>
          <w:szCs w:val="22"/>
        </w:rPr>
        <w:t xml:space="preserve">There are no legal or administrative requirements that necessitate the collection. </w:t>
      </w:r>
      <w:r w:rsidRPr="00161791">
        <w:t xml:space="preserve">ACF is undertaking the collection at the </w:t>
      </w:r>
      <w:r w:rsidR="007349F6">
        <w:t xml:space="preserve">creative </w:t>
      </w:r>
      <w:r w:rsidRPr="00161791">
        <w:t>discretion of the agency.</w:t>
      </w:r>
    </w:p>
    <w:p w:rsidR="00BE7952" w:rsidP="00C35FE6" w:rsidRDefault="00BE7952" w14:paraId="51D13214" w14:textId="6E7B231C">
      <w:pPr>
        <w:rPr>
          <w:b/>
        </w:rPr>
      </w:pPr>
    </w:p>
    <w:p w:rsidR="00CB2559" w:rsidP="00C35FE6" w:rsidRDefault="00CB2559" w14:paraId="04FEDE4A" w14:textId="77777777">
      <w:pPr>
        <w:rPr>
          <w:b/>
        </w:rPr>
      </w:pPr>
    </w:p>
    <w:p w:rsidRPr="0072204D" w:rsidR="00945CD6" w:rsidP="00436F5E" w:rsidRDefault="00292B70" w14:paraId="617B0354" w14:textId="52755B35">
      <w:pPr>
        <w:spacing w:after="120"/>
        <w:rPr>
          <w:b/>
        </w:rPr>
      </w:pPr>
      <w:r>
        <w:rPr>
          <w:b/>
        </w:rPr>
        <w:t xml:space="preserve">A2. </w:t>
      </w:r>
      <w:r w:rsidR="001E2F08">
        <w:rPr>
          <w:b/>
        </w:rPr>
        <w:t xml:space="preserve">Initiative </w:t>
      </w:r>
      <w:r w:rsidR="00E56B7A">
        <w:rPr>
          <w:b/>
        </w:rPr>
        <w:t>Purpose</w:t>
      </w:r>
      <w:r w:rsidRPr="0072204D" w:rsidR="00945CD6">
        <w:rPr>
          <w:b/>
        </w:rPr>
        <w:t xml:space="preserve"> and Data Collection Procedures</w:t>
      </w:r>
    </w:p>
    <w:p w:rsidRPr="0053416E" w:rsidR="00D90EF6" w:rsidP="00C35FE6" w:rsidRDefault="00984CA2" w14:paraId="352753BD" w14:textId="7CD2EA74">
      <w:pPr>
        <w:spacing w:after="60"/>
        <w:rPr>
          <w:i/>
        </w:rPr>
      </w:pPr>
      <w:r w:rsidRPr="0053416E">
        <w:rPr>
          <w:i/>
        </w:rPr>
        <w:t>Overview of Purpose and Approach</w:t>
      </w:r>
    </w:p>
    <w:p w:rsidRPr="00094E1E" w:rsidR="00C35FE6" w:rsidP="0053416E" w:rsidRDefault="007344EE" w14:paraId="42794CE4" w14:textId="772348F2">
      <w:pPr>
        <w:rPr>
          <w:szCs w:val="22"/>
        </w:rPr>
      </w:pPr>
      <w:r>
        <w:rPr>
          <w:szCs w:val="22"/>
        </w:rPr>
        <w:t xml:space="preserve">Interviewees will include </w:t>
      </w:r>
      <w:r w:rsidRPr="007344EE" w:rsidR="00C35FE6">
        <w:rPr>
          <w:szCs w:val="22"/>
        </w:rPr>
        <w:t xml:space="preserve">survivors who experienced human </w:t>
      </w:r>
      <w:r w:rsidRPr="007344EE" w:rsidR="00D13856">
        <w:rPr>
          <w:szCs w:val="22"/>
        </w:rPr>
        <w:t xml:space="preserve">trafficking prior to the passage </w:t>
      </w:r>
      <w:r w:rsidRPr="007344EE" w:rsidR="00C35FE6">
        <w:rPr>
          <w:szCs w:val="22"/>
        </w:rPr>
        <w:t>of the TVPA and those who have had access to the protections and services provided</w:t>
      </w:r>
      <w:r w:rsidRPr="007344EE" w:rsidR="00D13856">
        <w:rPr>
          <w:szCs w:val="22"/>
        </w:rPr>
        <w:t xml:space="preserve"> </w:t>
      </w:r>
      <w:r w:rsidRPr="007344EE" w:rsidR="00C35FE6">
        <w:rPr>
          <w:szCs w:val="22"/>
        </w:rPr>
        <w:t>through the TVPA.</w:t>
      </w:r>
      <w:r>
        <w:rPr>
          <w:szCs w:val="22"/>
        </w:rPr>
        <w:t xml:space="preserve"> Interviews will elicit from</w:t>
      </w:r>
      <w:r w:rsidRPr="007344EE" w:rsidR="00C35FE6">
        <w:rPr>
          <w:szCs w:val="22"/>
        </w:rPr>
        <w:t xml:space="preserve"> survivors and advocates their perspectives on the past,</w:t>
      </w:r>
      <w:r w:rsidRPr="007344EE" w:rsidR="00D13856">
        <w:rPr>
          <w:szCs w:val="22"/>
        </w:rPr>
        <w:t xml:space="preserve"> </w:t>
      </w:r>
      <w:r w:rsidRPr="007344EE" w:rsidR="00C35FE6">
        <w:rPr>
          <w:szCs w:val="22"/>
        </w:rPr>
        <w:t>present, and future of the anti-trafficking movement</w:t>
      </w:r>
      <w:r>
        <w:rPr>
          <w:szCs w:val="22"/>
        </w:rPr>
        <w:t xml:space="preserve"> and </w:t>
      </w:r>
      <w:r w:rsidRPr="007344EE" w:rsidR="00C35FE6">
        <w:rPr>
          <w:szCs w:val="22"/>
        </w:rPr>
        <w:t>capture ideas from service providers, advocates, and survivors regarding next steps in</w:t>
      </w:r>
      <w:r w:rsidRPr="007344EE" w:rsidR="00D13856">
        <w:rPr>
          <w:szCs w:val="22"/>
        </w:rPr>
        <w:t xml:space="preserve"> </w:t>
      </w:r>
      <w:r w:rsidRPr="007344EE" w:rsidR="00C35FE6">
        <w:rPr>
          <w:szCs w:val="22"/>
        </w:rPr>
        <w:t>the anti-trafficking movement.</w:t>
      </w:r>
    </w:p>
    <w:p w:rsidR="00492700" w:rsidP="00436F5E" w:rsidRDefault="00492700" w14:paraId="632A2D10" w14:textId="646E85DA">
      <w:pPr>
        <w:spacing w:after="60"/>
        <w:rPr>
          <w:b/>
          <w:i/>
        </w:rPr>
      </w:pPr>
    </w:p>
    <w:p w:rsidR="00CB2559" w:rsidP="00436F5E" w:rsidRDefault="00CB2559" w14:paraId="7F11F9FF" w14:textId="77777777">
      <w:pPr>
        <w:spacing w:after="60"/>
        <w:rPr>
          <w:b/>
          <w:i/>
        </w:rPr>
      </w:pPr>
    </w:p>
    <w:p w:rsidRPr="0053416E" w:rsidR="00A44209" w:rsidP="00436F5E" w:rsidRDefault="00074C7F" w14:paraId="431271B8" w14:textId="71BFB907">
      <w:pPr>
        <w:spacing w:after="60"/>
        <w:rPr>
          <w:i/>
        </w:rPr>
      </w:pPr>
      <w:r w:rsidRPr="0053416E">
        <w:rPr>
          <w:i/>
        </w:rPr>
        <w:lastRenderedPageBreak/>
        <w:t>Guiding Questions</w:t>
      </w:r>
    </w:p>
    <w:p w:rsidRPr="00692B4F" w:rsidR="00692B4F" w:rsidP="00692B4F" w:rsidRDefault="00692B4F" w14:paraId="07D464DB" w14:textId="77777777">
      <w:pPr>
        <w:pStyle w:val="ListParagraph"/>
        <w:numPr>
          <w:ilvl w:val="0"/>
          <w:numId w:val="18"/>
        </w:numPr>
        <w:ind w:left="720"/>
        <w:rPr>
          <w:sz w:val="24"/>
          <w:szCs w:val="22"/>
        </w:rPr>
      </w:pPr>
      <w:r w:rsidRPr="00692B4F">
        <w:rPr>
          <w:sz w:val="24"/>
          <w:szCs w:val="22"/>
        </w:rPr>
        <w:t>What are the experiences of victims and survivors of human trafficking, including their experiences seeking help, leaving trafficking situations, and rebuilding their lives?</w:t>
      </w:r>
    </w:p>
    <w:p w:rsidRPr="00692B4F" w:rsidR="00692B4F" w:rsidP="00692B4F" w:rsidRDefault="00692B4F" w14:paraId="7A2DEBB0" w14:textId="77777777">
      <w:pPr>
        <w:pStyle w:val="ListParagraph"/>
        <w:numPr>
          <w:ilvl w:val="0"/>
          <w:numId w:val="18"/>
        </w:numPr>
        <w:ind w:left="720"/>
        <w:rPr>
          <w:sz w:val="24"/>
          <w:szCs w:val="22"/>
        </w:rPr>
      </w:pPr>
      <w:r w:rsidRPr="00692B4F">
        <w:rPr>
          <w:sz w:val="24"/>
          <w:szCs w:val="22"/>
        </w:rPr>
        <w:t xml:space="preserve">How have these experiences changed over the past 20 years? </w:t>
      </w:r>
    </w:p>
    <w:p w:rsidRPr="00692B4F" w:rsidR="00692B4F" w:rsidP="00692B4F" w:rsidRDefault="00692B4F" w14:paraId="7AB63A34" w14:textId="70901A36">
      <w:pPr>
        <w:pStyle w:val="ListParagraph"/>
        <w:numPr>
          <w:ilvl w:val="0"/>
          <w:numId w:val="18"/>
        </w:numPr>
        <w:ind w:left="720"/>
        <w:rPr>
          <w:sz w:val="24"/>
          <w:szCs w:val="22"/>
        </w:rPr>
      </w:pPr>
      <w:r w:rsidRPr="00692B4F">
        <w:rPr>
          <w:sz w:val="24"/>
          <w:szCs w:val="22"/>
        </w:rPr>
        <w:t>How has the anti-trafficking field evolved and where it should go next?</w:t>
      </w:r>
    </w:p>
    <w:p w:rsidR="00E268FB" w:rsidP="000D055E" w:rsidRDefault="00E268FB" w14:paraId="6A563A6A" w14:textId="77777777"/>
    <w:p w:rsidRPr="0053416E" w:rsidR="00A44209" w:rsidP="00436F5E" w:rsidRDefault="001E2F08" w14:paraId="36034649" w14:textId="2A322589">
      <w:pPr>
        <w:spacing w:after="60"/>
        <w:rPr>
          <w:i/>
        </w:rPr>
      </w:pPr>
      <w:r w:rsidRPr="0053416E">
        <w:rPr>
          <w:i/>
        </w:rPr>
        <w:t>Initiative</w:t>
      </w:r>
      <w:r w:rsidRPr="0053416E" w:rsidR="00E56B7A">
        <w:rPr>
          <w:i/>
        </w:rPr>
        <w:t xml:space="preserve"> Design</w:t>
      </w:r>
    </w:p>
    <w:p w:rsidR="00CB4B25" w:rsidP="00161791" w:rsidRDefault="00D13856" w14:paraId="7E97163A" w14:textId="14A5B020">
      <w:r>
        <w:t>StoryCorps (</w:t>
      </w:r>
      <w:r w:rsidR="00F05759">
        <w:t>Contractor</w:t>
      </w:r>
      <w:r>
        <w:t xml:space="preserve">) will </w:t>
      </w:r>
      <w:r w:rsidR="00DC03A6">
        <w:t xml:space="preserve">gather insights from </w:t>
      </w:r>
      <w:r w:rsidRPr="00CB4B25" w:rsidR="00CB4B25">
        <w:t>survivors of human trafficking, as well as allied professio</w:t>
      </w:r>
      <w:r w:rsidR="00CB4B25">
        <w:t xml:space="preserve">nals and subject matter experts through up to </w:t>
      </w:r>
      <w:r w:rsidR="00E14253">
        <w:t xml:space="preserve">ninety </w:t>
      </w:r>
      <w:r w:rsidR="00CB4B25">
        <w:t>(</w:t>
      </w:r>
      <w:r w:rsidR="00E14253">
        <w:t>9</w:t>
      </w:r>
      <w:r w:rsidR="00CB4B25">
        <w:t xml:space="preserve">0) facilitated conversations and </w:t>
      </w:r>
      <w:r w:rsidR="00E14253">
        <w:t xml:space="preserve">an unlimited number of </w:t>
      </w:r>
      <w:r w:rsidR="00CB4B25">
        <w:t xml:space="preserve">StoryCorps </w:t>
      </w:r>
      <w:r w:rsidR="007349F6">
        <w:t>web platform</w:t>
      </w:r>
      <w:r w:rsidR="000D055E">
        <w:t xml:space="preserve"> </w:t>
      </w:r>
      <w:r w:rsidR="003A7357">
        <w:t xml:space="preserve">(Connect Activation) </w:t>
      </w:r>
      <w:r w:rsidR="000D055E">
        <w:t>submissions</w:t>
      </w:r>
      <w:r w:rsidR="00CB4B25">
        <w:t xml:space="preserve">. </w:t>
      </w:r>
    </w:p>
    <w:p w:rsidR="00CB4B25" w:rsidP="00161791" w:rsidRDefault="00CB4B25" w14:paraId="0D4B1761" w14:textId="77777777"/>
    <w:p w:rsidRPr="00692B4F" w:rsidR="00D13856" w:rsidP="00692B4F" w:rsidRDefault="00852629" w14:paraId="4E191861" w14:textId="0F441DC8">
      <w:pPr>
        <w:pStyle w:val="ListParagraph"/>
        <w:numPr>
          <w:ilvl w:val="0"/>
          <w:numId w:val="18"/>
        </w:numPr>
        <w:ind w:left="720"/>
        <w:rPr>
          <w:sz w:val="24"/>
          <w:szCs w:val="22"/>
        </w:rPr>
      </w:pPr>
      <w:r w:rsidRPr="00692B4F">
        <w:rPr>
          <w:b/>
          <w:sz w:val="24"/>
          <w:szCs w:val="22"/>
        </w:rPr>
        <w:t xml:space="preserve">Facilitated </w:t>
      </w:r>
      <w:r w:rsidRPr="00692B4F" w:rsidR="003A7357">
        <w:rPr>
          <w:b/>
          <w:sz w:val="24"/>
          <w:szCs w:val="22"/>
        </w:rPr>
        <w:t>Conversations:</w:t>
      </w:r>
      <w:r w:rsidRPr="00692B4F" w:rsidR="003A7357">
        <w:rPr>
          <w:sz w:val="24"/>
          <w:szCs w:val="22"/>
        </w:rPr>
        <w:t xml:space="preserve"> </w:t>
      </w:r>
      <w:r w:rsidR="007344EE">
        <w:rPr>
          <w:sz w:val="24"/>
          <w:szCs w:val="22"/>
        </w:rPr>
        <w:t>The interviews will be</w:t>
      </w:r>
      <w:r w:rsidRPr="00692B4F" w:rsidR="000D055E">
        <w:rPr>
          <w:sz w:val="24"/>
          <w:szCs w:val="22"/>
        </w:rPr>
        <w:t xml:space="preserve"> 40-minute conversation between two people who know each other, preserved as an audio recording. A trained </w:t>
      </w:r>
      <w:r w:rsidR="007344EE">
        <w:rPr>
          <w:sz w:val="24"/>
          <w:szCs w:val="22"/>
        </w:rPr>
        <w:t>f</w:t>
      </w:r>
      <w:r w:rsidRPr="00692B4F" w:rsidR="000D055E">
        <w:rPr>
          <w:sz w:val="24"/>
          <w:szCs w:val="22"/>
        </w:rPr>
        <w:t xml:space="preserve">acilitator will </w:t>
      </w:r>
      <w:r w:rsidR="007344EE">
        <w:rPr>
          <w:sz w:val="24"/>
          <w:szCs w:val="22"/>
        </w:rPr>
        <w:t xml:space="preserve">(virtually) </w:t>
      </w:r>
      <w:r w:rsidRPr="00692B4F" w:rsidR="000D055E">
        <w:rPr>
          <w:sz w:val="24"/>
          <w:szCs w:val="22"/>
        </w:rPr>
        <w:t>take notes, keep time, and monitor audio. Facilitators are not interviewers, though they may ask a question during the recording to prompt conversation.</w:t>
      </w:r>
      <w:r w:rsidRPr="00692B4F" w:rsidR="003D6820">
        <w:rPr>
          <w:sz w:val="24"/>
          <w:szCs w:val="22"/>
        </w:rPr>
        <w:t xml:space="preserve"> </w:t>
      </w:r>
      <w:r w:rsidRPr="00692B4F" w:rsidR="006514FC">
        <w:rPr>
          <w:sz w:val="24"/>
          <w:szCs w:val="22"/>
        </w:rPr>
        <w:t>Participation is entirely voluntary and participants are welcome to share any of their thoughts related to their experiences and the TVPA.</w:t>
      </w:r>
    </w:p>
    <w:p w:rsidRPr="00692B4F" w:rsidR="00852629" w:rsidP="00692B4F" w:rsidRDefault="00852629" w14:paraId="0384B929" w14:textId="3E7E9B83">
      <w:pPr>
        <w:pStyle w:val="ListParagraph"/>
        <w:rPr>
          <w:b/>
          <w:sz w:val="24"/>
          <w:szCs w:val="22"/>
        </w:rPr>
      </w:pPr>
    </w:p>
    <w:p w:rsidRPr="00692B4F" w:rsidR="00852629" w:rsidP="00692B4F" w:rsidRDefault="00852629" w14:paraId="7D863862" w14:textId="719EEA1D">
      <w:pPr>
        <w:pStyle w:val="ListParagraph"/>
        <w:numPr>
          <w:ilvl w:val="0"/>
          <w:numId w:val="18"/>
        </w:numPr>
        <w:ind w:left="720"/>
        <w:rPr>
          <w:sz w:val="24"/>
          <w:szCs w:val="22"/>
        </w:rPr>
      </w:pPr>
      <w:r w:rsidRPr="00692B4F">
        <w:rPr>
          <w:b/>
          <w:sz w:val="24"/>
          <w:szCs w:val="22"/>
        </w:rPr>
        <w:t>Connect Activation</w:t>
      </w:r>
      <w:r w:rsidRPr="00692B4F" w:rsidR="003A7357">
        <w:rPr>
          <w:b/>
          <w:sz w:val="24"/>
          <w:szCs w:val="22"/>
        </w:rPr>
        <w:t>:</w:t>
      </w:r>
      <w:r w:rsidRPr="00692B4F">
        <w:rPr>
          <w:sz w:val="24"/>
          <w:szCs w:val="22"/>
        </w:rPr>
        <w:t xml:space="preserve"> Interested individuals will also have the option to record an interview with a close friend, colleague, or family member without a facilitator present. The two individuals will access the web platform, record their interview, and indicate if they want their conversation to remain private, shared with the community, or shared with the public.  Participants will have access to a list of sample questions but will have complete control of the content of their conversation.</w:t>
      </w:r>
    </w:p>
    <w:p w:rsidR="003A7357" w:rsidP="00161791" w:rsidRDefault="003A7357" w14:paraId="5F503479" w14:textId="7D4E3C40"/>
    <w:p w:rsidR="003A7357" w:rsidP="003A7357" w:rsidRDefault="003A7357" w14:paraId="1FC1A035" w14:textId="434FD318">
      <w:r w:rsidRPr="00821886">
        <w:t xml:space="preserve">The Contractor will compile recordings of the facilitated and Connect Activation conversations to deliver audiovisual segments and audio cards for OTIP to share through internal and external channels, such as </w:t>
      </w:r>
      <w:hyperlink w:history="1" r:id="rId11">
        <w:r w:rsidRPr="00821886">
          <w:rPr>
            <w:rStyle w:val="Hyperlink"/>
          </w:rPr>
          <w:t>OTIP’s website</w:t>
        </w:r>
      </w:hyperlink>
      <w:r w:rsidRPr="00821886">
        <w:t xml:space="preserve"> and social media accounts, including </w:t>
      </w:r>
      <w:hyperlink w:history="1" r:id="rId12">
        <w:r w:rsidRPr="00821886">
          <w:rPr>
            <w:rStyle w:val="Hyperlink"/>
          </w:rPr>
          <w:t>Facebook</w:t>
        </w:r>
      </w:hyperlink>
      <w:r w:rsidRPr="00821886">
        <w:t xml:space="preserve"> and </w:t>
      </w:r>
      <w:hyperlink w:history="1" r:id="rId13">
        <w:r w:rsidRPr="00821886">
          <w:rPr>
            <w:rStyle w:val="Hyperlink"/>
          </w:rPr>
          <w:t>LinkedIn</w:t>
        </w:r>
      </w:hyperlink>
      <w:r w:rsidRPr="00821886">
        <w:t>. StoryCorps will retain copies of the produced audio segments and audio cards, which will become part of an archive at the American Folklife Center at the Library of Congress with permission from participants.</w:t>
      </w:r>
      <w:r>
        <w:t xml:space="preserve"> </w:t>
      </w:r>
    </w:p>
    <w:p w:rsidR="00692B4F" w:rsidP="0053416E" w:rsidRDefault="00692B4F" w14:paraId="0B6F1343" w14:textId="77777777">
      <w:pPr>
        <w:rPr>
          <w:b/>
          <w:i/>
        </w:rPr>
      </w:pPr>
    </w:p>
    <w:p w:rsidRPr="0053416E" w:rsidR="00984CA2" w:rsidP="00436F5E" w:rsidRDefault="00984CA2" w14:paraId="009551C5" w14:textId="013FE634">
      <w:pPr>
        <w:spacing w:after="60"/>
        <w:rPr>
          <w:i/>
        </w:rPr>
      </w:pPr>
      <w:r w:rsidRPr="0053416E">
        <w:rPr>
          <w:i/>
        </w:rPr>
        <w:t>Universe of Data Collection Efforts</w:t>
      </w:r>
    </w:p>
    <w:p w:rsidR="00492700" w:rsidP="00634869" w:rsidRDefault="003D6820" w14:paraId="6B799232" w14:textId="3175D608">
      <w:r w:rsidRPr="00232F25">
        <w:t>Facilitator</w:t>
      </w:r>
      <w:r w:rsidRPr="00232F25" w:rsidR="006514FC">
        <w:t>s</w:t>
      </w:r>
      <w:r w:rsidRPr="00232F25" w:rsidR="00E1407C">
        <w:t xml:space="preserve"> will have a list of potential prompting questions to use during the </w:t>
      </w:r>
      <w:r w:rsidRPr="00232F25" w:rsidR="00232F25">
        <w:t>conversations with survivors and allied professionals.</w:t>
      </w:r>
      <w:r w:rsidRPr="00232F25" w:rsidR="00E1407C">
        <w:t xml:space="preserve"> These prompts are included as Attachment A: </w:t>
      </w:r>
      <w:r w:rsidRPr="00232F25" w:rsidR="00A055FB">
        <w:t>Voices for Freedom Guiding Questions</w:t>
      </w:r>
      <w:r w:rsidRPr="00232F25" w:rsidR="00E1407C">
        <w:t xml:space="preserve">. </w:t>
      </w:r>
      <w:r w:rsidR="00B57072">
        <w:t>P</w:t>
      </w:r>
      <w:r w:rsidRPr="00232F25" w:rsidR="006514FC">
        <w:t xml:space="preserve">articipants </w:t>
      </w:r>
      <w:r w:rsidR="00B57072">
        <w:t xml:space="preserve">will be invited </w:t>
      </w:r>
      <w:r w:rsidRPr="00232F25" w:rsidR="006514FC">
        <w:t>to discuss what they would like and are not required to respond to any of the prompts provided.</w:t>
      </w:r>
      <w:r w:rsidR="006514FC">
        <w:t xml:space="preserve">  </w:t>
      </w:r>
    </w:p>
    <w:p w:rsidRPr="00634869" w:rsidR="00634869" w:rsidP="00634869" w:rsidRDefault="00634869" w14:paraId="182C923F" w14:textId="77777777"/>
    <w:p w:rsidRPr="0072204D" w:rsidR="00945CD6" w:rsidP="00436F5E" w:rsidRDefault="00292B70" w14:paraId="49EEF137" w14:textId="5311F5C9">
      <w:pPr>
        <w:spacing w:after="120"/>
        <w:rPr>
          <w:b/>
        </w:rPr>
      </w:pPr>
      <w:r>
        <w:rPr>
          <w:b/>
        </w:rPr>
        <w:t xml:space="preserve">A3. </w:t>
      </w:r>
      <w:r w:rsidRPr="0072204D" w:rsidR="00945CD6">
        <w:rPr>
          <w:b/>
        </w:rPr>
        <w:t>Improved Information Technology to Reduce Burden</w:t>
      </w:r>
    </w:p>
    <w:p w:rsidR="00D90EF6" w:rsidP="00956E75" w:rsidRDefault="007349F6" w14:paraId="6EA8B500" w14:textId="1A9B8CFF">
      <w:r>
        <w:t>Web</w:t>
      </w:r>
      <w:r w:rsidR="00CB4B25">
        <w:t>-based submission</w:t>
      </w:r>
      <w:r w:rsidR="0038083B">
        <w:t xml:space="preserve"> is a novel technological approach that</w:t>
      </w:r>
      <w:r w:rsidR="00CB4B25">
        <w:t xml:space="preserve"> </w:t>
      </w:r>
      <w:r w:rsidR="0038083B">
        <w:t xml:space="preserve">reduces the burden on participants </w:t>
      </w:r>
      <w:r w:rsidR="00CB4B25">
        <w:t>a</w:t>
      </w:r>
      <w:r w:rsidR="0038083B">
        <w:t>llowing</w:t>
      </w:r>
      <w:r w:rsidR="00CB4B25">
        <w:t xml:space="preserve"> </w:t>
      </w:r>
      <w:r w:rsidR="0038083B">
        <w:t xml:space="preserve">more </w:t>
      </w:r>
      <w:r w:rsidR="00CB4B25">
        <w:t>survivors and allied professionals to opt-in to the init</w:t>
      </w:r>
      <w:r w:rsidR="0038083B">
        <w:t xml:space="preserve">iative and share their thoughts than would be otherwise possible solely through facilitated conversations. </w:t>
      </w:r>
    </w:p>
    <w:p w:rsidR="005046F0" w:rsidP="00956E75" w:rsidRDefault="005046F0" w14:paraId="5804584A" w14:textId="40C5E2FB">
      <w:pPr>
        <w:ind w:left="360"/>
      </w:pPr>
    </w:p>
    <w:p w:rsidR="00CB2559" w:rsidP="00956E75" w:rsidRDefault="00CB2559" w14:paraId="02A197FF" w14:textId="77777777">
      <w:pPr>
        <w:ind w:left="360"/>
      </w:pPr>
    </w:p>
    <w:p w:rsidRPr="0072204D" w:rsidR="00945CD6" w:rsidP="00436F5E" w:rsidRDefault="00292B70" w14:paraId="39BBEF3E" w14:textId="77777777">
      <w:pPr>
        <w:spacing w:after="120"/>
        <w:rPr>
          <w:b/>
        </w:rPr>
      </w:pPr>
      <w:r>
        <w:rPr>
          <w:b/>
        </w:rPr>
        <w:t xml:space="preserve">A4. </w:t>
      </w:r>
      <w:r w:rsidRPr="0072204D" w:rsidR="00945CD6">
        <w:rPr>
          <w:b/>
        </w:rPr>
        <w:t>Efforts to Identify Duplication</w:t>
      </w:r>
    </w:p>
    <w:p w:rsidR="00436F5E" w:rsidP="0038083B" w:rsidRDefault="00821886" w14:paraId="69A8EDD5" w14:textId="62027551">
      <w:r>
        <w:t>We do not believe there have been</w:t>
      </w:r>
      <w:r w:rsidRPr="0038083B" w:rsidR="0038083B">
        <w:t xml:space="preserve"> any similar efforts to obtain and document the reflections</w:t>
      </w:r>
      <w:r w:rsidR="00D03983">
        <w:t xml:space="preserve"> of survivors of trafficking or </w:t>
      </w:r>
      <w:r w:rsidRPr="0038083B" w:rsidR="0038083B">
        <w:t>allied professionals.</w:t>
      </w:r>
    </w:p>
    <w:p w:rsidR="0038083B" w:rsidP="0038083B" w:rsidRDefault="0038083B" w14:paraId="393A2A16" w14:textId="5FBCDDB1"/>
    <w:p w:rsidRPr="0038083B" w:rsidR="00CB2559" w:rsidP="0038083B" w:rsidRDefault="00CB2559" w14:paraId="6B91A730" w14:textId="77777777"/>
    <w:p w:rsidRPr="0072204D" w:rsidR="00945CD6" w:rsidP="00436F5E" w:rsidRDefault="00292B70" w14:paraId="10B90123" w14:textId="77777777">
      <w:pPr>
        <w:spacing w:after="120"/>
        <w:rPr>
          <w:b/>
        </w:rPr>
      </w:pPr>
      <w:r>
        <w:rPr>
          <w:b/>
        </w:rPr>
        <w:t xml:space="preserve">A5. </w:t>
      </w:r>
      <w:r w:rsidRPr="0072204D" w:rsidR="00945CD6">
        <w:rPr>
          <w:b/>
        </w:rPr>
        <w:t>Involvement of Small Organizations</w:t>
      </w:r>
    </w:p>
    <w:p w:rsidR="00D90EF6" w:rsidP="003D22F1" w:rsidRDefault="003D22F1" w14:paraId="12FF1FE5" w14:textId="72C98CF0">
      <w:r w:rsidRPr="003D22F1">
        <w:t>Not applicable.</w:t>
      </w:r>
    </w:p>
    <w:p w:rsidR="008C78B4" w:rsidP="00292B70" w:rsidRDefault="008C78B4" w14:paraId="6077512E" w14:textId="1BCAE053">
      <w:pPr>
        <w:rPr>
          <w:b/>
        </w:rPr>
      </w:pPr>
    </w:p>
    <w:p w:rsidR="00CB2559" w:rsidP="00292B70" w:rsidRDefault="00CB2559" w14:paraId="510C8281" w14:textId="77777777">
      <w:pPr>
        <w:rPr>
          <w:b/>
        </w:rPr>
      </w:pPr>
    </w:p>
    <w:p w:rsidRPr="0072204D" w:rsidR="00945CD6" w:rsidP="00436F5E" w:rsidRDefault="00292B70" w14:paraId="5C724C5E" w14:textId="77777777">
      <w:pPr>
        <w:spacing w:after="120"/>
        <w:rPr>
          <w:b/>
        </w:rPr>
      </w:pPr>
      <w:r>
        <w:rPr>
          <w:b/>
        </w:rPr>
        <w:t xml:space="preserve">A6. </w:t>
      </w:r>
      <w:r w:rsidRPr="0072204D" w:rsidR="00945CD6">
        <w:rPr>
          <w:b/>
        </w:rPr>
        <w:t>Consequences of Less Frequent Data Collection</w:t>
      </w:r>
    </w:p>
    <w:p w:rsidR="00D90EF6" w:rsidP="003D22F1" w:rsidRDefault="006514FC" w14:paraId="214C03B2" w14:textId="7940C069">
      <w:r>
        <w:t>This is a one-time collection of conversations.</w:t>
      </w:r>
    </w:p>
    <w:p w:rsidR="006514FC" w:rsidP="00634869" w:rsidRDefault="006514FC" w14:paraId="7E244FA2" w14:textId="584479DF">
      <w:pPr>
        <w:rPr>
          <w:b/>
        </w:rPr>
      </w:pPr>
    </w:p>
    <w:p w:rsidR="00CB2559" w:rsidP="00634869" w:rsidRDefault="00CB2559" w14:paraId="56043EDF" w14:textId="77777777">
      <w:pPr>
        <w:rPr>
          <w:b/>
        </w:rPr>
      </w:pPr>
    </w:p>
    <w:p w:rsidRPr="0072204D" w:rsidR="00945CD6" w:rsidP="00436F5E" w:rsidRDefault="00292B70" w14:paraId="5060136E" w14:textId="21CE306B">
      <w:pPr>
        <w:spacing w:after="120"/>
        <w:rPr>
          <w:b/>
        </w:rPr>
      </w:pPr>
      <w:r>
        <w:rPr>
          <w:b/>
        </w:rPr>
        <w:t xml:space="preserve">A7. </w:t>
      </w:r>
      <w:r w:rsidRPr="0072204D" w:rsidR="00945CD6">
        <w:rPr>
          <w:b/>
        </w:rPr>
        <w:t>Special Circumstances</w:t>
      </w:r>
    </w:p>
    <w:p w:rsidRPr="00161791" w:rsidR="0020382F" w:rsidP="001F4E8D" w:rsidRDefault="00D90EF6" w14:paraId="10D64BA4" w14:textId="77777777">
      <w:pPr>
        <w:rPr>
          <w:szCs w:val="22"/>
        </w:rPr>
      </w:pPr>
      <w:r w:rsidRPr="00161791">
        <w:rPr>
          <w:szCs w:val="22"/>
        </w:rPr>
        <w:t>There are no special circumstances for the proposed data collection efforts.</w:t>
      </w:r>
    </w:p>
    <w:p w:rsidR="00BE7952" w:rsidP="001F4E8D" w:rsidRDefault="00BE7952" w14:paraId="08207C8B" w14:textId="2550562D"/>
    <w:p w:rsidR="00CB2559" w:rsidP="001F4E8D" w:rsidRDefault="00CB2559" w14:paraId="1606B393" w14:textId="77777777"/>
    <w:p w:rsidR="00D90EF6" w:rsidP="00436F5E" w:rsidRDefault="00292B70" w14:paraId="4FD99BC0" w14:textId="77777777">
      <w:pPr>
        <w:spacing w:after="120"/>
        <w:rPr>
          <w:b/>
        </w:rPr>
      </w:pPr>
      <w:r w:rsidRPr="000D53DF">
        <w:rPr>
          <w:b/>
        </w:rPr>
        <w:t xml:space="preserve">A8. </w:t>
      </w:r>
      <w:r w:rsidRPr="000D53DF" w:rsidR="00945CD6">
        <w:rPr>
          <w:b/>
        </w:rPr>
        <w:t>Federal Register Notice and Consultation</w:t>
      </w:r>
    </w:p>
    <w:p w:rsidRPr="0053416E" w:rsidR="00B91D97" w:rsidP="00436F5E" w:rsidRDefault="00B91D97" w14:paraId="6A39001F" w14:textId="77777777">
      <w:pPr>
        <w:spacing w:after="60"/>
        <w:rPr>
          <w:i/>
        </w:rPr>
      </w:pPr>
      <w:r w:rsidRPr="0053416E">
        <w:rPr>
          <w:i/>
        </w:rPr>
        <w:t>Federal Register Notice and Comments</w:t>
      </w:r>
    </w:p>
    <w:p w:rsidR="00851055" w:rsidP="00851055" w:rsidRDefault="008F10A2" w14:paraId="4915CB0D" w14:textId="77777777">
      <w:pPr>
        <w:rPr>
          <w:b/>
        </w:rPr>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w:t>
      </w:r>
      <w:r w:rsidRPr="00D44EA5" w:rsidR="00D44EA5">
        <w:t xml:space="preserve">of the overarching generic clearance for </w:t>
      </w:r>
      <w:r w:rsidR="00984BBF">
        <w:t xml:space="preserve">formative information </w:t>
      </w:r>
      <w:r w:rsidRPr="001F4E8D" w:rsidR="00984BBF">
        <w:t xml:space="preserve">collection. </w:t>
      </w:r>
      <w:r w:rsidRPr="00785CFA" w:rsidR="00851055">
        <w:t xml:space="preserve">This notice was published on October 13, 2020, Volume 85, Number 198, page 64480, and provided a sixty-day period for public comment. A subsequent notice provided a thirty-day period for public comment. This notice was published on December 28, 2020, Volume 85, Number 248, page 84343, and provided a thirty-day period for public comment. During the notice and comment periods, no substantive comments were received. </w:t>
      </w:r>
      <w:r w:rsidR="00851055">
        <w:t xml:space="preserve"> </w:t>
      </w:r>
    </w:p>
    <w:p w:rsidR="00851055" w:rsidP="00851055" w:rsidRDefault="00851055" w14:paraId="458EE4C4" w14:textId="77777777">
      <w:pPr>
        <w:rPr>
          <w:i/>
        </w:rPr>
      </w:pPr>
    </w:p>
    <w:p w:rsidRPr="00B91D97" w:rsidR="00B91D97" w:rsidP="00851055" w:rsidRDefault="00B91D97" w14:paraId="21E62C00" w14:textId="1E4E869D">
      <w:pPr>
        <w:rPr>
          <w:i/>
        </w:rPr>
      </w:pPr>
      <w:r w:rsidRPr="004B63ED">
        <w:rPr>
          <w:i/>
        </w:rPr>
        <w:t>Consultation with Experts Outside of the Study</w:t>
      </w:r>
    </w:p>
    <w:p w:rsidRPr="0038083B" w:rsidR="008F10A2" w:rsidP="0038083B" w:rsidRDefault="0038083B" w14:paraId="1632B553" w14:textId="130C6E7D">
      <w:r w:rsidRPr="0038083B">
        <w:t>No experts outside of the initiative have been consulted.</w:t>
      </w:r>
    </w:p>
    <w:p w:rsidR="00D90EF6" w:rsidP="00292B70" w:rsidRDefault="00D90EF6" w14:paraId="16A7A923" w14:textId="77777777">
      <w:pPr>
        <w:rPr>
          <w:b/>
        </w:rPr>
      </w:pPr>
    </w:p>
    <w:p w:rsidRPr="0072204D" w:rsidR="00945CD6" w:rsidP="00436F5E" w:rsidRDefault="00292B70" w14:paraId="391068CD" w14:textId="77777777">
      <w:pPr>
        <w:spacing w:after="120"/>
        <w:rPr>
          <w:b/>
        </w:rPr>
      </w:pPr>
      <w:r>
        <w:rPr>
          <w:b/>
        </w:rPr>
        <w:t xml:space="preserve">A9. </w:t>
      </w:r>
      <w:r w:rsidR="00B66874">
        <w:rPr>
          <w:b/>
        </w:rPr>
        <w:t>Incentives for</w:t>
      </w:r>
      <w:r w:rsidRPr="0072204D" w:rsidR="00945CD6">
        <w:rPr>
          <w:b/>
        </w:rPr>
        <w:t xml:space="preserve"> Respondents</w:t>
      </w:r>
    </w:p>
    <w:p w:rsidRPr="00BE7952" w:rsidR="00D90EF6" w:rsidP="00161791" w:rsidRDefault="00F75116" w14:paraId="45914615" w14:textId="649124EC">
      <w:pPr>
        <w:rPr>
          <w:b/>
        </w:rPr>
      </w:pPr>
      <w:r>
        <w:t>There are no incentives offered to respondents for this collection.</w:t>
      </w:r>
    </w:p>
    <w:p w:rsidR="004222F8" w:rsidP="004222F8" w:rsidRDefault="004222F8" w14:paraId="7605E87D" w14:textId="77777777">
      <w:pPr>
        <w:spacing w:after="120"/>
        <w:rPr>
          <w:b/>
        </w:rPr>
      </w:pPr>
    </w:p>
    <w:p w:rsidRPr="0072204D" w:rsidR="004222F8" w:rsidP="004222F8" w:rsidRDefault="004222F8" w14:paraId="5BB4F440" w14:textId="77777777">
      <w:pPr>
        <w:spacing w:after="120"/>
        <w:rPr>
          <w:b/>
        </w:rPr>
      </w:pPr>
      <w:r>
        <w:rPr>
          <w:b/>
        </w:rPr>
        <w:t>A10. Privacy</w:t>
      </w:r>
      <w:r w:rsidRPr="0072204D">
        <w:rPr>
          <w:b/>
        </w:rPr>
        <w:t xml:space="preserve"> of Respondents</w:t>
      </w:r>
    </w:p>
    <w:p w:rsidRPr="00436F5E" w:rsidR="007302EE" w:rsidP="007302EE" w:rsidRDefault="007302EE" w14:paraId="381B4B68" w14:textId="2C90B952">
      <w:pPr>
        <w:widowControl w:val="0"/>
        <w:autoSpaceDE w:val="0"/>
        <w:autoSpaceDN w:val="0"/>
        <w:adjustRightInd w:val="0"/>
      </w:pPr>
      <w:r>
        <w:t>StoryCorps is a nationwide initiative to record oral and</w:t>
      </w:r>
      <w:r w:rsidR="00232F25">
        <w:t xml:space="preserve"> audiovisual reflections</w:t>
      </w:r>
      <w:r w:rsidR="009C40E8">
        <w:t xml:space="preserve"> </w:t>
      </w:r>
      <w:r w:rsidR="0080498A">
        <w:t xml:space="preserve">with </w:t>
      </w:r>
      <w:r w:rsidR="009C40E8">
        <w:t>volunteer participants.</w:t>
      </w:r>
      <w:r w:rsidRPr="007302EE">
        <w:t xml:space="preserve"> </w:t>
      </w:r>
      <w:r>
        <w:t xml:space="preserve">The Participant Data Sheet provided to respondents requests name, email address, </w:t>
      </w:r>
      <w:r>
        <w:lastRenderedPageBreak/>
        <w:t>and basic demographic information (</w:t>
      </w:r>
      <w:r w:rsidRPr="00232F25">
        <w:t>all voluntary). With permission, names and photos of participants will be shared publicly per the terms of the Contractor’s release. See Attachment B:</w:t>
      </w:r>
      <w:r w:rsidRPr="00232F25" w:rsidR="0080498A">
        <w:t xml:space="preserve"> StoryCorps Participant Data Sheet and Attachment C: </w:t>
      </w:r>
      <w:r w:rsidRPr="00232F25">
        <w:t>StoryCorps General Release Form.</w:t>
      </w:r>
    </w:p>
    <w:p w:rsidR="007302EE" w:rsidP="007302EE" w:rsidRDefault="007302EE" w14:paraId="2FAF258D" w14:textId="77777777">
      <w:pPr>
        <w:widowControl w:val="0"/>
        <w:autoSpaceDE w:val="0"/>
        <w:autoSpaceDN w:val="0"/>
        <w:adjustRightInd w:val="0"/>
      </w:pPr>
    </w:p>
    <w:p w:rsidRPr="00436F5E" w:rsidR="004222F8" w:rsidP="007302EE" w:rsidRDefault="00232F25" w14:paraId="480B2A5E" w14:textId="2BE7DAB7">
      <w:pPr>
        <w:widowControl w:val="0"/>
        <w:autoSpaceDE w:val="0"/>
        <w:autoSpaceDN w:val="0"/>
        <w:adjustRightInd w:val="0"/>
      </w:pPr>
      <w:r>
        <w:t>Participants will be provided with a recording of their conversation</w:t>
      </w:r>
      <w:r w:rsidR="007302EE">
        <w:t xml:space="preserve"> and StoryCorps will retain a second copy</w:t>
      </w:r>
      <w:r>
        <w:t>,</w:t>
      </w:r>
      <w:r w:rsidR="007302EE">
        <w:t xml:space="preserve"> which will become part of an archive at the American Folklife Center at the Library of Congress. Participants who sign the StoryCorps General Release Form acknowledge that StoryCorps intends to retain </w:t>
      </w:r>
      <w:r w:rsidR="0092586B">
        <w:t xml:space="preserve">and archive </w:t>
      </w:r>
      <w:r w:rsidR="007302EE">
        <w:t xml:space="preserve">the </w:t>
      </w:r>
      <w:r>
        <w:t>re</w:t>
      </w:r>
      <w:r w:rsidR="0092586B">
        <w:t>cording.</w:t>
      </w:r>
    </w:p>
    <w:p w:rsidR="00436F5E" w:rsidP="00436F5E" w:rsidRDefault="00436F5E" w14:paraId="0442A162" w14:textId="7F303237"/>
    <w:p w:rsidR="00CB2559" w:rsidP="00436F5E" w:rsidRDefault="00CB2559" w14:paraId="77035719" w14:textId="77777777"/>
    <w:p w:rsidRPr="0072204D" w:rsidR="00945CD6" w:rsidP="00436F5E" w:rsidRDefault="00292B70" w14:paraId="0B35E015" w14:textId="77777777">
      <w:pPr>
        <w:spacing w:after="120"/>
        <w:rPr>
          <w:b/>
        </w:rPr>
      </w:pPr>
      <w:r>
        <w:rPr>
          <w:b/>
        </w:rPr>
        <w:t xml:space="preserve">A11. </w:t>
      </w:r>
      <w:r w:rsidRPr="0072204D" w:rsidR="00945CD6">
        <w:rPr>
          <w:b/>
        </w:rPr>
        <w:t>Sensitive Questions</w:t>
      </w:r>
    </w:p>
    <w:p w:rsidR="00D90EF6" w:rsidP="006B13A1" w:rsidRDefault="00D90EF6" w14:paraId="2CE230F0" w14:textId="77777777">
      <w:r w:rsidRPr="006B13A1">
        <w:t>There are no sensitive questions in this data collection.</w:t>
      </w:r>
    </w:p>
    <w:p w:rsidR="00D90EF6" w:rsidP="006B13A1" w:rsidRDefault="00D90EF6" w14:paraId="7C7C4093" w14:textId="5ED10B04"/>
    <w:p w:rsidR="00CB2559" w:rsidP="006B13A1" w:rsidRDefault="00CB2559" w14:paraId="14A08C12" w14:textId="77777777"/>
    <w:p w:rsidRPr="0072204D" w:rsidR="00945CD6" w:rsidP="00436F5E" w:rsidRDefault="00292B70" w14:paraId="60F84B06" w14:textId="77777777">
      <w:pPr>
        <w:spacing w:after="120"/>
        <w:rPr>
          <w:b/>
        </w:rPr>
      </w:pPr>
      <w:r>
        <w:rPr>
          <w:b/>
        </w:rPr>
        <w:t xml:space="preserve">A12. </w:t>
      </w:r>
      <w:r w:rsidRPr="0072204D" w:rsidR="00945CD6">
        <w:rPr>
          <w:b/>
        </w:rPr>
        <w:t>Estimation of Information Collection Burden</w:t>
      </w:r>
    </w:p>
    <w:p w:rsidR="00A35B0D" w:rsidP="00A35B0D" w:rsidRDefault="00A35B0D" w14:paraId="30631786" w14:textId="77777777">
      <w:r w:rsidRPr="0053416E">
        <w:rPr>
          <w:i/>
        </w:rPr>
        <w:t>Total Burden Requested Under this Information Collection</w:t>
      </w:r>
    </w:p>
    <w:tbl>
      <w:tblPr>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948"/>
        <w:gridCol w:w="1239"/>
        <w:gridCol w:w="1161"/>
        <w:gridCol w:w="1062"/>
        <w:gridCol w:w="883"/>
        <w:gridCol w:w="926"/>
        <w:gridCol w:w="1116"/>
      </w:tblGrid>
      <w:tr w:rsidRPr="00BD4CFB" w:rsidR="00634869" w:rsidTr="00634869" w14:paraId="3DDE53E5" w14:textId="77777777">
        <w:trPr>
          <w:trHeight w:val="1155"/>
          <w:jc w:val="center"/>
        </w:trPr>
        <w:tc>
          <w:tcPr>
            <w:tcW w:w="3235" w:type="dxa"/>
            <w:shd w:val="clear" w:color="auto" w:fill="BFBFBF"/>
            <w:vAlign w:val="center"/>
          </w:tcPr>
          <w:p w:rsidRPr="00BD4CFB" w:rsidR="003E05EF" w:rsidP="00124EBF" w:rsidRDefault="003E05EF" w14:paraId="2381BB0C" w14:textId="77777777">
            <w:pPr>
              <w:jc w:val="center"/>
              <w:rPr>
                <w:sz w:val="20"/>
                <w:szCs w:val="20"/>
              </w:rPr>
            </w:pPr>
            <w:r w:rsidRPr="00BD4CFB">
              <w:rPr>
                <w:sz w:val="20"/>
                <w:szCs w:val="20"/>
              </w:rPr>
              <w:t>Instrument</w:t>
            </w:r>
          </w:p>
        </w:tc>
        <w:tc>
          <w:tcPr>
            <w:tcW w:w="919" w:type="dxa"/>
            <w:shd w:val="clear" w:color="auto" w:fill="BFBFBF"/>
            <w:vAlign w:val="center"/>
          </w:tcPr>
          <w:p w:rsidRPr="00BD4CFB" w:rsidR="003E05EF" w:rsidP="00124EBF" w:rsidRDefault="003E05EF"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Pr="00BD4CFB" w:rsidR="003E05EF" w:rsidP="00124EBF" w:rsidRDefault="003E05EF" w14:paraId="714F2F09" w14:textId="77777777">
            <w:pPr>
              <w:jc w:val="center"/>
              <w:rPr>
                <w:sz w:val="20"/>
                <w:szCs w:val="20"/>
              </w:rPr>
            </w:pPr>
            <w:r w:rsidRPr="00BD4CFB">
              <w:rPr>
                <w:sz w:val="20"/>
                <w:szCs w:val="20"/>
              </w:rPr>
              <w:t>Number of Responses Per Respondent</w:t>
            </w:r>
          </w:p>
        </w:tc>
        <w:tc>
          <w:tcPr>
            <w:tcW w:w="1076" w:type="dxa"/>
            <w:shd w:val="clear" w:color="auto" w:fill="BFBFBF"/>
            <w:vAlign w:val="center"/>
          </w:tcPr>
          <w:p w:rsidRPr="00BD4CFB" w:rsidR="003E05EF" w:rsidP="00124EBF" w:rsidRDefault="003E05EF" w14:paraId="05CC723F" w14:textId="77777777">
            <w:pPr>
              <w:jc w:val="center"/>
              <w:rPr>
                <w:sz w:val="20"/>
                <w:szCs w:val="20"/>
              </w:rPr>
            </w:pPr>
            <w:r w:rsidRPr="00BD4CFB">
              <w:rPr>
                <w:sz w:val="20"/>
                <w:szCs w:val="20"/>
              </w:rPr>
              <w:t>Average Burden Hours Per Response</w:t>
            </w:r>
          </w:p>
        </w:tc>
        <w:tc>
          <w:tcPr>
            <w:tcW w:w="896" w:type="dxa"/>
            <w:shd w:val="clear" w:color="auto" w:fill="BFBFBF"/>
            <w:vAlign w:val="center"/>
          </w:tcPr>
          <w:p w:rsidRPr="00BD4CFB" w:rsidR="003E05EF" w:rsidP="00124EBF" w:rsidRDefault="003E05EF" w14:paraId="0F4785AD" w14:textId="77777777">
            <w:pPr>
              <w:jc w:val="center"/>
              <w:rPr>
                <w:bCs/>
                <w:sz w:val="20"/>
                <w:szCs w:val="20"/>
              </w:rPr>
            </w:pPr>
            <w:r>
              <w:rPr>
                <w:bCs/>
                <w:sz w:val="20"/>
                <w:szCs w:val="20"/>
              </w:rPr>
              <w:t>Annual Burden Hours</w:t>
            </w:r>
          </w:p>
        </w:tc>
        <w:tc>
          <w:tcPr>
            <w:tcW w:w="932" w:type="dxa"/>
            <w:shd w:val="clear" w:color="auto" w:fill="BFBFBF"/>
            <w:vAlign w:val="center"/>
          </w:tcPr>
          <w:p w:rsidRPr="00BD4CFB" w:rsidR="003E05EF" w:rsidP="00124EBF" w:rsidRDefault="003E05EF" w14:paraId="45DFE675" w14:textId="77777777">
            <w:pPr>
              <w:jc w:val="center"/>
              <w:rPr>
                <w:sz w:val="20"/>
                <w:szCs w:val="20"/>
              </w:rPr>
            </w:pPr>
            <w:r w:rsidRPr="00BD4CFB">
              <w:rPr>
                <w:bCs/>
                <w:sz w:val="20"/>
                <w:szCs w:val="20"/>
              </w:rPr>
              <w:t>Average Hourly Wage</w:t>
            </w:r>
          </w:p>
        </w:tc>
        <w:tc>
          <w:tcPr>
            <w:tcW w:w="1116" w:type="dxa"/>
            <w:shd w:val="clear" w:color="auto" w:fill="BFBFBF"/>
            <w:vAlign w:val="center"/>
          </w:tcPr>
          <w:p w:rsidRPr="00BD4CFB" w:rsidR="003E05EF" w:rsidP="00124EBF" w:rsidRDefault="003E05EF" w14:paraId="39990194" w14:textId="77777777">
            <w:pPr>
              <w:jc w:val="center"/>
              <w:rPr>
                <w:sz w:val="20"/>
                <w:szCs w:val="20"/>
              </w:rPr>
            </w:pPr>
            <w:r w:rsidRPr="00BD4CFB">
              <w:rPr>
                <w:bCs/>
                <w:sz w:val="20"/>
                <w:szCs w:val="20"/>
              </w:rPr>
              <w:t>Total Annual Cost</w:t>
            </w:r>
          </w:p>
        </w:tc>
      </w:tr>
      <w:tr w:rsidRPr="00BD4CFB" w:rsidR="00634869" w:rsidTr="00634869" w14:paraId="7CE63E36" w14:textId="77777777">
        <w:trPr>
          <w:trHeight w:val="433"/>
          <w:jc w:val="center"/>
        </w:trPr>
        <w:tc>
          <w:tcPr>
            <w:tcW w:w="3235" w:type="dxa"/>
            <w:vAlign w:val="center"/>
          </w:tcPr>
          <w:p w:rsidRPr="00BD4CFB" w:rsidR="003E05EF" w:rsidP="007349F6" w:rsidRDefault="003E05EF" w14:paraId="15455CD3" w14:textId="09003B6A">
            <w:pPr>
              <w:tabs>
                <w:tab w:val="center" w:pos="4320"/>
                <w:tab w:val="right" w:pos="8640"/>
              </w:tabs>
              <w:rPr>
                <w:sz w:val="20"/>
                <w:szCs w:val="20"/>
              </w:rPr>
            </w:pPr>
            <w:r>
              <w:rPr>
                <w:sz w:val="20"/>
                <w:szCs w:val="20"/>
              </w:rPr>
              <w:t>StoryCorps Suggested Prompts (Facilitated Conversation and Web Plaform-Based Submissions)</w:t>
            </w:r>
          </w:p>
        </w:tc>
        <w:tc>
          <w:tcPr>
            <w:tcW w:w="919" w:type="dxa"/>
            <w:vAlign w:val="center"/>
          </w:tcPr>
          <w:p w:rsidRPr="00503438" w:rsidR="003E05EF" w:rsidP="00503438" w:rsidRDefault="003E05EF" w14:paraId="2106BBF5" w14:textId="61D693A0">
            <w:pPr>
              <w:tabs>
                <w:tab w:val="center" w:pos="4320"/>
                <w:tab w:val="right" w:pos="8640"/>
              </w:tabs>
              <w:jc w:val="center"/>
              <w:rPr>
                <w:sz w:val="20"/>
                <w:szCs w:val="20"/>
              </w:rPr>
            </w:pPr>
            <w:r>
              <w:rPr>
                <w:sz w:val="20"/>
                <w:szCs w:val="20"/>
              </w:rPr>
              <w:t>220</w:t>
            </w:r>
          </w:p>
        </w:tc>
        <w:tc>
          <w:tcPr>
            <w:tcW w:w="1161" w:type="dxa"/>
            <w:vAlign w:val="center"/>
          </w:tcPr>
          <w:p w:rsidRPr="00503438" w:rsidR="003E05EF" w:rsidP="00503438" w:rsidRDefault="003E05EF" w14:paraId="402332F4" w14:textId="7E513DD3">
            <w:pPr>
              <w:tabs>
                <w:tab w:val="center" w:pos="4320"/>
                <w:tab w:val="right" w:pos="8640"/>
              </w:tabs>
              <w:jc w:val="center"/>
              <w:rPr>
                <w:sz w:val="20"/>
                <w:szCs w:val="20"/>
              </w:rPr>
            </w:pPr>
            <w:r w:rsidRPr="00503438">
              <w:rPr>
                <w:sz w:val="20"/>
                <w:szCs w:val="20"/>
              </w:rPr>
              <w:t>1</w:t>
            </w:r>
          </w:p>
        </w:tc>
        <w:tc>
          <w:tcPr>
            <w:tcW w:w="1076" w:type="dxa"/>
            <w:vAlign w:val="center"/>
          </w:tcPr>
          <w:p w:rsidRPr="00503438" w:rsidR="003E05EF" w:rsidP="00503438" w:rsidRDefault="003E05EF" w14:paraId="2166A45E" w14:textId="709B6832">
            <w:pPr>
              <w:tabs>
                <w:tab w:val="center" w:pos="4320"/>
                <w:tab w:val="right" w:pos="8640"/>
              </w:tabs>
              <w:jc w:val="center"/>
              <w:rPr>
                <w:sz w:val="20"/>
                <w:szCs w:val="20"/>
              </w:rPr>
            </w:pPr>
            <w:r w:rsidRPr="00503438">
              <w:rPr>
                <w:sz w:val="20"/>
                <w:szCs w:val="20"/>
              </w:rPr>
              <w:t>1.5</w:t>
            </w:r>
          </w:p>
        </w:tc>
        <w:tc>
          <w:tcPr>
            <w:tcW w:w="896" w:type="dxa"/>
            <w:vAlign w:val="center"/>
          </w:tcPr>
          <w:p w:rsidRPr="00503438" w:rsidR="003E05EF" w:rsidP="00503438" w:rsidRDefault="003E05EF" w14:paraId="79BC68EF" w14:textId="1DD52336">
            <w:pPr>
              <w:tabs>
                <w:tab w:val="center" w:pos="4320"/>
                <w:tab w:val="right" w:pos="8640"/>
              </w:tabs>
              <w:jc w:val="center"/>
              <w:rPr>
                <w:sz w:val="20"/>
                <w:szCs w:val="20"/>
              </w:rPr>
            </w:pPr>
            <w:r>
              <w:rPr>
                <w:sz w:val="20"/>
                <w:szCs w:val="20"/>
              </w:rPr>
              <w:t>330</w:t>
            </w:r>
          </w:p>
        </w:tc>
        <w:tc>
          <w:tcPr>
            <w:tcW w:w="932" w:type="dxa"/>
            <w:vAlign w:val="center"/>
          </w:tcPr>
          <w:p w:rsidRPr="00503438" w:rsidR="003E05EF" w:rsidP="00503438" w:rsidRDefault="003E05EF" w14:paraId="4C12A145" w14:textId="13C4AE69">
            <w:pPr>
              <w:tabs>
                <w:tab w:val="center" w:pos="4320"/>
                <w:tab w:val="right" w:pos="8640"/>
              </w:tabs>
              <w:jc w:val="center"/>
              <w:rPr>
                <w:sz w:val="20"/>
                <w:szCs w:val="20"/>
              </w:rPr>
            </w:pPr>
            <w:r>
              <w:rPr>
                <w:sz w:val="20"/>
                <w:szCs w:val="20"/>
              </w:rPr>
              <w:t>51.44</w:t>
            </w:r>
          </w:p>
        </w:tc>
        <w:tc>
          <w:tcPr>
            <w:tcW w:w="1116" w:type="dxa"/>
            <w:vAlign w:val="center"/>
          </w:tcPr>
          <w:p w:rsidRPr="00503438" w:rsidR="003E05EF" w:rsidP="00503438" w:rsidRDefault="00634869" w14:paraId="01C1A511" w14:textId="51C6A088">
            <w:pPr>
              <w:tabs>
                <w:tab w:val="center" w:pos="4320"/>
                <w:tab w:val="right" w:pos="8640"/>
              </w:tabs>
              <w:jc w:val="center"/>
              <w:rPr>
                <w:sz w:val="20"/>
                <w:szCs w:val="20"/>
              </w:rPr>
            </w:pPr>
            <w:r>
              <w:rPr>
                <w:sz w:val="20"/>
                <w:szCs w:val="20"/>
              </w:rPr>
              <w:t>$</w:t>
            </w:r>
            <w:r w:rsidR="003E05EF">
              <w:rPr>
                <w:sz w:val="20"/>
                <w:szCs w:val="20"/>
              </w:rPr>
              <w:t>16,975.20</w:t>
            </w:r>
          </w:p>
        </w:tc>
      </w:tr>
      <w:tr w:rsidRPr="00BD4CFB" w:rsidR="003E05EF" w:rsidTr="00634869" w14:paraId="057318C8" w14:textId="77777777">
        <w:trPr>
          <w:trHeight w:val="433"/>
          <w:jc w:val="center"/>
        </w:trPr>
        <w:tc>
          <w:tcPr>
            <w:tcW w:w="6391" w:type="dxa"/>
            <w:gridSpan w:val="4"/>
            <w:vAlign w:val="center"/>
          </w:tcPr>
          <w:p w:rsidRPr="00503438" w:rsidR="003E05EF" w:rsidP="00634869" w:rsidRDefault="003E05EF" w14:paraId="0D8D2DD7" w14:textId="7C4C5D9F">
            <w:pPr>
              <w:tabs>
                <w:tab w:val="center" w:pos="4320"/>
                <w:tab w:val="right" w:pos="8640"/>
              </w:tabs>
              <w:jc w:val="right"/>
              <w:rPr>
                <w:sz w:val="20"/>
                <w:szCs w:val="20"/>
              </w:rPr>
            </w:pPr>
            <w:r w:rsidRPr="00BD4CFB">
              <w:rPr>
                <w:b/>
                <w:sz w:val="20"/>
                <w:szCs w:val="20"/>
              </w:rPr>
              <w:t xml:space="preserve">Estimated </w:t>
            </w:r>
            <w:r>
              <w:rPr>
                <w:b/>
                <w:sz w:val="20"/>
                <w:szCs w:val="20"/>
              </w:rPr>
              <w:t>T</w:t>
            </w:r>
            <w:r w:rsidRPr="00BD4CFB">
              <w:rPr>
                <w:b/>
                <w:sz w:val="20"/>
                <w:szCs w:val="20"/>
              </w:rPr>
              <w:t>otal</w:t>
            </w:r>
            <w:r w:rsidR="00634869">
              <w:rPr>
                <w:b/>
                <w:sz w:val="20"/>
                <w:szCs w:val="20"/>
              </w:rPr>
              <w:t>s</w:t>
            </w:r>
          </w:p>
        </w:tc>
        <w:tc>
          <w:tcPr>
            <w:tcW w:w="896" w:type="dxa"/>
            <w:vAlign w:val="center"/>
          </w:tcPr>
          <w:p w:rsidRPr="003E05EF" w:rsidR="003E05EF" w:rsidP="00503438" w:rsidRDefault="003E05EF" w14:paraId="7C2449E6" w14:textId="2C04B6D7">
            <w:pPr>
              <w:tabs>
                <w:tab w:val="center" w:pos="4320"/>
                <w:tab w:val="right" w:pos="8640"/>
              </w:tabs>
              <w:jc w:val="center"/>
              <w:rPr>
                <w:b/>
                <w:sz w:val="20"/>
                <w:szCs w:val="20"/>
              </w:rPr>
            </w:pPr>
            <w:r w:rsidRPr="003E05EF">
              <w:rPr>
                <w:b/>
                <w:sz w:val="20"/>
                <w:szCs w:val="20"/>
              </w:rPr>
              <w:t>330</w:t>
            </w:r>
          </w:p>
        </w:tc>
        <w:tc>
          <w:tcPr>
            <w:tcW w:w="932" w:type="dxa"/>
            <w:vAlign w:val="center"/>
          </w:tcPr>
          <w:p w:rsidRPr="003E05EF" w:rsidR="003E05EF" w:rsidP="00503438" w:rsidRDefault="003E05EF" w14:paraId="1733F09F" w14:textId="4CD3E27C">
            <w:pPr>
              <w:tabs>
                <w:tab w:val="center" w:pos="4320"/>
                <w:tab w:val="right" w:pos="8640"/>
              </w:tabs>
              <w:jc w:val="center"/>
              <w:rPr>
                <w:b/>
                <w:sz w:val="20"/>
                <w:szCs w:val="20"/>
              </w:rPr>
            </w:pPr>
          </w:p>
        </w:tc>
        <w:tc>
          <w:tcPr>
            <w:tcW w:w="1116" w:type="dxa"/>
            <w:vAlign w:val="center"/>
          </w:tcPr>
          <w:p w:rsidRPr="003E05EF" w:rsidR="003E05EF" w:rsidP="00503438" w:rsidRDefault="00634869" w14:paraId="3EA2C52D" w14:textId="23431D73">
            <w:pPr>
              <w:tabs>
                <w:tab w:val="center" w:pos="4320"/>
                <w:tab w:val="right" w:pos="8640"/>
              </w:tabs>
              <w:jc w:val="center"/>
              <w:rPr>
                <w:b/>
                <w:sz w:val="20"/>
                <w:szCs w:val="20"/>
              </w:rPr>
            </w:pPr>
            <w:r>
              <w:rPr>
                <w:b/>
                <w:sz w:val="20"/>
                <w:szCs w:val="20"/>
              </w:rPr>
              <w:t>$</w:t>
            </w:r>
            <w:r w:rsidRPr="003E05EF" w:rsidR="003E05EF">
              <w:rPr>
                <w:b/>
                <w:sz w:val="20"/>
                <w:szCs w:val="20"/>
              </w:rPr>
              <w:t>16,975.20</w:t>
            </w:r>
          </w:p>
        </w:tc>
      </w:tr>
    </w:tbl>
    <w:p w:rsidR="00436F5E" w:rsidP="00436F5E" w:rsidRDefault="00436F5E" w14:paraId="4FC5BEDE" w14:textId="77777777"/>
    <w:p w:rsidRPr="0053416E" w:rsidR="002338AC" w:rsidP="00436F5E" w:rsidRDefault="002338AC" w14:paraId="70383977" w14:textId="61781A1D">
      <w:pPr>
        <w:spacing w:after="60"/>
        <w:rPr>
          <w:i/>
        </w:rPr>
      </w:pPr>
      <w:r w:rsidRPr="0053416E">
        <w:rPr>
          <w:i/>
        </w:rPr>
        <w:t>Total Annual Cost</w:t>
      </w:r>
    </w:p>
    <w:p w:rsidR="002338AC" w:rsidP="00031BA6" w:rsidRDefault="002277AF" w14:paraId="7770C6D8" w14:textId="6D2FA46C">
      <w:r w:rsidRPr="008F7221">
        <w:t xml:space="preserve">The cost to respondents was calculated using the Bureau of Labor Statistics (BLS) </w:t>
      </w:r>
      <w:r w:rsidR="00703369">
        <w:t>May 2019 National Occupational Employment and Wage Estimates mean hourly wage for All Occupations [00-0000], which is $25.72.</w:t>
      </w:r>
      <w:r w:rsidRPr="008F7221">
        <w:t xml:space="preserve"> To account for fringe benefits and overhead the rate was multiplied by two which is $</w:t>
      </w:r>
      <w:r w:rsidR="00703369">
        <w:t>51.44</w:t>
      </w:r>
      <w:r w:rsidRPr="008F7221">
        <w:t xml:space="preserve">. </w:t>
      </w:r>
      <w:r>
        <w:t xml:space="preserve">The estimated annual </w:t>
      </w:r>
      <w:r w:rsidRPr="008F7221">
        <w:t xml:space="preserve">cost to respondents for </w:t>
      </w:r>
      <w:r>
        <w:t xml:space="preserve">an estimated total burden </w:t>
      </w:r>
      <w:r w:rsidR="00703369">
        <w:t>of 330</w:t>
      </w:r>
      <w:r>
        <w:t xml:space="preserve"> hours</w:t>
      </w:r>
      <w:r w:rsidRPr="008F7221">
        <w:t xml:space="preserve"> is $</w:t>
      </w:r>
      <w:r w:rsidR="00703369">
        <w:t>51.44</w:t>
      </w:r>
      <w:r w:rsidRPr="008F7221">
        <w:t xml:space="preserve"> times </w:t>
      </w:r>
      <w:r w:rsidR="00703369">
        <w:t>330</w:t>
      </w:r>
      <w:r w:rsidRPr="008F7221">
        <w:t xml:space="preserve"> hours or $</w:t>
      </w:r>
      <w:r w:rsidR="00703369">
        <w:t xml:space="preserve">16,975.20. </w:t>
      </w:r>
      <w:hyperlink w:history="1" r:id="rId14">
        <w:r w:rsidRPr="009575FD" w:rsidR="00703369">
          <w:rPr>
            <w:rStyle w:val="Hyperlink"/>
          </w:rPr>
          <w:t>https://www.bls.gov/oes/current/oes_nat.htm</w:t>
        </w:r>
      </w:hyperlink>
      <w:r w:rsidR="009575FD">
        <w:t xml:space="preserve"> </w:t>
      </w:r>
    </w:p>
    <w:p w:rsidR="00634869" w:rsidP="00031BA6" w:rsidRDefault="00634869" w14:paraId="57C3B460" w14:textId="62EB581F"/>
    <w:p w:rsidR="00CB2559" w:rsidP="00031BA6" w:rsidRDefault="00CB2559" w14:paraId="79A08915" w14:textId="77777777"/>
    <w:p w:rsidRPr="0072204D" w:rsidR="00945CD6" w:rsidP="00292B70" w:rsidRDefault="00292B70" w14:paraId="7BDBE261" w14:textId="77777777">
      <w:pPr>
        <w:rPr>
          <w:b/>
        </w:rPr>
      </w:pPr>
      <w:r>
        <w:rPr>
          <w:b/>
        </w:rPr>
        <w:t xml:space="preserve">A13. </w:t>
      </w:r>
      <w:r w:rsidRPr="0072204D" w:rsidR="00945CD6">
        <w:rPr>
          <w:b/>
        </w:rPr>
        <w:t>Cost Burden to Respondents or Record Keepers</w:t>
      </w:r>
    </w:p>
    <w:p w:rsidRPr="00ED284E" w:rsidR="00D90EF6" w:rsidP="006B13A1" w:rsidRDefault="00B91D97" w14:paraId="3D88B0B4" w14:textId="77777777">
      <w:pPr>
        <w:rPr>
          <w:sz w:val="28"/>
        </w:rPr>
      </w:pPr>
      <w:r w:rsidRPr="00ED284E">
        <w:rPr>
          <w:szCs w:val="22"/>
        </w:rPr>
        <w:t>There are no additional costs to respondents.</w:t>
      </w:r>
    </w:p>
    <w:p w:rsidR="00D90EF6" w:rsidP="006B13A1" w:rsidRDefault="00D90EF6" w14:paraId="3FEFC0D5" w14:textId="2058409D"/>
    <w:p w:rsidR="00CB2559" w:rsidP="006B13A1" w:rsidRDefault="00CB2559" w14:paraId="74B380BA" w14:textId="77777777"/>
    <w:p w:rsidRPr="0072204D" w:rsidR="00945CD6" w:rsidP="00436F5E" w:rsidRDefault="00292B70" w14:paraId="2A791D57" w14:textId="77777777">
      <w:pPr>
        <w:spacing w:after="60"/>
        <w:rPr>
          <w:b/>
        </w:rPr>
      </w:pPr>
      <w:r>
        <w:rPr>
          <w:b/>
        </w:rPr>
        <w:t xml:space="preserve">A14. </w:t>
      </w:r>
      <w:r w:rsidRPr="0072204D" w:rsidR="00945CD6">
        <w:rPr>
          <w:b/>
        </w:rPr>
        <w:t>Estimate of Cost to the Federal Government</w:t>
      </w:r>
    </w:p>
    <w:p w:rsidR="00757780" w:rsidP="00436F5E" w:rsidRDefault="00B91D97" w14:paraId="059963AA" w14:textId="5F2CD48B">
      <w:r w:rsidRPr="00BB2157">
        <w:t>The total cost for the</w:t>
      </w:r>
      <w:r>
        <w:t xml:space="preserve"> data collection activities under this current request </w:t>
      </w:r>
      <w:r w:rsidRPr="00BB2157">
        <w:t xml:space="preserve">will </w:t>
      </w:r>
      <w:r w:rsidRPr="001061C5">
        <w:t>be $</w:t>
      </w:r>
      <w:r w:rsidR="0012715D">
        <w:t>3,372.80</w:t>
      </w:r>
      <w:r>
        <w:t>.</w:t>
      </w:r>
    </w:p>
    <w:p w:rsidR="00757780" w:rsidP="00436F5E" w:rsidRDefault="00757780" w14:paraId="7445DC2D" w14:textId="77777777"/>
    <w:p w:rsidRPr="004F7B95" w:rsidR="00757780" w:rsidP="00757780" w:rsidRDefault="00757780" w14:paraId="561F5B4C" w14:textId="4F2C56BA">
      <w:r w:rsidRPr="0012715D">
        <w:lastRenderedPageBreak/>
        <w:t xml:space="preserve">The Contractor will be responsible for compiling </w:t>
      </w:r>
      <w:r w:rsidR="009C414E">
        <w:t xml:space="preserve">recordings </w:t>
      </w:r>
      <w:r w:rsidRPr="0012715D">
        <w:t>to produce audio</w:t>
      </w:r>
      <w:r w:rsidRPr="0012715D" w:rsidR="0012715D">
        <w:t>visual</w:t>
      </w:r>
      <w:r w:rsidRPr="0012715D">
        <w:t xml:space="preserve"> segments and audio cards for the Government. The deliverables will be reviewed by salaried staff who will determine how to best distribute</w:t>
      </w:r>
      <w:r w:rsidRPr="0012715D" w:rsidR="00237B7A">
        <w:t xml:space="preserve"> </w:t>
      </w:r>
      <w:r w:rsidRPr="0012715D" w:rsidR="0012715D">
        <w:t xml:space="preserve">the materials through internal and external channels, and factor insights into the development of learning agendas and research priorities. </w:t>
      </w:r>
      <w:r w:rsidRPr="0012715D">
        <w:t>ACF anticipates tha</w:t>
      </w:r>
      <w:r w:rsidRPr="0012715D" w:rsidR="0012715D">
        <w:t>t this effort will require 80</w:t>
      </w:r>
      <w:r w:rsidRPr="0012715D">
        <w:t xml:space="preserve"> hours and will cost $42.16 per hour (job code 19-3099, mean hourly wage data from May 2019) resulting in an annual total of $</w:t>
      </w:r>
      <w:r w:rsidRPr="0012715D" w:rsidR="0012715D">
        <w:t xml:space="preserve">3,372.80 </w:t>
      </w:r>
      <w:r w:rsidRPr="0012715D">
        <w:t>in staff time.</w:t>
      </w:r>
    </w:p>
    <w:p w:rsidR="00436F5E" w:rsidP="00436F5E" w:rsidRDefault="00B91D97" w14:paraId="304B1383" w14:textId="08848A6C">
      <w:r>
        <w:t xml:space="preserve"> </w:t>
      </w:r>
    </w:p>
    <w:p w:rsidR="00CB2559" w:rsidP="00436F5E" w:rsidRDefault="00CB2559" w14:paraId="5FBF0E00" w14:textId="77777777"/>
    <w:p w:rsidRPr="006B13A1" w:rsidR="00945CD6" w:rsidP="00436F5E" w:rsidRDefault="00292B70" w14:paraId="4B385444" w14:textId="77777777">
      <w:pPr>
        <w:spacing w:after="120"/>
        <w:rPr>
          <w:b/>
        </w:rPr>
      </w:pPr>
      <w:r w:rsidRPr="006B13A1">
        <w:rPr>
          <w:b/>
        </w:rPr>
        <w:t xml:space="preserve">A15. </w:t>
      </w:r>
      <w:r w:rsidRPr="006B13A1" w:rsidR="00945CD6">
        <w:rPr>
          <w:b/>
        </w:rPr>
        <w:t>Change in Burden</w:t>
      </w:r>
    </w:p>
    <w:p w:rsidRPr="00240344" w:rsidR="00CB2ED6" w:rsidP="00CB2ED6" w:rsidRDefault="00CB2ED6" w14:paraId="4B05A013" w14:textId="5C1B29C3">
      <w:pPr>
        <w:rPr>
          <w:szCs w:val="22"/>
        </w:rPr>
      </w:pPr>
      <w:r w:rsidRPr="00240344">
        <w:rPr>
          <w:szCs w:val="22"/>
        </w:rPr>
        <w:t xml:space="preserve">This is for an individual information collection under the umbrella </w:t>
      </w:r>
      <w:r w:rsidRPr="00240344" w:rsidR="001140AB">
        <w:rPr>
          <w:szCs w:val="22"/>
        </w:rPr>
        <w:t>formative generic clearance for program support (0970-0531)</w:t>
      </w:r>
      <w:r w:rsidRPr="00240344" w:rsidR="006B13A1">
        <w:rPr>
          <w:szCs w:val="22"/>
        </w:rPr>
        <w:t xml:space="preserve">. </w:t>
      </w:r>
    </w:p>
    <w:p w:rsidR="002338AC" w:rsidP="005046F0" w:rsidRDefault="002338AC" w14:paraId="31DADDE8" w14:textId="4E1505C0">
      <w:pPr>
        <w:ind w:left="360"/>
      </w:pPr>
    </w:p>
    <w:p w:rsidR="00CB2559" w:rsidP="005046F0" w:rsidRDefault="00CB2559" w14:paraId="178A8413" w14:textId="77777777">
      <w:pPr>
        <w:ind w:left="360"/>
      </w:pPr>
    </w:p>
    <w:p w:rsidRPr="005A64C5" w:rsidR="00945CD6" w:rsidP="00436F5E" w:rsidRDefault="00292B70" w14:paraId="347FE16D" w14:textId="77777777">
      <w:pPr>
        <w:spacing w:after="60"/>
        <w:rPr>
          <w:b/>
        </w:rPr>
      </w:pPr>
      <w:r w:rsidRPr="005A64C5">
        <w:rPr>
          <w:b/>
        </w:rPr>
        <w:t xml:space="preserve">A16. </w:t>
      </w:r>
      <w:r w:rsidRPr="005A64C5" w:rsidR="00945CD6">
        <w:rPr>
          <w:b/>
        </w:rPr>
        <w:t>Plan and Time Schedule for Information Collection, Tabulation and Publication</w:t>
      </w:r>
    </w:p>
    <w:p w:rsidR="002338AC" w:rsidP="00292B70" w:rsidRDefault="00E33240" w14:paraId="5D35D3D0" w14:textId="48532309">
      <w:r>
        <w:t xml:space="preserve">StoryCorps, with the assistance of the Government, will begin scheduling facilitated conversations and will make the </w:t>
      </w:r>
      <w:r w:rsidR="007349F6">
        <w:t xml:space="preserve">web platform </w:t>
      </w:r>
      <w:r>
        <w:t xml:space="preserve">available for individual user submissions beginning March </w:t>
      </w:r>
      <w:r w:rsidRPr="006E70B5">
        <w:t>2021.</w:t>
      </w:r>
      <w:r>
        <w:t xml:space="preserve"> </w:t>
      </w:r>
      <w:r w:rsidRPr="006E70B5" w:rsidR="00425BF8">
        <w:t xml:space="preserve">StoryCorps will provide </w:t>
      </w:r>
      <w:r w:rsidR="00190FDB">
        <w:t xml:space="preserve">all resulting materials to OTIP by September 2021. </w:t>
      </w:r>
    </w:p>
    <w:p w:rsidR="00425BF8" w:rsidP="00292B70" w:rsidRDefault="00425BF8" w14:paraId="09F2CBF3" w14:textId="6B7FB94D">
      <w:pPr>
        <w:rPr>
          <w:b/>
        </w:rPr>
      </w:pPr>
    </w:p>
    <w:p w:rsidR="00CB2559" w:rsidP="00292B70" w:rsidRDefault="00CB2559" w14:paraId="1DF4BC41" w14:textId="77777777">
      <w:pPr>
        <w:rPr>
          <w:b/>
        </w:rPr>
      </w:pPr>
    </w:p>
    <w:p w:rsidRPr="0072204D" w:rsidR="00945CD6" w:rsidP="00436F5E" w:rsidRDefault="00292B70" w14:paraId="750BBE88" w14:textId="77777777">
      <w:pPr>
        <w:spacing w:after="120"/>
        <w:rPr>
          <w:b/>
        </w:rPr>
      </w:pPr>
      <w:r>
        <w:rPr>
          <w:b/>
        </w:rPr>
        <w:t xml:space="preserve">A17. </w:t>
      </w:r>
      <w:r w:rsidRPr="0072204D" w:rsidR="00945CD6">
        <w:rPr>
          <w:b/>
        </w:rPr>
        <w:t>Reasons Not to Display OMB Expiration Date</w:t>
      </w:r>
    </w:p>
    <w:p w:rsidR="00D90EF6" w:rsidP="006B13A1" w:rsidRDefault="00D90EF6" w14:paraId="5E995DCB" w14:textId="368B327C">
      <w:r w:rsidRPr="006B13A1">
        <w:t>All instruments will display the expiration date for OMB approval.</w:t>
      </w:r>
    </w:p>
    <w:p w:rsidR="00A87AFE" w:rsidP="006B13A1" w:rsidRDefault="00A87AFE" w14:paraId="151CA088" w14:textId="1483796F"/>
    <w:p w:rsidRPr="006B13A1" w:rsidR="00CB2559" w:rsidP="006B13A1" w:rsidRDefault="00CB2559" w14:paraId="12D65631" w14:textId="77777777"/>
    <w:p w:rsidRPr="006B13A1" w:rsidR="00945CD6" w:rsidP="006B13A1" w:rsidRDefault="00292B70" w14:paraId="0DA51717" w14:textId="77777777">
      <w:pPr>
        <w:spacing w:after="120"/>
        <w:rPr>
          <w:b/>
        </w:rPr>
      </w:pPr>
      <w:r w:rsidRPr="006B13A1">
        <w:rPr>
          <w:b/>
        </w:rPr>
        <w:t>A18.</w:t>
      </w:r>
      <w:r w:rsidRPr="006B13A1" w:rsidR="000B5EA8">
        <w:rPr>
          <w:b/>
        </w:rPr>
        <w:t xml:space="preserve"> Exceptions to Certification for Paperwork Reduction Act Submissions</w:t>
      </w:r>
    </w:p>
    <w:p w:rsidR="00D06D5F" w:rsidP="00E332ED" w:rsidRDefault="00D90EF6" w14:paraId="54795446" w14:textId="60291F54">
      <w:r w:rsidRPr="006B13A1">
        <w:rPr>
          <w:szCs w:val="22"/>
        </w:rPr>
        <w:t>No exceptions are necessary for this information collection.</w:t>
      </w:r>
      <w:r w:rsidR="000B5EA8">
        <w:tab/>
      </w:r>
    </w:p>
    <w:p w:rsidRPr="0072204D" w:rsidR="0072204D" w:rsidRDefault="0072204D" w14:paraId="4DA2F605" w14:textId="77777777">
      <w:bookmarkStart w:name="_GoBack" w:id="0"/>
      <w:bookmarkEnd w:id="0"/>
    </w:p>
    <w:sectPr w:rsidRPr="0072204D" w:rsidR="0072204D" w:rsidSect="00327B2E">
      <w:footerReference w:type="default" r:id="rId15"/>
      <w:pgSz w:w="12240" w:h="15840"/>
      <w:pgMar w:top="216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75263" w16cid:durableId="23CD6B90"/>
  <w16cid:commentId w16cid:paraId="673745E7" w16cid:durableId="23CD6AD1"/>
  <w16cid:commentId w16cid:paraId="1A3B8381" w16cid:durableId="23CD6BD7"/>
  <w16cid:commentId w16cid:paraId="0E1C9B1B" w16cid:durableId="23CD6AD2"/>
  <w16cid:commentId w16cid:paraId="4C6EBCC7" w16cid:durableId="23CD6AD3"/>
  <w16cid:commentId w16cid:paraId="3F2AF7A3" w16cid:durableId="23CD6D2F"/>
  <w16cid:commentId w16cid:paraId="482D916A" w16cid:durableId="23CD6DB0"/>
  <w16cid:commentId w16cid:paraId="17CA49AC" w16cid:durableId="23CD6AD4"/>
  <w16cid:commentId w16cid:paraId="62BCD541" w16cid:durableId="23CD6E27"/>
  <w16cid:commentId w16cid:paraId="06BC0EBA" w16cid:durableId="23CD6AD5"/>
  <w16cid:commentId w16cid:paraId="519AA6EC" w16cid:durableId="23CD6AD6"/>
  <w16cid:commentId w16cid:paraId="09ECFDDA" w16cid:durableId="23CD6E6E"/>
  <w16cid:commentId w16cid:paraId="1F890A87" w16cid:durableId="23CD6AD7"/>
  <w16cid:commentId w16cid:paraId="36D0A4A7" w16cid:durableId="23CD6E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E62E5" w14:textId="77777777" w:rsidR="00092F44" w:rsidRDefault="00092F44">
      <w:r>
        <w:separator/>
      </w:r>
    </w:p>
  </w:endnote>
  <w:endnote w:type="continuationSeparator" w:id="0">
    <w:p w14:paraId="0CF10271" w14:textId="77777777" w:rsidR="00092F44" w:rsidRDefault="0009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E6E6" w14:textId="0324E5FE" w:rsidR="00A44209" w:rsidRDefault="00A44209">
    <w:pPr>
      <w:pStyle w:val="Footer"/>
      <w:jc w:val="center"/>
    </w:pPr>
    <w:r>
      <w:fldChar w:fldCharType="begin"/>
    </w:r>
    <w:r>
      <w:instrText xml:space="preserve"> PAGE   \* MERGEFORMAT </w:instrText>
    </w:r>
    <w:r>
      <w:fldChar w:fldCharType="separate"/>
    </w:r>
    <w:r w:rsidR="0053416E">
      <w:rPr>
        <w:noProof/>
      </w:rPr>
      <w:t>6</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057E1" w14:textId="77777777" w:rsidR="00092F44" w:rsidRDefault="00092F44">
      <w:r>
        <w:separator/>
      </w:r>
    </w:p>
  </w:footnote>
  <w:footnote w:type="continuationSeparator" w:id="0">
    <w:p w14:paraId="1F09334F" w14:textId="77777777" w:rsidR="00092F44" w:rsidRDefault="0009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834BB"/>
    <w:multiLevelType w:val="hybridMultilevel"/>
    <w:tmpl w:val="588A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A3992"/>
    <w:multiLevelType w:val="hybridMultilevel"/>
    <w:tmpl w:val="C6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D3113"/>
    <w:multiLevelType w:val="hybridMultilevel"/>
    <w:tmpl w:val="CB82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33561"/>
    <w:multiLevelType w:val="hybridMultilevel"/>
    <w:tmpl w:val="223A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03638"/>
    <w:multiLevelType w:val="hybridMultilevel"/>
    <w:tmpl w:val="A3B6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176F"/>
    <w:multiLevelType w:val="hybridMultilevel"/>
    <w:tmpl w:val="4B1611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E14D4"/>
    <w:multiLevelType w:val="hybridMultilevel"/>
    <w:tmpl w:val="A14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C7765"/>
    <w:multiLevelType w:val="hybridMultilevel"/>
    <w:tmpl w:val="17AA2F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8"/>
  </w:num>
  <w:num w:numId="5">
    <w:abstractNumId w:val="9"/>
  </w:num>
  <w:num w:numId="6">
    <w:abstractNumId w:val="19"/>
  </w:num>
  <w:num w:numId="7">
    <w:abstractNumId w:val="18"/>
  </w:num>
  <w:num w:numId="8">
    <w:abstractNumId w:val="10"/>
  </w:num>
  <w:num w:numId="9">
    <w:abstractNumId w:val="12"/>
  </w:num>
  <w:num w:numId="10">
    <w:abstractNumId w:val="2"/>
  </w:num>
  <w:num w:numId="11">
    <w:abstractNumId w:val="0"/>
  </w:num>
  <w:num w:numId="12">
    <w:abstractNumId w:val="4"/>
  </w:num>
  <w:num w:numId="13">
    <w:abstractNumId w:val="20"/>
  </w:num>
  <w:num w:numId="14">
    <w:abstractNumId w:val="6"/>
  </w:num>
  <w:num w:numId="15">
    <w:abstractNumId w:val="7"/>
  </w:num>
  <w:num w:numId="16">
    <w:abstractNumId w:val="23"/>
  </w:num>
  <w:num w:numId="17">
    <w:abstractNumId w:val="24"/>
  </w:num>
  <w:num w:numId="18">
    <w:abstractNumId w:val="22"/>
  </w:num>
  <w:num w:numId="19">
    <w:abstractNumId w:val="15"/>
  </w:num>
  <w:num w:numId="20">
    <w:abstractNumId w:val="14"/>
  </w:num>
  <w:num w:numId="21">
    <w:abstractNumId w:val="21"/>
  </w:num>
  <w:num w:numId="22">
    <w:abstractNumId w:val="16"/>
  </w:num>
  <w:num w:numId="23">
    <w:abstractNumId w:val="13"/>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31BA6"/>
    <w:rsid w:val="00033812"/>
    <w:rsid w:val="00041F0F"/>
    <w:rsid w:val="000431B8"/>
    <w:rsid w:val="00074C7F"/>
    <w:rsid w:val="0008643E"/>
    <w:rsid w:val="0009054C"/>
    <w:rsid w:val="00091C59"/>
    <w:rsid w:val="00092F44"/>
    <w:rsid w:val="00094E1E"/>
    <w:rsid w:val="000964A6"/>
    <w:rsid w:val="000B5EA8"/>
    <w:rsid w:val="000D055E"/>
    <w:rsid w:val="000D53DF"/>
    <w:rsid w:val="000D779C"/>
    <w:rsid w:val="001140AB"/>
    <w:rsid w:val="00124EBF"/>
    <w:rsid w:val="0012715D"/>
    <w:rsid w:val="00130457"/>
    <w:rsid w:val="0016012E"/>
    <w:rsid w:val="00161791"/>
    <w:rsid w:val="00183C0F"/>
    <w:rsid w:val="00190FDB"/>
    <w:rsid w:val="00193AFD"/>
    <w:rsid w:val="001A5A32"/>
    <w:rsid w:val="001A5AF9"/>
    <w:rsid w:val="001C4D60"/>
    <w:rsid w:val="001E2F08"/>
    <w:rsid w:val="001F4E8D"/>
    <w:rsid w:val="0020382F"/>
    <w:rsid w:val="002231FA"/>
    <w:rsid w:val="002277AF"/>
    <w:rsid w:val="00232F25"/>
    <w:rsid w:val="002338AC"/>
    <w:rsid w:val="00234E8D"/>
    <w:rsid w:val="00235A6D"/>
    <w:rsid w:val="00237B7A"/>
    <w:rsid w:val="00240344"/>
    <w:rsid w:val="002408DE"/>
    <w:rsid w:val="0025128F"/>
    <w:rsid w:val="0025173C"/>
    <w:rsid w:val="00253148"/>
    <w:rsid w:val="00292B70"/>
    <w:rsid w:val="002A1F68"/>
    <w:rsid w:val="002B4DBE"/>
    <w:rsid w:val="002C4F75"/>
    <w:rsid w:val="002D4B0A"/>
    <w:rsid w:val="002E6C76"/>
    <w:rsid w:val="00301113"/>
    <w:rsid w:val="0030594D"/>
    <w:rsid w:val="00327B2E"/>
    <w:rsid w:val="00374DAB"/>
    <w:rsid w:val="0038083B"/>
    <w:rsid w:val="0038291A"/>
    <w:rsid w:val="003A7357"/>
    <w:rsid w:val="003D22F1"/>
    <w:rsid w:val="003D5231"/>
    <w:rsid w:val="003D6820"/>
    <w:rsid w:val="003E05EF"/>
    <w:rsid w:val="00402C16"/>
    <w:rsid w:val="0042145C"/>
    <w:rsid w:val="00422117"/>
    <w:rsid w:val="004222F8"/>
    <w:rsid w:val="00422C1B"/>
    <w:rsid w:val="00425BF8"/>
    <w:rsid w:val="00436F5E"/>
    <w:rsid w:val="00445F18"/>
    <w:rsid w:val="004522FF"/>
    <w:rsid w:val="004554B1"/>
    <w:rsid w:val="00456E2F"/>
    <w:rsid w:val="00482DDE"/>
    <w:rsid w:val="00492700"/>
    <w:rsid w:val="004A44DD"/>
    <w:rsid w:val="004B587E"/>
    <w:rsid w:val="004C2ADD"/>
    <w:rsid w:val="004D6CA9"/>
    <w:rsid w:val="004F4E1D"/>
    <w:rsid w:val="00503438"/>
    <w:rsid w:val="005046F0"/>
    <w:rsid w:val="00520737"/>
    <w:rsid w:val="0053416E"/>
    <w:rsid w:val="005353B7"/>
    <w:rsid w:val="00541024"/>
    <w:rsid w:val="00555B29"/>
    <w:rsid w:val="00582677"/>
    <w:rsid w:val="005A64C5"/>
    <w:rsid w:val="005C5C09"/>
    <w:rsid w:val="005F2061"/>
    <w:rsid w:val="006010CA"/>
    <w:rsid w:val="00607351"/>
    <w:rsid w:val="00611A7D"/>
    <w:rsid w:val="006228E1"/>
    <w:rsid w:val="00634869"/>
    <w:rsid w:val="006514FC"/>
    <w:rsid w:val="00651DBA"/>
    <w:rsid w:val="00653AD1"/>
    <w:rsid w:val="00657424"/>
    <w:rsid w:val="0068086F"/>
    <w:rsid w:val="00692B4F"/>
    <w:rsid w:val="006A7EFA"/>
    <w:rsid w:val="006B13A1"/>
    <w:rsid w:val="006B6845"/>
    <w:rsid w:val="006C0DE9"/>
    <w:rsid w:val="006D2637"/>
    <w:rsid w:val="006E70B5"/>
    <w:rsid w:val="006E784C"/>
    <w:rsid w:val="00701045"/>
    <w:rsid w:val="00703369"/>
    <w:rsid w:val="00711BC5"/>
    <w:rsid w:val="0072204D"/>
    <w:rsid w:val="007250A3"/>
    <w:rsid w:val="007302EE"/>
    <w:rsid w:val="007344EE"/>
    <w:rsid w:val="007349F6"/>
    <w:rsid w:val="00736F1D"/>
    <w:rsid w:val="00740C48"/>
    <w:rsid w:val="00746E3C"/>
    <w:rsid w:val="00757780"/>
    <w:rsid w:val="00770F98"/>
    <w:rsid w:val="00772457"/>
    <w:rsid w:val="0077465C"/>
    <w:rsid w:val="007825DB"/>
    <w:rsid w:val="00784137"/>
    <w:rsid w:val="007A075B"/>
    <w:rsid w:val="007D295D"/>
    <w:rsid w:val="007F3C2A"/>
    <w:rsid w:val="0080498A"/>
    <w:rsid w:val="00806712"/>
    <w:rsid w:val="00821886"/>
    <w:rsid w:val="00831D7B"/>
    <w:rsid w:val="00851055"/>
    <w:rsid w:val="00852629"/>
    <w:rsid w:val="0087234E"/>
    <w:rsid w:val="00886900"/>
    <w:rsid w:val="008B7F2C"/>
    <w:rsid w:val="008C6A6B"/>
    <w:rsid w:val="008C78B4"/>
    <w:rsid w:val="008F10A2"/>
    <w:rsid w:val="008F2FFA"/>
    <w:rsid w:val="00917BA7"/>
    <w:rsid w:val="0092586B"/>
    <w:rsid w:val="00932D71"/>
    <w:rsid w:val="00945CD6"/>
    <w:rsid w:val="00956E75"/>
    <w:rsid w:val="009575FD"/>
    <w:rsid w:val="00957AE3"/>
    <w:rsid w:val="009648CE"/>
    <w:rsid w:val="0097705B"/>
    <w:rsid w:val="00984BBF"/>
    <w:rsid w:val="00984CA2"/>
    <w:rsid w:val="009B1638"/>
    <w:rsid w:val="009C40E8"/>
    <w:rsid w:val="009C414E"/>
    <w:rsid w:val="009D47D2"/>
    <w:rsid w:val="009E28C8"/>
    <w:rsid w:val="009E7355"/>
    <w:rsid w:val="00A020E8"/>
    <w:rsid w:val="00A055FB"/>
    <w:rsid w:val="00A35B0D"/>
    <w:rsid w:val="00A35E23"/>
    <w:rsid w:val="00A412C5"/>
    <w:rsid w:val="00A43A8A"/>
    <w:rsid w:val="00A44209"/>
    <w:rsid w:val="00A87AFE"/>
    <w:rsid w:val="00AA29C0"/>
    <w:rsid w:val="00AA3699"/>
    <w:rsid w:val="00B14396"/>
    <w:rsid w:val="00B57072"/>
    <w:rsid w:val="00B66874"/>
    <w:rsid w:val="00B71476"/>
    <w:rsid w:val="00B73ACF"/>
    <w:rsid w:val="00B8281B"/>
    <w:rsid w:val="00B84547"/>
    <w:rsid w:val="00B91D97"/>
    <w:rsid w:val="00BB13A6"/>
    <w:rsid w:val="00BC2475"/>
    <w:rsid w:val="00BC4052"/>
    <w:rsid w:val="00BD4CFB"/>
    <w:rsid w:val="00BE7952"/>
    <w:rsid w:val="00C12B95"/>
    <w:rsid w:val="00C1674B"/>
    <w:rsid w:val="00C35FE6"/>
    <w:rsid w:val="00C56EA9"/>
    <w:rsid w:val="00C7557C"/>
    <w:rsid w:val="00C76185"/>
    <w:rsid w:val="00C95BCE"/>
    <w:rsid w:val="00CB2559"/>
    <w:rsid w:val="00CB2ED6"/>
    <w:rsid w:val="00CB4B25"/>
    <w:rsid w:val="00CC254B"/>
    <w:rsid w:val="00CC2CD1"/>
    <w:rsid w:val="00CD7FC2"/>
    <w:rsid w:val="00CE6EFF"/>
    <w:rsid w:val="00D012A6"/>
    <w:rsid w:val="00D03983"/>
    <w:rsid w:val="00D06D5F"/>
    <w:rsid w:val="00D13856"/>
    <w:rsid w:val="00D1451E"/>
    <w:rsid w:val="00D44EA5"/>
    <w:rsid w:val="00D519D9"/>
    <w:rsid w:val="00D90EF6"/>
    <w:rsid w:val="00DA110E"/>
    <w:rsid w:val="00DC03A6"/>
    <w:rsid w:val="00DC0CFC"/>
    <w:rsid w:val="00E00860"/>
    <w:rsid w:val="00E042DA"/>
    <w:rsid w:val="00E05A0A"/>
    <w:rsid w:val="00E1407C"/>
    <w:rsid w:val="00E14253"/>
    <w:rsid w:val="00E268FB"/>
    <w:rsid w:val="00E324F9"/>
    <w:rsid w:val="00E33240"/>
    <w:rsid w:val="00E332ED"/>
    <w:rsid w:val="00E41D46"/>
    <w:rsid w:val="00E56B7A"/>
    <w:rsid w:val="00E62F09"/>
    <w:rsid w:val="00E72E9A"/>
    <w:rsid w:val="00E86DB9"/>
    <w:rsid w:val="00E96373"/>
    <w:rsid w:val="00EA12DE"/>
    <w:rsid w:val="00EB5B54"/>
    <w:rsid w:val="00EC329F"/>
    <w:rsid w:val="00ED284E"/>
    <w:rsid w:val="00F03648"/>
    <w:rsid w:val="00F05759"/>
    <w:rsid w:val="00F25AEE"/>
    <w:rsid w:val="00F514D1"/>
    <w:rsid w:val="00F73374"/>
    <w:rsid w:val="00F75116"/>
    <w:rsid w:val="00FA05FE"/>
    <w:rsid w:val="00FB1012"/>
    <w:rsid w:val="00FC04C5"/>
    <w:rsid w:val="00FC196A"/>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804353644">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987664132">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showcase/otip/"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facebook.com/ChildrenAndFamil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ffice-trafficking-pers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9689E67A-62C2-4D14-8645-69F37DDA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Kiefer, Vera J.</cp:lastModifiedBy>
  <cp:revision>2</cp:revision>
  <cp:lastPrinted>2009-01-26T16:35:00Z</cp:lastPrinted>
  <dcterms:created xsi:type="dcterms:W3CDTF">2021-02-17T15:04:00Z</dcterms:created>
  <dcterms:modified xsi:type="dcterms:W3CDTF">2021-02-17T15:04:00Z</dcterms:modified>
</cp:coreProperties>
</file>