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58BFF066">
      <w:pPr>
        <w:rPr>
          <w:b/>
        </w:rPr>
      </w:pPr>
    </w:p>
    <w:p w:rsidR="006E4C78" w:rsidP="00B56589" w:rsidRDefault="006E4C78" w14:paraId="56764C99" w14:textId="77777777">
      <w:pPr>
        <w:rPr>
          <w:b/>
        </w:rPr>
      </w:pPr>
    </w:p>
    <w:p w:rsidRPr="00B139CA" w:rsidR="000F7E22" w:rsidP="000F7E22" w:rsidRDefault="00D922B7" w14:paraId="338A03E6" w14:textId="7FB5F1E9">
      <w:pPr>
        <w:pStyle w:val="ReportCover-Title"/>
        <w:jc w:val="center"/>
        <w:rPr>
          <w:rFonts w:ascii="Arial" w:hAnsi="Arial" w:cs="Arial"/>
          <w:color w:val="auto"/>
        </w:rPr>
      </w:pPr>
      <w:r>
        <w:rPr>
          <w:rFonts w:ascii="Arial" w:hAnsi="Arial" w:eastAsia="Arial Unicode MS" w:cs="Arial"/>
          <w:noProof/>
          <w:color w:val="auto"/>
        </w:rPr>
        <w:t>Success Sequence Interviews</w:t>
      </w:r>
    </w:p>
    <w:p w:rsidRPr="00B139CA" w:rsidR="00D51337" w:rsidP="00D51337" w:rsidRDefault="00D51337" w14:paraId="6AFF1AEC" w14:textId="77777777">
      <w:pPr>
        <w:pStyle w:val="ReportCover-Title"/>
        <w:rPr>
          <w:rFonts w:ascii="Arial" w:hAnsi="Arial" w:cs="Arial"/>
          <w:color w:val="auto"/>
        </w:rPr>
      </w:pPr>
    </w:p>
    <w:p w:rsidRPr="00B139CA" w:rsidR="009B3DFB" w:rsidP="009B3DFB" w:rsidRDefault="009B3DFB" w14:paraId="5ABABFA1" w14:textId="77777777">
      <w:pPr>
        <w:pStyle w:val="ReportCover-Title"/>
        <w:jc w:val="center"/>
        <w:rPr>
          <w:rFonts w:ascii="Arial" w:hAnsi="Arial" w:cs="Arial"/>
          <w:color w:val="auto"/>
          <w:sz w:val="32"/>
          <w:szCs w:val="32"/>
        </w:rPr>
      </w:pPr>
    </w:p>
    <w:p w:rsidRPr="00B13297" w:rsidR="003818CB" w:rsidP="003818CB" w:rsidRDefault="003818CB" w14:paraId="2C7FA3C1"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3818CB" w:rsidP="003818CB" w:rsidRDefault="004F457C" w14:paraId="37B9F649" w14:textId="633D4AF7">
      <w:pPr>
        <w:pStyle w:val="ReportCover-Title"/>
        <w:jc w:val="center"/>
        <w:rPr>
          <w:rFonts w:ascii="Arial" w:hAnsi="Arial" w:cs="Arial"/>
          <w:color w:val="auto"/>
          <w:sz w:val="32"/>
          <w:szCs w:val="32"/>
        </w:rPr>
      </w:pPr>
      <w:r>
        <w:rPr>
          <w:rFonts w:ascii="Arial" w:hAnsi="Arial" w:cs="Arial"/>
          <w:color w:val="auto"/>
          <w:sz w:val="32"/>
          <w:szCs w:val="32"/>
        </w:rPr>
        <w:t>0970</w:t>
      </w:r>
      <w:r w:rsidR="00016731">
        <w:rPr>
          <w:rFonts w:ascii="Arial" w:hAnsi="Arial" w:cs="Arial"/>
          <w:color w:val="auto"/>
          <w:sz w:val="32"/>
          <w:szCs w:val="32"/>
        </w:rPr>
        <w:t xml:space="preserve"> </w:t>
      </w:r>
      <w:r>
        <w:rPr>
          <w:rFonts w:ascii="Arial" w:hAnsi="Arial" w:cs="Arial"/>
          <w:color w:val="auto"/>
          <w:sz w:val="32"/>
          <w:szCs w:val="32"/>
        </w:rPr>
        <w:t>-</w:t>
      </w:r>
      <w:r w:rsidR="00016731">
        <w:rPr>
          <w:rFonts w:ascii="Arial" w:hAnsi="Arial" w:cs="Arial"/>
          <w:color w:val="auto"/>
          <w:sz w:val="32"/>
          <w:szCs w:val="32"/>
        </w:rPr>
        <w:t xml:space="preserve"> </w:t>
      </w:r>
      <w:r w:rsidR="003818CB">
        <w:rPr>
          <w:rFonts w:ascii="Arial" w:hAnsi="Arial" w:cs="Arial"/>
          <w:color w:val="auto"/>
          <w:sz w:val="32"/>
          <w:szCs w:val="32"/>
        </w:rPr>
        <w:t xml:space="preserve">New </w:t>
      </w:r>
      <w:r w:rsidR="00016731">
        <w:rPr>
          <w:rFonts w:ascii="Arial" w:hAnsi="Arial" w:cs="Arial"/>
          <w:color w:val="auto"/>
          <w:sz w:val="32"/>
          <w:szCs w:val="32"/>
        </w:rPr>
        <w:t>C</w:t>
      </w:r>
      <w:r w:rsidR="003818CB">
        <w:rPr>
          <w:rFonts w:ascii="Arial" w:hAnsi="Arial" w:cs="Arial"/>
          <w:color w:val="auto"/>
          <w:sz w:val="32"/>
          <w:szCs w:val="32"/>
        </w:rPr>
        <w:t>ollection</w:t>
      </w:r>
    </w:p>
    <w:p w:rsidRPr="00B139CA" w:rsidR="00D51337" w:rsidP="00D51337" w:rsidRDefault="00D51337" w14:paraId="4A4DC21E" w14:textId="77777777">
      <w:pPr>
        <w:rPr>
          <w:rFonts w:ascii="Arial" w:hAnsi="Arial" w:cs="Arial"/>
        </w:rPr>
      </w:pPr>
    </w:p>
    <w:p w:rsidRPr="00B139CA" w:rsidR="00D51337" w:rsidP="000078DD" w:rsidRDefault="00D51337" w14:paraId="025FDC3B" w14:textId="77777777">
      <w:pPr>
        <w:pStyle w:val="ReportCover-Date"/>
        <w:spacing w:before="600" w:after="360" w:line="240" w:lineRule="auto"/>
        <w:jc w:val="center"/>
        <w:rPr>
          <w:rFonts w:ascii="Arial" w:hAnsi="Arial" w:cs="Arial"/>
          <w:color w:val="auto"/>
          <w:sz w:val="48"/>
          <w:szCs w:val="48"/>
        </w:rPr>
      </w:pPr>
      <w:r w:rsidRPr="00B139CA">
        <w:rPr>
          <w:rFonts w:ascii="Arial" w:hAnsi="Arial" w:cs="Arial"/>
          <w:color w:val="auto"/>
          <w:sz w:val="48"/>
          <w:szCs w:val="48"/>
        </w:rPr>
        <w:t>Supporting Statement</w:t>
      </w:r>
    </w:p>
    <w:p w:rsidRPr="00B139CA"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9CA">
        <w:rPr>
          <w:rFonts w:ascii="Arial" w:hAnsi="Arial" w:cs="Arial"/>
          <w:color w:val="auto"/>
          <w:sz w:val="48"/>
          <w:szCs w:val="48"/>
        </w:rPr>
        <w:t xml:space="preserve">Part </w:t>
      </w:r>
      <w:r w:rsidRPr="00B139CA" w:rsidR="00E80588">
        <w:rPr>
          <w:rFonts w:ascii="Arial" w:hAnsi="Arial" w:cs="Arial"/>
          <w:color w:val="auto"/>
          <w:sz w:val="48"/>
          <w:szCs w:val="48"/>
        </w:rPr>
        <w:t>B</w:t>
      </w:r>
    </w:p>
    <w:p w:rsidRPr="00B139CA" w:rsidR="00D51337" w:rsidP="00D51337" w:rsidRDefault="00EE5B42" w14:paraId="6AE3DDAE" w14:textId="35502426">
      <w:pPr>
        <w:pStyle w:val="ReportCover-Date"/>
        <w:jc w:val="center"/>
        <w:rPr>
          <w:rFonts w:ascii="Arial" w:hAnsi="Arial" w:cs="Arial"/>
          <w:color w:val="auto"/>
        </w:rPr>
      </w:pPr>
      <w:r>
        <w:rPr>
          <w:rFonts w:ascii="Arial" w:hAnsi="Arial" w:cs="Arial"/>
          <w:color w:val="auto"/>
        </w:rPr>
        <w:t>January 2022</w:t>
      </w:r>
    </w:p>
    <w:p w:rsidRPr="00B139CA" w:rsidR="00D51337" w:rsidP="00D51337" w:rsidRDefault="00D51337" w14:paraId="42BC44A9" w14:textId="77777777">
      <w:pPr>
        <w:spacing w:after="0" w:line="240" w:lineRule="auto"/>
        <w:jc w:val="center"/>
        <w:rPr>
          <w:rFonts w:ascii="Arial" w:hAnsi="Arial" w:cs="Arial"/>
        </w:rPr>
      </w:pPr>
    </w:p>
    <w:p w:rsidRPr="00B139CA" w:rsidR="00D51337" w:rsidP="00D51337" w:rsidRDefault="00D51337" w14:paraId="4BA2E953" w14:textId="20494646">
      <w:pPr>
        <w:spacing w:after="0" w:line="240" w:lineRule="auto"/>
        <w:jc w:val="center"/>
        <w:rPr>
          <w:rFonts w:ascii="Arial" w:hAnsi="Arial" w:cs="Arial"/>
        </w:rPr>
      </w:pPr>
      <w:r w:rsidRPr="00B139CA">
        <w:rPr>
          <w:rFonts w:ascii="Arial" w:hAnsi="Arial" w:cs="Arial"/>
        </w:rPr>
        <w:t xml:space="preserve">Submitted </w:t>
      </w:r>
      <w:r w:rsidRPr="00B139CA" w:rsidR="00044ADA">
        <w:rPr>
          <w:rFonts w:ascii="Arial" w:hAnsi="Arial" w:cs="Arial"/>
        </w:rPr>
        <w:t>b</w:t>
      </w:r>
      <w:r w:rsidRPr="00B139CA">
        <w:rPr>
          <w:rFonts w:ascii="Arial" w:hAnsi="Arial" w:cs="Arial"/>
        </w:rPr>
        <w:t>y:</w:t>
      </w:r>
    </w:p>
    <w:p w:rsidRPr="00B139CA" w:rsidR="00D51337" w:rsidP="00D51337" w:rsidRDefault="00D51337" w14:paraId="43DDFE80" w14:textId="4B82781C">
      <w:pPr>
        <w:spacing w:after="0" w:line="240" w:lineRule="auto"/>
        <w:jc w:val="center"/>
        <w:rPr>
          <w:rFonts w:ascii="Arial" w:hAnsi="Arial" w:cs="Arial"/>
        </w:rPr>
      </w:pPr>
      <w:r w:rsidRPr="00B139CA">
        <w:rPr>
          <w:rFonts w:ascii="Arial" w:hAnsi="Arial" w:cs="Arial"/>
        </w:rPr>
        <w:t xml:space="preserve">Office of Planning, </w:t>
      </w:r>
      <w:r w:rsidRPr="00B139CA" w:rsidR="00D922B7">
        <w:rPr>
          <w:rFonts w:ascii="Arial" w:hAnsi="Arial" w:cs="Arial"/>
        </w:rPr>
        <w:t>Research and</w:t>
      </w:r>
      <w:r w:rsidRPr="00B139CA">
        <w:rPr>
          <w:rFonts w:ascii="Arial" w:hAnsi="Arial" w:cs="Arial"/>
        </w:rPr>
        <w:t xml:space="preserve"> Evaluation</w:t>
      </w:r>
    </w:p>
    <w:p w:rsidRPr="00B139CA" w:rsidR="00D51337" w:rsidP="00D51337" w:rsidRDefault="00D51337" w14:paraId="36795D2D" w14:textId="77777777">
      <w:pPr>
        <w:spacing w:after="0" w:line="240" w:lineRule="auto"/>
        <w:jc w:val="center"/>
        <w:rPr>
          <w:rFonts w:ascii="Arial" w:hAnsi="Arial" w:cs="Arial"/>
        </w:rPr>
      </w:pPr>
      <w:r w:rsidRPr="00B139CA">
        <w:rPr>
          <w:rFonts w:ascii="Arial" w:hAnsi="Arial" w:cs="Arial"/>
        </w:rPr>
        <w:t xml:space="preserve">Administration for Children and Families </w:t>
      </w:r>
    </w:p>
    <w:p w:rsidRPr="00B139CA" w:rsidR="00D51337" w:rsidP="00D51337" w:rsidRDefault="00D51337" w14:paraId="68F857AB" w14:textId="77777777">
      <w:pPr>
        <w:spacing w:after="0" w:line="240" w:lineRule="auto"/>
        <w:jc w:val="center"/>
        <w:rPr>
          <w:rFonts w:ascii="Arial" w:hAnsi="Arial" w:cs="Arial"/>
        </w:rPr>
      </w:pPr>
      <w:r w:rsidRPr="00B139CA">
        <w:rPr>
          <w:rFonts w:ascii="Arial" w:hAnsi="Arial" w:cs="Arial"/>
        </w:rPr>
        <w:t>U.S. Department of Health and Human Services</w:t>
      </w:r>
    </w:p>
    <w:p w:rsidRPr="00B139CA" w:rsidR="00D51337" w:rsidP="00D51337" w:rsidRDefault="00D51337" w14:paraId="1A483089" w14:textId="77777777">
      <w:pPr>
        <w:spacing w:after="0" w:line="240" w:lineRule="auto"/>
        <w:jc w:val="center"/>
        <w:rPr>
          <w:rFonts w:ascii="Arial" w:hAnsi="Arial" w:cs="Arial"/>
        </w:rPr>
      </w:pPr>
    </w:p>
    <w:p w:rsidRPr="00B139CA" w:rsidR="00D51337" w:rsidP="00D51337" w:rsidRDefault="00D51337" w14:paraId="5E7AC372" w14:textId="77777777">
      <w:pPr>
        <w:spacing w:after="0" w:line="240" w:lineRule="auto"/>
        <w:jc w:val="center"/>
        <w:rPr>
          <w:rFonts w:ascii="Arial" w:hAnsi="Arial" w:cs="Arial"/>
        </w:rPr>
      </w:pPr>
      <w:r w:rsidRPr="00B139CA">
        <w:rPr>
          <w:rFonts w:ascii="Arial" w:hAnsi="Arial" w:cs="Arial"/>
        </w:rPr>
        <w:t>4</w:t>
      </w:r>
      <w:r w:rsidRPr="00B139CA">
        <w:rPr>
          <w:rFonts w:ascii="Arial" w:hAnsi="Arial" w:cs="Arial"/>
          <w:vertAlign w:val="superscript"/>
        </w:rPr>
        <w:t>th</w:t>
      </w:r>
      <w:r w:rsidRPr="00B139CA">
        <w:rPr>
          <w:rFonts w:ascii="Arial" w:hAnsi="Arial" w:cs="Arial"/>
        </w:rPr>
        <w:t xml:space="preserve"> Floor, Mary E. Switzer Building</w:t>
      </w:r>
    </w:p>
    <w:p w:rsidRPr="00B139CA" w:rsidR="00D51337" w:rsidP="00D51337" w:rsidRDefault="00D51337" w14:paraId="26A8D7CA" w14:textId="77777777">
      <w:pPr>
        <w:spacing w:after="0" w:line="240" w:lineRule="auto"/>
        <w:jc w:val="center"/>
        <w:rPr>
          <w:rFonts w:ascii="Arial" w:hAnsi="Arial" w:cs="Arial"/>
        </w:rPr>
      </w:pPr>
      <w:r w:rsidRPr="00B139CA">
        <w:rPr>
          <w:rFonts w:ascii="Arial" w:hAnsi="Arial" w:cs="Arial"/>
        </w:rPr>
        <w:t>330 C Street, SW</w:t>
      </w:r>
    </w:p>
    <w:p w:rsidRPr="00B139CA" w:rsidR="00D51337" w:rsidP="00D51337" w:rsidRDefault="00D51337" w14:paraId="366B1F06" w14:textId="6AF5FC67">
      <w:pPr>
        <w:spacing w:after="0" w:line="240" w:lineRule="auto"/>
        <w:jc w:val="center"/>
        <w:rPr>
          <w:rFonts w:ascii="Arial" w:hAnsi="Arial" w:cs="Arial"/>
        </w:rPr>
      </w:pPr>
      <w:r w:rsidRPr="00B139CA">
        <w:rPr>
          <w:rFonts w:ascii="Arial" w:hAnsi="Arial" w:cs="Arial"/>
        </w:rPr>
        <w:t>Washington, DC 20201</w:t>
      </w:r>
    </w:p>
    <w:p w:rsidRPr="00B139CA" w:rsidR="00D51337" w:rsidP="00D51337" w:rsidRDefault="00D51337" w14:paraId="4691FD53" w14:textId="77777777">
      <w:pPr>
        <w:spacing w:after="0" w:line="240" w:lineRule="auto"/>
        <w:jc w:val="center"/>
        <w:rPr>
          <w:rFonts w:ascii="Arial" w:hAnsi="Arial" w:cs="Arial"/>
        </w:rPr>
      </w:pPr>
    </w:p>
    <w:p w:rsidRPr="00B139CA" w:rsidR="000F7E22" w:rsidP="000F7E22" w:rsidRDefault="000F7E22" w14:paraId="1BEC8879" w14:textId="77777777">
      <w:pPr>
        <w:spacing w:after="0" w:line="240" w:lineRule="auto"/>
        <w:jc w:val="center"/>
        <w:rPr>
          <w:rFonts w:ascii="Arial" w:hAnsi="Arial" w:cs="Arial"/>
        </w:rPr>
      </w:pPr>
      <w:r w:rsidRPr="00B139CA">
        <w:rPr>
          <w:rFonts w:ascii="Arial" w:hAnsi="Arial" w:cs="Arial"/>
        </w:rPr>
        <w:t xml:space="preserve">Project Officer: </w:t>
      </w:r>
    </w:p>
    <w:p w:rsidRPr="00B139CA" w:rsidR="007F7061" w:rsidP="007F7061" w:rsidRDefault="007F7061" w14:paraId="17491194" w14:textId="77777777">
      <w:pPr>
        <w:spacing w:after="0" w:line="240" w:lineRule="auto"/>
        <w:jc w:val="center"/>
        <w:rPr>
          <w:rFonts w:ascii="Arial" w:hAnsi="Arial" w:cs="Arial"/>
        </w:rPr>
      </w:pPr>
      <w:r w:rsidRPr="00B139CA">
        <w:rPr>
          <w:rFonts w:ascii="Arial" w:hAnsi="Arial" w:cs="Arial"/>
        </w:rPr>
        <w:t>Caryn Blitz</w:t>
      </w:r>
    </w:p>
    <w:p w:rsidRPr="00B139CA" w:rsidR="00D51337" w:rsidP="00D51337" w:rsidRDefault="00D51337" w14:paraId="27872D1C" w14:textId="77777777">
      <w:pPr>
        <w:spacing w:after="0" w:line="240" w:lineRule="auto"/>
        <w:jc w:val="center"/>
        <w:rPr>
          <w:b/>
        </w:rPr>
      </w:pPr>
    </w:p>
    <w:p w:rsidRPr="00B139CA" w:rsidR="001253F4" w:rsidP="00F24397" w:rsidRDefault="00B4182B" w14:paraId="71A43DA4" w14:textId="77777777">
      <w:pPr>
        <w:spacing w:after="480" w:line="240" w:lineRule="auto"/>
        <w:jc w:val="center"/>
        <w:rPr>
          <w:b/>
          <w:sz w:val="32"/>
          <w:szCs w:val="32"/>
        </w:rPr>
      </w:pPr>
      <w:r w:rsidRPr="00B139CA">
        <w:br w:type="page"/>
      </w:r>
      <w:r w:rsidRPr="00B139CA" w:rsidR="001253F4">
        <w:rPr>
          <w:b/>
          <w:sz w:val="32"/>
          <w:szCs w:val="32"/>
        </w:rPr>
        <w:lastRenderedPageBreak/>
        <w:t>Part B</w:t>
      </w:r>
    </w:p>
    <w:p w:rsidRPr="00B139CA" w:rsidR="0072072F" w:rsidP="00F24397" w:rsidRDefault="00EE38AF" w14:paraId="23F27413" w14:textId="33345C07">
      <w:pPr>
        <w:pStyle w:val="Heading2A"/>
      </w:pPr>
      <w:r w:rsidRPr="00B139CA">
        <w:t>B1.</w:t>
      </w:r>
      <w:r w:rsidRPr="00B139CA">
        <w:tab/>
      </w:r>
      <w:r w:rsidRPr="00B139CA" w:rsidR="0020629A">
        <w:t>O</w:t>
      </w:r>
      <w:r w:rsidRPr="00B139CA" w:rsidR="008369BA">
        <w:t>bjectives</w:t>
      </w:r>
    </w:p>
    <w:p w:rsidRPr="00F24397" w:rsidR="0072072F" w:rsidP="0044628A" w:rsidRDefault="0072072F" w14:paraId="40621335" w14:textId="41E40AA2">
      <w:pPr>
        <w:pStyle w:val="Heading3A"/>
        <w:spacing w:after="60"/>
      </w:pPr>
      <w:r w:rsidRPr="00B139CA">
        <w:t>Study Objectives</w:t>
      </w:r>
    </w:p>
    <w:p w:rsidRPr="00F24397" w:rsidR="006D6430" w:rsidP="00F24397" w:rsidRDefault="009E45FA" w14:paraId="5C29B4B2" w14:textId="6F7ABB91">
      <w:pPr>
        <w:spacing w:after="120" w:line="240" w:lineRule="auto"/>
      </w:pPr>
      <w:r w:rsidRPr="00B139CA">
        <w:t xml:space="preserve">The </w:t>
      </w:r>
      <w:r w:rsidRPr="00B139CA" w:rsidR="006D6430">
        <w:t xml:space="preserve">objective of the </w:t>
      </w:r>
      <w:r w:rsidR="00D922B7">
        <w:t>Success Sequence Interviews</w:t>
      </w:r>
      <w:r w:rsidR="000B746D">
        <w:t xml:space="preserve"> study</w:t>
      </w:r>
      <w:r w:rsidR="00D922B7">
        <w:t xml:space="preserve"> is to collect data from adults, age</w:t>
      </w:r>
      <w:r w:rsidR="002006A9">
        <w:t>s</w:t>
      </w:r>
      <w:r w:rsidR="00D922B7">
        <w:t xml:space="preserve"> 30</w:t>
      </w:r>
      <w:r w:rsidR="002006A9">
        <w:t xml:space="preserve"> through </w:t>
      </w:r>
      <w:r w:rsidR="00D922B7">
        <w:t xml:space="preserve">35, about factors associated with economic self-sufficiency and the sequencing of milestones for </w:t>
      </w:r>
      <w:r w:rsidRPr="00CF5FAC" w:rsidR="00CF5FAC">
        <w:t>high school graduation, employment, marriage, and childbearing</w:t>
      </w:r>
      <w:r w:rsidRPr="003A5413" w:rsidR="003A5413">
        <w:t>.</w:t>
      </w:r>
      <w:r w:rsidR="00D922B7">
        <w:t xml:space="preserve">. </w:t>
      </w:r>
    </w:p>
    <w:p w:rsidRPr="00B139CA" w:rsidR="006D6430" w:rsidP="00F24397" w:rsidRDefault="006D6430" w14:paraId="197DB626" w14:textId="1222B2A8">
      <w:pPr>
        <w:spacing w:after="120" w:line="240" w:lineRule="auto"/>
      </w:pPr>
      <w:r w:rsidRPr="00B139CA">
        <w:t xml:space="preserve">The data collected from the </w:t>
      </w:r>
      <w:r w:rsidR="0020002E">
        <w:t xml:space="preserve">interviews </w:t>
      </w:r>
      <w:r w:rsidRPr="00B139CA">
        <w:t xml:space="preserve">will: </w:t>
      </w:r>
    </w:p>
    <w:p w:rsidRPr="00947AF5" w:rsidR="00435F63" w:rsidP="00947AF5" w:rsidRDefault="00435F63" w14:paraId="00F841EA" w14:textId="1C35D878">
      <w:pPr>
        <w:pStyle w:val="ListParagraph"/>
        <w:numPr>
          <w:ilvl w:val="0"/>
          <w:numId w:val="30"/>
        </w:numPr>
        <w:spacing w:after="120" w:line="240" w:lineRule="auto"/>
        <w:ind w:left="360"/>
        <w:contextualSpacing w:val="0"/>
        <w:rPr>
          <w:bCs/>
        </w:rPr>
      </w:pPr>
      <w:r w:rsidRPr="00947AF5">
        <w:rPr>
          <w:bCs/>
        </w:rPr>
        <w:t>Provide the Administration for Children and Families</w:t>
      </w:r>
      <w:r w:rsidRPr="00947AF5" w:rsidR="006D6430">
        <w:rPr>
          <w:bCs/>
        </w:rPr>
        <w:t xml:space="preserve"> </w:t>
      </w:r>
      <w:r w:rsidRPr="00947AF5">
        <w:rPr>
          <w:bCs/>
        </w:rPr>
        <w:t>(</w:t>
      </w:r>
      <w:r w:rsidRPr="00947AF5" w:rsidR="006D6430">
        <w:rPr>
          <w:bCs/>
        </w:rPr>
        <w:t>ACF</w:t>
      </w:r>
      <w:r w:rsidRPr="00947AF5">
        <w:rPr>
          <w:bCs/>
        </w:rPr>
        <w:t>) with</w:t>
      </w:r>
      <w:r w:rsidRPr="00947AF5" w:rsidR="00D922B7">
        <w:rPr>
          <w:bCs/>
        </w:rPr>
        <w:t xml:space="preserve"> a deeper </w:t>
      </w:r>
      <w:r w:rsidR="00BA19D3">
        <w:rPr>
          <w:bCs/>
        </w:rPr>
        <w:t>contextual</w:t>
      </w:r>
      <w:r w:rsidRPr="00947AF5" w:rsidR="00BA19D3">
        <w:rPr>
          <w:bCs/>
        </w:rPr>
        <w:t xml:space="preserve"> </w:t>
      </w:r>
      <w:r w:rsidRPr="00947AF5" w:rsidR="00D922B7">
        <w:rPr>
          <w:bCs/>
        </w:rPr>
        <w:t>understanding of the success sequence</w:t>
      </w:r>
      <w:r w:rsidRPr="00947AF5" w:rsidR="00722B62">
        <w:rPr>
          <w:bCs/>
        </w:rPr>
        <w:t xml:space="preserve"> and the factors that influence the order </w:t>
      </w:r>
      <w:r w:rsidR="00BA19D3">
        <w:rPr>
          <w:bCs/>
        </w:rPr>
        <w:t xml:space="preserve">in which respondents complete </w:t>
      </w:r>
      <w:r w:rsidRPr="00947AF5" w:rsidR="00722B62">
        <w:rPr>
          <w:bCs/>
        </w:rPr>
        <w:t>the milestones and</w:t>
      </w:r>
      <w:r w:rsidR="00BA19D3">
        <w:rPr>
          <w:bCs/>
        </w:rPr>
        <w:t xml:space="preserve"> pathways to achieve</w:t>
      </w:r>
      <w:r w:rsidRPr="00947AF5" w:rsidR="00BA19D3">
        <w:rPr>
          <w:bCs/>
        </w:rPr>
        <w:t xml:space="preserve"> </w:t>
      </w:r>
      <w:r w:rsidRPr="00947AF5" w:rsidR="00722B62">
        <w:rPr>
          <w:bCs/>
        </w:rPr>
        <w:t>economic self-sufficiency.</w:t>
      </w:r>
      <w:r w:rsidR="000078DD">
        <w:rPr>
          <w:bCs/>
        </w:rPr>
        <w:t xml:space="preserve"> </w:t>
      </w:r>
    </w:p>
    <w:p w:rsidRPr="00947AF5" w:rsidR="00BB2925" w:rsidP="0044628A" w:rsidRDefault="00BA19D3" w14:paraId="6EC0106B" w14:textId="054869E7">
      <w:pPr>
        <w:pStyle w:val="ListParagraph"/>
        <w:numPr>
          <w:ilvl w:val="0"/>
          <w:numId w:val="30"/>
        </w:numPr>
        <w:spacing w:after="240" w:line="240" w:lineRule="auto"/>
        <w:ind w:left="360"/>
        <w:contextualSpacing w:val="0"/>
        <w:rPr>
          <w:bCs/>
        </w:rPr>
      </w:pPr>
      <w:r>
        <w:t>Help provide ACF</w:t>
      </w:r>
      <w:r w:rsidR="00247D73">
        <w:t>’s Family and Youth Services Bureau (FYSB)</w:t>
      </w:r>
      <w:r>
        <w:t xml:space="preserve"> </w:t>
      </w:r>
      <w:r w:rsidR="00B16966">
        <w:t xml:space="preserve">with </w:t>
      </w:r>
      <w:r w:rsidR="00333EBA">
        <w:t>greater</w:t>
      </w:r>
      <w:r>
        <w:t xml:space="preserve"> insight into </w:t>
      </w:r>
      <w:r w:rsidR="00B16966">
        <w:t xml:space="preserve">current </w:t>
      </w:r>
      <w:r>
        <w:t xml:space="preserve">program content and strategies related to the success sequence that could best </w:t>
      </w:r>
      <w:r w:rsidRPr="00257378">
        <w:t xml:space="preserve">resonate with </w:t>
      </w:r>
      <w:r w:rsidR="00247D73">
        <w:t>Sexual Risk Avoidance Education (SRAE) program part</w:t>
      </w:r>
      <w:r w:rsidR="00B16966">
        <w:t>icipants</w:t>
      </w:r>
      <w:r w:rsidRPr="00947AF5" w:rsidR="00722B62">
        <w:rPr>
          <w:bCs/>
        </w:rPr>
        <w:t xml:space="preserve">. </w:t>
      </w:r>
    </w:p>
    <w:p w:rsidRPr="00F24397" w:rsidR="005F2951" w:rsidP="0044628A" w:rsidRDefault="0072072F" w14:paraId="75A4A02E" w14:textId="53C99950">
      <w:pPr>
        <w:pStyle w:val="Heading3A"/>
        <w:spacing w:after="60"/>
      </w:pPr>
      <w:r w:rsidRPr="00B139CA">
        <w:t xml:space="preserve">Generalizability of Results </w:t>
      </w:r>
    </w:p>
    <w:p w:rsidRPr="00F24397" w:rsidR="00F85D35" w:rsidP="0044628A" w:rsidRDefault="004E2BBD" w14:paraId="33260685" w14:textId="527A9F2A">
      <w:pPr>
        <w:spacing w:after="240" w:line="240" w:lineRule="auto"/>
      </w:pPr>
      <w:r>
        <w:t xml:space="preserve">Given that </w:t>
      </w:r>
      <w:r w:rsidRPr="00F24397" w:rsidR="00202DD3">
        <w:t>th</w:t>
      </w:r>
      <w:r w:rsidR="00EA1E21">
        <w:t xml:space="preserve">e </w:t>
      </w:r>
      <w:r w:rsidRPr="00F24397" w:rsidR="00202DD3">
        <w:t>i</w:t>
      </w:r>
      <w:r w:rsidR="00EA1E21">
        <w:t>nterview</w:t>
      </w:r>
      <w:r w:rsidRPr="00F24397" w:rsidR="00202DD3">
        <w:t>s</w:t>
      </w:r>
      <w:r w:rsidR="00EA1E21">
        <w:t xml:space="preserve"> involve</w:t>
      </w:r>
      <w:r w:rsidRPr="00F24397" w:rsidR="00202DD3">
        <w:t xml:space="preserve"> a</w:t>
      </w:r>
      <w:r w:rsidR="00523372">
        <w:t xml:space="preserve"> non</w:t>
      </w:r>
      <w:r w:rsidRPr="00F24397" w:rsidR="00202DD3">
        <w:t xml:space="preserve">probability sample, the </w:t>
      </w:r>
      <w:r w:rsidRPr="00F24397" w:rsidR="00D922B7">
        <w:t>interview data</w:t>
      </w:r>
      <w:r w:rsidRPr="00F24397" w:rsidR="00202DD3">
        <w:t xml:space="preserve"> will not be used to generate generalizable statistics for </w:t>
      </w:r>
      <w:r w:rsidRPr="00F24397" w:rsidR="00D922B7">
        <w:t>all adults, age</w:t>
      </w:r>
      <w:r w:rsidR="00EA1E21">
        <w:t>s</w:t>
      </w:r>
      <w:r w:rsidRPr="00F24397" w:rsidR="00D922B7">
        <w:t xml:space="preserve"> 30-</w:t>
      </w:r>
      <w:r>
        <w:t>3</w:t>
      </w:r>
      <w:r w:rsidRPr="00F24397" w:rsidR="00D922B7">
        <w:t>5.</w:t>
      </w:r>
      <w:r w:rsidR="009A28C9">
        <w:t xml:space="preserve"> The resulting data will be used to improve SRAE program content and strategies related to the</w:t>
      </w:r>
      <w:r w:rsidR="00AD56A0">
        <w:t xml:space="preserve"> </w:t>
      </w:r>
      <w:r w:rsidR="009A28C9">
        <w:t>success sequence, informing future trainings and technical assistance needs of the grant recipients conduc</w:t>
      </w:r>
      <w:r w:rsidR="00F245F4">
        <w:t>t</w:t>
      </w:r>
      <w:r w:rsidR="009A28C9">
        <w:t>ing the programs.</w:t>
      </w:r>
    </w:p>
    <w:p w:rsidRPr="00F24397" w:rsidR="00E41EE9" w:rsidP="0044628A" w:rsidRDefault="0072072F" w14:paraId="210DC9F0" w14:textId="41961C50">
      <w:pPr>
        <w:pStyle w:val="Heading3A"/>
        <w:spacing w:after="60"/>
      </w:pPr>
      <w:r w:rsidRPr="00F24397">
        <w:t xml:space="preserve">Appropriateness of Study Design and Methods for Planned Uses </w:t>
      </w:r>
    </w:p>
    <w:p w:rsidRPr="00B139CA" w:rsidR="0042464A" w:rsidP="0044628A" w:rsidRDefault="0022337D" w14:paraId="3507AA0B" w14:textId="75E3AE36">
      <w:pPr>
        <w:spacing w:after="240" w:line="240" w:lineRule="auto"/>
      </w:pPr>
      <w:r>
        <w:t>The success sequence economic analysis indicates that individuals fall into 64 milestone sequence pathways.</w:t>
      </w:r>
      <w:r w:rsidRPr="00FA408C">
        <w:rPr>
          <w:vertAlign w:val="superscript"/>
        </w:rPr>
        <w:footnoteReference w:id="2"/>
      </w:r>
      <w:r>
        <w:t xml:space="preserve"> The qualitative interviews are central to understanding the complex decisions and circumstances </w:t>
      </w:r>
      <w:r w:rsidR="00D621E6">
        <w:t>among</w:t>
      </w:r>
      <w:r>
        <w:t xml:space="preserve"> youth transitioning into adulthood. </w:t>
      </w:r>
      <w:r w:rsidRPr="00B851CC" w:rsidR="0042464A">
        <w:t xml:space="preserve">The data collected </w:t>
      </w:r>
      <w:r w:rsidR="00412E75">
        <w:t>via</w:t>
      </w:r>
      <w:r w:rsidRPr="00B851CC" w:rsidR="0042464A">
        <w:t xml:space="preserve"> the </w:t>
      </w:r>
      <w:r w:rsidRPr="00B851CC" w:rsidR="00B851CC">
        <w:t>interviews</w:t>
      </w:r>
      <w:r w:rsidRPr="00B851CC" w:rsidR="0042464A">
        <w:t xml:space="preserve"> will help </w:t>
      </w:r>
      <w:r w:rsidRPr="00B851CC" w:rsidR="00B851CC">
        <w:t xml:space="preserve">provide a more in-depth perspective as to what factors may be associated with economic self-sufficiency </w:t>
      </w:r>
      <w:r w:rsidRPr="00B851CC" w:rsidR="00781C03">
        <w:t xml:space="preserve">changes </w:t>
      </w:r>
      <w:r w:rsidR="00412E75">
        <w:t>as well as</w:t>
      </w:r>
      <w:r w:rsidRPr="00B851CC" w:rsidR="00B851CC">
        <w:t xml:space="preserve"> contextual information about the factors influencing the order</w:t>
      </w:r>
      <w:r w:rsidR="00B16966">
        <w:t xml:space="preserve"> in which</w:t>
      </w:r>
      <w:r w:rsidR="001A2281">
        <w:t xml:space="preserve"> adults</w:t>
      </w:r>
      <w:r w:rsidR="000E059A">
        <w:t xml:space="preserve"> achieve </w:t>
      </w:r>
      <w:r w:rsidRPr="00B851CC" w:rsidR="00B851CC">
        <w:t xml:space="preserve">milestones. </w:t>
      </w:r>
      <w:bookmarkStart w:name="_Hlk70616144" w:id="0"/>
      <w:r w:rsidR="00401928">
        <w:t>C</w:t>
      </w:r>
      <w:r w:rsidRPr="00B851CC" w:rsidR="00B851CC">
        <w:t xml:space="preserve">ollaboration with </w:t>
      </w:r>
      <w:r w:rsidR="00095FCF">
        <w:t>external</w:t>
      </w:r>
      <w:r w:rsidRPr="00B851CC" w:rsidR="00B851CC">
        <w:t xml:space="preserve"> market vendor</w:t>
      </w:r>
      <w:r w:rsidR="0015642B">
        <w:t>s</w:t>
      </w:r>
      <w:r w:rsidRPr="00B851CC" w:rsidR="00B851CC">
        <w:t xml:space="preserve"> will allow us to recruit a diverse interview sample (</w:t>
      </w:r>
      <w:r w:rsidRPr="00B851CC" w:rsidR="00865140">
        <w:t xml:space="preserve">see </w:t>
      </w:r>
      <w:r w:rsidR="00334339">
        <w:t>Supporting Statement Part A, Section A2</w:t>
      </w:r>
      <w:r w:rsidRPr="00B851CC" w:rsidR="00865140">
        <w:t>)</w:t>
      </w:r>
      <w:bookmarkEnd w:id="0"/>
      <w:r w:rsidRPr="00B851CC" w:rsidR="002958B8">
        <w:t>.</w:t>
      </w:r>
      <w:r w:rsidRPr="00B851CC" w:rsidR="0042464A">
        <w:t xml:space="preserve"> </w:t>
      </w:r>
      <w:r w:rsidRPr="009E5167" w:rsidR="009E5167">
        <w:t>We will conduct</w:t>
      </w:r>
      <w:r w:rsidR="007F0859">
        <w:t xml:space="preserve"> virtual</w:t>
      </w:r>
      <w:r w:rsidRPr="009E5167" w:rsidR="009E5167">
        <w:t xml:space="preserve"> one-on-one asynchronous interviews that </w:t>
      </w:r>
      <w:r w:rsidR="00B16966">
        <w:t xml:space="preserve">will </w:t>
      </w:r>
      <w:r w:rsidRPr="009E5167" w:rsidR="009E5167">
        <w:t xml:space="preserve">allow </w:t>
      </w:r>
      <w:r w:rsidR="0020002E">
        <w:t>participants</w:t>
      </w:r>
      <w:r w:rsidRPr="009E5167" w:rsidR="009E5167">
        <w:t xml:space="preserve"> to log in</w:t>
      </w:r>
      <w:r w:rsidR="00750942">
        <w:t xml:space="preserve"> </w:t>
      </w:r>
      <w:r w:rsidRPr="009E5167" w:rsidR="009E5167">
        <w:t xml:space="preserve">to an online platform and respond to discussion questions moderated by </w:t>
      </w:r>
      <w:r w:rsidR="002F21E7">
        <w:t xml:space="preserve">the </w:t>
      </w:r>
      <w:r w:rsidR="00563B29">
        <w:t xml:space="preserve">study </w:t>
      </w:r>
      <w:r w:rsidR="002F21E7">
        <w:t>research</w:t>
      </w:r>
      <w:r w:rsidRPr="009E5167" w:rsidR="002F21E7">
        <w:t xml:space="preserve"> </w:t>
      </w:r>
      <w:r w:rsidR="002F21E7">
        <w:t>team</w:t>
      </w:r>
      <w:r w:rsidR="00EE19D3">
        <w:t xml:space="preserve"> at Mathematica</w:t>
      </w:r>
      <w:r w:rsidRPr="009E5167" w:rsidR="009E5167">
        <w:t>. This study design lends itself well to th</w:t>
      </w:r>
      <w:r w:rsidR="00750942">
        <w:t xml:space="preserve">e </w:t>
      </w:r>
      <w:r w:rsidRPr="009E5167" w:rsidR="009E5167">
        <w:t>population</w:t>
      </w:r>
      <w:r w:rsidR="00750942">
        <w:t xml:space="preserve"> of interest</w:t>
      </w:r>
      <w:r w:rsidRPr="009E5167" w:rsidR="009E5167">
        <w:t>, as</w:t>
      </w:r>
      <w:r w:rsidR="009E5167">
        <w:t xml:space="preserve"> adults</w:t>
      </w:r>
      <w:r w:rsidR="00CE05E5">
        <w:t xml:space="preserve"> in this age range</w:t>
      </w:r>
      <w:r w:rsidRPr="009E5167" w:rsidR="009E5167">
        <w:t xml:space="preserve"> often </w:t>
      </w:r>
      <w:r w:rsidR="00DD3754">
        <w:t>f</w:t>
      </w:r>
      <w:r w:rsidRPr="009E5167" w:rsidR="009E5167">
        <w:t>a</w:t>
      </w:r>
      <w:r w:rsidR="00DD3754">
        <w:t>ce</w:t>
      </w:r>
      <w:r w:rsidRPr="009E5167" w:rsidR="009E5167">
        <w:t xml:space="preserve"> competing demands and find it difficult to </w:t>
      </w:r>
      <w:r w:rsidR="009E5167">
        <w:t xml:space="preserve">set aside time for a </w:t>
      </w:r>
      <w:r w:rsidR="00750942">
        <w:t>tele</w:t>
      </w:r>
      <w:r w:rsidR="009E5167">
        <w:t>phone interview during the day</w:t>
      </w:r>
      <w:r w:rsidR="000C4235">
        <w:t xml:space="preserve"> owing</w:t>
      </w:r>
      <w:r w:rsidR="00364CF7">
        <w:t>, for example</w:t>
      </w:r>
      <w:r w:rsidR="000C4235">
        <w:t>,</w:t>
      </w:r>
      <w:r w:rsidR="00364CF7">
        <w:t xml:space="preserve"> </w:t>
      </w:r>
      <w:r w:rsidR="009E5167">
        <w:t>to work schedule</w:t>
      </w:r>
      <w:r w:rsidR="00894469">
        <w:t>s</w:t>
      </w:r>
      <w:r w:rsidR="00364CF7">
        <w:t xml:space="preserve"> or </w:t>
      </w:r>
      <w:r w:rsidR="004F457C">
        <w:t>childcare</w:t>
      </w:r>
      <w:r w:rsidR="00B16966">
        <w:t xml:space="preserve"> responsibilities</w:t>
      </w:r>
      <w:r w:rsidRPr="009E5167" w:rsidR="009E5167">
        <w:t xml:space="preserve">. </w:t>
      </w:r>
      <w:r w:rsidR="009E5167">
        <w:t>T</w:t>
      </w:r>
      <w:r w:rsidRPr="009E5167" w:rsidR="009E5167">
        <w:t>he chat-</w:t>
      </w:r>
      <w:r w:rsidR="003818CB">
        <w:t>board</w:t>
      </w:r>
      <w:r w:rsidRPr="009E5167" w:rsidR="003818CB">
        <w:t xml:space="preserve"> </w:t>
      </w:r>
      <w:r w:rsidRPr="009E5167" w:rsidR="009E5167">
        <w:t xml:space="preserve">format allows respondents to complete activities at a </w:t>
      </w:r>
      <w:r w:rsidR="00894469">
        <w:t xml:space="preserve">convenient </w:t>
      </w:r>
      <w:r w:rsidRPr="009E5167" w:rsidR="009E5167">
        <w:t>time</w:t>
      </w:r>
      <w:r w:rsidR="009E5167">
        <w:t xml:space="preserve"> over a </w:t>
      </w:r>
      <w:r w:rsidR="002F21E7">
        <w:t>three</w:t>
      </w:r>
      <w:r w:rsidR="009E5167">
        <w:t>-day period</w:t>
      </w:r>
      <w:r w:rsidRPr="009E5167" w:rsidR="009E5167">
        <w:t xml:space="preserve">. </w:t>
      </w:r>
      <w:r w:rsidR="000C4235">
        <w:t>In a</w:t>
      </w:r>
      <w:r w:rsidR="00364CF7">
        <w:t xml:space="preserve">ddition, </w:t>
      </w:r>
      <w:r w:rsidR="004C5CAA">
        <w:t xml:space="preserve">as </w:t>
      </w:r>
      <w:r w:rsidR="00364CF7">
        <w:t>compared to interview</w:t>
      </w:r>
      <w:r w:rsidR="005C7DEE">
        <w:t>er</w:t>
      </w:r>
      <w:r w:rsidR="00364CF7">
        <w:t>-administered methods</w:t>
      </w:r>
      <w:r w:rsidR="004C5CAA">
        <w:t xml:space="preserve"> such as</w:t>
      </w:r>
      <w:r w:rsidR="00364CF7">
        <w:t xml:space="preserve"> face-to-face or </w:t>
      </w:r>
      <w:r w:rsidR="004C5CAA">
        <w:t>tele</w:t>
      </w:r>
      <w:r w:rsidR="00364CF7">
        <w:t>phone interviews, th</w:t>
      </w:r>
      <w:r w:rsidR="004C5CAA">
        <w:t xml:space="preserve">e </w:t>
      </w:r>
      <w:r w:rsidR="00364CF7">
        <w:t>design</w:t>
      </w:r>
      <w:r w:rsidR="005833C6">
        <w:t xml:space="preserve"> approach</w:t>
      </w:r>
      <w:r w:rsidR="00364CF7">
        <w:t xml:space="preserve"> is similar to </w:t>
      </w:r>
      <w:r w:rsidR="00590306">
        <w:t>a self-administered survey and</w:t>
      </w:r>
      <w:r w:rsidR="00364CF7">
        <w:t xml:space="preserve"> is </w:t>
      </w:r>
      <w:r w:rsidR="00590306">
        <w:t>likely more</w:t>
      </w:r>
      <w:r w:rsidR="00364CF7">
        <w:t xml:space="preserve"> appropriate for limiting social desirability bias </w:t>
      </w:r>
      <w:r w:rsidR="00B16966">
        <w:t xml:space="preserve">for </w:t>
      </w:r>
      <w:r w:rsidR="00364CF7">
        <w:t xml:space="preserve">sensitive </w:t>
      </w:r>
      <w:r w:rsidR="00364CF7">
        <w:lastRenderedPageBreak/>
        <w:t>questions</w:t>
      </w:r>
      <w:r w:rsidR="00933DA8">
        <w:t>.</w:t>
      </w:r>
      <w:r w:rsidRPr="00BB7547" w:rsidR="00611C11">
        <w:rPr>
          <w:vertAlign w:val="superscript"/>
        </w:rPr>
        <w:footnoteReference w:id="3"/>
      </w:r>
      <w:r w:rsidR="00364CF7">
        <w:t xml:space="preserve"> </w:t>
      </w:r>
      <w:r w:rsidRPr="00B851CC" w:rsidR="00481CD5">
        <w:t>Key limitations</w:t>
      </w:r>
      <w:r w:rsidRPr="00B851CC" w:rsidR="00320ECA">
        <w:t>, described in</w:t>
      </w:r>
      <w:r w:rsidR="002006A9">
        <w:t xml:space="preserve"> Supporting Statement Part A, Section</w:t>
      </w:r>
      <w:r w:rsidRPr="00B851CC" w:rsidR="00320ECA">
        <w:t xml:space="preserve"> A2,</w:t>
      </w:r>
      <w:r w:rsidRPr="00B851CC" w:rsidR="00481CD5">
        <w:t xml:space="preserve"> will be </w:t>
      </w:r>
      <w:r w:rsidR="000D2A51">
        <w:t>detail</w:t>
      </w:r>
      <w:r w:rsidRPr="00B851CC" w:rsidR="00481CD5">
        <w:t>ed in written products associated with the study.</w:t>
      </w:r>
    </w:p>
    <w:p w:rsidR="00F54462" w:rsidP="00F54462" w:rsidRDefault="005C7E12" w14:paraId="2C8A8EAE" w14:textId="77777777">
      <w:pPr>
        <w:spacing w:after="240" w:line="240" w:lineRule="auto"/>
      </w:pPr>
      <w:r w:rsidRPr="00B139CA">
        <w:t>As noted in Supporting Statement</w:t>
      </w:r>
      <w:r w:rsidR="007F0859">
        <w:t xml:space="preserve"> Part</w:t>
      </w:r>
      <w:r w:rsidRPr="00B139CA">
        <w:t xml:space="preserve"> A, th</w:t>
      </w:r>
      <w:r w:rsidR="009F19BD">
        <w:t>e survey</w:t>
      </w:r>
      <w:r w:rsidRPr="00B139CA">
        <w:t xml:space="preserve"> information is not intended </w:t>
      </w:r>
      <w:r w:rsidR="009F19BD">
        <w:t>for</w:t>
      </w:r>
      <w:r w:rsidRPr="00B139CA">
        <w:t xml:space="preserve"> use as the principal basis for public policy decisions and is not expected to meet the threshold of influential or highly influential scientific information.</w:t>
      </w:r>
    </w:p>
    <w:p w:rsidRPr="00F54462" w:rsidR="00F54462" w:rsidP="00F54462" w:rsidRDefault="00EE38AF" w14:paraId="43526BA9" w14:textId="77777777">
      <w:pPr>
        <w:spacing w:after="120" w:line="240" w:lineRule="auto"/>
        <w:rPr>
          <w:b/>
          <w:bCs/>
        </w:rPr>
      </w:pPr>
      <w:r w:rsidRPr="00F54462">
        <w:rPr>
          <w:b/>
          <w:bCs/>
        </w:rPr>
        <w:t>B2.</w:t>
      </w:r>
      <w:r w:rsidRPr="00F54462">
        <w:rPr>
          <w:b/>
          <w:bCs/>
        </w:rPr>
        <w:tab/>
      </w:r>
      <w:r w:rsidRPr="00F54462" w:rsidR="007C2EE0">
        <w:rPr>
          <w:b/>
          <w:bCs/>
        </w:rPr>
        <w:t>Methods and Design</w:t>
      </w:r>
    </w:p>
    <w:p w:rsidRPr="00F54462" w:rsidR="00F54462" w:rsidP="00F54462" w:rsidRDefault="0072072F" w14:paraId="3EF70D9B" w14:textId="77777777">
      <w:pPr>
        <w:spacing w:after="60" w:line="240" w:lineRule="auto"/>
        <w:rPr>
          <w:i/>
          <w:iCs/>
        </w:rPr>
      </w:pPr>
      <w:r w:rsidRPr="00F54462">
        <w:rPr>
          <w:i/>
          <w:iCs/>
        </w:rPr>
        <w:t>Target Population</w:t>
      </w:r>
      <w:r w:rsidRPr="00F54462" w:rsidR="000078DD">
        <w:rPr>
          <w:i/>
          <w:iCs/>
        </w:rPr>
        <w:t xml:space="preserve"> </w:t>
      </w:r>
    </w:p>
    <w:p w:rsidR="00F54462" w:rsidP="00F54462" w:rsidRDefault="003818CB" w14:paraId="418958C9" w14:textId="03009EE3">
      <w:pPr>
        <w:spacing w:after="240" w:line="240" w:lineRule="auto"/>
      </w:pPr>
      <w:r>
        <w:t xml:space="preserve">The target population for this study </w:t>
      </w:r>
      <w:r w:rsidR="006F58CD">
        <w:t>includes</w:t>
      </w:r>
      <w:r>
        <w:t xml:space="preserve"> English</w:t>
      </w:r>
      <w:r w:rsidR="009F19BD">
        <w:t>-</w:t>
      </w:r>
      <w:r>
        <w:t xml:space="preserve"> and Spanish-speaking adults age</w:t>
      </w:r>
      <w:r w:rsidR="00DD444E">
        <w:t>s</w:t>
      </w:r>
      <w:r>
        <w:t xml:space="preserve"> 30</w:t>
      </w:r>
      <w:r w:rsidR="009F19BD">
        <w:t xml:space="preserve"> through </w:t>
      </w:r>
      <w:r>
        <w:t xml:space="preserve">35 living in the United States. </w:t>
      </w:r>
      <w:r w:rsidR="00B348A9">
        <w:t>The Success Sequence Economic Analysis report</w:t>
      </w:r>
      <w:r w:rsidR="00CD498F">
        <w:t>,</w:t>
      </w:r>
      <w:r w:rsidR="00CD498F">
        <w:rPr>
          <w:rStyle w:val="FootnoteReference"/>
        </w:rPr>
        <w:footnoteReference w:id="4"/>
      </w:r>
      <w:r w:rsidR="00B348A9">
        <w:t xml:space="preserve"> discussed in Supporting Statement Part A (Section A2), indicates that individuals fall into 64 out </w:t>
      </w:r>
      <w:r w:rsidR="00F54462">
        <w:t xml:space="preserve">of </w:t>
      </w:r>
      <w:r w:rsidR="00B348A9">
        <w:t xml:space="preserve">65 possible life milestone sequence pathways. </w:t>
      </w:r>
      <w:r w:rsidR="00CD498F">
        <w:t>The analysis finds a</w:t>
      </w:r>
      <w:r w:rsidR="00B348A9">
        <w:t xml:space="preserve"> complexity of paths taken by a national sample of over 7,000 survey respondents</w:t>
      </w:r>
      <w:r w:rsidR="00DC388D">
        <w:t xml:space="preserve">, with over 65 percent of the survey participants following 10 different pathways, and </w:t>
      </w:r>
      <w:r w:rsidR="00CF6609">
        <w:t xml:space="preserve">the remaining </w:t>
      </w:r>
      <w:r w:rsidR="00DC388D">
        <w:t xml:space="preserve">35 percent falling into 54 different pathways. Table </w:t>
      </w:r>
      <w:r w:rsidR="00AD56A0">
        <w:t>C</w:t>
      </w:r>
      <w:r w:rsidR="00DC388D">
        <w:t xml:space="preserve">.1, in Appendix </w:t>
      </w:r>
      <w:r w:rsidR="00AD56A0">
        <w:t>C</w:t>
      </w:r>
      <w:r w:rsidR="00DC388D">
        <w:t>, shows the percent of</w:t>
      </w:r>
      <w:r w:rsidR="003738C8">
        <w:t xml:space="preserve"> National Longitudinal Survey of Youth’s 1997 Cohort</w:t>
      </w:r>
      <w:r w:rsidR="00DC388D">
        <w:t xml:space="preserve"> </w:t>
      </w:r>
      <w:r w:rsidR="003738C8">
        <w:t>(</w:t>
      </w:r>
      <w:r w:rsidR="00DC388D">
        <w:t>NLSY97</w:t>
      </w:r>
      <w:r w:rsidR="003738C8">
        <w:t>)</w:t>
      </w:r>
      <w:r w:rsidR="00DC388D">
        <w:t xml:space="preserve"> survey participants by the order in which key success sequence model variables of </w:t>
      </w:r>
      <w:r w:rsidRPr="00CF5FAC" w:rsidR="00CF5FAC">
        <w:t>high school graduation, employment, marriage, and childbearing</w:t>
      </w:r>
      <w:r w:rsidRPr="00CF5FAC" w:rsidDel="003A5413" w:rsidR="00CF5FAC">
        <w:t xml:space="preserve"> </w:t>
      </w:r>
      <w:r w:rsidR="00DC388D">
        <w:t xml:space="preserve">have been obtained or not. </w:t>
      </w:r>
    </w:p>
    <w:p w:rsidR="00F54462" w:rsidP="00F54462" w:rsidRDefault="008E6761" w14:paraId="7CEB17F2" w14:textId="316E6917">
      <w:pPr>
        <w:spacing w:after="240" w:line="240" w:lineRule="auto"/>
      </w:pPr>
      <w:r>
        <w:t>To meet the goal of this research study, understanding the complex decisions and circumstances among youth transitioning into adulthood as they relate to the success sequence milestones and order of those milestones, it is necessary to purposively seek study participants based on variation in their income and by each of the four milestones</w:t>
      </w:r>
      <w:r w:rsidR="00F54462">
        <w:t xml:space="preserve"> (</w:t>
      </w:r>
      <w:r w:rsidRPr="00CF5FAC" w:rsidR="00CF5FAC">
        <w:t>high school graduation, employment, marriage, and childbearing</w:t>
      </w:r>
      <w:r w:rsidRPr="00CF5FAC" w:rsidDel="00632A76" w:rsidR="00CF5FAC">
        <w:t xml:space="preserve"> </w:t>
      </w:r>
      <w:r w:rsidR="00F54462">
        <w:t>)</w:t>
      </w:r>
      <w:r>
        <w:t>.</w:t>
      </w:r>
      <w:r w:rsidR="002E21BE">
        <w:t xml:space="preserve"> We propose using a</w:t>
      </w:r>
      <w:r w:rsidR="003738C8">
        <w:t>n interview</w:t>
      </w:r>
      <w:r w:rsidR="002E21BE">
        <w:t xml:space="preserve"> sample size proportional to the percent of cases observed in the </w:t>
      </w:r>
      <w:r w:rsidR="0093381E">
        <w:t>NLSY97</w:t>
      </w:r>
      <w:r w:rsidR="002E21BE">
        <w:t xml:space="preserve"> data used for the economic analysis</w:t>
      </w:r>
      <w:r w:rsidR="003738C8">
        <w:t xml:space="preserve">, such that </w:t>
      </w:r>
      <w:r w:rsidR="00041CCD">
        <w:t xml:space="preserve">up to 110 interviews are conducted </w:t>
      </w:r>
      <w:r w:rsidR="005C7DEE">
        <w:t xml:space="preserve">with those who report </w:t>
      </w:r>
      <w:r w:rsidR="00041CCD">
        <w:t xml:space="preserve">the top 10 most common pathways, discussed in Section A2, and shown as the first 10 rows of Table </w:t>
      </w:r>
      <w:r w:rsidR="00AD56A0">
        <w:t>C</w:t>
      </w:r>
      <w:r w:rsidR="00041CCD">
        <w:t xml:space="preserve">.1 in Appendix </w:t>
      </w:r>
      <w:r w:rsidR="00AD56A0">
        <w:t>C</w:t>
      </w:r>
      <w:r w:rsidR="00041CCD">
        <w:t xml:space="preserve">, and an additional 115 interviews are conducted with </w:t>
      </w:r>
      <w:r w:rsidR="005C7DEE">
        <w:t>those who report</w:t>
      </w:r>
      <w:r w:rsidR="00041CCD">
        <w:t xml:space="preserve"> the remaining, less common pathways found in the NLSY97 analysis. The total 225 includes the goal to conduct </w:t>
      </w:r>
      <w:r w:rsidR="00085D96">
        <w:t xml:space="preserve">up to 11 interviews with individuals that reported uncommon ordering of the key success sequence variables, indicated as </w:t>
      </w:r>
      <w:r w:rsidR="003738C8">
        <w:t xml:space="preserve">0.05 percent of observed </w:t>
      </w:r>
      <w:r w:rsidR="00085D96">
        <w:t xml:space="preserve">cases </w:t>
      </w:r>
      <w:r w:rsidR="003738C8">
        <w:t>in</w:t>
      </w:r>
      <w:r w:rsidR="00085D96">
        <w:t xml:space="preserve"> the</w:t>
      </w:r>
      <w:r w:rsidR="003738C8">
        <w:t xml:space="preserve"> NLSY97 data</w:t>
      </w:r>
      <w:r w:rsidR="00085D96">
        <w:t xml:space="preserve"> analysis.</w:t>
      </w:r>
    </w:p>
    <w:p w:rsidRPr="00F24397" w:rsidR="00360839" w:rsidP="00F54462" w:rsidRDefault="00382C04" w14:paraId="5836EAC5" w14:textId="73C25E62">
      <w:pPr>
        <w:spacing w:after="240" w:line="240" w:lineRule="auto"/>
      </w:pPr>
      <w:r>
        <w:t>Mathematica will collaborate with market research vendor</w:t>
      </w:r>
      <w:r w:rsidR="0015642B">
        <w:t>s</w:t>
      </w:r>
      <w:r>
        <w:t>, which maintain large standing panel</w:t>
      </w:r>
      <w:r w:rsidR="0015642B">
        <w:t>s</w:t>
      </w:r>
      <w:r>
        <w:t xml:space="preserve"> of research participants</w:t>
      </w:r>
      <w:r w:rsidR="009F19BD">
        <w:t>,</w:t>
      </w:r>
      <w:r w:rsidR="003818CB">
        <w:t xml:space="preserve"> to </w:t>
      </w:r>
      <w:r w:rsidR="002E21BE">
        <w:t xml:space="preserve">purposively </w:t>
      </w:r>
      <w:r w:rsidR="003818CB">
        <w:t xml:space="preserve">recruit </w:t>
      </w:r>
      <w:r w:rsidR="008E6761">
        <w:t>study</w:t>
      </w:r>
      <w:r w:rsidR="003818CB">
        <w:t xml:space="preserve"> members</w:t>
      </w:r>
      <w:r w:rsidR="002E21BE">
        <w:t xml:space="preserve"> using the sample size targets by milestone combinations shown in Table </w:t>
      </w:r>
      <w:r w:rsidR="009B67D1">
        <w:t>C</w:t>
      </w:r>
      <w:r w:rsidR="002E21BE">
        <w:t>.1</w:t>
      </w:r>
      <w:r>
        <w:t xml:space="preserve">. </w:t>
      </w:r>
      <w:r w:rsidRPr="00F24397">
        <w:t>All adults</w:t>
      </w:r>
      <w:r w:rsidR="00E852AE">
        <w:t xml:space="preserve"> in the research panel</w:t>
      </w:r>
      <w:r w:rsidR="0015642B">
        <w:t>s</w:t>
      </w:r>
      <w:r w:rsidR="008E6761">
        <w:t>, ages 30-35 who speak English or Spanish</w:t>
      </w:r>
      <w:r w:rsidRPr="00F24397">
        <w:t xml:space="preserve"> will be</w:t>
      </w:r>
      <w:r w:rsidR="00E852AE">
        <w:t xml:space="preserve"> eligible</w:t>
      </w:r>
      <w:r w:rsidRPr="00F24397">
        <w:t xml:space="preserve"> </w:t>
      </w:r>
      <w:r w:rsidR="00E852AE">
        <w:t>for recruitment</w:t>
      </w:r>
      <w:r w:rsidRPr="00F24397">
        <w:t xml:space="preserve"> </w:t>
      </w:r>
      <w:r w:rsidR="00E852AE">
        <w:t>into</w:t>
      </w:r>
      <w:r w:rsidRPr="00F24397">
        <w:t xml:space="preserve"> the study, but </w:t>
      </w:r>
      <w:r w:rsidR="009F19BD">
        <w:t xml:space="preserve">they </w:t>
      </w:r>
      <w:r w:rsidRPr="00F24397">
        <w:t xml:space="preserve">will </w:t>
      </w:r>
      <w:r w:rsidR="009F19BD">
        <w:t>under</w:t>
      </w:r>
      <w:r w:rsidRPr="00F24397">
        <w:t>go</w:t>
      </w:r>
      <w:r w:rsidR="009F19BD">
        <w:t xml:space="preserve"> </w:t>
      </w:r>
      <w:r w:rsidRPr="00F24397">
        <w:t xml:space="preserve">screening </w:t>
      </w:r>
      <w:r w:rsidR="00E852AE">
        <w:t xml:space="preserve">at </w:t>
      </w:r>
      <w:r w:rsidRPr="00F24397">
        <w:t>recruitment</w:t>
      </w:r>
      <w:r w:rsidR="00915276">
        <w:t xml:space="preserve"> </w:t>
      </w:r>
      <w:r>
        <w:t>to</w:t>
      </w:r>
      <w:r w:rsidRPr="00382C04">
        <w:t xml:space="preserve"> collect data on household income,</w:t>
      </w:r>
      <w:r w:rsidR="00E852AE">
        <w:t xml:space="preserve"> life milestones achieved,</w:t>
      </w:r>
      <w:r w:rsidRPr="00382C04">
        <w:t xml:space="preserve"> geographic location, and</w:t>
      </w:r>
      <w:r w:rsidR="00E852AE">
        <w:t xml:space="preserve"> </w:t>
      </w:r>
      <w:r w:rsidRPr="00382C04" w:rsidR="00E852AE">
        <w:t>demographics</w:t>
      </w:r>
      <w:r w:rsidR="00E852AE">
        <w:t xml:space="preserve"> (gender, race, and ethnicity).</w:t>
      </w:r>
      <w:r w:rsidRPr="00382C04" w:rsidR="00E852AE">
        <w:t xml:space="preserve"> </w:t>
      </w:r>
      <w:r w:rsidR="009F19BD">
        <w:t>Given that the sample</w:t>
      </w:r>
      <w:r w:rsidRPr="00F24397" w:rsidR="00360839">
        <w:t xml:space="preserve"> is a </w:t>
      </w:r>
      <w:r w:rsidR="009F19BD">
        <w:t>non</w:t>
      </w:r>
      <w:r w:rsidRPr="00F24397" w:rsidR="00360839">
        <w:t xml:space="preserve">probability sample, the </w:t>
      </w:r>
      <w:r w:rsidR="0044628A">
        <w:t>interview</w:t>
      </w:r>
      <w:r w:rsidRPr="00F24397" w:rsidR="0044628A">
        <w:t xml:space="preserve"> </w:t>
      </w:r>
      <w:r w:rsidRPr="00F24397" w:rsidR="00360839">
        <w:t xml:space="preserve">data will not be used to generate generalizable statistics for </w:t>
      </w:r>
      <w:r w:rsidRPr="00F24397" w:rsidR="0083314E">
        <w:t>adults age</w:t>
      </w:r>
      <w:r w:rsidR="001D4CB1">
        <w:t>s</w:t>
      </w:r>
      <w:r w:rsidRPr="00F24397" w:rsidR="0083314E">
        <w:t xml:space="preserve"> 30</w:t>
      </w:r>
      <w:r w:rsidR="009F19BD">
        <w:t xml:space="preserve"> through </w:t>
      </w:r>
      <w:r w:rsidRPr="00F24397" w:rsidR="0083314E">
        <w:t>35</w:t>
      </w:r>
      <w:r w:rsidRPr="00F24397" w:rsidR="00360839">
        <w:t xml:space="preserve">. </w:t>
      </w:r>
    </w:p>
    <w:p w:rsidRPr="00F24397" w:rsidR="005F2951" w:rsidP="0044628A" w:rsidRDefault="00566122" w14:paraId="1C642C78" w14:textId="02ABDD4D">
      <w:pPr>
        <w:pStyle w:val="Heading3A"/>
        <w:spacing w:after="60"/>
      </w:pPr>
      <w:r w:rsidRPr="00F24397">
        <w:lastRenderedPageBreak/>
        <w:t>Respondent Recruitment</w:t>
      </w:r>
    </w:p>
    <w:p w:rsidR="008E611D" w:rsidP="0044628A" w:rsidRDefault="0055217E" w14:paraId="3E53699B" w14:textId="195DCA1E">
      <w:pPr>
        <w:spacing w:after="240" w:line="240" w:lineRule="auto"/>
      </w:pPr>
      <w:r w:rsidRPr="00F24397">
        <w:t>The research team</w:t>
      </w:r>
      <w:r w:rsidR="00563B29">
        <w:t xml:space="preserve"> at Mathematica</w:t>
      </w:r>
      <w:r w:rsidRPr="00F24397">
        <w:t xml:space="preserve"> will use </w:t>
      </w:r>
      <w:r w:rsidR="009F19BD">
        <w:t>non</w:t>
      </w:r>
      <w:r w:rsidRPr="00F24397">
        <w:t xml:space="preserve">probability, purposive </w:t>
      </w:r>
      <w:r w:rsidR="00AC5E10">
        <w:t>respondent recruitment</w:t>
      </w:r>
      <w:r w:rsidRPr="00F24397" w:rsidR="00AC5E10">
        <w:t xml:space="preserve"> </w:t>
      </w:r>
      <w:r w:rsidRPr="00F24397">
        <w:t xml:space="preserve">to identify </w:t>
      </w:r>
      <w:r w:rsidR="00AC5E10">
        <w:t>potential participants</w:t>
      </w:r>
      <w:r w:rsidR="006D4516">
        <w:t xml:space="preserve"> for up to 225 interviews</w:t>
      </w:r>
      <w:r w:rsidR="00E12179">
        <w:t xml:space="preserve">; </w:t>
      </w:r>
      <w:r w:rsidR="00ED12CA">
        <w:t xml:space="preserve">all </w:t>
      </w:r>
      <w:r w:rsidR="00E12179">
        <w:t>participants must</w:t>
      </w:r>
      <w:r w:rsidRPr="00F24397" w:rsidR="00AC5E10">
        <w:t xml:space="preserve"> </w:t>
      </w:r>
      <w:r w:rsidRPr="00F24397">
        <w:t xml:space="preserve">meet a </w:t>
      </w:r>
      <w:r w:rsidR="00F40C4A">
        <w:t>set</w:t>
      </w:r>
      <w:r w:rsidRPr="00F24397">
        <w:t xml:space="preserve"> of criteria.</w:t>
      </w:r>
      <w:r w:rsidR="00E852AE">
        <w:t xml:space="preserve"> First, as noted, to be eligible for the study, participants must be between the ages of 30-35 and speak either English or Spanish.</w:t>
      </w:r>
      <w:r w:rsidRPr="00F24397">
        <w:t xml:space="preserve"> </w:t>
      </w:r>
      <w:r w:rsidR="003B1954">
        <w:t>Next,</w:t>
      </w:r>
      <w:r w:rsidR="00E852AE">
        <w:t xml:space="preserve"> </w:t>
      </w:r>
      <w:r w:rsidR="003B1954">
        <w:t>the research team will</w:t>
      </w:r>
      <w:r w:rsidR="0089503A">
        <w:t xml:space="preserve"> ensure</w:t>
      </w:r>
      <w:r w:rsidR="003B1954">
        <w:t xml:space="preserve"> that those recruited into the study have</w:t>
      </w:r>
      <w:r w:rsidR="0089503A">
        <w:t xml:space="preserve"> a range of </w:t>
      </w:r>
      <w:r w:rsidR="00E852AE">
        <w:t xml:space="preserve">income levels and </w:t>
      </w:r>
      <w:r w:rsidR="0089503A">
        <w:t xml:space="preserve">experiences across the multitude of </w:t>
      </w:r>
      <w:r w:rsidR="003B1954">
        <w:t xml:space="preserve">the four </w:t>
      </w:r>
      <w:r w:rsidR="00E852AE">
        <w:t xml:space="preserve">milestone </w:t>
      </w:r>
      <w:r w:rsidR="0089503A">
        <w:t>pathways</w:t>
      </w:r>
      <w:r w:rsidR="003B1954">
        <w:t xml:space="preserve"> </w:t>
      </w:r>
      <w:r w:rsidRPr="00CF5FAC" w:rsidR="00CF5FAC">
        <w:t>high school graduation, employment, marriage, and childbearing</w:t>
      </w:r>
      <w:r w:rsidRPr="00CF5FAC" w:rsidDel="00CF5FAC" w:rsidR="00CF5FAC">
        <w:t xml:space="preserve"> </w:t>
      </w:r>
      <w:r w:rsidR="003B1954">
        <w:t xml:space="preserve">) as shown in </w:t>
      </w:r>
      <w:r w:rsidR="002E21BE">
        <w:t xml:space="preserve">Appendix </w:t>
      </w:r>
      <w:r w:rsidR="00AD56A0">
        <w:t>C</w:t>
      </w:r>
      <w:r w:rsidR="002E21BE">
        <w:t xml:space="preserve">, Table </w:t>
      </w:r>
      <w:r w:rsidR="00AD56A0">
        <w:t>C</w:t>
      </w:r>
      <w:r w:rsidR="002E21BE">
        <w:t>.1</w:t>
      </w:r>
      <w:r w:rsidR="003B1954">
        <w:t xml:space="preserve">. Lastly, the research team will seek participant variation in </w:t>
      </w:r>
      <w:r w:rsidR="0089503A">
        <w:t>demographics</w:t>
      </w:r>
      <w:r w:rsidR="003B1954">
        <w:t xml:space="preserve"> (gender, race, and ethnicity)</w:t>
      </w:r>
      <w:r w:rsidR="0089503A">
        <w:t xml:space="preserve"> and </w:t>
      </w:r>
      <w:r w:rsidR="003B1954">
        <w:t xml:space="preserve">across the 10 U.S. Department of Health and Human Services </w:t>
      </w:r>
      <w:r w:rsidR="0089503A">
        <w:t>geographic regions of the United States</w:t>
      </w:r>
      <w:r w:rsidR="003B1954">
        <w:t xml:space="preserve">. </w:t>
      </w:r>
      <w:r w:rsidRPr="003F047B" w:rsidR="003B1954">
        <w:t xml:space="preserve">Table </w:t>
      </w:r>
      <w:r w:rsidR="009B67D1">
        <w:t>C</w:t>
      </w:r>
      <w:r w:rsidRPr="003F047B" w:rsidR="003F047B">
        <w:t>.</w:t>
      </w:r>
      <w:r w:rsidR="003F047B">
        <w:t>1</w:t>
      </w:r>
      <w:r w:rsidR="0089503A">
        <w:t xml:space="preserve"> </w:t>
      </w:r>
      <w:r w:rsidR="003B1954">
        <w:t xml:space="preserve">shows </w:t>
      </w:r>
      <w:r w:rsidR="00A379F8">
        <w:t>the planned</w:t>
      </w:r>
      <w:r w:rsidR="00FA29C6">
        <w:t xml:space="preserve"> </w:t>
      </w:r>
      <w:r w:rsidR="0089503A">
        <w:t>225 interviews will provide sufficient diversity of responses</w:t>
      </w:r>
      <w:r w:rsidR="003F047B">
        <w:t xml:space="preserve"> across the various possible milestone combinations</w:t>
      </w:r>
      <w:r w:rsidR="0089503A">
        <w:t xml:space="preserve"> to inform and contextualize the qualitative interview analyses. </w:t>
      </w:r>
    </w:p>
    <w:p w:rsidRPr="00F24397" w:rsidR="0083314E" w:rsidP="0044628A" w:rsidRDefault="0055217E" w14:paraId="69572EE8" w14:textId="0CF2166F">
      <w:pPr>
        <w:spacing w:after="240" w:line="240" w:lineRule="auto"/>
      </w:pPr>
      <w:r w:rsidRPr="00F24397">
        <w:t>To start, t</w:t>
      </w:r>
      <w:r w:rsidRPr="00F24397" w:rsidR="0083314E">
        <w:t xml:space="preserve">he </w:t>
      </w:r>
      <w:r w:rsidRPr="00F24397">
        <w:t xml:space="preserve">panel </w:t>
      </w:r>
      <w:r w:rsidRPr="00F24397" w:rsidR="0083314E">
        <w:t>vendor</w:t>
      </w:r>
      <w:r w:rsidR="0015642B">
        <w:t>s</w:t>
      </w:r>
      <w:r w:rsidRPr="00F24397" w:rsidR="0083314E">
        <w:t xml:space="preserve"> will recruit interview participants by beginning with a prescreen email to panel members (Appendix A: Success Sequence Recruitment Materials). All interested panel members will respond to the prescreen email by calling the vendor to complete a five-minute telephone screener (Instrument 1</w:t>
      </w:r>
      <w:r w:rsidR="002006A9">
        <w:t>: Success Sequence Screener</w:t>
      </w:r>
      <w:r w:rsidRPr="00F24397" w:rsidR="0083314E">
        <w:t>) for collection of data on demographics</w:t>
      </w:r>
      <w:r w:rsidRPr="00F24397" w:rsidR="00611C11">
        <w:t xml:space="preserve"> (race/ethnicity/gender)</w:t>
      </w:r>
      <w:r w:rsidRPr="00F24397" w:rsidR="0083314E">
        <w:t xml:space="preserve">, household income, </w:t>
      </w:r>
      <w:r w:rsidR="00EE1077">
        <w:t xml:space="preserve">U.S. </w:t>
      </w:r>
      <w:r w:rsidRPr="00F24397" w:rsidR="0083314E">
        <w:t>geographic location, and the milestones achieved by each prospective participant</w:t>
      </w:r>
      <w:r w:rsidR="00933DA8">
        <w:t xml:space="preserve">. </w:t>
      </w:r>
      <w:r w:rsidR="006E4C78">
        <w:t>Due to higher rates of teen pregnancy among African American and Hispanic youth</w:t>
      </w:r>
      <w:r w:rsidR="00AC5E10">
        <w:rPr>
          <w:rStyle w:val="FootnoteReference"/>
        </w:rPr>
        <w:footnoteReference w:id="5"/>
      </w:r>
      <w:r w:rsidR="006E4C78">
        <w:t xml:space="preserve"> and the targeting of programming to these populations by FYSB grantees, </w:t>
      </w:r>
      <w:r w:rsidR="00EA59D9">
        <w:t xml:space="preserve">the sample will overrepresent </w:t>
      </w:r>
      <w:r w:rsidR="006E4C78">
        <w:t xml:space="preserve">individuals from these racial/ethnic groups. </w:t>
      </w:r>
      <w:r w:rsidR="008B477D">
        <w:t>Each week, t</w:t>
      </w:r>
      <w:r w:rsidR="00D74739">
        <w:t xml:space="preserve">he </w:t>
      </w:r>
      <w:r w:rsidR="00EE19D3">
        <w:t xml:space="preserve">Mathematica </w:t>
      </w:r>
      <w:r w:rsidR="00D74739">
        <w:t xml:space="preserve">research team will </w:t>
      </w:r>
      <w:r w:rsidR="00F20DE7">
        <w:t xml:space="preserve">carefully </w:t>
      </w:r>
      <w:r w:rsidR="00D74739">
        <w:t xml:space="preserve">review screener data for participants and monitor the proportion of participants in each gender category, </w:t>
      </w:r>
      <w:r w:rsidR="00F20DE7">
        <w:t>race and ethnic group, geographic region, income</w:t>
      </w:r>
      <w:r w:rsidR="008B477D">
        <w:t xml:space="preserve"> category</w:t>
      </w:r>
      <w:r w:rsidR="00EE19D3">
        <w:t>,</w:t>
      </w:r>
      <w:r w:rsidR="00F20DE7">
        <w:t xml:space="preserve"> and </w:t>
      </w:r>
      <w:r w:rsidR="00DF6923">
        <w:t>set o</w:t>
      </w:r>
      <w:r w:rsidR="00A60178">
        <w:t>f</w:t>
      </w:r>
      <w:r w:rsidR="00DF6923">
        <w:t xml:space="preserve"> </w:t>
      </w:r>
      <w:r w:rsidR="00F20DE7">
        <w:t>milestones achieved. If</w:t>
      </w:r>
      <w:r w:rsidR="004F6014">
        <w:t xml:space="preserve"> the team notices</w:t>
      </w:r>
      <w:r w:rsidR="00F20DE7">
        <w:t xml:space="preserve"> imbalances, </w:t>
      </w:r>
      <w:r w:rsidR="0033531D">
        <w:t>i</w:t>
      </w:r>
      <w:r w:rsidR="004F6014">
        <w:t>t will target the</w:t>
      </w:r>
      <w:r w:rsidR="00F20DE7">
        <w:t xml:space="preserve"> next week’s recruitment to the groups w</w:t>
      </w:r>
      <w:r w:rsidR="004F6014">
        <w:t>it</w:t>
      </w:r>
      <w:r w:rsidR="00F20DE7">
        <w:t>h counts lower than desired. This targeted recruitment</w:t>
      </w:r>
      <w:r w:rsidR="004F6014">
        <w:t xml:space="preserve"> process</w:t>
      </w:r>
      <w:r w:rsidR="00F20DE7">
        <w:t xml:space="preserve"> will </w:t>
      </w:r>
      <w:r w:rsidR="00120EB9">
        <w:t>requir</w:t>
      </w:r>
      <w:r w:rsidR="00F20DE7">
        <w:t>e the vendor</w:t>
      </w:r>
      <w:r w:rsidR="0015642B">
        <w:t>s</w:t>
      </w:r>
      <w:r w:rsidR="00120EB9">
        <w:t xml:space="preserve"> to call panel members</w:t>
      </w:r>
      <w:r w:rsidRPr="00F24397" w:rsidR="00F20DE7">
        <w:t xml:space="preserve"> directly, as needed, for screening. </w:t>
      </w:r>
      <w:r w:rsidR="00120EB9">
        <w:t>In advance of</w:t>
      </w:r>
      <w:r w:rsidRPr="00F24397" w:rsidR="0083314E">
        <w:t xml:space="preserve"> start</w:t>
      </w:r>
      <w:r w:rsidR="00120EB9">
        <w:t>ing</w:t>
      </w:r>
      <w:r w:rsidRPr="00F24397" w:rsidR="0083314E">
        <w:t xml:space="preserve"> the interview, participants </w:t>
      </w:r>
      <w:r w:rsidR="00401928">
        <w:t>will</w:t>
      </w:r>
      <w:r w:rsidR="00EE1077">
        <w:t xml:space="preserve"> </w:t>
      </w:r>
      <w:r w:rsidRPr="00F24397" w:rsidR="0083314E">
        <w:t>read the consent form</w:t>
      </w:r>
      <w:r w:rsidRPr="00F24397" w:rsidR="005D1F11">
        <w:t xml:space="preserve"> and acknowledge consent</w:t>
      </w:r>
      <w:r w:rsidRPr="00F24397" w:rsidR="0083314E">
        <w:t xml:space="preserve"> (Appendix B</w:t>
      </w:r>
      <w:r w:rsidR="0030762B">
        <w:t>: Consent Form</w:t>
      </w:r>
      <w:r w:rsidRPr="00F24397" w:rsidR="0083314E">
        <w:t xml:space="preserve">). </w:t>
      </w:r>
      <w:r w:rsidR="00EE1077">
        <w:t>Study participants will consist of a</w:t>
      </w:r>
      <w:r w:rsidRPr="00F24397" w:rsidR="0083314E">
        <w:t xml:space="preserve"> convenience sample of panel members who provide consent </w:t>
      </w:r>
      <w:r w:rsidR="00EE1077">
        <w:t>to participate.</w:t>
      </w:r>
      <w:r w:rsidRPr="00F24397" w:rsidR="0083314E">
        <w:t xml:space="preserve"> </w:t>
      </w:r>
    </w:p>
    <w:p w:rsidRPr="00F24397" w:rsidR="005D1F11" w:rsidP="004466E3" w:rsidRDefault="005D1F11" w14:paraId="34EF0BAC" w14:textId="77777777">
      <w:pPr>
        <w:pStyle w:val="Heading2A"/>
        <w:keepNext/>
        <w:keepLines/>
        <w:ind w:left="547" w:hanging="547"/>
      </w:pPr>
      <w:r w:rsidRPr="00F24397">
        <w:t>B3.</w:t>
      </w:r>
      <w:r w:rsidRPr="00F24397">
        <w:tab/>
        <w:t>Design of Data Collection Instruments</w:t>
      </w:r>
    </w:p>
    <w:p w:rsidRPr="00F24397" w:rsidR="005D1F11" w:rsidP="000078DD" w:rsidRDefault="005D1F11" w14:paraId="519F944F" w14:textId="7566CEDE">
      <w:pPr>
        <w:pStyle w:val="Heading3A"/>
        <w:keepNext/>
        <w:keepLines/>
        <w:spacing w:after="60"/>
      </w:pPr>
      <w:r w:rsidRPr="00F24397">
        <w:t>Development of Data Collection Instruments</w:t>
      </w:r>
    </w:p>
    <w:p w:rsidR="008E611D" w:rsidP="0044628A" w:rsidRDefault="00DC7382" w14:paraId="30214C3D" w14:textId="77777777">
      <w:pPr>
        <w:spacing w:after="240" w:line="240" w:lineRule="auto"/>
      </w:pPr>
      <w:r>
        <w:t xml:space="preserve">ACF and Mathematica staff </w:t>
      </w:r>
      <w:r w:rsidR="009234BB">
        <w:t xml:space="preserve">collaborated </w:t>
      </w:r>
      <w:r w:rsidR="00E02C86">
        <w:t>on development of t</w:t>
      </w:r>
      <w:r w:rsidRPr="00792881" w:rsidR="00411B50">
        <w:t>he</w:t>
      </w:r>
      <w:r w:rsidR="00411B50">
        <w:t xml:space="preserve"> Success Sequence </w:t>
      </w:r>
      <w:r w:rsidR="0044628A">
        <w:t xml:space="preserve">Screener and </w:t>
      </w:r>
      <w:r w:rsidR="00411B50">
        <w:t xml:space="preserve">Interview </w:t>
      </w:r>
      <w:r w:rsidR="009717C0">
        <w:t xml:space="preserve">Protocol </w:t>
      </w:r>
      <w:r w:rsidRPr="00792881" w:rsidR="00411B50">
        <w:t>(</w:t>
      </w:r>
      <w:r w:rsidR="00411B50">
        <w:t>Instrument</w:t>
      </w:r>
      <w:r w:rsidR="0044628A">
        <w:t>s</w:t>
      </w:r>
      <w:r w:rsidR="00411B50">
        <w:t xml:space="preserve"> </w:t>
      </w:r>
      <w:r w:rsidR="0044628A">
        <w:t xml:space="preserve">1 </w:t>
      </w:r>
      <w:r>
        <w:t>and</w:t>
      </w:r>
      <w:r w:rsidR="0044628A">
        <w:t xml:space="preserve"> </w:t>
      </w:r>
      <w:r w:rsidR="00411B50">
        <w:t>2</w:t>
      </w:r>
      <w:r w:rsidRPr="00792881" w:rsidR="00411B50">
        <w:t xml:space="preserve">) </w:t>
      </w:r>
      <w:r w:rsidR="00FC7619">
        <w:t>by drawing</w:t>
      </w:r>
      <w:r w:rsidR="00DE0165">
        <w:t xml:space="preserve"> on the findings from </w:t>
      </w:r>
      <w:r w:rsidR="00401928">
        <w:t xml:space="preserve">a </w:t>
      </w:r>
      <w:r w:rsidR="00DE0165">
        <w:t xml:space="preserve">literature review and secondary data analysis described in </w:t>
      </w:r>
      <w:r w:rsidR="0030762B">
        <w:t>Supporting Statement Part A, Section A</w:t>
      </w:r>
      <w:r w:rsidR="00DE0165">
        <w:t xml:space="preserve">1. </w:t>
      </w:r>
      <w:r w:rsidR="00B26964">
        <w:t>The screener includes questions on each of the success sequence milestones, income level</w:t>
      </w:r>
      <w:r w:rsidR="0030762B">
        <w:t>s</w:t>
      </w:r>
      <w:r w:rsidR="00FC08CD">
        <w:t>,</w:t>
      </w:r>
      <w:r w:rsidR="00B26964">
        <w:t xml:space="preserve"> and demographics to </w:t>
      </w:r>
      <w:r w:rsidR="00B15C8D">
        <w:t xml:space="preserve">ensure </w:t>
      </w:r>
      <w:r w:rsidR="00B26964">
        <w:t>variation in</w:t>
      </w:r>
      <w:r w:rsidR="006046A5">
        <w:t xml:space="preserve"> study</w:t>
      </w:r>
      <w:r w:rsidR="00B26964">
        <w:t xml:space="preserve"> participant background</w:t>
      </w:r>
      <w:r w:rsidR="002319A7">
        <w:t xml:space="preserve">, geographic location, and economic self-sufficiency. </w:t>
      </w:r>
      <w:r w:rsidR="007303BC">
        <w:t xml:space="preserve">Items in the screener on educational attainment and income are based on those used </w:t>
      </w:r>
      <w:r w:rsidR="00914477">
        <w:t>i</w:t>
      </w:r>
      <w:r w:rsidR="007303BC">
        <w:t xml:space="preserve">n the </w:t>
      </w:r>
      <w:r w:rsidRPr="00F62DDC" w:rsidR="007303BC">
        <w:t>National Longitudinal Survey of Youth</w:t>
      </w:r>
      <w:r w:rsidR="007303BC">
        <w:t xml:space="preserve">. </w:t>
      </w:r>
      <w:r w:rsidR="00DE0165">
        <w:t>The data collection instrument</w:t>
      </w:r>
      <w:r w:rsidR="00B26964">
        <w:t xml:space="preserve"> (Instrument 2</w:t>
      </w:r>
      <w:r w:rsidR="0030762B">
        <w:t xml:space="preserve">: Success Sequence Interview </w:t>
      </w:r>
      <w:r w:rsidR="009717C0">
        <w:t>Protocol</w:t>
      </w:r>
      <w:r w:rsidR="00B26964">
        <w:t>)</w:t>
      </w:r>
      <w:r w:rsidR="00DE0165">
        <w:t xml:space="preserve"> starts with a short set of close-ended questions</w:t>
      </w:r>
      <w:r w:rsidR="000078DD">
        <w:t xml:space="preserve"> </w:t>
      </w:r>
      <w:r w:rsidR="00C53679">
        <w:t>to</w:t>
      </w:r>
      <w:r w:rsidR="00DE0165">
        <w:t xml:space="preserve"> allow for more detailed follow</w:t>
      </w:r>
      <w:r w:rsidR="00C53679">
        <w:t>-</w:t>
      </w:r>
      <w:r w:rsidR="00DE0165">
        <w:t xml:space="preserve">up questions that are </w:t>
      </w:r>
      <w:r w:rsidR="00EE1077">
        <w:t>tailored</w:t>
      </w:r>
      <w:r w:rsidR="00DE0165">
        <w:t xml:space="preserve"> </w:t>
      </w:r>
      <w:r w:rsidR="00401935">
        <w:t>t</w:t>
      </w:r>
      <w:r w:rsidR="00DE0165">
        <w:t>o individual respondents based on relevant milestones in r</w:t>
      </w:r>
      <w:r w:rsidR="002839D8">
        <w:t>espondents’</w:t>
      </w:r>
      <w:r w:rsidR="00DE0165">
        <w:t xml:space="preserve"> lives.</w:t>
      </w:r>
      <w:r w:rsidRPr="00F24397" w:rsidR="00411B50">
        <w:t xml:space="preserve"> </w:t>
      </w:r>
    </w:p>
    <w:p w:rsidR="00C85211" w:rsidP="00C85211" w:rsidRDefault="00411B50" w14:paraId="3C3D8ED0" w14:textId="5DA88BBE">
      <w:pPr>
        <w:spacing w:after="0" w:line="240" w:lineRule="auto"/>
        <w:rPr>
          <w:rFonts w:ascii="Times New Roman" w:hAnsi="Times New Roman" w:cs="Times New Roman"/>
          <w:sz w:val="24"/>
          <w:szCs w:val="24"/>
        </w:rPr>
      </w:pPr>
      <w:r w:rsidRPr="00F24397">
        <w:t xml:space="preserve">We pilot tested </w:t>
      </w:r>
      <w:r w:rsidRPr="00F24397" w:rsidR="00EA6C76">
        <w:t xml:space="preserve">the </w:t>
      </w:r>
      <w:r w:rsidR="00EA6C76">
        <w:t xml:space="preserve">Success Sequence Interview </w:t>
      </w:r>
      <w:r w:rsidR="009717C0">
        <w:t>Protocol</w:t>
      </w:r>
      <w:r w:rsidRPr="00792881" w:rsidR="00EA6C76">
        <w:t xml:space="preserve"> </w:t>
      </w:r>
      <w:r w:rsidRPr="00F24397" w:rsidR="005D1F11">
        <w:t xml:space="preserve">with </w:t>
      </w:r>
      <w:r w:rsidR="00864EE5">
        <w:t>4</w:t>
      </w:r>
      <w:r w:rsidRPr="00F24397" w:rsidR="005D1F11">
        <w:t xml:space="preserve"> </w:t>
      </w:r>
      <w:r w:rsidRPr="00CE05E5" w:rsidR="005D1F11">
        <w:t>adults to gain a clear understanding of participants’ comprehension, recall, judgment, and response strategies for</w:t>
      </w:r>
      <w:r w:rsidRPr="00CE05E5" w:rsidR="002839D8">
        <w:t xml:space="preserve"> each</w:t>
      </w:r>
      <w:r w:rsidRPr="00CE05E5" w:rsidR="005D1F11">
        <w:t xml:space="preserve"> item. </w:t>
      </w:r>
      <w:r w:rsidRPr="00CE05E5" w:rsidR="00CE1148">
        <w:t>We then conducted</w:t>
      </w:r>
      <w:r w:rsidRPr="00CE05E5" w:rsidR="00EA6C76">
        <w:t xml:space="preserve"> a usability test with an additional</w:t>
      </w:r>
      <w:r w:rsidRPr="00CE05E5" w:rsidR="00864EE5">
        <w:t xml:space="preserve"> 5</w:t>
      </w:r>
      <w:r w:rsidRPr="00CE05E5" w:rsidR="00EA6C76">
        <w:t xml:space="preserve"> adults within </w:t>
      </w:r>
      <w:r w:rsidRPr="00CE05E5" w:rsidR="00AD786C">
        <w:t xml:space="preserve">the secure chat room, </w:t>
      </w:r>
      <w:r w:rsidRPr="00CE05E5" w:rsidR="00EA6C76">
        <w:t>QualBoard</w:t>
      </w:r>
      <w:r w:rsidRPr="00CE05E5" w:rsidR="00CE1148">
        <w:t>, to test the questions and procedures within the platform</w:t>
      </w:r>
      <w:r w:rsidRPr="00CE05E5" w:rsidR="00EA6C76">
        <w:t xml:space="preserve">. </w:t>
      </w:r>
      <w:r w:rsidRPr="00CE05E5" w:rsidR="00CE1148">
        <w:t>To ensure</w:t>
      </w:r>
      <w:r w:rsidRPr="00CE05E5" w:rsidR="00C53679">
        <w:t xml:space="preserve"> that</w:t>
      </w:r>
      <w:r w:rsidRPr="00CE05E5" w:rsidR="00CE1148">
        <w:t xml:space="preserve"> the instrument </w:t>
      </w:r>
      <w:r w:rsidR="00E32BA6">
        <w:t>was</w:t>
      </w:r>
      <w:r w:rsidRPr="00CE05E5" w:rsidR="00CE1148">
        <w:t xml:space="preserve"> tested on a broad range of participants </w:t>
      </w:r>
      <w:r w:rsidR="00E32BA6">
        <w:t>we</w:t>
      </w:r>
      <w:r w:rsidRPr="00CE05E5" w:rsidR="00CE1148">
        <w:t xml:space="preserve"> conduct</w:t>
      </w:r>
      <w:r w:rsidR="00E32BA6">
        <w:t>ed</w:t>
      </w:r>
      <w:r w:rsidRPr="00CE05E5" w:rsidR="00CE1148">
        <w:t xml:space="preserve"> a pre</w:t>
      </w:r>
      <w:r w:rsidRPr="00CE05E5" w:rsidR="0066208D">
        <w:t>-</w:t>
      </w:r>
      <w:r w:rsidRPr="00CE05E5" w:rsidR="00CE1148">
        <w:t xml:space="preserve">test with </w:t>
      </w:r>
      <w:r w:rsidRPr="00CE05E5" w:rsidR="00CE05E5">
        <w:t>4</w:t>
      </w:r>
      <w:r w:rsidRPr="00CE05E5" w:rsidR="00CE1148">
        <w:t xml:space="preserve">0 </w:t>
      </w:r>
      <w:r w:rsidRPr="00CE05E5" w:rsidR="000720FC">
        <w:t>adults</w:t>
      </w:r>
      <w:r w:rsidRPr="00CE05E5" w:rsidR="00CE1148">
        <w:t>,</w:t>
      </w:r>
      <w:r w:rsidR="00CE1148">
        <w:t xml:space="preserve"> under </w:t>
      </w:r>
      <w:r w:rsidRPr="002E4537" w:rsidR="008E611D">
        <w:rPr>
          <w:rFonts w:cstheme="minorHAnsi"/>
        </w:rPr>
        <w:t xml:space="preserve">the umbrella generic, Pre-testing of </w:t>
      </w:r>
      <w:r w:rsidRPr="002E4537" w:rsidR="008E611D">
        <w:rPr>
          <w:rFonts w:cstheme="minorHAnsi"/>
        </w:rPr>
        <w:lastRenderedPageBreak/>
        <w:t>Evaluation Data Collection Activities (</w:t>
      </w:r>
      <w:r w:rsidR="00CE1148">
        <w:t>OMB #</w:t>
      </w:r>
      <w:r w:rsidR="007A0E08">
        <w:t>0970</w:t>
      </w:r>
      <w:r w:rsidR="00CE1148">
        <w:t>-</w:t>
      </w:r>
      <w:r w:rsidR="007A0E08">
        <w:t>0355</w:t>
      </w:r>
      <w:r w:rsidR="008E611D">
        <w:t>)</w:t>
      </w:r>
      <w:r w:rsidR="00817241">
        <w:t>.</w:t>
      </w:r>
      <w:r w:rsidR="009717C0">
        <w:t xml:space="preserve"> </w:t>
      </w:r>
      <w:r w:rsidR="00C85211">
        <w:t xml:space="preserve">During the pre-test, the research team carefully moderated each interview, paying special attention to respondents’ creative uses of text, such as punctuation and emojis, and adding follow up questions to the respondents where necessary to ensure common understanding and interpretation of responses. Participants were forthcoming and open, even on potentially sensitive and personal questions. </w:t>
      </w:r>
      <w:r w:rsidR="00C85211">
        <w:rPr>
          <w:rFonts w:ascii="Times New Roman" w:hAnsi="Times New Roman" w:cs="Times New Roman"/>
          <w:sz w:val="24"/>
          <w:szCs w:val="24"/>
        </w:rPr>
        <w:t xml:space="preserve"> </w:t>
      </w:r>
    </w:p>
    <w:p w:rsidR="0027649B" w:rsidP="00C85211" w:rsidRDefault="0027649B" w14:paraId="0E086787" w14:textId="77777777">
      <w:pPr>
        <w:spacing w:after="0" w:line="240" w:lineRule="auto"/>
        <w:rPr>
          <w:rFonts w:ascii="Times New Roman" w:hAnsi="Times New Roman" w:cs="Times New Roman"/>
          <w:sz w:val="24"/>
          <w:szCs w:val="24"/>
        </w:rPr>
      </w:pPr>
    </w:p>
    <w:p w:rsidRPr="00F24397" w:rsidR="005D1F11" w:rsidP="0044628A" w:rsidRDefault="009717C0" w14:paraId="327AC54C" w14:textId="15CEEFC5">
      <w:pPr>
        <w:spacing w:after="240" w:line="240" w:lineRule="auto"/>
      </w:pPr>
      <w:r>
        <w:t xml:space="preserve">Both instruments have been translated into Spanish (Instruments 1 &amp; 2, following the respective English versions) to ensure that Spanish speakers are recruited and included into the study. </w:t>
      </w:r>
    </w:p>
    <w:p w:rsidR="00411B50" w:rsidP="004466E3" w:rsidRDefault="00411B50" w14:paraId="153D47C7" w14:textId="3A6CEEDF">
      <w:pPr>
        <w:spacing w:after="240" w:line="240" w:lineRule="auto"/>
      </w:pPr>
      <w:r>
        <w:t xml:space="preserve">The study design minimizes potential measurement error in </w:t>
      </w:r>
      <w:r w:rsidR="007A0E08">
        <w:t xml:space="preserve">three </w:t>
      </w:r>
      <w:r>
        <w:t xml:space="preserve">ways: </w:t>
      </w:r>
      <w:r w:rsidR="00817241">
        <w:t>(</w:t>
      </w:r>
      <w:r>
        <w:t>1) by providing anonymity for respondents on potentially sensitive items compared to in-person or telephone interviews</w:t>
      </w:r>
      <w:r w:rsidR="00817241">
        <w:t>;</w:t>
      </w:r>
      <w:r>
        <w:t xml:space="preserve"> </w:t>
      </w:r>
      <w:r w:rsidR="00817241">
        <w:t>(</w:t>
      </w:r>
      <w:r w:rsidR="007A0E08">
        <w:t>2)</w:t>
      </w:r>
      <w:r w:rsidR="00817241">
        <w:t xml:space="preserve"> by permitting</w:t>
      </w:r>
      <w:r w:rsidR="007A0E08">
        <w:t xml:space="preserve"> study leads </w:t>
      </w:r>
      <w:r w:rsidR="00817241">
        <w:t>to</w:t>
      </w:r>
      <w:r w:rsidR="007A0E08">
        <w:t xml:space="preserve"> oversee all interview moderators in the chat board, ensuring consistency in interviewee probes and follow-ups and clarifying unclear or ambiguous responses</w:t>
      </w:r>
      <w:r w:rsidR="00817241">
        <w:t xml:space="preserve">; </w:t>
      </w:r>
      <w:r>
        <w:t xml:space="preserve">and </w:t>
      </w:r>
      <w:r w:rsidR="00817241">
        <w:t>(</w:t>
      </w:r>
      <w:r w:rsidR="007A0E08">
        <w:t>3</w:t>
      </w:r>
      <w:r>
        <w:t xml:space="preserve">) </w:t>
      </w:r>
      <w:r w:rsidR="00C76B12">
        <w:t xml:space="preserve">by </w:t>
      </w:r>
      <w:r w:rsidR="00E373B2">
        <w:t>structur</w:t>
      </w:r>
      <w:r w:rsidR="00C76B12">
        <w:t xml:space="preserve">ing </w:t>
      </w:r>
      <w:r>
        <w:t>the online platform</w:t>
      </w:r>
      <w:r w:rsidR="00C76B12">
        <w:t xml:space="preserve"> to</w:t>
      </w:r>
      <w:r>
        <w:t xml:space="preserve"> export a transcript of all comments</w:t>
      </w:r>
      <w:r w:rsidR="00B16966">
        <w:t xml:space="preserve"> to interviewers</w:t>
      </w:r>
      <w:r>
        <w:t>, limiting potential error in notetaking and transcription.</w:t>
      </w:r>
    </w:p>
    <w:p w:rsidRPr="00F24397" w:rsidR="00EB6134" w:rsidP="00F24397" w:rsidRDefault="00901040" w14:paraId="6079F68E" w14:textId="4D7E392A">
      <w:pPr>
        <w:pStyle w:val="Heading2A"/>
      </w:pPr>
      <w:r w:rsidRPr="00F24397">
        <w:t xml:space="preserve">B4. </w:t>
      </w:r>
      <w:r w:rsidRPr="00F24397" w:rsidR="00DF1291">
        <w:tab/>
      </w:r>
      <w:r w:rsidRPr="00F24397">
        <w:t>Collection of Data</w:t>
      </w:r>
      <w:r w:rsidRPr="00F24397" w:rsidR="00EB6134">
        <w:t xml:space="preserve"> and Quality Control</w:t>
      </w:r>
    </w:p>
    <w:p w:rsidRPr="00F24397" w:rsidR="0050102F" w:rsidP="00985B76" w:rsidRDefault="00F320D0" w14:paraId="0E43592B" w14:textId="5B2CFC0C">
      <w:pPr>
        <w:spacing w:after="240" w:line="240" w:lineRule="auto"/>
      </w:pPr>
      <w:r w:rsidRPr="00F24397">
        <w:t>ACF is contracting with Mathematica for this data collection</w:t>
      </w:r>
      <w:r w:rsidR="00B16966">
        <w:t xml:space="preserve"> effort</w:t>
      </w:r>
      <w:r w:rsidRPr="00F24397">
        <w:t xml:space="preserve">. The Mathematica </w:t>
      </w:r>
      <w:r w:rsidR="00A10151">
        <w:t xml:space="preserve">research team </w:t>
      </w:r>
      <w:r w:rsidRPr="00F24397">
        <w:t>ha</w:t>
      </w:r>
      <w:r w:rsidR="00A10151">
        <w:t>s</w:t>
      </w:r>
      <w:r w:rsidRPr="00F24397">
        <w:t xml:space="preserve"> extensive experience</w:t>
      </w:r>
      <w:r w:rsidR="00C76B12">
        <w:t xml:space="preserve"> in</w:t>
      </w:r>
      <w:r w:rsidRPr="00F24397">
        <w:t xml:space="preserve"> </w:t>
      </w:r>
      <w:r w:rsidRPr="00F24397" w:rsidR="00AD7739">
        <w:t xml:space="preserve">conducting </w:t>
      </w:r>
      <w:r w:rsidRPr="00F24397" w:rsidR="0050102F">
        <w:t>qualitative</w:t>
      </w:r>
      <w:r w:rsidRPr="00F24397" w:rsidR="00AD7739">
        <w:t xml:space="preserve"> data collection</w:t>
      </w:r>
      <w:r w:rsidR="00B16966">
        <w:t xml:space="preserve"> effort</w:t>
      </w:r>
      <w:r w:rsidRPr="00F24397" w:rsidR="00AD7739">
        <w:t>s</w:t>
      </w:r>
      <w:r w:rsidRPr="00F24397" w:rsidR="005E7F1B">
        <w:t xml:space="preserve"> with adult populations</w:t>
      </w:r>
      <w:r w:rsidR="000B48C5">
        <w:t>, particularly</w:t>
      </w:r>
      <w:r w:rsidRPr="00F24397">
        <w:t xml:space="preserve"> </w:t>
      </w:r>
      <w:r w:rsidR="00EB6BF9">
        <w:t>in</w:t>
      </w:r>
      <w:r w:rsidRPr="00F24397">
        <w:t xml:space="preserve"> </w:t>
      </w:r>
      <w:r w:rsidR="00C76B12">
        <w:t>earlie</w:t>
      </w:r>
      <w:r w:rsidRPr="00F24397">
        <w:t>r studies sponsored by the U.S. Department of Health and Human Services and other federal agencies</w:t>
      </w:r>
      <w:r w:rsidR="000B48C5">
        <w:t>.</w:t>
      </w:r>
      <w:r w:rsidRPr="00BB7547" w:rsidR="005E7F1B">
        <w:rPr>
          <w:vertAlign w:val="superscript"/>
        </w:rPr>
        <w:footnoteReference w:id="6"/>
      </w:r>
      <w:r w:rsidRPr="00F24397" w:rsidR="00AD7739">
        <w:t xml:space="preserve"> </w:t>
      </w:r>
    </w:p>
    <w:p w:rsidRPr="00F24397" w:rsidR="005E7F1B" w:rsidP="00985B76" w:rsidRDefault="005E7F1B" w14:paraId="49D7102D" w14:textId="66716C25">
      <w:pPr>
        <w:spacing w:after="240" w:line="240" w:lineRule="auto"/>
      </w:pPr>
      <w:r w:rsidRPr="00F24397">
        <w:t>To conduct the interview, we will use Qual</w:t>
      </w:r>
      <w:r w:rsidR="004D0BEF">
        <w:t>B</w:t>
      </w:r>
      <w:r w:rsidRPr="00F24397">
        <w:t>oard</w:t>
      </w:r>
      <w:r w:rsidR="000B48C5">
        <w:t>, which</w:t>
      </w:r>
      <w:r w:rsidRPr="00F24397">
        <w:t xml:space="preserve"> is an online bulletin board </w:t>
      </w:r>
      <w:r w:rsidR="00884C83">
        <w:t>that allows</w:t>
      </w:r>
      <w:r w:rsidRPr="00F24397">
        <w:t xml:space="preserve"> participants to see and respond to questions. However, it is not a real-time chat</w:t>
      </w:r>
      <w:r w:rsidR="00884C83">
        <w:t>; therefore</w:t>
      </w:r>
      <w:r w:rsidRPr="00F24397">
        <w:t xml:space="preserve">, participants </w:t>
      </w:r>
      <w:r w:rsidR="00884C83">
        <w:t>may</w:t>
      </w:r>
      <w:r w:rsidRPr="00F24397">
        <w:t xml:space="preserve"> log on at any time that is convenient for them. </w:t>
      </w:r>
      <w:bookmarkStart w:name="_Hlk79570381" w:id="2"/>
      <w:r w:rsidRPr="00F24397">
        <w:t>Their responses are stored and used as an interview transcript</w:t>
      </w:r>
      <w:r w:rsidR="007A0E08">
        <w:t xml:space="preserve"> that is accessible</w:t>
      </w:r>
      <w:r w:rsidR="00884C83">
        <w:t xml:space="preserve"> only</w:t>
      </w:r>
      <w:r w:rsidR="007A0E08">
        <w:t xml:space="preserve"> to the </w:t>
      </w:r>
      <w:r w:rsidR="00446FC7">
        <w:t xml:space="preserve">research </w:t>
      </w:r>
      <w:r w:rsidR="007A0E08">
        <w:t>team</w:t>
      </w:r>
      <w:r w:rsidRPr="00F24397">
        <w:t>.</w:t>
      </w:r>
      <w:bookmarkEnd w:id="2"/>
      <w:r w:rsidRPr="00F24397">
        <w:t xml:space="preserve"> </w:t>
      </w:r>
    </w:p>
    <w:p w:rsidR="00817684" w:rsidP="00985B76" w:rsidRDefault="009717C0" w14:paraId="23185E18" w14:textId="4A5AB19E">
      <w:pPr>
        <w:spacing w:after="240" w:line="240" w:lineRule="auto"/>
      </w:pPr>
      <w:r>
        <w:t>To start, the market research vendor</w:t>
      </w:r>
      <w:r w:rsidR="0015642B">
        <w:t>s</w:t>
      </w:r>
      <w:r>
        <w:t xml:space="preserve"> will recruit study participants by beginning with a prescreen email to </w:t>
      </w:r>
      <w:r w:rsidR="0015642B">
        <w:t>their</w:t>
      </w:r>
      <w:r>
        <w:t xml:space="preserve"> panel members in both English and Spanish (Appendix A: Success Sequence Recruitment Materials)</w:t>
      </w:r>
      <w:r w:rsidR="00817684">
        <w:t xml:space="preserve">. Interested participants will be screened over the phone using </w:t>
      </w:r>
      <w:r w:rsidRPr="00F24397" w:rsidR="0047266B">
        <w:t>Instrument 1</w:t>
      </w:r>
      <w:r w:rsidR="00817684">
        <w:t xml:space="preserve">. Mathematica will monitor and select the study participants to ensure that participants vary by the key variables of interest: </w:t>
      </w:r>
      <w:r w:rsidRPr="00CF5FAC" w:rsidR="00CF5FAC">
        <w:t>high school graduation, employment, marriage, and childbearing</w:t>
      </w:r>
      <w:r w:rsidRPr="00CF5FAC" w:rsidDel="00632A76" w:rsidR="00CF5FAC">
        <w:t xml:space="preserve"> </w:t>
      </w:r>
      <w:r w:rsidR="003F047B">
        <w:t>, with a targeted sample size for each combination of milestones completed that is proportional to the number of cases</w:t>
      </w:r>
      <w:r w:rsidR="00E46D49">
        <w:t xml:space="preserve"> observed in the economic analysis (Appendix </w:t>
      </w:r>
      <w:r w:rsidR="00AD56A0">
        <w:t>C</w:t>
      </w:r>
      <w:r w:rsidR="00E46D49">
        <w:t xml:space="preserve">, Table </w:t>
      </w:r>
      <w:r w:rsidR="00AD56A0">
        <w:t>C</w:t>
      </w:r>
      <w:r w:rsidR="00E46D49">
        <w:t>.1).</w:t>
      </w:r>
      <w:r w:rsidR="00D23619">
        <w:t xml:space="preserve"> </w:t>
      </w:r>
    </w:p>
    <w:p w:rsidRPr="00F24397" w:rsidR="00AD7739" w:rsidP="00985B76" w:rsidRDefault="00817684" w14:paraId="1FF897D3" w14:textId="4860D8AB">
      <w:pPr>
        <w:spacing w:after="240" w:line="240" w:lineRule="auto"/>
      </w:pPr>
      <w:r>
        <w:t xml:space="preserve">Participants </w:t>
      </w:r>
      <w:r w:rsidRPr="00F24397" w:rsidR="0047266B">
        <w:t>successfully recruited into the study will receive login credentials to access the QualBoard site via email</w:t>
      </w:r>
      <w:r w:rsidR="000264CF">
        <w:t xml:space="preserve"> (Appendix </w:t>
      </w:r>
      <w:r w:rsidR="00AD56A0">
        <w:t>D</w:t>
      </w:r>
      <w:r w:rsidR="0030762B">
        <w:t>: Qualboard Invitation Email Sample Screen Shot</w:t>
      </w:r>
      <w:r w:rsidR="000264CF">
        <w:t>)</w:t>
      </w:r>
      <w:r w:rsidRPr="00F24397" w:rsidR="0047266B">
        <w:t xml:space="preserve">. When </w:t>
      </w:r>
      <w:r w:rsidR="00D23619">
        <w:t>participants</w:t>
      </w:r>
      <w:r w:rsidRPr="00F24397" w:rsidR="0047266B">
        <w:t xml:space="preserve"> enter the </w:t>
      </w:r>
      <w:r>
        <w:t xml:space="preserve">Qualboard </w:t>
      </w:r>
      <w:r w:rsidRPr="00F24397" w:rsidR="0047266B">
        <w:t>site, they will be asked to enter their first name, initials, or an alias</w:t>
      </w:r>
      <w:r w:rsidR="00AD20B1">
        <w:t xml:space="preserve"> and </w:t>
      </w:r>
      <w:r>
        <w:t>to not</w:t>
      </w:r>
      <w:r w:rsidRPr="00F24397" w:rsidR="0047266B">
        <w:t xml:space="preserve"> provide their full name</w:t>
      </w:r>
      <w:r w:rsidR="00D23619">
        <w:t xml:space="preserve"> in order</w:t>
      </w:r>
      <w:r w:rsidRPr="00F24397" w:rsidR="0047266B">
        <w:t xml:space="preserve"> to protect their privacy.</w:t>
      </w:r>
      <w:r w:rsidR="0038035F">
        <w:t xml:space="preserve"> The name they enter </w:t>
      </w:r>
      <w:r w:rsidR="008E611D">
        <w:t xml:space="preserve">will be </w:t>
      </w:r>
      <w:r w:rsidR="0038035F">
        <w:t>used</w:t>
      </w:r>
      <w:r w:rsidR="00D23619">
        <w:t xml:space="preserve"> </w:t>
      </w:r>
      <w:r w:rsidR="0038035F">
        <w:t>as their display name in the chat board</w:t>
      </w:r>
      <w:r>
        <w:t xml:space="preserve"> and can only be seen by the research team interviewers</w:t>
      </w:r>
      <w:r w:rsidR="0038035F">
        <w:t>.</w:t>
      </w:r>
      <w:r w:rsidRPr="00F24397" w:rsidR="0047266B">
        <w:t xml:space="preserve"> An electronic consent form will be displayed upon login for completion by the participant before</w:t>
      </w:r>
      <w:r w:rsidR="00D23619">
        <w:t xml:space="preserve"> </w:t>
      </w:r>
      <w:r>
        <w:t>they</w:t>
      </w:r>
      <w:r w:rsidR="000078DD">
        <w:t xml:space="preserve"> </w:t>
      </w:r>
      <w:r w:rsidR="00D23619">
        <w:t>b</w:t>
      </w:r>
      <w:r w:rsidR="00AD20B1">
        <w:t xml:space="preserve">egin </w:t>
      </w:r>
      <w:r>
        <w:t>their</w:t>
      </w:r>
      <w:r w:rsidR="00AD20B1">
        <w:t xml:space="preserve"> online interview </w:t>
      </w:r>
      <w:r w:rsidRPr="00F24397" w:rsidR="0047266B">
        <w:lastRenderedPageBreak/>
        <w:t>(Appendix B</w:t>
      </w:r>
      <w:r w:rsidR="0030762B">
        <w:t>: Consent Form</w:t>
      </w:r>
      <w:r w:rsidRPr="00F24397" w:rsidR="0047266B">
        <w:t xml:space="preserve">). </w:t>
      </w:r>
      <w:r w:rsidR="00AD20B1">
        <w:t>Participants</w:t>
      </w:r>
      <w:r w:rsidRPr="00F24397" w:rsidR="0047266B">
        <w:t xml:space="preserve"> will not be able to access any interview questions until they complete the consent form.</w:t>
      </w:r>
      <w:r w:rsidR="000078DD">
        <w:t xml:space="preserve"> </w:t>
      </w:r>
    </w:p>
    <w:p w:rsidR="007A0E08" w:rsidP="00985B76" w:rsidRDefault="00817684" w14:paraId="3590E21E" w14:textId="6D39FE23">
      <w:pPr>
        <w:spacing w:after="240" w:line="240" w:lineRule="auto"/>
      </w:pPr>
      <w:r>
        <w:rPr>
          <w:rFonts w:eastAsia="Times New Roman" w:cstheme="minorHAnsi"/>
          <w:bCs/>
          <w:color w:val="000000"/>
        </w:rPr>
        <w:t xml:space="preserve">Interview questions will be programmed onto the chat board for study participants to answer at their convenience during a given data collection window of up to </w:t>
      </w:r>
      <w:r w:rsidR="00311749">
        <w:rPr>
          <w:rFonts w:eastAsia="Times New Roman" w:cstheme="minorHAnsi"/>
          <w:bCs/>
          <w:color w:val="000000"/>
        </w:rPr>
        <w:t xml:space="preserve">3 </w:t>
      </w:r>
      <w:r>
        <w:rPr>
          <w:rFonts w:eastAsia="Times New Roman" w:cstheme="minorHAnsi"/>
          <w:bCs/>
          <w:color w:val="000000"/>
        </w:rPr>
        <w:t xml:space="preserve">days. The interview questions are grouped into four sections. Participants will type their responses to the posed questions. </w:t>
      </w:r>
      <w:r>
        <w:t>Mathematica i</w:t>
      </w:r>
      <w:r w:rsidR="007A0E08">
        <w:t>nterview</w:t>
      </w:r>
      <w:r>
        <w:t xml:space="preserve">ers will be trained to moderate the interviews and will follow an interview </w:t>
      </w:r>
      <w:r w:rsidR="007A0E08">
        <w:t>protocol</w:t>
      </w:r>
      <w:r>
        <w:t xml:space="preserve"> guide for uniformity. </w:t>
      </w:r>
      <w:r w:rsidRPr="00F24397">
        <w:t xml:space="preserve">Throughout the sessions, </w:t>
      </w:r>
      <w:r>
        <w:t>moderators</w:t>
      </w:r>
      <w:r w:rsidRPr="00F24397">
        <w:t xml:space="preserve"> will review responses</w:t>
      </w:r>
      <w:r>
        <w:t>.</w:t>
      </w:r>
      <w:r w:rsidRPr="00F24397">
        <w:t xml:space="preserve"> </w:t>
      </w:r>
      <w:r>
        <w:t>The</w:t>
      </w:r>
      <w:r w:rsidRPr="00F24397" w:rsidR="007A0E08">
        <w:t xml:space="preserve"> project lead will review </w:t>
      </w:r>
      <w:r w:rsidR="007A0E08">
        <w:t>all</w:t>
      </w:r>
      <w:r w:rsidRPr="00F24397" w:rsidR="007A0E08">
        <w:t xml:space="preserve"> </w:t>
      </w:r>
      <w:r w:rsidR="007A0E08">
        <w:t xml:space="preserve">moderators’ </w:t>
      </w:r>
      <w:r w:rsidRPr="00F24397" w:rsidR="007A0E08">
        <w:t>session</w:t>
      </w:r>
      <w:r w:rsidR="007A0E08">
        <w:t>s</w:t>
      </w:r>
      <w:r w:rsidRPr="00F24397" w:rsidR="007A0E08">
        <w:t xml:space="preserve"> for consistency in engagement with participants. </w:t>
      </w:r>
      <w:r w:rsidR="007A0E08">
        <w:t>W</w:t>
      </w:r>
      <w:r w:rsidRPr="00F24397" w:rsidR="007A0E08">
        <w:t xml:space="preserve">hen necessary, </w:t>
      </w:r>
      <w:r>
        <w:t>interviewers will</w:t>
      </w:r>
      <w:r w:rsidR="007A0E08">
        <w:t xml:space="preserve"> </w:t>
      </w:r>
      <w:r w:rsidRPr="00F24397" w:rsidR="007A0E08">
        <w:t xml:space="preserve">encourage more in-depth responses </w:t>
      </w:r>
      <w:r w:rsidR="007A0E08">
        <w:t xml:space="preserve">and </w:t>
      </w:r>
      <w:r w:rsidRPr="00F24397" w:rsidR="007A0E08">
        <w:t xml:space="preserve">probe </w:t>
      </w:r>
      <w:r w:rsidR="00F40D7C">
        <w:t>f</w:t>
      </w:r>
      <w:r w:rsidRPr="00F24397" w:rsidR="007A0E08">
        <w:t>o</w:t>
      </w:r>
      <w:r w:rsidR="00F40D7C">
        <w:t>r</w:t>
      </w:r>
      <w:r w:rsidRPr="00F24397" w:rsidR="007A0E08">
        <w:t xml:space="preserve"> elaborat</w:t>
      </w:r>
      <w:r w:rsidR="00F40D7C">
        <w:t>ion</w:t>
      </w:r>
      <w:r w:rsidRPr="00F24397" w:rsidR="007A0E08">
        <w:t xml:space="preserve"> on responses. </w:t>
      </w:r>
      <w:r w:rsidR="007A0E08">
        <w:t>When the moderator asks a follow-up question, the participant will receive a</w:t>
      </w:r>
      <w:r w:rsidR="00FC186F">
        <w:t xml:space="preserve"> notification in QualBoard or an</w:t>
      </w:r>
      <w:r w:rsidR="007A0E08">
        <w:t xml:space="preserve"> email notification</w:t>
      </w:r>
      <w:r w:rsidR="00FC186F">
        <w:t xml:space="preserve"> (depending on set notification preferences)</w:t>
      </w:r>
      <w:r w:rsidR="007A0E08">
        <w:t xml:space="preserve"> </w:t>
      </w:r>
      <w:r w:rsidR="00286C00">
        <w:t xml:space="preserve">indicating a request for </w:t>
      </w:r>
      <w:r w:rsidR="007A0E08">
        <w:t xml:space="preserve">follow-up on </w:t>
      </w:r>
      <w:r w:rsidR="00733F1F">
        <w:t>his or her</w:t>
      </w:r>
      <w:r w:rsidR="007A0E08">
        <w:t xml:space="preserve"> interview.</w:t>
      </w:r>
    </w:p>
    <w:p w:rsidRPr="00F24397" w:rsidR="001E1146" w:rsidP="00985B76" w:rsidRDefault="00027475" w14:paraId="701D90EF" w14:textId="2D3797A3">
      <w:pPr>
        <w:spacing w:after="240" w:line="240" w:lineRule="auto"/>
      </w:pPr>
      <w:r>
        <w:t>T</w:t>
      </w:r>
      <w:r w:rsidRPr="00F24397" w:rsidR="001E1146">
        <w:t xml:space="preserve">he interview </w:t>
      </w:r>
      <w:r w:rsidR="009717C0">
        <w:t>protocol</w:t>
      </w:r>
      <w:r w:rsidRPr="00F24397" w:rsidR="001E1146">
        <w:t xml:space="preserve"> will be </w:t>
      </w:r>
      <w:r w:rsidR="00C444F4">
        <w:t>self-</w:t>
      </w:r>
      <w:r w:rsidRPr="00F24397" w:rsidR="001E1146">
        <w:t xml:space="preserve">administered </w:t>
      </w:r>
      <w:r w:rsidR="00C444F4">
        <w:t xml:space="preserve">and can be completed in </w:t>
      </w:r>
      <w:r w:rsidR="00733F1F">
        <w:t>several</w:t>
      </w:r>
      <w:r w:rsidR="00C444F4">
        <w:t xml:space="preserve"> </w:t>
      </w:r>
      <w:r w:rsidRPr="00F24397" w:rsidR="001E1146">
        <w:t xml:space="preserve">sessions on QualBoard. </w:t>
      </w:r>
      <w:r w:rsidR="00681C60">
        <w:t>We e</w:t>
      </w:r>
      <w:r w:rsidR="00733F1F">
        <w:t>xpect that</w:t>
      </w:r>
      <w:r w:rsidR="00681C60">
        <w:t xml:space="preserve"> responses </w:t>
      </w:r>
      <w:r w:rsidR="00C444F4">
        <w:t>and</w:t>
      </w:r>
      <w:r w:rsidR="00D3499E">
        <w:t xml:space="preserve"> interviewer</w:t>
      </w:r>
      <w:r w:rsidR="00C444F4">
        <w:t xml:space="preserve"> follow</w:t>
      </w:r>
      <w:r w:rsidR="00733F1F">
        <w:t>-</w:t>
      </w:r>
      <w:r w:rsidR="00C444F4">
        <w:t>up questions</w:t>
      </w:r>
      <w:r w:rsidR="000078DD">
        <w:t xml:space="preserve"> </w:t>
      </w:r>
      <w:r w:rsidR="00681C60">
        <w:t xml:space="preserve">will take participants about </w:t>
      </w:r>
      <w:r w:rsidR="00C444F4">
        <w:t xml:space="preserve">45 </w:t>
      </w:r>
      <w:r w:rsidR="00681C60">
        <w:t>minutes to complete.</w:t>
      </w:r>
      <w:r w:rsidR="00C444F4">
        <w:t xml:space="preserve"> </w:t>
      </w:r>
      <w:r w:rsidRPr="00F24397" w:rsidR="001E1146">
        <w:t>After participants complete the initial set of questions, they will be encouraged to log back in at least on</w:t>
      </w:r>
      <w:r w:rsidR="00733F1F">
        <w:t>ce</w:t>
      </w:r>
      <w:r w:rsidRPr="00F24397" w:rsidR="001E1146">
        <w:t xml:space="preserve"> to review probes from the </w:t>
      </w:r>
      <w:r w:rsidR="00EE19D3">
        <w:t>interviewer</w:t>
      </w:r>
      <w:r w:rsidR="00EB01A7">
        <w:t>; they</w:t>
      </w:r>
      <w:r w:rsidRPr="00F24397" w:rsidR="001C61E7">
        <w:t xml:space="preserve"> will receive a</w:t>
      </w:r>
      <w:r w:rsidR="00950EFA">
        <w:t>n on-platform</w:t>
      </w:r>
      <w:r w:rsidRPr="00F24397" w:rsidR="001C61E7">
        <w:t xml:space="preserve"> or email notification when </w:t>
      </w:r>
      <w:r w:rsidR="00EE19D3">
        <w:t>interviewers</w:t>
      </w:r>
      <w:r w:rsidRPr="00F24397" w:rsidR="001C61E7">
        <w:t xml:space="preserve"> leave probes</w:t>
      </w:r>
      <w:r w:rsidRPr="00F24397" w:rsidR="001E1146">
        <w:t xml:space="preserve">. </w:t>
      </w:r>
      <w:r w:rsidR="00C444F4">
        <w:t xml:space="preserve">The board will remain open for </w:t>
      </w:r>
      <w:r w:rsidR="003D0C02">
        <w:t>three</w:t>
      </w:r>
      <w:r w:rsidR="00C444F4">
        <w:t xml:space="preserve"> days.</w:t>
      </w:r>
      <w:r w:rsidR="00632A76">
        <w:t xml:space="preserve"> We will send participants </w:t>
      </w:r>
      <w:r w:rsidR="00F245F4">
        <w:t>their</w:t>
      </w:r>
      <w:r w:rsidR="00632A76">
        <w:t xml:space="preserve"> gift card for completing the interview questions.</w:t>
      </w:r>
      <w:r w:rsidRPr="00F24397" w:rsidR="001E1146">
        <w:t xml:space="preserve"> </w:t>
      </w:r>
    </w:p>
    <w:p w:rsidRPr="00F24397" w:rsidR="001E1146" w:rsidP="004466E3" w:rsidRDefault="001E1146" w14:paraId="394E1869" w14:textId="1B3AE607">
      <w:pPr>
        <w:spacing w:after="240" w:line="240" w:lineRule="auto"/>
      </w:pPr>
      <w:r w:rsidRPr="00F24397">
        <w:t>Transcripts of all responses logged by participants will be exported from QualBoard as Excel files and/or PDFs at the end of the sessions to prepare for coding and analysis.</w:t>
      </w:r>
      <w:r w:rsidR="000078DD">
        <w:t xml:space="preserve"> </w:t>
      </w:r>
    </w:p>
    <w:p w:rsidRPr="00F24397" w:rsidR="007C2EE0" w:rsidP="00F24397" w:rsidRDefault="00E41EE9" w14:paraId="44A6DC32" w14:textId="79DEC88E">
      <w:pPr>
        <w:pStyle w:val="Heading2A"/>
      </w:pPr>
      <w:r w:rsidRPr="00F24397">
        <w:t>B5.</w:t>
      </w:r>
      <w:r w:rsidRPr="00F24397">
        <w:tab/>
      </w:r>
      <w:r w:rsidRPr="00F24397" w:rsidR="00901040">
        <w:t xml:space="preserve">Response </w:t>
      </w:r>
      <w:r w:rsidRPr="00F24397" w:rsidR="00165818">
        <w:t>R</w:t>
      </w:r>
      <w:r w:rsidRPr="00F24397" w:rsidR="00901040">
        <w:t xml:space="preserve">ates and </w:t>
      </w:r>
      <w:r w:rsidRPr="00F24397" w:rsidR="00165818">
        <w:t>P</w:t>
      </w:r>
      <w:r w:rsidRPr="00F24397" w:rsidR="00901040">
        <w:t xml:space="preserve">otential </w:t>
      </w:r>
      <w:r w:rsidRPr="00F24397" w:rsidR="00165818">
        <w:t>N</w:t>
      </w:r>
      <w:r w:rsidRPr="00F24397" w:rsidR="00901040">
        <w:t xml:space="preserve">onresponse </w:t>
      </w:r>
      <w:r w:rsidRPr="00F24397" w:rsidR="00165818">
        <w:t>B</w:t>
      </w:r>
      <w:r w:rsidRPr="00F24397" w:rsidR="00901040">
        <w:t>ias</w:t>
      </w:r>
    </w:p>
    <w:p w:rsidRPr="00F24397" w:rsidR="007C2EE0" w:rsidP="00426E2F" w:rsidRDefault="007C2EE0" w14:paraId="4C6D8F66" w14:textId="48A3918C">
      <w:pPr>
        <w:pStyle w:val="Heading3A"/>
        <w:spacing w:after="40"/>
      </w:pPr>
      <w:r w:rsidRPr="00F24397">
        <w:t>Response Rates</w:t>
      </w:r>
    </w:p>
    <w:p w:rsidRPr="00947AF5" w:rsidR="0005675C" w:rsidP="0005675C" w:rsidRDefault="00AE7A89" w14:paraId="4D167DCF" w14:textId="77777777">
      <w:pPr>
        <w:spacing w:after="240" w:line="240" w:lineRule="auto"/>
      </w:pPr>
      <w:r w:rsidRPr="00947AF5">
        <w:t xml:space="preserve">The </w:t>
      </w:r>
      <w:r w:rsidRPr="00947AF5" w:rsidR="00681C60">
        <w:t>interviews are</w:t>
      </w:r>
      <w:r w:rsidRPr="00947AF5">
        <w:t xml:space="preserve"> not designed to produce statistically generalizable findings and participation is wholly at the respondent’s discretion.</w:t>
      </w:r>
      <w:r w:rsidR="000078DD">
        <w:t xml:space="preserve"> </w:t>
      </w:r>
      <w:r w:rsidRPr="00947AF5" w:rsidR="0005675C">
        <w:t>Response rates will not be calculated or reported.</w:t>
      </w:r>
    </w:p>
    <w:p w:rsidRPr="00F24397" w:rsidR="00F917E5" w:rsidP="00426E2F" w:rsidRDefault="00F917E5" w14:paraId="14F6FBDC" w14:textId="71D22972">
      <w:pPr>
        <w:pStyle w:val="Heading3A"/>
        <w:spacing w:after="60"/>
      </w:pPr>
      <w:r w:rsidRPr="00F24397">
        <w:t>Non</w:t>
      </w:r>
      <w:r w:rsidR="00EB01A7">
        <w:t>r</w:t>
      </w:r>
      <w:r w:rsidRPr="00F24397">
        <w:t>esponse</w:t>
      </w:r>
    </w:p>
    <w:p w:rsidR="0005675C" w:rsidP="0005675C" w:rsidRDefault="009E6687" w14:paraId="7F15BD1A" w14:textId="468F2D6B">
      <w:pPr>
        <w:pStyle w:val="ParagraphContinued"/>
        <w:spacing w:before="0" w:after="240"/>
      </w:pPr>
      <w:r>
        <w:t xml:space="preserve">As study </w:t>
      </w:r>
      <w:r w:rsidRPr="00947AF5" w:rsidR="00AE7A89">
        <w:t>participants</w:t>
      </w:r>
      <w:r>
        <w:t xml:space="preserve"> will</w:t>
      </w:r>
      <w:r w:rsidRPr="00947AF5" w:rsidR="00AE7A89">
        <w:t xml:space="preserve"> not </w:t>
      </w:r>
      <w:r>
        <w:t xml:space="preserve">be </w:t>
      </w:r>
      <w:r w:rsidRPr="00947AF5" w:rsidR="00AE7A89">
        <w:t>randomly sampled and findings</w:t>
      </w:r>
      <w:r>
        <w:t xml:space="preserve"> are</w:t>
      </w:r>
      <w:r w:rsidRPr="00947AF5" w:rsidR="00AE7A89">
        <w:t xml:space="preserve"> not intended to be representative, </w:t>
      </w:r>
      <w:r w:rsidR="0005675C">
        <w:t>non-response bias</w:t>
      </w:r>
      <w:r w:rsidR="004D548C">
        <w:t xml:space="preserve"> will not </w:t>
      </w:r>
      <w:r w:rsidR="0005675C">
        <w:t xml:space="preserve">be </w:t>
      </w:r>
      <w:r w:rsidR="004D548C">
        <w:t>calculate</w:t>
      </w:r>
      <w:r w:rsidR="0005675C">
        <w:t>d</w:t>
      </w:r>
      <w:r w:rsidRPr="00947AF5" w:rsidR="00AE7A89">
        <w:t xml:space="preserve">. </w:t>
      </w:r>
      <w:r w:rsidR="0005675C">
        <w:t>The research team will work with the vendor</w:t>
      </w:r>
      <w:r w:rsidR="0015642B">
        <w:t>s</w:t>
      </w:r>
      <w:r w:rsidR="0005675C">
        <w:t xml:space="preserve"> to purposively select a diverse group of study participants to ensure all interview questions are tested across varying participant life milestones, and that participants are demographically and geographically diverse. </w:t>
      </w:r>
      <w:r w:rsidRPr="00947AF5" w:rsidR="00AE7A89">
        <w:t>Respondent demographics will be documented and reported in written materials associated with the data collection</w:t>
      </w:r>
      <w:r w:rsidR="00F734CB">
        <w:t xml:space="preserve"> effort</w:t>
      </w:r>
      <w:r w:rsidRPr="00947AF5" w:rsidR="00AE7A89">
        <w:t>.</w:t>
      </w:r>
      <w:r w:rsidRPr="00947AF5" w:rsidR="009D02DB">
        <w:t xml:space="preserve"> </w:t>
      </w:r>
    </w:p>
    <w:p w:rsidR="0005675C" w:rsidP="0005675C" w:rsidRDefault="0005675C" w14:paraId="6189AA14" w14:textId="011927C8">
      <w:pPr>
        <w:pStyle w:val="ParagraphContinued"/>
        <w:spacing w:before="0" w:after="240"/>
      </w:pPr>
      <w:r>
        <w:t>The research team will examine item non-response as an indicator of the sensitivity of interview questions, and any item with non-response of 10 percent or higher will be reported in written materials.</w:t>
      </w:r>
    </w:p>
    <w:p w:rsidRPr="00F24397" w:rsidR="00901040" w:rsidP="00F24397" w:rsidRDefault="00EB6134" w14:paraId="36E8E8E3" w14:textId="3118DAA1">
      <w:pPr>
        <w:pStyle w:val="Heading2A"/>
      </w:pPr>
      <w:r w:rsidRPr="00F24397">
        <w:t>B6</w:t>
      </w:r>
      <w:r w:rsidRPr="00F24397" w:rsidR="00901040">
        <w:t>.</w:t>
      </w:r>
      <w:r w:rsidR="00947AF5">
        <w:tab/>
      </w:r>
      <w:r w:rsidRPr="00F24397" w:rsidR="00901040">
        <w:t xml:space="preserve">Production of Estimates and Projections </w:t>
      </w:r>
    </w:p>
    <w:p w:rsidRPr="00947AF5" w:rsidR="00360839" w:rsidP="004466E3" w:rsidRDefault="00360839" w14:paraId="4A550408" w14:textId="65AF5050">
      <w:pPr>
        <w:spacing w:after="240" w:line="240" w:lineRule="auto"/>
      </w:pPr>
      <w:r w:rsidRPr="00B139CA">
        <w:t xml:space="preserve">The data will not </w:t>
      </w:r>
      <w:r w:rsidRPr="00947AF5">
        <w:t>be</w:t>
      </w:r>
      <w:r w:rsidRPr="00B139CA">
        <w:t xml:space="preserve"> used to generate population estimates, for</w:t>
      </w:r>
      <w:r w:rsidR="004D548C">
        <w:t xml:space="preserve"> either</w:t>
      </w:r>
      <w:r w:rsidRPr="00B139CA">
        <w:t xml:space="preserve"> internal use or dissemination.</w:t>
      </w:r>
    </w:p>
    <w:p w:rsidRPr="00F24397" w:rsidR="007B6CA2" w:rsidP="005E7345" w:rsidRDefault="00901040" w14:paraId="47D35F1B" w14:textId="341F41A8">
      <w:pPr>
        <w:pStyle w:val="Heading2A"/>
        <w:keepNext/>
        <w:keepLines/>
        <w:ind w:left="547" w:hanging="547"/>
      </w:pPr>
      <w:r w:rsidRPr="00F24397">
        <w:lastRenderedPageBreak/>
        <w:t xml:space="preserve">B7. </w:t>
      </w:r>
      <w:r w:rsidR="00DF317C">
        <w:tab/>
      </w:r>
      <w:r w:rsidRPr="00F24397">
        <w:t xml:space="preserve">Data </w:t>
      </w:r>
      <w:r w:rsidRPr="00F24397" w:rsidR="00EB6134">
        <w:t xml:space="preserve">Handling and </w:t>
      </w:r>
      <w:r w:rsidRPr="00F24397" w:rsidR="007B6CA2">
        <w:t>Analysis</w:t>
      </w:r>
    </w:p>
    <w:p w:rsidRPr="00F24397" w:rsidR="007B6CA2" w:rsidP="00426E2F" w:rsidRDefault="007B6CA2" w14:paraId="0FB9DBDE" w14:textId="04F8F6DD">
      <w:pPr>
        <w:pStyle w:val="Heading3A"/>
        <w:keepNext/>
        <w:keepLines/>
        <w:spacing w:after="60"/>
      </w:pPr>
      <w:r w:rsidRPr="00F24397">
        <w:t>Data Handling</w:t>
      </w:r>
    </w:p>
    <w:p w:rsidR="009E6687" w:rsidP="00726AD2" w:rsidRDefault="009E6687" w14:paraId="36541AA7" w14:textId="16F8CAF9">
      <w:pPr>
        <w:spacing w:after="240" w:line="240" w:lineRule="auto"/>
      </w:pPr>
      <w:r w:rsidRPr="00947AF5">
        <w:t>Screener data will be shared</w:t>
      </w:r>
      <w:r>
        <w:t xml:space="preserve"> by the vendor</w:t>
      </w:r>
      <w:r w:rsidR="0015642B">
        <w:t>s</w:t>
      </w:r>
      <w:r w:rsidRPr="00947AF5">
        <w:t xml:space="preserve"> with the</w:t>
      </w:r>
      <w:r>
        <w:t xml:space="preserve"> Mathematica</w:t>
      </w:r>
      <w:r w:rsidRPr="00947AF5">
        <w:t xml:space="preserve"> </w:t>
      </w:r>
      <w:r>
        <w:t>research</w:t>
      </w:r>
      <w:r w:rsidRPr="00947AF5">
        <w:t xml:space="preserve"> team via a secure file transfer site</w:t>
      </w:r>
      <w:r>
        <w:t xml:space="preserve"> during recruitment</w:t>
      </w:r>
      <w:r w:rsidRPr="00947AF5">
        <w:t>.</w:t>
      </w:r>
      <w:r w:rsidR="003B6DA6">
        <w:t xml:space="preserve"> There will not be any PII included in the data, all participants will be identified by a unique ID number. </w:t>
      </w:r>
      <w:r w:rsidR="00C035D0">
        <w:t>The vendor data will include the screener data for each participant</w:t>
      </w:r>
      <w:r w:rsidR="009B67D1">
        <w:t xml:space="preserve">. </w:t>
      </w:r>
      <w:r>
        <w:t>The data will be shared through an advanced file exchange website that users access using individual usernames and passwords.</w:t>
      </w:r>
    </w:p>
    <w:p w:rsidRPr="00C444F4" w:rsidR="00054AF7" w:rsidP="00726AD2" w:rsidRDefault="00054AF7" w14:paraId="20BD3C66" w14:textId="26DAE371">
      <w:pPr>
        <w:spacing w:after="240" w:line="240" w:lineRule="auto"/>
      </w:pPr>
      <w:r w:rsidRPr="00C444F4">
        <w:t>Interview data retrieved from QualBoard will be saved on a secure drive accessible</w:t>
      </w:r>
      <w:r w:rsidR="00025646">
        <w:t xml:space="preserve"> only</w:t>
      </w:r>
      <w:r w:rsidRPr="00C444F4">
        <w:t xml:space="preserve"> to </w:t>
      </w:r>
      <w:r w:rsidR="004E3DDE">
        <w:t xml:space="preserve">the </w:t>
      </w:r>
      <w:r w:rsidRPr="00C444F4">
        <w:t xml:space="preserve">Mathematica </w:t>
      </w:r>
      <w:r w:rsidR="00726AD2">
        <w:t>research</w:t>
      </w:r>
      <w:r w:rsidRPr="00C444F4">
        <w:t xml:space="preserve"> team. Direct export of the Qual</w:t>
      </w:r>
      <w:r w:rsidRPr="00C444F4" w:rsidR="004D0BEF">
        <w:t>B</w:t>
      </w:r>
      <w:r w:rsidRPr="00C444F4">
        <w:t xml:space="preserve">oard data to the secure drive will result in minimal processing. </w:t>
      </w:r>
      <w:r w:rsidR="00EE19D3">
        <w:t>Interviewers</w:t>
      </w:r>
      <w:r w:rsidRPr="00C444F4">
        <w:t xml:space="preserve"> will review transcripts to </w:t>
      </w:r>
      <w:r w:rsidR="00025646">
        <w:t>correct</w:t>
      </w:r>
      <w:r w:rsidRPr="00C444F4">
        <w:t xml:space="preserve"> spelling and grammar e</w:t>
      </w:r>
      <w:r w:rsidR="00362843">
        <w:t>rror</w:t>
      </w:r>
      <w:r w:rsidRPr="00C444F4">
        <w:t>s, fill in missing words, and explain unclear terms or phrases in preparation for qualitative coding and analysis.</w:t>
      </w:r>
    </w:p>
    <w:p w:rsidRPr="00726AD2" w:rsidR="007B6CA2" w:rsidP="005E7345" w:rsidRDefault="007B6CA2" w14:paraId="4B58405D" w14:textId="784AF053">
      <w:pPr>
        <w:pStyle w:val="Heading3A"/>
        <w:keepNext/>
        <w:keepLines/>
        <w:spacing w:after="60"/>
        <w:rPr>
          <w:i w:val="0"/>
          <w:iCs/>
        </w:rPr>
      </w:pPr>
      <w:r w:rsidRPr="00726AD2">
        <w:rPr>
          <w:iCs/>
        </w:rPr>
        <w:t xml:space="preserve">Data </w:t>
      </w:r>
      <w:r w:rsidRPr="005E7345">
        <w:t>Analysis</w:t>
      </w:r>
    </w:p>
    <w:p w:rsidR="00054AF7" w:rsidP="00C444F4" w:rsidRDefault="00446FC7" w14:paraId="78E5FD61" w14:textId="3B138630">
      <w:pPr>
        <w:spacing w:after="240" w:line="240" w:lineRule="auto"/>
      </w:pPr>
      <w:r>
        <w:t>The research team will review the q</w:t>
      </w:r>
      <w:r w:rsidRPr="00C444F4" w:rsidR="00054AF7">
        <w:t xml:space="preserve">ualitative interview transcripts for overarching themes and lessons across each of the key topics explored through the </w:t>
      </w:r>
      <w:r w:rsidR="007F0859">
        <w:t xml:space="preserve">virtual </w:t>
      </w:r>
      <w:r w:rsidR="00950EFA">
        <w:t>asynchronous</w:t>
      </w:r>
      <w:r w:rsidRPr="00C444F4" w:rsidR="00950EFA">
        <w:t xml:space="preserve"> </w:t>
      </w:r>
      <w:r w:rsidRPr="00C444F4" w:rsidR="00054AF7">
        <w:t>discussions.</w:t>
      </w:r>
      <w:r w:rsidR="00C444F4">
        <w:t xml:space="preserve"> </w:t>
      </w:r>
      <w:r w:rsidR="00362843">
        <w:t>The</w:t>
      </w:r>
      <w:r w:rsidR="0028148D">
        <w:t xml:space="preserve"> Mathematica</w:t>
      </w:r>
      <w:r w:rsidR="00362843">
        <w:t xml:space="preserve"> research team will develop a</w:t>
      </w:r>
      <w:r w:rsidR="00572D7F">
        <w:t xml:space="preserve"> coding scheme </w:t>
      </w:r>
      <w:r w:rsidR="00054AF7">
        <w:t xml:space="preserve">based on the research objectives and interview topics </w:t>
      </w:r>
      <w:r w:rsidR="00947518">
        <w:t>for application</w:t>
      </w:r>
      <w:r w:rsidR="00054AF7">
        <w:t xml:space="preserve"> to the transcripts by the team </w:t>
      </w:r>
      <w:r w:rsidR="00726AD2">
        <w:t xml:space="preserve">of interviewers </w:t>
      </w:r>
      <w:r w:rsidR="00054AF7">
        <w:t xml:space="preserve">that moderated the discussions. The task lead for the interviews will monitor the coding across the team to ensure accuracy and consistency. </w:t>
      </w:r>
    </w:p>
    <w:p w:rsidRPr="00CE1148" w:rsidR="007B6CA2" w:rsidP="0047313D" w:rsidRDefault="007B6CA2" w14:paraId="6115EDAE" w14:textId="3C13529D">
      <w:pPr>
        <w:spacing w:after="60"/>
        <w:rPr>
          <w:i/>
          <w:iCs/>
        </w:rPr>
      </w:pPr>
      <w:r w:rsidRPr="00CE1148">
        <w:rPr>
          <w:i/>
          <w:iCs/>
        </w:rPr>
        <w:t>Data Use</w:t>
      </w:r>
    </w:p>
    <w:p w:rsidRPr="00947AF5" w:rsidR="00BB2925" w:rsidP="004466E3" w:rsidRDefault="007A61A6" w14:paraId="68A82357" w14:textId="2B965306">
      <w:pPr>
        <w:spacing w:after="240" w:line="240" w:lineRule="auto"/>
      </w:pPr>
      <w:r w:rsidRPr="00947AF5">
        <w:t xml:space="preserve">The </w:t>
      </w:r>
      <w:r w:rsidRPr="00947AF5" w:rsidR="00054AF7">
        <w:t>interview</w:t>
      </w:r>
      <w:r w:rsidRPr="00947AF5">
        <w:t xml:space="preserve"> data will help </w:t>
      </w:r>
      <w:r w:rsidR="00FA0877">
        <w:t xml:space="preserve">provide ACF with a </w:t>
      </w:r>
      <w:r w:rsidR="00D61F6A">
        <w:t>full</w:t>
      </w:r>
      <w:r w:rsidR="00FA0877">
        <w:t xml:space="preserve">er understanding of the success sequence </w:t>
      </w:r>
      <w:r w:rsidR="007F279B">
        <w:t>by uncovering</w:t>
      </w:r>
      <w:r w:rsidR="00FA0877">
        <w:t xml:space="preserve"> what factors may be associated with economic self-sufficiency. ACF can use th</w:t>
      </w:r>
      <w:r w:rsidR="00A42BB4">
        <w:t>e</w:t>
      </w:r>
      <w:r w:rsidR="00FA0877">
        <w:t xml:space="preserve"> information to </w:t>
      </w:r>
      <w:r w:rsidR="00A42BB4">
        <w:t xml:space="preserve">guide </w:t>
      </w:r>
      <w:r w:rsidR="00807696">
        <w:t xml:space="preserve">current success sequence </w:t>
      </w:r>
      <w:r w:rsidR="00FA0877">
        <w:t>program</w:t>
      </w:r>
      <w:r w:rsidR="00807696">
        <w:t>ming</w:t>
      </w:r>
      <w:r w:rsidR="008B4748">
        <w:t>,</w:t>
      </w:r>
      <w:r w:rsidR="00FA0877">
        <w:t xml:space="preserve"> </w:t>
      </w:r>
      <w:r w:rsidR="00A42BB4">
        <w:t>introducin</w:t>
      </w:r>
      <w:r w:rsidR="00E145DC">
        <w:t>g</w:t>
      </w:r>
      <w:r w:rsidR="00FA0877">
        <w:t xml:space="preserve"> content and strategies that </w:t>
      </w:r>
      <w:r w:rsidR="00807696">
        <w:t xml:space="preserve">can </w:t>
      </w:r>
      <w:r w:rsidR="00FA0877">
        <w:t xml:space="preserve">best </w:t>
      </w:r>
      <w:r w:rsidRPr="00257378" w:rsidR="00FA0877">
        <w:t>resonate with youth</w:t>
      </w:r>
      <w:r w:rsidR="00F26A15">
        <w:t xml:space="preserve"> and</w:t>
      </w:r>
      <w:r w:rsidRPr="00947AF5">
        <w:t xml:space="preserve"> allow</w:t>
      </w:r>
      <w:r w:rsidR="00E145DC">
        <w:t>ing</w:t>
      </w:r>
      <w:r w:rsidRPr="00947AF5">
        <w:t xml:space="preserve"> ACF to </w:t>
      </w:r>
      <w:r w:rsidR="004A5932">
        <w:t xml:space="preserve">provide updated guidance to </w:t>
      </w:r>
      <w:r w:rsidRPr="00947AF5">
        <w:t xml:space="preserve">SRAE grantees </w:t>
      </w:r>
      <w:r w:rsidR="00FA0877">
        <w:t>as they work to incorporate the success sequence into their programs</w:t>
      </w:r>
      <w:r w:rsidRPr="00947AF5">
        <w:t xml:space="preserve">. </w:t>
      </w:r>
      <w:r w:rsidRPr="00947AF5" w:rsidR="0017451F">
        <w:t>As noted in</w:t>
      </w:r>
      <w:r w:rsidR="00081217">
        <w:t xml:space="preserve"> Supporting Statement Part A,</w:t>
      </w:r>
      <w:r w:rsidRPr="00947AF5" w:rsidR="0017451F">
        <w:t xml:space="preserve"> ACF will develop a memo</w:t>
      </w:r>
      <w:r w:rsidR="00E145DC">
        <w:t>randum</w:t>
      </w:r>
      <w:r w:rsidRPr="00947AF5" w:rsidR="0017451F">
        <w:t xml:space="preserve"> that summarizes key themes and lessons</w:t>
      </w:r>
      <w:r w:rsidR="00F750B0">
        <w:t xml:space="preserve">, </w:t>
      </w:r>
      <w:r w:rsidR="00FA0877">
        <w:t>includ</w:t>
      </w:r>
      <w:r w:rsidR="00F750B0">
        <w:t>ing</w:t>
      </w:r>
      <w:r w:rsidR="00FA0877">
        <w:t xml:space="preserve"> a description of the study methods a</w:t>
      </w:r>
      <w:r w:rsidR="00C505FF">
        <w:t>nd</w:t>
      </w:r>
      <w:r w:rsidR="00F26A15">
        <w:t xml:space="preserve"> of</w:t>
      </w:r>
      <w:r w:rsidR="00FA0877">
        <w:t xml:space="preserve"> the limitations regarding generalizability and policy decisions</w:t>
      </w:r>
      <w:r w:rsidRPr="00947AF5" w:rsidR="00C9756C">
        <w:t xml:space="preserve">. </w:t>
      </w:r>
      <w:r w:rsidRPr="00F60029" w:rsidR="00F60029">
        <w:t>We may also develop a public</w:t>
      </w:r>
      <w:r w:rsidR="00E145DC">
        <w:t>-</w:t>
      </w:r>
      <w:r w:rsidRPr="00F60029" w:rsidR="00F60029">
        <w:t xml:space="preserve">facing document </w:t>
      </w:r>
      <w:r w:rsidR="00A57C93">
        <w:t>that will make our</w:t>
      </w:r>
      <w:r w:rsidRPr="00F60029" w:rsidR="00F60029">
        <w:t xml:space="preserve"> findings </w:t>
      </w:r>
      <w:r w:rsidR="00A57C93">
        <w:t>available to</w:t>
      </w:r>
      <w:r w:rsidRPr="00F60029" w:rsidR="00F60029">
        <w:t xml:space="preserve"> </w:t>
      </w:r>
      <w:r w:rsidR="00B14290">
        <w:t xml:space="preserve">grantees or </w:t>
      </w:r>
      <w:r w:rsidRPr="00F60029" w:rsidR="00F60029">
        <w:t>stakeholders</w:t>
      </w:r>
      <w:r w:rsidR="002D0970">
        <w:t xml:space="preserve">, as the findings may indicate new or differing ideas on </w:t>
      </w:r>
      <w:r w:rsidR="00F245F4">
        <w:t xml:space="preserve">factors related to order the milestones are achieved and the relationship to economic self-sufficiency </w:t>
      </w:r>
      <w:r w:rsidR="002D0970">
        <w:t xml:space="preserve">, shaping and improving grantees’ </w:t>
      </w:r>
      <w:r w:rsidR="00F245F4">
        <w:t>understanding</w:t>
      </w:r>
      <w:r w:rsidR="002D0970">
        <w:t xml:space="preserve"> </w:t>
      </w:r>
      <w:r w:rsidR="00F245F4">
        <w:t>of</w:t>
      </w:r>
      <w:r w:rsidR="002D0970">
        <w:t xml:space="preserve"> </w:t>
      </w:r>
      <w:r w:rsidR="00F245F4">
        <w:t>promising pathways for youth</w:t>
      </w:r>
      <w:r w:rsidR="00C035D0">
        <w:t>.</w:t>
      </w:r>
      <w:r w:rsidR="00FC08CD">
        <w:t xml:space="preserve"> </w:t>
      </w:r>
      <w:r w:rsidR="00C035D0">
        <w:t>A</w:t>
      </w:r>
      <w:r w:rsidRPr="00F60029" w:rsidR="00F60029">
        <w:t>ny shared information will include a discussion of the limitations (see</w:t>
      </w:r>
      <w:r w:rsidR="00334339">
        <w:t xml:space="preserve"> Supporting Statement Part A, Section</w:t>
      </w:r>
      <w:r w:rsidRPr="00F60029" w:rsidR="00F60029">
        <w:t xml:space="preserve"> A2) and </w:t>
      </w:r>
      <w:r w:rsidR="001A5E8C">
        <w:t>guidance</w:t>
      </w:r>
      <w:r w:rsidRPr="00F60029" w:rsidR="00F60029">
        <w:t xml:space="preserve"> on how </w:t>
      </w:r>
      <w:r w:rsidR="00FC08CD">
        <w:t>the information</w:t>
      </w:r>
      <w:r w:rsidRPr="00F60029" w:rsidR="00F60029">
        <w:t xml:space="preserve"> should be used and interpreted.</w:t>
      </w:r>
    </w:p>
    <w:p w:rsidRPr="00F24397" w:rsidR="00901040" w:rsidP="00F24397" w:rsidRDefault="007B6FFF" w14:paraId="69EFFF84" w14:textId="4F10A762">
      <w:pPr>
        <w:pStyle w:val="Heading2A"/>
      </w:pPr>
      <w:r w:rsidRPr="00F24397">
        <w:t>B8.</w:t>
      </w:r>
      <w:r w:rsidR="00DF317C">
        <w:tab/>
      </w:r>
      <w:r w:rsidRPr="00F24397">
        <w:t>Contact Persons</w:t>
      </w:r>
    </w:p>
    <w:p w:rsidRPr="00947AF5" w:rsidR="00D7219C" w:rsidP="00875DA0" w:rsidRDefault="00A57C93" w14:paraId="43671A45" w14:textId="03E17EA8">
      <w:pPr>
        <w:spacing w:after="240" w:line="240" w:lineRule="auto"/>
      </w:pPr>
      <w:r>
        <w:t xml:space="preserve">In </w:t>
      </w:r>
      <w:r w:rsidRPr="00947AF5" w:rsidR="00D7219C">
        <w:t>Table B</w:t>
      </w:r>
      <w:r w:rsidR="00334339">
        <w:t>.1</w:t>
      </w:r>
      <w:r>
        <w:t>, we</w:t>
      </w:r>
      <w:r w:rsidRPr="00947AF5" w:rsidR="00D7219C">
        <w:t xml:space="preserve"> list the federal and contract staff responsible for the study, including each individual’s affiliation and email address.</w:t>
      </w:r>
    </w:p>
    <w:p w:rsidRPr="00F24397" w:rsidR="00D7219C" w:rsidP="00875DA0" w:rsidRDefault="00D7219C" w14:paraId="4C8A4F71" w14:textId="7901DC65">
      <w:pPr>
        <w:pStyle w:val="Heading2A"/>
        <w:spacing w:before="40" w:after="40"/>
        <w:ind w:left="547" w:hanging="547"/>
      </w:pPr>
      <w:r w:rsidRPr="00F24397">
        <w:t>Table B</w:t>
      </w:r>
      <w:r w:rsidR="00334339">
        <w:t>.1</w:t>
      </w:r>
      <w:r w:rsidRPr="00F24397">
        <w:t xml:space="preserve">. Individuals Responsible for </w:t>
      </w:r>
      <w:r w:rsidRPr="00F24397" w:rsidR="001000B0">
        <w:t>Study</w:t>
      </w:r>
    </w:p>
    <w:tbl>
      <w:tblPr>
        <w:tblW w:w="9355" w:type="dxa"/>
        <w:tblLayout w:type="fixed"/>
        <w:tblLook w:val="0400" w:firstRow="0" w:lastRow="0" w:firstColumn="0" w:lastColumn="0" w:noHBand="0" w:noVBand="1"/>
      </w:tblPr>
      <w:tblGrid>
        <w:gridCol w:w="2066"/>
        <w:gridCol w:w="4232"/>
        <w:gridCol w:w="3057"/>
      </w:tblGrid>
      <w:tr w:rsidRPr="00E30D62" w:rsidR="009E6687" w:rsidTr="009E6687" w14:paraId="03550951" w14:textId="77777777">
        <w:tc>
          <w:tcPr>
            <w:tcW w:w="2066" w:type="dxa"/>
            <w:shd w:val="clear" w:color="auto" w:fill="1F497D" w:themeFill="text2"/>
          </w:tcPr>
          <w:p w:rsidRPr="00E30D62" w:rsidR="009E6687" w:rsidP="00675A69" w:rsidRDefault="009E6687" w14:paraId="5E312710" w14:textId="77777777">
            <w:pPr>
              <w:pStyle w:val="TableHeaderCenter"/>
              <w:jc w:val="left"/>
              <w:rPr>
                <w:rFonts w:eastAsia="Times New Roman"/>
                <w:b/>
                <w:bCs/>
              </w:rPr>
            </w:pPr>
            <w:r w:rsidRPr="00E30D62">
              <w:rPr>
                <w:rFonts w:eastAsia="Times New Roman"/>
                <w:b/>
                <w:bCs/>
              </w:rPr>
              <w:t>Name</w:t>
            </w:r>
          </w:p>
        </w:tc>
        <w:tc>
          <w:tcPr>
            <w:tcW w:w="4232" w:type="dxa"/>
            <w:shd w:val="clear" w:color="auto" w:fill="1F497D" w:themeFill="text2"/>
          </w:tcPr>
          <w:p w:rsidRPr="00E30D62" w:rsidR="009E6687" w:rsidP="00675A69" w:rsidRDefault="009E6687" w14:paraId="1EB47824" w14:textId="77777777">
            <w:pPr>
              <w:pStyle w:val="TableHeaderCenter"/>
              <w:rPr>
                <w:rFonts w:eastAsia="Times New Roman"/>
                <w:b/>
                <w:bCs/>
              </w:rPr>
            </w:pPr>
            <w:r w:rsidRPr="00E30D62">
              <w:rPr>
                <w:rFonts w:eastAsia="Times New Roman"/>
                <w:b/>
                <w:bCs/>
              </w:rPr>
              <w:t>Affiliation</w:t>
            </w:r>
          </w:p>
        </w:tc>
        <w:tc>
          <w:tcPr>
            <w:tcW w:w="3057" w:type="dxa"/>
            <w:shd w:val="clear" w:color="auto" w:fill="1F497D" w:themeFill="text2"/>
          </w:tcPr>
          <w:p w:rsidRPr="00E30D62" w:rsidR="009E6687" w:rsidP="00675A69" w:rsidRDefault="009E6687" w14:paraId="0C71C311" w14:textId="77777777">
            <w:pPr>
              <w:pStyle w:val="TableHeaderCenter"/>
              <w:rPr>
                <w:rFonts w:eastAsia="Times New Roman"/>
                <w:b/>
                <w:bCs/>
              </w:rPr>
            </w:pPr>
            <w:r w:rsidRPr="00E30D62">
              <w:rPr>
                <w:rFonts w:eastAsia="Times New Roman"/>
                <w:b/>
                <w:bCs/>
              </w:rPr>
              <w:t>Email address</w:t>
            </w:r>
          </w:p>
        </w:tc>
      </w:tr>
      <w:tr w:rsidRPr="00B139CA" w:rsidR="009E6687" w:rsidTr="009E6687" w14:paraId="5A63814F" w14:textId="77777777">
        <w:trPr>
          <w:trHeight w:val="20"/>
        </w:trPr>
        <w:tc>
          <w:tcPr>
            <w:tcW w:w="2066" w:type="dxa"/>
            <w:tcBorders>
              <w:bottom w:val="single" w:color="1F497D" w:themeColor="text2" w:sz="4" w:space="0"/>
            </w:tcBorders>
            <w:shd w:val="clear" w:color="auto" w:fill="auto"/>
          </w:tcPr>
          <w:p w:rsidRPr="00A07AEA" w:rsidR="009E6687" w:rsidP="00675A69" w:rsidRDefault="009E6687" w14:paraId="70532D5B" w14:textId="77777777">
            <w:pPr>
              <w:pStyle w:val="TableTextLeft"/>
              <w:rPr>
                <w:rFonts w:eastAsia="Times New Roman"/>
              </w:rPr>
            </w:pPr>
            <w:r w:rsidRPr="00A07AEA">
              <w:rPr>
                <w:rFonts w:eastAsia="Times New Roman"/>
              </w:rPr>
              <w:t>Caryn Blitz</w:t>
            </w:r>
          </w:p>
        </w:tc>
        <w:tc>
          <w:tcPr>
            <w:tcW w:w="4232" w:type="dxa"/>
            <w:tcBorders>
              <w:bottom w:val="single" w:color="1F497D" w:themeColor="text2" w:sz="4" w:space="0"/>
            </w:tcBorders>
            <w:shd w:val="clear" w:color="auto" w:fill="auto"/>
          </w:tcPr>
          <w:p w:rsidRPr="00A07AEA" w:rsidR="009E6687" w:rsidP="00675A69" w:rsidRDefault="009E6687" w14:paraId="42000076" w14:textId="77777777">
            <w:pPr>
              <w:pStyle w:val="TableTextLeft"/>
              <w:rPr>
                <w:rFonts w:eastAsia="Times New Roman"/>
              </w:rPr>
            </w:pPr>
            <w:r w:rsidRPr="00A07AEA">
              <w:rPr>
                <w:rFonts w:eastAsia="Times New Roman"/>
              </w:rPr>
              <w:t>Office of Planning, Research, and Evaluation</w:t>
            </w:r>
          </w:p>
          <w:p w:rsidRPr="00A07AEA" w:rsidR="009E6687" w:rsidP="00675A69" w:rsidRDefault="009E6687" w14:paraId="151E77C6" w14:textId="77777777">
            <w:pPr>
              <w:pStyle w:val="TableTextLeft"/>
              <w:rPr>
                <w:rFonts w:eastAsia="Times New Roman"/>
              </w:rPr>
            </w:pPr>
            <w:r w:rsidRPr="00A07AEA">
              <w:rPr>
                <w:rFonts w:eastAsia="Times New Roman"/>
              </w:rPr>
              <w:t>Administration for Children and Families</w:t>
            </w:r>
          </w:p>
          <w:p w:rsidRPr="00A07AEA" w:rsidR="009E6687" w:rsidP="00675A69" w:rsidRDefault="009E6687" w14:paraId="4CE5B6A7" w14:textId="77777777">
            <w:pPr>
              <w:pStyle w:val="TableTextLeft"/>
              <w:rPr>
                <w:rFonts w:eastAsia="Times New Roman"/>
              </w:rPr>
            </w:pPr>
            <w:r w:rsidRPr="00A07AEA">
              <w:rPr>
                <w:rFonts w:eastAsia="Times New Roman"/>
              </w:rPr>
              <w:t>U.S. Department of Health and Human Services</w:t>
            </w:r>
          </w:p>
        </w:tc>
        <w:tc>
          <w:tcPr>
            <w:tcW w:w="3057" w:type="dxa"/>
            <w:tcBorders>
              <w:bottom w:val="single" w:color="1F497D" w:themeColor="text2" w:sz="4" w:space="0"/>
            </w:tcBorders>
          </w:tcPr>
          <w:p w:rsidRPr="00A07AEA" w:rsidR="009E6687" w:rsidP="00675A69" w:rsidRDefault="009E6687" w14:paraId="239D08B3" w14:textId="77777777">
            <w:pPr>
              <w:pStyle w:val="TableTextLeft"/>
              <w:rPr>
                <w:rFonts w:eastAsia="Times New Roman"/>
              </w:rPr>
            </w:pPr>
            <w:r w:rsidRPr="00A07AEA">
              <w:rPr>
                <w:rFonts w:eastAsia="Times New Roman"/>
              </w:rPr>
              <w:t>Caryn.Blitz@acf.hhs.gov</w:t>
            </w:r>
          </w:p>
        </w:tc>
      </w:tr>
      <w:tr w:rsidRPr="00B139CA" w:rsidR="009E6687" w:rsidTr="009E6687" w14:paraId="2BAF099D" w14:textId="77777777">
        <w:trPr>
          <w:trHeight w:val="20"/>
        </w:trPr>
        <w:tc>
          <w:tcPr>
            <w:tcW w:w="2066" w:type="dxa"/>
            <w:tcBorders>
              <w:top w:val="single" w:color="1F497D" w:themeColor="text2" w:sz="4" w:space="0"/>
              <w:bottom w:val="single" w:color="1F497D" w:themeColor="text2" w:sz="4" w:space="0"/>
            </w:tcBorders>
            <w:shd w:val="clear" w:color="auto" w:fill="auto"/>
          </w:tcPr>
          <w:p w:rsidRPr="00A07AEA" w:rsidR="009E6687" w:rsidP="00675A69" w:rsidRDefault="009E6687" w14:paraId="36649C13" w14:textId="77777777">
            <w:pPr>
              <w:pStyle w:val="TableTextLeft"/>
              <w:rPr>
                <w:rFonts w:eastAsia="Times New Roman"/>
              </w:rPr>
            </w:pPr>
            <w:r w:rsidRPr="00A07AEA">
              <w:rPr>
                <w:rFonts w:eastAsia="Times New Roman"/>
              </w:rPr>
              <w:t>Kathleen McCoy</w:t>
            </w:r>
          </w:p>
        </w:tc>
        <w:tc>
          <w:tcPr>
            <w:tcW w:w="4232" w:type="dxa"/>
            <w:tcBorders>
              <w:top w:val="single" w:color="1F497D" w:themeColor="text2" w:sz="4" w:space="0"/>
              <w:bottom w:val="single" w:color="1F497D" w:themeColor="text2" w:sz="4" w:space="0"/>
            </w:tcBorders>
            <w:shd w:val="clear" w:color="auto" w:fill="auto"/>
          </w:tcPr>
          <w:p w:rsidRPr="00A07AEA" w:rsidR="009E6687" w:rsidP="00675A69" w:rsidRDefault="009E6687" w14:paraId="4CC45FB7" w14:textId="77777777">
            <w:pPr>
              <w:pStyle w:val="TableTextLeft"/>
              <w:rPr>
                <w:rFonts w:eastAsia="Times New Roman"/>
              </w:rPr>
            </w:pPr>
            <w:r w:rsidRPr="00A07AEA">
              <w:rPr>
                <w:rFonts w:eastAsia="Times New Roman"/>
              </w:rPr>
              <w:t>VPD Government Solutions Office of Planning, Research, and Evaluation</w:t>
            </w:r>
          </w:p>
          <w:p w:rsidRPr="00A07AEA" w:rsidR="009E6687" w:rsidP="00675A69" w:rsidRDefault="009E6687" w14:paraId="2498CF04" w14:textId="77777777">
            <w:pPr>
              <w:pStyle w:val="TableTextLeft"/>
              <w:rPr>
                <w:rFonts w:eastAsia="Times New Roman"/>
              </w:rPr>
            </w:pPr>
            <w:r w:rsidRPr="00A07AEA">
              <w:rPr>
                <w:rFonts w:eastAsia="Times New Roman"/>
              </w:rPr>
              <w:lastRenderedPageBreak/>
              <w:t>Administration for Children and Families</w:t>
            </w:r>
          </w:p>
          <w:p w:rsidRPr="00A07AEA" w:rsidR="009E6687" w:rsidP="00675A69" w:rsidRDefault="009E6687" w14:paraId="154A96A3" w14:textId="77777777">
            <w:pPr>
              <w:pStyle w:val="TableTextLeft"/>
              <w:rPr>
                <w:rFonts w:eastAsia="Times New Roman"/>
              </w:rPr>
            </w:pPr>
            <w:r w:rsidRPr="00A07AEA">
              <w:rPr>
                <w:rFonts w:eastAsia="Times New Roman"/>
              </w:rPr>
              <w:t>U.S. Department of Health and Human Services</w:t>
            </w:r>
          </w:p>
        </w:tc>
        <w:tc>
          <w:tcPr>
            <w:tcW w:w="3057" w:type="dxa"/>
            <w:tcBorders>
              <w:top w:val="single" w:color="1F497D" w:themeColor="text2" w:sz="4" w:space="0"/>
              <w:bottom w:val="single" w:color="1F497D" w:themeColor="text2" w:sz="4" w:space="0"/>
            </w:tcBorders>
          </w:tcPr>
          <w:p w:rsidRPr="00A07AEA" w:rsidR="009E6687" w:rsidP="00675A69" w:rsidRDefault="009E6687" w14:paraId="698197F2" w14:textId="77777777">
            <w:pPr>
              <w:pStyle w:val="TableTextLeft"/>
              <w:rPr>
                <w:rFonts w:eastAsia="Times New Roman"/>
              </w:rPr>
            </w:pPr>
            <w:r w:rsidRPr="00A07AEA">
              <w:rPr>
                <w:rFonts w:eastAsia="Times New Roman"/>
              </w:rPr>
              <w:lastRenderedPageBreak/>
              <w:t>Kathleen.McCoy@acf.hhs.gov</w:t>
            </w:r>
          </w:p>
        </w:tc>
      </w:tr>
      <w:tr w:rsidRPr="00B139CA" w:rsidR="009E6687" w:rsidTr="009E6687" w14:paraId="14461508" w14:textId="77777777">
        <w:trPr>
          <w:trHeight w:val="20"/>
        </w:trPr>
        <w:tc>
          <w:tcPr>
            <w:tcW w:w="2066" w:type="dxa"/>
            <w:tcBorders>
              <w:top w:val="single" w:color="1F497D" w:themeColor="text2" w:sz="4" w:space="0"/>
              <w:bottom w:val="single" w:color="1F497D" w:themeColor="text2" w:sz="4" w:space="0"/>
            </w:tcBorders>
            <w:shd w:val="clear" w:color="auto" w:fill="auto"/>
          </w:tcPr>
          <w:p w:rsidRPr="00A07AEA" w:rsidR="009E6687" w:rsidP="00675A69" w:rsidRDefault="009E6687" w14:paraId="751098AF" w14:textId="77777777">
            <w:pPr>
              <w:pStyle w:val="TableTextLeft"/>
              <w:rPr>
                <w:rFonts w:eastAsia="Times New Roman"/>
              </w:rPr>
            </w:pPr>
            <w:r w:rsidRPr="00A07AEA">
              <w:rPr>
                <w:rFonts w:eastAsia="Times New Roman"/>
              </w:rPr>
              <w:t>Susan Zief</w:t>
            </w:r>
          </w:p>
        </w:tc>
        <w:tc>
          <w:tcPr>
            <w:tcW w:w="4232" w:type="dxa"/>
            <w:tcBorders>
              <w:top w:val="single" w:color="1F497D" w:themeColor="text2" w:sz="4" w:space="0"/>
              <w:bottom w:val="single" w:color="1F497D" w:themeColor="text2" w:sz="4" w:space="0"/>
            </w:tcBorders>
            <w:shd w:val="clear" w:color="auto" w:fill="auto"/>
          </w:tcPr>
          <w:p w:rsidRPr="00A07AEA" w:rsidR="009E6687" w:rsidP="00675A69" w:rsidRDefault="009E6687" w14:paraId="18BE6AD0" w14:textId="77777777">
            <w:pPr>
              <w:pStyle w:val="TableTextLeft"/>
              <w:rPr>
                <w:rFonts w:eastAsia="Times New Roman"/>
              </w:rPr>
            </w:pPr>
            <w:r w:rsidRPr="00A07AEA">
              <w:rPr>
                <w:rFonts w:eastAsia="Times New Roman"/>
              </w:rPr>
              <w:t>Mathematica</w:t>
            </w:r>
          </w:p>
        </w:tc>
        <w:tc>
          <w:tcPr>
            <w:tcW w:w="3057" w:type="dxa"/>
            <w:tcBorders>
              <w:top w:val="single" w:color="1F497D" w:themeColor="text2" w:sz="4" w:space="0"/>
              <w:bottom w:val="single" w:color="1F497D" w:themeColor="text2" w:sz="4" w:space="0"/>
            </w:tcBorders>
          </w:tcPr>
          <w:p w:rsidRPr="00A07AEA" w:rsidR="009E6687" w:rsidP="00675A69" w:rsidRDefault="009E6687" w14:paraId="5C145D24" w14:textId="77777777">
            <w:pPr>
              <w:pStyle w:val="TableTextLeft"/>
              <w:rPr>
                <w:rFonts w:eastAsia="Times New Roman"/>
              </w:rPr>
            </w:pPr>
            <w:r w:rsidRPr="00A07AEA">
              <w:rPr>
                <w:rFonts w:eastAsia="Times New Roman"/>
              </w:rPr>
              <w:t>SZief@mathematica-mpr.com</w:t>
            </w:r>
          </w:p>
        </w:tc>
      </w:tr>
      <w:tr w:rsidRPr="00B139CA" w:rsidR="009E6687" w:rsidTr="009E6687" w14:paraId="5D838C20" w14:textId="77777777">
        <w:trPr>
          <w:trHeight w:val="20"/>
        </w:trPr>
        <w:tc>
          <w:tcPr>
            <w:tcW w:w="2066" w:type="dxa"/>
            <w:tcBorders>
              <w:top w:val="single" w:color="1F497D" w:themeColor="text2" w:sz="4" w:space="0"/>
              <w:bottom w:val="single" w:color="1F497D" w:themeColor="text2" w:sz="4" w:space="0"/>
            </w:tcBorders>
            <w:shd w:val="clear" w:color="auto" w:fill="auto"/>
          </w:tcPr>
          <w:p w:rsidRPr="00A07AEA" w:rsidR="009E6687" w:rsidP="00675A69" w:rsidRDefault="009E6687" w14:paraId="5FA19D69" w14:textId="77777777">
            <w:pPr>
              <w:pStyle w:val="TableTextLeft"/>
              <w:rPr>
                <w:rFonts w:eastAsia="Times New Roman"/>
              </w:rPr>
            </w:pPr>
            <w:r w:rsidRPr="00A07AEA">
              <w:rPr>
                <w:rFonts w:eastAsia="Times New Roman"/>
              </w:rPr>
              <w:t>Tiffany Waits</w:t>
            </w:r>
          </w:p>
        </w:tc>
        <w:tc>
          <w:tcPr>
            <w:tcW w:w="4232" w:type="dxa"/>
            <w:tcBorders>
              <w:top w:val="single" w:color="1F497D" w:themeColor="text2" w:sz="4" w:space="0"/>
              <w:bottom w:val="single" w:color="1F497D" w:themeColor="text2" w:sz="4" w:space="0"/>
            </w:tcBorders>
            <w:shd w:val="clear" w:color="auto" w:fill="auto"/>
          </w:tcPr>
          <w:p w:rsidRPr="00A07AEA" w:rsidR="009E6687" w:rsidP="00675A69" w:rsidRDefault="009E6687" w14:paraId="5620A640" w14:textId="77777777">
            <w:pPr>
              <w:pStyle w:val="TableTextLeft"/>
              <w:rPr>
                <w:rFonts w:eastAsia="Times New Roman"/>
              </w:rPr>
            </w:pPr>
            <w:r w:rsidRPr="00A07AEA">
              <w:rPr>
                <w:rFonts w:eastAsia="Times New Roman"/>
              </w:rPr>
              <w:t>Mathematica</w:t>
            </w:r>
          </w:p>
        </w:tc>
        <w:tc>
          <w:tcPr>
            <w:tcW w:w="3057" w:type="dxa"/>
            <w:tcBorders>
              <w:top w:val="single" w:color="1F497D" w:themeColor="text2" w:sz="4" w:space="0"/>
              <w:bottom w:val="single" w:color="1F497D" w:themeColor="text2" w:sz="4" w:space="0"/>
            </w:tcBorders>
          </w:tcPr>
          <w:p w:rsidRPr="00A07AEA" w:rsidR="009E6687" w:rsidP="00675A69" w:rsidRDefault="009E6687" w14:paraId="3D96CEAD" w14:textId="77777777">
            <w:pPr>
              <w:pStyle w:val="TableTextLeft"/>
              <w:rPr>
                <w:rFonts w:eastAsia="Times New Roman"/>
              </w:rPr>
            </w:pPr>
            <w:r w:rsidRPr="00A07AEA">
              <w:rPr>
                <w:rFonts w:eastAsia="Times New Roman"/>
              </w:rPr>
              <w:t>TWaits@mathematica-mpr.com</w:t>
            </w:r>
          </w:p>
        </w:tc>
      </w:tr>
      <w:tr w:rsidRPr="00B139CA" w:rsidR="009E6687" w:rsidTr="009E6687" w14:paraId="21F81DD7" w14:textId="77777777">
        <w:trPr>
          <w:trHeight w:val="20"/>
        </w:trPr>
        <w:tc>
          <w:tcPr>
            <w:tcW w:w="2066" w:type="dxa"/>
            <w:tcBorders>
              <w:top w:val="single" w:color="1F497D" w:themeColor="text2" w:sz="4" w:space="0"/>
              <w:bottom w:val="single" w:color="1F497D" w:themeColor="text2" w:sz="4" w:space="0"/>
            </w:tcBorders>
            <w:shd w:val="clear" w:color="auto" w:fill="auto"/>
          </w:tcPr>
          <w:p w:rsidRPr="00A07AEA" w:rsidR="009E6687" w:rsidP="00675A69" w:rsidRDefault="009E6687" w14:paraId="1AA39A31" w14:textId="77777777">
            <w:pPr>
              <w:pStyle w:val="TableTextLeft"/>
              <w:rPr>
                <w:rFonts w:eastAsia="Times New Roman"/>
              </w:rPr>
            </w:pPr>
            <w:r w:rsidRPr="00A07AEA">
              <w:rPr>
                <w:rFonts w:eastAsia="Times New Roman"/>
              </w:rPr>
              <w:t>Jennifer Walzer</w:t>
            </w:r>
          </w:p>
        </w:tc>
        <w:tc>
          <w:tcPr>
            <w:tcW w:w="4232" w:type="dxa"/>
            <w:tcBorders>
              <w:top w:val="single" w:color="1F497D" w:themeColor="text2" w:sz="4" w:space="0"/>
              <w:bottom w:val="single" w:color="1F497D" w:themeColor="text2" w:sz="4" w:space="0"/>
            </w:tcBorders>
            <w:shd w:val="clear" w:color="auto" w:fill="auto"/>
          </w:tcPr>
          <w:p w:rsidRPr="00A07AEA" w:rsidR="009E6687" w:rsidP="00675A69" w:rsidRDefault="009E6687" w14:paraId="115F193A" w14:textId="77777777">
            <w:pPr>
              <w:pStyle w:val="TableTextLeft"/>
              <w:rPr>
                <w:rFonts w:eastAsia="Times New Roman"/>
              </w:rPr>
            </w:pPr>
            <w:r w:rsidRPr="00A07AEA">
              <w:rPr>
                <w:rFonts w:eastAsia="Times New Roman"/>
              </w:rPr>
              <w:t>Mathematica</w:t>
            </w:r>
          </w:p>
        </w:tc>
        <w:tc>
          <w:tcPr>
            <w:tcW w:w="3057" w:type="dxa"/>
            <w:tcBorders>
              <w:top w:val="single" w:color="1F497D" w:themeColor="text2" w:sz="4" w:space="0"/>
              <w:bottom w:val="single" w:color="1F497D" w:themeColor="text2" w:sz="4" w:space="0"/>
            </w:tcBorders>
          </w:tcPr>
          <w:p w:rsidRPr="00A07AEA" w:rsidR="009E6687" w:rsidP="00675A69" w:rsidRDefault="009E6687" w14:paraId="08578E3B" w14:textId="77777777">
            <w:pPr>
              <w:pStyle w:val="TableTextLeft"/>
              <w:rPr>
                <w:rFonts w:eastAsia="Times New Roman"/>
              </w:rPr>
            </w:pPr>
            <w:r w:rsidRPr="00A07AEA">
              <w:rPr>
                <w:rFonts w:eastAsia="Times New Roman"/>
              </w:rPr>
              <w:t>JWalzer@mathematica-mpr.com</w:t>
            </w:r>
          </w:p>
        </w:tc>
      </w:tr>
      <w:tr w:rsidRPr="00B139CA" w:rsidR="009E6687" w:rsidTr="009E6687" w14:paraId="5622937C" w14:textId="77777777">
        <w:trPr>
          <w:trHeight w:val="20"/>
        </w:trPr>
        <w:tc>
          <w:tcPr>
            <w:tcW w:w="2066" w:type="dxa"/>
            <w:tcBorders>
              <w:top w:val="single" w:color="1F497D" w:themeColor="text2" w:sz="4" w:space="0"/>
              <w:bottom w:val="single" w:color="1F497D" w:themeColor="text2" w:sz="4" w:space="0"/>
            </w:tcBorders>
            <w:shd w:val="clear" w:color="auto" w:fill="auto"/>
          </w:tcPr>
          <w:p w:rsidRPr="00A07AEA" w:rsidR="009E6687" w:rsidP="00675A69" w:rsidRDefault="009E6687" w14:paraId="2BC4C2A7" w14:textId="65E131D9">
            <w:pPr>
              <w:pStyle w:val="TableTextLeft"/>
              <w:rPr>
                <w:rFonts w:eastAsia="Times New Roman"/>
              </w:rPr>
            </w:pPr>
            <w:r>
              <w:rPr>
                <w:rFonts w:eastAsia="Times New Roman"/>
              </w:rPr>
              <w:t>Maya Reid</w:t>
            </w:r>
          </w:p>
        </w:tc>
        <w:tc>
          <w:tcPr>
            <w:tcW w:w="4232" w:type="dxa"/>
            <w:tcBorders>
              <w:top w:val="single" w:color="1F497D" w:themeColor="text2" w:sz="4" w:space="0"/>
              <w:bottom w:val="single" w:color="1F497D" w:themeColor="text2" w:sz="4" w:space="0"/>
            </w:tcBorders>
            <w:shd w:val="clear" w:color="auto" w:fill="auto"/>
          </w:tcPr>
          <w:p w:rsidRPr="00A07AEA" w:rsidR="009E6687" w:rsidP="00675A69" w:rsidRDefault="009E6687" w14:paraId="366C508B" w14:textId="6C81C9BA">
            <w:pPr>
              <w:pStyle w:val="TableTextLeft"/>
              <w:rPr>
                <w:rFonts w:eastAsia="Times New Roman"/>
              </w:rPr>
            </w:pPr>
            <w:r>
              <w:rPr>
                <w:rFonts w:eastAsia="Times New Roman"/>
              </w:rPr>
              <w:t>Mathematica</w:t>
            </w:r>
          </w:p>
        </w:tc>
        <w:tc>
          <w:tcPr>
            <w:tcW w:w="3057" w:type="dxa"/>
            <w:tcBorders>
              <w:top w:val="single" w:color="1F497D" w:themeColor="text2" w:sz="4" w:space="0"/>
              <w:bottom w:val="single" w:color="1F497D" w:themeColor="text2" w:sz="4" w:space="0"/>
            </w:tcBorders>
          </w:tcPr>
          <w:p w:rsidRPr="00A07AEA" w:rsidR="009E6687" w:rsidP="00675A69" w:rsidRDefault="009E6687" w14:paraId="745AB019" w14:textId="3B1514CE">
            <w:pPr>
              <w:pStyle w:val="TableTextLeft"/>
              <w:rPr>
                <w:rFonts w:eastAsia="Times New Roman"/>
              </w:rPr>
            </w:pPr>
            <w:r>
              <w:rPr>
                <w:rFonts w:eastAsia="Times New Roman"/>
              </w:rPr>
              <w:t>MReid@mathematica-mpr.com</w:t>
            </w:r>
          </w:p>
        </w:tc>
      </w:tr>
      <w:tr w:rsidRPr="00B139CA" w:rsidR="009E6687" w:rsidTr="009E6687" w14:paraId="0B026DCC" w14:textId="77777777">
        <w:trPr>
          <w:trHeight w:val="20"/>
        </w:trPr>
        <w:tc>
          <w:tcPr>
            <w:tcW w:w="2066" w:type="dxa"/>
            <w:tcBorders>
              <w:top w:val="single" w:color="1F497D" w:themeColor="text2" w:sz="4" w:space="0"/>
              <w:bottom w:val="single" w:color="1F497D" w:themeColor="text2" w:sz="4" w:space="0"/>
            </w:tcBorders>
            <w:shd w:val="clear" w:color="auto" w:fill="auto"/>
          </w:tcPr>
          <w:p w:rsidRPr="00A07AEA" w:rsidR="009E6687" w:rsidP="00675A69" w:rsidRDefault="009E6687" w14:paraId="469D819E" w14:textId="77777777">
            <w:pPr>
              <w:pStyle w:val="TableTextLeft"/>
              <w:rPr>
                <w:rFonts w:eastAsia="Times New Roman"/>
              </w:rPr>
            </w:pPr>
            <w:r w:rsidRPr="00A07AEA">
              <w:rPr>
                <w:rFonts w:eastAsia="Times New Roman"/>
              </w:rPr>
              <w:t>Elizabeth Mugo</w:t>
            </w:r>
          </w:p>
        </w:tc>
        <w:tc>
          <w:tcPr>
            <w:tcW w:w="4232" w:type="dxa"/>
            <w:tcBorders>
              <w:top w:val="single" w:color="1F497D" w:themeColor="text2" w:sz="4" w:space="0"/>
              <w:bottom w:val="single" w:color="1F497D" w:themeColor="text2" w:sz="4" w:space="0"/>
            </w:tcBorders>
            <w:shd w:val="clear" w:color="auto" w:fill="auto"/>
          </w:tcPr>
          <w:p w:rsidRPr="00A07AEA" w:rsidR="009E6687" w:rsidP="00675A69" w:rsidRDefault="009E6687" w14:paraId="2382734D" w14:textId="77777777">
            <w:pPr>
              <w:pStyle w:val="TableTextLeft"/>
              <w:rPr>
                <w:rFonts w:eastAsia="Times New Roman"/>
              </w:rPr>
            </w:pPr>
            <w:r w:rsidRPr="00A07AEA">
              <w:rPr>
                <w:rFonts w:eastAsia="Times New Roman"/>
              </w:rPr>
              <w:t>Mathematica</w:t>
            </w:r>
          </w:p>
        </w:tc>
        <w:tc>
          <w:tcPr>
            <w:tcW w:w="3057" w:type="dxa"/>
            <w:tcBorders>
              <w:top w:val="single" w:color="1F497D" w:themeColor="text2" w:sz="4" w:space="0"/>
              <w:bottom w:val="single" w:color="1F497D" w:themeColor="text2" w:sz="4" w:space="0"/>
            </w:tcBorders>
          </w:tcPr>
          <w:p w:rsidRPr="00A07AEA" w:rsidR="009E6687" w:rsidP="00675A69" w:rsidRDefault="009E6687" w14:paraId="5E8E0FD6" w14:textId="77777777">
            <w:pPr>
              <w:pStyle w:val="TableTextLeft"/>
              <w:rPr>
                <w:rFonts w:eastAsia="Times New Roman"/>
              </w:rPr>
            </w:pPr>
            <w:r w:rsidRPr="00A07AEA">
              <w:rPr>
                <w:rFonts w:eastAsia="Times New Roman"/>
              </w:rPr>
              <w:t>EMugo@mathematica-mpr.com</w:t>
            </w:r>
          </w:p>
        </w:tc>
      </w:tr>
    </w:tbl>
    <w:p w:rsidR="00247D73" w:rsidP="00F85D35" w:rsidRDefault="00247D73" w14:paraId="0AE84623" w14:textId="2A1A4E73">
      <w:pPr>
        <w:spacing w:after="120" w:line="240" w:lineRule="auto"/>
        <w:rPr>
          <w:b/>
        </w:rPr>
      </w:pPr>
    </w:p>
    <w:p w:rsidR="002D0970" w:rsidP="00F85D35" w:rsidRDefault="002D0970" w14:paraId="4E4059B5" w14:textId="77777777">
      <w:pPr>
        <w:spacing w:after="120" w:line="240" w:lineRule="auto"/>
        <w:rPr>
          <w:b/>
        </w:rPr>
      </w:pPr>
    </w:p>
    <w:p w:rsidRPr="00B139CA" w:rsidR="00083227" w:rsidP="004466E3" w:rsidRDefault="00A1108E" w14:paraId="1E574BF6" w14:textId="284F727F">
      <w:pPr>
        <w:spacing w:before="480" w:after="240" w:line="240" w:lineRule="auto"/>
        <w:rPr>
          <w:b/>
        </w:rPr>
      </w:pPr>
      <w:r w:rsidRPr="00B139CA">
        <w:rPr>
          <w:b/>
        </w:rPr>
        <w:t>Attachments</w:t>
      </w:r>
    </w:p>
    <w:p w:rsidRPr="00B139CA" w:rsidR="00D76640" w:rsidP="00C92ADF" w:rsidRDefault="00D76640" w14:paraId="74374D21" w14:textId="77777777">
      <w:pPr>
        <w:spacing w:after="120"/>
        <w:ind w:left="180"/>
        <w:rPr>
          <w:b/>
          <w:bCs/>
        </w:rPr>
      </w:pPr>
      <w:r w:rsidRPr="00B139CA">
        <w:rPr>
          <w:b/>
          <w:bCs/>
        </w:rPr>
        <w:t>Appendices</w:t>
      </w:r>
    </w:p>
    <w:p w:rsidRPr="00B139CA" w:rsidR="00D02CA9" w:rsidP="00C92ADF" w:rsidRDefault="00D02CA9" w14:paraId="4771B832" w14:textId="5AEFE51D">
      <w:pPr>
        <w:spacing w:after="120" w:line="240" w:lineRule="auto"/>
        <w:ind w:left="180"/>
      </w:pPr>
      <w:r w:rsidRPr="00B139CA">
        <w:t xml:space="preserve">Appendix A: </w:t>
      </w:r>
      <w:r w:rsidR="00FD0D13">
        <w:t>Success Sequence Recruitment Materials</w:t>
      </w:r>
      <w:r w:rsidR="009E6687">
        <w:t xml:space="preserve"> (English and Spanish)</w:t>
      </w:r>
    </w:p>
    <w:p w:rsidR="00813243" w:rsidP="00C92ADF" w:rsidRDefault="00D02CA9" w14:paraId="40F133AC" w14:textId="014EA91B">
      <w:pPr>
        <w:spacing w:after="120" w:line="240" w:lineRule="auto"/>
        <w:ind w:left="180"/>
      </w:pPr>
      <w:r w:rsidRPr="00B139CA">
        <w:t>Appendix B:</w:t>
      </w:r>
      <w:r w:rsidR="00FD0D13">
        <w:t xml:space="preserve"> Consent Form</w:t>
      </w:r>
      <w:r w:rsidR="009E6687">
        <w:t xml:space="preserve"> (English and Spanish)</w:t>
      </w:r>
    </w:p>
    <w:p w:rsidR="00092D37" w:rsidP="00C92ADF" w:rsidRDefault="00092D37" w14:paraId="25B92660" w14:textId="4F11C03F">
      <w:pPr>
        <w:spacing w:after="120" w:line="240" w:lineRule="auto"/>
        <w:ind w:left="180"/>
      </w:pPr>
      <w:bookmarkStart w:name="_Hlk82504293" w:id="3"/>
      <w:r>
        <w:t xml:space="preserve">Appendix </w:t>
      </w:r>
      <w:r w:rsidR="00AD56A0">
        <w:t>C</w:t>
      </w:r>
      <w:r>
        <w:t>: Success Sequence Interview Study Target Sample</w:t>
      </w:r>
    </w:p>
    <w:p w:rsidR="00A32069" w:rsidP="00A32069" w:rsidRDefault="00A32069" w14:paraId="68246538" w14:textId="77091DC1">
      <w:pPr>
        <w:spacing w:after="120" w:line="240" w:lineRule="auto"/>
        <w:ind w:left="180"/>
      </w:pPr>
      <w:r>
        <w:t xml:space="preserve">Appendix </w:t>
      </w:r>
      <w:r w:rsidR="00AD56A0">
        <w:t>D</w:t>
      </w:r>
      <w:r>
        <w:t>: QualBoard Invitation Email Sample Screen Shot (English and Spanish)</w:t>
      </w:r>
    </w:p>
    <w:p w:rsidR="002D0970" w:rsidP="00A32069" w:rsidRDefault="002D0970" w14:paraId="65EEAEAA" w14:textId="29DC9647">
      <w:pPr>
        <w:spacing w:after="120" w:line="240" w:lineRule="auto"/>
        <w:ind w:left="180"/>
      </w:pPr>
    </w:p>
    <w:bookmarkEnd w:id="3"/>
    <w:p w:rsidRPr="00B139CA" w:rsidR="00D76640" w:rsidP="0047313D" w:rsidRDefault="00D76640" w14:paraId="7D7A9020" w14:textId="7849BCD7">
      <w:pPr>
        <w:rPr>
          <w:b/>
          <w:bCs/>
        </w:rPr>
      </w:pPr>
      <w:r w:rsidRPr="00B139CA">
        <w:rPr>
          <w:b/>
          <w:bCs/>
        </w:rPr>
        <w:t>Instrument</w:t>
      </w:r>
      <w:r w:rsidR="00334339">
        <w:rPr>
          <w:b/>
          <w:bCs/>
        </w:rPr>
        <w:t>s</w:t>
      </w:r>
    </w:p>
    <w:p w:rsidR="00D02CA9" w:rsidP="00C92ADF" w:rsidRDefault="00D02CA9" w14:paraId="6844A42C" w14:textId="7E9E94E5">
      <w:pPr>
        <w:spacing w:after="120" w:line="240" w:lineRule="auto"/>
        <w:ind w:left="180"/>
      </w:pPr>
      <w:r w:rsidRPr="00B139CA">
        <w:t xml:space="preserve">Instrument 1: </w:t>
      </w:r>
      <w:r w:rsidR="00FD0D13">
        <w:t>Success Sequence Screener</w:t>
      </w:r>
      <w:r w:rsidR="009E6687">
        <w:t xml:space="preserve"> (English and Spanish)</w:t>
      </w:r>
    </w:p>
    <w:p w:rsidR="00FD0D13" w:rsidP="00C92ADF" w:rsidRDefault="00FD0D13" w14:paraId="19DDF7C0" w14:textId="0A63EC2E">
      <w:pPr>
        <w:spacing w:after="120" w:line="240" w:lineRule="auto"/>
        <w:ind w:left="180"/>
      </w:pPr>
      <w:r>
        <w:t xml:space="preserve">Instrument 2: Success Sequence Interview </w:t>
      </w:r>
      <w:r w:rsidR="009717C0">
        <w:t>Protocol</w:t>
      </w:r>
      <w:r w:rsidR="009E6687">
        <w:t xml:space="preserve"> (English and Spanish)</w:t>
      </w:r>
    </w:p>
    <w:sectPr w:rsidR="00FD0D13"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07394" w14:textId="77777777" w:rsidR="00393B0C" w:rsidRDefault="00393B0C" w:rsidP="0004063C">
      <w:pPr>
        <w:spacing w:after="0" w:line="240" w:lineRule="auto"/>
      </w:pPr>
      <w:r>
        <w:separator/>
      </w:r>
    </w:p>
  </w:endnote>
  <w:endnote w:type="continuationSeparator" w:id="0">
    <w:p w14:paraId="7285D072" w14:textId="77777777" w:rsidR="00393B0C" w:rsidRDefault="00393B0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3BC52EBF" w:rsidR="00BD702B" w:rsidRDefault="00BD702B" w:rsidP="00F24397">
        <w:pPr>
          <w:pStyle w:val="Footer"/>
          <w:jc w:val="right"/>
        </w:pPr>
        <w:r>
          <w:fldChar w:fldCharType="begin"/>
        </w:r>
        <w:r>
          <w:instrText xml:space="preserve"> PAGE   \* MERGEFORMAT </w:instrText>
        </w:r>
        <w:r>
          <w:fldChar w:fldCharType="separate"/>
        </w:r>
        <w:r w:rsidR="0047313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EF307" w14:textId="77777777" w:rsidR="00393B0C" w:rsidRDefault="00393B0C" w:rsidP="0004063C">
      <w:pPr>
        <w:spacing w:after="0" w:line="240" w:lineRule="auto"/>
      </w:pPr>
      <w:r>
        <w:separator/>
      </w:r>
    </w:p>
  </w:footnote>
  <w:footnote w:type="continuationSeparator" w:id="0">
    <w:p w14:paraId="08F0EE24" w14:textId="77777777" w:rsidR="00393B0C" w:rsidRDefault="00393B0C" w:rsidP="0004063C">
      <w:pPr>
        <w:spacing w:after="0" w:line="240" w:lineRule="auto"/>
      </w:pPr>
      <w:r>
        <w:continuationSeparator/>
      </w:r>
    </w:p>
  </w:footnote>
  <w:footnote w:type="continuationNotice" w:id="1">
    <w:p w14:paraId="17FD4590" w14:textId="77777777" w:rsidR="00393B0C" w:rsidRPr="00254660" w:rsidRDefault="00393B0C">
      <w:pPr>
        <w:spacing w:after="0" w:line="240" w:lineRule="auto"/>
        <w:rPr>
          <w:sz w:val="20"/>
          <w:szCs w:val="20"/>
        </w:rPr>
      </w:pPr>
      <w:r w:rsidRPr="00254660">
        <w:rPr>
          <w:sz w:val="20"/>
          <w:szCs w:val="20"/>
        </w:rPr>
        <w:t>(</w:t>
      </w:r>
      <w:r w:rsidRPr="00254660">
        <w:rPr>
          <w:i/>
          <w:iCs/>
          <w:sz w:val="20"/>
          <w:szCs w:val="20"/>
        </w:rPr>
        <w:t>continued</w:t>
      </w:r>
      <w:r w:rsidRPr="00254660">
        <w:rPr>
          <w:sz w:val="20"/>
          <w:szCs w:val="20"/>
        </w:rPr>
        <w:t>)</w:t>
      </w:r>
    </w:p>
  </w:footnote>
  <w:footnote w:id="2">
    <w:p w14:paraId="513FE920" w14:textId="3F822569" w:rsidR="0022337D" w:rsidRDefault="0022337D" w:rsidP="0022337D">
      <w:pPr>
        <w:pStyle w:val="FootnoteText"/>
        <w:spacing w:after="120"/>
      </w:pPr>
      <w:r>
        <w:rPr>
          <w:rStyle w:val="FootnoteReference"/>
        </w:rPr>
        <w:footnoteRef/>
      </w:r>
      <w:r>
        <w:t xml:space="preserve"> </w:t>
      </w:r>
      <w:r w:rsidRPr="004A1B9B">
        <w:t>Inanc, H</w:t>
      </w:r>
      <w:r>
        <w:t>.</w:t>
      </w:r>
      <w:r w:rsidRPr="004A1B9B">
        <w:t xml:space="preserve">, </w:t>
      </w:r>
      <w:r w:rsidR="005833C6">
        <w:t xml:space="preserve">A. </w:t>
      </w:r>
      <w:r w:rsidRPr="004A1B9B">
        <w:t>Spitzer</w:t>
      </w:r>
      <w:r>
        <w:t xml:space="preserve">, </w:t>
      </w:r>
      <w:r w:rsidRPr="004A1B9B">
        <w:t>and B</w:t>
      </w:r>
      <w:r>
        <w:t xml:space="preserve">. </w:t>
      </w:r>
      <w:r w:rsidRPr="004A1B9B">
        <w:t>Goesling. “</w:t>
      </w:r>
      <w:r w:rsidRPr="00081217">
        <w:t>Assessing the Benefits of the Success Sequence for Economic Self-Sufficiency and Family Stability</w:t>
      </w:r>
      <w:r>
        <w:rPr>
          <w:i/>
          <w:iCs/>
        </w:rPr>
        <w:t>.</w:t>
      </w:r>
      <w:r w:rsidRPr="004A1B9B">
        <w:t>” OPRE Report #2021-</w:t>
      </w:r>
      <w:r w:rsidR="00A92F07" w:rsidRPr="00F30F96">
        <w:t>41</w:t>
      </w:r>
      <w:r w:rsidRPr="004A1B9B">
        <w:t>, Washington, DC: Office of Planning, Research and Evaluation, Administration for Children and Families, U.S. Department of Health and Human Services.</w:t>
      </w:r>
    </w:p>
  </w:footnote>
  <w:footnote w:id="3">
    <w:p w14:paraId="234FFFF2" w14:textId="09F11398" w:rsidR="00611C11" w:rsidRDefault="00611C11">
      <w:pPr>
        <w:pStyle w:val="FootnoteText"/>
      </w:pPr>
      <w:r>
        <w:rPr>
          <w:rStyle w:val="FootnoteReference"/>
        </w:rPr>
        <w:footnoteRef/>
      </w:r>
      <w:r>
        <w:t xml:space="preserve"> </w:t>
      </w:r>
      <w:r w:rsidRPr="00611C11">
        <w:t>Kreuter,</w:t>
      </w:r>
      <w:r w:rsidR="001A2C53">
        <w:t xml:space="preserve"> F., </w:t>
      </w:r>
      <w:r w:rsidR="005E7389">
        <w:t xml:space="preserve">S. </w:t>
      </w:r>
      <w:r w:rsidRPr="00611C11">
        <w:t>Presser,</w:t>
      </w:r>
      <w:r w:rsidR="001A2C53">
        <w:t xml:space="preserve"> and R. </w:t>
      </w:r>
      <w:r w:rsidRPr="00611C11">
        <w:t>Tourangeau</w:t>
      </w:r>
      <w:r w:rsidR="001A2C53">
        <w:t>.</w:t>
      </w:r>
      <w:r w:rsidRPr="00611C11">
        <w:t xml:space="preserve"> </w:t>
      </w:r>
      <w:r w:rsidR="001A2C53">
        <w:t>“</w:t>
      </w:r>
      <w:r w:rsidRPr="00611C11">
        <w:t>Social Desirability Bias in CATI, IVR, and Web Surveys: The Effects of Mode and Question Sensitivity</w:t>
      </w:r>
      <w:r w:rsidR="001A2C53">
        <w:t>.”</w:t>
      </w:r>
      <w:r w:rsidRPr="00611C11">
        <w:t xml:space="preserve"> </w:t>
      </w:r>
      <w:r w:rsidRPr="001A2C53">
        <w:rPr>
          <w:i/>
          <w:iCs/>
        </w:rPr>
        <w:t>Public Opinion Quarterly</w:t>
      </w:r>
      <w:r w:rsidRPr="00611C11">
        <w:t xml:space="preserve">, </w:t>
      </w:r>
      <w:r w:rsidR="004A6261">
        <w:t>vol.</w:t>
      </w:r>
      <w:r w:rsidRPr="00611C11">
        <w:t xml:space="preserve"> 72, </w:t>
      </w:r>
      <w:r w:rsidR="004A6261">
        <w:t>no.</w:t>
      </w:r>
      <w:r w:rsidRPr="00611C11">
        <w:t xml:space="preserve"> 5, December 2008, </w:t>
      </w:r>
      <w:r w:rsidR="004A6261">
        <w:t>pp</w:t>
      </w:r>
      <w:r w:rsidR="005E7389">
        <w:t>.</w:t>
      </w:r>
      <w:r w:rsidRPr="00611C11">
        <w:t xml:space="preserve"> 847–865</w:t>
      </w:r>
      <w:r w:rsidR="005E7389">
        <w:t>.</w:t>
      </w:r>
      <w:r w:rsidRPr="00611C11">
        <w:t xml:space="preserve"> </w:t>
      </w:r>
      <w:hyperlink r:id="rId1" w:history="1">
        <w:r w:rsidR="00092D37" w:rsidRPr="003E79D9">
          <w:rPr>
            <w:rStyle w:val="Hyperlink"/>
          </w:rPr>
          <w:t>https://doi.org/10.1093/poq/nfn063</w:t>
        </w:r>
      </w:hyperlink>
      <w:r w:rsidR="005E7389">
        <w:t>.</w:t>
      </w:r>
    </w:p>
    <w:p w14:paraId="16720C2D" w14:textId="77777777" w:rsidR="00092D37" w:rsidRDefault="00092D37">
      <w:pPr>
        <w:pStyle w:val="FootnoteText"/>
      </w:pPr>
    </w:p>
  </w:footnote>
  <w:footnote w:id="4">
    <w:p w14:paraId="67E12953" w14:textId="71045533" w:rsidR="00CD498F" w:rsidRDefault="00CD498F">
      <w:pPr>
        <w:pStyle w:val="FootnoteText"/>
      </w:pPr>
      <w:r>
        <w:rPr>
          <w:rStyle w:val="FootnoteReference"/>
        </w:rPr>
        <w:footnoteRef/>
      </w:r>
      <w:r>
        <w:t xml:space="preserve"> </w:t>
      </w:r>
      <w:r w:rsidRPr="004A1B9B">
        <w:t>Inanc, H</w:t>
      </w:r>
      <w:r>
        <w:t>.</w:t>
      </w:r>
      <w:r w:rsidRPr="004A1B9B">
        <w:t xml:space="preserve">, </w:t>
      </w:r>
      <w:r>
        <w:t xml:space="preserve">A. </w:t>
      </w:r>
      <w:r w:rsidRPr="004A1B9B">
        <w:t>Spitzer</w:t>
      </w:r>
      <w:r>
        <w:t xml:space="preserve">, </w:t>
      </w:r>
      <w:r w:rsidRPr="004A1B9B">
        <w:t>and B</w:t>
      </w:r>
      <w:r>
        <w:t xml:space="preserve">. </w:t>
      </w:r>
      <w:r w:rsidRPr="004A1B9B">
        <w:t>Goesling. “</w:t>
      </w:r>
      <w:r w:rsidRPr="00F63C38">
        <w:t>Assessing the Benefits of the Success Sequence for Economic Self-Sufficiency and Family Stability</w:t>
      </w:r>
      <w:r>
        <w:t>.</w:t>
      </w:r>
      <w:r w:rsidRPr="004A1B9B">
        <w:t xml:space="preserve">” OPRE Report </w:t>
      </w:r>
      <w:r w:rsidRPr="00F875DB">
        <w:t>#</w:t>
      </w:r>
      <w:r w:rsidRPr="00C34B53">
        <w:t>2021-</w:t>
      </w:r>
      <w:r>
        <w:t>148</w:t>
      </w:r>
      <w:r w:rsidRPr="00C34B53">
        <w:t>.</w:t>
      </w:r>
      <w:r w:rsidRPr="00F875DB">
        <w:t xml:space="preserve"> Washington</w:t>
      </w:r>
      <w:r w:rsidRPr="004A1B9B">
        <w:t>, DC: Office of Planning, Research and Evaluation, Administration for Children and Families, U.S. Department of Health and Human Services.</w:t>
      </w:r>
    </w:p>
  </w:footnote>
  <w:footnote w:id="5">
    <w:p w14:paraId="118E499A" w14:textId="05BF1410" w:rsidR="00AC5E10" w:rsidRDefault="00AC5E10">
      <w:pPr>
        <w:pStyle w:val="FootnoteText"/>
      </w:pPr>
      <w:r>
        <w:rPr>
          <w:rStyle w:val="FootnoteReference"/>
        </w:rPr>
        <w:footnoteRef/>
      </w:r>
      <w:r>
        <w:t xml:space="preserve"> </w:t>
      </w:r>
      <w:r w:rsidRPr="00AC5E10">
        <w:t>https://www.cdc.gov/teenpregnancy/about/index.htm</w:t>
      </w:r>
      <w:r w:rsidR="004A6261">
        <w:t>.</w:t>
      </w:r>
    </w:p>
  </w:footnote>
  <w:footnote w:id="6">
    <w:p w14:paraId="4EAB2A19" w14:textId="228A0F51" w:rsidR="005E7F1B" w:rsidRDefault="005E7F1B">
      <w:pPr>
        <w:pStyle w:val="FootnoteText"/>
      </w:pPr>
      <w:r>
        <w:rPr>
          <w:rStyle w:val="FootnoteReference"/>
        </w:rPr>
        <w:footnoteRef/>
      </w:r>
      <w:r>
        <w:t xml:space="preserve"> Pregnancy Assistance Fund Study (OMB Control Number 0990-0424), </w:t>
      </w:r>
      <w:r w:rsidRPr="00B332D1">
        <w:t xml:space="preserve">The Strengthening Relationship Education and Marriage Services Evaluation (OMB Control Number 0970-0481), Head Start Family and Child Experiences Survey 2019 (OMB Control Number </w:t>
      </w:r>
      <w:r w:rsidRPr="00B332D1">
        <w:rPr>
          <w:bCs/>
        </w:rPr>
        <w:t>0970-0151),</w:t>
      </w:r>
      <w:r w:rsidRPr="00B332D1">
        <w:t xml:space="preserve"> Middle Grades Longitudinal Study of 2017</w:t>
      </w:r>
      <w:r w:rsidR="001F2CF3">
        <w:t>–</w:t>
      </w:r>
      <w:r w:rsidRPr="00B332D1">
        <w:t xml:space="preserve">18 (OMB Control Number 1850-0911), Evaluation of Demonstration Projects to End Childhood Hunger (OMB Control Number </w:t>
      </w:r>
      <w:bookmarkStart w:id="1" w:name="_Hlk51074379"/>
      <w:r w:rsidRPr="00B332D1">
        <w:t>0584-0603),</w:t>
      </w:r>
      <w:r w:rsidRPr="00FE57F6">
        <w:t xml:space="preserve"> </w:t>
      </w:r>
      <w:r w:rsidRPr="00FE57F6">
        <w:rPr>
          <w:bCs/>
        </w:rPr>
        <w:t>Regional Partnership Grants National Cross-Site Evaluation and Evaluation Technical Assistance (OMB Control Number 0970-0444)</w:t>
      </w:r>
      <w:r>
        <w:rPr>
          <w:bCs/>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F24397">
    <w:pPr>
      <w:pStyle w:val="Header"/>
      <w:spacing w:after="360"/>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166D7"/>
    <w:multiLevelType w:val="hybridMultilevel"/>
    <w:tmpl w:val="31E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7"/>
  </w:num>
  <w:num w:numId="7">
    <w:abstractNumId w:val="3"/>
  </w:num>
  <w:num w:numId="8">
    <w:abstractNumId w:val="8"/>
  </w:num>
  <w:num w:numId="9">
    <w:abstractNumId w:val="12"/>
  </w:num>
  <w:num w:numId="10">
    <w:abstractNumId w:val="26"/>
  </w:num>
  <w:num w:numId="11">
    <w:abstractNumId w:val="29"/>
  </w:num>
  <w:num w:numId="12">
    <w:abstractNumId w:val="24"/>
  </w:num>
  <w:num w:numId="13">
    <w:abstractNumId w:val="20"/>
  </w:num>
  <w:num w:numId="14">
    <w:abstractNumId w:val="25"/>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8"/>
  </w:num>
  <w:num w:numId="29">
    <w:abstractNumId w:val="22"/>
  </w:num>
  <w:num w:numId="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8DD"/>
    <w:rsid w:val="0000790C"/>
    <w:rsid w:val="0001255D"/>
    <w:rsid w:val="00016731"/>
    <w:rsid w:val="00025646"/>
    <w:rsid w:val="000264CF"/>
    <w:rsid w:val="00027475"/>
    <w:rsid w:val="00027E79"/>
    <w:rsid w:val="00030957"/>
    <w:rsid w:val="000334F2"/>
    <w:rsid w:val="0004063C"/>
    <w:rsid w:val="00041CCD"/>
    <w:rsid w:val="0004247F"/>
    <w:rsid w:val="00044ADA"/>
    <w:rsid w:val="00054AF7"/>
    <w:rsid w:val="0005675C"/>
    <w:rsid w:val="00060C59"/>
    <w:rsid w:val="00061A3C"/>
    <w:rsid w:val="00062AFB"/>
    <w:rsid w:val="000655DD"/>
    <w:rsid w:val="00071F79"/>
    <w:rsid w:val="000720FC"/>
    <w:rsid w:val="0007251B"/>
    <w:rsid w:val="000733A5"/>
    <w:rsid w:val="00081217"/>
    <w:rsid w:val="00082C5B"/>
    <w:rsid w:val="00083227"/>
    <w:rsid w:val="00084425"/>
    <w:rsid w:val="00084F26"/>
    <w:rsid w:val="00085D96"/>
    <w:rsid w:val="00086CBE"/>
    <w:rsid w:val="00090812"/>
    <w:rsid w:val="00090E15"/>
    <w:rsid w:val="00090F31"/>
    <w:rsid w:val="000921F0"/>
    <w:rsid w:val="00092D37"/>
    <w:rsid w:val="00094EFA"/>
    <w:rsid w:val="00095FCF"/>
    <w:rsid w:val="0009656A"/>
    <w:rsid w:val="00097E78"/>
    <w:rsid w:val="000A012A"/>
    <w:rsid w:val="000A3701"/>
    <w:rsid w:val="000B48C5"/>
    <w:rsid w:val="000B746D"/>
    <w:rsid w:val="000C4235"/>
    <w:rsid w:val="000D2A51"/>
    <w:rsid w:val="000D4E9A"/>
    <w:rsid w:val="000D61D4"/>
    <w:rsid w:val="000D6F77"/>
    <w:rsid w:val="000D7942"/>
    <w:rsid w:val="000D7D44"/>
    <w:rsid w:val="000E059A"/>
    <w:rsid w:val="000E6D86"/>
    <w:rsid w:val="000F1E4A"/>
    <w:rsid w:val="000F7E22"/>
    <w:rsid w:val="001000B0"/>
    <w:rsid w:val="00100D34"/>
    <w:rsid w:val="00103EFD"/>
    <w:rsid w:val="00107D87"/>
    <w:rsid w:val="00113DA1"/>
    <w:rsid w:val="00115B1C"/>
    <w:rsid w:val="00120EB9"/>
    <w:rsid w:val="00121214"/>
    <w:rsid w:val="001253F4"/>
    <w:rsid w:val="00146A10"/>
    <w:rsid w:val="0015642B"/>
    <w:rsid w:val="00157482"/>
    <w:rsid w:val="00165818"/>
    <w:rsid w:val="001707D8"/>
    <w:rsid w:val="0017451F"/>
    <w:rsid w:val="00175209"/>
    <w:rsid w:val="00185863"/>
    <w:rsid w:val="00194751"/>
    <w:rsid w:val="001975DC"/>
    <w:rsid w:val="001A2281"/>
    <w:rsid w:val="001A2C53"/>
    <w:rsid w:val="001A5E8C"/>
    <w:rsid w:val="001B0A76"/>
    <w:rsid w:val="001B6E1A"/>
    <w:rsid w:val="001C61E7"/>
    <w:rsid w:val="001C67D5"/>
    <w:rsid w:val="001D4901"/>
    <w:rsid w:val="001D4CB1"/>
    <w:rsid w:val="001D4F3C"/>
    <w:rsid w:val="001D6E8A"/>
    <w:rsid w:val="001E1146"/>
    <w:rsid w:val="001F2CF3"/>
    <w:rsid w:val="001F57F5"/>
    <w:rsid w:val="001F6474"/>
    <w:rsid w:val="001F7CF2"/>
    <w:rsid w:val="0020002E"/>
    <w:rsid w:val="002006A9"/>
    <w:rsid w:val="0020219E"/>
    <w:rsid w:val="00202DD3"/>
    <w:rsid w:val="0020401C"/>
    <w:rsid w:val="0020629A"/>
    <w:rsid w:val="00206E11"/>
    <w:rsid w:val="00206FE3"/>
    <w:rsid w:val="00207554"/>
    <w:rsid w:val="00211261"/>
    <w:rsid w:val="00212256"/>
    <w:rsid w:val="0022222A"/>
    <w:rsid w:val="00222979"/>
    <w:rsid w:val="0022337D"/>
    <w:rsid w:val="00230090"/>
    <w:rsid w:val="002319A7"/>
    <w:rsid w:val="00247D73"/>
    <w:rsid w:val="002517BB"/>
    <w:rsid w:val="002530BF"/>
    <w:rsid w:val="00254660"/>
    <w:rsid w:val="00256E1C"/>
    <w:rsid w:val="00256E24"/>
    <w:rsid w:val="00263A16"/>
    <w:rsid w:val="00263ABA"/>
    <w:rsid w:val="00265491"/>
    <w:rsid w:val="00275D54"/>
    <w:rsid w:val="0027649B"/>
    <w:rsid w:val="00276CE2"/>
    <w:rsid w:val="0028148D"/>
    <w:rsid w:val="00283795"/>
    <w:rsid w:val="002839D8"/>
    <w:rsid w:val="00286C00"/>
    <w:rsid w:val="00287AF1"/>
    <w:rsid w:val="002958B8"/>
    <w:rsid w:val="002A3A59"/>
    <w:rsid w:val="002A41C6"/>
    <w:rsid w:val="002B785B"/>
    <w:rsid w:val="002D0970"/>
    <w:rsid w:val="002E21BE"/>
    <w:rsid w:val="002E6CCF"/>
    <w:rsid w:val="002F21E7"/>
    <w:rsid w:val="002F33D0"/>
    <w:rsid w:val="00300722"/>
    <w:rsid w:val="0030175F"/>
    <w:rsid w:val="00302F3D"/>
    <w:rsid w:val="0030316D"/>
    <w:rsid w:val="0030762B"/>
    <w:rsid w:val="00311749"/>
    <w:rsid w:val="00320ECA"/>
    <w:rsid w:val="00324350"/>
    <w:rsid w:val="00333EBA"/>
    <w:rsid w:val="00334339"/>
    <w:rsid w:val="0033531D"/>
    <w:rsid w:val="00360839"/>
    <w:rsid w:val="00362843"/>
    <w:rsid w:val="00364CF7"/>
    <w:rsid w:val="003738C8"/>
    <w:rsid w:val="00373D2F"/>
    <w:rsid w:val="0038035F"/>
    <w:rsid w:val="003818CB"/>
    <w:rsid w:val="00382109"/>
    <w:rsid w:val="00382C04"/>
    <w:rsid w:val="00393B0C"/>
    <w:rsid w:val="00393DDA"/>
    <w:rsid w:val="00397F55"/>
    <w:rsid w:val="003A5413"/>
    <w:rsid w:val="003A7774"/>
    <w:rsid w:val="003B0287"/>
    <w:rsid w:val="003B1954"/>
    <w:rsid w:val="003B6DA6"/>
    <w:rsid w:val="003C0F20"/>
    <w:rsid w:val="003C7358"/>
    <w:rsid w:val="003D0C02"/>
    <w:rsid w:val="003E59BA"/>
    <w:rsid w:val="003E61F6"/>
    <w:rsid w:val="003E7271"/>
    <w:rsid w:val="003F047B"/>
    <w:rsid w:val="003F0D93"/>
    <w:rsid w:val="00401928"/>
    <w:rsid w:val="00401935"/>
    <w:rsid w:val="00407537"/>
    <w:rsid w:val="00410816"/>
    <w:rsid w:val="00411B50"/>
    <w:rsid w:val="00412E75"/>
    <w:rsid w:val="004165BD"/>
    <w:rsid w:val="0042051A"/>
    <w:rsid w:val="0042220D"/>
    <w:rsid w:val="004239FE"/>
    <w:rsid w:val="0042464A"/>
    <w:rsid w:val="00426E2F"/>
    <w:rsid w:val="0043377A"/>
    <w:rsid w:val="00435F63"/>
    <w:rsid w:val="004379B6"/>
    <w:rsid w:val="0044428E"/>
    <w:rsid w:val="0044628A"/>
    <w:rsid w:val="00446465"/>
    <w:rsid w:val="004466E3"/>
    <w:rsid w:val="00446FC7"/>
    <w:rsid w:val="00460D54"/>
    <w:rsid w:val="00461D3E"/>
    <w:rsid w:val="004706CC"/>
    <w:rsid w:val="0047266B"/>
    <w:rsid w:val="0047313D"/>
    <w:rsid w:val="004778B0"/>
    <w:rsid w:val="00481CD5"/>
    <w:rsid w:val="00486B58"/>
    <w:rsid w:val="00487654"/>
    <w:rsid w:val="0049112D"/>
    <w:rsid w:val="004A5932"/>
    <w:rsid w:val="004A6261"/>
    <w:rsid w:val="004A67E9"/>
    <w:rsid w:val="004A7813"/>
    <w:rsid w:val="004B75AC"/>
    <w:rsid w:val="004C3644"/>
    <w:rsid w:val="004C5CAA"/>
    <w:rsid w:val="004C6C46"/>
    <w:rsid w:val="004D0BEF"/>
    <w:rsid w:val="004D12DD"/>
    <w:rsid w:val="004D274D"/>
    <w:rsid w:val="004D548C"/>
    <w:rsid w:val="004D58C3"/>
    <w:rsid w:val="004E1199"/>
    <w:rsid w:val="004E2BBD"/>
    <w:rsid w:val="004E3DDE"/>
    <w:rsid w:val="004E5778"/>
    <w:rsid w:val="004E5B17"/>
    <w:rsid w:val="004E7ED8"/>
    <w:rsid w:val="004F457C"/>
    <w:rsid w:val="004F6014"/>
    <w:rsid w:val="0050102F"/>
    <w:rsid w:val="0050376D"/>
    <w:rsid w:val="00512C25"/>
    <w:rsid w:val="00523372"/>
    <w:rsid w:val="005302CB"/>
    <w:rsid w:val="00541E74"/>
    <w:rsid w:val="00544088"/>
    <w:rsid w:val="0055217E"/>
    <w:rsid w:val="0055434C"/>
    <w:rsid w:val="00563B29"/>
    <w:rsid w:val="00566122"/>
    <w:rsid w:val="00567DE1"/>
    <w:rsid w:val="00572854"/>
    <w:rsid w:val="00572D7F"/>
    <w:rsid w:val="00583093"/>
    <w:rsid w:val="005833C6"/>
    <w:rsid w:val="00590306"/>
    <w:rsid w:val="0059098B"/>
    <w:rsid w:val="00591283"/>
    <w:rsid w:val="005A3097"/>
    <w:rsid w:val="005A61CE"/>
    <w:rsid w:val="005A7E5A"/>
    <w:rsid w:val="005B1285"/>
    <w:rsid w:val="005B1410"/>
    <w:rsid w:val="005B431B"/>
    <w:rsid w:val="005C7DEE"/>
    <w:rsid w:val="005C7E12"/>
    <w:rsid w:val="005D0DFA"/>
    <w:rsid w:val="005D1F11"/>
    <w:rsid w:val="005D4A40"/>
    <w:rsid w:val="005D5926"/>
    <w:rsid w:val="005E03C8"/>
    <w:rsid w:val="005E493B"/>
    <w:rsid w:val="005E7345"/>
    <w:rsid w:val="005E7389"/>
    <w:rsid w:val="005E7F1B"/>
    <w:rsid w:val="005F2951"/>
    <w:rsid w:val="006012E1"/>
    <w:rsid w:val="006046A5"/>
    <w:rsid w:val="00604741"/>
    <w:rsid w:val="00611C11"/>
    <w:rsid w:val="00624DDC"/>
    <w:rsid w:val="006253B6"/>
    <w:rsid w:val="006257ED"/>
    <w:rsid w:val="0062686E"/>
    <w:rsid w:val="00630B30"/>
    <w:rsid w:val="00632A76"/>
    <w:rsid w:val="006345D7"/>
    <w:rsid w:val="00641097"/>
    <w:rsid w:val="00647D22"/>
    <w:rsid w:val="00651966"/>
    <w:rsid w:val="00651FF6"/>
    <w:rsid w:val="00653F9D"/>
    <w:rsid w:val="0066208D"/>
    <w:rsid w:val="00664778"/>
    <w:rsid w:val="00677F6B"/>
    <w:rsid w:val="00681C60"/>
    <w:rsid w:val="0068303E"/>
    <w:rsid w:val="0068383E"/>
    <w:rsid w:val="006A4D02"/>
    <w:rsid w:val="006B1BF9"/>
    <w:rsid w:val="006B31DA"/>
    <w:rsid w:val="006B53F1"/>
    <w:rsid w:val="006B6037"/>
    <w:rsid w:val="006C0E56"/>
    <w:rsid w:val="006C3D21"/>
    <w:rsid w:val="006D3C83"/>
    <w:rsid w:val="006D4516"/>
    <w:rsid w:val="006D6430"/>
    <w:rsid w:val="006E4C78"/>
    <w:rsid w:val="006E4F82"/>
    <w:rsid w:val="006E79F4"/>
    <w:rsid w:val="006F58CD"/>
    <w:rsid w:val="0070214F"/>
    <w:rsid w:val="0070626F"/>
    <w:rsid w:val="00714BE8"/>
    <w:rsid w:val="00717BDC"/>
    <w:rsid w:val="00717C1E"/>
    <w:rsid w:val="0072072F"/>
    <w:rsid w:val="00722B62"/>
    <w:rsid w:val="00723A28"/>
    <w:rsid w:val="00726AD2"/>
    <w:rsid w:val="007303AE"/>
    <w:rsid w:val="007303BC"/>
    <w:rsid w:val="007321E5"/>
    <w:rsid w:val="007330AE"/>
    <w:rsid w:val="00733671"/>
    <w:rsid w:val="00733F1F"/>
    <w:rsid w:val="00736B62"/>
    <w:rsid w:val="007440E8"/>
    <w:rsid w:val="00750942"/>
    <w:rsid w:val="00750E74"/>
    <w:rsid w:val="007607AF"/>
    <w:rsid w:val="00764C85"/>
    <w:rsid w:val="0077576D"/>
    <w:rsid w:val="00781C03"/>
    <w:rsid w:val="00782C50"/>
    <w:rsid w:val="00793E3E"/>
    <w:rsid w:val="00797DF7"/>
    <w:rsid w:val="007A0E08"/>
    <w:rsid w:val="007A29C5"/>
    <w:rsid w:val="007A4616"/>
    <w:rsid w:val="007A61A6"/>
    <w:rsid w:val="007B6CA2"/>
    <w:rsid w:val="007B6FFF"/>
    <w:rsid w:val="007C2EE0"/>
    <w:rsid w:val="007C3CB7"/>
    <w:rsid w:val="007C7B4B"/>
    <w:rsid w:val="007F0859"/>
    <w:rsid w:val="007F2413"/>
    <w:rsid w:val="007F279B"/>
    <w:rsid w:val="007F7061"/>
    <w:rsid w:val="00807696"/>
    <w:rsid w:val="00810DF0"/>
    <w:rsid w:val="00812435"/>
    <w:rsid w:val="00813243"/>
    <w:rsid w:val="00817241"/>
    <w:rsid w:val="00817684"/>
    <w:rsid w:val="00823428"/>
    <w:rsid w:val="0083194E"/>
    <w:rsid w:val="0083314E"/>
    <w:rsid w:val="008369BA"/>
    <w:rsid w:val="00840556"/>
    <w:rsid w:val="00840D32"/>
    <w:rsid w:val="00843933"/>
    <w:rsid w:val="008443C6"/>
    <w:rsid w:val="00850F1E"/>
    <w:rsid w:val="00850F4C"/>
    <w:rsid w:val="00864C1F"/>
    <w:rsid w:val="00864EE5"/>
    <w:rsid w:val="00865140"/>
    <w:rsid w:val="00867294"/>
    <w:rsid w:val="00870FA1"/>
    <w:rsid w:val="00875220"/>
    <w:rsid w:val="00875DA0"/>
    <w:rsid w:val="008841A0"/>
    <w:rsid w:val="00884C83"/>
    <w:rsid w:val="00887429"/>
    <w:rsid w:val="00891CD9"/>
    <w:rsid w:val="00894469"/>
    <w:rsid w:val="008946AA"/>
    <w:rsid w:val="0089503A"/>
    <w:rsid w:val="008A5E03"/>
    <w:rsid w:val="008B390E"/>
    <w:rsid w:val="008B4748"/>
    <w:rsid w:val="008B477D"/>
    <w:rsid w:val="008C60A1"/>
    <w:rsid w:val="008D3E97"/>
    <w:rsid w:val="008D5AF3"/>
    <w:rsid w:val="008E0239"/>
    <w:rsid w:val="008E46CB"/>
    <w:rsid w:val="008E4718"/>
    <w:rsid w:val="008E483E"/>
    <w:rsid w:val="008E611D"/>
    <w:rsid w:val="008E6761"/>
    <w:rsid w:val="008F0BFB"/>
    <w:rsid w:val="008F2446"/>
    <w:rsid w:val="00901040"/>
    <w:rsid w:val="0090483C"/>
    <w:rsid w:val="00914477"/>
    <w:rsid w:val="00915276"/>
    <w:rsid w:val="00917DD6"/>
    <w:rsid w:val="0092216A"/>
    <w:rsid w:val="009234BB"/>
    <w:rsid w:val="00923F25"/>
    <w:rsid w:val="00924034"/>
    <w:rsid w:val="009266C8"/>
    <w:rsid w:val="0093381E"/>
    <w:rsid w:val="00933DA8"/>
    <w:rsid w:val="00941CF8"/>
    <w:rsid w:val="00947518"/>
    <w:rsid w:val="00947AF5"/>
    <w:rsid w:val="00950EFA"/>
    <w:rsid w:val="009608F7"/>
    <w:rsid w:val="00963503"/>
    <w:rsid w:val="00963BE5"/>
    <w:rsid w:val="00965DBD"/>
    <w:rsid w:val="0097079E"/>
    <w:rsid w:val="009717C0"/>
    <w:rsid w:val="00971944"/>
    <w:rsid w:val="00973A21"/>
    <w:rsid w:val="00980C44"/>
    <w:rsid w:val="009815C6"/>
    <w:rsid w:val="00983FC0"/>
    <w:rsid w:val="00985B76"/>
    <w:rsid w:val="009956C2"/>
    <w:rsid w:val="00996201"/>
    <w:rsid w:val="009A28C9"/>
    <w:rsid w:val="009A39E1"/>
    <w:rsid w:val="009A3AD8"/>
    <w:rsid w:val="009A4C80"/>
    <w:rsid w:val="009A4D57"/>
    <w:rsid w:val="009A6EE8"/>
    <w:rsid w:val="009B0F58"/>
    <w:rsid w:val="009B3DFB"/>
    <w:rsid w:val="009B67D1"/>
    <w:rsid w:val="009C3380"/>
    <w:rsid w:val="009D02DB"/>
    <w:rsid w:val="009D5E84"/>
    <w:rsid w:val="009D67D2"/>
    <w:rsid w:val="009D6CAE"/>
    <w:rsid w:val="009E45FA"/>
    <w:rsid w:val="009E5167"/>
    <w:rsid w:val="009E6687"/>
    <w:rsid w:val="009E7E38"/>
    <w:rsid w:val="009F19BD"/>
    <w:rsid w:val="009F265B"/>
    <w:rsid w:val="009F482C"/>
    <w:rsid w:val="009F54F6"/>
    <w:rsid w:val="009F5E87"/>
    <w:rsid w:val="009F646A"/>
    <w:rsid w:val="009F68DB"/>
    <w:rsid w:val="00A00451"/>
    <w:rsid w:val="00A03E3F"/>
    <w:rsid w:val="00A07AEA"/>
    <w:rsid w:val="00A10151"/>
    <w:rsid w:val="00A1108E"/>
    <w:rsid w:val="00A138CE"/>
    <w:rsid w:val="00A14D72"/>
    <w:rsid w:val="00A27CD0"/>
    <w:rsid w:val="00A3143A"/>
    <w:rsid w:val="00A31454"/>
    <w:rsid w:val="00A32069"/>
    <w:rsid w:val="00A35181"/>
    <w:rsid w:val="00A362B6"/>
    <w:rsid w:val="00A379F8"/>
    <w:rsid w:val="00A42BB4"/>
    <w:rsid w:val="00A44260"/>
    <w:rsid w:val="00A4643F"/>
    <w:rsid w:val="00A464DD"/>
    <w:rsid w:val="00A51359"/>
    <w:rsid w:val="00A57C93"/>
    <w:rsid w:val="00A60178"/>
    <w:rsid w:val="00A6239E"/>
    <w:rsid w:val="00A67DFF"/>
    <w:rsid w:val="00A71475"/>
    <w:rsid w:val="00A714DC"/>
    <w:rsid w:val="00A7179C"/>
    <w:rsid w:val="00A761CB"/>
    <w:rsid w:val="00A80883"/>
    <w:rsid w:val="00A829D1"/>
    <w:rsid w:val="00A85701"/>
    <w:rsid w:val="00A867BC"/>
    <w:rsid w:val="00A92F07"/>
    <w:rsid w:val="00AA23E9"/>
    <w:rsid w:val="00AA4EA3"/>
    <w:rsid w:val="00AB450D"/>
    <w:rsid w:val="00AC5E10"/>
    <w:rsid w:val="00AD0344"/>
    <w:rsid w:val="00AD20B1"/>
    <w:rsid w:val="00AD3261"/>
    <w:rsid w:val="00AD4355"/>
    <w:rsid w:val="00AD56A0"/>
    <w:rsid w:val="00AD7739"/>
    <w:rsid w:val="00AD786C"/>
    <w:rsid w:val="00AE3F5F"/>
    <w:rsid w:val="00AE537F"/>
    <w:rsid w:val="00AE6BE6"/>
    <w:rsid w:val="00AE7A89"/>
    <w:rsid w:val="00AF04E2"/>
    <w:rsid w:val="00AF315A"/>
    <w:rsid w:val="00B139CA"/>
    <w:rsid w:val="00B13DC4"/>
    <w:rsid w:val="00B14290"/>
    <w:rsid w:val="00B15C8D"/>
    <w:rsid w:val="00B16966"/>
    <w:rsid w:val="00B17B7C"/>
    <w:rsid w:val="00B20DD1"/>
    <w:rsid w:val="00B23277"/>
    <w:rsid w:val="00B245AD"/>
    <w:rsid w:val="00B26964"/>
    <w:rsid w:val="00B348A9"/>
    <w:rsid w:val="00B414F9"/>
    <w:rsid w:val="00B4182B"/>
    <w:rsid w:val="00B46FCE"/>
    <w:rsid w:val="00B55E54"/>
    <w:rsid w:val="00B56589"/>
    <w:rsid w:val="00B57F42"/>
    <w:rsid w:val="00B64356"/>
    <w:rsid w:val="00B64D05"/>
    <w:rsid w:val="00B651E4"/>
    <w:rsid w:val="00B70460"/>
    <w:rsid w:val="00B73EA6"/>
    <w:rsid w:val="00B76534"/>
    <w:rsid w:val="00B8018B"/>
    <w:rsid w:val="00B84A5F"/>
    <w:rsid w:val="00B851CC"/>
    <w:rsid w:val="00B9441B"/>
    <w:rsid w:val="00B96EE7"/>
    <w:rsid w:val="00B97ACF"/>
    <w:rsid w:val="00BA19D3"/>
    <w:rsid w:val="00BB2925"/>
    <w:rsid w:val="00BB4BF8"/>
    <w:rsid w:val="00BB7547"/>
    <w:rsid w:val="00BD702B"/>
    <w:rsid w:val="00BD714E"/>
    <w:rsid w:val="00BD7B78"/>
    <w:rsid w:val="00BE371B"/>
    <w:rsid w:val="00BE773B"/>
    <w:rsid w:val="00BE7C4E"/>
    <w:rsid w:val="00C035D0"/>
    <w:rsid w:val="00C05352"/>
    <w:rsid w:val="00C32404"/>
    <w:rsid w:val="00C37835"/>
    <w:rsid w:val="00C444F4"/>
    <w:rsid w:val="00C505FF"/>
    <w:rsid w:val="00C527D1"/>
    <w:rsid w:val="00C53679"/>
    <w:rsid w:val="00C73360"/>
    <w:rsid w:val="00C76B12"/>
    <w:rsid w:val="00C85211"/>
    <w:rsid w:val="00C86CB2"/>
    <w:rsid w:val="00C91C71"/>
    <w:rsid w:val="00C92ADF"/>
    <w:rsid w:val="00C95126"/>
    <w:rsid w:val="00C97282"/>
    <w:rsid w:val="00C9756C"/>
    <w:rsid w:val="00CA72A5"/>
    <w:rsid w:val="00CB17E6"/>
    <w:rsid w:val="00CC07BF"/>
    <w:rsid w:val="00CC07D6"/>
    <w:rsid w:val="00CC18D5"/>
    <w:rsid w:val="00CC4651"/>
    <w:rsid w:val="00CC5303"/>
    <w:rsid w:val="00CD3207"/>
    <w:rsid w:val="00CD498F"/>
    <w:rsid w:val="00CE018E"/>
    <w:rsid w:val="00CE05E5"/>
    <w:rsid w:val="00CE1148"/>
    <w:rsid w:val="00CE1E0A"/>
    <w:rsid w:val="00CE34FE"/>
    <w:rsid w:val="00CE7A4A"/>
    <w:rsid w:val="00CF315D"/>
    <w:rsid w:val="00CF5FAC"/>
    <w:rsid w:val="00CF6609"/>
    <w:rsid w:val="00D02CA9"/>
    <w:rsid w:val="00D1343F"/>
    <w:rsid w:val="00D13AA8"/>
    <w:rsid w:val="00D13EB6"/>
    <w:rsid w:val="00D16C8E"/>
    <w:rsid w:val="00D23619"/>
    <w:rsid w:val="00D239B5"/>
    <w:rsid w:val="00D32B72"/>
    <w:rsid w:val="00D3499E"/>
    <w:rsid w:val="00D4033C"/>
    <w:rsid w:val="00D44452"/>
    <w:rsid w:val="00D45504"/>
    <w:rsid w:val="00D51337"/>
    <w:rsid w:val="00D5346A"/>
    <w:rsid w:val="00D55767"/>
    <w:rsid w:val="00D61F6A"/>
    <w:rsid w:val="00D621E6"/>
    <w:rsid w:val="00D71BA0"/>
    <w:rsid w:val="00D7219C"/>
    <w:rsid w:val="00D74739"/>
    <w:rsid w:val="00D749DF"/>
    <w:rsid w:val="00D74C21"/>
    <w:rsid w:val="00D76640"/>
    <w:rsid w:val="00D82755"/>
    <w:rsid w:val="00D82773"/>
    <w:rsid w:val="00D82E67"/>
    <w:rsid w:val="00D831AC"/>
    <w:rsid w:val="00D922B7"/>
    <w:rsid w:val="00D94F0F"/>
    <w:rsid w:val="00D97926"/>
    <w:rsid w:val="00DA3557"/>
    <w:rsid w:val="00DA4701"/>
    <w:rsid w:val="00DB6C91"/>
    <w:rsid w:val="00DC388D"/>
    <w:rsid w:val="00DC3C44"/>
    <w:rsid w:val="00DC531D"/>
    <w:rsid w:val="00DC65F2"/>
    <w:rsid w:val="00DC7382"/>
    <w:rsid w:val="00DC7876"/>
    <w:rsid w:val="00DC7DD5"/>
    <w:rsid w:val="00DD3754"/>
    <w:rsid w:val="00DD444E"/>
    <w:rsid w:val="00DE0165"/>
    <w:rsid w:val="00DE25CF"/>
    <w:rsid w:val="00DE3ED7"/>
    <w:rsid w:val="00DE7A6A"/>
    <w:rsid w:val="00DF0651"/>
    <w:rsid w:val="00DF1291"/>
    <w:rsid w:val="00DF15DA"/>
    <w:rsid w:val="00DF2A58"/>
    <w:rsid w:val="00DF317C"/>
    <w:rsid w:val="00DF5B89"/>
    <w:rsid w:val="00DF6923"/>
    <w:rsid w:val="00E000EC"/>
    <w:rsid w:val="00E02C86"/>
    <w:rsid w:val="00E04A15"/>
    <w:rsid w:val="00E12179"/>
    <w:rsid w:val="00E1392C"/>
    <w:rsid w:val="00E145DC"/>
    <w:rsid w:val="00E22AC6"/>
    <w:rsid w:val="00E24830"/>
    <w:rsid w:val="00E3089B"/>
    <w:rsid w:val="00E318A6"/>
    <w:rsid w:val="00E32BA6"/>
    <w:rsid w:val="00E373B2"/>
    <w:rsid w:val="00E41C62"/>
    <w:rsid w:val="00E41EE9"/>
    <w:rsid w:val="00E44A35"/>
    <w:rsid w:val="00E461D4"/>
    <w:rsid w:val="00E46D49"/>
    <w:rsid w:val="00E54BF0"/>
    <w:rsid w:val="00E62285"/>
    <w:rsid w:val="00E62819"/>
    <w:rsid w:val="00E66FE2"/>
    <w:rsid w:val="00E71E25"/>
    <w:rsid w:val="00E75D57"/>
    <w:rsid w:val="00E80588"/>
    <w:rsid w:val="00E852AE"/>
    <w:rsid w:val="00E87123"/>
    <w:rsid w:val="00E9045F"/>
    <w:rsid w:val="00E90B1A"/>
    <w:rsid w:val="00EA0D4F"/>
    <w:rsid w:val="00EA1E21"/>
    <w:rsid w:val="00EA405B"/>
    <w:rsid w:val="00EA59D9"/>
    <w:rsid w:val="00EA60C4"/>
    <w:rsid w:val="00EA6C76"/>
    <w:rsid w:val="00EB01A7"/>
    <w:rsid w:val="00EB0D77"/>
    <w:rsid w:val="00EB4C26"/>
    <w:rsid w:val="00EB6134"/>
    <w:rsid w:val="00EB6BF9"/>
    <w:rsid w:val="00EC1A6C"/>
    <w:rsid w:val="00ED12CA"/>
    <w:rsid w:val="00ED7509"/>
    <w:rsid w:val="00EE1077"/>
    <w:rsid w:val="00EE1395"/>
    <w:rsid w:val="00EE19D3"/>
    <w:rsid w:val="00EE38AF"/>
    <w:rsid w:val="00EE5B42"/>
    <w:rsid w:val="00EF254B"/>
    <w:rsid w:val="00EF44CB"/>
    <w:rsid w:val="00EF4FF2"/>
    <w:rsid w:val="00F071DE"/>
    <w:rsid w:val="00F11D22"/>
    <w:rsid w:val="00F20DE7"/>
    <w:rsid w:val="00F24397"/>
    <w:rsid w:val="00F245F4"/>
    <w:rsid w:val="00F24869"/>
    <w:rsid w:val="00F26162"/>
    <w:rsid w:val="00F26A15"/>
    <w:rsid w:val="00F30F96"/>
    <w:rsid w:val="00F320D0"/>
    <w:rsid w:val="00F40C4A"/>
    <w:rsid w:val="00F40D7C"/>
    <w:rsid w:val="00F42246"/>
    <w:rsid w:val="00F440B5"/>
    <w:rsid w:val="00F50593"/>
    <w:rsid w:val="00F54462"/>
    <w:rsid w:val="00F572BD"/>
    <w:rsid w:val="00F60029"/>
    <w:rsid w:val="00F60774"/>
    <w:rsid w:val="00F60E1E"/>
    <w:rsid w:val="00F650CC"/>
    <w:rsid w:val="00F70300"/>
    <w:rsid w:val="00F734CB"/>
    <w:rsid w:val="00F74630"/>
    <w:rsid w:val="00F750B0"/>
    <w:rsid w:val="00F814F0"/>
    <w:rsid w:val="00F820A5"/>
    <w:rsid w:val="00F8280A"/>
    <w:rsid w:val="00F85D35"/>
    <w:rsid w:val="00F862E6"/>
    <w:rsid w:val="00F9122A"/>
    <w:rsid w:val="00F917E5"/>
    <w:rsid w:val="00FA0877"/>
    <w:rsid w:val="00FA29C6"/>
    <w:rsid w:val="00FA6D2C"/>
    <w:rsid w:val="00FA6FBB"/>
    <w:rsid w:val="00FB4A43"/>
    <w:rsid w:val="00FB5BF6"/>
    <w:rsid w:val="00FB70CB"/>
    <w:rsid w:val="00FC08CD"/>
    <w:rsid w:val="00FC186F"/>
    <w:rsid w:val="00FC7619"/>
    <w:rsid w:val="00FC779A"/>
    <w:rsid w:val="00FD0D13"/>
    <w:rsid w:val="00FD1AF9"/>
    <w:rsid w:val="00FE54F5"/>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7C2883A3-FCF8-462B-9434-AB5CEDCC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uiPriority w:val="1"/>
    <w:qFormat/>
    <w:rsid w:val="0042464A"/>
    <w:pPr>
      <w:spacing w:after="240" w:line="264" w:lineRule="auto"/>
    </w:pPr>
    <w:rPr>
      <w:rFonts w:eastAsia="Times New Roman" w:cs="Times New Roman"/>
      <w:sz w:val="24"/>
      <w:szCs w:val="20"/>
    </w:rPr>
  </w:style>
  <w:style w:type="paragraph" w:customStyle="1" w:styleId="References">
    <w:name w:val="References"/>
    <w:basedOn w:val="Normal"/>
    <w:semiHidden/>
    <w:qFormat/>
    <w:rsid w:val="002A3A59"/>
    <w:pPr>
      <w:keepLines/>
      <w:spacing w:after="60" w:line="264" w:lineRule="auto"/>
      <w:ind w:left="432" w:hanging="432"/>
    </w:pPr>
    <w:rPr>
      <w:rFonts w:eastAsia="Times New Roman" w:cs="Times New Roman"/>
      <w:sz w:val="24"/>
      <w:szCs w:val="20"/>
    </w:rPr>
  </w:style>
  <w:style w:type="character" w:styleId="Emphasis">
    <w:name w:val="Emphasis"/>
    <w:basedOn w:val="DefaultParagraphFont"/>
    <w:uiPriority w:val="20"/>
    <w:qFormat/>
    <w:rsid w:val="002A3A59"/>
    <w:rPr>
      <w:i/>
      <w:iCs/>
    </w:rPr>
  </w:style>
  <w:style w:type="character" w:customStyle="1" w:styleId="journaltitle">
    <w:name w:val="journaltitle"/>
    <w:basedOn w:val="DefaultParagraphFont"/>
    <w:rsid w:val="002A3A59"/>
  </w:style>
  <w:style w:type="paragraph" w:customStyle="1" w:styleId="Heading2A">
    <w:name w:val="Heading 2A"/>
    <w:basedOn w:val="Normal"/>
    <w:rsid w:val="00F24397"/>
    <w:pPr>
      <w:spacing w:after="120" w:line="240" w:lineRule="auto"/>
      <w:ind w:left="540" w:hanging="540"/>
    </w:pPr>
    <w:rPr>
      <w:b/>
    </w:rPr>
  </w:style>
  <w:style w:type="paragraph" w:customStyle="1" w:styleId="Heading3A">
    <w:name w:val="Heading 3A"/>
    <w:basedOn w:val="Normal"/>
    <w:rsid w:val="00F24397"/>
    <w:pPr>
      <w:spacing w:after="120" w:line="240" w:lineRule="auto"/>
    </w:pPr>
    <w:rPr>
      <w:i/>
    </w:rPr>
  </w:style>
  <w:style w:type="paragraph" w:customStyle="1" w:styleId="TableTextLeft">
    <w:name w:val="Table Text Left"/>
    <w:qFormat/>
    <w:rsid w:val="009E6687"/>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9E6687"/>
    <w:pPr>
      <w:keepNext/>
      <w:jc w:val="center"/>
    </w:pPr>
    <w:rPr>
      <w:color w:val="FFFFFF" w:themeColor="background1"/>
      <w:sz w:val="20"/>
    </w:rPr>
  </w:style>
  <w:style w:type="paragraph" w:customStyle="1" w:styleId="ParagraphContinued">
    <w:name w:val="Paragraph Continued"/>
    <w:basedOn w:val="Paragraph"/>
    <w:next w:val="Paragraph"/>
    <w:qFormat/>
    <w:rsid w:val="0005675C"/>
    <w:pPr>
      <w:spacing w:before="160" w:after="160"/>
    </w:pPr>
    <w:rPr>
      <w:rFonts w:eastAsiaTheme="minorHAnsi" w:cstheme="minorBidi"/>
      <w:sz w:val="22"/>
      <w:szCs w:val="22"/>
    </w:rPr>
  </w:style>
  <w:style w:type="character" w:customStyle="1" w:styleId="UnresolvedMention1">
    <w:name w:val="Unresolved Mention1"/>
    <w:basedOn w:val="DefaultParagraphFont"/>
    <w:uiPriority w:val="99"/>
    <w:semiHidden/>
    <w:unhideWhenUsed/>
    <w:rsid w:val="00092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295543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poq/nfn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5" ma:contentTypeDescription="Create a new document." ma:contentTypeScope="" ma:versionID="8a0c13d0ac9d3b918b175a9110dfa32f">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bd5f7c6c4952a807222e9dc16848abca"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ECABC8CD-0921-42C7-83F2-11BF6ECB759F}">
  <ds:schemaRefs>
    <ds:schemaRef ds:uri="http://schemas.openxmlformats.org/officeDocument/2006/bibliography"/>
  </ds:schemaRefs>
</ds:datastoreItem>
</file>

<file path=customXml/itemProps4.xml><?xml version="1.0" encoding="utf-8"?>
<ds:datastoreItem xmlns:ds="http://schemas.openxmlformats.org/officeDocument/2006/customXml" ds:itemID="{7FA5BAD0-8608-4A8A-8BAB-750FEEAB6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Woolverton, Maria (ACF)</dc:creator>
  <cp:lastModifiedBy>Jones, Molly (ACF)</cp:lastModifiedBy>
  <cp:revision>3</cp:revision>
  <dcterms:created xsi:type="dcterms:W3CDTF">2022-01-05T16:44:00Z</dcterms:created>
  <dcterms:modified xsi:type="dcterms:W3CDTF">2022-01-06T18:02:00Z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